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DBCBED6" w14:textId="77777777" w:rsidR="00575CDF" w:rsidRPr="00C801A6" w:rsidRDefault="00575CDF" w:rsidP="00D13682">
      <w:pPr>
        <w:jc w:val="center"/>
      </w:pPr>
      <w:bookmarkStart w:id="0" w:name="_Hlk102549052"/>
      <w:bookmarkStart w:id="1" w:name="_Hlk71380203"/>
      <w:bookmarkEnd w:id="0"/>
      <w:r w:rsidRPr="00C801A6">
        <w:rPr>
          <w:noProof/>
          <w:lang w:eastAsia="fr-FR"/>
        </w:rPr>
        <w:drawing>
          <wp:inline distT="0" distB="0" distL="0" distR="0" wp14:anchorId="33A21C6A" wp14:editId="6D28EC17">
            <wp:extent cx="2432685" cy="1181735"/>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pic:nvPicPr>
                  <pic:blipFill>
                    <a:blip r:embed="rId11" cstate="email">
                      <a:extLst>
                        <a:ext uri="{28A0092B-C50C-407E-A947-70E740481C1C}">
                          <a14:useLocalDpi xmlns:a14="http://schemas.microsoft.com/office/drawing/2010/main"/>
                        </a:ext>
                      </a:extLst>
                    </a:blip>
                    <a:stretch>
                      <a:fillRect/>
                    </a:stretch>
                  </pic:blipFill>
                  <pic:spPr>
                    <a:xfrm>
                      <a:off x="0" y="0"/>
                      <a:ext cx="2432685" cy="1181735"/>
                    </a:xfrm>
                    <a:prstGeom prst="rect">
                      <a:avLst/>
                    </a:prstGeom>
                  </pic:spPr>
                </pic:pic>
              </a:graphicData>
            </a:graphic>
          </wp:inline>
        </w:drawing>
      </w:r>
    </w:p>
    <w:p w14:paraId="7CF21013" w14:textId="77777777" w:rsidR="00575CDF" w:rsidRPr="00C801A6" w:rsidRDefault="00575CDF" w:rsidP="00D13682">
      <w:pPr>
        <w:jc w:val="center"/>
        <w:rPr>
          <w:sz w:val="22"/>
        </w:rPr>
      </w:pPr>
      <w:r w:rsidRPr="00C801A6">
        <w:rPr>
          <w:sz w:val="22"/>
        </w:rPr>
        <w:t>************</w:t>
      </w:r>
    </w:p>
    <w:p w14:paraId="6D5F9E50" w14:textId="77777777" w:rsidR="00575CDF" w:rsidRPr="00C801A6" w:rsidRDefault="00575CDF" w:rsidP="00D13682"/>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6"/>
        <w:gridCol w:w="3637"/>
        <w:gridCol w:w="2884"/>
      </w:tblGrid>
      <w:tr w:rsidR="00BA7096" w:rsidRPr="00C801A6" w14:paraId="6592A5C6" w14:textId="77777777" w:rsidTr="00347FDB">
        <w:tc>
          <w:tcPr>
            <w:tcW w:w="2376" w:type="dxa"/>
          </w:tcPr>
          <w:p w14:paraId="5EE733AE" w14:textId="77777777" w:rsidR="00BA7096" w:rsidRPr="00C801A6" w:rsidRDefault="00BA7096" w:rsidP="00D13682">
            <w:pPr>
              <w:rPr>
                <w:noProof/>
                <w:sz w:val="22"/>
                <w:lang w:eastAsia="fr-FR"/>
              </w:rPr>
            </w:pPr>
            <w:bookmarkStart w:id="2" w:name="_Hlk505947648"/>
            <w:bookmarkEnd w:id="2"/>
            <w:r w:rsidRPr="00C801A6">
              <w:rPr>
                <w:noProof/>
                <w:sz w:val="22"/>
                <w:lang w:eastAsia="fr-FR"/>
              </w:rPr>
              <w:drawing>
                <wp:inline distT="0" distB="0" distL="0" distR="0" wp14:anchorId="6BAA0988" wp14:editId="753C8FE7">
                  <wp:extent cx="1364885" cy="1209675"/>
                  <wp:effectExtent l="0" t="0" r="6985" b="0"/>
                  <wp:docPr id="26833" name="Image 26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33" name="Image 26833"/>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1367066" cy="1211608"/>
                          </a:xfrm>
                          <a:prstGeom prst="rect">
                            <a:avLst/>
                          </a:prstGeom>
                          <a:ln w="635">
                            <a:noFill/>
                          </a:ln>
                          <a:extLst>
                            <a:ext uri="{53640926-AAD7-44D8-BBD7-CCE9431645EC}">
                              <a14:shadowObscured xmlns:a14="http://schemas.microsoft.com/office/drawing/2010/main"/>
                            </a:ext>
                          </a:extLst>
                        </pic:spPr>
                      </pic:pic>
                    </a:graphicData>
                  </a:graphic>
                </wp:inline>
              </w:drawing>
            </w:r>
          </w:p>
        </w:tc>
        <w:tc>
          <w:tcPr>
            <w:tcW w:w="3637" w:type="dxa"/>
          </w:tcPr>
          <w:p w14:paraId="66B68355" w14:textId="77777777" w:rsidR="00BA7096" w:rsidRPr="00C801A6" w:rsidRDefault="00BA7096" w:rsidP="00D13682">
            <w:pPr>
              <w:rPr>
                <w:noProof/>
                <w:lang w:eastAsia="fr-FR"/>
              </w:rPr>
            </w:pPr>
          </w:p>
        </w:tc>
        <w:tc>
          <w:tcPr>
            <w:tcW w:w="2884" w:type="dxa"/>
          </w:tcPr>
          <w:p w14:paraId="02D94E04" w14:textId="77777777" w:rsidR="00BA7096" w:rsidRPr="00C801A6" w:rsidRDefault="00BA7096" w:rsidP="00D13682">
            <w:pPr>
              <w:rPr>
                <w:sz w:val="22"/>
              </w:rPr>
            </w:pPr>
            <w:r w:rsidRPr="00C801A6">
              <w:rPr>
                <w:noProof/>
                <w:lang w:eastAsia="fr-FR"/>
              </w:rPr>
              <w:drawing>
                <wp:inline distT="0" distB="0" distL="0" distR="0" wp14:anchorId="2F698788" wp14:editId="7E81348F">
                  <wp:extent cx="1477985" cy="1188000"/>
                  <wp:effectExtent l="0" t="0" r="8255" b="0"/>
                  <wp:docPr id="406508176" name="Image 406508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1477985" cy="1188000"/>
                          </a:xfrm>
                          <a:prstGeom prst="rect">
                            <a:avLst/>
                          </a:prstGeom>
                          <a:noFill/>
                          <a:ln>
                            <a:noFill/>
                          </a:ln>
                        </pic:spPr>
                      </pic:pic>
                    </a:graphicData>
                  </a:graphic>
                </wp:inline>
              </w:drawing>
            </w:r>
          </w:p>
        </w:tc>
      </w:tr>
    </w:tbl>
    <w:p w14:paraId="305AABEA" w14:textId="77777777" w:rsidR="00BA7096" w:rsidRPr="00C801A6" w:rsidRDefault="00BA7096" w:rsidP="00D13682"/>
    <w:p w14:paraId="10D288C5" w14:textId="77777777" w:rsidR="00BA7096" w:rsidRPr="00C801A6" w:rsidRDefault="00BA7096" w:rsidP="00D13682"/>
    <w:p w14:paraId="48BD1556" w14:textId="0F329A07" w:rsidR="00DF745E" w:rsidRDefault="00DF745E" w:rsidP="00D13682">
      <w:pPr>
        <w:jc w:val="center"/>
        <w:rPr>
          <w:rFonts w:ascii="Arial" w:hAnsi="Arial" w:cs="Arial"/>
          <w:b/>
          <w:sz w:val="28"/>
          <w:szCs w:val="28"/>
        </w:rPr>
      </w:pPr>
      <w:r w:rsidRPr="00DF745E">
        <w:rPr>
          <w:rFonts w:ascii="Arial" w:hAnsi="Arial" w:cs="Arial"/>
          <w:b/>
          <w:sz w:val="28"/>
          <w:szCs w:val="28"/>
        </w:rPr>
        <w:t>PROJET CONNECTER MADAGASCAR POUR UNE CROISSANCE INCLUSIVE</w:t>
      </w:r>
      <w:r>
        <w:rPr>
          <w:rFonts w:ascii="Arial" w:hAnsi="Arial" w:cs="Arial"/>
          <w:b/>
          <w:sz w:val="28"/>
          <w:szCs w:val="28"/>
        </w:rPr>
        <w:t xml:space="preserve"> (PCMCI)</w:t>
      </w:r>
    </w:p>
    <w:p w14:paraId="234BAD3A" w14:textId="42EA524A" w:rsidR="00C4397C" w:rsidRPr="00DF745E" w:rsidRDefault="00C4397C" w:rsidP="00D13682">
      <w:pPr>
        <w:jc w:val="center"/>
        <w:rPr>
          <w:rFonts w:ascii="Arial" w:hAnsi="Arial" w:cs="Arial"/>
          <w:b/>
          <w:sz w:val="28"/>
          <w:szCs w:val="28"/>
        </w:rPr>
      </w:pPr>
      <w:r>
        <w:rPr>
          <w:rFonts w:ascii="Arial" w:hAnsi="Arial" w:cs="Arial"/>
          <w:b/>
          <w:sz w:val="28"/>
          <w:szCs w:val="28"/>
        </w:rPr>
        <w:t>P 173711</w:t>
      </w:r>
    </w:p>
    <w:p w14:paraId="6C45FE96" w14:textId="77777777" w:rsidR="00BA7096" w:rsidRPr="00C801A6" w:rsidRDefault="00BA7096" w:rsidP="00D13682">
      <w:pPr>
        <w:jc w:val="center"/>
        <w:rPr>
          <w:rFonts w:ascii="Arial" w:hAnsi="Arial" w:cs="Arial"/>
          <w:b/>
          <w:sz w:val="28"/>
          <w:szCs w:val="28"/>
        </w:rPr>
      </w:pPr>
      <w:r w:rsidRPr="00C801A6">
        <w:rPr>
          <w:rFonts w:ascii="Arial" w:hAnsi="Arial" w:cs="Arial"/>
          <w:b/>
          <w:sz w:val="28"/>
          <w:szCs w:val="28"/>
        </w:rPr>
        <w:t>*********************</w:t>
      </w:r>
    </w:p>
    <w:p w14:paraId="7ADCEA81" w14:textId="77777777" w:rsidR="00575CDF" w:rsidRPr="00C801A6" w:rsidRDefault="00575CDF" w:rsidP="00D13682">
      <w:pPr>
        <w:jc w:val="center"/>
      </w:pPr>
    </w:p>
    <w:p w14:paraId="48A5FEB0" w14:textId="77777777" w:rsidR="009C6EFC" w:rsidRPr="00C801A6" w:rsidRDefault="00575CDF" w:rsidP="00D13682">
      <w:pPr>
        <w:jc w:val="center"/>
        <w:rPr>
          <w:rFonts w:ascii="Arial" w:hAnsi="Arial" w:cs="Arial"/>
          <w:b/>
          <w:sz w:val="32"/>
          <w:szCs w:val="28"/>
        </w:rPr>
      </w:pPr>
      <w:r w:rsidRPr="00C801A6">
        <w:rPr>
          <w:rFonts w:ascii="Arial" w:hAnsi="Arial" w:cs="Arial"/>
          <w:b/>
          <w:sz w:val="32"/>
          <w:szCs w:val="28"/>
        </w:rPr>
        <w:t>CADRE DE GESTION ENVIRONNEMENTALE ET SOCIALE</w:t>
      </w:r>
      <w:r w:rsidR="00BA7096" w:rsidRPr="00C801A6">
        <w:rPr>
          <w:rFonts w:ascii="Arial" w:hAnsi="Arial" w:cs="Arial"/>
          <w:b/>
          <w:sz w:val="32"/>
          <w:szCs w:val="28"/>
        </w:rPr>
        <w:t xml:space="preserve"> </w:t>
      </w:r>
      <w:r w:rsidR="009C6EFC" w:rsidRPr="00C801A6">
        <w:rPr>
          <w:rFonts w:ascii="Arial" w:hAnsi="Arial" w:cs="Arial"/>
          <w:b/>
          <w:sz w:val="32"/>
          <w:szCs w:val="28"/>
        </w:rPr>
        <w:t>(CGES)</w:t>
      </w:r>
    </w:p>
    <w:p w14:paraId="36D5F7C6" w14:textId="60B32254" w:rsidR="00575CDF" w:rsidRPr="00C801A6" w:rsidRDefault="00575CDF" w:rsidP="00D13682">
      <w:pPr>
        <w:rPr>
          <w:rFonts w:ascii="Arial" w:hAnsi="Arial" w:cs="Arial"/>
          <w:b/>
          <w:sz w:val="32"/>
          <w:szCs w:val="28"/>
        </w:rPr>
      </w:pPr>
    </w:p>
    <w:p w14:paraId="799F47F7" w14:textId="341E540B" w:rsidR="00BA26C1" w:rsidRPr="00C801A6" w:rsidRDefault="00E3062A" w:rsidP="00D13682">
      <w:r w:rsidRPr="00E82E4A">
        <w:rPr>
          <w:rFonts w:asciiTheme="minorHAnsi" w:eastAsiaTheme="minorEastAsia" w:hAnsiTheme="minorHAnsi" w:cstheme="minorHAnsi"/>
          <w:b/>
          <w:bCs/>
          <w:noProof/>
        </w:rPr>
        <w:drawing>
          <wp:anchor distT="0" distB="0" distL="114300" distR="114300" simplePos="0" relativeHeight="251658247" behindDoc="0" locked="0" layoutInCell="1" allowOverlap="1" wp14:anchorId="6E03B5F0" wp14:editId="2D41C742">
            <wp:simplePos x="0" y="0"/>
            <wp:positionH relativeFrom="column">
              <wp:posOffset>2018030</wp:posOffset>
            </wp:positionH>
            <wp:positionV relativeFrom="paragraph">
              <wp:posOffset>211455</wp:posOffset>
            </wp:positionV>
            <wp:extent cx="1785970" cy="1339200"/>
            <wp:effectExtent l="0" t="0" r="5080" b="0"/>
            <wp:wrapNone/>
            <wp:docPr id="173914842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148425"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785970" cy="1339200"/>
                    </a:xfrm>
                    <a:prstGeom prst="rect">
                      <a:avLst/>
                    </a:prstGeom>
                  </pic:spPr>
                </pic:pic>
              </a:graphicData>
            </a:graphic>
            <wp14:sizeRelH relativeFrom="margin">
              <wp14:pctWidth>0</wp14:pctWidth>
            </wp14:sizeRelH>
            <wp14:sizeRelV relativeFrom="margin">
              <wp14:pctHeight>0</wp14:pctHeight>
            </wp14:sizeRelV>
          </wp:anchor>
        </w:drawing>
      </w:r>
      <w:r w:rsidRPr="00E82E4A">
        <w:rPr>
          <w:rFonts w:asciiTheme="minorHAnsi" w:hAnsiTheme="minorHAnsi" w:cstheme="minorHAnsi"/>
          <w:noProof/>
        </w:rPr>
        <w:drawing>
          <wp:anchor distT="0" distB="0" distL="114300" distR="114300" simplePos="0" relativeHeight="251658245" behindDoc="0" locked="0" layoutInCell="1" allowOverlap="1" wp14:anchorId="7BD9F692" wp14:editId="51E97C6D">
            <wp:simplePos x="0" y="0"/>
            <wp:positionH relativeFrom="column">
              <wp:posOffset>15240</wp:posOffset>
            </wp:positionH>
            <wp:positionV relativeFrom="paragraph">
              <wp:posOffset>213360</wp:posOffset>
            </wp:positionV>
            <wp:extent cx="1784985" cy="1338580"/>
            <wp:effectExtent l="0" t="0" r="5715" b="0"/>
            <wp:wrapNone/>
            <wp:docPr id="121052110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52110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784985" cy="1338580"/>
                    </a:xfrm>
                    <a:prstGeom prst="rect">
                      <a:avLst/>
                    </a:prstGeom>
                  </pic:spPr>
                </pic:pic>
              </a:graphicData>
            </a:graphic>
            <wp14:sizeRelH relativeFrom="margin">
              <wp14:pctWidth>0</wp14:pctWidth>
            </wp14:sizeRelH>
            <wp14:sizeRelV relativeFrom="margin">
              <wp14:pctHeight>0</wp14:pctHeight>
            </wp14:sizeRelV>
          </wp:anchor>
        </w:drawing>
      </w:r>
    </w:p>
    <w:tbl>
      <w:tblPr>
        <w:tblW w:w="9288" w:type="dxa"/>
        <w:jc w:val="center"/>
        <w:tblLayout w:type="fixed"/>
        <w:tblCellMar>
          <w:left w:w="70" w:type="dxa"/>
          <w:right w:w="70" w:type="dxa"/>
        </w:tblCellMar>
        <w:tblLook w:val="04A0" w:firstRow="1" w:lastRow="0" w:firstColumn="1" w:lastColumn="0" w:noHBand="0" w:noVBand="1"/>
      </w:tblPr>
      <w:tblGrid>
        <w:gridCol w:w="2322"/>
        <w:gridCol w:w="2322"/>
        <w:gridCol w:w="2322"/>
        <w:gridCol w:w="2322"/>
      </w:tblGrid>
      <w:tr w:rsidR="00575CDF" w:rsidRPr="00C801A6" w14:paraId="1DE0D381" w14:textId="77777777" w:rsidTr="00347FDB">
        <w:trPr>
          <w:jc w:val="center"/>
        </w:trPr>
        <w:tc>
          <w:tcPr>
            <w:tcW w:w="2322" w:type="dxa"/>
            <w:vAlign w:val="center"/>
          </w:tcPr>
          <w:p w14:paraId="498F3634" w14:textId="76006669" w:rsidR="00575CDF" w:rsidRPr="00C801A6" w:rsidRDefault="00575CDF" w:rsidP="00D13682">
            <w:bookmarkStart w:id="3" w:name="_Hlk71384607"/>
          </w:p>
        </w:tc>
        <w:tc>
          <w:tcPr>
            <w:tcW w:w="2322" w:type="dxa"/>
            <w:vAlign w:val="center"/>
          </w:tcPr>
          <w:p w14:paraId="161F497A" w14:textId="0AFB9165" w:rsidR="00575CDF" w:rsidRPr="00C801A6" w:rsidRDefault="00575CDF" w:rsidP="00D13682"/>
        </w:tc>
        <w:tc>
          <w:tcPr>
            <w:tcW w:w="2322" w:type="dxa"/>
            <w:vAlign w:val="center"/>
          </w:tcPr>
          <w:p w14:paraId="495285F7" w14:textId="47341534" w:rsidR="00575CDF" w:rsidRPr="00C801A6" w:rsidRDefault="00575CDF" w:rsidP="00D13682"/>
        </w:tc>
        <w:tc>
          <w:tcPr>
            <w:tcW w:w="2322" w:type="dxa"/>
            <w:vAlign w:val="center"/>
          </w:tcPr>
          <w:p w14:paraId="7DEA3ADB" w14:textId="6F615C31" w:rsidR="00575CDF" w:rsidRPr="00C801A6" w:rsidRDefault="00E3062A" w:rsidP="00D13682">
            <w:r>
              <w:rPr>
                <w:noProof/>
              </w:rPr>
              <w:drawing>
                <wp:anchor distT="0" distB="0" distL="114300" distR="114300" simplePos="0" relativeHeight="251658246" behindDoc="0" locked="0" layoutInCell="1" allowOverlap="1" wp14:anchorId="40E5EE8D" wp14:editId="1BA17501">
                  <wp:simplePos x="0" y="0"/>
                  <wp:positionH relativeFrom="column">
                    <wp:posOffset>-403225</wp:posOffset>
                  </wp:positionH>
                  <wp:positionV relativeFrom="paragraph">
                    <wp:posOffset>-90805</wp:posOffset>
                  </wp:positionV>
                  <wp:extent cx="1821180" cy="1337945"/>
                  <wp:effectExtent l="0" t="0" r="7620" b="0"/>
                  <wp:wrapNone/>
                  <wp:docPr id="161248497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484977" name="Image 1"/>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821180" cy="1337945"/>
                          </a:xfrm>
                          <a:prstGeom prst="rect">
                            <a:avLst/>
                          </a:prstGeom>
                        </pic:spPr>
                      </pic:pic>
                    </a:graphicData>
                  </a:graphic>
                  <wp14:sizeRelH relativeFrom="margin">
                    <wp14:pctWidth>0</wp14:pctWidth>
                  </wp14:sizeRelH>
                  <wp14:sizeRelV relativeFrom="margin">
                    <wp14:pctHeight>0</wp14:pctHeight>
                  </wp14:sizeRelV>
                </wp:anchor>
              </w:drawing>
            </w:r>
          </w:p>
        </w:tc>
      </w:tr>
      <w:bookmarkEnd w:id="3"/>
    </w:tbl>
    <w:p w14:paraId="551EBDB9" w14:textId="57C54A0A" w:rsidR="00575CDF" w:rsidRPr="00C801A6" w:rsidRDefault="00575CDF" w:rsidP="00D13682"/>
    <w:p w14:paraId="17615573" w14:textId="5A2F19D2" w:rsidR="00575CDF" w:rsidRPr="00C801A6" w:rsidRDefault="00575CDF" w:rsidP="00D13682"/>
    <w:p w14:paraId="0C17DE31" w14:textId="117339A9" w:rsidR="00575CDF" w:rsidRDefault="00575CDF" w:rsidP="00D13682"/>
    <w:p w14:paraId="2B1495BF" w14:textId="77777777" w:rsidR="00C4397C" w:rsidRPr="00C801A6" w:rsidRDefault="00C4397C" w:rsidP="00D13682"/>
    <w:bookmarkEnd w:id="1"/>
    <w:p w14:paraId="39704BB6" w14:textId="6A6688C8" w:rsidR="00575CDF" w:rsidRDefault="003617DE" w:rsidP="008858D5">
      <w:pPr>
        <w:spacing w:after="0"/>
        <w:jc w:val="center"/>
        <w:rPr>
          <w:rFonts w:ascii="Arial" w:hAnsi="Arial" w:cs="Arial"/>
          <w:b/>
          <w:color w:val="auto"/>
        </w:rPr>
      </w:pPr>
      <w:r>
        <w:rPr>
          <w:rFonts w:ascii="Arial" w:hAnsi="Arial" w:cs="Arial"/>
          <w:b/>
          <w:color w:val="auto"/>
        </w:rPr>
        <w:t xml:space="preserve">Mis à jour </w:t>
      </w:r>
      <w:r w:rsidR="008858D5">
        <w:rPr>
          <w:rFonts w:ascii="Arial" w:hAnsi="Arial" w:cs="Arial"/>
          <w:b/>
          <w:color w:val="auto"/>
        </w:rPr>
        <w:t>Avril</w:t>
      </w:r>
      <w:r w:rsidR="00575CDF" w:rsidRPr="00C801A6">
        <w:rPr>
          <w:rFonts w:ascii="Arial" w:hAnsi="Arial" w:cs="Arial"/>
          <w:b/>
          <w:color w:val="auto"/>
        </w:rPr>
        <w:t xml:space="preserve"> </w:t>
      </w:r>
      <w:r w:rsidR="00FF1D45" w:rsidRPr="00C801A6">
        <w:rPr>
          <w:rFonts w:ascii="Arial" w:hAnsi="Arial" w:cs="Arial"/>
          <w:b/>
          <w:color w:val="auto"/>
        </w:rPr>
        <w:t>202</w:t>
      </w:r>
      <w:r w:rsidR="008858D5">
        <w:rPr>
          <w:rFonts w:ascii="Arial" w:hAnsi="Arial" w:cs="Arial"/>
          <w:b/>
          <w:color w:val="auto"/>
        </w:rPr>
        <w:t>6</w:t>
      </w:r>
      <w:r w:rsidR="00506C7F">
        <w:rPr>
          <w:rFonts w:ascii="Arial" w:hAnsi="Arial" w:cs="Arial"/>
          <w:b/>
          <w:color w:val="auto"/>
        </w:rPr>
        <w:t xml:space="preserve"> en vue de </w:t>
      </w:r>
      <w:r w:rsidR="00484CF8">
        <w:rPr>
          <w:rFonts w:ascii="Arial" w:hAnsi="Arial" w:cs="Arial"/>
          <w:b/>
          <w:color w:val="auto"/>
        </w:rPr>
        <w:t xml:space="preserve">d’une deuxième </w:t>
      </w:r>
      <w:r w:rsidR="0054683C">
        <w:rPr>
          <w:rFonts w:ascii="Arial" w:hAnsi="Arial" w:cs="Arial"/>
          <w:b/>
          <w:color w:val="auto"/>
        </w:rPr>
        <w:t>Composante CERC</w:t>
      </w:r>
    </w:p>
    <w:p w14:paraId="2DEEFC93" w14:textId="315CFC42" w:rsidR="007055EF" w:rsidRPr="008858D5" w:rsidRDefault="007055EF" w:rsidP="008858D5">
      <w:pPr>
        <w:spacing w:after="0"/>
        <w:jc w:val="center"/>
        <w:rPr>
          <w:rFonts w:ascii="Arial" w:hAnsi="Arial" w:cs="Arial"/>
          <w:b/>
          <w:color w:val="auto"/>
        </w:rPr>
        <w:sectPr w:rsidR="007055EF" w:rsidRPr="008858D5" w:rsidSect="00D42025">
          <w:footerReference w:type="even" r:id="rId17"/>
          <w:footerReference w:type="default" r:id="rId18"/>
          <w:footerReference w:type="first" r:id="rId19"/>
          <w:pgSz w:w="11906" w:h="16838"/>
          <w:pgMar w:top="993" w:right="1417" w:bottom="993" w:left="1417" w:header="708" w:footer="708" w:gutter="0"/>
          <w:pgNumType w:fmt="lowerRoman" w:start="1"/>
          <w:cols w:space="708"/>
          <w:docGrid w:linePitch="360"/>
        </w:sectPr>
      </w:pPr>
    </w:p>
    <w:p w14:paraId="73BD454D" w14:textId="77777777" w:rsidR="00132821" w:rsidRDefault="00132821" w:rsidP="00132821"/>
    <w:p w14:paraId="2B7F1C45" w14:textId="77777777" w:rsidR="00132821" w:rsidRDefault="00132821" w:rsidP="00132821"/>
    <w:p w14:paraId="667B4346" w14:textId="77777777" w:rsidR="004F2052" w:rsidRDefault="00EB1995" w:rsidP="00575CDF">
      <w:pPr>
        <w:spacing w:before="240" w:after="240"/>
        <w:rPr>
          <w:noProof/>
        </w:rPr>
      </w:pPr>
      <w:r>
        <w:rPr>
          <w:b/>
          <w:color w:val="auto"/>
          <w:szCs w:val="24"/>
          <w:u w:val="single"/>
        </w:rPr>
        <w:t>TABLE DES MATIERES</w:t>
      </w:r>
      <w:r>
        <w:rPr>
          <w:b/>
          <w:color w:val="auto"/>
          <w:szCs w:val="24"/>
          <w:u w:val="single"/>
        </w:rPr>
        <w:fldChar w:fldCharType="begin"/>
      </w:r>
      <w:r>
        <w:rPr>
          <w:b/>
          <w:color w:val="auto"/>
          <w:szCs w:val="24"/>
          <w:u w:val="single"/>
        </w:rPr>
        <w:instrText xml:space="preserve"> TOC \o "1-3" \h \z \u </w:instrText>
      </w:r>
      <w:r>
        <w:rPr>
          <w:b/>
          <w:color w:val="auto"/>
          <w:szCs w:val="24"/>
          <w:u w:val="single"/>
        </w:rPr>
        <w:fldChar w:fldCharType="separate"/>
      </w:r>
    </w:p>
    <w:p w14:paraId="5F8C09C9" w14:textId="057509F8" w:rsidR="004F2052" w:rsidRDefault="004F2052">
      <w:pPr>
        <w:pStyle w:val="TOC1"/>
        <w:rPr>
          <w:rFonts w:asciiTheme="minorHAnsi" w:eastAsiaTheme="minorEastAsia" w:hAnsiTheme="minorHAnsi" w:cstheme="minorBidi"/>
          <w:b w:val="0"/>
          <w:caps w:val="0"/>
          <w:color w:val="auto"/>
          <w:kern w:val="2"/>
          <w:lang w:val="en-US" w:eastAsia="en-US"/>
          <w14:ligatures w14:val="standardContextual"/>
        </w:rPr>
      </w:pPr>
      <w:hyperlink w:anchor="_Toc230425964" w:history="1">
        <w:r w:rsidRPr="00B507A0">
          <w:rPr>
            <w:rStyle w:val="Hyperlink"/>
          </w:rPr>
          <w:t>RESUME</w:t>
        </w:r>
        <w:r>
          <w:rPr>
            <w:webHidden/>
          </w:rPr>
          <w:tab/>
        </w:r>
        <w:r>
          <w:rPr>
            <w:webHidden/>
          </w:rPr>
          <w:fldChar w:fldCharType="begin"/>
        </w:r>
        <w:r>
          <w:rPr>
            <w:webHidden/>
          </w:rPr>
          <w:instrText xml:space="preserve"> PAGEREF _Toc230425964 \h </w:instrText>
        </w:r>
        <w:r>
          <w:rPr>
            <w:webHidden/>
          </w:rPr>
        </w:r>
        <w:r>
          <w:rPr>
            <w:webHidden/>
          </w:rPr>
          <w:fldChar w:fldCharType="separate"/>
        </w:r>
        <w:r w:rsidR="007E133A">
          <w:rPr>
            <w:webHidden/>
          </w:rPr>
          <w:t>xi</w:t>
        </w:r>
        <w:r>
          <w:rPr>
            <w:webHidden/>
          </w:rPr>
          <w:fldChar w:fldCharType="end"/>
        </w:r>
      </w:hyperlink>
    </w:p>
    <w:p w14:paraId="1A605457" w14:textId="4B26C63F" w:rsidR="004F2052" w:rsidRDefault="004F2052">
      <w:pPr>
        <w:pStyle w:val="TOC1"/>
        <w:rPr>
          <w:rFonts w:asciiTheme="minorHAnsi" w:eastAsiaTheme="minorEastAsia" w:hAnsiTheme="minorHAnsi" w:cstheme="minorBidi"/>
          <w:b w:val="0"/>
          <w:caps w:val="0"/>
          <w:color w:val="auto"/>
          <w:kern w:val="2"/>
          <w:lang w:val="en-US" w:eastAsia="en-US"/>
          <w14:ligatures w14:val="standardContextual"/>
        </w:rPr>
      </w:pPr>
      <w:hyperlink w:anchor="_Toc230425965" w:history="1">
        <w:r w:rsidRPr="00B507A0">
          <w:rPr>
            <w:rStyle w:val="Hyperlink"/>
            <w:lang w:val="en-US"/>
          </w:rPr>
          <w:t>SUMMARY</w:t>
        </w:r>
        <w:r>
          <w:rPr>
            <w:webHidden/>
          </w:rPr>
          <w:tab/>
        </w:r>
        <w:r>
          <w:rPr>
            <w:webHidden/>
          </w:rPr>
          <w:fldChar w:fldCharType="begin"/>
        </w:r>
        <w:r>
          <w:rPr>
            <w:webHidden/>
          </w:rPr>
          <w:instrText xml:space="preserve"> PAGEREF _Toc230425965 \h </w:instrText>
        </w:r>
        <w:r>
          <w:rPr>
            <w:webHidden/>
          </w:rPr>
        </w:r>
        <w:r>
          <w:rPr>
            <w:webHidden/>
          </w:rPr>
          <w:fldChar w:fldCharType="separate"/>
        </w:r>
        <w:r w:rsidR="007E133A">
          <w:rPr>
            <w:webHidden/>
          </w:rPr>
          <w:t>xx</w:t>
        </w:r>
        <w:r>
          <w:rPr>
            <w:webHidden/>
          </w:rPr>
          <w:fldChar w:fldCharType="end"/>
        </w:r>
      </w:hyperlink>
    </w:p>
    <w:p w14:paraId="7C904BCB" w14:textId="1AA9A298" w:rsidR="004F2052" w:rsidRDefault="004F2052">
      <w:pPr>
        <w:pStyle w:val="TOC1"/>
        <w:rPr>
          <w:rFonts w:asciiTheme="minorHAnsi" w:eastAsiaTheme="minorEastAsia" w:hAnsiTheme="minorHAnsi" w:cstheme="minorBidi"/>
          <w:b w:val="0"/>
          <w:caps w:val="0"/>
          <w:color w:val="auto"/>
          <w:kern w:val="2"/>
          <w:lang w:val="en-US" w:eastAsia="en-US"/>
          <w14:ligatures w14:val="standardContextual"/>
        </w:rPr>
      </w:pPr>
      <w:hyperlink w:anchor="_Toc230425966" w:history="1">
        <w:r w:rsidRPr="00B507A0">
          <w:rPr>
            <w:rStyle w:val="Hyperlink"/>
            <w:lang w:val="en-US"/>
          </w:rPr>
          <w:t>FAMINTINANA</w:t>
        </w:r>
        <w:r>
          <w:rPr>
            <w:webHidden/>
          </w:rPr>
          <w:tab/>
        </w:r>
        <w:r>
          <w:rPr>
            <w:webHidden/>
          </w:rPr>
          <w:fldChar w:fldCharType="begin"/>
        </w:r>
        <w:r>
          <w:rPr>
            <w:webHidden/>
          </w:rPr>
          <w:instrText xml:space="preserve"> PAGEREF _Toc230425966 \h </w:instrText>
        </w:r>
        <w:r>
          <w:rPr>
            <w:webHidden/>
          </w:rPr>
        </w:r>
        <w:r>
          <w:rPr>
            <w:webHidden/>
          </w:rPr>
          <w:fldChar w:fldCharType="separate"/>
        </w:r>
        <w:r w:rsidR="007E133A">
          <w:rPr>
            <w:webHidden/>
          </w:rPr>
          <w:t>xxviii</w:t>
        </w:r>
        <w:r>
          <w:rPr>
            <w:webHidden/>
          </w:rPr>
          <w:fldChar w:fldCharType="end"/>
        </w:r>
      </w:hyperlink>
    </w:p>
    <w:p w14:paraId="46B8A1CF" w14:textId="45303F7E" w:rsidR="004F2052" w:rsidRDefault="004F2052">
      <w:pPr>
        <w:pStyle w:val="TOC1"/>
        <w:rPr>
          <w:rFonts w:asciiTheme="minorHAnsi" w:eastAsiaTheme="minorEastAsia" w:hAnsiTheme="minorHAnsi" w:cstheme="minorBidi"/>
          <w:b w:val="0"/>
          <w:caps w:val="0"/>
          <w:color w:val="auto"/>
          <w:kern w:val="2"/>
          <w:lang w:val="en-US" w:eastAsia="en-US"/>
          <w14:ligatures w14:val="standardContextual"/>
        </w:rPr>
      </w:pPr>
      <w:hyperlink w:anchor="_Toc230425967" w:history="1">
        <w:r w:rsidRPr="00B507A0">
          <w:rPr>
            <w:rStyle w:val="Hyperlink"/>
          </w:rPr>
          <w:t>1</w:t>
        </w:r>
        <w:r>
          <w:rPr>
            <w:rFonts w:asciiTheme="minorHAnsi" w:eastAsiaTheme="minorEastAsia" w:hAnsiTheme="minorHAnsi" w:cstheme="minorBidi"/>
            <w:b w:val="0"/>
            <w:caps w:val="0"/>
            <w:color w:val="auto"/>
            <w:kern w:val="2"/>
            <w:lang w:val="en-US" w:eastAsia="en-US"/>
            <w14:ligatures w14:val="standardContextual"/>
          </w:rPr>
          <w:tab/>
        </w:r>
        <w:r w:rsidRPr="00B507A0">
          <w:rPr>
            <w:rStyle w:val="Hyperlink"/>
          </w:rPr>
          <w:t>INTRODUCTION</w:t>
        </w:r>
        <w:r>
          <w:rPr>
            <w:webHidden/>
          </w:rPr>
          <w:tab/>
        </w:r>
        <w:r>
          <w:rPr>
            <w:webHidden/>
          </w:rPr>
          <w:fldChar w:fldCharType="begin"/>
        </w:r>
        <w:r>
          <w:rPr>
            <w:webHidden/>
          </w:rPr>
          <w:instrText xml:space="preserve"> PAGEREF _Toc230425967 \h </w:instrText>
        </w:r>
        <w:r>
          <w:rPr>
            <w:webHidden/>
          </w:rPr>
        </w:r>
        <w:r>
          <w:rPr>
            <w:webHidden/>
          </w:rPr>
          <w:fldChar w:fldCharType="separate"/>
        </w:r>
        <w:r w:rsidR="007E133A">
          <w:rPr>
            <w:webHidden/>
          </w:rPr>
          <w:t>1</w:t>
        </w:r>
        <w:r>
          <w:rPr>
            <w:webHidden/>
          </w:rPr>
          <w:fldChar w:fldCharType="end"/>
        </w:r>
      </w:hyperlink>
    </w:p>
    <w:p w14:paraId="34244DCE" w14:textId="1BA9D78A" w:rsidR="004F2052" w:rsidRDefault="004F2052">
      <w:pPr>
        <w:pStyle w:val="TOC2"/>
        <w:rPr>
          <w:rFonts w:asciiTheme="minorHAnsi" w:eastAsiaTheme="minorEastAsia" w:hAnsiTheme="minorHAnsi" w:cstheme="minorBidi"/>
          <w:b w:val="0"/>
          <w:caps w:val="0"/>
          <w:color w:val="auto"/>
          <w:kern w:val="2"/>
          <w:sz w:val="24"/>
          <w:lang w:val="en-US" w:eastAsia="en-US"/>
          <w14:ligatures w14:val="standardContextual"/>
        </w:rPr>
      </w:pPr>
      <w:hyperlink w:anchor="_Toc230425968" w:history="1">
        <w:r w:rsidRPr="00B507A0">
          <w:rPr>
            <w:rStyle w:val="Hyperlink"/>
          </w:rPr>
          <w:t>1.1</w:t>
        </w:r>
        <w:r>
          <w:rPr>
            <w:rFonts w:asciiTheme="minorHAnsi" w:eastAsiaTheme="minorEastAsia" w:hAnsiTheme="minorHAnsi" w:cstheme="minorBidi"/>
            <w:b w:val="0"/>
            <w:caps w:val="0"/>
            <w:color w:val="auto"/>
            <w:kern w:val="2"/>
            <w:sz w:val="24"/>
            <w:lang w:val="en-US" w:eastAsia="en-US"/>
            <w14:ligatures w14:val="standardContextual"/>
          </w:rPr>
          <w:tab/>
        </w:r>
        <w:r w:rsidRPr="00B507A0">
          <w:rPr>
            <w:rStyle w:val="Hyperlink"/>
          </w:rPr>
          <w:t>CONTEXTE STRATEGIQUE</w:t>
        </w:r>
        <w:r>
          <w:rPr>
            <w:webHidden/>
          </w:rPr>
          <w:tab/>
        </w:r>
        <w:r>
          <w:rPr>
            <w:webHidden/>
          </w:rPr>
          <w:fldChar w:fldCharType="begin"/>
        </w:r>
        <w:r>
          <w:rPr>
            <w:webHidden/>
          </w:rPr>
          <w:instrText xml:space="preserve"> PAGEREF _Toc230425968 \h </w:instrText>
        </w:r>
        <w:r>
          <w:rPr>
            <w:webHidden/>
          </w:rPr>
        </w:r>
        <w:r>
          <w:rPr>
            <w:webHidden/>
          </w:rPr>
          <w:fldChar w:fldCharType="separate"/>
        </w:r>
        <w:r w:rsidR="007E133A">
          <w:rPr>
            <w:webHidden/>
          </w:rPr>
          <w:t>1</w:t>
        </w:r>
        <w:r>
          <w:rPr>
            <w:webHidden/>
          </w:rPr>
          <w:fldChar w:fldCharType="end"/>
        </w:r>
      </w:hyperlink>
    </w:p>
    <w:p w14:paraId="6FC995E0" w14:textId="7345D5BC" w:rsidR="004F2052" w:rsidRDefault="004F2052">
      <w:pPr>
        <w:pStyle w:val="TOC2"/>
        <w:rPr>
          <w:rFonts w:asciiTheme="minorHAnsi" w:eastAsiaTheme="minorEastAsia" w:hAnsiTheme="minorHAnsi" w:cstheme="minorBidi"/>
          <w:b w:val="0"/>
          <w:caps w:val="0"/>
          <w:color w:val="auto"/>
          <w:kern w:val="2"/>
          <w:sz w:val="24"/>
          <w:lang w:val="en-US" w:eastAsia="en-US"/>
          <w14:ligatures w14:val="standardContextual"/>
        </w:rPr>
      </w:pPr>
      <w:hyperlink w:anchor="_Toc230425969" w:history="1">
        <w:r w:rsidRPr="00B507A0">
          <w:rPr>
            <w:rStyle w:val="Hyperlink"/>
          </w:rPr>
          <w:t>1.2</w:t>
        </w:r>
        <w:r>
          <w:rPr>
            <w:rFonts w:asciiTheme="minorHAnsi" w:eastAsiaTheme="minorEastAsia" w:hAnsiTheme="minorHAnsi" w:cstheme="minorBidi"/>
            <w:b w:val="0"/>
            <w:caps w:val="0"/>
            <w:color w:val="auto"/>
            <w:kern w:val="2"/>
            <w:sz w:val="24"/>
            <w:lang w:val="en-US" w:eastAsia="en-US"/>
            <w14:ligatures w14:val="standardContextual"/>
          </w:rPr>
          <w:tab/>
        </w:r>
        <w:r w:rsidRPr="00B507A0">
          <w:rPr>
            <w:rStyle w:val="Hyperlink"/>
          </w:rPr>
          <w:t>CONTEXTE NATIONAL</w:t>
        </w:r>
        <w:r>
          <w:rPr>
            <w:webHidden/>
          </w:rPr>
          <w:tab/>
        </w:r>
        <w:r>
          <w:rPr>
            <w:webHidden/>
          </w:rPr>
          <w:fldChar w:fldCharType="begin"/>
        </w:r>
        <w:r>
          <w:rPr>
            <w:webHidden/>
          </w:rPr>
          <w:instrText xml:space="preserve"> PAGEREF _Toc230425969 \h </w:instrText>
        </w:r>
        <w:r>
          <w:rPr>
            <w:webHidden/>
          </w:rPr>
        </w:r>
        <w:r>
          <w:rPr>
            <w:webHidden/>
          </w:rPr>
          <w:fldChar w:fldCharType="separate"/>
        </w:r>
        <w:r w:rsidR="007E133A">
          <w:rPr>
            <w:webHidden/>
          </w:rPr>
          <w:t>2</w:t>
        </w:r>
        <w:r>
          <w:rPr>
            <w:webHidden/>
          </w:rPr>
          <w:fldChar w:fldCharType="end"/>
        </w:r>
      </w:hyperlink>
    </w:p>
    <w:p w14:paraId="23879B80" w14:textId="0C6DEA65" w:rsidR="004F2052" w:rsidRDefault="004F2052">
      <w:pPr>
        <w:pStyle w:val="TOC2"/>
        <w:rPr>
          <w:rFonts w:asciiTheme="minorHAnsi" w:eastAsiaTheme="minorEastAsia" w:hAnsiTheme="minorHAnsi" w:cstheme="minorBidi"/>
          <w:b w:val="0"/>
          <w:caps w:val="0"/>
          <w:color w:val="auto"/>
          <w:kern w:val="2"/>
          <w:sz w:val="24"/>
          <w:lang w:val="en-US" w:eastAsia="en-US"/>
          <w14:ligatures w14:val="standardContextual"/>
        </w:rPr>
      </w:pPr>
      <w:hyperlink w:anchor="_Toc230425970" w:history="1">
        <w:r w:rsidRPr="00B507A0">
          <w:rPr>
            <w:rStyle w:val="Hyperlink"/>
          </w:rPr>
          <w:t>1.3</w:t>
        </w:r>
        <w:r>
          <w:rPr>
            <w:rFonts w:asciiTheme="minorHAnsi" w:eastAsiaTheme="minorEastAsia" w:hAnsiTheme="minorHAnsi" w:cstheme="minorBidi"/>
            <w:b w:val="0"/>
            <w:caps w:val="0"/>
            <w:color w:val="auto"/>
            <w:kern w:val="2"/>
            <w:sz w:val="24"/>
            <w:lang w:val="en-US" w:eastAsia="en-US"/>
            <w14:ligatures w14:val="standardContextual"/>
          </w:rPr>
          <w:tab/>
        </w:r>
        <w:r w:rsidRPr="00B507A0">
          <w:rPr>
            <w:rStyle w:val="Hyperlink"/>
          </w:rPr>
          <w:t>CONTEXTE DU PROJET</w:t>
        </w:r>
        <w:r>
          <w:rPr>
            <w:webHidden/>
          </w:rPr>
          <w:tab/>
        </w:r>
        <w:r>
          <w:rPr>
            <w:webHidden/>
          </w:rPr>
          <w:fldChar w:fldCharType="begin"/>
        </w:r>
        <w:r>
          <w:rPr>
            <w:webHidden/>
          </w:rPr>
          <w:instrText xml:space="preserve"> PAGEREF _Toc230425970 \h </w:instrText>
        </w:r>
        <w:r>
          <w:rPr>
            <w:webHidden/>
          </w:rPr>
        </w:r>
        <w:r>
          <w:rPr>
            <w:webHidden/>
          </w:rPr>
          <w:fldChar w:fldCharType="separate"/>
        </w:r>
        <w:r w:rsidR="007E133A">
          <w:rPr>
            <w:webHidden/>
          </w:rPr>
          <w:t>3</w:t>
        </w:r>
        <w:r>
          <w:rPr>
            <w:webHidden/>
          </w:rPr>
          <w:fldChar w:fldCharType="end"/>
        </w:r>
      </w:hyperlink>
    </w:p>
    <w:p w14:paraId="24655159" w14:textId="13F45BF1"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5971" w:history="1">
        <w:r w:rsidRPr="00B507A0">
          <w:rPr>
            <w:rStyle w:val="Hyperlink"/>
          </w:rPr>
          <w:t>1.3.1</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Contexte initial du projet PCMCI</w:t>
        </w:r>
        <w:r>
          <w:rPr>
            <w:webHidden/>
          </w:rPr>
          <w:tab/>
        </w:r>
        <w:r>
          <w:rPr>
            <w:webHidden/>
          </w:rPr>
          <w:fldChar w:fldCharType="begin"/>
        </w:r>
        <w:r>
          <w:rPr>
            <w:webHidden/>
          </w:rPr>
          <w:instrText xml:space="preserve"> PAGEREF _Toc230425971 \h </w:instrText>
        </w:r>
        <w:r>
          <w:rPr>
            <w:webHidden/>
          </w:rPr>
        </w:r>
        <w:r>
          <w:rPr>
            <w:webHidden/>
          </w:rPr>
          <w:fldChar w:fldCharType="separate"/>
        </w:r>
        <w:r w:rsidR="007E133A">
          <w:rPr>
            <w:webHidden/>
          </w:rPr>
          <w:t>3</w:t>
        </w:r>
        <w:r>
          <w:rPr>
            <w:webHidden/>
          </w:rPr>
          <w:fldChar w:fldCharType="end"/>
        </w:r>
      </w:hyperlink>
    </w:p>
    <w:p w14:paraId="5DEE809F" w14:textId="34E25B4C"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5972" w:history="1">
        <w:r w:rsidRPr="00B507A0">
          <w:rPr>
            <w:rStyle w:val="Hyperlink"/>
            <w:rFonts w:eastAsia="Times New Roman"/>
          </w:rPr>
          <w:t>1.3.2</w:t>
        </w:r>
        <w:r>
          <w:rPr>
            <w:rFonts w:asciiTheme="minorHAnsi" w:eastAsiaTheme="minorEastAsia" w:hAnsiTheme="minorHAnsi"/>
            <w:smallCaps w:val="0"/>
            <w:color w:val="auto"/>
            <w:kern w:val="2"/>
            <w:sz w:val="24"/>
            <w:szCs w:val="24"/>
            <w:lang w:val="en-US"/>
            <w14:ligatures w14:val="standardContextual"/>
          </w:rPr>
          <w:tab/>
        </w:r>
        <w:r w:rsidRPr="00B507A0">
          <w:rPr>
            <w:rStyle w:val="Hyperlink"/>
            <w:rFonts w:eastAsia="Times New Roman"/>
          </w:rPr>
          <w:t>Contexte après les récentes intempéries et déclenchement de la Composante 4</w:t>
        </w:r>
        <w:r>
          <w:rPr>
            <w:webHidden/>
          </w:rPr>
          <w:tab/>
        </w:r>
        <w:r>
          <w:rPr>
            <w:webHidden/>
          </w:rPr>
          <w:fldChar w:fldCharType="begin"/>
        </w:r>
        <w:r>
          <w:rPr>
            <w:webHidden/>
          </w:rPr>
          <w:instrText xml:space="preserve"> PAGEREF _Toc230425972 \h </w:instrText>
        </w:r>
        <w:r>
          <w:rPr>
            <w:webHidden/>
          </w:rPr>
        </w:r>
        <w:r>
          <w:rPr>
            <w:webHidden/>
          </w:rPr>
          <w:fldChar w:fldCharType="separate"/>
        </w:r>
        <w:r w:rsidR="007E133A">
          <w:rPr>
            <w:webHidden/>
          </w:rPr>
          <w:t>5</w:t>
        </w:r>
        <w:r>
          <w:rPr>
            <w:webHidden/>
          </w:rPr>
          <w:fldChar w:fldCharType="end"/>
        </w:r>
      </w:hyperlink>
    </w:p>
    <w:p w14:paraId="21C943EE" w14:textId="13CBAA7D" w:rsidR="004F2052" w:rsidRDefault="004F2052">
      <w:pPr>
        <w:pStyle w:val="TOC2"/>
        <w:rPr>
          <w:rFonts w:asciiTheme="minorHAnsi" w:eastAsiaTheme="minorEastAsia" w:hAnsiTheme="minorHAnsi" w:cstheme="minorBidi"/>
          <w:b w:val="0"/>
          <w:caps w:val="0"/>
          <w:color w:val="auto"/>
          <w:kern w:val="2"/>
          <w:sz w:val="24"/>
          <w:lang w:val="en-US" w:eastAsia="en-US"/>
          <w14:ligatures w14:val="standardContextual"/>
        </w:rPr>
      </w:pPr>
      <w:hyperlink w:anchor="_Toc230425973" w:history="1">
        <w:r w:rsidRPr="00B507A0">
          <w:rPr>
            <w:rStyle w:val="Hyperlink"/>
          </w:rPr>
          <w:t>1.4</w:t>
        </w:r>
        <w:r>
          <w:rPr>
            <w:rFonts w:asciiTheme="minorHAnsi" w:eastAsiaTheme="minorEastAsia" w:hAnsiTheme="minorHAnsi" w:cstheme="minorBidi"/>
            <w:b w:val="0"/>
            <w:caps w:val="0"/>
            <w:color w:val="auto"/>
            <w:kern w:val="2"/>
            <w:sz w:val="24"/>
            <w:lang w:val="en-US" w:eastAsia="en-US"/>
            <w14:ligatures w14:val="standardContextual"/>
          </w:rPr>
          <w:tab/>
        </w:r>
        <w:r w:rsidRPr="00B507A0">
          <w:rPr>
            <w:rStyle w:val="Hyperlink"/>
          </w:rPr>
          <w:t>BREVE INTRODUCTION SUR LE NOUVEAU CES DE LA BANQUE MONDIALE</w:t>
        </w:r>
        <w:r>
          <w:rPr>
            <w:webHidden/>
          </w:rPr>
          <w:tab/>
        </w:r>
        <w:r>
          <w:rPr>
            <w:webHidden/>
          </w:rPr>
          <w:fldChar w:fldCharType="begin"/>
        </w:r>
        <w:r>
          <w:rPr>
            <w:webHidden/>
          </w:rPr>
          <w:instrText xml:space="preserve"> PAGEREF _Toc230425973 \h </w:instrText>
        </w:r>
        <w:r>
          <w:rPr>
            <w:webHidden/>
          </w:rPr>
        </w:r>
        <w:r>
          <w:rPr>
            <w:webHidden/>
          </w:rPr>
          <w:fldChar w:fldCharType="separate"/>
        </w:r>
        <w:r w:rsidR="007E133A">
          <w:rPr>
            <w:webHidden/>
          </w:rPr>
          <w:t>7</w:t>
        </w:r>
        <w:r>
          <w:rPr>
            <w:webHidden/>
          </w:rPr>
          <w:fldChar w:fldCharType="end"/>
        </w:r>
      </w:hyperlink>
    </w:p>
    <w:p w14:paraId="413FD814" w14:textId="5C7DCFF7" w:rsidR="004F2052" w:rsidRDefault="004F2052">
      <w:pPr>
        <w:pStyle w:val="TOC2"/>
        <w:rPr>
          <w:rFonts w:asciiTheme="minorHAnsi" w:eastAsiaTheme="minorEastAsia" w:hAnsiTheme="minorHAnsi" w:cstheme="minorBidi"/>
          <w:b w:val="0"/>
          <w:caps w:val="0"/>
          <w:color w:val="auto"/>
          <w:kern w:val="2"/>
          <w:sz w:val="24"/>
          <w:lang w:val="en-US" w:eastAsia="en-US"/>
          <w14:ligatures w14:val="standardContextual"/>
        </w:rPr>
      </w:pPr>
      <w:hyperlink w:anchor="_Toc230425974" w:history="1">
        <w:r w:rsidRPr="00B507A0">
          <w:rPr>
            <w:rStyle w:val="Hyperlink"/>
          </w:rPr>
          <w:t>1.5</w:t>
        </w:r>
        <w:r>
          <w:rPr>
            <w:rFonts w:asciiTheme="minorHAnsi" w:eastAsiaTheme="minorEastAsia" w:hAnsiTheme="minorHAnsi" w:cstheme="minorBidi"/>
            <w:b w:val="0"/>
            <w:caps w:val="0"/>
            <w:color w:val="auto"/>
            <w:kern w:val="2"/>
            <w:sz w:val="24"/>
            <w:lang w:val="en-US" w:eastAsia="en-US"/>
            <w14:ligatures w14:val="standardContextual"/>
          </w:rPr>
          <w:tab/>
        </w:r>
        <w:r w:rsidRPr="00B507A0">
          <w:rPr>
            <w:rStyle w:val="Hyperlink"/>
          </w:rPr>
          <w:t>OBJECTIFS du CGES</w:t>
        </w:r>
        <w:r>
          <w:rPr>
            <w:webHidden/>
          </w:rPr>
          <w:tab/>
        </w:r>
        <w:r>
          <w:rPr>
            <w:webHidden/>
          </w:rPr>
          <w:fldChar w:fldCharType="begin"/>
        </w:r>
        <w:r>
          <w:rPr>
            <w:webHidden/>
          </w:rPr>
          <w:instrText xml:space="preserve"> PAGEREF _Toc230425974 \h </w:instrText>
        </w:r>
        <w:r>
          <w:rPr>
            <w:webHidden/>
          </w:rPr>
        </w:r>
        <w:r>
          <w:rPr>
            <w:webHidden/>
          </w:rPr>
          <w:fldChar w:fldCharType="separate"/>
        </w:r>
        <w:r w:rsidR="007E133A">
          <w:rPr>
            <w:webHidden/>
          </w:rPr>
          <w:t>9</w:t>
        </w:r>
        <w:r>
          <w:rPr>
            <w:webHidden/>
          </w:rPr>
          <w:fldChar w:fldCharType="end"/>
        </w:r>
      </w:hyperlink>
    </w:p>
    <w:p w14:paraId="49515035" w14:textId="5588B89F" w:rsidR="004F2052" w:rsidRDefault="004F2052">
      <w:pPr>
        <w:pStyle w:val="TOC2"/>
        <w:rPr>
          <w:rFonts w:asciiTheme="minorHAnsi" w:eastAsiaTheme="minorEastAsia" w:hAnsiTheme="minorHAnsi" w:cstheme="minorBidi"/>
          <w:b w:val="0"/>
          <w:caps w:val="0"/>
          <w:color w:val="auto"/>
          <w:kern w:val="2"/>
          <w:sz w:val="24"/>
          <w:lang w:val="en-US" w:eastAsia="en-US"/>
          <w14:ligatures w14:val="standardContextual"/>
        </w:rPr>
      </w:pPr>
      <w:hyperlink w:anchor="_Toc230425975" w:history="1">
        <w:r w:rsidRPr="00B507A0">
          <w:rPr>
            <w:rStyle w:val="Hyperlink"/>
          </w:rPr>
          <w:t>1.6</w:t>
        </w:r>
        <w:r>
          <w:rPr>
            <w:rFonts w:asciiTheme="minorHAnsi" w:eastAsiaTheme="minorEastAsia" w:hAnsiTheme="minorHAnsi" w:cstheme="minorBidi"/>
            <w:b w:val="0"/>
            <w:caps w:val="0"/>
            <w:color w:val="auto"/>
            <w:kern w:val="2"/>
            <w:sz w:val="24"/>
            <w:lang w:val="en-US" w:eastAsia="en-US"/>
            <w14:ligatures w14:val="standardContextual"/>
          </w:rPr>
          <w:tab/>
        </w:r>
        <w:r w:rsidRPr="00B507A0">
          <w:rPr>
            <w:rStyle w:val="Hyperlink"/>
          </w:rPr>
          <w:t>APPROCHE METHODOLOGIQUE ADOPTEE pour l’ELABORATION du CGES</w:t>
        </w:r>
        <w:r>
          <w:rPr>
            <w:webHidden/>
          </w:rPr>
          <w:tab/>
        </w:r>
        <w:r>
          <w:rPr>
            <w:webHidden/>
          </w:rPr>
          <w:fldChar w:fldCharType="begin"/>
        </w:r>
        <w:r>
          <w:rPr>
            <w:webHidden/>
          </w:rPr>
          <w:instrText xml:space="preserve"> PAGEREF _Toc230425975 \h </w:instrText>
        </w:r>
        <w:r>
          <w:rPr>
            <w:webHidden/>
          </w:rPr>
        </w:r>
        <w:r>
          <w:rPr>
            <w:webHidden/>
          </w:rPr>
          <w:fldChar w:fldCharType="separate"/>
        </w:r>
        <w:r w:rsidR="007E133A">
          <w:rPr>
            <w:webHidden/>
          </w:rPr>
          <w:t>9</w:t>
        </w:r>
        <w:r>
          <w:rPr>
            <w:webHidden/>
          </w:rPr>
          <w:fldChar w:fldCharType="end"/>
        </w:r>
      </w:hyperlink>
    </w:p>
    <w:p w14:paraId="4F7ECC08" w14:textId="4CD60E44" w:rsidR="004F2052" w:rsidRDefault="004F2052">
      <w:pPr>
        <w:pStyle w:val="TOC2"/>
        <w:rPr>
          <w:rFonts w:asciiTheme="minorHAnsi" w:eastAsiaTheme="minorEastAsia" w:hAnsiTheme="minorHAnsi" w:cstheme="minorBidi"/>
          <w:b w:val="0"/>
          <w:caps w:val="0"/>
          <w:color w:val="auto"/>
          <w:kern w:val="2"/>
          <w:sz w:val="24"/>
          <w:lang w:val="en-US" w:eastAsia="en-US"/>
          <w14:ligatures w14:val="standardContextual"/>
        </w:rPr>
      </w:pPr>
      <w:hyperlink w:anchor="_Toc230425976" w:history="1">
        <w:r w:rsidRPr="00B507A0">
          <w:rPr>
            <w:rStyle w:val="Hyperlink"/>
          </w:rPr>
          <w:t>1.7</w:t>
        </w:r>
        <w:r>
          <w:rPr>
            <w:rFonts w:asciiTheme="minorHAnsi" w:eastAsiaTheme="minorEastAsia" w:hAnsiTheme="minorHAnsi" w:cstheme="minorBidi"/>
            <w:b w:val="0"/>
            <w:caps w:val="0"/>
            <w:color w:val="auto"/>
            <w:kern w:val="2"/>
            <w:sz w:val="24"/>
            <w:lang w:val="en-US" w:eastAsia="en-US"/>
            <w14:ligatures w14:val="standardContextual"/>
          </w:rPr>
          <w:tab/>
        </w:r>
        <w:r w:rsidRPr="00B507A0">
          <w:rPr>
            <w:rStyle w:val="Hyperlink"/>
          </w:rPr>
          <w:t>STRUCTURATION DU CGES</w:t>
        </w:r>
        <w:r>
          <w:rPr>
            <w:webHidden/>
          </w:rPr>
          <w:tab/>
        </w:r>
        <w:r>
          <w:rPr>
            <w:webHidden/>
          </w:rPr>
          <w:fldChar w:fldCharType="begin"/>
        </w:r>
        <w:r>
          <w:rPr>
            <w:webHidden/>
          </w:rPr>
          <w:instrText xml:space="preserve"> PAGEREF _Toc230425976 \h </w:instrText>
        </w:r>
        <w:r>
          <w:rPr>
            <w:webHidden/>
          </w:rPr>
        </w:r>
        <w:r>
          <w:rPr>
            <w:webHidden/>
          </w:rPr>
          <w:fldChar w:fldCharType="separate"/>
        </w:r>
        <w:r w:rsidR="007E133A">
          <w:rPr>
            <w:webHidden/>
          </w:rPr>
          <w:t>10</w:t>
        </w:r>
        <w:r>
          <w:rPr>
            <w:webHidden/>
          </w:rPr>
          <w:fldChar w:fldCharType="end"/>
        </w:r>
      </w:hyperlink>
    </w:p>
    <w:p w14:paraId="4E663362" w14:textId="2F20A69D" w:rsidR="004F2052" w:rsidRDefault="004F2052">
      <w:pPr>
        <w:pStyle w:val="TOC1"/>
        <w:rPr>
          <w:rFonts w:asciiTheme="minorHAnsi" w:eastAsiaTheme="minorEastAsia" w:hAnsiTheme="minorHAnsi" w:cstheme="minorBidi"/>
          <w:b w:val="0"/>
          <w:caps w:val="0"/>
          <w:color w:val="auto"/>
          <w:kern w:val="2"/>
          <w:lang w:val="en-US" w:eastAsia="en-US"/>
          <w14:ligatures w14:val="standardContextual"/>
        </w:rPr>
      </w:pPr>
      <w:hyperlink w:anchor="_Toc230425977" w:history="1">
        <w:r w:rsidRPr="00B507A0">
          <w:rPr>
            <w:rStyle w:val="Hyperlink"/>
          </w:rPr>
          <w:t>2</w:t>
        </w:r>
        <w:r>
          <w:rPr>
            <w:rFonts w:asciiTheme="minorHAnsi" w:eastAsiaTheme="minorEastAsia" w:hAnsiTheme="minorHAnsi" w:cstheme="minorBidi"/>
            <w:b w:val="0"/>
            <w:caps w:val="0"/>
            <w:color w:val="auto"/>
            <w:kern w:val="2"/>
            <w:lang w:val="en-US" w:eastAsia="en-US"/>
            <w14:ligatures w14:val="standardContextual"/>
          </w:rPr>
          <w:tab/>
        </w:r>
        <w:r w:rsidRPr="00B507A0">
          <w:rPr>
            <w:rStyle w:val="Hyperlink"/>
          </w:rPr>
          <w:t>DESCRIPTION DU PROJET</w:t>
        </w:r>
        <w:r>
          <w:rPr>
            <w:webHidden/>
          </w:rPr>
          <w:tab/>
        </w:r>
        <w:r>
          <w:rPr>
            <w:webHidden/>
          </w:rPr>
          <w:fldChar w:fldCharType="begin"/>
        </w:r>
        <w:r>
          <w:rPr>
            <w:webHidden/>
          </w:rPr>
          <w:instrText xml:space="preserve"> PAGEREF _Toc230425977 \h </w:instrText>
        </w:r>
        <w:r>
          <w:rPr>
            <w:webHidden/>
          </w:rPr>
        </w:r>
        <w:r>
          <w:rPr>
            <w:webHidden/>
          </w:rPr>
          <w:fldChar w:fldCharType="separate"/>
        </w:r>
        <w:r w:rsidR="007E133A">
          <w:rPr>
            <w:webHidden/>
          </w:rPr>
          <w:t>12</w:t>
        </w:r>
        <w:r>
          <w:rPr>
            <w:webHidden/>
          </w:rPr>
          <w:fldChar w:fldCharType="end"/>
        </w:r>
      </w:hyperlink>
    </w:p>
    <w:p w14:paraId="41CE26B2" w14:textId="518DE7CA" w:rsidR="004F2052" w:rsidRDefault="004F2052">
      <w:pPr>
        <w:pStyle w:val="TOC2"/>
        <w:rPr>
          <w:rFonts w:asciiTheme="minorHAnsi" w:eastAsiaTheme="minorEastAsia" w:hAnsiTheme="minorHAnsi" w:cstheme="minorBidi"/>
          <w:b w:val="0"/>
          <w:caps w:val="0"/>
          <w:color w:val="auto"/>
          <w:kern w:val="2"/>
          <w:sz w:val="24"/>
          <w:lang w:val="en-US" w:eastAsia="en-US"/>
          <w14:ligatures w14:val="standardContextual"/>
        </w:rPr>
      </w:pPr>
      <w:hyperlink w:anchor="_Toc230425978" w:history="1">
        <w:r w:rsidRPr="00B507A0">
          <w:rPr>
            <w:rStyle w:val="Hyperlink"/>
          </w:rPr>
          <w:t>2.1</w:t>
        </w:r>
        <w:r>
          <w:rPr>
            <w:rFonts w:asciiTheme="minorHAnsi" w:eastAsiaTheme="minorEastAsia" w:hAnsiTheme="minorHAnsi" w:cstheme="minorBidi"/>
            <w:b w:val="0"/>
            <w:caps w:val="0"/>
            <w:color w:val="auto"/>
            <w:kern w:val="2"/>
            <w:sz w:val="24"/>
            <w:lang w:val="en-US" w:eastAsia="en-US"/>
            <w14:ligatures w14:val="standardContextual"/>
          </w:rPr>
          <w:tab/>
        </w:r>
        <w:r w:rsidRPr="00B507A0">
          <w:rPr>
            <w:rStyle w:val="Hyperlink"/>
          </w:rPr>
          <w:t>GENERALITES SUR LE PROJET</w:t>
        </w:r>
        <w:r>
          <w:rPr>
            <w:webHidden/>
          </w:rPr>
          <w:tab/>
        </w:r>
        <w:r>
          <w:rPr>
            <w:webHidden/>
          </w:rPr>
          <w:fldChar w:fldCharType="begin"/>
        </w:r>
        <w:r>
          <w:rPr>
            <w:webHidden/>
          </w:rPr>
          <w:instrText xml:space="preserve"> PAGEREF _Toc230425978 \h </w:instrText>
        </w:r>
        <w:r>
          <w:rPr>
            <w:webHidden/>
          </w:rPr>
        </w:r>
        <w:r>
          <w:rPr>
            <w:webHidden/>
          </w:rPr>
          <w:fldChar w:fldCharType="separate"/>
        </w:r>
        <w:r w:rsidR="007E133A">
          <w:rPr>
            <w:webHidden/>
          </w:rPr>
          <w:t>12</w:t>
        </w:r>
        <w:r>
          <w:rPr>
            <w:webHidden/>
          </w:rPr>
          <w:fldChar w:fldCharType="end"/>
        </w:r>
      </w:hyperlink>
    </w:p>
    <w:p w14:paraId="1CAF4A51" w14:textId="06A7EEDD"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5979" w:history="1">
        <w:r w:rsidRPr="00B507A0">
          <w:rPr>
            <w:rStyle w:val="Hyperlink"/>
          </w:rPr>
          <w:t>2.1.1</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Composante 1 : Amélioration de l’état et de la résilience des routes principales</w:t>
        </w:r>
        <w:r>
          <w:rPr>
            <w:webHidden/>
          </w:rPr>
          <w:tab/>
        </w:r>
        <w:r>
          <w:rPr>
            <w:webHidden/>
          </w:rPr>
          <w:fldChar w:fldCharType="begin"/>
        </w:r>
        <w:r>
          <w:rPr>
            <w:webHidden/>
          </w:rPr>
          <w:instrText xml:space="preserve"> PAGEREF _Toc230425979 \h </w:instrText>
        </w:r>
        <w:r>
          <w:rPr>
            <w:webHidden/>
          </w:rPr>
        </w:r>
        <w:r>
          <w:rPr>
            <w:webHidden/>
          </w:rPr>
          <w:fldChar w:fldCharType="separate"/>
        </w:r>
        <w:r w:rsidR="007E133A">
          <w:rPr>
            <w:webHidden/>
          </w:rPr>
          <w:t>13</w:t>
        </w:r>
        <w:r>
          <w:rPr>
            <w:webHidden/>
          </w:rPr>
          <w:fldChar w:fldCharType="end"/>
        </w:r>
      </w:hyperlink>
    </w:p>
    <w:p w14:paraId="0BC2BC20" w14:textId="0EF48F0C"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5980" w:history="1">
        <w:r w:rsidRPr="00B507A0">
          <w:rPr>
            <w:rStyle w:val="Hyperlink"/>
          </w:rPr>
          <w:t>2.1.2</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Composante 2 : Amélioration de l’accessibilité et des avantages socio-économiques des routes de desserte</w:t>
        </w:r>
        <w:r>
          <w:rPr>
            <w:webHidden/>
          </w:rPr>
          <w:tab/>
        </w:r>
        <w:r>
          <w:rPr>
            <w:webHidden/>
          </w:rPr>
          <w:fldChar w:fldCharType="begin"/>
        </w:r>
        <w:r>
          <w:rPr>
            <w:webHidden/>
          </w:rPr>
          <w:instrText xml:space="preserve"> PAGEREF _Toc230425980 \h </w:instrText>
        </w:r>
        <w:r>
          <w:rPr>
            <w:webHidden/>
          </w:rPr>
        </w:r>
        <w:r>
          <w:rPr>
            <w:webHidden/>
          </w:rPr>
          <w:fldChar w:fldCharType="separate"/>
        </w:r>
        <w:r w:rsidR="007E133A">
          <w:rPr>
            <w:webHidden/>
          </w:rPr>
          <w:t>13</w:t>
        </w:r>
        <w:r>
          <w:rPr>
            <w:webHidden/>
          </w:rPr>
          <w:fldChar w:fldCharType="end"/>
        </w:r>
      </w:hyperlink>
    </w:p>
    <w:p w14:paraId="48B7E207" w14:textId="166EA48D"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5981" w:history="1">
        <w:r w:rsidRPr="00B507A0">
          <w:rPr>
            <w:rStyle w:val="Hyperlink"/>
          </w:rPr>
          <w:t>2.1.3</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Composante 3 : Assistance technique et appui aux réformes du secteur routier et des transports</w:t>
        </w:r>
        <w:r>
          <w:rPr>
            <w:webHidden/>
          </w:rPr>
          <w:tab/>
        </w:r>
        <w:r>
          <w:rPr>
            <w:webHidden/>
          </w:rPr>
          <w:fldChar w:fldCharType="begin"/>
        </w:r>
        <w:r>
          <w:rPr>
            <w:webHidden/>
          </w:rPr>
          <w:instrText xml:space="preserve"> PAGEREF _Toc230425981 \h </w:instrText>
        </w:r>
        <w:r>
          <w:rPr>
            <w:webHidden/>
          </w:rPr>
        </w:r>
        <w:r>
          <w:rPr>
            <w:webHidden/>
          </w:rPr>
          <w:fldChar w:fldCharType="separate"/>
        </w:r>
        <w:r w:rsidR="007E133A">
          <w:rPr>
            <w:webHidden/>
          </w:rPr>
          <w:t>14</w:t>
        </w:r>
        <w:r>
          <w:rPr>
            <w:webHidden/>
          </w:rPr>
          <w:fldChar w:fldCharType="end"/>
        </w:r>
      </w:hyperlink>
    </w:p>
    <w:p w14:paraId="51670E8B" w14:textId="241BA9DB"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5982" w:history="1">
        <w:r w:rsidRPr="00B507A0">
          <w:rPr>
            <w:rStyle w:val="Hyperlink"/>
          </w:rPr>
          <w:t>2.1.4</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Composante 4 : CERC</w:t>
        </w:r>
        <w:r>
          <w:rPr>
            <w:webHidden/>
          </w:rPr>
          <w:tab/>
        </w:r>
        <w:r>
          <w:rPr>
            <w:webHidden/>
          </w:rPr>
          <w:fldChar w:fldCharType="begin"/>
        </w:r>
        <w:r>
          <w:rPr>
            <w:webHidden/>
          </w:rPr>
          <w:instrText xml:space="preserve"> PAGEREF _Toc230425982 \h </w:instrText>
        </w:r>
        <w:r>
          <w:rPr>
            <w:webHidden/>
          </w:rPr>
        </w:r>
        <w:r>
          <w:rPr>
            <w:webHidden/>
          </w:rPr>
          <w:fldChar w:fldCharType="separate"/>
        </w:r>
        <w:r w:rsidR="007E133A">
          <w:rPr>
            <w:webHidden/>
          </w:rPr>
          <w:t>15</w:t>
        </w:r>
        <w:r>
          <w:rPr>
            <w:webHidden/>
          </w:rPr>
          <w:fldChar w:fldCharType="end"/>
        </w:r>
      </w:hyperlink>
    </w:p>
    <w:p w14:paraId="79A5C8D4" w14:textId="1C6A038F"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5983" w:history="1">
        <w:r w:rsidRPr="00B507A0">
          <w:rPr>
            <w:rStyle w:val="Hyperlink"/>
          </w:rPr>
          <w:t>2.1.5</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Sous-projet 1 : Améliorer l’état et la résilience des routes</w:t>
        </w:r>
        <w:r>
          <w:rPr>
            <w:webHidden/>
          </w:rPr>
          <w:tab/>
        </w:r>
        <w:r>
          <w:rPr>
            <w:webHidden/>
          </w:rPr>
          <w:fldChar w:fldCharType="begin"/>
        </w:r>
        <w:r>
          <w:rPr>
            <w:webHidden/>
          </w:rPr>
          <w:instrText xml:space="preserve"> PAGEREF _Toc230425983 \h </w:instrText>
        </w:r>
        <w:r>
          <w:rPr>
            <w:webHidden/>
          </w:rPr>
        </w:r>
        <w:r>
          <w:rPr>
            <w:webHidden/>
          </w:rPr>
          <w:fldChar w:fldCharType="separate"/>
        </w:r>
        <w:r w:rsidR="007E133A">
          <w:rPr>
            <w:webHidden/>
          </w:rPr>
          <w:t>16</w:t>
        </w:r>
        <w:r>
          <w:rPr>
            <w:webHidden/>
          </w:rPr>
          <w:fldChar w:fldCharType="end"/>
        </w:r>
      </w:hyperlink>
    </w:p>
    <w:p w14:paraId="68166127" w14:textId="5B6316A9"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5984" w:history="1">
        <w:r w:rsidRPr="00B507A0">
          <w:rPr>
            <w:rStyle w:val="Hyperlink"/>
          </w:rPr>
          <w:t>2.1.6</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Sous-projet 2 : Assurer le bon fonctionnement du port de Mahajanga</w:t>
        </w:r>
        <w:r>
          <w:rPr>
            <w:webHidden/>
          </w:rPr>
          <w:tab/>
        </w:r>
        <w:r>
          <w:rPr>
            <w:webHidden/>
          </w:rPr>
          <w:fldChar w:fldCharType="begin"/>
        </w:r>
        <w:r>
          <w:rPr>
            <w:webHidden/>
          </w:rPr>
          <w:instrText xml:space="preserve"> PAGEREF _Toc230425984 \h </w:instrText>
        </w:r>
        <w:r>
          <w:rPr>
            <w:webHidden/>
          </w:rPr>
        </w:r>
        <w:r>
          <w:rPr>
            <w:webHidden/>
          </w:rPr>
          <w:fldChar w:fldCharType="separate"/>
        </w:r>
        <w:r w:rsidR="007E133A">
          <w:rPr>
            <w:webHidden/>
          </w:rPr>
          <w:t>16</w:t>
        </w:r>
        <w:r>
          <w:rPr>
            <w:webHidden/>
          </w:rPr>
          <w:fldChar w:fldCharType="end"/>
        </w:r>
      </w:hyperlink>
    </w:p>
    <w:p w14:paraId="3D9A03FD" w14:textId="7627DD65" w:rsidR="004F2052" w:rsidRDefault="004F2052">
      <w:pPr>
        <w:pStyle w:val="TOC2"/>
        <w:rPr>
          <w:rFonts w:asciiTheme="minorHAnsi" w:eastAsiaTheme="minorEastAsia" w:hAnsiTheme="minorHAnsi" w:cstheme="minorBidi"/>
          <w:b w:val="0"/>
          <w:caps w:val="0"/>
          <w:color w:val="auto"/>
          <w:kern w:val="2"/>
          <w:sz w:val="24"/>
          <w:lang w:val="en-US" w:eastAsia="en-US"/>
          <w14:ligatures w14:val="standardContextual"/>
        </w:rPr>
      </w:pPr>
      <w:hyperlink w:anchor="_Toc230425985" w:history="1">
        <w:r w:rsidRPr="00B507A0">
          <w:rPr>
            <w:rStyle w:val="Hyperlink"/>
          </w:rPr>
          <w:t>2.2</w:t>
        </w:r>
        <w:r>
          <w:rPr>
            <w:rFonts w:asciiTheme="minorHAnsi" w:eastAsiaTheme="minorEastAsia" w:hAnsiTheme="minorHAnsi" w:cstheme="minorBidi"/>
            <w:b w:val="0"/>
            <w:caps w:val="0"/>
            <w:color w:val="auto"/>
            <w:kern w:val="2"/>
            <w:sz w:val="24"/>
            <w:lang w:val="en-US" w:eastAsia="en-US"/>
            <w14:ligatures w14:val="standardContextual"/>
          </w:rPr>
          <w:tab/>
        </w:r>
        <w:r w:rsidRPr="00B507A0">
          <w:rPr>
            <w:rStyle w:val="Hyperlink"/>
          </w:rPr>
          <w:t>DESCRIPTION SOMMAIRE DES TRAVAUx</w:t>
        </w:r>
        <w:r>
          <w:rPr>
            <w:webHidden/>
          </w:rPr>
          <w:tab/>
        </w:r>
        <w:r>
          <w:rPr>
            <w:webHidden/>
          </w:rPr>
          <w:fldChar w:fldCharType="begin"/>
        </w:r>
        <w:r>
          <w:rPr>
            <w:webHidden/>
          </w:rPr>
          <w:instrText xml:space="preserve"> PAGEREF _Toc230425985 \h </w:instrText>
        </w:r>
        <w:r>
          <w:rPr>
            <w:webHidden/>
          </w:rPr>
        </w:r>
        <w:r>
          <w:rPr>
            <w:webHidden/>
          </w:rPr>
          <w:fldChar w:fldCharType="separate"/>
        </w:r>
        <w:r w:rsidR="007E133A">
          <w:rPr>
            <w:webHidden/>
          </w:rPr>
          <w:t>22</w:t>
        </w:r>
        <w:r>
          <w:rPr>
            <w:webHidden/>
          </w:rPr>
          <w:fldChar w:fldCharType="end"/>
        </w:r>
      </w:hyperlink>
    </w:p>
    <w:p w14:paraId="5897CD30" w14:textId="36CF4E9D"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5986" w:history="1">
        <w:r w:rsidRPr="00B507A0">
          <w:rPr>
            <w:rStyle w:val="Hyperlink"/>
          </w:rPr>
          <w:t>2.2.1</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Description technique des travaux</w:t>
        </w:r>
        <w:r>
          <w:rPr>
            <w:webHidden/>
          </w:rPr>
          <w:tab/>
        </w:r>
        <w:r>
          <w:rPr>
            <w:webHidden/>
          </w:rPr>
          <w:fldChar w:fldCharType="begin"/>
        </w:r>
        <w:r>
          <w:rPr>
            <w:webHidden/>
          </w:rPr>
          <w:instrText xml:space="preserve"> PAGEREF _Toc230425986 \h </w:instrText>
        </w:r>
        <w:r>
          <w:rPr>
            <w:webHidden/>
          </w:rPr>
        </w:r>
        <w:r>
          <w:rPr>
            <w:webHidden/>
          </w:rPr>
          <w:fldChar w:fldCharType="separate"/>
        </w:r>
        <w:r w:rsidR="007E133A">
          <w:rPr>
            <w:webHidden/>
          </w:rPr>
          <w:t>22</w:t>
        </w:r>
        <w:r>
          <w:rPr>
            <w:webHidden/>
          </w:rPr>
          <w:fldChar w:fldCharType="end"/>
        </w:r>
      </w:hyperlink>
    </w:p>
    <w:p w14:paraId="52A780D4" w14:textId="2344D4F7"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5987" w:history="1">
        <w:r w:rsidRPr="00B507A0">
          <w:rPr>
            <w:rStyle w:val="Hyperlink"/>
          </w:rPr>
          <w:t>2.2.2</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Activités connexes</w:t>
        </w:r>
        <w:r>
          <w:rPr>
            <w:webHidden/>
          </w:rPr>
          <w:tab/>
        </w:r>
        <w:r>
          <w:rPr>
            <w:webHidden/>
          </w:rPr>
          <w:fldChar w:fldCharType="begin"/>
        </w:r>
        <w:r>
          <w:rPr>
            <w:webHidden/>
          </w:rPr>
          <w:instrText xml:space="preserve"> PAGEREF _Toc230425987 \h </w:instrText>
        </w:r>
        <w:r>
          <w:rPr>
            <w:webHidden/>
          </w:rPr>
        </w:r>
        <w:r>
          <w:rPr>
            <w:webHidden/>
          </w:rPr>
          <w:fldChar w:fldCharType="separate"/>
        </w:r>
        <w:r w:rsidR="007E133A">
          <w:rPr>
            <w:webHidden/>
          </w:rPr>
          <w:t>24</w:t>
        </w:r>
        <w:r>
          <w:rPr>
            <w:webHidden/>
          </w:rPr>
          <w:fldChar w:fldCharType="end"/>
        </w:r>
      </w:hyperlink>
    </w:p>
    <w:p w14:paraId="7F062F69" w14:textId="0DEA8EC1"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5988" w:history="1">
        <w:r w:rsidRPr="00B507A0">
          <w:rPr>
            <w:rStyle w:val="Hyperlink"/>
          </w:rPr>
          <w:t>2.2.3</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Localisation des activités</w:t>
        </w:r>
        <w:r>
          <w:rPr>
            <w:webHidden/>
          </w:rPr>
          <w:tab/>
        </w:r>
        <w:r>
          <w:rPr>
            <w:webHidden/>
          </w:rPr>
          <w:fldChar w:fldCharType="begin"/>
        </w:r>
        <w:r>
          <w:rPr>
            <w:webHidden/>
          </w:rPr>
          <w:instrText xml:space="preserve"> PAGEREF _Toc230425988 \h </w:instrText>
        </w:r>
        <w:r>
          <w:rPr>
            <w:webHidden/>
          </w:rPr>
        </w:r>
        <w:r>
          <w:rPr>
            <w:webHidden/>
          </w:rPr>
          <w:fldChar w:fldCharType="separate"/>
        </w:r>
        <w:r w:rsidR="007E133A">
          <w:rPr>
            <w:webHidden/>
          </w:rPr>
          <w:t>25</w:t>
        </w:r>
        <w:r>
          <w:rPr>
            <w:webHidden/>
          </w:rPr>
          <w:fldChar w:fldCharType="end"/>
        </w:r>
      </w:hyperlink>
    </w:p>
    <w:p w14:paraId="2B55CCA7" w14:textId="2F8882CA" w:rsidR="004F2052" w:rsidRDefault="004F2052">
      <w:pPr>
        <w:pStyle w:val="TOC1"/>
        <w:rPr>
          <w:rFonts w:asciiTheme="minorHAnsi" w:eastAsiaTheme="minorEastAsia" w:hAnsiTheme="minorHAnsi" w:cstheme="minorBidi"/>
          <w:b w:val="0"/>
          <w:caps w:val="0"/>
          <w:color w:val="auto"/>
          <w:kern w:val="2"/>
          <w:lang w:val="en-US" w:eastAsia="en-US"/>
          <w14:ligatures w14:val="standardContextual"/>
        </w:rPr>
      </w:pPr>
      <w:hyperlink w:anchor="_Toc230425989" w:history="1">
        <w:r w:rsidRPr="00B507A0">
          <w:rPr>
            <w:rStyle w:val="Hyperlink"/>
          </w:rPr>
          <w:t>3</w:t>
        </w:r>
        <w:r>
          <w:rPr>
            <w:rFonts w:asciiTheme="minorHAnsi" w:eastAsiaTheme="minorEastAsia" w:hAnsiTheme="minorHAnsi" w:cstheme="minorBidi"/>
            <w:b w:val="0"/>
            <w:caps w:val="0"/>
            <w:color w:val="auto"/>
            <w:kern w:val="2"/>
            <w:lang w:val="en-US" w:eastAsia="en-US"/>
            <w14:ligatures w14:val="standardContextual"/>
          </w:rPr>
          <w:tab/>
        </w:r>
        <w:r w:rsidRPr="00B507A0">
          <w:rPr>
            <w:rStyle w:val="Hyperlink"/>
          </w:rPr>
          <w:t>CADRE BIOPHYSIQUE ET SOCIOECONOMIQUE</w:t>
        </w:r>
        <w:r>
          <w:rPr>
            <w:webHidden/>
          </w:rPr>
          <w:tab/>
        </w:r>
        <w:r>
          <w:rPr>
            <w:webHidden/>
          </w:rPr>
          <w:fldChar w:fldCharType="begin"/>
        </w:r>
        <w:r>
          <w:rPr>
            <w:webHidden/>
          </w:rPr>
          <w:instrText xml:space="preserve"> PAGEREF _Toc230425989 \h </w:instrText>
        </w:r>
        <w:r>
          <w:rPr>
            <w:webHidden/>
          </w:rPr>
        </w:r>
        <w:r>
          <w:rPr>
            <w:webHidden/>
          </w:rPr>
          <w:fldChar w:fldCharType="separate"/>
        </w:r>
        <w:r w:rsidR="007E133A">
          <w:rPr>
            <w:webHidden/>
          </w:rPr>
          <w:t>33</w:t>
        </w:r>
        <w:r>
          <w:rPr>
            <w:webHidden/>
          </w:rPr>
          <w:fldChar w:fldCharType="end"/>
        </w:r>
      </w:hyperlink>
    </w:p>
    <w:p w14:paraId="1598DFBD" w14:textId="7693479F" w:rsidR="004F2052" w:rsidRDefault="004F2052">
      <w:pPr>
        <w:pStyle w:val="TOC2"/>
        <w:rPr>
          <w:rFonts w:asciiTheme="minorHAnsi" w:eastAsiaTheme="minorEastAsia" w:hAnsiTheme="minorHAnsi" w:cstheme="minorBidi"/>
          <w:b w:val="0"/>
          <w:caps w:val="0"/>
          <w:color w:val="auto"/>
          <w:kern w:val="2"/>
          <w:sz w:val="24"/>
          <w:lang w:val="en-US" w:eastAsia="en-US"/>
          <w14:ligatures w14:val="standardContextual"/>
        </w:rPr>
      </w:pPr>
      <w:hyperlink w:anchor="_Toc230425990" w:history="1">
        <w:r w:rsidRPr="00B507A0">
          <w:rPr>
            <w:rStyle w:val="Hyperlink"/>
          </w:rPr>
          <w:t>3.1</w:t>
        </w:r>
        <w:r>
          <w:rPr>
            <w:rFonts w:asciiTheme="minorHAnsi" w:eastAsiaTheme="minorEastAsia" w:hAnsiTheme="minorHAnsi" w:cstheme="minorBidi"/>
            <w:b w:val="0"/>
            <w:caps w:val="0"/>
            <w:color w:val="auto"/>
            <w:kern w:val="2"/>
            <w:sz w:val="24"/>
            <w:lang w:val="en-US" w:eastAsia="en-US"/>
            <w14:ligatures w14:val="standardContextual"/>
          </w:rPr>
          <w:tab/>
        </w:r>
        <w:r w:rsidRPr="00B507A0">
          <w:rPr>
            <w:rStyle w:val="Hyperlink"/>
          </w:rPr>
          <w:t>DONNEES GENERALES</w:t>
        </w:r>
        <w:r>
          <w:rPr>
            <w:webHidden/>
          </w:rPr>
          <w:tab/>
        </w:r>
        <w:r>
          <w:rPr>
            <w:webHidden/>
          </w:rPr>
          <w:fldChar w:fldCharType="begin"/>
        </w:r>
        <w:r>
          <w:rPr>
            <w:webHidden/>
          </w:rPr>
          <w:instrText xml:space="preserve"> PAGEREF _Toc230425990 \h </w:instrText>
        </w:r>
        <w:r>
          <w:rPr>
            <w:webHidden/>
          </w:rPr>
        </w:r>
        <w:r>
          <w:rPr>
            <w:webHidden/>
          </w:rPr>
          <w:fldChar w:fldCharType="separate"/>
        </w:r>
        <w:r w:rsidR="007E133A">
          <w:rPr>
            <w:webHidden/>
          </w:rPr>
          <w:t>33</w:t>
        </w:r>
        <w:r>
          <w:rPr>
            <w:webHidden/>
          </w:rPr>
          <w:fldChar w:fldCharType="end"/>
        </w:r>
      </w:hyperlink>
    </w:p>
    <w:p w14:paraId="24CC0A90" w14:textId="39DE9EEA"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5991" w:history="1">
        <w:r w:rsidRPr="00B507A0">
          <w:rPr>
            <w:rStyle w:val="Hyperlink"/>
          </w:rPr>
          <w:t>3.1.1</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Région</w:t>
        </w:r>
        <w:r w:rsidRPr="00B507A0">
          <w:rPr>
            <w:rStyle w:val="Hyperlink"/>
            <w:spacing w:val="-9"/>
          </w:rPr>
          <w:t xml:space="preserve"> </w:t>
        </w:r>
        <w:r w:rsidRPr="00B507A0">
          <w:rPr>
            <w:rStyle w:val="Hyperlink"/>
          </w:rPr>
          <w:t>Nord</w:t>
        </w:r>
        <w:r>
          <w:rPr>
            <w:webHidden/>
          </w:rPr>
          <w:tab/>
        </w:r>
        <w:r>
          <w:rPr>
            <w:webHidden/>
          </w:rPr>
          <w:fldChar w:fldCharType="begin"/>
        </w:r>
        <w:r>
          <w:rPr>
            <w:webHidden/>
          </w:rPr>
          <w:instrText xml:space="preserve"> PAGEREF _Toc230425991 \h </w:instrText>
        </w:r>
        <w:r>
          <w:rPr>
            <w:webHidden/>
          </w:rPr>
        </w:r>
        <w:r>
          <w:rPr>
            <w:webHidden/>
          </w:rPr>
          <w:fldChar w:fldCharType="separate"/>
        </w:r>
        <w:r w:rsidR="007E133A">
          <w:rPr>
            <w:webHidden/>
          </w:rPr>
          <w:t>33</w:t>
        </w:r>
        <w:r>
          <w:rPr>
            <w:webHidden/>
          </w:rPr>
          <w:fldChar w:fldCharType="end"/>
        </w:r>
      </w:hyperlink>
    </w:p>
    <w:p w14:paraId="42BDF2EE" w14:textId="4279E0C2"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5992" w:history="1">
        <w:r w:rsidRPr="00B507A0">
          <w:rPr>
            <w:rStyle w:val="Hyperlink"/>
          </w:rPr>
          <w:t>3.1.2</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Hautes Terres</w:t>
        </w:r>
        <w:r>
          <w:rPr>
            <w:webHidden/>
          </w:rPr>
          <w:tab/>
        </w:r>
        <w:r>
          <w:rPr>
            <w:webHidden/>
          </w:rPr>
          <w:fldChar w:fldCharType="begin"/>
        </w:r>
        <w:r>
          <w:rPr>
            <w:webHidden/>
          </w:rPr>
          <w:instrText xml:space="preserve"> PAGEREF _Toc230425992 \h </w:instrText>
        </w:r>
        <w:r>
          <w:rPr>
            <w:webHidden/>
          </w:rPr>
        </w:r>
        <w:r>
          <w:rPr>
            <w:webHidden/>
          </w:rPr>
          <w:fldChar w:fldCharType="separate"/>
        </w:r>
        <w:r w:rsidR="007E133A">
          <w:rPr>
            <w:webHidden/>
          </w:rPr>
          <w:t>34</w:t>
        </w:r>
        <w:r>
          <w:rPr>
            <w:webHidden/>
          </w:rPr>
          <w:fldChar w:fldCharType="end"/>
        </w:r>
      </w:hyperlink>
    </w:p>
    <w:p w14:paraId="0C1D6C48" w14:textId="7D3EBEAC"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5993" w:history="1">
        <w:r w:rsidRPr="00B507A0">
          <w:rPr>
            <w:rStyle w:val="Hyperlink"/>
          </w:rPr>
          <w:t>3.1.3</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Région côtière de l’Est</w:t>
        </w:r>
        <w:r>
          <w:rPr>
            <w:webHidden/>
          </w:rPr>
          <w:tab/>
        </w:r>
        <w:r>
          <w:rPr>
            <w:webHidden/>
          </w:rPr>
          <w:fldChar w:fldCharType="begin"/>
        </w:r>
        <w:r>
          <w:rPr>
            <w:webHidden/>
          </w:rPr>
          <w:instrText xml:space="preserve"> PAGEREF _Toc230425993 \h </w:instrText>
        </w:r>
        <w:r>
          <w:rPr>
            <w:webHidden/>
          </w:rPr>
        </w:r>
        <w:r>
          <w:rPr>
            <w:webHidden/>
          </w:rPr>
          <w:fldChar w:fldCharType="separate"/>
        </w:r>
        <w:r w:rsidR="007E133A">
          <w:rPr>
            <w:webHidden/>
          </w:rPr>
          <w:t>34</w:t>
        </w:r>
        <w:r>
          <w:rPr>
            <w:webHidden/>
          </w:rPr>
          <w:fldChar w:fldCharType="end"/>
        </w:r>
      </w:hyperlink>
    </w:p>
    <w:p w14:paraId="5FCFB522" w14:textId="25B41BE5"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5994" w:history="1">
        <w:r w:rsidRPr="00B507A0">
          <w:rPr>
            <w:rStyle w:val="Hyperlink"/>
          </w:rPr>
          <w:t>3.1.4</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Région côtière de l’Ouest</w:t>
        </w:r>
        <w:r>
          <w:rPr>
            <w:webHidden/>
          </w:rPr>
          <w:tab/>
        </w:r>
        <w:r>
          <w:rPr>
            <w:webHidden/>
          </w:rPr>
          <w:fldChar w:fldCharType="begin"/>
        </w:r>
        <w:r>
          <w:rPr>
            <w:webHidden/>
          </w:rPr>
          <w:instrText xml:space="preserve"> PAGEREF _Toc230425994 \h </w:instrText>
        </w:r>
        <w:r>
          <w:rPr>
            <w:webHidden/>
          </w:rPr>
        </w:r>
        <w:r>
          <w:rPr>
            <w:webHidden/>
          </w:rPr>
          <w:fldChar w:fldCharType="separate"/>
        </w:r>
        <w:r w:rsidR="007E133A">
          <w:rPr>
            <w:webHidden/>
          </w:rPr>
          <w:t>34</w:t>
        </w:r>
        <w:r>
          <w:rPr>
            <w:webHidden/>
          </w:rPr>
          <w:fldChar w:fldCharType="end"/>
        </w:r>
      </w:hyperlink>
    </w:p>
    <w:p w14:paraId="3E64D549" w14:textId="2EBD86B0"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5995" w:history="1">
        <w:r w:rsidRPr="00B507A0">
          <w:rPr>
            <w:rStyle w:val="Hyperlink"/>
          </w:rPr>
          <w:t>3.1.5</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Région du Sud et du Sud-Ouest</w:t>
        </w:r>
        <w:r>
          <w:rPr>
            <w:webHidden/>
          </w:rPr>
          <w:tab/>
        </w:r>
        <w:r>
          <w:rPr>
            <w:webHidden/>
          </w:rPr>
          <w:fldChar w:fldCharType="begin"/>
        </w:r>
        <w:r>
          <w:rPr>
            <w:webHidden/>
          </w:rPr>
          <w:instrText xml:space="preserve"> PAGEREF _Toc230425995 \h </w:instrText>
        </w:r>
        <w:r>
          <w:rPr>
            <w:webHidden/>
          </w:rPr>
        </w:r>
        <w:r>
          <w:rPr>
            <w:webHidden/>
          </w:rPr>
          <w:fldChar w:fldCharType="separate"/>
        </w:r>
        <w:r w:rsidR="007E133A">
          <w:rPr>
            <w:webHidden/>
          </w:rPr>
          <w:t>35</w:t>
        </w:r>
        <w:r>
          <w:rPr>
            <w:webHidden/>
          </w:rPr>
          <w:fldChar w:fldCharType="end"/>
        </w:r>
      </w:hyperlink>
    </w:p>
    <w:p w14:paraId="3D5715A1" w14:textId="6351D253" w:rsidR="004F2052" w:rsidRDefault="004F2052">
      <w:pPr>
        <w:pStyle w:val="TOC2"/>
        <w:rPr>
          <w:rFonts w:asciiTheme="minorHAnsi" w:eastAsiaTheme="minorEastAsia" w:hAnsiTheme="minorHAnsi" w:cstheme="minorBidi"/>
          <w:b w:val="0"/>
          <w:caps w:val="0"/>
          <w:color w:val="auto"/>
          <w:kern w:val="2"/>
          <w:sz w:val="24"/>
          <w:lang w:val="en-US" w:eastAsia="en-US"/>
          <w14:ligatures w14:val="standardContextual"/>
        </w:rPr>
      </w:pPr>
      <w:hyperlink w:anchor="_Toc230425996" w:history="1">
        <w:r w:rsidRPr="00B507A0">
          <w:rPr>
            <w:rStyle w:val="Hyperlink"/>
          </w:rPr>
          <w:t>3.2</w:t>
        </w:r>
        <w:r>
          <w:rPr>
            <w:rFonts w:asciiTheme="minorHAnsi" w:eastAsiaTheme="minorEastAsia" w:hAnsiTheme="minorHAnsi" w:cstheme="minorBidi"/>
            <w:b w:val="0"/>
            <w:caps w:val="0"/>
            <w:color w:val="auto"/>
            <w:kern w:val="2"/>
            <w:sz w:val="24"/>
            <w:lang w:val="en-US" w:eastAsia="en-US"/>
            <w14:ligatures w14:val="standardContextual"/>
          </w:rPr>
          <w:tab/>
        </w:r>
        <w:r w:rsidRPr="00B507A0">
          <w:rPr>
            <w:rStyle w:val="Hyperlink"/>
          </w:rPr>
          <w:t>Caractéristiques physiques</w:t>
        </w:r>
        <w:r>
          <w:rPr>
            <w:webHidden/>
          </w:rPr>
          <w:tab/>
        </w:r>
        <w:r>
          <w:rPr>
            <w:webHidden/>
          </w:rPr>
          <w:fldChar w:fldCharType="begin"/>
        </w:r>
        <w:r>
          <w:rPr>
            <w:webHidden/>
          </w:rPr>
          <w:instrText xml:space="preserve"> PAGEREF _Toc230425996 \h </w:instrText>
        </w:r>
        <w:r>
          <w:rPr>
            <w:webHidden/>
          </w:rPr>
        </w:r>
        <w:r>
          <w:rPr>
            <w:webHidden/>
          </w:rPr>
          <w:fldChar w:fldCharType="separate"/>
        </w:r>
        <w:r w:rsidR="007E133A">
          <w:rPr>
            <w:webHidden/>
          </w:rPr>
          <w:t>35</w:t>
        </w:r>
        <w:r>
          <w:rPr>
            <w:webHidden/>
          </w:rPr>
          <w:fldChar w:fldCharType="end"/>
        </w:r>
      </w:hyperlink>
    </w:p>
    <w:p w14:paraId="50E59F99" w14:textId="49FE1537"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5997" w:history="1">
        <w:r w:rsidRPr="00B507A0">
          <w:rPr>
            <w:rStyle w:val="Hyperlink"/>
          </w:rPr>
          <w:t>3.2.1</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Climat</w:t>
        </w:r>
        <w:r>
          <w:rPr>
            <w:webHidden/>
          </w:rPr>
          <w:tab/>
        </w:r>
        <w:r>
          <w:rPr>
            <w:webHidden/>
          </w:rPr>
          <w:fldChar w:fldCharType="begin"/>
        </w:r>
        <w:r>
          <w:rPr>
            <w:webHidden/>
          </w:rPr>
          <w:instrText xml:space="preserve"> PAGEREF _Toc230425997 \h </w:instrText>
        </w:r>
        <w:r>
          <w:rPr>
            <w:webHidden/>
          </w:rPr>
        </w:r>
        <w:r>
          <w:rPr>
            <w:webHidden/>
          </w:rPr>
          <w:fldChar w:fldCharType="separate"/>
        </w:r>
        <w:r w:rsidR="007E133A">
          <w:rPr>
            <w:webHidden/>
          </w:rPr>
          <w:t>35</w:t>
        </w:r>
        <w:r>
          <w:rPr>
            <w:webHidden/>
          </w:rPr>
          <w:fldChar w:fldCharType="end"/>
        </w:r>
      </w:hyperlink>
    </w:p>
    <w:p w14:paraId="14288FD2" w14:textId="6C5BE0AA"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5998" w:history="1">
        <w:r w:rsidRPr="00B507A0">
          <w:rPr>
            <w:rStyle w:val="Hyperlink"/>
          </w:rPr>
          <w:t>3.2.2</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Relief et géomorphologie</w:t>
        </w:r>
        <w:r>
          <w:rPr>
            <w:webHidden/>
          </w:rPr>
          <w:tab/>
        </w:r>
        <w:r>
          <w:rPr>
            <w:webHidden/>
          </w:rPr>
          <w:fldChar w:fldCharType="begin"/>
        </w:r>
        <w:r>
          <w:rPr>
            <w:webHidden/>
          </w:rPr>
          <w:instrText xml:space="preserve"> PAGEREF _Toc230425998 \h </w:instrText>
        </w:r>
        <w:r>
          <w:rPr>
            <w:webHidden/>
          </w:rPr>
        </w:r>
        <w:r>
          <w:rPr>
            <w:webHidden/>
          </w:rPr>
          <w:fldChar w:fldCharType="separate"/>
        </w:r>
        <w:r w:rsidR="007E133A">
          <w:rPr>
            <w:webHidden/>
          </w:rPr>
          <w:t>36</w:t>
        </w:r>
        <w:r>
          <w:rPr>
            <w:webHidden/>
          </w:rPr>
          <w:fldChar w:fldCharType="end"/>
        </w:r>
      </w:hyperlink>
    </w:p>
    <w:p w14:paraId="73221998" w14:textId="362609CE"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5999" w:history="1">
        <w:r w:rsidRPr="00B507A0">
          <w:rPr>
            <w:rStyle w:val="Hyperlink"/>
          </w:rPr>
          <w:t>3.2.3</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Géologie</w:t>
        </w:r>
        <w:r>
          <w:rPr>
            <w:webHidden/>
          </w:rPr>
          <w:tab/>
        </w:r>
        <w:r>
          <w:rPr>
            <w:webHidden/>
          </w:rPr>
          <w:fldChar w:fldCharType="begin"/>
        </w:r>
        <w:r>
          <w:rPr>
            <w:webHidden/>
          </w:rPr>
          <w:instrText xml:space="preserve"> PAGEREF _Toc230425999 \h </w:instrText>
        </w:r>
        <w:r>
          <w:rPr>
            <w:webHidden/>
          </w:rPr>
        </w:r>
        <w:r>
          <w:rPr>
            <w:webHidden/>
          </w:rPr>
          <w:fldChar w:fldCharType="separate"/>
        </w:r>
        <w:r w:rsidR="007E133A">
          <w:rPr>
            <w:webHidden/>
          </w:rPr>
          <w:t>38</w:t>
        </w:r>
        <w:r>
          <w:rPr>
            <w:webHidden/>
          </w:rPr>
          <w:fldChar w:fldCharType="end"/>
        </w:r>
      </w:hyperlink>
    </w:p>
    <w:p w14:paraId="7E3CBFCC" w14:textId="46424E60"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00" w:history="1">
        <w:r w:rsidRPr="00B507A0">
          <w:rPr>
            <w:rStyle w:val="Hyperlink"/>
          </w:rPr>
          <w:t>3.2.4</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Pédologie</w:t>
        </w:r>
        <w:r>
          <w:rPr>
            <w:webHidden/>
          </w:rPr>
          <w:tab/>
        </w:r>
        <w:r>
          <w:rPr>
            <w:webHidden/>
          </w:rPr>
          <w:fldChar w:fldCharType="begin"/>
        </w:r>
        <w:r>
          <w:rPr>
            <w:webHidden/>
          </w:rPr>
          <w:instrText xml:space="preserve"> PAGEREF _Toc230426000 \h </w:instrText>
        </w:r>
        <w:r>
          <w:rPr>
            <w:webHidden/>
          </w:rPr>
        </w:r>
        <w:r>
          <w:rPr>
            <w:webHidden/>
          </w:rPr>
          <w:fldChar w:fldCharType="separate"/>
        </w:r>
        <w:r w:rsidR="007E133A">
          <w:rPr>
            <w:webHidden/>
          </w:rPr>
          <w:t>40</w:t>
        </w:r>
        <w:r>
          <w:rPr>
            <w:webHidden/>
          </w:rPr>
          <w:fldChar w:fldCharType="end"/>
        </w:r>
      </w:hyperlink>
    </w:p>
    <w:p w14:paraId="7B96DE61" w14:textId="4CC89D1A"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01" w:history="1">
        <w:r w:rsidRPr="00B507A0">
          <w:rPr>
            <w:rStyle w:val="Hyperlink"/>
          </w:rPr>
          <w:t>3.2.5</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Hydrologie</w:t>
        </w:r>
        <w:r>
          <w:rPr>
            <w:webHidden/>
          </w:rPr>
          <w:tab/>
        </w:r>
        <w:r>
          <w:rPr>
            <w:webHidden/>
          </w:rPr>
          <w:fldChar w:fldCharType="begin"/>
        </w:r>
        <w:r>
          <w:rPr>
            <w:webHidden/>
          </w:rPr>
          <w:instrText xml:space="preserve"> PAGEREF _Toc230426001 \h </w:instrText>
        </w:r>
        <w:r>
          <w:rPr>
            <w:webHidden/>
          </w:rPr>
        </w:r>
        <w:r>
          <w:rPr>
            <w:webHidden/>
          </w:rPr>
          <w:fldChar w:fldCharType="separate"/>
        </w:r>
        <w:r w:rsidR="007E133A">
          <w:rPr>
            <w:webHidden/>
          </w:rPr>
          <w:t>42</w:t>
        </w:r>
        <w:r>
          <w:rPr>
            <w:webHidden/>
          </w:rPr>
          <w:fldChar w:fldCharType="end"/>
        </w:r>
      </w:hyperlink>
    </w:p>
    <w:p w14:paraId="65DE3762" w14:textId="77325053" w:rsidR="004F2052" w:rsidRDefault="004F2052">
      <w:pPr>
        <w:pStyle w:val="TOC2"/>
        <w:rPr>
          <w:rFonts w:asciiTheme="minorHAnsi" w:eastAsiaTheme="minorEastAsia" w:hAnsiTheme="minorHAnsi" w:cstheme="minorBidi"/>
          <w:b w:val="0"/>
          <w:caps w:val="0"/>
          <w:color w:val="auto"/>
          <w:kern w:val="2"/>
          <w:sz w:val="24"/>
          <w:lang w:val="en-US" w:eastAsia="en-US"/>
          <w14:ligatures w14:val="standardContextual"/>
        </w:rPr>
      </w:pPr>
      <w:hyperlink w:anchor="_Toc230426002" w:history="1">
        <w:r w:rsidRPr="00B507A0">
          <w:rPr>
            <w:rStyle w:val="Hyperlink"/>
          </w:rPr>
          <w:t>3.3</w:t>
        </w:r>
        <w:r>
          <w:rPr>
            <w:rFonts w:asciiTheme="minorHAnsi" w:eastAsiaTheme="minorEastAsia" w:hAnsiTheme="minorHAnsi" w:cstheme="minorBidi"/>
            <w:b w:val="0"/>
            <w:caps w:val="0"/>
            <w:color w:val="auto"/>
            <w:kern w:val="2"/>
            <w:sz w:val="24"/>
            <w:lang w:val="en-US" w:eastAsia="en-US"/>
            <w14:ligatures w14:val="standardContextual"/>
          </w:rPr>
          <w:tab/>
        </w:r>
        <w:r w:rsidRPr="00B507A0">
          <w:rPr>
            <w:rStyle w:val="Hyperlink"/>
          </w:rPr>
          <w:t>Caractéristiques biologiques</w:t>
        </w:r>
        <w:r>
          <w:rPr>
            <w:webHidden/>
          </w:rPr>
          <w:tab/>
        </w:r>
        <w:r>
          <w:rPr>
            <w:webHidden/>
          </w:rPr>
          <w:fldChar w:fldCharType="begin"/>
        </w:r>
        <w:r>
          <w:rPr>
            <w:webHidden/>
          </w:rPr>
          <w:instrText xml:space="preserve"> PAGEREF _Toc230426002 \h </w:instrText>
        </w:r>
        <w:r>
          <w:rPr>
            <w:webHidden/>
          </w:rPr>
        </w:r>
        <w:r>
          <w:rPr>
            <w:webHidden/>
          </w:rPr>
          <w:fldChar w:fldCharType="separate"/>
        </w:r>
        <w:r w:rsidR="007E133A">
          <w:rPr>
            <w:webHidden/>
          </w:rPr>
          <w:t>44</w:t>
        </w:r>
        <w:r>
          <w:rPr>
            <w:webHidden/>
          </w:rPr>
          <w:fldChar w:fldCharType="end"/>
        </w:r>
      </w:hyperlink>
    </w:p>
    <w:p w14:paraId="18FF8617" w14:textId="22AED5A8"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03" w:history="1">
        <w:r w:rsidRPr="00B507A0">
          <w:rPr>
            <w:rStyle w:val="Hyperlink"/>
          </w:rPr>
          <w:t>3.3.1</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Situation environnementale</w:t>
        </w:r>
        <w:r>
          <w:rPr>
            <w:webHidden/>
          </w:rPr>
          <w:tab/>
        </w:r>
        <w:r>
          <w:rPr>
            <w:webHidden/>
          </w:rPr>
          <w:fldChar w:fldCharType="begin"/>
        </w:r>
        <w:r>
          <w:rPr>
            <w:webHidden/>
          </w:rPr>
          <w:instrText xml:space="preserve"> PAGEREF _Toc230426003 \h </w:instrText>
        </w:r>
        <w:r>
          <w:rPr>
            <w:webHidden/>
          </w:rPr>
        </w:r>
        <w:r>
          <w:rPr>
            <w:webHidden/>
          </w:rPr>
          <w:fldChar w:fldCharType="separate"/>
        </w:r>
        <w:r w:rsidR="007E133A">
          <w:rPr>
            <w:webHidden/>
          </w:rPr>
          <w:t>44</w:t>
        </w:r>
        <w:r>
          <w:rPr>
            <w:webHidden/>
          </w:rPr>
          <w:fldChar w:fldCharType="end"/>
        </w:r>
      </w:hyperlink>
    </w:p>
    <w:p w14:paraId="1DC7F1E1" w14:textId="5346ABC4"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04" w:history="1">
        <w:r w:rsidRPr="00B507A0">
          <w:rPr>
            <w:rStyle w:val="Hyperlink"/>
          </w:rPr>
          <w:t>3.3.2</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Ecosystèmes</w:t>
        </w:r>
        <w:r>
          <w:rPr>
            <w:webHidden/>
          </w:rPr>
          <w:tab/>
        </w:r>
        <w:r>
          <w:rPr>
            <w:webHidden/>
          </w:rPr>
          <w:fldChar w:fldCharType="begin"/>
        </w:r>
        <w:r>
          <w:rPr>
            <w:webHidden/>
          </w:rPr>
          <w:instrText xml:space="preserve"> PAGEREF _Toc230426004 \h </w:instrText>
        </w:r>
        <w:r>
          <w:rPr>
            <w:webHidden/>
          </w:rPr>
        </w:r>
        <w:r>
          <w:rPr>
            <w:webHidden/>
          </w:rPr>
          <w:fldChar w:fldCharType="separate"/>
        </w:r>
        <w:r w:rsidR="007E133A">
          <w:rPr>
            <w:webHidden/>
          </w:rPr>
          <w:t>47</w:t>
        </w:r>
        <w:r>
          <w:rPr>
            <w:webHidden/>
          </w:rPr>
          <w:fldChar w:fldCharType="end"/>
        </w:r>
      </w:hyperlink>
    </w:p>
    <w:p w14:paraId="1A971032" w14:textId="615A1262"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05" w:history="1">
        <w:r w:rsidRPr="00B507A0">
          <w:rPr>
            <w:rStyle w:val="Hyperlink"/>
          </w:rPr>
          <w:t>3.3.3</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Végétation</w:t>
        </w:r>
        <w:r>
          <w:rPr>
            <w:webHidden/>
          </w:rPr>
          <w:tab/>
        </w:r>
        <w:r>
          <w:rPr>
            <w:webHidden/>
          </w:rPr>
          <w:fldChar w:fldCharType="begin"/>
        </w:r>
        <w:r>
          <w:rPr>
            <w:webHidden/>
          </w:rPr>
          <w:instrText xml:space="preserve"> PAGEREF _Toc230426005 \h </w:instrText>
        </w:r>
        <w:r>
          <w:rPr>
            <w:webHidden/>
          </w:rPr>
        </w:r>
        <w:r>
          <w:rPr>
            <w:webHidden/>
          </w:rPr>
          <w:fldChar w:fldCharType="separate"/>
        </w:r>
        <w:r w:rsidR="007E133A">
          <w:rPr>
            <w:webHidden/>
          </w:rPr>
          <w:t>48</w:t>
        </w:r>
        <w:r>
          <w:rPr>
            <w:webHidden/>
          </w:rPr>
          <w:fldChar w:fldCharType="end"/>
        </w:r>
      </w:hyperlink>
    </w:p>
    <w:p w14:paraId="3054FE45" w14:textId="68DDF78E"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06" w:history="1">
        <w:r w:rsidRPr="00B507A0">
          <w:rPr>
            <w:rStyle w:val="Hyperlink"/>
          </w:rPr>
          <w:t>3.3.4</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Faune</w:t>
        </w:r>
        <w:r>
          <w:rPr>
            <w:webHidden/>
          </w:rPr>
          <w:tab/>
        </w:r>
        <w:r>
          <w:rPr>
            <w:webHidden/>
          </w:rPr>
          <w:fldChar w:fldCharType="begin"/>
        </w:r>
        <w:r>
          <w:rPr>
            <w:webHidden/>
          </w:rPr>
          <w:instrText xml:space="preserve"> PAGEREF _Toc230426006 \h </w:instrText>
        </w:r>
        <w:r>
          <w:rPr>
            <w:webHidden/>
          </w:rPr>
        </w:r>
        <w:r>
          <w:rPr>
            <w:webHidden/>
          </w:rPr>
          <w:fldChar w:fldCharType="separate"/>
        </w:r>
        <w:r w:rsidR="007E133A">
          <w:rPr>
            <w:webHidden/>
          </w:rPr>
          <w:t>49</w:t>
        </w:r>
        <w:r>
          <w:rPr>
            <w:webHidden/>
          </w:rPr>
          <w:fldChar w:fldCharType="end"/>
        </w:r>
      </w:hyperlink>
    </w:p>
    <w:p w14:paraId="47AB6812" w14:textId="09440E28" w:rsidR="004F2052" w:rsidRDefault="004F2052">
      <w:pPr>
        <w:pStyle w:val="TOC2"/>
        <w:rPr>
          <w:rFonts w:asciiTheme="minorHAnsi" w:eastAsiaTheme="minorEastAsia" w:hAnsiTheme="minorHAnsi" w:cstheme="minorBidi"/>
          <w:b w:val="0"/>
          <w:caps w:val="0"/>
          <w:color w:val="auto"/>
          <w:kern w:val="2"/>
          <w:sz w:val="24"/>
          <w:lang w:val="en-US" w:eastAsia="en-US"/>
          <w14:ligatures w14:val="standardContextual"/>
        </w:rPr>
      </w:pPr>
      <w:hyperlink w:anchor="_Toc230426007" w:history="1">
        <w:r w:rsidRPr="00B507A0">
          <w:rPr>
            <w:rStyle w:val="Hyperlink"/>
          </w:rPr>
          <w:t>3.4</w:t>
        </w:r>
        <w:r>
          <w:rPr>
            <w:rFonts w:asciiTheme="minorHAnsi" w:eastAsiaTheme="minorEastAsia" w:hAnsiTheme="minorHAnsi" w:cstheme="minorBidi"/>
            <w:b w:val="0"/>
            <w:caps w:val="0"/>
            <w:color w:val="auto"/>
            <w:kern w:val="2"/>
            <w:sz w:val="24"/>
            <w:lang w:val="en-US" w:eastAsia="en-US"/>
            <w14:ligatures w14:val="standardContextual"/>
          </w:rPr>
          <w:tab/>
        </w:r>
        <w:r w:rsidRPr="00B507A0">
          <w:rPr>
            <w:rStyle w:val="Hyperlink"/>
          </w:rPr>
          <w:t>Zones sensibles</w:t>
        </w:r>
        <w:r>
          <w:rPr>
            <w:webHidden/>
          </w:rPr>
          <w:tab/>
        </w:r>
        <w:r>
          <w:rPr>
            <w:webHidden/>
          </w:rPr>
          <w:fldChar w:fldCharType="begin"/>
        </w:r>
        <w:r>
          <w:rPr>
            <w:webHidden/>
          </w:rPr>
          <w:instrText xml:space="preserve"> PAGEREF _Toc230426007 \h </w:instrText>
        </w:r>
        <w:r>
          <w:rPr>
            <w:webHidden/>
          </w:rPr>
        </w:r>
        <w:r>
          <w:rPr>
            <w:webHidden/>
          </w:rPr>
          <w:fldChar w:fldCharType="separate"/>
        </w:r>
        <w:r w:rsidR="007E133A">
          <w:rPr>
            <w:webHidden/>
          </w:rPr>
          <w:t>52</w:t>
        </w:r>
        <w:r>
          <w:rPr>
            <w:webHidden/>
          </w:rPr>
          <w:fldChar w:fldCharType="end"/>
        </w:r>
      </w:hyperlink>
    </w:p>
    <w:p w14:paraId="15C44D90" w14:textId="2EF19BED" w:rsidR="004F2052" w:rsidRDefault="004F2052">
      <w:pPr>
        <w:pStyle w:val="TOC2"/>
        <w:rPr>
          <w:rFonts w:asciiTheme="minorHAnsi" w:eastAsiaTheme="minorEastAsia" w:hAnsiTheme="minorHAnsi" w:cstheme="minorBidi"/>
          <w:b w:val="0"/>
          <w:caps w:val="0"/>
          <w:color w:val="auto"/>
          <w:kern w:val="2"/>
          <w:sz w:val="24"/>
          <w:lang w:val="en-US" w:eastAsia="en-US"/>
          <w14:ligatures w14:val="standardContextual"/>
        </w:rPr>
      </w:pPr>
      <w:hyperlink w:anchor="_Toc230426008" w:history="1">
        <w:r w:rsidRPr="00B507A0">
          <w:rPr>
            <w:rStyle w:val="Hyperlink"/>
          </w:rPr>
          <w:t>3.5</w:t>
        </w:r>
        <w:r>
          <w:rPr>
            <w:rFonts w:asciiTheme="minorHAnsi" w:eastAsiaTheme="minorEastAsia" w:hAnsiTheme="minorHAnsi" w:cstheme="minorBidi"/>
            <w:b w:val="0"/>
            <w:caps w:val="0"/>
            <w:color w:val="auto"/>
            <w:kern w:val="2"/>
            <w:sz w:val="24"/>
            <w:lang w:val="en-US" w:eastAsia="en-US"/>
            <w14:ligatures w14:val="standardContextual"/>
          </w:rPr>
          <w:tab/>
        </w:r>
        <w:r w:rsidRPr="00B507A0">
          <w:rPr>
            <w:rStyle w:val="Hyperlink"/>
          </w:rPr>
          <w:t>Aspects humains</w:t>
        </w:r>
        <w:r>
          <w:rPr>
            <w:webHidden/>
          </w:rPr>
          <w:tab/>
        </w:r>
        <w:r>
          <w:rPr>
            <w:webHidden/>
          </w:rPr>
          <w:fldChar w:fldCharType="begin"/>
        </w:r>
        <w:r>
          <w:rPr>
            <w:webHidden/>
          </w:rPr>
          <w:instrText xml:space="preserve"> PAGEREF _Toc230426008 \h </w:instrText>
        </w:r>
        <w:r>
          <w:rPr>
            <w:webHidden/>
          </w:rPr>
        </w:r>
        <w:r>
          <w:rPr>
            <w:webHidden/>
          </w:rPr>
          <w:fldChar w:fldCharType="separate"/>
        </w:r>
        <w:r w:rsidR="007E133A">
          <w:rPr>
            <w:webHidden/>
          </w:rPr>
          <w:t>52</w:t>
        </w:r>
        <w:r>
          <w:rPr>
            <w:webHidden/>
          </w:rPr>
          <w:fldChar w:fldCharType="end"/>
        </w:r>
      </w:hyperlink>
    </w:p>
    <w:p w14:paraId="26E04AAE" w14:textId="05991411"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09" w:history="1">
        <w:r w:rsidRPr="00B507A0">
          <w:rPr>
            <w:rStyle w:val="Hyperlink"/>
          </w:rPr>
          <w:t>3.5.1</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Contexte géographique et administratif</w:t>
        </w:r>
        <w:r>
          <w:rPr>
            <w:webHidden/>
          </w:rPr>
          <w:tab/>
        </w:r>
        <w:r>
          <w:rPr>
            <w:webHidden/>
          </w:rPr>
          <w:fldChar w:fldCharType="begin"/>
        </w:r>
        <w:r>
          <w:rPr>
            <w:webHidden/>
          </w:rPr>
          <w:instrText xml:space="preserve"> PAGEREF _Toc230426009 \h </w:instrText>
        </w:r>
        <w:r>
          <w:rPr>
            <w:webHidden/>
          </w:rPr>
        </w:r>
        <w:r>
          <w:rPr>
            <w:webHidden/>
          </w:rPr>
          <w:fldChar w:fldCharType="separate"/>
        </w:r>
        <w:r w:rsidR="007E133A">
          <w:rPr>
            <w:webHidden/>
          </w:rPr>
          <w:t>52</w:t>
        </w:r>
        <w:r>
          <w:rPr>
            <w:webHidden/>
          </w:rPr>
          <w:fldChar w:fldCharType="end"/>
        </w:r>
      </w:hyperlink>
    </w:p>
    <w:p w14:paraId="059DC5FD" w14:textId="0920C248"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10" w:history="1">
        <w:r w:rsidRPr="00B507A0">
          <w:rPr>
            <w:rStyle w:val="Hyperlink"/>
          </w:rPr>
          <w:t>3.5.2</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Population et démographie</w:t>
        </w:r>
        <w:r>
          <w:rPr>
            <w:webHidden/>
          </w:rPr>
          <w:tab/>
        </w:r>
        <w:r>
          <w:rPr>
            <w:webHidden/>
          </w:rPr>
          <w:fldChar w:fldCharType="begin"/>
        </w:r>
        <w:r>
          <w:rPr>
            <w:webHidden/>
          </w:rPr>
          <w:instrText xml:space="preserve"> PAGEREF _Toc230426010 \h </w:instrText>
        </w:r>
        <w:r>
          <w:rPr>
            <w:webHidden/>
          </w:rPr>
        </w:r>
        <w:r>
          <w:rPr>
            <w:webHidden/>
          </w:rPr>
          <w:fldChar w:fldCharType="separate"/>
        </w:r>
        <w:r w:rsidR="007E133A">
          <w:rPr>
            <w:webHidden/>
          </w:rPr>
          <w:t>54</w:t>
        </w:r>
        <w:r>
          <w:rPr>
            <w:webHidden/>
          </w:rPr>
          <w:fldChar w:fldCharType="end"/>
        </w:r>
      </w:hyperlink>
    </w:p>
    <w:p w14:paraId="10C1270C" w14:textId="07F9EA58"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11" w:history="1">
        <w:r w:rsidRPr="00B507A0">
          <w:rPr>
            <w:rStyle w:val="Hyperlink"/>
          </w:rPr>
          <w:t>3.5.3</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Infrastructures sociales</w:t>
        </w:r>
        <w:r>
          <w:rPr>
            <w:webHidden/>
          </w:rPr>
          <w:tab/>
        </w:r>
        <w:r>
          <w:rPr>
            <w:webHidden/>
          </w:rPr>
          <w:fldChar w:fldCharType="begin"/>
        </w:r>
        <w:r>
          <w:rPr>
            <w:webHidden/>
          </w:rPr>
          <w:instrText xml:space="preserve"> PAGEREF _Toc230426011 \h </w:instrText>
        </w:r>
        <w:r>
          <w:rPr>
            <w:webHidden/>
          </w:rPr>
        </w:r>
        <w:r>
          <w:rPr>
            <w:webHidden/>
          </w:rPr>
          <w:fldChar w:fldCharType="separate"/>
        </w:r>
        <w:r w:rsidR="007E133A">
          <w:rPr>
            <w:webHidden/>
          </w:rPr>
          <w:t>57</w:t>
        </w:r>
        <w:r>
          <w:rPr>
            <w:webHidden/>
          </w:rPr>
          <w:fldChar w:fldCharType="end"/>
        </w:r>
      </w:hyperlink>
    </w:p>
    <w:p w14:paraId="5D03AA4F" w14:textId="2845E02A"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12" w:history="1">
        <w:r w:rsidRPr="00B507A0">
          <w:rPr>
            <w:rStyle w:val="Hyperlink"/>
          </w:rPr>
          <w:t>3.5.4</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Situation des EAS-HS  à Madagascar</w:t>
        </w:r>
        <w:r>
          <w:rPr>
            <w:webHidden/>
          </w:rPr>
          <w:tab/>
        </w:r>
        <w:r>
          <w:rPr>
            <w:webHidden/>
          </w:rPr>
          <w:fldChar w:fldCharType="begin"/>
        </w:r>
        <w:r>
          <w:rPr>
            <w:webHidden/>
          </w:rPr>
          <w:instrText xml:space="preserve"> PAGEREF _Toc230426012 \h </w:instrText>
        </w:r>
        <w:r>
          <w:rPr>
            <w:webHidden/>
          </w:rPr>
        </w:r>
        <w:r>
          <w:rPr>
            <w:webHidden/>
          </w:rPr>
          <w:fldChar w:fldCharType="separate"/>
        </w:r>
        <w:r w:rsidR="007E133A">
          <w:rPr>
            <w:webHidden/>
          </w:rPr>
          <w:t>59</w:t>
        </w:r>
        <w:r>
          <w:rPr>
            <w:webHidden/>
          </w:rPr>
          <w:fldChar w:fldCharType="end"/>
        </w:r>
      </w:hyperlink>
    </w:p>
    <w:p w14:paraId="70A98651" w14:textId="18A9BC57"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13" w:history="1">
        <w:r w:rsidRPr="00B507A0">
          <w:rPr>
            <w:rStyle w:val="Hyperlink"/>
          </w:rPr>
          <w:t>3.5.5</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Gestion des litiges dans les communautés</w:t>
        </w:r>
        <w:r>
          <w:rPr>
            <w:webHidden/>
          </w:rPr>
          <w:tab/>
        </w:r>
        <w:r>
          <w:rPr>
            <w:webHidden/>
          </w:rPr>
          <w:fldChar w:fldCharType="begin"/>
        </w:r>
        <w:r>
          <w:rPr>
            <w:webHidden/>
          </w:rPr>
          <w:instrText xml:space="preserve"> PAGEREF _Toc230426013 \h </w:instrText>
        </w:r>
        <w:r>
          <w:rPr>
            <w:webHidden/>
          </w:rPr>
        </w:r>
        <w:r>
          <w:rPr>
            <w:webHidden/>
          </w:rPr>
          <w:fldChar w:fldCharType="separate"/>
        </w:r>
        <w:r w:rsidR="007E133A">
          <w:rPr>
            <w:webHidden/>
          </w:rPr>
          <w:t>60</w:t>
        </w:r>
        <w:r>
          <w:rPr>
            <w:webHidden/>
          </w:rPr>
          <w:fldChar w:fldCharType="end"/>
        </w:r>
      </w:hyperlink>
    </w:p>
    <w:p w14:paraId="3292C7AA" w14:textId="3A45713C"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14" w:history="1">
        <w:r w:rsidRPr="00B507A0">
          <w:rPr>
            <w:rStyle w:val="Hyperlink"/>
          </w:rPr>
          <w:t>3.5.6</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Contexte économique</w:t>
        </w:r>
        <w:r>
          <w:rPr>
            <w:webHidden/>
          </w:rPr>
          <w:tab/>
        </w:r>
        <w:r>
          <w:rPr>
            <w:webHidden/>
          </w:rPr>
          <w:fldChar w:fldCharType="begin"/>
        </w:r>
        <w:r>
          <w:rPr>
            <w:webHidden/>
          </w:rPr>
          <w:instrText xml:space="preserve"> PAGEREF _Toc230426014 \h </w:instrText>
        </w:r>
        <w:r>
          <w:rPr>
            <w:webHidden/>
          </w:rPr>
        </w:r>
        <w:r>
          <w:rPr>
            <w:webHidden/>
          </w:rPr>
          <w:fldChar w:fldCharType="separate"/>
        </w:r>
        <w:r w:rsidR="007E133A">
          <w:rPr>
            <w:webHidden/>
          </w:rPr>
          <w:t>61</w:t>
        </w:r>
        <w:r>
          <w:rPr>
            <w:webHidden/>
          </w:rPr>
          <w:fldChar w:fldCharType="end"/>
        </w:r>
      </w:hyperlink>
    </w:p>
    <w:p w14:paraId="44029083" w14:textId="05302489" w:rsidR="004F2052" w:rsidRDefault="004F2052">
      <w:pPr>
        <w:pStyle w:val="TOC2"/>
        <w:rPr>
          <w:rFonts w:asciiTheme="minorHAnsi" w:eastAsiaTheme="minorEastAsia" w:hAnsiTheme="minorHAnsi" w:cstheme="minorBidi"/>
          <w:b w:val="0"/>
          <w:caps w:val="0"/>
          <w:color w:val="auto"/>
          <w:kern w:val="2"/>
          <w:sz w:val="24"/>
          <w:lang w:val="en-US" w:eastAsia="en-US"/>
          <w14:ligatures w14:val="standardContextual"/>
        </w:rPr>
      </w:pPr>
      <w:hyperlink w:anchor="_Toc230426015" w:history="1">
        <w:r w:rsidRPr="00B507A0">
          <w:rPr>
            <w:rStyle w:val="Hyperlink"/>
          </w:rPr>
          <w:t>3.6</w:t>
        </w:r>
        <w:r>
          <w:rPr>
            <w:rFonts w:asciiTheme="minorHAnsi" w:eastAsiaTheme="minorEastAsia" w:hAnsiTheme="minorHAnsi" w:cstheme="minorBidi"/>
            <w:b w:val="0"/>
            <w:caps w:val="0"/>
            <w:color w:val="auto"/>
            <w:kern w:val="2"/>
            <w:sz w:val="24"/>
            <w:lang w:val="en-US" w:eastAsia="en-US"/>
            <w14:ligatures w14:val="standardContextual"/>
          </w:rPr>
          <w:tab/>
        </w:r>
        <w:r w:rsidRPr="00B507A0">
          <w:rPr>
            <w:rStyle w:val="Hyperlink"/>
          </w:rPr>
          <w:t>ENJEUX ENVIRONNEMENTAUX ET SOCIAUX GLOBAUX</w:t>
        </w:r>
        <w:r>
          <w:rPr>
            <w:webHidden/>
          </w:rPr>
          <w:tab/>
        </w:r>
        <w:r>
          <w:rPr>
            <w:webHidden/>
          </w:rPr>
          <w:fldChar w:fldCharType="begin"/>
        </w:r>
        <w:r>
          <w:rPr>
            <w:webHidden/>
          </w:rPr>
          <w:instrText xml:space="preserve"> PAGEREF _Toc230426015 \h </w:instrText>
        </w:r>
        <w:r>
          <w:rPr>
            <w:webHidden/>
          </w:rPr>
        </w:r>
        <w:r>
          <w:rPr>
            <w:webHidden/>
          </w:rPr>
          <w:fldChar w:fldCharType="separate"/>
        </w:r>
        <w:r w:rsidR="007E133A">
          <w:rPr>
            <w:webHidden/>
          </w:rPr>
          <w:t>64</w:t>
        </w:r>
        <w:r>
          <w:rPr>
            <w:webHidden/>
          </w:rPr>
          <w:fldChar w:fldCharType="end"/>
        </w:r>
      </w:hyperlink>
    </w:p>
    <w:p w14:paraId="316EBD91" w14:textId="5EA9D14A"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16" w:history="1">
        <w:r w:rsidRPr="00B507A0">
          <w:rPr>
            <w:rStyle w:val="Hyperlink"/>
          </w:rPr>
          <w:t>3.6.1</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Enjeux biologiques</w:t>
        </w:r>
        <w:r>
          <w:rPr>
            <w:webHidden/>
          </w:rPr>
          <w:tab/>
        </w:r>
        <w:r>
          <w:rPr>
            <w:webHidden/>
          </w:rPr>
          <w:fldChar w:fldCharType="begin"/>
        </w:r>
        <w:r>
          <w:rPr>
            <w:webHidden/>
          </w:rPr>
          <w:instrText xml:space="preserve"> PAGEREF _Toc230426016 \h </w:instrText>
        </w:r>
        <w:r>
          <w:rPr>
            <w:webHidden/>
          </w:rPr>
        </w:r>
        <w:r>
          <w:rPr>
            <w:webHidden/>
          </w:rPr>
          <w:fldChar w:fldCharType="separate"/>
        </w:r>
        <w:r w:rsidR="007E133A">
          <w:rPr>
            <w:webHidden/>
          </w:rPr>
          <w:t>64</w:t>
        </w:r>
        <w:r>
          <w:rPr>
            <w:webHidden/>
          </w:rPr>
          <w:fldChar w:fldCharType="end"/>
        </w:r>
      </w:hyperlink>
    </w:p>
    <w:p w14:paraId="006B4490" w14:textId="24A95686"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17" w:history="1">
        <w:r w:rsidRPr="00B507A0">
          <w:rPr>
            <w:rStyle w:val="Hyperlink"/>
          </w:rPr>
          <w:t>3.6.2</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Enjeux physiques</w:t>
        </w:r>
        <w:r>
          <w:rPr>
            <w:webHidden/>
          </w:rPr>
          <w:tab/>
        </w:r>
        <w:r>
          <w:rPr>
            <w:webHidden/>
          </w:rPr>
          <w:fldChar w:fldCharType="begin"/>
        </w:r>
        <w:r>
          <w:rPr>
            <w:webHidden/>
          </w:rPr>
          <w:instrText xml:space="preserve"> PAGEREF _Toc230426017 \h </w:instrText>
        </w:r>
        <w:r>
          <w:rPr>
            <w:webHidden/>
          </w:rPr>
        </w:r>
        <w:r>
          <w:rPr>
            <w:webHidden/>
          </w:rPr>
          <w:fldChar w:fldCharType="separate"/>
        </w:r>
        <w:r w:rsidR="007E133A">
          <w:rPr>
            <w:webHidden/>
          </w:rPr>
          <w:t>65</w:t>
        </w:r>
        <w:r>
          <w:rPr>
            <w:webHidden/>
          </w:rPr>
          <w:fldChar w:fldCharType="end"/>
        </w:r>
      </w:hyperlink>
    </w:p>
    <w:p w14:paraId="2E31F678" w14:textId="4E96363E"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18" w:history="1">
        <w:r w:rsidRPr="00B507A0">
          <w:rPr>
            <w:rStyle w:val="Hyperlink"/>
          </w:rPr>
          <w:t>3.6.3</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Enjeux humains</w:t>
        </w:r>
        <w:r>
          <w:rPr>
            <w:webHidden/>
          </w:rPr>
          <w:tab/>
        </w:r>
        <w:r>
          <w:rPr>
            <w:webHidden/>
          </w:rPr>
          <w:fldChar w:fldCharType="begin"/>
        </w:r>
        <w:r>
          <w:rPr>
            <w:webHidden/>
          </w:rPr>
          <w:instrText xml:space="preserve"> PAGEREF _Toc230426018 \h </w:instrText>
        </w:r>
        <w:r>
          <w:rPr>
            <w:webHidden/>
          </w:rPr>
        </w:r>
        <w:r>
          <w:rPr>
            <w:webHidden/>
          </w:rPr>
          <w:fldChar w:fldCharType="separate"/>
        </w:r>
        <w:r w:rsidR="007E133A">
          <w:rPr>
            <w:webHidden/>
          </w:rPr>
          <w:t>66</w:t>
        </w:r>
        <w:r>
          <w:rPr>
            <w:webHidden/>
          </w:rPr>
          <w:fldChar w:fldCharType="end"/>
        </w:r>
      </w:hyperlink>
    </w:p>
    <w:p w14:paraId="4DC92F3D" w14:textId="1E1E690A" w:rsidR="004F2052" w:rsidRDefault="004F2052">
      <w:pPr>
        <w:pStyle w:val="TOC1"/>
        <w:rPr>
          <w:rFonts w:asciiTheme="minorHAnsi" w:eastAsiaTheme="minorEastAsia" w:hAnsiTheme="minorHAnsi" w:cstheme="minorBidi"/>
          <w:b w:val="0"/>
          <w:caps w:val="0"/>
          <w:color w:val="auto"/>
          <w:kern w:val="2"/>
          <w:lang w:val="en-US" w:eastAsia="en-US"/>
          <w14:ligatures w14:val="standardContextual"/>
        </w:rPr>
      </w:pPr>
      <w:hyperlink w:anchor="_Toc230426019" w:history="1">
        <w:r w:rsidRPr="00B507A0">
          <w:rPr>
            <w:rStyle w:val="Hyperlink"/>
          </w:rPr>
          <w:t>4</w:t>
        </w:r>
        <w:r>
          <w:rPr>
            <w:rFonts w:asciiTheme="minorHAnsi" w:eastAsiaTheme="minorEastAsia" w:hAnsiTheme="minorHAnsi" w:cstheme="minorBidi"/>
            <w:b w:val="0"/>
            <w:caps w:val="0"/>
            <w:color w:val="auto"/>
            <w:kern w:val="2"/>
            <w:lang w:val="en-US" w:eastAsia="en-US"/>
            <w14:ligatures w14:val="standardContextual"/>
          </w:rPr>
          <w:tab/>
        </w:r>
        <w:r w:rsidRPr="00B507A0">
          <w:rPr>
            <w:rStyle w:val="Hyperlink"/>
          </w:rPr>
          <w:t>CADRES POLITIQUE, JURIDIQUE ET INSTITUTIONNEL</w:t>
        </w:r>
        <w:r>
          <w:rPr>
            <w:webHidden/>
          </w:rPr>
          <w:tab/>
        </w:r>
        <w:r>
          <w:rPr>
            <w:webHidden/>
          </w:rPr>
          <w:fldChar w:fldCharType="begin"/>
        </w:r>
        <w:r>
          <w:rPr>
            <w:webHidden/>
          </w:rPr>
          <w:instrText xml:space="preserve"> PAGEREF _Toc230426019 \h </w:instrText>
        </w:r>
        <w:r>
          <w:rPr>
            <w:webHidden/>
          </w:rPr>
        </w:r>
        <w:r>
          <w:rPr>
            <w:webHidden/>
          </w:rPr>
          <w:fldChar w:fldCharType="separate"/>
        </w:r>
        <w:r w:rsidR="007E133A">
          <w:rPr>
            <w:webHidden/>
          </w:rPr>
          <w:t>67</w:t>
        </w:r>
        <w:r>
          <w:rPr>
            <w:webHidden/>
          </w:rPr>
          <w:fldChar w:fldCharType="end"/>
        </w:r>
      </w:hyperlink>
    </w:p>
    <w:p w14:paraId="3A260DBE" w14:textId="7CBDA9FE" w:rsidR="004F2052" w:rsidRDefault="004F2052">
      <w:pPr>
        <w:pStyle w:val="TOC2"/>
        <w:rPr>
          <w:rFonts w:asciiTheme="minorHAnsi" w:eastAsiaTheme="minorEastAsia" w:hAnsiTheme="minorHAnsi" w:cstheme="minorBidi"/>
          <w:b w:val="0"/>
          <w:caps w:val="0"/>
          <w:color w:val="auto"/>
          <w:kern w:val="2"/>
          <w:sz w:val="24"/>
          <w:lang w:val="en-US" w:eastAsia="en-US"/>
          <w14:ligatures w14:val="standardContextual"/>
        </w:rPr>
      </w:pPr>
      <w:hyperlink w:anchor="_Toc230426020" w:history="1">
        <w:r w:rsidRPr="00B507A0">
          <w:rPr>
            <w:rStyle w:val="Hyperlink"/>
          </w:rPr>
          <w:t>4.1</w:t>
        </w:r>
        <w:r>
          <w:rPr>
            <w:rFonts w:asciiTheme="minorHAnsi" w:eastAsiaTheme="minorEastAsia" w:hAnsiTheme="minorHAnsi" w:cstheme="minorBidi"/>
            <w:b w:val="0"/>
            <w:caps w:val="0"/>
            <w:color w:val="auto"/>
            <w:kern w:val="2"/>
            <w:sz w:val="24"/>
            <w:lang w:val="en-US" w:eastAsia="en-US"/>
            <w14:ligatures w14:val="standardContextual"/>
          </w:rPr>
          <w:tab/>
        </w:r>
        <w:r w:rsidRPr="00B507A0">
          <w:rPr>
            <w:rStyle w:val="Hyperlink"/>
          </w:rPr>
          <w:t>CADRE POLITIQUE</w:t>
        </w:r>
        <w:r>
          <w:rPr>
            <w:webHidden/>
          </w:rPr>
          <w:tab/>
        </w:r>
        <w:r>
          <w:rPr>
            <w:webHidden/>
          </w:rPr>
          <w:fldChar w:fldCharType="begin"/>
        </w:r>
        <w:r>
          <w:rPr>
            <w:webHidden/>
          </w:rPr>
          <w:instrText xml:space="preserve"> PAGEREF _Toc230426020 \h </w:instrText>
        </w:r>
        <w:r>
          <w:rPr>
            <w:webHidden/>
          </w:rPr>
        </w:r>
        <w:r>
          <w:rPr>
            <w:webHidden/>
          </w:rPr>
          <w:fldChar w:fldCharType="separate"/>
        </w:r>
        <w:r w:rsidR="007E133A">
          <w:rPr>
            <w:webHidden/>
          </w:rPr>
          <w:t>67</w:t>
        </w:r>
        <w:r>
          <w:rPr>
            <w:webHidden/>
          </w:rPr>
          <w:fldChar w:fldCharType="end"/>
        </w:r>
      </w:hyperlink>
    </w:p>
    <w:p w14:paraId="60E9F442" w14:textId="1FAC1035"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21" w:history="1">
        <w:r w:rsidRPr="00B507A0">
          <w:rPr>
            <w:rStyle w:val="Hyperlink"/>
          </w:rPr>
          <w:t>4.1.1</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Politique nationale de l’Environnement pour le développement durable (PNEDD)</w:t>
        </w:r>
        <w:r>
          <w:rPr>
            <w:webHidden/>
          </w:rPr>
          <w:tab/>
        </w:r>
        <w:r>
          <w:rPr>
            <w:webHidden/>
          </w:rPr>
          <w:fldChar w:fldCharType="begin"/>
        </w:r>
        <w:r>
          <w:rPr>
            <w:webHidden/>
          </w:rPr>
          <w:instrText xml:space="preserve"> PAGEREF _Toc230426021 \h </w:instrText>
        </w:r>
        <w:r>
          <w:rPr>
            <w:webHidden/>
          </w:rPr>
        </w:r>
        <w:r>
          <w:rPr>
            <w:webHidden/>
          </w:rPr>
          <w:fldChar w:fldCharType="separate"/>
        </w:r>
        <w:r w:rsidR="007E133A">
          <w:rPr>
            <w:webHidden/>
          </w:rPr>
          <w:t>67</w:t>
        </w:r>
        <w:r>
          <w:rPr>
            <w:webHidden/>
          </w:rPr>
          <w:fldChar w:fldCharType="end"/>
        </w:r>
      </w:hyperlink>
    </w:p>
    <w:p w14:paraId="0A4C77B3" w14:textId="58C091E8"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22" w:history="1">
        <w:r w:rsidRPr="00B507A0">
          <w:rPr>
            <w:rStyle w:val="Hyperlink"/>
          </w:rPr>
          <w:t>4.1.2</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Politique nationale des transports</w:t>
        </w:r>
        <w:r>
          <w:rPr>
            <w:webHidden/>
          </w:rPr>
          <w:tab/>
        </w:r>
        <w:r>
          <w:rPr>
            <w:webHidden/>
          </w:rPr>
          <w:fldChar w:fldCharType="begin"/>
        </w:r>
        <w:r>
          <w:rPr>
            <w:webHidden/>
          </w:rPr>
          <w:instrText xml:space="preserve"> PAGEREF _Toc230426022 \h </w:instrText>
        </w:r>
        <w:r>
          <w:rPr>
            <w:webHidden/>
          </w:rPr>
        </w:r>
        <w:r>
          <w:rPr>
            <w:webHidden/>
          </w:rPr>
          <w:fldChar w:fldCharType="separate"/>
        </w:r>
        <w:r w:rsidR="007E133A">
          <w:rPr>
            <w:webHidden/>
          </w:rPr>
          <w:t>67</w:t>
        </w:r>
        <w:r>
          <w:rPr>
            <w:webHidden/>
          </w:rPr>
          <w:fldChar w:fldCharType="end"/>
        </w:r>
      </w:hyperlink>
    </w:p>
    <w:p w14:paraId="3298BAD6" w14:textId="15AC1A76"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23" w:history="1">
        <w:r w:rsidRPr="00B507A0">
          <w:rPr>
            <w:rStyle w:val="Hyperlink"/>
          </w:rPr>
          <w:t>4.1.3</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Politique nationale de lutte contre le changement climatique</w:t>
        </w:r>
        <w:r>
          <w:rPr>
            <w:webHidden/>
          </w:rPr>
          <w:tab/>
        </w:r>
        <w:r>
          <w:rPr>
            <w:webHidden/>
          </w:rPr>
          <w:fldChar w:fldCharType="begin"/>
        </w:r>
        <w:r>
          <w:rPr>
            <w:webHidden/>
          </w:rPr>
          <w:instrText xml:space="preserve"> PAGEREF _Toc230426023 \h </w:instrText>
        </w:r>
        <w:r>
          <w:rPr>
            <w:webHidden/>
          </w:rPr>
        </w:r>
        <w:r>
          <w:rPr>
            <w:webHidden/>
          </w:rPr>
          <w:fldChar w:fldCharType="separate"/>
        </w:r>
        <w:r w:rsidR="007E133A">
          <w:rPr>
            <w:webHidden/>
          </w:rPr>
          <w:t>68</w:t>
        </w:r>
        <w:r>
          <w:rPr>
            <w:webHidden/>
          </w:rPr>
          <w:fldChar w:fldCharType="end"/>
        </w:r>
      </w:hyperlink>
    </w:p>
    <w:p w14:paraId="28446F0C" w14:textId="7551D3FA"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24" w:history="1">
        <w:r w:rsidRPr="00B507A0">
          <w:rPr>
            <w:rStyle w:val="Hyperlink"/>
          </w:rPr>
          <w:t>4.1.4</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Politique et stratégie nationale de lutte contre toutes formes de VBG</w:t>
        </w:r>
        <w:r>
          <w:rPr>
            <w:webHidden/>
          </w:rPr>
          <w:tab/>
        </w:r>
        <w:r>
          <w:rPr>
            <w:webHidden/>
          </w:rPr>
          <w:fldChar w:fldCharType="begin"/>
        </w:r>
        <w:r>
          <w:rPr>
            <w:webHidden/>
          </w:rPr>
          <w:instrText xml:space="preserve"> PAGEREF _Toc230426024 \h </w:instrText>
        </w:r>
        <w:r>
          <w:rPr>
            <w:webHidden/>
          </w:rPr>
        </w:r>
        <w:r>
          <w:rPr>
            <w:webHidden/>
          </w:rPr>
          <w:fldChar w:fldCharType="separate"/>
        </w:r>
        <w:r w:rsidR="007E133A">
          <w:rPr>
            <w:webHidden/>
          </w:rPr>
          <w:t>68</w:t>
        </w:r>
        <w:r>
          <w:rPr>
            <w:webHidden/>
          </w:rPr>
          <w:fldChar w:fldCharType="end"/>
        </w:r>
      </w:hyperlink>
    </w:p>
    <w:p w14:paraId="6464E7E3" w14:textId="6B916F41"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25" w:history="1">
        <w:r w:rsidRPr="00B507A0">
          <w:rPr>
            <w:rStyle w:val="Hyperlink"/>
          </w:rPr>
          <w:t>4.1.5</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Politique nationale pour la promotion de la femme / genre</w:t>
        </w:r>
        <w:r>
          <w:rPr>
            <w:webHidden/>
          </w:rPr>
          <w:tab/>
        </w:r>
        <w:r>
          <w:rPr>
            <w:webHidden/>
          </w:rPr>
          <w:fldChar w:fldCharType="begin"/>
        </w:r>
        <w:r>
          <w:rPr>
            <w:webHidden/>
          </w:rPr>
          <w:instrText xml:space="preserve"> PAGEREF _Toc230426025 \h </w:instrText>
        </w:r>
        <w:r>
          <w:rPr>
            <w:webHidden/>
          </w:rPr>
        </w:r>
        <w:r>
          <w:rPr>
            <w:webHidden/>
          </w:rPr>
          <w:fldChar w:fldCharType="separate"/>
        </w:r>
        <w:r w:rsidR="007E133A">
          <w:rPr>
            <w:webHidden/>
          </w:rPr>
          <w:t>69</w:t>
        </w:r>
        <w:r>
          <w:rPr>
            <w:webHidden/>
          </w:rPr>
          <w:fldChar w:fldCharType="end"/>
        </w:r>
      </w:hyperlink>
    </w:p>
    <w:p w14:paraId="0E20E914" w14:textId="751EF06F"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26" w:history="1">
        <w:r w:rsidRPr="00B507A0">
          <w:rPr>
            <w:rStyle w:val="Hyperlink"/>
          </w:rPr>
          <w:t>4.1.6</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Politique nationale de santé et environnement</w:t>
        </w:r>
        <w:r>
          <w:rPr>
            <w:webHidden/>
          </w:rPr>
          <w:tab/>
        </w:r>
        <w:r>
          <w:rPr>
            <w:webHidden/>
          </w:rPr>
          <w:fldChar w:fldCharType="begin"/>
        </w:r>
        <w:r>
          <w:rPr>
            <w:webHidden/>
          </w:rPr>
          <w:instrText xml:space="preserve"> PAGEREF _Toc230426026 \h </w:instrText>
        </w:r>
        <w:r>
          <w:rPr>
            <w:webHidden/>
          </w:rPr>
        </w:r>
        <w:r>
          <w:rPr>
            <w:webHidden/>
          </w:rPr>
          <w:fldChar w:fldCharType="separate"/>
        </w:r>
        <w:r w:rsidR="007E133A">
          <w:rPr>
            <w:webHidden/>
          </w:rPr>
          <w:t>69</w:t>
        </w:r>
        <w:r>
          <w:rPr>
            <w:webHidden/>
          </w:rPr>
          <w:fldChar w:fldCharType="end"/>
        </w:r>
      </w:hyperlink>
    </w:p>
    <w:p w14:paraId="1F9A502D" w14:textId="3717FA9E"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27" w:history="1">
        <w:r w:rsidRPr="00B507A0">
          <w:rPr>
            <w:rStyle w:val="Hyperlink"/>
          </w:rPr>
          <w:t>4.1.7</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Politique nationale de la population pour le développement économique et sociale</w:t>
        </w:r>
        <w:r>
          <w:rPr>
            <w:webHidden/>
          </w:rPr>
          <w:tab/>
        </w:r>
        <w:r>
          <w:rPr>
            <w:webHidden/>
          </w:rPr>
          <w:fldChar w:fldCharType="begin"/>
        </w:r>
        <w:r>
          <w:rPr>
            <w:webHidden/>
          </w:rPr>
          <w:instrText xml:space="preserve"> PAGEREF _Toc230426027 \h </w:instrText>
        </w:r>
        <w:r>
          <w:rPr>
            <w:webHidden/>
          </w:rPr>
        </w:r>
        <w:r>
          <w:rPr>
            <w:webHidden/>
          </w:rPr>
          <w:fldChar w:fldCharType="separate"/>
        </w:r>
        <w:r w:rsidR="007E133A">
          <w:rPr>
            <w:webHidden/>
          </w:rPr>
          <w:t>70</w:t>
        </w:r>
        <w:r>
          <w:rPr>
            <w:webHidden/>
          </w:rPr>
          <w:fldChar w:fldCharType="end"/>
        </w:r>
      </w:hyperlink>
    </w:p>
    <w:p w14:paraId="7E0292C1" w14:textId="5BB98E23"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28" w:history="1">
        <w:r w:rsidRPr="00B507A0">
          <w:rPr>
            <w:rStyle w:val="Hyperlink"/>
          </w:rPr>
          <w:t>4.1.8</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Politique nationale de riposte aux IST et VIH / SIDA dans le monde du travail</w:t>
        </w:r>
        <w:r>
          <w:rPr>
            <w:webHidden/>
          </w:rPr>
          <w:tab/>
        </w:r>
        <w:r>
          <w:rPr>
            <w:webHidden/>
          </w:rPr>
          <w:fldChar w:fldCharType="begin"/>
        </w:r>
        <w:r>
          <w:rPr>
            <w:webHidden/>
          </w:rPr>
          <w:instrText xml:space="preserve"> PAGEREF _Toc230426028 \h </w:instrText>
        </w:r>
        <w:r>
          <w:rPr>
            <w:webHidden/>
          </w:rPr>
        </w:r>
        <w:r>
          <w:rPr>
            <w:webHidden/>
          </w:rPr>
          <w:fldChar w:fldCharType="separate"/>
        </w:r>
        <w:r w:rsidR="007E133A">
          <w:rPr>
            <w:webHidden/>
          </w:rPr>
          <w:t>70</w:t>
        </w:r>
        <w:r>
          <w:rPr>
            <w:webHidden/>
          </w:rPr>
          <w:fldChar w:fldCharType="end"/>
        </w:r>
      </w:hyperlink>
    </w:p>
    <w:p w14:paraId="43C4F019" w14:textId="169A1A70"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29" w:history="1">
        <w:r w:rsidRPr="00B507A0">
          <w:rPr>
            <w:rStyle w:val="Hyperlink"/>
          </w:rPr>
          <w:t>4.1.9</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Politique de décentralisation</w:t>
        </w:r>
        <w:r>
          <w:rPr>
            <w:webHidden/>
          </w:rPr>
          <w:tab/>
        </w:r>
        <w:r>
          <w:rPr>
            <w:webHidden/>
          </w:rPr>
          <w:fldChar w:fldCharType="begin"/>
        </w:r>
        <w:r>
          <w:rPr>
            <w:webHidden/>
          </w:rPr>
          <w:instrText xml:space="preserve"> PAGEREF _Toc230426029 \h </w:instrText>
        </w:r>
        <w:r>
          <w:rPr>
            <w:webHidden/>
          </w:rPr>
        </w:r>
        <w:r>
          <w:rPr>
            <w:webHidden/>
          </w:rPr>
          <w:fldChar w:fldCharType="separate"/>
        </w:r>
        <w:r w:rsidR="007E133A">
          <w:rPr>
            <w:webHidden/>
          </w:rPr>
          <w:t>71</w:t>
        </w:r>
        <w:r>
          <w:rPr>
            <w:webHidden/>
          </w:rPr>
          <w:fldChar w:fldCharType="end"/>
        </w:r>
      </w:hyperlink>
    </w:p>
    <w:p w14:paraId="753BBDD4" w14:textId="4360E4E4" w:rsidR="004F2052" w:rsidRDefault="004F2052">
      <w:pPr>
        <w:pStyle w:val="TOC2"/>
        <w:rPr>
          <w:rFonts w:asciiTheme="minorHAnsi" w:eastAsiaTheme="minorEastAsia" w:hAnsiTheme="minorHAnsi" w:cstheme="minorBidi"/>
          <w:b w:val="0"/>
          <w:caps w:val="0"/>
          <w:color w:val="auto"/>
          <w:kern w:val="2"/>
          <w:sz w:val="24"/>
          <w:lang w:val="en-US" w:eastAsia="en-US"/>
          <w14:ligatures w14:val="standardContextual"/>
        </w:rPr>
      </w:pPr>
      <w:hyperlink w:anchor="_Toc230426030" w:history="1">
        <w:r w:rsidRPr="00B507A0">
          <w:rPr>
            <w:rStyle w:val="Hyperlink"/>
          </w:rPr>
          <w:t>4.2</w:t>
        </w:r>
        <w:r>
          <w:rPr>
            <w:rFonts w:asciiTheme="minorHAnsi" w:eastAsiaTheme="minorEastAsia" w:hAnsiTheme="minorHAnsi" w:cstheme="minorBidi"/>
            <w:b w:val="0"/>
            <w:caps w:val="0"/>
            <w:color w:val="auto"/>
            <w:kern w:val="2"/>
            <w:sz w:val="24"/>
            <w:lang w:val="en-US" w:eastAsia="en-US"/>
            <w14:ligatures w14:val="standardContextual"/>
          </w:rPr>
          <w:tab/>
        </w:r>
        <w:r w:rsidRPr="00B507A0">
          <w:rPr>
            <w:rStyle w:val="Hyperlink"/>
          </w:rPr>
          <w:t>CADRE JURIDIQUE NATIONAL</w:t>
        </w:r>
        <w:r>
          <w:rPr>
            <w:webHidden/>
          </w:rPr>
          <w:tab/>
        </w:r>
        <w:r>
          <w:rPr>
            <w:webHidden/>
          </w:rPr>
          <w:fldChar w:fldCharType="begin"/>
        </w:r>
        <w:r>
          <w:rPr>
            <w:webHidden/>
          </w:rPr>
          <w:instrText xml:space="preserve"> PAGEREF _Toc230426030 \h </w:instrText>
        </w:r>
        <w:r>
          <w:rPr>
            <w:webHidden/>
          </w:rPr>
        </w:r>
        <w:r>
          <w:rPr>
            <w:webHidden/>
          </w:rPr>
          <w:fldChar w:fldCharType="separate"/>
        </w:r>
        <w:r w:rsidR="007E133A">
          <w:rPr>
            <w:webHidden/>
          </w:rPr>
          <w:t>71</w:t>
        </w:r>
        <w:r>
          <w:rPr>
            <w:webHidden/>
          </w:rPr>
          <w:fldChar w:fldCharType="end"/>
        </w:r>
      </w:hyperlink>
    </w:p>
    <w:p w14:paraId="0FEE6A8D" w14:textId="7FC43A9A"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31" w:history="1">
        <w:r w:rsidRPr="00B507A0">
          <w:rPr>
            <w:rStyle w:val="Hyperlink"/>
          </w:rPr>
          <w:t>4.2.1</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Textes de base sur l’environnement</w:t>
        </w:r>
        <w:r>
          <w:rPr>
            <w:webHidden/>
          </w:rPr>
          <w:tab/>
        </w:r>
        <w:r>
          <w:rPr>
            <w:webHidden/>
          </w:rPr>
          <w:fldChar w:fldCharType="begin"/>
        </w:r>
        <w:r>
          <w:rPr>
            <w:webHidden/>
          </w:rPr>
          <w:instrText xml:space="preserve"> PAGEREF _Toc230426031 \h </w:instrText>
        </w:r>
        <w:r>
          <w:rPr>
            <w:webHidden/>
          </w:rPr>
        </w:r>
        <w:r>
          <w:rPr>
            <w:webHidden/>
          </w:rPr>
          <w:fldChar w:fldCharType="separate"/>
        </w:r>
        <w:r w:rsidR="007E133A">
          <w:rPr>
            <w:webHidden/>
          </w:rPr>
          <w:t>71</w:t>
        </w:r>
        <w:r>
          <w:rPr>
            <w:webHidden/>
          </w:rPr>
          <w:fldChar w:fldCharType="end"/>
        </w:r>
      </w:hyperlink>
    </w:p>
    <w:p w14:paraId="487A5281" w14:textId="47C454A8"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32" w:history="1">
        <w:r w:rsidRPr="00B507A0">
          <w:rPr>
            <w:rStyle w:val="Hyperlink"/>
          </w:rPr>
          <w:t>4.2.2</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Textes de base sur le secteur routier</w:t>
        </w:r>
        <w:r>
          <w:rPr>
            <w:webHidden/>
          </w:rPr>
          <w:tab/>
        </w:r>
        <w:r>
          <w:rPr>
            <w:webHidden/>
          </w:rPr>
          <w:fldChar w:fldCharType="begin"/>
        </w:r>
        <w:r>
          <w:rPr>
            <w:webHidden/>
          </w:rPr>
          <w:instrText xml:space="preserve"> PAGEREF _Toc230426032 \h </w:instrText>
        </w:r>
        <w:r>
          <w:rPr>
            <w:webHidden/>
          </w:rPr>
        </w:r>
        <w:r>
          <w:rPr>
            <w:webHidden/>
          </w:rPr>
          <w:fldChar w:fldCharType="separate"/>
        </w:r>
        <w:r w:rsidR="007E133A">
          <w:rPr>
            <w:webHidden/>
          </w:rPr>
          <w:t>72</w:t>
        </w:r>
        <w:r>
          <w:rPr>
            <w:webHidden/>
          </w:rPr>
          <w:fldChar w:fldCharType="end"/>
        </w:r>
      </w:hyperlink>
    </w:p>
    <w:p w14:paraId="17BBE9F2" w14:textId="12998F5F"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33" w:history="1">
        <w:r w:rsidRPr="00B507A0">
          <w:rPr>
            <w:rStyle w:val="Hyperlink"/>
          </w:rPr>
          <w:t>4.2.3</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Texte de base sur le secteur maritime</w:t>
        </w:r>
        <w:r>
          <w:rPr>
            <w:webHidden/>
          </w:rPr>
          <w:tab/>
        </w:r>
        <w:r>
          <w:rPr>
            <w:webHidden/>
          </w:rPr>
          <w:fldChar w:fldCharType="begin"/>
        </w:r>
        <w:r>
          <w:rPr>
            <w:webHidden/>
          </w:rPr>
          <w:instrText xml:space="preserve"> PAGEREF _Toc230426033 \h </w:instrText>
        </w:r>
        <w:r>
          <w:rPr>
            <w:webHidden/>
          </w:rPr>
        </w:r>
        <w:r>
          <w:rPr>
            <w:webHidden/>
          </w:rPr>
          <w:fldChar w:fldCharType="separate"/>
        </w:r>
        <w:r w:rsidR="007E133A">
          <w:rPr>
            <w:webHidden/>
          </w:rPr>
          <w:t>74</w:t>
        </w:r>
        <w:r>
          <w:rPr>
            <w:webHidden/>
          </w:rPr>
          <w:fldChar w:fldCharType="end"/>
        </w:r>
      </w:hyperlink>
    </w:p>
    <w:p w14:paraId="1F0A9C8B" w14:textId="1CB6BFCD"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34" w:history="1">
        <w:r w:rsidRPr="00B507A0">
          <w:rPr>
            <w:rStyle w:val="Hyperlink"/>
          </w:rPr>
          <w:t>4.2.4</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Autres textes sectoriels</w:t>
        </w:r>
        <w:r>
          <w:rPr>
            <w:webHidden/>
          </w:rPr>
          <w:tab/>
        </w:r>
        <w:r>
          <w:rPr>
            <w:webHidden/>
          </w:rPr>
          <w:fldChar w:fldCharType="begin"/>
        </w:r>
        <w:r>
          <w:rPr>
            <w:webHidden/>
          </w:rPr>
          <w:instrText xml:space="preserve"> PAGEREF _Toc230426034 \h </w:instrText>
        </w:r>
        <w:r>
          <w:rPr>
            <w:webHidden/>
          </w:rPr>
        </w:r>
        <w:r>
          <w:rPr>
            <w:webHidden/>
          </w:rPr>
          <w:fldChar w:fldCharType="separate"/>
        </w:r>
        <w:r w:rsidR="007E133A">
          <w:rPr>
            <w:webHidden/>
          </w:rPr>
          <w:t>74</w:t>
        </w:r>
        <w:r>
          <w:rPr>
            <w:webHidden/>
          </w:rPr>
          <w:fldChar w:fldCharType="end"/>
        </w:r>
      </w:hyperlink>
    </w:p>
    <w:p w14:paraId="752439BD" w14:textId="66129285" w:rsidR="004F2052" w:rsidRDefault="004F2052">
      <w:pPr>
        <w:pStyle w:val="TOC2"/>
        <w:rPr>
          <w:rFonts w:asciiTheme="minorHAnsi" w:eastAsiaTheme="minorEastAsia" w:hAnsiTheme="minorHAnsi" w:cstheme="minorBidi"/>
          <w:b w:val="0"/>
          <w:caps w:val="0"/>
          <w:color w:val="auto"/>
          <w:kern w:val="2"/>
          <w:sz w:val="24"/>
          <w:lang w:val="en-US" w:eastAsia="en-US"/>
          <w14:ligatures w14:val="standardContextual"/>
        </w:rPr>
      </w:pPr>
      <w:hyperlink w:anchor="_Toc230426035" w:history="1">
        <w:r w:rsidRPr="00B507A0">
          <w:rPr>
            <w:rStyle w:val="Hyperlink"/>
          </w:rPr>
          <w:t>4.3</w:t>
        </w:r>
        <w:r>
          <w:rPr>
            <w:rFonts w:asciiTheme="minorHAnsi" w:eastAsiaTheme="minorEastAsia" w:hAnsiTheme="minorHAnsi" w:cstheme="minorBidi"/>
            <w:b w:val="0"/>
            <w:caps w:val="0"/>
            <w:color w:val="auto"/>
            <w:kern w:val="2"/>
            <w:sz w:val="24"/>
            <w:lang w:val="en-US" w:eastAsia="en-US"/>
            <w14:ligatures w14:val="standardContextual"/>
          </w:rPr>
          <w:tab/>
        </w:r>
        <w:r w:rsidRPr="00B507A0">
          <w:rPr>
            <w:rStyle w:val="Hyperlink"/>
          </w:rPr>
          <w:t>CADRE ENVIRONNEMENTAL ET SOCIAL DE LA BANQUE MONDIALE ET ANALYSE COMPARATIVE AVEC LES LEGISLATIONS NATIONALES</w:t>
        </w:r>
        <w:r>
          <w:rPr>
            <w:webHidden/>
          </w:rPr>
          <w:tab/>
        </w:r>
        <w:r>
          <w:rPr>
            <w:webHidden/>
          </w:rPr>
          <w:fldChar w:fldCharType="begin"/>
        </w:r>
        <w:r>
          <w:rPr>
            <w:webHidden/>
          </w:rPr>
          <w:instrText xml:space="preserve"> PAGEREF _Toc230426035 \h </w:instrText>
        </w:r>
        <w:r>
          <w:rPr>
            <w:webHidden/>
          </w:rPr>
        </w:r>
        <w:r>
          <w:rPr>
            <w:webHidden/>
          </w:rPr>
          <w:fldChar w:fldCharType="separate"/>
        </w:r>
        <w:r w:rsidR="007E133A">
          <w:rPr>
            <w:webHidden/>
          </w:rPr>
          <w:t>80</w:t>
        </w:r>
        <w:r>
          <w:rPr>
            <w:webHidden/>
          </w:rPr>
          <w:fldChar w:fldCharType="end"/>
        </w:r>
      </w:hyperlink>
    </w:p>
    <w:p w14:paraId="09C7FF2D" w14:textId="21203F9F"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36" w:history="1">
        <w:r w:rsidRPr="00B507A0">
          <w:rPr>
            <w:rStyle w:val="Hyperlink"/>
          </w:rPr>
          <w:t>4.3.1</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Normes environnementales et sociales pertinentes pour le projet</w:t>
        </w:r>
        <w:r>
          <w:rPr>
            <w:webHidden/>
          </w:rPr>
          <w:tab/>
        </w:r>
        <w:r>
          <w:rPr>
            <w:webHidden/>
          </w:rPr>
          <w:fldChar w:fldCharType="begin"/>
        </w:r>
        <w:r>
          <w:rPr>
            <w:webHidden/>
          </w:rPr>
          <w:instrText xml:space="preserve"> PAGEREF _Toc230426036 \h </w:instrText>
        </w:r>
        <w:r>
          <w:rPr>
            <w:webHidden/>
          </w:rPr>
        </w:r>
        <w:r>
          <w:rPr>
            <w:webHidden/>
          </w:rPr>
          <w:fldChar w:fldCharType="separate"/>
        </w:r>
        <w:r w:rsidR="007E133A">
          <w:rPr>
            <w:webHidden/>
          </w:rPr>
          <w:t>80</w:t>
        </w:r>
        <w:r>
          <w:rPr>
            <w:webHidden/>
          </w:rPr>
          <w:fldChar w:fldCharType="end"/>
        </w:r>
      </w:hyperlink>
    </w:p>
    <w:p w14:paraId="58950A08" w14:textId="371C621B"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37" w:history="1">
        <w:r w:rsidRPr="00B507A0">
          <w:rPr>
            <w:rStyle w:val="Hyperlink"/>
            <w:lang w:val=""/>
          </w:rPr>
          <w:t>4.3.2</w:t>
        </w:r>
        <w:r>
          <w:rPr>
            <w:rFonts w:asciiTheme="minorHAnsi" w:eastAsiaTheme="minorEastAsia" w:hAnsiTheme="minorHAnsi"/>
            <w:smallCaps w:val="0"/>
            <w:color w:val="auto"/>
            <w:kern w:val="2"/>
            <w:sz w:val="24"/>
            <w:szCs w:val="24"/>
            <w:lang w:val="en-US"/>
            <w14:ligatures w14:val="standardContextual"/>
          </w:rPr>
          <w:tab/>
        </w:r>
        <w:r w:rsidRPr="00B507A0">
          <w:rPr>
            <w:rStyle w:val="Hyperlink"/>
            <w:rFonts w:eastAsia="Arial"/>
            <w:lang w:val=""/>
          </w:rPr>
          <w:t>Emploi et conditions de travail</w:t>
        </w:r>
        <w:r>
          <w:rPr>
            <w:webHidden/>
          </w:rPr>
          <w:tab/>
        </w:r>
        <w:r>
          <w:rPr>
            <w:webHidden/>
          </w:rPr>
          <w:fldChar w:fldCharType="begin"/>
        </w:r>
        <w:r>
          <w:rPr>
            <w:webHidden/>
          </w:rPr>
          <w:instrText xml:space="preserve"> PAGEREF _Toc230426037 \h </w:instrText>
        </w:r>
        <w:r>
          <w:rPr>
            <w:webHidden/>
          </w:rPr>
        </w:r>
        <w:r>
          <w:rPr>
            <w:webHidden/>
          </w:rPr>
          <w:fldChar w:fldCharType="separate"/>
        </w:r>
        <w:r w:rsidR="007E133A">
          <w:rPr>
            <w:webHidden/>
          </w:rPr>
          <w:t>84</w:t>
        </w:r>
        <w:r>
          <w:rPr>
            <w:webHidden/>
          </w:rPr>
          <w:fldChar w:fldCharType="end"/>
        </w:r>
      </w:hyperlink>
    </w:p>
    <w:p w14:paraId="68AEC6F2" w14:textId="49995899"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38" w:history="1">
        <w:r w:rsidRPr="00B507A0">
          <w:rPr>
            <w:rStyle w:val="Hyperlink"/>
          </w:rPr>
          <w:t>4.3.3</w:t>
        </w:r>
        <w:r>
          <w:rPr>
            <w:rFonts w:asciiTheme="minorHAnsi" w:eastAsiaTheme="minorEastAsia" w:hAnsiTheme="minorHAnsi"/>
            <w:smallCaps w:val="0"/>
            <w:color w:val="auto"/>
            <w:kern w:val="2"/>
            <w:sz w:val="24"/>
            <w:szCs w:val="24"/>
            <w:lang w:val="en-US"/>
            <w14:ligatures w14:val="standardContextual"/>
          </w:rPr>
          <w:tab/>
        </w:r>
        <w:r w:rsidRPr="00B507A0">
          <w:rPr>
            <w:rStyle w:val="Hyperlink"/>
            <w:rFonts w:eastAsia="Arial"/>
          </w:rPr>
          <w:t>Utilisation rationnelle des ressources, prévention et gestion de la pollution</w:t>
        </w:r>
        <w:r>
          <w:rPr>
            <w:webHidden/>
          </w:rPr>
          <w:tab/>
        </w:r>
        <w:r>
          <w:rPr>
            <w:webHidden/>
          </w:rPr>
          <w:fldChar w:fldCharType="begin"/>
        </w:r>
        <w:r>
          <w:rPr>
            <w:webHidden/>
          </w:rPr>
          <w:instrText xml:space="preserve"> PAGEREF _Toc230426038 \h </w:instrText>
        </w:r>
        <w:r>
          <w:rPr>
            <w:webHidden/>
          </w:rPr>
        </w:r>
        <w:r>
          <w:rPr>
            <w:webHidden/>
          </w:rPr>
          <w:fldChar w:fldCharType="separate"/>
        </w:r>
        <w:r w:rsidR="007E133A">
          <w:rPr>
            <w:webHidden/>
          </w:rPr>
          <w:t>86</w:t>
        </w:r>
        <w:r>
          <w:rPr>
            <w:webHidden/>
          </w:rPr>
          <w:fldChar w:fldCharType="end"/>
        </w:r>
      </w:hyperlink>
    </w:p>
    <w:p w14:paraId="14131D4A" w14:textId="6DFEA42A"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39" w:history="1">
        <w:r w:rsidRPr="00B507A0">
          <w:rPr>
            <w:rStyle w:val="Hyperlink"/>
            <w:lang w:val="en-US"/>
          </w:rPr>
          <w:t>4.3.4</w:t>
        </w:r>
        <w:r>
          <w:rPr>
            <w:rFonts w:asciiTheme="minorHAnsi" w:eastAsiaTheme="minorEastAsia" w:hAnsiTheme="minorHAnsi"/>
            <w:smallCaps w:val="0"/>
            <w:color w:val="auto"/>
            <w:kern w:val="2"/>
            <w:sz w:val="24"/>
            <w:szCs w:val="24"/>
            <w:lang w:val="en-US"/>
            <w14:ligatures w14:val="standardContextual"/>
          </w:rPr>
          <w:tab/>
        </w:r>
        <w:r w:rsidRPr="00B507A0">
          <w:rPr>
            <w:rStyle w:val="Hyperlink"/>
            <w:rFonts w:eastAsia="Arial"/>
            <w:lang w:val="en-US"/>
          </w:rPr>
          <w:t>Santé et sécurité des communautés</w:t>
        </w:r>
        <w:r>
          <w:rPr>
            <w:webHidden/>
          </w:rPr>
          <w:tab/>
        </w:r>
        <w:r>
          <w:rPr>
            <w:webHidden/>
          </w:rPr>
          <w:fldChar w:fldCharType="begin"/>
        </w:r>
        <w:r>
          <w:rPr>
            <w:webHidden/>
          </w:rPr>
          <w:instrText xml:space="preserve"> PAGEREF _Toc230426039 \h </w:instrText>
        </w:r>
        <w:r>
          <w:rPr>
            <w:webHidden/>
          </w:rPr>
        </w:r>
        <w:r>
          <w:rPr>
            <w:webHidden/>
          </w:rPr>
          <w:fldChar w:fldCharType="separate"/>
        </w:r>
        <w:r w:rsidR="007E133A">
          <w:rPr>
            <w:webHidden/>
          </w:rPr>
          <w:t>89</w:t>
        </w:r>
        <w:r>
          <w:rPr>
            <w:webHidden/>
          </w:rPr>
          <w:fldChar w:fldCharType="end"/>
        </w:r>
      </w:hyperlink>
    </w:p>
    <w:p w14:paraId="3C575E86" w14:textId="01B0B862"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40" w:history="1">
        <w:r w:rsidRPr="00B507A0">
          <w:rPr>
            <w:rStyle w:val="Hyperlink"/>
            <w:rFonts w:eastAsia="Arial"/>
          </w:rPr>
          <w:t>4.3.5</w:t>
        </w:r>
        <w:r>
          <w:rPr>
            <w:rFonts w:asciiTheme="minorHAnsi" w:eastAsiaTheme="minorEastAsia" w:hAnsiTheme="minorHAnsi"/>
            <w:smallCaps w:val="0"/>
            <w:color w:val="auto"/>
            <w:kern w:val="2"/>
            <w:sz w:val="24"/>
            <w:szCs w:val="24"/>
            <w:lang w:val="en-US"/>
            <w14:ligatures w14:val="standardContextual"/>
          </w:rPr>
          <w:tab/>
        </w:r>
        <w:r w:rsidRPr="00B507A0">
          <w:rPr>
            <w:rStyle w:val="Hyperlink"/>
            <w:rFonts w:eastAsia="Arial"/>
          </w:rPr>
          <w:t>Acquisition des terres, restrictions à l’utilisation des terres et réinstallation involontaire</w:t>
        </w:r>
        <w:r>
          <w:rPr>
            <w:webHidden/>
          </w:rPr>
          <w:tab/>
        </w:r>
        <w:r>
          <w:rPr>
            <w:webHidden/>
          </w:rPr>
          <w:fldChar w:fldCharType="begin"/>
        </w:r>
        <w:r>
          <w:rPr>
            <w:webHidden/>
          </w:rPr>
          <w:instrText xml:space="preserve"> PAGEREF _Toc230426040 \h </w:instrText>
        </w:r>
        <w:r>
          <w:rPr>
            <w:webHidden/>
          </w:rPr>
        </w:r>
        <w:r>
          <w:rPr>
            <w:webHidden/>
          </w:rPr>
          <w:fldChar w:fldCharType="separate"/>
        </w:r>
        <w:r w:rsidR="007E133A">
          <w:rPr>
            <w:webHidden/>
          </w:rPr>
          <w:t>93</w:t>
        </w:r>
        <w:r>
          <w:rPr>
            <w:webHidden/>
          </w:rPr>
          <w:fldChar w:fldCharType="end"/>
        </w:r>
      </w:hyperlink>
    </w:p>
    <w:p w14:paraId="7ED20ED2" w14:textId="184A6012"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41" w:history="1">
        <w:r w:rsidRPr="00B507A0">
          <w:rPr>
            <w:rStyle w:val="Hyperlink"/>
          </w:rPr>
          <w:t>4.3.6</w:t>
        </w:r>
        <w:r>
          <w:rPr>
            <w:rFonts w:asciiTheme="minorHAnsi" w:eastAsiaTheme="minorEastAsia" w:hAnsiTheme="minorHAnsi"/>
            <w:smallCaps w:val="0"/>
            <w:color w:val="auto"/>
            <w:kern w:val="2"/>
            <w:sz w:val="24"/>
            <w:szCs w:val="24"/>
            <w:lang w:val="en-US"/>
            <w14:ligatures w14:val="standardContextual"/>
          </w:rPr>
          <w:tab/>
        </w:r>
        <w:r w:rsidRPr="00B507A0">
          <w:rPr>
            <w:rStyle w:val="Hyperlink"/>
            <w:rFonts w:eastAsia="Arial"/>
          </w:rPr>
          <w:t>Conservation de la biodiversité et gestion durable des ressources naturelles vivantes</w:t>
        </w:r>
        <w:r>
          <w:rPr>
            <w:webHidden/>
          </w:rPr>
          <w:tab/>
        </w:r>
        <w:r>
          <w:rPr>
            <w:webHidden/>
          </w:rPr>
          <w:fldChar w:fldCharType="begin"/>
        </w:r>
        <w:r>
          <w:rPr>
            <w:webHidden/>
          </w:rPr>
          <w:instrText xml:space="preserve"> PAGEREF _Toc230426041 \h </w:instrText>
        </w:r>
        <w:r>
          <w:rPr>
            <w:webHidden/>
          </w:rPr>
        </w:r>
        <w:r>
          <w:rPr>
            <w:webHidden/>
          </w:rPr>
          <w:fldChar w:fldCharType="separate"/>
        </w:r>
        <w:r w:rsidR="007E133A">
          <w:rPr>
            <w:webHidden/>
          </w:rPr>
          <w:t>93</w:t>
        </w:r>
        <w:r>
          <w:rPr>
            <w:webHidden/>
          </w:rPr>
          <w:fldChar w:fldCharType="end"/>
        </w:r>
      </w:hyperlink>
    </w:p>
    <w:p w14:paraId="5B8F8DD1" w14:textId="580E2B15"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42" w:history="1">
        <w:r w:rsidRPr="00B507A0">
          <w:rPr>
            <w:rStyle w:val="Hyperlink"/>
            <w:lang w:val="en-US"/>
          </w:rPr>
          <w:t>4.3.7</w:t>
        </w:r>
        <w:r>
          <w:rPr>
            <w:rFonts w:asciiTheme="minorHAnsi" w:eastAsiaTheme="minorEastAsia" w:hAnsiTheme="minorHAnsi"/>
            <w:smallCaps w:val="0"/>
            <w:color w:val="auto"/>
            <w:kern w:val="2"/>
            <w:sz w:val="24"/>
            <w:szCs w:val="24"/>
            <w:lang w:val="en-US"/>
            <w14:ligatures w14:val="standardContextual"/>
          </w:rPr>
          <w:tab/>
        </w:r>
        <w:r w:rsidRPr="00B507A0">
          <w:rPr>
            <w:rStyle w:val="Hyperlink"/>
            <w:rFonts w:eastAsia="Arial"/>
            <w:lang w:val="en-US"/>
          </w:rPr>
          <w:t>Patrimoine culturel</w:t>
        </w:r>
        <w:r>
          <w:rPr>
            <w:webHidden/>
          </w:rPr>
          <w:tab/>
        </w:r>
        <w:r>
          <w:rPr>
            <w:webHidden/>
          </w:rPr>
          <w:fldChar w:fldCharType="begin"/>
        </w:r>
        <w:r>
          <w:rPr>
            <w:webHidden/>
          </w:rPr>
          <w:instrText xml:space="preserve"> PAGEREF _Toc230426042 \h </w:instrText>
        </w:r>
        <w:r>
          <w:rPr>
            <w:webHidden/>
          </w:rPr>
        </w:r>
        <w:r>
          <w:rPr>
            <w:webHidden/>
          </w:rPr>
          <w:fldChar w:fldCharType="separate"/>
        </w:r>
        <w:r w:rsidR="007E133A">
          <w:rPr>
            <w:webHidden/>
          </w:rPr>
          <w:t>95</w:t>
        </w:r>
        <w:r>
          <w:rPr>
            <w:webHidden/>
          </w:rPr>
          <w:fldChar w:fldCharType="end"/>
        </w:r>
      </w:hyperlink>
    </w:p>
    <w:p w14:paraId="2D406AC3" w14:textId="01F7019C"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43" w:history="1">
        <w:r w:rsidRPr="00B507A0">
          <w:rPr>
            <w:rStyle w:val="Hyperlink"/>
          </w:rPr>
          <w:t>4.3.8</w:t>
        </w:r>
        <w:r>
          <w:rPr>
            <w:rFonts w:asciiTheme="minorHAnsi" w:eastAsiaTheme="minorEastAsia" w:hAnsiTheme="minorHAnsi"/>
            <w:smallCaps w:val="0"/>
            <w:color w:val="auto"/>
            <w:kern w:val="2"/>
            <w:sz w:val="24"/>
            <w:szCs w:val="24"/>
            <w:lang w:val="en-US"/>
            <w14:ligatures w14:val="standardContextual"/>
          </w:rPr>
          <w:tab/>
        </w:r>
        <w:r w:rsidRPr="00B507A0">
          <w:rPr>
            <w:rStyle w:val="Hyperlink"/>
            <w:rFonts w:eastAsia="Arial"/>
          </w:rPr>
          <w:t>Mobilisation des parties prenantes et information</w:t>
        </w:r>
        <w:r>
          <w:rPr>
            <w:webHidden/>
          </w:rPr>
          <w:tab/>
        </w:r>
        <w:r>
          <w:rPr>
            <w:webHidden/>
          </w:rPr>
          <w:fldChar w:fldCharType="begin"/>
        </w:r>
        <w:r>
          <w:rPr>
            <w:webHidden/>
          </w:rPr>
          <w:instrText xml:space="preserve"> PAGEREF _Toc230426043 \h </w:instrText>
        </w:r>
        <w:r>
          <w:rPr>
            <w:webHidden/>
          </w:rPr>
        </w:r>
        <w:r>
          <w:rPr>
            <w:webHidden/>
          </w:rPr>
          <w:fldChar w:fldCharType="separate"/>
        </w:r>
        <w:r w:rsidR="007E133A">
          <w:rPr>
            <w:webHidden/>
          </w:rPr>
          <w:t>98</w:t>
        </w:r>
        <w:r>
          <w:rPr>
            <w:webHidden/>
          </w:rPr>
          <w:fldChar w:fldCharType="end"/>
        </w:r>
      </w:hyperlink>
    </w:p>
    <w:p w14:paraId="1B4C7A88" w14:textId="765161CE"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44" w:history="1">
        <w:r w:rsidRPr="00B507A0">
          <w:rPr>
            <w:rStyle w:val="Hyperlink"/>
          </w:rPr>
          <w:t>4.3.9</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Directives « Environnement - Hygiène –Sécurité »</w:t>
        </w:r>
        <w:r>
          <w:rPr>
            <w:webHidden/>
          </w:rPr>
          <w:tab/>
        </w:r>
        <w:r>
          <w:rPr>
            <w:webHidden/>
          </w:rPr>
          <w:fldChar w:fldCharType="begin"/>
        </w:r>
        <w:r>
          <w:rPr>
            <w:webHidden/>
          </w:rPr>
          <w:instrText xml:space="preserve"> PAGEREF _Toc230426044 \h </w:instrText>
        </w:r>
        <w:r>
          <w:rPr>
            <w:webHidden/>
          </w:rPr>
        </w:r>
        <w:r>
          <w:rPr>
            <w:webHidden/>
          </w:rPr>
          <w:fldChar w:fldCharType="separate"/>
        </w:r>
        <w:r w:rsidR="007E133A">
          <w:rPr>
            <w:webHidden/>
          </w:rPr>
          <w:t>102</w:t>
        </w:r>
        <w:r>
          <w:rPr>
            <w:webHidden/>
          </w:rPr>
          <w:fldChar w:fldCharType="end"/>
        </w:r>
      </w:hyperlink>
    </w:p>
    <w:p w14:paraId="60057604" w14:textId="56837E6A" w:rsidR="004F2052" w:rsidRDefault="004F2052">
      <w:pPr>
        <w:pStyle w:val="TOC2"/>
        <w:rPr>
          <w:rFonts w:asciiTheme="minorHAnsi" w:eastAsiaTheme="minorEastAsia" w:hAnsiTheme="minorHAnsi" w:cstheme="minorBidi"/>
          <w:b w:val="0"/>
          <w:caps w:val="0"/>
          <w:color w:val="auto"/>
          <w:kern w:val="2"/>
          <w:sz w:val="24"/>
          <w:lang w:val="en-US" w:eastAsia="en-US"/>
          <w14:ligatures w14:val="standardContextual"/>
        </w:rPr>
      </w:pPr>
      <w:hyperlink w:anchor="_Toc230426045" w:history="1">
        <w:r w:rsidRPr="00B507A0">
          <w:rPr>
            <w:rStyle w:val="Hyperlink"/>
          </w:rPr>
          <w:t>4.4</w:t>
        </w:r>
        <w:r>
          <w:rPr>
            <w:rFonts w:asciiTheme="minorHAnsi" w:eastAsiaTheme="minorEastAsia" w:hAnsiTheme="minorHAnsi" w:cstheme="minorBidi"/>
            <w:b w:val="0"/>
            <w:caps w:val="0"/>
            <w:color w:val="auto"/>
            <w:kern w:val="2"/>
            <w:sz w:val="24"/>
            <w:lang w:val="en-US" w:eastAsia="en-US"/>
            <w14:ligatures w14:val="standardContextual"/>
          </w:rPr>
          <w:tab/>
        </w:r>
        <w:r w:rsidRPr="00B507A0">
          <w:rPr>
            <w:rStyle w:val="Hyperlink"/>
          </w:rPr>
          <w:t>CADRE INSTITUTIONNEL</w:t>
        </w:r>
        <w:r>
          <w:rPr>
            <w:webHidden/>
          </w:rPr>
          <w:tab/>
        </w:r>
        <w:r>
          <w:rPr>
            <w:webHidden/>
          </w:rPr>
          <w:fldChar w:fldCharType="begin"/>
        </w:r>
        <w:r>
          <w:rPr>
            <w:webHidden/>
          </w:rPr>
          <w:instrText xml:space="preserve"> PAGEREF _Toc230426045 \h </w:instrText>
        </w:r>
        <w:r>
          <w:rPr>
            <w:webHidden/>
          </w:rPr>
        </w:r>
        <w:r>
          <w:rPr>
            <w:webHidden/>
          </w:rPr>
          <w:fldChar w:fldCharType="separate"/>
        </w:r>
        <w:r w:rsidR="007E133A">
          <w:rPr>
            <w:webHidden/>
          </w:rPr>
          <w:t>107</w:t>
        </w:r>
        <w:r>
          <w:rPr>
            <w:webHidden/>
          </w:rPr>
          <w:fldChar w:fldCharType="end"/>
        </w:r>
      </w:hyperlink>
    </w:p>
    <w:p w14:paraId="4C8D63A6" w14:textId="3BE18011" w:rsidR="004F2052" w:rsidRDefault="004F2052">
      <w:pPr>
        <w:pStyle w:val="TOC1"/>
        <w:rPr>
          <w:rFonts w:asciiTheme="minorHAnsi" w:eastAsiaTheme="minorEastAsia" w:hAnsiTheme="minorHAnsi" w:cstheme="minorBidi"/>
          <w:b w:val="0"/>
          <w:caps w:val="0"/>
          <w:color w:val="auto"/>
          <w:kern w:val="2"/>
          <w:lang w:val="en-US" w:eastAsia="en-US"/>
          <w14:ligatures w14:val="standardContextual"/>
        </w:rPr>
      </w:pPr>
      <w:hyperlink w:anchor="_Toc230426046" w:history="1">
        <w:r w:rsidRPr="00B507A0">
          <w:rPr>
            <w:rStyle w:val="Hyperlink"/>
          </w:rPr>
          <w:t>5</w:t>
        </w:r>
        <w:r>
          <w:rPr>
            <w:rFonts w:asciiTheme="minorHAnsi" w:eastAsiaTheme="minorEastAsia" w:hAnsiTheme="minorHAnsi" w:cstheme="minorBidi"/>
            <w:b w:val="0"/>
            <w:caps w:val="0"/>
            <w:color w:val="auto"/>
            <w:kern w:val="2"/>
            <w:lang w:val="en-US" w:eastAsia="en-US"/>
            <w14:ligatures w14:val="standardContextual"/>
          </w:rPr>
          <w:tab/>
        </w:r>
        <w:r w:rsidRPr="00B507A0">
          <w:rPr>
            <w:rStyle w:val="Hyperlink"/>
          </w:rPr>
          <w:t>ANALYSE DES ALTERNATIVES</w:t>
        </w:r>
        <w:r>
          <w:rPr>
            <w:webHidden/>
          </w:rPr>
          <w:tab/>
        </w:r>
        <w:r>
          <w:rPr>
            <w:webHidden/>
          </w:rPr>
          <w:fldChar w:fldCharType="begin"/>
        </w:r>
        <w:r>
          <w:rPr>
            <w:webHidden/>
          </w:rPr>
          <w:instrText xml:space="preserve"> PAGEREF _Toc230426046 \h </w:instrText>
        </w:r>
        <w:r>
          <w:rPr>
            <w:webHidden/>
          </w:rPr>
        </w:r>
        <w:r>
          <w:rPr>
            <w:webHidden/>
          </w:rPr>
          <w:fldChar w:fldCharType="separate"/>
        </w:r>
        <w:r w:rsidR="007E133A">
          <w:rPr>
            <w:webHidden/>
          </w:rPr>
          <w:t>111</w:t>
        </w:r>
        <w:r>
          <w:rPr>
            <w:webHidden/>
          </w:rPr>
          <w:fldChar w:fldCharType="end"/>
        </w:r>
      </w:hyperlink>
    </w:p>
    <w:p w14:paraId="6734BC3B" w14:textId="34C20262" w:rsidR="004F2052" w:rsidRDefault="004F2052">
      <w:pPr>
        <w:pStyle w:val="TOC2"/>
        <w:rPr>
          <w:rFonts w:asciiTheme="minorHAnsi" w:eastAsiaTheme="minorEastAsia" w:hAnsiTheme="minorHAnsi" w:cstheme="minorBidi"/>
          <w:b w:val="0"/>
          <w:caps w:val="0"/>
          <w:color w:val="auto"/>
          <w:kern w:val="2"/>
          <w:sz w:val="24"/>
          <w:lang w:val="en-US" w:eastAsia="en-US"/>
          <w14:ligatures w14:val="standardContextual"/>
        </w:rPr>
      </w:pPr>
      <w:hyperlink w:anchor="_Toc230426047" w:history="1">
        <w:r w:rsidRPr="00B507A0">
          <w:rPr>
            <w:rStyle w:val="Hyperlink"/>
          </w:rPr>
          <w:t>5.1</w:t>
        </w:r>
        <w:r>
          <w:rPr>
            <w:rFonts w:asciiTheme="minorHAnsi" w:eastAsiaTheme="minorEastAsia" w:hAnsiTheme="minorHAnsi" w:cstheme="minorBidi"/>
            <w:b w:val="0"/>
            <w:caps w:val="0"/>
            <w:color w:val="auto"/>
            <w:kern w:val="2"/>
            <w:sz w:val="24"/>
            <w:lang w:val="en-US" w:eastAsia="en-US"/>
            <w14:ligatures w14:val="standardContextual"/>
          </w:rPr>
          <w:tab/>
        </w:r>
        <w:r w:rsidRPr="00B507A0">
          <w:rPr>
            <w:rStyle w:val="Hyperlink"/>
          </w:rPr>
          <w:t>EVOLUTION POSSIBLE DE LA SITUATION « SANS LE PROJET PCMCI »</w:t>
        </w:r>
        <w:r>
          <w:rPr>
            <w:webHidden/>
          </w:rPr>
          <w:tab/>
        </w:r>
        <w:r>
          <w:rPr>
            <w:webHidden/>
          </w:rPr>
          <w:fldChar w:fldCharType="begin"/>
        </w:r>
        <w:r>
          <w:rPr>
            <w:webHidden/>
          </w:rPr>
          <w:instrText xml:space="preserve"> PAGEREF _Toc230426047 \h </w:instrText>
        </w:r>
        <w:r>
          <w:rPr>
            <w:webHidden/>
          </w:rPr>
        </w:r>
        <w:r>
          <w:rPr>
            <w:webHidden/>
          </w:rPr>
          <w:fldChar w:fldCharType="separate"/>
        </w:r>
        <w:r w:rsidR="007E133A">
          <w:rPr>
            <w:webHidden/>
          </w:rPr>
          <w:t>111</w:t>
        </w:r>
        <w:r>
          <w:rPr>
            <w:webHidden/>
          </w:rPr>
          <w:fldChar w:fldCharType="end"/>
        </w:r>
      </w:hyperlink>
    </w:p>
    <w:p w14:paraId="6D2616F8" w14:textId="2BFAE8FF" w:rsidR="004F2052" w:rsidRDefault="004F2052">
      <w:pPr>
        <w:pStyle w:val="TOC2"/>
        <w:rPr>
          <w:rFonts w:asciiTheme="minorHAnsi" w:eastAsiaTheme="minorEastAsia" w:hAnsiTheme="minorHAnsi" w:cstheme="minorBidi"/>
          <w:b w:val="0"/>
          <w:caps w:val="0"/>
          <w:color w:val="auto"/>
          <w:kern w:val="2"/>
          <w:sz w:val="24"/>
          <w:lang w:val="en-US" w:eastAsia="en-US"/>
          <w14:ligatures w14:val="standardContextual"/>
        </w:rPr>
      </w:pPr>
      <w:hyperlink w:anchor="_Toc230426048" w:history="1">
        <w:r w:rsidRPr="00B507A0">
          <w:rPr>
            <w:rStyle w:val="Hyperlink"/>
          </w:rPr>
          <w:t>5.2</w:t>
        </w:r>
        <w:r>
          <w:rPr>
            <w:rFonts w:asciiTheme="minorHAnsi" w:eastAsiaTheme="minorEastAsia" w:hAnsiTheme="minorHAnsi" w:cstheme="minorBidi"/>
            <w:b w:val="0"/>
            <w:caps w:val="0"/>
            <w:color w:val="auto"/>
            <w:kern w:val="2"/>
            <w:sz w:val="24"/>
            <w:lang w:val="en-US" w:eastAsia="en-US"/>
            <w14:ligatures w14:val="standardContextual"/>
          </w:rPr>
          <w:tab/>
        </w:r>
        <w:r w:rsidRPr="00B507A0">
          <w:rPr>
            <w:rStyle w:val="Hyperlink"/>
          </w:rPr>
          <w:t>Evolution de la situation sans la Composante CERC</w:t>
        </w:r>
        <w:r>
          <w:rPr>
            <w:webHidden/>
          </w:rPr>
          <w:tab/>
        </w:r>
        <w:r>
          <w:rPr>
            <w:webHidden/>
          </w:rPr>
          <w:fldChar w:fldCharType="begin"/>
        </w:r>
        <w:r>
          <w:rPr>
            <w:webHidden/>
          </w:rPr>
          <w:instrText xml:space="preserve"> PAGEREF _Toc230426048 \h </w:instrText>
        </w:r>
        <w:r>
          <w:rPr>
            <w:webHidden/>
          </w:rPr>
        </w:r>
        <w:r>
          <w:rPr>
            <w:webHidden/>
          </w:rPr>
          <w:fldChar w:fldCharType="separate"/>
        </w:r>
        <w:r w:rsidR="007E133A">
          <w:rPr>
            <w:webHidden/>
          </w:rPr>
          <w:t>111</w:t>
        </w:r>
        <w:r>
          <w:rPr>
            <w:webHidden/>
          </w:rPr>
          <w:fldChar w:fldCharType="end"/>
        </w:r>
      </w:hyperlink>
    </w:p>
    <w:p w14:paraId="694C2BBE" w14:textId="6DD8778D" w:rsidR="004F2052" w:rsidRDefault="004F2052">
      <w:pPr>
        <w:pStyle w:val="TOC2"/>
        <w:rPr>
          <w:rFonts w:asciiTheme="minorHAnsi" w:eastAsiaTheme="minorEastAsia" w:hAnsiTheme="minorHAnsi" w:cstheme="minorBidi"/>
          <w:b w:val="0"/>
          <w:caps w:val="0"/>
          <w:color w:val="auto"/>
          <w:kern w:val="2"/>
          <w:sz w:val="24"/>
          <w:lang w:val="en-US" w:eastAsia="en-US"/>
          <w14:ligatures w14:val="standardContextual"/>
        </w:rPr>
      </w:pPr>
      <w:hyperlink w:anchor="_Toc230426049" w:history="1">
        <w:r w:rsidRPr="00B507A0">
          <w:rPr>
            <w:rStyle w:val="Hyperlink"/>
          </w:rPr>
          <w:t>5.3</w:t>
        </w:r>
        <w:r>
          <w:rPr>
            <w:rFonts w:asciiTheme="minorHAnsi" w:eastAsiaTheme="minorEastAsia" w:hAnsiTheme="minorHAnsi" w:cstheme="minorBidi"/>
            <w:b w:val="0"/>
            <w:caps w:val="0"/>
            <w:color w:val="auto"/>
            <w:kern w:val="2"/>
            <w:sz w:val="24"/>
            <w:lang w:val="en-US" w:eastAsia="en-US"/>
            <w14:ligatures w14:val="standardContextual"/>
          </w:rPr>
          <w:tab/>
        </w:r>
        <w:r w:rsidRPr="00B507A0">
          <w:rPr>
            <w:rStyle w:val="Hyperlink"/>
          </w:rPr>
          <w:t>SITUATION « AVEC LE PROJET », y compris le CERC</w:t>
        </w:r>
        <w:r>
          <w:rPr>
            <w:webHidden/>
          </w:rPr>
          <w:tab/>
        </w:r>
        <w:r>
          <w:rPr>
            <w:webHidden/>
          </w:rPr>
          <w:fldChar w:fldCharType="begin"/>
        </w:r>
        <w:r>
          <w:rPr>
            <w:webHidden/>
          </w:rPr>
          <w:instrText xml:space="preserve"> PAGEREF _Toc230426049 \h </w:instrText>
        </w:r>
        <w:r>
          <w:rPr>
            <w:webHidden/>
          </w:rPr>
        </w:r>
        <w:r>
          <w:rPr>
            <w:webHidden/>
          </w:rPr>
          <w:fldChar w:fldCharType="separate"/>
        </w:r>
        <w:r w:rsidR="007E133A">
          <w:rPr>
            <w:webHidden/>
          </w:rPr>
          <w:t>112</w:t>
        </w:r>
        <w:r>
          <w:rPr>
            <w:webHidden/>
          </w:rPr>
          <w:fldChar w:fldCharType="end"/>
        </w:r>
      </w:hyperlink>
    </w:p>
    <w:p w14:paraId="2A36F769" w14:textId="5CF7CD6A" w:rsidR="004F2052" w:rsidRDefault="004F2052">
      <w:pPr>
        <w:pStyle w:val="TOC2"/>
        <w:rPr>
          <w:rFonts w:asciiTheme="minorHAnsi" w:eastAsiaTheme="minorEastAsia" w:hAnsiTheme="minorHAnsi" w:cstheme="minorBidi"/>
          <w:b w:val="0"/>
          <w:caps w:val="0"/>
          <w:color w:val="auto"/>
          <w:kern w:val="2"/>
          <w:sz w:val="24"/>
          <w:lang w:val="en-US" w:eastAsia="en-US"/>
          <w14:ligatures w14:val="standardContextual"/>
        </w:rPr>
      </w:pPr>
      <w:hyperlink w:anchor="_Toc230426050" w:history="1">
        <w:r w:rsidRPr="00B507A0">
          <w:rPr>
            <w:rStyle w:val="Hyperlink"/>
          </w:rPr>
          <w:t>5.4</w:t>
        </w:r>
        <w:r>
          <w:rPr>
            <w:rFonts w:asciiTheme="minorHAnsi" w:eastAsiaTheme="minorEastAsia" w:hAnsiTheme="minorHAnsi" w:cstheme="minorBidi"/>
            <w:b w:val="0"/>
            <w:caps w:val="0"/>
            <w:color w:val="auto"/>
            <w:kern w:val="2"/>
            <w:sz w:val="24"/>
            <w:lang w:val="en-US" w:eastAsia="en-US"/>
            <w14:ligatures w14:val="standardContextual"/>
          </w:rPr>
          <w:tab/>
        </w:r>
        <w:r w:rsidRPr="00B507A0">
          <w:rPr>
            <w:rStyle w:val="Hyperlink"/>
          </w:rPr>
          <w:t>CONCLUSIONS PARTIELLES</w:t>
        </w:r>
        <w:r>
          <w:rPr>
            <w:webHidden/>
          </w:rPr>
          <w:tab/>
        </w:r>
        <w:r>
          <w:rPr>
            <w:webHidden/>
          </w:rPr>
          <w:fldChar w:fldCharType="begin"/>
        </w:r>
        <w:r>
          <w:rPr>
            <w:webHidden/>
          </w:rPr>
          <w:instrText xml:space="preserve"> PAGEREF _Toc230426050 \h </w:instrText>
        </w:r>
        <w:r>
          <w:rPr>
            <w:webHidden/>
          </w:rPr>
        </w:r>
        <w:r>
          <w:rPr>
            <w:webHidden/>
          </w:rPr>
          <w:fldChar w:fldCharType="separate"/>
        </w:r>
        <w:r w:rsidR="007E133A">
          <w:rPr>
            <w:webHidden/>
          </w:rPr>
          <w:t>112</w:t>
        </w:r>
        <w:r>
          <w:rPr>
            <w:webHidden/>
          </w:rPr>
          <w:fldChar w:fldCharType="end"/>
        </w:r>
      </w:hyperlink>
    </w:p>
    <w:p w14:paraId="19BE3364" w14:textId="1C080CC2" w:rsidR="004F2052" w:rsidRDefault="004F2052">
      <w:pPr>
        <w:pStyle w:val="TOC1"/>
        <w:rPr>
          <w:rFonts w:asciiTheme="minorHAnsi" w:eastAsiaTheme="minorEastAsia" w:hAnsiTheme="minorHAnsi" w:cstheme="minorBidi"/>
          <w:b w:val="0"/>
          <w:caps w:val="0"/>
          <w:color w:val="auto"/>
          <w:kern w:val="2"/>
          <w:lang w:val="en-US" w:eastAsia="en-US"/>
          <w14:ligatures w14:val="standardContextual"/>
        </w:rPr>
      </w:pPr>
      <w:hyperlink w:anchor="_Toc230426051" w:history="1">
        <w:r w:rsidRPr="00B507A0">
          <w:rPr>
            <w:rStyle w:val="Hyperlink"/>
          </w:rPr>
          <w:t>6</w:t>
        </w:r>
        <w:r>
          <w:rPr>
            <w:rFonts w:asciiTheme="minorHAnsi" w:eastAsiaTheme="minorEastAsia" w:hAnsiTheme="minorHAnsi" w:cstheme="minorBidi"/>
            <w:b w:val="0"/>
            <w:caps w:val="0"/>
            <w:color w:val="auto"/>
            <w:kern w:val="2"/>
            <w:lang w:val="en-US" w:eastAsia="en-US"/>
            <w14:ligatures w14:val="standardContextual"/>
          </w:rPr>
          <w:tab/>
        </w:r>
        <w:r w:rsidRPr="00B507A0">
          <w:rPr>
            <w:rStyle w:val="Hyperlink"/>
          </w:rPr>
          <w:t>IDENTIFICATION ET EVALUATION DES IMPACTS POTENTIELS types</w:t>
        </w:r>
        <w:r>
          <w:rPr>
            <w:webHidden/>
          </w:rPr>
          <w:tab/>
        </w:r>
        <w:r>
          <w:rPr>
            <w:webHidden/>
          </w:rPr>
          <w:fldChar w:fldCharType="begin"/>
        </w:r>
        <w:r>
          <w:rPr>
            <w:webHidden/>
          </w:rPr>
          <w:instrText xml:space="preserve"> PAGEREF _Toc230426051 \h </w:instrText>
        </w:r>
        <w:r>
          <w:rPr>
            <w:webHidden/>
          </w:rPr>
        </w:r>
        <w:r>
          <w:rPr>
            <w:webHidden/>
          </w:rPr>
          <w:fldChar w:fldCharType="separate"/>
        </w:r>
        <w:r w:rsidR="007E133A">
          <w:rPr>
            <w:webHidden/>
          </w:rPr>
          <w:t>113</w:t>
        </w:r>
        <w:r>
          <w:rPr>
            <w:webHidden/>
          </w:rPr>
          <w:fldChar w:fldCharType="end"/>
        </w:r>
      </w:hyperlink>
    </w:p>
    <w:p w14:paraId="30C6384E" w14:textId="1461B876" w:rsidR="004F2052" w:rsidRDefault="004F2052">
      <w:pPr>
        <w:pStyle w:val="TOC2"/>
        <w:rPr>
          <w:rFonts w:asciiTheme="minorHAnsi" w:eastAsiaTheme="minorEastAsia" w:hAnsiTheme="minorHAnsi" w:cstheme="minorBidi"/>
          <w:b w:val="0"/>
          <w:caps w:val="0"/>
          <w:color w:val="auto"/>
          <w:kern w:val="2"/>
          <w:sz w:val="24"/>
          <w:lang w:val="en-US" w:eastAsia="en-US"/>
          <w14:ligatures w14:val="standardContextual"/>
        </w:rPr>
      </w:pPr>
      <w:hyperlink w:anchor="_Toc230426052" w:history="1">
        <w:r w:rsidRPr="00B507A0">
          <w:rPr>
            <w:rStyle w:val="Hyperlink"/>
          </w:rPr>
          <w:t>6.1</w:t>
        </w:r>
        <w:r>
          <w:rPr>
            <w:rFonts w:asciiTheme="minorHAnsi" w:eastAsiaTheme="minorEastAsia" w:hAnsiTheme="minorHAnsi" w:cstheme="minorBidi"/>
            <w:b w:val="0"/>
            <w:caps w:val="0"/>
            <w:color w:val="auto"/>
            <w:kern w:val="2"/>
            <w:sz w:val="24"/>
            <w:lang w:val="en-US" w:eastAsia="en-US"/>
            <w14:ligatures w14:val="standardContextual"/>
          </w:rPr>
          <w:tab/>
        </w:r>
        <w:r w:rsidRPr="00B507A0">
          <w:rPr>
            <w:rStyle w:val="Hyperlink"/>
          </w:rPr>
          <w:t>SOURCES ET TYPES DE DEGRADATION</w:t>
        </w:r>
        <w:r>
          <w:rPr>
            <w:webHidden/>
          </w:rPr>
          <w:tab/>
        </w:r>
        <w:r>
          <w:rPr>
            <w:webHidden/>
          </w:rPr>
          <w:fldChar w:fldCharType="begin"/>
        </w:r>
        <w:r>
          <w:rPr>
            <w:webHidden/>
          </w:rPr>
          <w:instrText xml:space="preserve"> PAGEREF _Toc230426052 \h </w:instrText>
        </w:r>
        <w:r>
          <w:rPr>
            <w:webHidden/>
          </w:rPr>
        </w:r>
        <w:r>
          <w:rPr>
            <w:webHidden/>
          </w:rPr>
          <w:fldChar w:fldCharType="separate"/>
        </w:r>
        <w:r w:rsidR="007E133A">
          <w:rPr>
            <w:webHidden/>
          </w:rPr>
          <w:t>113</w:t>
        </w:r>
        <w:r>
          <w:rPr>
            <w:webHidden/>
          </w:rPr>
          <w:fldChar w:fldCharType="end"/>
        </w:r>
      </w:hyperlink>
    </w:p>
    <w:p w14:paraId="3F6ACBEC" w14:textId="66F5FFFB"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53" w:history="1">
        <w:r w:rsidRPr="00B507A0">
          <w:rPr>
            <w:rStyle w:val="Hyperlink"/>
          </w:rPr>
          <w:t>6.1.1</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Dégradation des routes</w:t>
        </w:r>
        <w:r>
          <w:rPr>
            <w:webHidden/>
          </w:rPr>
          <w:tab/>
        </w:r>
        <w:r>
          <w:rPr>
            <w:webHidden/>
          </w:rPr>
          <w:fldChar w:fldCharType="begin"/>
        </w:r>
        <w:r>
          <w:rPr>
            <w:webHidden/>
          </w:rPr>
          <w:instrText xml:space="preserve"> PAGEREF _Toc230426053 \h </w:instrText>
        </w:r>
        <w:r>
          <w:rPr>
            <w:webHidden/>
          </w:rPr>
        </w:r>
        <w:r>
          <w:rPr>
            <w:webHidden/>
          </w:rPr>
          <w:fldChar w:fldCharType="separate"/>
        </w:r>
        <w:r w:rsidR="007E133A">
          <w:rPr>
            <w:webHidden/>
          </w:rPr>
          <w:t>113</w:t>
        </w:r>
        <w:r>
          <w:rPr>
            <w:webHidden/>
          </w:rPr>
          <w:fldChar w:fldCharType="end"/>
        </w:r>
      </w:hyperlink>
    </w:p>
    <w:p w14:paraId="7F1DF06D" w14:textId="3340BE24"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54" w:history="1">
        <w:r w:rsidRPr="00B507A0">
          <w:rPr>
            <w:rStyle w:val="Hyperlink"/>
          </w:rPr>
          <w:t>6.1.2</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Dégradation du Port</w:t>
        </w:r>
        <w:r>
          <w:rPr>
            <w:webHidden/>
          </w:rPr>
          <w:tab/>
        </w:r>
        <w:r>
          <w:rPr>
            <w:webHidden/>
          </w:rPr>
          <w:fldChar w:fldCharType="begin"/>
        </w:r>
        <w:r>
          <w:rPr>
            <w:webHidden/>
          </w:rPr>
          <w:instrText xml:space="preserve"> PAGEREF _Toc230426054 \h </w:instrText>
        </w:r>
        <w:r>
          <w:rPr>
            <w:webHidden/>
          </w:rPr>
        </w:r>
        <w:r>
          <w:rPr>
            <w:webHidden/>
          </w:rPr>
          <w:fldChar w:fldCharType="separate"/>
        </w:r>
        <w:r w:rsidR="007E133A">
          <w:rPr>
            <w:webHidden/>
          </w:rPr>
          <w:t>114</w:t>
        </w:r>
        <w:r>
          <w:rPr>
            <w:webHidden/>
          </w:rPr>
          <w:fldChar w:fldCharType="end"/>
        </w:r>
      </w:hyperlink>
    </w:p>
    <w:p w14:paraId="3A9D81AE" w14:textId="70485240" w:rsidR="004F2052" w:rsidRDefault="004F2052">
      <w:pPr>
        <w:pStyle w:val="TOC2"/>
        <w:rPr>
          <w:rFonts w:asciiTheme="minorHAnsi" w:eastAsiaTheme="minorEastAsia" w:hAnsiTheme="minorHAnsi" w:cstheme="minorBidi"/>
          <w:b w:val="0"/>
          <w:caps w:val="0"/>
          <w:color w:val="auto"/>
          <w:kern w:val="2"/>
          <w:sz w:val="24"/>
          <w:lang w:val="en-US" w:eastAsia="en-US"/>
          <w14:ligatures w14:val="standardContextual"/>
        </w:rPr>
      </w:pPr>
      <w:hyperlink w:anchor="_Toc230426055" w:history="1">
        <w:r w:rsidRPr="00B507A0">
          <w:rPr>
            <w:rStyle w:val="Hyperlink"/>
          </w:rPr>
          <w:t>6.2</w:t>
        </w:r>
        <w:r>
          <w:rPr>
            <w:rFonts w:asciiTheme="minorHAnsi" w:eastAsiaTheme="minorEastAsia" w:hAnsiTheme="minorHAnsi" w:cstheme="minorBidi"/>
            <w:b w:val="0"/>
            <w:caps w:val="0"/>
            <w:color w:val="auto"/>
            <w:kern w:val="2"/>
            <w:sz w:val="24"/>
            <w:lang w:val="en-US" w:eastAsia="en-US"/>
            <w14:ligatures w14:val="standardContextual"/>
          </w:rPr>
          <w:tab/>
        </w:r>
        <w:r w:rsidRPr="00B507A0">
          <w:rPr>
            <w:rStyle w:val="Hyperlink"/>
          </w:rPr>
          <w:t>IDENTIFICATION DES IMPACTS POTENTIELS GLOBAUX</w:t>
        </w:r>
        <w:r>
          <w:rPr>
            <w:webHidden/>
          </w:rPr>
          <w:tab/>
        </w:r>
        <w:r>
          <w:rPr>
            <w:webHidden/>
          </w:rPr>
          <w:fldChar w:fldCharType="begin"/>
        </w:r>
        <w:r>
          <w:rPr>
            <w:webHidden/>
          </w:rPr>
          <w:instrText xml:space="preserve"> PAGEREF _Toc230426055 \h </w:instrText>
        </w:r>
        <w:r>
          <w:rPr>
            <w:webHidden/>
          </w:rPr>
        </w:r>
        <w:r>
          <w:rPr>
            <w:webHidden/>
          </w:rPr>
          <w:fldChar w:fldCharType="separate"/>
        </w:r>
        <w:r w:rsidR="007E133A">
          <w:rPr>
            <w:webHidden/>
          </w:rPr>
          <w:t>115</w:t>
        </w:r>
        <w:r>
          <w:rPr>
            <w:webHidden/>
          </w:rPr>
          <w:fldChar w:fldCharType="end"/>
        </w:r>
      </w:hyperlink>
    </w:p>
    <w:p w14:paraId="4784C242" w14:textId="05CACB04"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56" w:history="1">
        <w:r w:rsidRPr="00B507A0">
          <w:rPr>
            <w:rStyle w:val="Hyperlink"/>
          </w:rPr>
          <w:t>6.2.1</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Sources d’impacts</w:t>
        </w:r>
        <w:r>
          <w:rPr>
            <w:webHidden/>
          </w:rPr>
          <w:tab/>
        </w:r>
        <w:r>
          <w:rPr>
            <w:webHidden/>
          </w:rPr>
          <w:fldChar w:fldCharType="begin"/>
        </w:r>
        <w:r>
          <w:rPr>
            <w:webHidden/>
          </w:rPr>
          <w:instrText xml:space="preserve"> PAGEREF _Toc230426056 \h </w:instrText>
        </w:r>
        <w:r>
          <w:rPr>
            <w:webHidden/>
          </w:rPr>
        </w:r>
        <w:r>
          <w:rPr>
            <w:webHidden/>
          </w:rPr>
          <w:fldChar w:fldCharType="separate"/>
        </w:r>
        <w:r w:rsidR="007E133A">
          <w:rPr>
            <w:webHidden/>
          </w:rPr>
          <w:t>115</w:t>
        </w:r>
        <w:r>
          <w:rPr>
            <w:webHidden/>
          </w:rPr>
          <w:fldChar w:fldCharType="end"/>
        </w:r>
      </w:hyperlink>
    </w:p>
    <w:p w14:paraId="4B1D33D8" w14:textId="20A4E3CD"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57" w:history="1">
        <w:r w:rsidRPr="00B507A0">
          <w:rPr>
            <w:rStyle w:val="Hyperlink"/>
          </w:rPr>
          <w:t>6.2.2</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Impacts types bénéfiques</w:t>
        </w:r>
        <w:r>
          <w:rPr>
            <w:webHidden/>
          </w:rPr>
          <w:tab/>
        </w:r>
        <w:r>
          <w:rPr>
            <w:webHidden/>
          </w:rPr>
          <w:fldChar w:fldCharType="begin"/>
        </w:r>
        <w:r>
          <w:rPr>
            <w:webHidden/>
          </w:rPr>
          <w:instrText xml:space="preserve"> PAGEREF _Toc230426057 \h </w:instrText>
        </w:r>
        <w:r>
          <w:rPr>
            <w:webHidden/>
          </w:rPr>
        </w:r>
        <w:r>
          <w:rPr>
            <w:webHidden/>
          </w:rPr>
          <w:fldChar w:fldCharType="separate"/>
        </w:r>
        <w:r w:rsidR="007E133A">
          <w:rPr>
            <w:webHidden/>
          </w:rPr>
          <w:t>116</w:t>
        </w:r>
        <w:r>
          <w:rPr>
            <w:webHidden/>
          </w:rPr>
          <w:fldChar w:fldCharType="end"/>
        </w:r>
      </w:hyperlink>
    </w:p>
    <w:p w14:paraId="3A5AC574" w14:textId="26F769AA"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58" w:history="1">
        <w:r w:rsidRPr="00B507A0">
          <w:rPr>
            <w:rStyle w:val="Hyperlink"/>
          </w:rPr>
          <w:t>6.2.3</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Impacts types négatifs</w:t>
        </w:r>
        <w:r>
          <w:rPr>
            <w:webHidden/>
          </w:rPr>
          <w:tab/>
        </w:r>
        <w:r>
          <w:rPr>
            <w:webHidden/>
          </w:rPr>
          <w:fldChar w:fldCharType="begin"/>
        </w:r>
        <w:r>
          <w:rPr>
            <w:webHidden/>
          </w:rPr>
          <w:instrText xml:space="preserve"> PAGEREF _Toc230426058 \h </w:instrText>
        </w:r>
        <w:r>
          <w:rPr>
            <w:webHidden/>
          </w:rPr>
        </w:r>
        <w:r>
          <w:rPr>
            <w:webHidden/>
          </w:rPr>
          <w:fldChar w:fldCharType="separate"/>
        </w:r>
        <w:r w:rsidR="007E133A">
          <w:rPr>
            <w:webHidden/>
          </w:rPr>
          <w:t>117</w:t>
        </w:r>
        <w:r>
          <w:rPr>
            <w:webHidden/>
          </w:rPr>
          <w:fldChar w:fldCharType="end"/>
        </w:r>
      </w:hyperlink>
    </w:p>
    <w:p w14:paraId="4755C0C4" w14:textId="3EEC257B" w:rsidR="004F2052" w:rsidRDefault="004F2052">
      <w:pPr>
        <w:pStyle w:val="TOC2"/>
        <w:rPr>
          <w:rFonts w:asciiTheme="minorHAnsi" w:eastAsiaTheme="minorEastAsia" w:hAnsiTheme="minorHAnsi" w:cstheme="minorBidi"/>
          <w:b w:val="0"/>
          <w:caps w:val="0"/>
          <w:color w:val="auto"/>
          <w:kern w:val="2"/>
          <w:sz w:val="24"/>
          <w:lang w:val="en-US" w:eastAsia="en-US"/>
          <w14:ligatures w14:val="standardContextual"/>
        </w:rPr>
      </w:pPr>
      <w:hyperlink w:anchor="_Toc230426059" w:history="1">
        <w:r w:rsidRPr="00B507A0">
          <w:rPr>
            <w:rStyle w:val="Hyperlink"/>
          </w:rPr>
          <w:t>6.3</w:t>
        </w:r>
        <w:r>
          <w:rPr>
            <w:rFonts w:asciiTheme="minorHAnsi" w:eastAsiaTheme="minorEastAsia" w:hAnsiTheme="minorHAnsi" w:cstheme="minorBidi"/>
            <w:b w:val="0"/>
            <w:caps w:val="0"/>
            <w:color w:val="auto"/>
            <w:kern w:val="2"/>
            <w:sz w:val="24"/>
            <w:lang w:val="en-US" w:eastAsia="en-US"/>
            <w14:ligatures w14:val="standardContextual"/>
          </w:rPr>
          <w:tab/>
        </w:r>
        <w:r w:rsidRPr="00B507A0">
          <w:rPr>
            <w:rStyle w:val="Hyperlink"/>
          </w:rPr>
          <w:t>METHODE D’EVALUATION DES IMPACTS</w:t>
        </w:r>
        <w:r>
          <w:rPr>
            <w:webHidden/>
          </w:rPr>
          <w:tab/>
        </w:r>
        <w:r>
          <w:rPr>
            <w:webHidden/>
          </w:rPr>
          <w:fldChar w:fldCharType="begin"/>
        </w:r>
        <w:r>
          <w:rPr>
            <w:webHidden/>
          </w:rPr>
          <w:instrText xml:space="preserve"> PAGEREF _Toc230426059 \h </w:instrText>
        </w:r>
        <w:r>
          <w:rPr>
            <w:webHidden/>
          </w:rPr>
        </w:r>
        <w:r>
          <w:rPr>
            <w:webHidden/>
          </w:rPr>
          <w:fldChar w:fldCharType="separate"/>
        </w:r>
        <w:r w:rsidR="007E133A">
          <w:rPr>
            <w:webHidden/>
          </w:rPr>
          <w:t>122</w:t>
        </w:r>
        <w:r>
          <w:rPr>
            <w:webHidden/>
          </w:rPr>
          <w:fldChar w:fldCharType="end"/>
        </w:r>
      </w:hyperlink>
    </w:p>
    <w:p w14:paraId="3FD0FFF0" w14:textId="72C8A848" w:rsidR="004F2052" w:rsidRDefault="004F2052">
      <w:pPr>
        <w:pStyle w:val="TOC2"/>
        <w:rPr>
          <w:rFonts w:asciiTheme="minorHAnsi" w:eastAsiaTheme="minorEastAsia" w:hAnsiTheme="minorHAnsi" w:cstheme="minorBidi"/>
          <w:b w:val="0"/>
          <w:caps w:val="0"/>
          <w:color w:val="auto"/>
          <w:kern w:val="2"/>
          <w:sz w:val="24"/>
          <w:lang w:val="en-US" w:eastAsia="en-US"/>
          <w14:ligatures w14:val="standardContextual"/>
        </w:rPr>
      </w:pPr>
      <w:hyperlink w:anchor="_Toc230426060" w:history="1">
        <w:r w:rsidRPr="00B507A0">
          <w:rPr>
            <w:rStyle w:val="Hyperlink"/>
          </w:rPr>
          <w:t>6.4</w:t>
        </w:r>
        <w:r>
          <w:rPr>
            <w:rFonts w:asciiTheme="minorHAnsi" w:eastAsiaTheme="minorEastAsia" w:hAnsiTheme="minorHAnsi" w:cstheme="minorBidi"/>
            <w:b w:val="0"/>
            <w:caps w:val="0"/>
            <w:color w:val="auto"/>
            <w:kern w:val="2"/>
            <w:sz w:val="24"/>
            <w:lang w:val="en-US" w:eastAsia="en-US"/>
            <w14:ligatures w14:val="standardContextual"/>
          </w:rPr>
          <w:tab/>
        </w:r>
        <w:r w:rsidRPr="00B507A0">
          <w:rPr>
            <w:rStyle w:val="Hyperlink"/>
          </w:rPr>
          <w:t>MESURES types DE BONIFICATION DES IMPACTS POSITIFS</w:t>
        </w:r>
        <w:r>
          <w:rPr>
            <w:webHidden/>
          </w:rPr>
          <w:tab/>
        </w:r>
        <w:r>
          <w:rPr>
            <w:webHidden/>
          </w:rPr>
          <w:fldChar w:fldCharType="begin"/>
        </w:r>
        <w:r>
          <w:rPr>
            <w:webHidden/>
          </w:rPr>
          <w:instrText xml:space="preserve"> PAGEREF _Toc230426060 \h </w:instrText>
        </w:r>
        <w:r>
          <w:rPr>
            <w:webHidden/>
          </w:rPr>
        </w:r>
        <w:r>
          <w:rPr>
            <w:webHidden/>
          </w:rPr>
          <w:fldChar w:fldCharType="separate"/>
        </w:r>
        <w:r w:rsidR="007E133A">
          <w:rPr>
            <w:webHidden/>
          </w:rPr>
          <w:t>125</w:t>
        </w:r>
        <w:r>
          <w:rPr>
            <w:webHidden/>
          </w:rPr>
          <w:fldChar w:fldCharType="end"/>
        </w:r>
      </w:hyperlink>
    </w:p>
    <w:p w14:paraId="4FF760C5" w14:textId="14C23705" w:rsidR="004F2052" w:rsidRDefault="004F2052">
      <w:pPr>
        <w:pStyle w:val="TOC2"/>
        <w:rPr>
          <w:rFonts w:asciiTheme="minorHAnsi" w:eastAsiaTheme="minorEastAsia" w:hAnsiTheme="minorHAnsi" w:cstheme="minorBidi"/>
          <w:b w:val="0"/>
          <w:caps w:val="0"/>
          <w:color w:val="auto"/>
          <w:kern w:val="2"/>
          <w:sz w:val="24"/>
          <w:lang w:val="en-US" w:eastAsia="en-US"/>
          <w14:ligatures w14:val="standardContextual"/>
        </w:rPr>
      </w:pPr>
      <w:hyperlink w:anchor="_Toc230426061" w:history="1">
        <w:r w:rsidRPr="00B507A0">
          <w:rPr>
            <w:rStyle w:val="Hyperlink"/>
          </w:rPr>
          <w:t>6.5</w:t>
        </w:r>
        <w:r>
          <w:rPr>
            <w:rFonts w:asciiTheme="minorHAnsi" w:eastAsiaTheme="minorEastAsia" w:hAnsiTheme="minorHAnsi" w:cstheme="minorBidi"/>
            <w:b w:val="0"/>
            <w:caps w:val="0"/>
            <w:color w:val="auto"/>
            <w:kern w:val="2"/>
            <w:sz w:val="24"/>
            <w:lang w:val="en-US" w:eastAsia="en-US"/>
            <w14:ligatures w14:val="standardContextual"/>
          </w:rPr>
          <w:tab/>
        </w:r>
        <w:r w:rsidRPr="00B507A0">
          <w:rPr>
            <w:rStyle w:val="Hyperlink"/>
          </w:rPr>
          <w:t>MESURES TYPES D’EVITEMENT ET D’ATTENUATION DES IMPACTS NEGATIFS POTENTIELS</w:t>
        </w:r>
        <w:r>
          <w:rPr>
            <w:webHidden/>
          </w:rPr>
          <w:tab/>
        </w:r>
        <w:r>
          <w:rPr>
            <w:webHidden/>
          </w:rPr>
          <w:fldChar w:fldCharType="begin"/>
        </w:r>
        <w:r>
          <w:rPr>
            <w:webHidden/>
          </w:rPr>
          <w:instrText xml:space="preserve"> PAGEREF _Toc230426061 \h </w:instrText>
        </w:r>
        <w:r>
          <w:rPr>
            <w:webHidden/>
          </w:rPr>
        </w:r>
        <w:r>
          <w:rPr>
            <w:webHidden/>
          </w:rPr>
          <w:fldChar w:fldCharType="separate"/>
        </w:r>
        <w:r w:rsidR="007E133A">
          <w:rPr>
            <w:webHidden/>
          </w:rPr>
          <w:t>126</w:t>
        </w:r>
        <w:r>
          <w:rPr>
            <w:webHidden/>
          </w:rPr>
          <w:fldChar w:fldCharType="end"/>
        </w:r>
      </w:hyperlink>
    </w:p>
    <w:p w14:paraId="60484373" w14:textId="261C654F"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62" w:history="1">
        <w:r w:rsidRPr="00B507A0">
          <w:rPr>
            <w:rStyle w:val="Hyperlink"/>
          </w:rPr>
          <w:t>6.5.1</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Hiérarchie des mesures</w:t>
        </w:r>
        <w:r>
          <w:rPr>
            <w:webHidden/>
          </w:rPr>
          <w:tab/>
        </w:r>
        <w:r>
          <w:rPr>
            <w:webHidden/>
          </w:rPr>
          <w:fldChar w:fldCharType="begin"/>
        </w:r>
        <w:r>
          <w:rPr>
            <w:webHidden/>
          </w:rPr>
          <w:instrText xml:space="preserve"> PAGEREF _Toc230426062 \h </w:instrText>
        </w:r>
        <w:r>
          <w:rPr>
            <w:webHidden/>
          </w:rPr>
        </w:r>
        <w:r>
          <w:rPr>
            <w:webHidden/>
          </w:rPr>
          <w:fldChar w:fldCharType="separate"/>
        </w:r>
        <w:r w:rsidR="007E133A">
          <w:rPr>
            <w:webHidden/>
          </w:rPr>
          <w:t>126</w:t>
        </w:r>
        <w:r>
          <w:rPr>
            <w:webHidden/>
          </w:rPr>
          <w:fldChar w:fldCharType="end"/>
        </w:r>
      </w:hyperlink>
    </w:p>
    <w:p w14:paraId="4F508378" w14:textId="5721EA54"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63" w:history="1">
        <w:r w:rsidRPr="00B507A0">
          <w:rPr>
            <w:rStyle w:val="Hyperlink"/>
          </w:rPr>
          <w:t>6.5.2</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Mesures types</w:t>
        </w:r>
        <w:r>
          <w:rPr>
            <w:webHidden/>
          </w:rPr>
          <w:tab/>
        </w:r>
        <w:r>
          <w:rPr>
            <w:webHidden/>
          </w:rPr>
          <w:fldChar w:fldCharType="begin"/>
        </w:r>
        <w:r>
          <w:rPr>
            <w:webHidden/>
          </w:rPr>
          <w:instrText xml:space="preserve"> PAGEREF _Toc230426063 \h </w:instrText>
        </w:r>
        <w:r>
          <w:rPr>
            <w:webHidden/>
          </w:rPr>
        </w:r>
        <w:r>
          <w:rPr>
            <w:webHidden/>
          </w:rPr>
          <w:fldChar w:fldCharType="separate"/>
        </w:r>
        <w:r w:rsidR="007E133A">
          <w:rPr>
            <w:webHidden/>
          </w:rPr>
          <w:t>127</w:t>
        </w:r>
        <w:r>
          <w:rPr>
            <w:webHidden/>
          </w:rPr>
          <w:fldChar w:fldCharType="end"/>
        </w:r>
      </w:hyperlink>
    </w:p>
    <w:p w14:paraId="5ED073A0" w14:textId="4235ABEC"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64" w:history="1">
        <w:r w:rsidRPr="00B507A0">
          <w:rPr>
            <w:rStyle w:val="Hyperlink"/>
          </w:rPr>
          <w:t>6.5.3</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Mesures spécifiques pour des travaux sur RN qui traversent une aire protégée</w:t>
        </w:r>
        <w:r>
          <w:rPr>
            <w:webHidden/>
          </w:rPr>
          <w:tab/>
        </w:r>
        <w:r>
          <w:rPr>
            <w:webHidden/>
          </w:rPr>
          <w:fldChar w:fldCharType="begin"/>
        </w:r>
        <w:r>
          <w:rPr>
            <w:webHidden/>
          </w:rPr>
          <w:instrText xml:space="preserve"> PAGEREF _Toc230426064 \h </w:instrText>
        </w:r>
        <w:r>
          <w:rPr>
            <w:webHidden/>
          </w:rPr>
        </w:r>
        <w:r>
          <w:rPr>
            <w:webHidden/>
          </w:rPr>
          <w:fldChar w:fldCharType="separate"/>
        </w:r>
        <w:r w:rsidR="007E133A">
          <w:rPr>
            <w:webHidden/>
          </w:rPr>
          <w:t>131</w:t>
        </w:r>
        <w:r>
          <w:rPr>
            <w:webHidden/>
          </w:rPr>
          <w:fldChar w:fldCharType="end"/>
        </w:r>
      </w:hyperlink>
    </w:p>
    <w:p w14:paraId="7DF0A394" w14:textId="53E29AB2"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65" w:history="1">
        <w:r w:rsidRPr="00B507A0">
          <w:rPr>
            <w:rStyle w:val="Hyperlink"/>
          </w:rPr>
          <w:t>6.5.4</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Mesures spécifiques liées au changement climatique</w:t>
        </w:r>
        <w:r>
          <w:rPr>
            <w:webHidden/>
          </w:rPr>
          <w:tab/>
        </w:r>
        <w:r>
          <w:rPr>
            <w:webHidden/>
          </w:rPr>
          <w:fldChar w:fldCharType="begin"/>
        </w:r>
        <w:r>
          <w:rPr>
            <w:webHidden/>
          </w:rPr>
          <w:instrText xml:space="preserve"> PAGEREF _Toc230426065 \h </w:instrText>
        </w:r>
        <w:r>
          <w:rPr>
            <w:webHidden/>
          </w:rPr>
        </w:r>
        <w:r>
          <w:rPr>
            <w:webHidden/>
          </w:rPr>
          <w:fldChar w:fldCharType="separate"/>
        </w:r>
        <w:r w:rsidR="007E133A">
          <w:rPr>
            <w:webHidden/>
          </w:rPr>
          <w:t>132</w:t>
        </w:r>
        <w:r>
          <w:rPr>
            <w:webHidden/>
          </w:rPr>
          <w:fldChar w:fldCharType="end"/>
        </w:r>
      </w:hyperlink>
    </w:p>
    <w:p w14:paraId="13C05888" w14:textId="64F6FECB" w:rsidR="004F2052" w:rsidRDefault="004F2052">
      <w:pPr>
        <w:pStyle w:val="TOC2"/>
        <w:rPr>
          <w:rFonts w:asciiTheme="minorHAnsi" w:eastAsiaTheme="minorEastAsia" w:hAnsiTheme="minorHAnsi" w:cstheme="minorBidi"/>
          <w:b w:val="0"/>
          <w:caps w:val="0"/>
          <w:color w:val="auto"/>
          <w:kern w:val="2"/>
          <w:sz w:val="24"/>
          <w:lang w:val="en-US" w:eastAsia="en-US"/>
          <w14:ligatures w14:val="standardContextual"/>
        </w:rPr>
      </w:pPr>
      <w:hyperlink w:anchor="_Toc230426066" w:history="1">
        <w:r w:rsidRPr="00B507A0">
          <w:rPr>
            <w:rStyle w:val="Hyperlink"/>
          </w:rPr>
          <w:t>6.6</w:t>
        </w:r>
        <w:r>
          <w:rPr>
            <w:rFonts w:asciiTheme="minorHAnsi" w:eastAsiaTheme="minorEastAsia" w:hAnsiTheme="minorHAnsi" w:cstheme="minorBidi"/>
            <w:b w:val="0"/>
            <w:caps w:val="0"/>
            <w:color w:val="auto"/>
            <w:kern w:val="2"/>
            <w:sz w:val="24"/>
            <w:lang w:val="en-US" w:eastAsia="en-US"/>
            <w14:ligatures w14:val="standardContextual"/>
          </w:rPr>
          <w:tab/>
        </w:r>
        <w:r w:rsidRPr="00B507A0">
          <w:rPr>
            <w:rStyle w:val="Hyperlink"/>
          </w:rPr>
          <w:t>MESURES EN CAS DE DECOUVERTE FORTUITE D’UNE RESSOURCE CULTURELLE</w:t>
        </w:r>
        <w:r>
          <w:rPr>
            <w:webHidden/>
          </w:rPr>
          <w:tab/>
        </w:r>
        <w:r>
          <w:rPr>
            <w:webHidden/>
          </w:rPr>
          <w:fldChar w:fldCharType="begin"/>
        </w:r>
        <w:r>
          <w:rPr>
            <w:webHidden/>
          </w:rPr>
          <w:instrText xml:space="preserve"> PAGEREF _Toc230426066 \h </w:instrText>
        </w:r>
        <w:r>
          <w:rPr>
            <w:webHidden/>
          </w:rPr>
        </w:r>
        <w:r>
          <w:rPr>
            <w:webHidden/>
          </w:rPr>
          <w:fldChar w:fldCharType="separate"/>
        </w:r>
        <w:r w:rsidR="007E133A">
          <w:rPr>
            <w:webHidden/>
          </w:rPr>
          <w:t>132</w:t>
        </w:r>
        <w:r>
          <w:rPr>
            <w:webHidden/>
          </w:rPr>
          <w:fldChar w:fldCharType="end"/>
        </w:r>
      </w:hyperlink>
    </w:p>
    <w:p w14:paraId="5511254F" w14:textId="08B7BDB8"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67" w:history="1">
        <w:r w:rsidRPr="00B507A0">
          <w:rPr>
            <w:rStyle w:val="Hyperlink"/>
          </w:rPr>
          <w:t>6.6.1</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Cas général</w:t>
        </w:r>
        <w:r>
          <w:rPr>
            <w:webHidden/>
          </w:rPr>
          <w:tab/>
        </w:r>
        <w:r>
          <w:rPr>
            <w:webHidden/>
          </w:rPr>
          <w:fldChar w:fldCharType="begin"/>
        </w:r>
        <w:r>
          <w:rPr>
            <w:webHidden/>
          </w:rPr>
          <w:instrText xml:space="preserve"> PAGEREF _Toc230426067 \h </w:instrText>
        </w:r>
        <w:r>
          <w:rPr>
            <w:webHidden/>
          </w:rPr>
        </w:r>
        <w:r>
          <w:rPr>
            <w:webHidden/>
          </w:rPr>
          <w:fldChar w:fldCharType="separate"/>
        </w:r>
        <w:r w:rsidR="007E133A">
          <w:rPr>
            <w:webHidden/>
          </w:rPr>
          <w:t>132</w:t>
        </w:r>
        <w:r>
          <w:rPr>
            <w:webHidden/>
          </w:rPr>
          <w:fldChar w:fldCharType="end"/>
        </w:r>
      </w:hyperlink>
    </w:p>
    <w:p w14:paraId="0DD1219E" w14:textId="73E27A5B" w:rsidR="004F2052" w:rsidRDefault="004F2052">
      <w:pPr>
        <w:pStyle w:val="TOC1"/>
        <w:rPr>
          <w:rFonts w:asciiTheme="minorHAnsi" w:eastAsiaTheme="minorEastAsia" w:hAnsiTheme="minorHAnsi" w:cstheme="minorBidi"/>
          <w:b w:val="0"/>
          <w:caps w:val="0"/>
          <w:color w:val="auto"/>
          <w:kern w:val="2"/>
          <w:lang w:val="en-US" w:eastAsia="en-US"/>
          <w14:ligatures w14:val="standardContextual"/>
        </w:rPr>
      </w:pPr>
      <w:hyperlink w:anchor="_Toc230426068" w:history="1">
        <w:r w:rsidRPr="00B507A0">
          <w:rPr>
            <w:rStyle w:val="Hyperlink"/>
          </w:rPr>
          <w:t>7</w:t>
        </w:r>
        <w:r>
          <w:rPr>
            <w:rFonts w:asciiTheme="minorHAnsi" w:eastAsiaTheme="minorEastAsia" w:hAnsiTheme="minorHAnsi" w:cstheme="minorBidi"/>
            <w:b w:val="0"/>
            <w:caps w:val="0"/>
            <w:color w:val="auto"/>
            <w:kern w:val="2"/>
            <w:lang w:val="en-US" w:eastAsia="en-US"/>
            <w14:ligatures w14:val="standardContextual"/>
          </w:rPr>
          <w:tab/>
        </w:r>
        <w:r w:rsidRPr="00B507A0">
          <w:rPr>
            <w:rStyle w:val="Hyperlink"/>
          </w:rPr>
          <w:t>Participation du PUBLIc DURANT LA mise à jour DU CGES</w:t>
        </w:r>
        <w:r>
          <w:rPr>
            <w:webHidden/>
          </w:rPr>
          <w:tab/>
        </w:r>
        <w:r>
          <w:rPr>
            <w:webHidden/>
          </w:rPr>
          <w:fldChar w:fldCharType="begin"/>
        </w:r>
        <w:r>
          <w:rPr>
            <w:webHidden/>
          </w:rPr>
          <w:instrText xml:space="preserve"> PAGEREF _Toc230426068 \h </w:instrText>
        </w:r>
        <w:r>
          <w:rPr>
            <w:webHidden/>
          </w:rPr>
        </w:r>
        <w:r>
          <w:rPr>
            <w:webHidden/>
          </w:rPr>
          <w:fldChar w:fldCharType="separate"/>
        </w:r>
        <w:r w:rsidR="007E133A">
          <w:rPr>
            <w:webHidden/>
          </w:rPr>
          <w:t>135</w:t>
        </w:r>
        <w:r>
          <w:rPr>
            <w:webHidden/>
          </w:rPr>
          <w:fldChar w:fldCharType="end"/>
        </w:r>
      </w:hyperlink>
    </w:p>
    <w:p w14:paraId="2B035CAD" w14:textId="1E1C25A0" w:rsidR="004F2052" w:rsidRDefault="004F2052">
      <w:pPr>
        <w:pStyle w:val="TOC2"/>
        <w:rPr>
          <w:rFonts w:asciiTheme="minorHAnsi" w:eastAsiaTheme="minorEastAsia" w:hAnsiTheme="minorHAnsi" w:cstheme="minorBidi"/>
          <w:b w:val="0"/>
          <w:caps w:val="0"/>
          <w:color w:val="auto"/>
          <w:kern w:val="2"/>
          <w:sz w:val="24"/>
          <w:lang w:val="en-US" w:eastAsia="en-US"/>
          <w14:ligatures w14:val="standardContextual"/>
        </w:rPr>
      </w:pPr>
      <w:hyperlink w:anchor="_Toc230426069" w:history="1">
        <w:r w:rsidRPr="00B507A0">
          <w:rPr>
            <w:rStyle w:val="Hyperlink"/>
          </w:rPr>
          <w:t>7.1</w:t>
        </w:r>
        <w:r>
          <w:rPr>
            <w:rFonts w:asciiTheme="minorHAnsi" w:eastAsiaTheme="minorEastAsia" w:hAnsiTheme="minorHAnsi" w:cstheme="minorBidi"/>
            <w:b w:val="0"/>
            <w:caps w:val="0"/>
            <w:color w:val="auto"/>
            <w:kern w:val="2"/>
            <w:sz w:val="24"/>
            <w:lang w:val="en-US" w:eastAsia="en-US"/>
            <w14:ligatures w14:val="standardContextual"/>
          </w:rPr>
          <w:tab/>
        </w:r>
        <w:r w:rsidRPr="00B507A0">
          <w:rPr>
            <w:rStyle w:val="Hyperlink"/>
          </w:rPr>
          <w:t>OBJECTIFS DES CONSULTATIONS</w:t>
        </w:r>
        <w:r>
          <w:rPr>
            <w:webHidden/>
          </w:rPr>
          <w:tab/>
        </w:r>
        <w:r>
          <w:rPr>
            <w:webHidden/>
          </w:rPr>
          <w:fldChar w:fldCharType="begin"/>
        </w:r>
        <w:r>
          <w:rPr>
            <w:webHidden/>
          </w:rPr>
          <w:instrText xml:space="preserve"> PAGEREF _Toc230426069 \h </w:instrText>
        </w:r>
        <w:r>
          <w:rPr>
            <w:webHidden/>
          </w:rPr>
        </w:r>
        <w:r>
          <w:rPr>
            <w:webHidden/>
          </w:rPr>
          <w:fldChar w:fldCharType="separate"/>
        </w:r>
        <w:r w:rsidR="007E133A">
          <w:rPr>
            <w:webHidden/>
          </w:rPr>
          <w:t>135</w:t>
        </w:r>
        <w:r>
          <w:rPr>
            <w:webHidden/>
          </w:rPr>
          <w:fldChar w:fldCharType="end"/>
        </w:r>
      </w:hyperlink>
    </w:p>
    <w:p w14:paraId="3B072E1E" w14:textId="710D1A6A" w:rsidR="004F2052" w:rsidRDefault="004F2052">
      <w:pPr>
        <w:pStyle w:val="TOC2"/>
        <w:rPr>
          <w:rFonts w:asciiTheme="minorHAnsi" w:eastAsiaTheme="minorEastAsia" w:hAnsiTheme="minorHAnsi" w:cstheme="minorBidi"/>
          <w:b w:val="0"/>
          <w:caps w:val="0"/>
          <w:color w:val="auto"/>
          <w:kern w:val="2"/>
          <w:sz w:val="24"/>
          <w:lang w:val="en-US" w:eastAsia="en-US"/>
          <w14:ligatures w14:val="standardContextual"/>
        </w:rPr>
      </w:pPr>
      <w:hyperlink w:anchor="_Toc230426070" w:history="1">
        <w:r w:rsidRPr="00B507A0">
          <w:rPr>
            <w:rStyle w:val="Hyperlink"/>
          </w:rPr>
          <w:t>7.2</w:t>
        </w:r>
        <w:r>
          <w:rPr>
            <w:rFonts w:asciiTheme="minorHAnsi" w:eastAsiaTheme="minorEastAsia" w:hAnsiTheme="minorHAnsi" w:cstheme="minorBidi"/>
            <w:b w:val="0"/>
            <w:caps w:val="0"/>
            <w:color w:val="auto"/>
            <w:kern w:val="2"/>
            <w:sz w:val="24"/>
            <w:lang w:val="en-US" w:eastAsia="en-US"/>
            <w14:ligatures w14:val="standardContextual"/>
          </w:rPr>
          <w:tab/>
        </w:r>
        <w:r w:rsidRPr="00B507A0">
          <w:rPr>
            <w:rStyle w:val="Hyperlink"/>
          </w:rPr>
          <w:t>Rappels sur le processus de consultation pour le projet initial</w:t>
        </w:r>
        <w:r>
          <w:rPr>
            <w:webHidden/>
          </w:rPr>
          <w:tab/>
        </w:r>
        <w:r>
          <w:rPr>
            <w:webHidden/>
          </w:rPr>
          <w:fldChar w:fldCharType="begin"/>
        </w:r>
        <w:r>
          <w:rPr>
            <w:webHidden/>
          </w:rPr>
          <w:instrText xml:space="preserve"> PAGEREF _Toc230426070 \h </w:instrText>
        </w:r>
        <w:r>
          <w:rPr>
            <w:webHidden/>
          </w:rPr>
        </w:r>
        <w:r>
          <w:rPr>
            <w:webHidden/>
          </w:rPr>
          <w:fldChar w:fldCharType="separate"/>
        </w:r>
        <w:r w:rsidR="007E133A">
          <w:rPr>
            <w:webHidden/>
          </w:rPr>
          <w:t>135</w:t>
        </w:r>
        <w:r>
          <w:rPr>
            <w:webHidden/>
          </w:rPr>
          <w:fldChar w:fldCharType="end"/>
        </w:r>
      </w:hyperlink>
    </w:p>
    <w:p w14:paraId="1D810380" w14:textId="11F5CFBB"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71" w:history="1">
        <w:r w:rsidRPr="00B507A0">
          <w:rPr>
            <w:rStyle w:val="Hyperlink"/>
          </w:rPr>
          <w:t>7.2.1</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Approche adoptée</w:t>
        </w:r>
        <w:r>
          <w:rPr>
            <w:webHidden/>
          </w:rPr>
          <w:tab/>
        </w:r>
        <w:r>
          <w:rPr>
            <w:webHidden/>
          </w:rPr>
          <w:fldChar w:fldCharType="begin"/>
        </w:r>
        <w:r>
          <w:rPr>
            <w:webHidden/>
          </w:rPr>
          <w:instrText xml:space="preserve"> PAGEREF _Toc230426071 \h </w:instrText>
        </w:r>
        <w:r>
          <w:rPr>
            <w:webHidden/>
          </w:rPr>
        </w:r>
        <w:r>
          <w:rPr>
            <w:webHidden/>
          </w:rPr>
          <w:fldChar w:fldCharType="separate"/>
        </w:r>
        <w:r w:rsidR="007E133A">
          <w:rPr>
            <w:webHidden/>
          </w:rPr>
          <w:t>136</w:t>
        </w:r>
        <w:r>
          <w:rPr>
            <w:webHidden/>
          </w:rPr>
          <w:fldChar w:fldCharType="end"/>
        </w:r>
      </w:hyperlink>
    </w:p>
    <w:p w14:paraId="79700DBA" w14:textId="07F6F7EB" w:rsidR="004F2052" w:rsidRDefault="004F2052">
      <w:pPr>
        <w:pStyle w:val="TOC2"/>
        <w:rPr>
          <w:rFonts w:asciiTheme="minorHAnsi" w:eastAsiaTheme="minorEastAsia" w:hAnsiTheme="minorHAnsi" w:cstheme="minorBidi"/>
          <w:b w:val="0"/>
          <w:caps w:val="0"/>
          <w:color w:val="auto"/>
          <w:kern w:val="2"/>
          <w:sz w:val="24"/>
          <w:lang w:val="en-US" w:eastAsia="en-US"/>
          <w14:ligatures w14:val="standardContextual"/>
        </w:rPr>
      </w:pPr>
      <w:hyperlink w:anchor="_Toc230426072" w:history="1">
        <w:r w:rsidRPr="00B507A0">
          <w:rPr>
            <w:rStyle w:val="Hyperlink"/>
          </w:rPr>
          <w:t>7.3</w:t>
        </w:r>
        <w:r>
          <w:rPr>
            <w:rFonts w:asciiTheme="minorHAnsi" w:eastAsiaTheme="minorEastAsia" w:hAnsiTheme="minorHAnsi" w:cstheme="minorBidi"/>
            <w:b w:val="0"/>
            <w:caps w:val="0"/>
            <w:color w:val="auto"/>
            <w:kern w:val="2"/>
            <w:sz w:val="24"/>
            <w:lang w:val="en-US" w:eastAsia="en-US"/>
            <w14:ligatures w14:val="standardContextual"/>
          </w:rPr>
          <w:tab/>
        </w:r>
        <w:r w:rsidRPr="00B507A0">
          <w:rPr>
            <w:rStyle w:val="Hyperlink"/>
          </w:rPr>
          <w:t>ACCEPTABILITE SOCIALE ET INSTITUTIONNELLE DU PCMCI</w:t>
        </w:r>
        <w:r>
          <w:rPr>
            <w:webHidden/>
          </w:rPr>
          <w:tab/>
        </w:r>
        <w:r>
          <w:rPr>
            <w:webHidden/>
          </w:rPr>
          <w:fldChar w:fldCharType="begin"/>
        </w:r>
        <w:r>
          <w:rPr>
            <w:webHidden/>
          </w:rPr>
          <w:instrText xml:space="preserve"> PAGEREF _Toc230426072 \h </w:instrText>
        </w:r>
        <w:r>
          <w:rPr>
            <w:webHidden/>
          </w:rPr>
        </w:r>
        <w:r>
          <w:rPr>
            <w:webHidden/>
          </w:rPr>
          <w:fldChar w:fldCharType="separate"/>
        </w:r>
        <w:r w:rsidR="007E133A">
          <w:rPr>
            <w:webHidden/>
          </w:rPr>
          <w:t>136</w:t>
        </w:r>
        <w:r>
          <w:rPr>
            <w:webHidden/>
          </w:rPr>
          <w:fldChar w:fldCharType="end"/>
        </w:r>
      </w:hyperlink>
    </w:p>
    <w:p w14:paraId="5ACB9CAB" w14:textId="74D6BB8C"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73" w:history="1">
        <w:r w:rsidRPr="00B507A0">
          <w:rPr>
            <w:rStyle w:val="Hyperlink"/>
          </w:rPr>
          <w:t>7.3.1</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Projet initial</w:t>
        </w:r>
        <w:r>
          <w:rPr>
            <w:webHidden/>
          </w:rPr>
          <w:tab/>
        </w:r>
        <w:r>
          <w:rPr>
            <w:webHidden/>
          </w:rPr>
          <w:fldChar w:fldCharType="begin"/>
        </w:r>
        <w:r>
          <w:rPr>
            <w:webHidden/>
          </w:rPr>
          <w:instrText xml:space="preserve"> PAGEREF _Toc230426073 \h </w:instrText>
        </w:r>
        <w:r>
          <w:rPr>
            <w:webHidden/>
          </w:rPr>
        </w:r>
        <w:r>
          <w:rPr>
            <w:webHidden/>
          </w:rPr>
          <w:fldChar w:fldCharType="separate"/>
        </w:r>
        <w:r w:rsidR="007E133A">
          <w:rPr>
            <w:webHidden/>
          </w:rPr>
          <w:t>136</w:t>
        </w:r>
        <w:r>
          <w:rPr>
            <w:webHidden/>
          </w:rPr>
          <w:fldChar w:fldCharType="end"/>
        </w:r>
      </w:hyperlink>
    </w:p>
    <w:p w14:paraId="50462EF3" w14:textId="493D718F"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74" w:history="1">
        <w:r w:rsidRPr="00B507A0">
          <w:rPr>
            <w:rStyle w:val="Hyperlink"/>
          </w:rPr>
          <w:t>7.3.2</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Composante CERC</w:t>
        </w:r>
        <w:r>
          <w:rPr>
            <w:webHidden/>
          </w:rPr>
          <w:tab/>
        </w:r>
        <w:r>
          <w:rPr>
            <w:webHidden/>
          </w:rPr>
          <w:fldChar w:fldCharType="begin"/>
        </w:r>
        <w:r>
          <w:rPr>
            <w:webHidden/>
          </w:rPr>
          <w:instrText xml:space="preserve"> PAGEREF _Toc230426074 \h </w:instrText>
        </w:r>
        <w:r>
          <w:rPr>
            <w:webHidden/>
          </w:rPr>
        </w:r>
        <w:r>
          <w:rPr>
            <w:webHidden/>
          </w:rPr>
          <w:fldChar w:fldCharType="separate"/>
        </w:r>
        <w:r w:rsidR="007E133A">
          <w:rPr>
            <w:webHidden/>
          </w:rPr>
          <w:t>138</w:t>
        </w:r>
        <w:r>
          <w:rPr>
            <w:webHidden/>
          </w:rPr>
          <w:fldChar w:fldCharType="end"/>
        </w:r>
      </w:hyperlink>
    </w:p>
    <w:p w14:paraId="2F841085" w14:textId="3B210C0E" w:rsidR="004F2052" w:rsidRDefault="004F2052">
      <w:pPr>
        <w:pStyle w:val="TOC2"/>
        <w:rPr>
          <w:rFonts w:asciiTheme="minorHAnsi" w:eastAsiaTheme="minorEastAsia" w:hAnsiTheme="minorHAnsi" w:cstheme="minorBidi"/>
          <w:b w:val="0"/>
          <w:caps w:val="0"/>
          <w:color w:val="auto"/>
          <w:kern w:val="2"/>
          <w:sz w:val="24"/>
          <w:lang w:val="en-US" w:eastAsia="en-US"/>
          <w14:ligatures w14:val="standardContextual"/>
        </w:rPr>
      </w:pPr>
      <w:hyperlink w:anchor="_Toc230426075" w:history="1">
        <w:r w:rsidRPr="00B507A0">
          <w:rPr>
            <w:rStyle w:val="Hyperlink"/>
          </w:rPr>
          <w:t>7.4</w:t>
        </w:r>
        <w:r>
          <w:rPr>
            <w:rFonts w:asciiTheme="minorHAnsi" w:eastAsiaTheme="minorEastAsia" w:hAnsiTheme="minorHAnsi" w:cstheme="minorBidi"/>
            <w:b w:val="0"/>
            <w:caps w:val="0"/>
            <w:color w:val="auto"/>
            <w:kern w:val="2"/>
            <w:sz w:val="24"/>
            <w:lang w:val="en-US" w:eastAsia="en-US"/>
            <w14:ligatures w14:val="standardContextual"/>
          </w:rPr>
          <w:tab/>
        </w:r>
        <w:r w:rsidRPr="00B507A0">
          <w:rPr>
            <w:rStyle w:val="Hyperlink"/>
          </w:rPr>
          <w:t>CONCLUSIONS SUR LES CONSULTATIONS PUBLIQUES</w:t>
        </w:r>
        <w:r>
          <w:rPr>
            <w:webHidden/>
          </w:rPr>
          <w:tab/>
        </w:r>
        <w:r>
          <w:rPr>
            <w:webHidden/>
          </w:rPr>
          <w:fldChar w:fldCharType="begin"/>
        </w:r>
        <w:r>
          <w:rPr>
            <w:webHidden/>
          </w:rPr>
          <w:instrText xml:space="preserve"> PAGEREF _Toc230426075 \h </w:instrText>
        </w:r>
        <w:r>
          <w:rPr>
            <w:webHidden/>
          </w:rPr>
        </w:r>
        <w:r>
          <w:rPr>
            <w:webHidden/>
          </w:rPr>
          <w:fldChar w:fldCharType="separate"/>
        </w:r>
        <w:r w:rsidR="007E133A">
          <w:rPr>
            <w:webHidden/>
          </w:rPr>
          <w:t>140</w:t>
        </w:r>
        <w:r>
          <w:rPr>
            <w:webHidden/>
          </w:rPr>
          <w:fldChar w:fldCharType="end"/>
        </w:r>
      </w:hyperlink>
    </w:p>
    <w:p w14:paraId="787A9BE6" w14:textId="6BA10B10" w:rsidR="004F2052" w:rsidRDefault="004F2052">
      <w:pPr>
        <w:pStyle w:val="TOC1"/>
        <w:rPr>
          <w:rFonts w:asciiTheme="minorHAnsi" w:eastAsiaTheme="minorEastAsia" w:hAnsiTheme="minorHAnsi" w:cstheme="minorBidi"/>
          <w:b w:val="0"/>
          <w:caps w:val="0"/>
          <w:color w:val="auto"/>
          <w:kern w:val="2"/>
          <w:lang w:val="en-US" w:eastAsia="en-US"/>
          <w14:ligatures w14:val="standardContextual"/>
        </w:rPr>
      </w:pPr>
      <w:hyperlink w:anchor="_Toc230426076" w:history="1">
        <w:r w:rsidRPr="00B507A0">
          <w:rPr>
            <w:rStyle w:val="Hyperlink"/>
          </w:rPr>
          <w:t>8</w:t>
        </w:r>
        <w:r>
          <w:rPr>
            <w:rFonts w:asciiTheme="minorHAnsi" w:eastAsiaTheme="minorEastAsia" w:hAnsiTheme="minorHAnsi" w:cstheme="minorBidi"/>
            <w:b w:val="0"/>
            <w:caps w:val="0"/>
            <w:color w:val="auto"/>
            <w:kern w:val="2"/>
            <w:lang w:val="en-US" w:eastAsia="en-US"/>
            <w14:ligatures w14:val="standardContextual"/>
          </w:rPr>
          <w:tab/>
        </w:r>
        <w:r w:rsidRPr="00B507A0">
          <w:rPr>
            <w:rStyle w:val="Hyperlink"/>
          </w:rPr>
          <w:t>CADRE DE GESTION ENVIRONNEMENTALE ET SOCIALE</w:t>
        </w:r>
        <w:r>
          <w:rPr>
            <w:webHidden/>
          </w:rPr>
          <w:tab/>
        </w:r>
        <w:r>
          <w:rPr>
            <w:webHidden/>
          </w:rPr>
          <w:fldChar w:fldCharType="begin"/>
        </w:r>
        <w:r>
          <w:rPr>
            <w:webHidden/>
          </w:rPr>
          <w:instrText xml:space="preserve"> PAGEREF _Toc230426076 \h </w:instrText>
        </w:r>
        <w:r>
          <w:rPr>
            <w:webHidden/>
          </w:rPr>
        </w:r>
        <w:r>
          <w:rPr>
            <w:webHidden/>
          </w:rPr>
          <w:fldChar w:fldCharType="separate"/>
        </w:r>
        <w:r w:rsidR="007E133A">
          <w:rPr>
            <w:webHidden/>
          </w:rPr>
          <w:t>141</w:t>
        </w:r>
        <w:r>
          <w:rPr>
            <w:webHidden/>
          </w:rPr>
          <w:fldChar w:fldCharType="end"/>
        </w:r>
      </w:hyperlink>
    </w:p>
    <w:p w14:paraId="12BBC1BD" w14:textId="54431D3C" w:rsidR="004F2052" w:rsidRDefault="004F2052">
      <w:pPr>
        <w:pStyle w:val="TOC2"/>
        <w:rPr>
          <w:rFonts w:asciiTheme="minorHAnsi" w:eastAsiaTheme="minorEastAsia" w:hAnsiTheme="minorHAnsi" w:cstheme="minorBidi"/>
          <w:b w:val="0"/>
          <w:caps w:val="0"/>
          <w:color w:val="auto"/>
          <w:kern w:val="2"/>
          <w:sz w:val="24"/>
          <w:lang w:val="en-US" w:eastAsia="en-US"/>
          <w14:ligatures w14:val="standardContextual"/>
        </w:rPr>
      </w:pPr>
      <w:hyperlink w:anchor="_Toc230426077" w:history="1">
        <w:r w:rsidRPr="00B507A0">
          <w:rPr>
            <w:rStyle w:val="Hyperlink"/>
          </w:rPr>
          <w:t>8.1</w:t>
        </w:r>
        <w:r>
          <w:rPr>
            <w:rFonts w:asciiTheme="minorHAnsi" w:eastAsiaTheme="minorEastAsia" w:hAnsiTheme="minorHAnsi" w:cstheme="minorBidi"/>
            <w:b w:val="0"/>
            <w:caps w:val="0"/>
            <w:color w:val="auto"/>
            <w:kern w:val="2"/>
            <w:sz w:val="24"/>
            <w:lang w:val="en-US" w:eastAsia="en-US"/>
            <w14:ligatures w14:val="standardContextual"/>
          </w:rPr>
          <w:tab/>
        </w:r>
        <w:r w:rsidRPr="00B507A0">
          <w:rPr>
            <w:rStyle w:val="Hyperlink"/>
          </w:rPr>
          <w:t>PROCESSUS D’EVALUATION ENVIRONNEMENTALE &amp; SOCIALE</w:t>
        </w:r>
        <w:r>
          <w:rPr>
            <w:webHidden/>
          </w:rPr>
          <w:tab/>
        </w:r>
        <w:r>
          <w:rPr>
            <w:webHidden/>
          </w:rPr>
          <w:fldChar w:fldCharType="begin"/>
        </w:r>
        <w:r>
          <w:rPr>
            <w:webHidden/>
          </w:rPr>
          <w:instrText xml:space="preserve"> PAGEREF _Toc230426077 \h </w:instrText>
        </w:r>
        <w:r>
          <w:rPr>
            <w:webHidden/>
          </w:rPr>
        </w:r>
        <w:r>
          <w:rPr>
            <w:webHidden/>
          </w:rPr>
          <w:fldChar w:fldCharType="separate"/>
        </w:r>
        <w:r w:rsidR="007E133A">
          <w:rPr>
            <w:webHidden/>
          </w:rPr>
          <w:t>141</w:t>
        </w:r>
        <w:r>
          <w:rPr>
            <w:webHidden/>
          </w:rPr>
          <w:fldChar w:fldCharType="end"/>
        </w:r>
      </w:hyperlink>
    </w:p>
    <w:p w14:paraId="48043AD0" w14:textId="08443CF3" w:rsidR="004F2052" w:rsidRDefault="004F2052">
      <w:pPr>
        <w:pStyle w:val="TOC2"/>
        <w:rPr>
          <w:rFonts w:asciiTheme="minorHAnsi" w:eastAsiaTheme="minorEastAsia" w:hAnsiTheme="minorHAnsi" w:cstheme="minorBidi"/>
          <w:b w:val="0"/>
          <w:caps w:val="0"/>
          <w:color w:val="auto"/>
          <w:kern w:val="2"/>
          <w:sz w:val="24"/>
          <w:lang w:val="en-US" w:eastAsia="en-US"/>
          <w14:ligatures w14:val="standardContextual"/>
        </w:rPr>
      </w:pPr>
      <w:hyperlink w:anchor="_Toc230426078" w:history="1">
        <w:r w:rsidRPr="00B507A0">
          <w:rPr>
            <w:rStyle w:val="Hyperlink"/>
          </w:rPr>
          <w:t>8.2</w:t>
        </w:r>
        <w:r>
          <w:rPr>
            <w:rFonts w:asciiTheme="minorHAnsi" w:eastAsiaTheme="minorEastAsia" w:hAnsiTheme="minorHAnsi" w:cstheme="minorBidi"/>
            <w:b w:val="0"/>
            <w:caps w:val="0"/>
            <w:color w:val="auto"/>
            <w:kern w:val="2"/>
            <w:sz w:val="24"/>
            <w:lang w:val="en-US" w:eastAsia="en-US"/>
            <w14:ligatures w14:val="standardContextual"/>
          </w:rPr>
          <w:tab/>
        </w:r>
        <w:r w:rsidRPr="00B507A0">
          <w:rPr>
            <w:rStyle w:val="Hyperlink"/>
          </w:rPr>
          <w:t>MECANISMES DE GESTION DES PLAINTES ET DEs litiges</w:t>
        </w:r>
        <w:r>
          <w:rPr>
            <w:webHidden/>
          </w:rPr>
          <w:tab/>
        </w:r>
        <w:r>
          <w:rPr>
            <w:webHidden/>
          </w:rPr>
          <w:fldChar w:fldCharType="begin"/>
        </w:r>
        <w:r>
          <w:rPr>
            <w:webHidden/>
          </w:rPr>
          <w:instrText xml:space="preserve"> PAGEREF _Toc230426078 \h </w:instrText>
        </w:r>
        <w:r>
          <w:rPr>
            <w:webHidden/>
          </w:rPr>
        </w:r>
        <w:r>
          <w:rPr>
            <w:webHidden/>
          </w:rPr>
          <w:fldChar w:fldCharType="separate"/>
        </w:r>
        <w:r w:rsidR="007E133A">
          <w:rPr>
            <w:webHidden/>
          </w:rPr>
          <w:t>146</w:t>
        </w:r>
        <w:r>
          <w:rPr>
            <w:webHidden/>
          </w:rPr>
          <w:fldChar w:fldCharType="end"/>
        </w:r>
      </w:hyperlink>
    </w:p>
    <w:p w14:paraId="65511E85" w14:textId="6A5929D3"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79" w:history="1">
        <w:r w:rsidRPr="00B507A0">
          <w:rPr>
            <w:rStyle w:val="Hyperlink"/>
          </w:rPr>
          <w:t>8.2.1</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Résolution traditionnelle des conflits</w:t>
        </w:r>
        <w:r>
          <w:rPr>
            <w:webHidden/>
          </w:rPr>
          <w:tab/>
        </w:r>
        <w:r>
          <w:rPr>
            <w:webHidden/>
          </w:rPr>
          <w:fldChar w:fldCharType="begin"/>
        </w:r>
        <w:r>
          <w:rPr>
            <w:webHidden/>
          </w:rPr>
          <w:instrText xml:space="preserve"> PAGEREF _Toc230426079 \h </w:instrText>
        </w:r>
        <w:r>
          <w:rPr>
            <w:webHidden/>
          </w:rPr>
        </w:r>
        <w:r>
          <w:rPr>
            <w:webHidden/>
          </w:rPr>
          <w:fldChar w:fldCharType="separate"/>
        </w:r>
        <w:r w:rsidR="007E133A">
          <w:rPr>
            <w:webHidden/>
          </w:rPr>
          <w:t>146</w:t>
        </w:r>
        <w:r>
          <w:rPr>
            <w:webHidden/>
          </w:rPr>
          <w:fldChar w:fldCharType="end"/>
        </w:r>
      </w:hyperlink>
    </w:p>
    <w:p w14:paraId="740CAFCD" w14:textId="7FD60B80"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80" w:history="1">
        <w:r w:rsidRPr="00B507A0">
          <w:rPr>
            <w:rStyle w:val="Hyperlink"/>
          </w:rPr>
          <w:t>8.2.2</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Objectif du mécanisme de gestion des plaintes</w:t>
        </w:r>
        <w:r>
          <w:rPr>
            <w:webHidden/>
          </w:rPr>
          <w:tab/>
        </w:r>
        <w:r>
          <w:rPr>
            <w:webHidden/>
          </w:rPr>
          <w:fldChar w:fldCharType="begin"/>
        </w:r>
        <w:r>
          <w:rPr>
            <w:webHidden/>
          </w:rPr>
          <w:instrText xml:space="preserve"> PAGEREF _Toc230426080 \h </w:instrText>
        </w:r>
        <w:r>
          <w:rPr>
            <w:webHidden/>
          </w:rPr>
        </w:r>
        <w:r>
          <w:rPr>
            <w:webHidden/>
          </w:rPr>
          <w:fldChar w:fldCharType="separate"/>
        </w:r>
        <w:r w:rsidR="007E133A">
          <w:rPr>
            <w:webHidden/>
          </w:rPr>
          <w:t>146</w:t>
        </w:r>
        <w:r>
          <w:rPr>
            <w:webHidden/>
          </w:rPr>
          <w:fldChar w:fldCharType="end"/>
        </w:r>
      </w:hyperlink>
    </w:p>
    <w:p w14:paraId="25C1435C" w14:textId="56616991"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81" w:history="1">
        <w:r w:rsidRPr="00B507A0">
          <w:rPr>
            <w:rStyle w:val="Hyperlink"/>
          </w:rPr>
          <w:t>8.2.3</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Catégories possibles de plaintes et de doléances</w:t>
        </w:r>
        <w:r>
          <w:rPr>
            <w:webHidden/>
          </w:rPr>
          <w:tab/>
        </w:r>
        <w:r>
          <w:rPr>
            <w:webHidden/>
          </w:rPr>
          <w:fldChar w:fldCharType="begin"/>
        </w:r>
        <w:r>
          <w:rPr>
            <w:webHidden/>
          </w:rPr>
          <w:instrText xml:space="preserve"> PAGEREF _Toc230426081 \h </w:instrText>
        </w:r>
        <w:r>
          <w:rPr>
            <w:webHidden/>
          </w:rPr>
        </w:r>
        <w:r>
          <w:rPr>
            <w:webHidden/>
          </w:rPr>
          <w:fldChar w:fldCharType="separate"/>
        </w:r>
        <w:r w:rsidR="007E133A">
          <w:rPr>
            <w:webHidden/>
          </w:rPr>
          <w:t>147</w:t>
        </w:r>
        <w:r>
          <w:rPr>
            <w:webHidden/>
          </w:rPr>
          <w:fldChar w:fldCharType="end"/>
        </w:r>
      </w:hyperlink>
    </w:p>
    <w:p w14:paraId="0241EBE1" w14:textId="3094017E"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82" w:history="1">
        <w:r w:rsidRPr="00B507A0">
          <w:rPr>
            <w:rStyle w:val="Hyperlink"/>
          </w:rPr>
          <w:t>8.2.4</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Principes de gestion des plaintes</w:t>
        </w:r>
        <w:r>
          <w:rPr>
            <w:webHidden/>
          </w:rPr>
          <w:tab/>
        </w:r>
        <w:r>
          <w:rPr>
            <w:webHidden/>
          </w:rPr>
          <w:fldChar w:fldCharType="begin"/>
        </w:r>
        <w:r>
          <w:rPr>
            <w:webHidden/>
          </w:rPr>
          <w:instrText xml:space="preserve"> PAGEREF _Toc230426082 \h </w:instrText>
        </w:r>
        <w:r>
          <w:rPr>
            <w:webHidden/>
          </w:rPr>
        </w:r>
        <w:r>
          <w:rPr>
            <w:webHidden/>
          </w:rPr>
          <w:fldChar w:fldCharType="separate"/>
        </w:r>
        <w:r w:rsidR="007E133A">
          <w:rPr>
            <w:webHidden/>
          </w:rPr>
          <w:t>147</w:t>
        </w:r>
        <w:r>
          <w:rPr>
            <w:webHidden/>
          </w:rPr>
          <w:fldChar w:fldCharType="end"/>
        </w:r>
      </w:hyperlink>
    </w:p>
    <w:p w14:paraId="3602C6D8" w14:textId="507F31D0"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83" w:history="1">
        <w:r w:rsidRPr="00B507A0">
          <w:rPr>
            <w:rStyle w:val="Hyperlink"/>
          </w:rPr>
          <w:t>8.2.5</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Procédure particulière pour le traitement de cas de plaintes touchant les cadres du projet</w:t>
        </w:r>
        <w:r>
          <w:rPr>
            <w:webHidden/>
          </w:rPr>
          <w:tab/>
        </w:r>
        <w:r>
          <w:rPr>
            <w:webHidden/>
          </w:rPr>
          <w:fldChar w:fldCharType="begin"/>
        </w:r>
        <w:r>
          <w:rPr>
            <w:webHidden/>
          </w:rPr>
          <w:instrText xml:space="preserve"> PAGEREF _Toc230426083 \h </w:instrText>
        </w:r>
        <w:r>
          <w:rPr>
            <w:webHidden/>
          </w:rPr>
        </w:r>
        <w:r>
          <w:rPr>
            <w:webHidden/>
          </w:rPr>
          <w:fldChar w:fldCharType="separate"/>
        </w:r>
        <w:r w:rsidR="007E133A">
          <w:rPr>
            <w:webHidden/>
          </w:rPr>
          <w:t>153</w:t>
        </w:r>
        <w:r>
          <w:rPr>
            <w:webHidden/>
          </w:rPr>
          <w:fldChar w:fldCharType="end"/>
        </w:r>
      </w:hyperlink>
    </w:p>
    <w:p w14:paraId="2393177A" w14:textId="2FB12AC2"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84" w:history="1">
        <w:r w:rsidRPr="00B507A0">
          <w:rPr>
            <w:rStyle w:val="Hyperlink"/>
          </w:rPr>
          <w:t>8.2.6</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Traitement de plaintes internes à l’entreprise</w:t>
        </w:r>
        <w:r>
          <w:rPr>
            <w:webHidden/>
          </w:rPr>
          <w:tab/>
        </w:r>
        <w:r>
          <w:rPr>
            <w:webHidden/>
          </w:rPr>
          <w:fldChar w:fldCharType="begin"/>
        </w:r>
        <w:r>
          <w:rPr>
            <w:webHidden/>
          </w:rPr>
          <w:instrText xml:space="preserve"> PAGEREF _Toc230426084 \h </w:instrText>
        </w:r>
        <w:r>
          <w:rPr>
            <w:webHidden/>
          </w:rPr>
        </w:r>
        <w:r>
          <w:rPr>
            <w:webHidden/>
          </w:rPr>
          <w:fldChar w:fldCharType="separate"/>
        </w:r>
        <w:r w:rsidR="007E133A">
          <w:rPr>
            <w:webHidden/>
          </w:rPr>
          <w:t>153</w:t>
        </w:r>
        <w:r>
          <w:rPr>
            <w:webHidden/>
          </w:rPr>
          <w:fldChar w:fldCharType="end"/>
        </w:r>
      </w:hyperlink>
    </w:p>
    <w:p w14:paraId="5CF866FB" w14:textId="473B224E"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85" w:history="1">
        <w:r w:rsidRPr="00B507A0">
          <w:rPr>
            <w:rStyle w:val="Hyperlink"/>
          </w:rPr>
          <w:t>8.2.7</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Procédure de traitement des plaintes spécifiques</w:t>
        </w:r>
        <w:r>
          <w:rPr>
            <w:webHidden/>
          </w:rPr>
          <w:tab/>
        </w:r>
        <w:r>
          <w:rPr>
            <w:webHidden/>
          </w:rPr>
          <w:fldChar w:fldCharType="begin"/>
        </w:r>
        <w:r>
          <w:rPr>
            <w:webHidden/>
          </w:rPr>
          <w:instrText xml:space="preserve"> PAGEREF _Toc230426085 \h </w:instrText>
        </w:r>
        <w:r>
          <w:rPr>
            <w:webHidden/>
          </w:rPr>
        </w:r>
        <w:r>
          <w:rPr>
            <w:webHidden/>
          </w:rPr>
          <w:fldChar w:fldCharType="separate"/>
        </w:r>
        <w:r w:rsidR="007E133A">
          <w:rPr>
            <w:webHidden/>
          </w:rPr>
          <w:t>153</w:t>
        </w:r>
        <w:r>
          <w:rPr>
            <w:webHidden/>
          </w:rPr>
          <w:fldChar w:fldCharType="end"/>
        </w:r>
      </w:hyperlink>
    </w:p>
    <w:p w14:paraId="409385D9" w14:textId="092FB8F9"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86" w:history="1">
        <w:r w:rsidRPr="00B507A0">
          <w:rPr>
            <w:rStyle w:val="Hyperlink"/>
          </w:rPr>
          <w:t>8.2.8</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Surveillance, suivi et consolidation des données sur les plaintes et les litiges</w:t>
        </w:r>
        <w:r>
          <w:rPr>
            <w:webHidden/>
          </w:rPr>
          <w:tab/>
        </w:r>
        <w:r>
          <w:rPr>
            <w:webHidden/>
          </w:rPr>
          <w:fldChar w:fldCharType="begin"/>
        </w:r>
        <w:r>
          <w:rPr>
            <w:webHidden/>
          </w:rPr>
          <w:instrText xml:space="preserve"> PAGEREF _Toc230426086 \h </w:instrText>
        </w:r>
        <w:r>
          <w:rPr>
            <w:webHidden/>
          </w:rPr>
        </w:r>
        <w:r>
          <w:rPr>
            <w:webHidden/>
          </w:rPr>
          <w:fldChar w:fldCharType="separate"/>
        </w:r>
        <w:r w:rsidR="007E133A">
          <w:rPr>
            <w:webHidden/>
          </w:rPr>
          <w:t>154</w:t>
        </w:r>
        <w:r>
          <w:rPr>
            <w:webHidden/>
          </w:rPr>
          <w:fldChar w:fldCharType="end"/>
        </w:r>
      </w:hyperlink>
    </w:p>
    <w:p w14:paraId="7682A76D" w14:textId="245C17A2"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87" w:history="1">
        <w:r w:rsidRPr="00B507A0">
          <w:rPr>
            <w:rStyle w:val="Hyperlink"/>
          </w:rPr>
          <w:t>8.2.9</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Informations et sensibilisation sur le MGP</w:t>
        </w:r>
        <w:r>
          <w:rPr>
            <w:webHidden/>
          </w:rPr>
          <w:tab/>
        </w:r>
        <w:r>
          <w:rPr>
            <w:webHidden/>
          </w:rPr>
          <w:fldChar w:fldCharType="begin"/>
        </w:r>
        <w:r>
          <w:rPr>
            <w:webHidden/>
          </w:rPr>
          <w:instrText xml:space="preserve"> PAGEREF _Toc230426087 \h </w:instrText>
        </w:r>
        <w:r>
          <w:rPr>
            <w:webHidden/>
          </w:rPr>
        </w:r>
        <w:r>
          <w:rPr>
            <w:webHidden/>
          </w:rPr>
          <w:fldChar w:fldCharType="separate"/>
        </w:r>
        <w:r w:rsidR="007E133A">
          <w:rPr>
            <w:webHidden/>
          </w:rPr>
          <w:t>155</w:t>
        </w:r>
        <w:r>
          <w:rPr>
            <w:webHidden/>
          </w:rPr>
          <w:fldChar w:fldCharType="end"/>
        </w:r>
      </w:hyperlink>
    </w:p>
    <w:p w14:paraId="0D5DF963" w14:textId="29D2E7D3"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88" w:history="1">
        <w:r w:rsidRPr="00B507A0">
          <w:rPr>
            <w:rStyle w:val="Hyperlink"/>
          </w:rPr>
          <w:t>8.2.10</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Archivages</w:t>
        </w:r>
        <w:r>
          <w:rPr>
            <w:webHidden/>
          </w:rPr>
          <w:tab/>
        </w:r>
        <w:r>
          <w:rPr>
            <w:webHidden/>
          </w:rPr>
          <w:fldChar w:fldCharType="begin"/>
        </w:r>
        <w:r>
          <w:rPr>
            <w:webHidden/>
          </w:rPr>
          <w:instrText xml:space="preserve"> PAGEREF _Toc230426088 \h </w:instrText>
        </w:r>
        <w:r>
          <w:rPr>
            <w:webHidden/>
          </w:rPr>
        </w:r>
        <w:r>
          <w:rPr>
            <w:webHidden/>
          </w:rPr>
          <w:fldChar w:fldCharType="separate"/>
        </w:r>
        <w:r w:rsidR="007E133A">
          <w:rPr>
            <w:webHidden/>
          </w:rPr>
          <w:t>155</w:t>
        </w:r>
        <w:r>
          <w:rPr>
            <w:webHidden/>
          </w:rPr>
          <w:fldChar w:fldCharType="end"/>
        </w:r>
      </w:hyperlink>
    </w:p>
    <w:p w14:paraId="6934F6F2" w14:textId="740C5A8D" w:rsidR="004F2052" w:rsidRDefault="004F2052">
      <w:pPr>
        <w:pStyle w:val="TOC2"/>
        <w:rPr>
          <w:rFonts w:asciiTheme="minorHAnsi" w:eastAsiaTheme="minorEastAsia" w:hAnsiTheme="minorHAnsi" w:cstheme="minorBidi"/>
          <w:b w:val="0"/>
          <w:caps w:val="0"/>
          <w:color w:val="auto"/>
          <w:kern w:val="2"/>
          <w:sz w:val="24"/>
          <w:lang w:val="en-US" w:eastAsia="en-US"/>
          <w14:ligatures w14:val="standardContextual"/>
        </w:rPr>
      </w:pPr>
      <w:hyperlink w:anchor="_Toc230426089" w:history="1">
        <w:r w:rsidRPr="00B507A0">
          <w:rPr>
            <w:rStyle w:val="Hyperlink"/>
          </w:rPr>
          <w:t>8.3</w:t>
        </w:r>
        <w:r>
          <w:rPr>
            <w:rFonts w:asciiTheme="minorHAnsi" w:eastAsiaTheme="minorEastAsia" w:hAnsiTheme="minorHAnsi" w:cstheme="minorBidi"/>
            <w:b w:val="0"/>
            <w:caps w:val="0"/>
            <w:color w:val="auto"/>
            <w:kern w:val="2"/>
            <w:sz w:val="24"/>
            <w:lang w:val="en-US" w:eastAsia="en-US"/>
            <w14:ligatures w14:val="standardContextual"/>
          </w:rPr>
          <w:tab/>
        </w:r>
        <w:r w:rsidRPr="00B507A0">
          <w:rPr>
            <w:rStyle w:val="Hyperlink"/>
          </w:rPr>
          <w:t>PLAN D’ACTION CONTRE LES VIOLENCES BASEES SUR LE GENRE</w:t>
        </w:r>
        <w:r>
          <w:rPr>
            <w:webHidden/>
          </w:rPr>
          <w:tab/>
        </w:r>
        <w:r>
          <w:rPr>
            <w:webHidden/>
          </w:rPr>
          <w:fldChar w:fldCharType="begin"/>
        </w:r>
        <w:r>
          <w:rPr>
            <w:webHidden/>
          </w:rPr>
          <w:instrText xml:space="preserve"> PAGEREF _Toc230426089 \h </w:instrText>
        </w:r>
        <w:r>
          <w:rPr>
            <w:webHidden/>
          </w:rPr>
        </w:r>
        <w:r>
          <w:rPr>
            <w:webHidden/>
          </w:rPr>
          <w:fldChar w:fldCharType="separate"/>
        </w:r>
        <w:r w:rsidR="007E133A">
          <w:rPr>
            <w:webHidden/>
          </w:rPr>
          <w:t>156</w:t>
        </w:r>
        <w:r>
          <w:rPr>
            <w:webHidden/>
          </w:rPr>
          <w:fldChar w:fldCharType="end"/>
        </w:r>
      </w:hyperlink>
    </w:p>
    <w:p w14:paraId="2FF293A8" w14:textId="694311B4"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90" w:history="1">
        <w:r w:rsidRPr="00B507A0">
          <w:rPr>
            <w:rStyle w:val="Hyperlink"/>
          </w:rPr>
          <w:t>8.3.1</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Considération préliminaire</w:t>
        </w:r>
        <w:r>
          <w:rPr>
            <w:webHidden/>
          </w:rPr>
          <w:tab/>
        </w:r>
        <w:r>
          <w:rPr>
            <w:webHidden/>
          </w:rPr>
          <w:fldChar w:fldCharType="begin"/>
        </w:r>
        <w:r>
          <w:rPr>
            <w:webHidden/>
          </w:rPr>
          <w:instrText xml:space="preserve"> PAGEREF _Toc230426090 \h </w:instrText>
        </w:r>
        <w:r>
          <w:rPr>
            <w:webHidden/>
          </w:rPr>
        </w:r>
        <w:r>
          <w:rPr>
            <w:webHidden/>
          </w:rPr>
          <w:fldChar w:fldCharType="separate"/>
        </w:r>
        <w:r w:rsidR="007E133A">
          <w:rPr>
            <w:webHidden/>
          </w:rPr>
          <w:t>156</w:t>
        </w:r>
        <w:r>
          <w:rPr>
            <w:webHidden/>
          </w:rPr>
          <w:fldChar w:fldCharType="end"/>
        </w:r>
      </w:hyperlink>
    </w:p>
    <w:p w14:paraId="08176389" w14:textId="3F9DC959"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91" w:history="1">
        <w:r w:rsidRPr="00B507A0">
          <w:rPr>
            <w:rStyle w:val="Hyperlink"/>
          </w:rPr>
          <w:t>8.3.2</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Plan d’action EAS-HS  pour le Projet</w:t>
        </w:r>
        <w:r>
          <w:rPr>
            <w:webHidden/>
          </w:rPr>
          <w:tab/>
        </w:r>
        <w:r>
          <w:rPr>
            <w:webHidden/>
          </w:rPr>
          <w:fldChar w:fldCharType="begin"/>
        </w:r>
        <w:r>
          <w:rPr>
            <w:webHidden/>
          </w:rPr>
          <w:instrText xml:space="preserve"> PAGEREF _Toc230426091 \h </w:instrText>
        </w:r>
        <w:r>
          <w:rPr>
            <w:webHidden/>
          </w:rPr>
        </w:r>
        <w:r>
          <w:rPr>
            <w:webHidden/>
          </w:rPr>
          <w:fldChar w:fldCharType="separate"/>
        </w:r>
        <w:r w:rsidR="007E133A">
          <w:rPr>
            <w:webHidden/>
          </w:rPr>
          <w:t>158</w:t>
        </w:r>
        <w:r>
          <w:rPr>
            <w:webHidden/>
          </w:rPr>
          <w:fldChar w:fldCharType="end"/>
        </w:r>
      </w:hyperlink>
    </w:p>
    <w:p w14:paraId="04522789" w14:textId="3E29C8B7" w:rsidR="004F2052" w:rsidRDefault="004F2052">
      <w:pPr>
        <w:pStyle w:val="TOC2"/>
        <w:rPr>
          <w:rFonts w:asciiTheme="minorHAnsi" w:eastAsiaTheme="minorEastAsia" w:hAnsiTheme="minorHAnsi" w:cstheme="minorBidi"/>
          <w:b w:val="0"/>
          <w:caps w:val="0"/>
          <w:color w:val="auto"/>
          <w:kern w:val="2"/>
          <w:sz w:val="24"/>
          <w:lang w:val="en-US" w:eastAsia="en-US"/>
          <w14:ligatures w14:val="standardContextual"/>
        </w:rPr>
      </w:pPr>
      <w:hyperlink w:anchor="_Toc230426092" w:history="1">
        <w:r w:rsidRPr="00B507A0">
          <w:rPr>
            <w:rStyle w:val="Hyperlink"/>
          </w:rPr>
          <w:t>8.4</w:t>
        </w:r>
        <w:r>
          <w:rPr>
            <w:rFonts w:asciiTheme="minorHAnsi" w:eastAsiaTheme="minorEastAsia" w:hAnsiTheme="minorHAnsi" w:cstheme="minorBidi"/>
            <w:b w:val="0"/>
            <w:caps w:val="0"/>
            <w:color w:val="auto"/>
            <w:kern w:val="2"/>
            <w:sz w:val="24"/>
            <w:lang w:val="en-US" w:eastAsia="en-US"/>
            <w14:ligatures w14:val="standardContextual"/>
          </w:rPr>
          <w:tab/>
        </w:r>
        <w:r w:rsidRPr="00B507A0">
          <w:rPr>
            <w:rStyle w:val="Hyperlink"/>
          </w:rPr>
          <w:t>PLAN D’ACTION POUR LA PROMOTION DU GENRE</w:t>
        </w:r>
        <w:r>
          <w:rPr>
            <w:webHidden/>
          </w:rPr>
          <w:tab/>
        </w:r>
        <w:r>
          <w:rPr>
            <w:webHidden/>
          </w:rPr>
          <w:fldChar w:fldCharType="begin"/>
        </w:r>
        <w:r>
          <w:rPr>
            <w:webHidden/>
          </w:rPr>
          <w:instrText xml:space="preserve"> PAGEREF _Toc230426092 \h </w:instrText>
        </w:r>
        <w:r>
          <w:rPr>
            <w:webHidden/>
          </w:rPr>
        </w:r>
        <w:r>
          <w:rPr>
            <w:webHidden/>
          </w:rPr>
          <w:fldChar w:fldCharType="separate"/>
        </w:r>
        <w:r w:rsidR="007E133A">
          <w:rPr>
            <w:webHidden/>
          </w:rPr>
          <w:t>159</w:t>
        </w:r>
        <w:r>
          <w:rPr>
            <w:webHidden/>
          </w:rPr>
          <w:fldChar w:fldCharType="end"/>
        </w:r>
      </w:hyperlink>
    </w:p>
    <w:p w14:paraId="5EC35F0D" w14:textId="54BF5880" w:rsidR="004F2052" w:rsidRDefault="004F2052">
      <w:pPr>
        <w:pStyle w:val="TOC2"/>
        <w:rPr>
          <w:rFonts w:asciiTheme="minorHAnsi" w:eastAsiaTheme="minorEastAsia" w:hAnsiTheme="minorHAnsi" w:cstheme="minorBidi"/>
          <w:b w:val="0"/>
          <w:caps w:val="0"/>
          <w:color w:val="auto"/>
          <w:kern w:val="2"/>
          <w:sz w:val="24"/>
          <w:lang w:val="en-US" w:eastAsia="en-US"/>
          <w14:ligatures w14:val="standardContextual"/>
        </w:rPr>
      </w:pPr>
      <w:hyperlink w:anchor="_Toc230426093" w:history="1">
        <w:r w:rsidRPr="00B507A0">
          <w:rPr>
            <w:rStyle w:val="Hyperlink"/>
          </w:rPr>
          <w:t>8.5</w:t>
        </w:r>
        <w:r>
          <w:rPr>
            <w:rFonts w:asciiTheme="minorHAnsi" w:eastAsiaTheme="minorEastAsia" w:hAnsiTheme="minorHAnsi" w:cstheme="minorBidi"/>
            <w:b w:val="0"/>
            <w:caps w:val="0"/>
            <w:color w:val="auto"/>
            <w:kern w:val="2"/>
            <w:sz w:val="24"/>
            <w:lang w:val="en-US" w:eastAsia="en-US"/>
            <w14:ligatures w14:val="standardContextual"/>
          </w:rPr>
          <w:tab/>
        </w:r>
        <w:r w:rsidRPr="00B507A0">
          <w:rPr>
            <w:rStyle w:val="Hyperlink"/>
          </w:rPr>
          <w:t>ARRANGEMENTS INSTITUTIONNEL pour la MISE EN ŒUVRE ET le SUIVI DU CGES</w:t>
        </w:r>
        <w:r>
          <w:rPr>
            <w:webHidden/>
          </w:rPr>
          <w:tab/>
        </w:r>
        <w:r>
          <w:rPr>
            <w:webHidden/>
          </w:rPr>
          <w:fldChar w:fldCharType="begin"/>
        </w:r>
        <w:r>
          <w:rPr>
            <w:webHidden/>
          </w:rPr>
          <w:instrText xml:space="preserve"> PAGEREF _Toc230426093 \h </w:instrText>
        </w:r>
        <w:r>
          <w:rPr>
            <w:webHidden/>
          </w:rPr>
        </w:r>
        <w:r>
          <w:rPr>
            <w:webHidden/>
          </w:rPr>
          <w:fldChar w:fldCharType="separate"/>
        </w:r>
        <w:r w:rsidR="007E133A">
          <w:rPr>
            <w:webHidden/>
          </w:rPr>
          <w:t>159</w:t>
        </w:r>
        <w:r>
          <w:rPr>
            <w:webHidden/>
          </w:rPr>
          <w:fldChar w:fldCharType="end"/>
        </w:r>
      </w:hyperlink>
    </w:p>
    <w:p w14:paraId="08225CFA" w14:textId="2E996A56" w:rsidR="004F2052" w:rsidRDefault="004F2052">
      <w:pPr>
        <w:pStyle w:val="TOC2"/>
        <w:rPr>
          <w:rFonts w:asciiTheme="minorHAnsi" w:eastAsiaTheme="minorEastAsia" w:hAnsiTheme="minorHAnsi" w:cstheme="minorBidi"/>
          <w:b w:val="0"/>
          <w:caps w:val="0"/>
          <w:color w:val="auto"/>
          <w:kern w:val="2"/>
          <w:sz w:val="24"/>
          <w:lang w:val="en-US" w:eastAsia="en-US"/>
          <w14:ligatures w14:val="standardContextual"/>
        </w:rPr>
      </w:pPr>
      <w:hyperlink w:anchor="_Toc230426094" w:history="1">
        <w:r w:rsidRPr="00B507A0">
          <w:rPr>
            <w:rStyle w:val="Hyperlink"/>
          </w:rPr>
          <w:t>8.6</w:t>
        </w:r>
        <w:r>
          <w:rPr>
            <w:rFonts w:asciiTheme="minorHAnsi" w:eastAsiaTheme="minorEastAsia" w:hAnsiTheme="minorHAnsi" w:cstheme="minorBidi"/>
            <w:b w:val="0"/>
            <w:caps w:val="0"/>
            <w:color w:val="auto"/>
            <w:kern w:val="2"/>
            <w:sz w:val="24"/>
            <w:lang w:val="en-US" w:eastAsia="en-US"/>
            <w14:ligatures w14:val="standardContextual"/>
          </w:rPr>
          <w:tab/>
        </w:r>
        <w:r w:rsidRPr="00B507A0">
          <w:rPr>
            <w:rStyle w:val="Hyperlink"/>
          </w:rPr>
          <w:t>PLAN CADRE DE GESTION ENVIRONNEMENTALE ET SOCIALE</w:t>
        </w:r>
        <w:r>
          <w:rPr>
            <w:webHidden/>
          </w:rPr>
          <w:tab/>
        </w:r>
        <w:r>
          <w:rPr>
            <w:webHidden/>
          </w:rPr>
          <w:fldChar w:fldCharType="begin"/>
        </w:r>
        <w:r>
          <w:rPr>
            <w:webHidden/>
          </w:rPr>
          <w:instrText xml:space="preserve"> PAGEREF _Toc230426094 \h </w:instrText>
        </w:r>
        <w:r>
          <w:rPr>
            <w:webHidden/>
          </w:rPr>
        </w:r>
        <w:r>
          <w:rPr>
            <w:webHidden/>
          </w:rPr>
          <w:fldChar w:fldCharType="separate"/>
        </w:r>
        <w:r w:rsidR="007E133A">
          <w:rPr>
            <w:webHidden/>
          </w:rPr>
          <w:t>161</w:t>
        </w:r>
        <w:r>
          <w:rPr>
            <w:webHidden/>
          </w:rPr>
          <w:fldChar w:fldCharType="end"/>
        </w:r>
      </w:hyperlink>
    </w:p>
    <w:p w14:paraId="2955A1D6" w14:textId="34B23FDD"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95" w:history="1">
        <w:r w:rsidRPr="00B507A0">
          <w:rPr>
            <w:rStyle w:val="Hyperlink"/>
          </w:rPr>
          <w:t>8.6.1</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Objectifs</w:t>
        </w:r>
        <w:r>
          <w:rPr>
            <w:webHidden/>
          </w:rPr>
          <w:tab/>
        </w:r>
        <w:r>
          <w:rPr>
            <w:webHidden/>
          </w:rPr>
          <w:fldChar w:fldCharType="begin"/>
        </w:r>
        <w:r>
          <w:rPr>
            <w:webHidden/>
          </w:rPr>
          <w:instrText xml:space="preserve"> PAGEREF _Toc230426095 \h </w:instrText>
        </w:r>
        <w:r>
          <w:rPr>
            <w:webHidden/>
          </w:rPr>
        </w:r>
        <w:r>
          <w:rPr>
            <w:webHidden/>
          </w:rPr>
          <w:fldChar w:fldCharType="separate"/>
        </w:r>
        <w:r w:rsidR="007E133A">
          <w:rPr>
            <w:webHidden/>
          </w:rPr>
          <w:t>161</w:t>
        </w:r>
        <w:r>
          <w:rPr>
            <w:webHidden/>
          </w:rPr>
          <w:fldChar w:fldCharType="end"/>
        </w:r>
      </w:hyperlink>
    </w:p>
    <w:p w14:paraId="552E5F5D" w14:textId="44C9664B"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96" w:history="1">
        <w:r w:rsidRPr="00B507A0">
          <w:rPr>
            <w:rStyle w:val="Hyperlink"/>
          </w:rPr>
          <w:t>8.6.2</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Plan cadre de surveillance environnementale et sociale</w:t>
        </w:r>
        <w:r>
          <w:rPr>
            <w:webHidden/>
          </w:rPr>
          <w:tab/>
        </w:r>
        <w:r>
          <w:rPr>
            <w:webHidden/>
          </w:rPr>
          <w:fldChar w:fldCharType="begin"/>
        </w:r>
        <w:r>
          <w:rPr>
            <w:webHidden/>
          </w:rPr>
          <w:instrText xml:space="preserve"> PAGEREF _Toc230426096 \h </w:instrText>
        </w:r>
        <w:r>
          <w:rPr>
            <w:webHidden/>
          </w:rPr>
        </w:r>
        <w:r>
          <w:rPr>
            <w:webHidden/>
          </w:rPr>
          <w:fldChar w:fldCharType="separate"/>
        </w:r>
        <w:r w:rsidR="007E133A">
          <w:rPr>
            <w:webHidden/>
          </w:rPr>
          <w:t>162</w:t>
        </w:r>
        <w:r>
          <w:rPr>
            <w:webHidden/>
          </w:rPr>
          <w:fldChar w:fldCharType="end"/>
        </w:r>
      </w:hyperlink>
    </w:p>
    <w:p w14:paraId="6F0D5DB5" w14:textId="503F8A78"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97" w:history="1">
        <w:r w:rsidRPr="00B507A0">
          <w:rPr>
            <w:rStyle w:val="Hyperlink"/>
          </w:rPr>
          <w:t>8.6.3</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Plan cadre de suivi environnemental et social</w:t>
        </w:r>
        <w:r>
          <w:rPr>
            <w:webHidden/>
          </w:rPr>
          <w:tab/>
        </w:r>
        <w:r>
          <w:rPr>
            <w:webHidden/>
          </w:rPr>
          <w:fldChar w:fldCharType="begin"/>
        </w:r>
        <w:r>
          <w:rPr>
            <w:webHidden/>
          </w:rPr>
          <w:instrText xml:space="preserve"> PAGEREF _Toc230426097 \h </w:instrText>
        </w:r>
        <w:r>
          <w:rPr>
            <w:webHidden/>
          </w:rPr>
        </w:r>
        <w:r>
          <w:rPr>
            <w:webHidden/>
          </w:rPr>
          <w:fldChar w:fldCharType="separate"/>
        </w:r>
        <w:r w:rsidR="007E133A">
          <w:rPr>
            <w:webHidden/>
          </w:rPr>
          <w:t>173</w:t>
        </w:r>
        <w:r>
          <w:rPr>
            <w:webHidden/>
          </w:rPr>
          <w:fldChar w:fldCharType="end"/>
        </w:r>
      </w:hyperlink>
    </w:p>
    <w:p w14:paraId="6ED0CA4F" w14:textId="6A32A94E"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98" w:history="1">
        <w:r w:rsidRPr="00B507A0">
          <w:rPr>
            <w:rStyle w:val="Hyperlink"/>
          </w:rPr>
          <w:t>8.6.4</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Suivi des impacts cumulatifs</w:t>
        </w:r>
        <w:r>
          <w:rPr>
            <w:webHidden/>
          </w:rPr>
          <w:tab/>
        </w:r>
        <w:r>
          <w:rPr>
            <w:webHidden/>
          </w:rPr>
          <w:fldChar w:fldCharType="begin"/>
        </w:r>
        <w:r>
          <w:rPr>
            <w:webHidden/>
          </w:rPr>
          <w:instrText xml:space="preserve"> PAGEREF _Toc230426098 \h </w:instrText>
        </w:r>
        <w:r>
          <w:rPr>
            <w:webHidden/>
          </w:rPr>
        </w:r>
        <w:r>
          <w:rPr>
            <w:webHidden/>
          </w:rPr>
          <w:fldChar w:fldCharType="separate"/>
        </w:r>
        <w:r w:rsidR="007E133A">
          <w:rPr>
            <w:webHidden/>
          </w:rPr>
          <w:t>184</w:t>
        </w:r>
        <w:r>
          <w:rPr>
            <w:webHidden/>
          </w:rPr>
          <w:fldChar w:fldCharType="end"/>
        </w:r>
      </w:hyperlink>
    </w:p>
    <w:p w14:paraId="5AEE25B8" w14:textId="788691B0"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099" w:history="1">
        <w:r w:rsidRPr="00B507A0">
          <w:rPr>
            <w:rStyle w:val="Hyperlink"/>
          </w:rPr>
          <w:t>8.6.5</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Audit de la mise en œuvre des sous-projets dans le cadre du CGES</w:t>
        </w:r>
        <w:r>
          <w:rPr>
            <w:webHidden/>
          </w:rPr>
          <w:tab/>
        </w:r>
        <w:r>
          <w:rPr>
            <w:webHidden/>
          </w:rPr>
          <w:fldChar w:fldCharType="begin"/>
        </w:r>
        <w:r>
          <w:rPr>
            <w:webHidden/>
          </w:rPr>
          <w:instrText xml:space="preserve"> PAGEREF _Toc230426099 \h </w:instrText>
        </w:r>
        <w:r>
          <w:rPr>
            <w:webHidden/>
          </w:rPr>
        </w:r>
        <w:r>
          <w:rPr>
            <w:webHidden/>
          </w:rPr>
          <w:fldChar w:fldCharType="separate"/>
        </w:r>
        <w:r w:rsidR="007E133A">
          <w:rPr>
            <w:webHidden/>
          </w:rPr>
          <w:t>186</w:t>
        </w:r>
        <w:r>
          <w:rPr>
            <w:webHidden/>
          </w:rPr>
          <w:fldChar w:fldCharType="end"/>
        </w:r>
      </w:hyperlink>
    </w:p>
    <w:p w14:paraId="7D29E8C5" w14:textId="77FF0AB9" w:rsidR="004F2052" w:rsidRDefault="004F2052">
      <w:pPr>
        <w:pStyle w:val="TOC3"/>
        <w:rPr>
          <w:rFonts w:asciiTheme="minorHAnsi" w:eastAsiaTheme="minorEastAsia" w:hAnsiTheme="minorHAnsi"/>
          <w:smallCaps w:val="0"/>
          <w:color w:val="auto"/>
          <w:kern w:val="2"/>
          <w:sz w:val="24"/>
          <w:szCs w:val="24"/>
          <w:lang w:val="en-US"/>
          <w14:ligatures w14:val="standardContextual"/>
        </w:rPr>
      </w:pPr>
      <w:hyperlink w:anchor="_Toc230426100" w:history="1">
        <w:r w:rsidRPr="00B507A0">
          <w:rPr>
            <w:rStyle w:val="Hyperlink"/>
          </w:rPr>
          <w:t>8.6.6</w:t>
        </w:r>
        <w:r>
          <w:rPr>
            <w:rFonts w:asciiTheme="minorHAnsi" w:eastAsiaTheme="minorEastAsia" w:hAnsiTheme="minorHAnsi"/>
            <w:smallCaps w:val="0"/>
            <w:color w:val="auto"/>
            <w:kern w:val="2"/>
            <w:sz w:val="24"/>
            <w:szCs w:val="24"/>
            <w:lang w:val="en-US"/>
            <w14:ligatures w14:val="standardContextual"/>
          </w:rPr>
          <w:tab/>
        </w:r>
        <w:r w:rsidRPr="00B507A0">
          <w:rPr>
            <w:rStyle w:val="Hyperlink"/>
          </w:rPr>
          <w:t>Besoins en renforcement des capacités</w:t>
        </w:r>
        <w:r>
          <w:rPr>
            <w:webHidden/>
          </w:rPr>
          <w:tab/>
        </w:r>
        <w:r>
          <w:rPr>
            <w:webHidden/>
          </w:rPr>
          <w:fldChar w:fldCharType="begin"/>
        </w:r>
        <w:r>
          <w:rPr>
            <w:webHidden/>
          </w:rPr>
          <w:instrText xml:space="preserve"> PAGEREF _Toc230426100 \h </w:instrText>
        </w:r>
        <w:r>
          <w:rPr>
            <w:webHidden/>
          </w:rPr>
        </w:r>
        <w:r>
          <w:rPr>
            <w:webHidden/>
          </w:rPr>
          <w:fldChar w:fldCharType="separate"/>
        </w:r>
        <w:r w:rsidR="007E133A">
          <w:rPr>
            <w:webHidden/>
          </w:rPr>
          <w:t>186</w:t>
        </w:r>
        <w:r>
          <w:rPr>
            <w:webHidden/>
          </w:rPr>
          <w:fldChar w:fldCharType="end"/>
        </w:r>
      </w:hyperlink>
    </w:p>
    <w:p w14:paraId="4BD3C11B" w14:textId="7932DD2A" w:rsidR="004F2052" w:rsidRDefault="004F2052">
      <w:pPr>
        <w:pStyle w:val="TOC2"/>
        <w:rPr>
          <w:rFonts w:asciiTheme="minorHAnsi" w:eastAsiaTheme="minorEastAsia" w:hAnsiTheme="minorHAnsi" w:cstheme="minorBidi"/>
          <w:b w:val="0"/>
          <w:caps w:val="0"/>
          <w:color w:val="auto"/>
          <w:kern w:val="2"/>
          <w:sz w:val="24"/>
          <w:lang w:val="en-US" w:eastAsia="en-US"/>
          <w14:ligatures w14:val="standardContextual"/>
        </w:rPr>
      </w:pPr>
      <w:hyperlink w:anchor="_Toc230426101" w:history="1">
        <w:r w:rsidRPr="00B507A0">
          <w:rPr>
            <w:rStyle w:val="Hyperlink"/>
          </w:rPr>
          <w:t>8.7</w:t>
        </w:r>
        <w:r>
          <w:rPr>
            <w:rFonts w:asciiTheme="minorHAnsi" w:eastAsiaTheme="minorEastAsia" w:hAnsiTheme="minorHAnsi" w:cstheme="minorBidi"/>
            <w:b w:val="0"/>
            <w:caps w:val="0"/>
            <w:color w:val="auto"/>
            <w:kern w:val="2"/>
            <w:sz w:val="24"/>
            <w:lang w:val="en-US" w:eastAsia="en-US"/>
            <w14:ligatures w14:val="standardContextual"/>
          </w:rPr>
          <w:tab/>
        </w:r>
        <w:r w:rsidRPr="00B507A0">
          <w:rPr>
            <w:rStyle w:val="Hyperlink"/>
          </w:rPr>
          <w:t>Documents à produire par l’entreprise</w:t>
        </w:r>
        <w:r>
          <w:rPr>
            <w:webHidden/>
          </w:rPr>
          <w:tab/>
        </w:r>
        <w:r>
          <w:rPr>
            <w:webHidden/>
          </w:rPr>
          <w:fldChar w:fldCharType="begin"/>
        </w:r>
        <w:r>
          <w:rPr>
            <w:webHidden/>
          </w:rPr>
          <w:instrText xml:space="preserve"> PAGEREF _Toc230426101 \h </w:instrText>
        </w:r>
        <w:r>
          <w:rPr>
            <w:webHidden/>
          </w:rPr>
        </w:r>
        <w:r>
          <w:rPr>
            <w:webHidden/>
          </w:rPr>
          <w:fldChar w:fldCharType="separate"/>
        </w:r>
        <w:r w:rsidR="007E133A">
          <w:rPr>
            <w:webHidden/>
          </w:rPr>
          <w:t>188</w:t>
        </w:r>
        <w:r>
          <w:rPr>
            <w:webHidden/>
          </w:rPr>
          <w:fldChar w:fldCharType="end"/>
        </w:r>
      </w:hyperlink>
    </w:p>
    <w:p w14:paraId="15A4063F" w14:textId="67EDDE17" w:rsidR="004F2052" w:rsidRDefault="004F2052">
      <w:pPr>
        <w:pStyle w:val="TOC2"/>
        <w:rPr>
          <w:rFonts w:asciiTheme="minorHAnsi" w:eastAsiaTheme="minorEastAsia" w:hAnsiTheme="minorHAnsi" w:cstheme="minorBidi"/>
          <w:b w:val="0"/>
          <w:caps w:val="0"/>
          <w:color w:val="auto"/>
          <w:kern w:val="2"/>
          <w:sz w:val="24"/>
          <w:lang w:val="en-US" w:eastAsia="en-US"/>
          <w14:ligatures w14:val="standardContextual"/>
        </w:rPr>
      </w:pPr>
      <w:hyperlink w:anchor="_Toc230426102" w:history="1">
        <w:r w:rsidRPr="00B507A0">
          <w:rPr>
            <w:rStyle w:val="Hyperlink"/>
          </w:rPr>
          <w:t>8.8</w:t>
        </w:r>
        <w:r>
          <w:rPr>
            <w:rFonts w:asciiTheme="minorHAnsi" w:eastAsiaTheme="minorEastAsia" w:hAnsiTheme="minorHAnsi" w:cstheme="minorBidi"/>
            <w:b w:val="0"/>
            <w:caps w:val="0"/>
            <w:color w:val="auto"/>
            <w:kern w:val="2"/>
            <w:sz w:val="24"/>
            <w:lang w:val="en-US" w:eastAsia="en-US"/>
            <w14:ligatures w14:val="standardContextual"/>
          </w:rPr>
          <w:tab/>
        </w:r>
        <w:r w:rsidRPr="00B507A0">
          <w:rPr>
            <w:rStyle w:val="Hyperlink"/>
          </w:rPr>
          <w:t>BUDGET PRELIMINAIRE POUR LA MISE EN ŒUVRE DU CGES</w:t>
        </w:r>
        <w:r>
          <w:rPr>
            <w:webHidden/>
          </w:rPr>
          <w:tab/>
        </w:r>
        <w:r>
          <w:rPr>
            <w:webHidden/>
          </w:rPr>
          <w:fldChar w:fldCharType="begin"/>
        </w:r>
        <w:r>
          <w:rPr>
            <w:webHidden/>
          </w:rPr>
          <w:instrText xml:space="preserve"> PAGEREF _Toc230426102 \h </w:instrText>
        </w:r>
        <w:r>
          <w:rPr>
            <w:webHidden/>
          </w:rPr>
        </w:r>
        <w:r>
          <w:rPr>
            <w:webHidden/>
          </w:rPr>
          <w:fldChar w:fldCharType="separate"/>
        </w:r>
        <w:r w:rsidR="007E133A">
          <w:rPr>
            <w:webHidden/>
          </w:rPr>
          <w:t>189</w:t>
        </w:r>
        <w:r>
          <w:rPr>
            <w:webHidden/>
          </w:rPr>
          <w:fldChar w:fldCharType="end"/>
        </w:r>
      </w:hyperlink>
    </w:p>
    <w:p w14:paraId="509065C5" w14:textId="38F62007" w:rsidR="004F2052" w:rsidRDefault="004F2052">
      <w:pPr>
        <w:pStyle w:val="TOC1"/>
        <w:rPr>
          <w:rFonts w:asciiTheme="minorHAnsi" w:eastAsiaTheme="minorEastAsia" w:hAnsiTheme="minorHAnsi" w:cstheme="minorBidi"/>
          <w:b w:val="0"/>
          <w:caps w:val="0"/>
          <w:color w:val="auto"/>
          <w:kern w:val="2"/>
          <w:lang w:val="en-US" w:eastAsia="en-US"/>
          <w14:ligatures w14:val="standardContextual"/>
        </w:rPr>
      </w:pPr>
      <w:hyperlink w:anchor="_Toc230426103" w:history="1">
        <w:r w:rsidRPr="00B507A0">
          <w:rPr>
            <w:rStyle w:val="Hyperlink"/>
          </w:rPr>
          <w:t>9</w:t>
        </w:r>
        <w:r>
          <w:rPr>
            <w:rFonts w:asciiTheme="minorHAnsi" w:eastAsiaTheme="minorEastAsia" w:hAnsiTheme="minorHAnsi" w:cstheme="minorBidi"/>
            <w:b w:val="0"/>
            <w:caps w:val="0"/>
            <w:color w:val="auto"/>
            <w:kern w:val="2"/>
            <w:lang w:val="en-US" w:eastAsia="en-US"/>
            <w14:ligatures w14:val="standardContextual"/>
          </w:rPr>
          <w:tab/>
        </w:r>
        <w:r w:rsidRPr="00B507A0">
          <w:rPr>
            <w:rStyle w:val="Hyperlink"/>
          </w:rPr>
          <w:t>CONCLUSIONS générales</w:t>
        </w:r>
        <w:r>
          <w:rPr>
            <w:webHidden/>
          </w:rPr>
          <w:tab/>
        </w:r>
        <w:r>
          <w:rPr>
            <w:webHidden/>
          </w:rPr>
          <w:fldChar w:fldCharType="begin"/>
        </w:r>
        <w:r>
          <w:rPr>
            <w:webHidden/>
          </w:rPr>
          <w:instrText xml:space="preserve"> PAGEREF _Toc230426103 \h </w:instrText>
        </w:r>
        <w:r>
          <w:rPr>
            <w:webHidden/>
          </w:rPr>
        </w:r>
        <w:r>
          <w:rPr>
            <w:webHidden/>
          </w:rPr>
          <w:fldChar w:fldCharType="separate"/>
        </w:r>
        <w:r w:rsidR="007E133A">
          <w:rPr>
            <w:webHidden/>
          </w:rPr>
          <w:t>190</w:t>
        </w:r>
        <w:r>
          <w:rPr>
            <w:webHidden/>
          </w:rPr>
          <w:fldChar w:fldCharType="end"/>
        </w:r>
      </w:hyperlink>
    </w:p>
    <w:p w14:paraId="4E9D09F6" w14:textId="4E001136" w:rsidR="004F2052" w:rsidRDefault="004F2052">
      <w:pPr>
        <w:pStyle w:val="TOC1"/>
        <w:rPr>
          <w:rFonts w:asciiTheme="minorHAnsi" w:eastAsiaTheme="minorEastAsia" w:hAnsiTheme="minorHAnsi" w:cstheme="minorBidi"/>
          <w:b w:val="0"/>
          <w:caps w:val="0"/>
          <w:color w:val="auto"/>
          <w:kern w:val="2"/>
          <w:lang w:val="en-US" w:eastAsia="en-US"/>
          <w14:ligatures w14:val="standardContextual"/>
        </w:rPr>
      </w:pPr>
      <w:hyperlink w:anchor="_Toc230426104" w:history="1">
        <w:r w:rsidRPr="00B507A0">
          <w:rPr>
            <w:rStyle w:val="Hyperlink"/>
          </w:rPr>
          <w:t>BIBLIOGRAPHIE</w:t>
        </w:r>
        <w:r>
          <w:rPr>
            <w:webHidden/>
          </w:rPr>
          <w:tab/>
        </w:r>
        <w:r>
          <w:rPr>
            <w:webHidden/>
          </w:rPr>
          <w:fldChar w:fldCharType="begin"/>
        </w:r>
        <w:r>
          <w:rPr>
            <w:webHidden/>
          </w:rPr>
          <w:instrText xml:space="preserve"> PAGEREF _Toc230426104 \h </w:instrText>
        </w:r>
        <w:r>
          <w:rPr>
            <w:webHidden/>
          </w:rPr>
        </w:r>
        <w:r>
          <w:rPr>
            <w:webHidden/>
          </w:rPr>
          <w:fldChar w:fldCharType="separate"/>
        </w:r>
        <w:r w:rsidR="007E133A">
          <w:rPr>
            <w:webHidden/>
          </w:rPr>
          <w:t>I</w:t>
        </w:r>
        <w:r>
          <w:rPr>
            <w:webHidden/>
          </w:rPr>
          <w:fldChar w:fldCharType="end"/>
        </w:r>
      </w:hyperlink>
    </w:p>
    <w:p w14:paraId="79940292" w14:textId="0A8CB87A" w:rsidR="004F2052" w:rsidRDefault="004F2052">
      <w:pPr>
        <w:pStyle w:val="TOC1"/>
        <w:rPr>
          <w:rFonts w:asciiTheme="minorHAnsi" w:eastAsiaTheme="minorEastAsia" w:hAnsiTheme="minorHAnsi" w:cstheme="minorBidi"/>
          <w:b w:val="0"/>
          <w:caps w:val="0"/>
          <w:color w:val="auto"/>
          <w:kern w:val="2"/>
          <w:lang w:val="en-US" w:eastAsia="en-US"/>
          <w14:ligatures w14:val="standardContextual"/>
        </w:rPr>
      </w:pPr>
      <w:hyperlink w:anchor="_Toc230426105" w:history="1">
        <w:r w:rsidRPr="00B507A0">
          <w:rPr>
            <w:rStyle w:val="Hyperlink"/>
          </w:rPr>
          <w:t>ANNEXES</w:t>
        </w:r>
        <w:r>
          <w:rPr>
            <w:webHidden/>
          </w:rPr>
          <w:tab/>
        </w:r>
        <w:r>
          <w:rPr>
            <w:webHidden/>
          </w:rPr>
          <w:fldChar w:fldCharType="begin"/>
        </w:r>
        <w:r>
          <w:rPr>
            <w:webHidden/>
          </w:rPr>
          <w:instrText xml:space="preserve"> PAGEREF _Toc230426105 \h </w:instrText>
        </w:r>
        <w:r>
          <w:rPr>
            <w:webHidden/>
          </w:rPr>
        </w:r>
        <w:r>
          <w:rPr>
            <w:webHidden/>
          </w:rPr>
          <w:fldChar w:fldCharType="separate"/>
        </w:r>
        <w:r w:rsidR="007E133A">
          <w:rPr>
            <w:webHidden/>
          </w:rPr>
          <w:t>III</w:t>
        </w:r>
        <w:r>
          <w:rPr>
            <w:webHidden/>
          </w:rPr>
          <w:fldChar w:fldCharType="end"/>
        </w:r>
      </w:hyperlink>
    </w:p>
    <w:p w14:paraId="7BB87EBE" w14:textId="77777777" w:rsidR="004F2052" w:rsidRDefault="00EB1995" w:rsidP="00EB1995">
      <w:pPr>
        <w:rPr>
          <w:b/>
          <w:bCs/>
        </w:rPr>
      </w:pPr>
      <w:r>
        <w:rPr>
          <w:b/>
          <w:color w:val="auto"/>
          <w:szCs w:val="24"/>
          <w:u w:val="single"/>
        </w:rPr>
        <w:fldChar w:fldCharType="end"/>
      </w:r>
      <w:r w:rsidRPr="00EB1995">
        <w:rPr>
          <w:b/>
          <w:bCs/>
        </w:rPr>
        <w:t xml:space="preserve"> </w:t>
      </w:r>
    </w:p>
    <w:p w14:paraId="4B05396E" w14:textId="6EC7A2AB" w:rsidR="00EB1995" w:rsidRPr="00D42025" w:rsidRDefault="00EB1995" w:rsidP="00EB1995">
      <w:pPr>
        <w:rPr>
          <w:b/>
          <w:bCs/>
        </w:rPr>
      </w:pPr>
      <w:r w:rsidRPr="00D42025">
        <w:rPr>
          <w:b/>
          <w:bCs/>
        </w:rPr>
        <w:t>LISTE DES ANNEXES</w:t>
      </w:r>
    </w:p>
    <w:p w14:paraId="495D47EF" w14:textId="03144A02" w:rsidR="004F2052" w:rsidRDefault="00EB1995">
      <w:pPr>
        <w:pStyle w:val="TableofFigures"/>
        <w:rPr>
          <w:rFonts w:asciiTheme="minorHAnsi" w:eastAsiaTheme="minorEastAsia" w:hAnsiTheme="minorHAnsi" w:cstheme="minorBidi"/>
          <w:b w:val="0"/>
          <w:kern w:val="2"/>
          <w:sz w:val="24"/>
          <w:lang w:val="en-US" w:eastAsia="en-US"/>
          <w14:ligatures w14:val="standardContextual"/>
        </w:rPr>
      </w:pPr>
      <w:r w:rsidRPr="00E67F89">
        <w:rPr>
          <w:rFonts w:eastAsiaTheme="minorHAnsi"/>
        </w:rPr>
        <w:fldChar w:fldCharType="begin"/>
      </w:r>
      <w:r w:rsidRPr="00E67F89">
        <w:instrText xml:space="preserve"> TOC \h \z \c "Annexe" </w:instrText>
      </w:r>
      <w:r w:rsidRPr="00E67F89">
        <w:rPr>
          <w:rFonts w:eastAsiaTheme="minorHAnsi"/>
        </w:rPr>
        <w:fldChar w:fldCharType="separate"/>
      </w:r>
      <w:hyperlink w:anchor="_Toc230426106" w:history="1">
        <w:r w:rsidR="004F2052" w:rsidRPr="006A75C3">
          <w:rPr>
            <w:rStyle w:val="Hyperlink"/>
            <w:rFonts w:eastAsiaTheme="majorEastAsia"/>
          </w:rPr>
          <w:t>Annexe 1 : Analyse comparative entre la NES 1 et le cadre juridique national malagasy</w:t>
        </w:r>
        <w:r w:rsidR="004F2052">
          <w:rPr>
            <w:webHidden/>
          </w:rPr>
          <w:tab/>
        </w:r>
        <w:r w:rsidR="004F2052">
          <w:rPr>
            <w:webHidden/>
          </w:rPr>
          <w:fldChar w:fldCharType="begin"/>
        </w:r>
        <w:r w:rsidR="004F2052">
          <w:rPr>
            <w:webHidden/>
          </w:rPr>
          <w:instrText xml:space="preserve"> PAGEREF _Toc230426106 \h </w:instrText>
        </w:r>
        <w:r w:rsidR="004F2052">
          <w:rPr>
            <w:webHidden/>
          </w:rPr>
        </w:r>
        <w:r w:rsidR="004F2052">
          <w:rPr>
            <w:webHidden/>
          </w:rPr>
          <w:fldChar w:fldCharType="separate"/>
        </w:r>
        <w:r w:rsidR="007E133A">
          <w:rPr>
            <w:webHidden/>
          </w:rPr>
          <w:t>V</w:t>
        </w:r>
        <w:r w:rsidR="004F2052">
          <w:rPr>
            <w:webHidden/>
          </w:rPr>
          <w:fldChar w:fldCharType="end"/>
        </w:r>
      </w:hyperlink>
    </w:p>
    <w:p w14:paraId="1A9D6AA7" w14:textId="7A579FCD" w:rsidR="004F2052" w:rsidRDefault="004F2052">
      <w:pPr>
        <w:pStyle w:val="TableofFigures"/>
        <w:rPr>
          <w:rFonts w:asciiTheme="minorHAnsi" w:eastAsiaTheme="minorEastAsia" w:hAnsiTheme="minorHAnsi" w:cstheme="minorBidi"/>
          <w:b w:val="0"/>
          <w:kern w:val="2"/>
          <w:sz w:val="24"/>
          <w:lang w:val="en-US" w:eastAsia="en-US"/>
          <w14:ligatures w14:val="standardContextual"/>
        </w:rPr>
      </w:pPr>
      <w:hyperlink w:anchor="_Toc230426107" w:history="1">
        <w:r w:rsidRPr="006A75C3">
          <w:rPr>
            <w:rStyle w:val="Hyperlink"/>
            <w:rFonts w:eastAsiaTheme="majorEastAsia"/>
          </w:rPr>
          <w:t>Annexe 2 : Analyse comparative entre la NES 2 et le cadre réglementaire national malagasy</w:t>
        </w:r>
        <w:r>
          <w:rPr>
            <w:webHidden/>
          </w:rPr>
          <w:tab/>
        </w:r>
        <w:r>
          <w:rPr>
            <w:webHidden/>
          </w:rPr>
          <w:fldChar w:fldCharType="begin"/>
        </w:r>
        <w:r>
          <w:rPr>
            <w:webHidden/>
          </w:rPr>
          <w:instrText xml:space="preserve"> PAGEREF _Toc230426107 \h </w:instrText>
        </w:r>
        <w:r>
          <w:rPr>
            <w:webHidden/>
          </w:rPr>
        </w:r>
        <w:r>
          <w:rPr>
            <w:webHidden/>
          </w:rPr>
          <w:fldChar w:fldCharType="separate"/>
        </w:r>
        <w:r w:rsidR="007E133A">
          <w:rPr>
            <w:webHidden/>
          </w:rPr>
          <w:t>XIII</w:t>
        </w:r>
        <w:r>
          <w:rPr>
            <w:webHidden/>
          </w:rPr>
          <w:fldChar w:fldCharType="end"/>
        </w:r>
      </w:hyperlink>
    </w:p>
    <w:p w14:paraId="24113F71" w14:textId="55B2E299" w:rsidR="004F2052" w:rsidRDefault="004F2052">
      <w:pPr>
        <w:pStyle w:val="TableofFigures"/>
        <w:rPr>
          <w:rFonts w:asciiTheme="minorHAnsi" w:eastAsiaTheme="minorEastAsia" w:hAnsiTheme="minorHAnsi" w:cstheme="minorBidi"/>
          <w:b w:val="0"/>
          <w:kern w:val="2"/>
          <w:sz w:val="24"/>
          <w:lang w:val="en-US" w:eastAsia="en-US"/>
          <w14:ligatures w14:val="standardContextual"/>
        </w:rPr>
      </w:pPr>
      <w:hyperlink w:anchor="_Toc230426108" w:history="1">
        <w:r w:rsidRPr="006A75C3">
          <w:rPr>
            <w:rStyle w:val="Hyperlink"/>
            <w:rFonts w:eastAsiaTheme="majorEastAsia"/>
          </w:rPr>
          <w:t>Annexe 3 : Analyse comparative entre la NES 3 et le cadre réglementaire national malagasy</w:t>
        </w:r>
        <w:r>
          <w:rPr>
            <w:webHidden/>
          </w:rPr>
          <w:tab/>
        </w:r>
        <w:r>
          <w:rPr>
            <w:webHidden/>
          </w:rPr>
          <w:fldChar w:fldCharType="begin"/>
        </w:r>
        <w:r>
          <w:rPr>
            <w:webHidden/>
          </w:rPr>
          <w:instrText xml:space="preserve"> PAGEREF _Toc230426108 \h </w:instrText>
        </w:r>
        <w:r>
          <w:rPr>
            <w:webHidden/>
          </w:rPr>
        </w:r>
        <w:r>
          <w:rPr>
            <w:webHidden/>
          </w:rPr>
          <w:fldChar w:fldCharType="separate"/>
        </w:r>
        <w:r w:rsidR="007E133A">
          <w:rPr>
            <w:webHidden/>
          </w:rPr>
          <w:t>XLIX</w:t>
        </w:r>
        <w:r>
          <w:rPr>
            <w:webHidden/>
          </w:rPr>
          <w:fldChar w:fldCharType="end"/>
        </w:r>
      </w:hyperlink>
    </w:p>
    <w:p w14:paraId="44BBA36C" w14:textId="41D0BCEE" w:rsidR="004F2052" w:rsidRDefault="004F2052">
      <w:pPr>
        <w:pStyle w:val="TableofFigures"/>
        <w:rPr>
          <w:rFonts w:asciiTheme="minorHAnsi" w:eastAsiaTheme="minorEastAsia" w:hAnsiTheme="minorHAnsi" w:cstheme="minorBidi"/>
          <w:b w:val="0"/>
          <w:kern w:val="2"/>
          <w:sz w:val="24"/>
          <w:lang w:val="en-US" w:eastAsia="en-US"/>
          <w14:ligatures w14:val="standardContextual"/>
        </w:rPr>
      </w:pPr>
      <w:hyperlink w:anchor="_Toc230426109" w:history="1">
        <w:r w:rsidRPr="006A75C3">
          <w:rPr>
            <w:rStyle w:val="Hyperlink"/>
            <w:rFonts w:eastAsiaTheme="majorEastAsia"/>
          </w:rPr>
          <w:t>Annexe 4 : Analyse comparative entre la NES 4 et le cadre reglementaire national malagasy</w:t>
        </w:r>
        <w:r>
          <w:rPr>
            <w:webHidden/>
          </w:rPr>
          <w:tab/>
        </w:r>
        <w:r>
          <w:rPr>
            <w:webHidden/>
          </w:rPr>
          <w:fldChar w:fldCharType="begin"/>
        </w:r>
        <w:r>
          <w:rPr>
            <w:webHidden/>
          </w:rPr>
          <w:instrText xml:space="preserve"> PAGEREF _Toc230426109 \h </w:instrText>
        </w:r>
        <w:r>
          <w:rPr>
            <w:webHidden/>
          </w:rPr>
        </w:r>
        <w:r>
          <w:rPr>
            <w:webHidden/>
          </w:rPr>
          <w:fldChar w:fldCharType="separate"/>
        </w:r>
        <w:r w:rsidR="007E133A">
          <w:rPr>
            <w:webHidden/>
          </w:rPr>
          <w:t>LXVI</w:t>
        </w:r>
        <w:r>
          <w:rPr>
            <w:webHidden/>
          </w:rPr>
          <w:fldChar w:fldCharType="end"/>
        </w:r>
      </w:hyperlink>
    </w:p>
    <w:p w14:paraId="6D794A1D" w14:textId="38ACE66A" w:rsidR="004F2052" w:rsidRDefault="004F2052">
      <w:pPr>
        <w:pStyle w:val="TableofFigures"/>
        <w:rPr>
          <w:rFonts w:asciiTheme="minorHAnsi" w:eastAsiaTheme="minorEastAsia" w:hAnsiTheme="minorHAnsi" w:cstheme="minorBidi"/>
          <w:b w:val="0"/>
          <w:kern w:val="2"/>
          <w:sz w:val="24"/>
          <w:lang w:val="en-US" w:eastAsia="en-US"/>
          <w14:ligatures w14:val="standardContextual"/>
        </w:rPr>
      </w:pPr>
      <w:hyperlink w:anchor="_Toc230426110" w:history="1">
        <w:r w:rsidRPr="006A75C3">
          <w:rPr>
            <w:rStyle w:val="Hyperlink"/>
            <w:rFonts w:eastAsiaTheme="majorEastAsia"/>
          </w:rPr>
          <w:t>Annexe 5 : Analyse comparative la NES N°5 et le cadre réglementaire national Malagasy</w:t>
        </w:r>
        <w:r>
          <w:rPr>
            <w:webHidden/>
          </w:rPr>
          <w:tab/>
        </w:r>
        <w:r>
          <w:rPr>
            <w:webHidden/>
          </w:rPr>
          <w:fldChar w:fldCharType="begin"/>
        </w:r>
        <w:r>
          <w:rPr>
            <w:webHidden/>
          </w:rPr>
          <w:instrText xml:space="preserve"> PAGEREF _Toc230426110 \h </w:instrText>
        </w:r>
        <w:r>
          <w:rPr>
            <w:webHidden/>
          </w:rPr>
        </w:r>
        <w:r>
          <w:rPr>
            <w:webHidden/>
          </w:rPr>
          <w:fldChar w:fldCharType="separate"/>
        </w:r>
        <w:r w:rsidR="007E133A">
          <w:rPr>
            <w:webHidden/>
          </w:rPr>
          <w:t>LXXX</w:t>
        </w:r>
        <w:r>
          <w:rPr>
            <w:webHidden/>
          </w:rPr>
          <w:fldChar w:fldCharType="end"/>
        </w:r>
      </w:hyperlink>
    </w:p>
    <w:p w14:paraId="611D193E" w14:textId="794E7B00" w:rsidR="004F2052" w:rsidRDefault="004F2052">
      <w:pPr>
        <w:pStyle w:val="TableofFigures"/>
        <w:rPr>
          <w:rFonts w:asciiTheme="minorHAnsi" w:eastAsiaTheme="minorEastAsia" w:hAnsiTheme="minorHAnsi" w:cstheme="minorBidi"/>
          <w:b w:val="0"/>
          <w:kern w:val="2"/>
          <w:sz w:val="24"/>
          <w:lang w:val="en-US" w:eastAsia="en-US"/>
          <w14:ligatures w14:val="standardContextual"/>
        </w:rPr>
      </w:pPr>
      <w:hyperlink w:anchor="_Toc230426111" w:history="1">
        <w:r w:rsidRPr="006A75C3">
          <w:rPr>
            <w:rStyle w:val="Hyperlink"/>
            <w:rFonts w:eastAsiaTheme="majorEastAsia"/>
          </w:rPr>
          <w:t>Annexe 6 : Analyse comparative entre la NES N°6 et le cadre réglementaire national Malagasy</w:t>
        </w:r>
        <w:r>
          <w:rPr>
            <w:webHidden/>
          </w:rPr>
          <w:tab/>
        </w:r>
        <w:r>
          <w:rPr>
            <w:webHidden/>
          </w:rPr>
          <w:fldChar w:fldCharType="begin"/>
        </w:r>
        <w:r>
          <w:rPr>
            <w:webHidden/>
          </w:rPr>
          <w:instrText xml:space="preserve"> PAGEREF _Toc230426111 \h </w:instrText>
        </w:r>
        <w:r>
          <w:rPr>
            <w:webHidden/>
          </w:rPr>
        </w:r>
        <w:r>
          <w:rPr>
            <w:webHidden/>
          </w:rPr>
          <w:fldChar w:fldCharType="separate"/>
        </w:r>
        <w:r w:rsidR="007E133A">
          <w:rPr>
            <w:webHidden/>
          </w:rPr>
          <w:t>CXXIII</w:t>
        </w:r>
        <w:r>
          <w:rPr>
            <w:webHidden/>
          </w:rPr>
          <w:fldChar w:fldCharType="end"/>
        </w:r>
      </w:hyperlink>
    </w:p>
    <w:p w14:paraId="345E5024" w14:textId="4E838EEF" w:rsidR="004F2052" w:rsidRDefault="004F2052">
      <w:pPr>
        <w:pStyle w:val="TableofFigures"/>
        <w:rPr>
          <w:rFonts w:asciiTheme="minorHAnsi" w:eastAsiaTheme="minorEastAsia" w:hAnsiTheme="minorHAnsi" w:cstheme="minorBidi"/>
          <w:b w:val="0"/>
          <w:kern w:val="2"/>
          <w:sz w:val="24"/>
          <w:lang w:val="en-US" w:eastAsia="en-US"/>
          <w14:ligatures w14:val="standardContextual"/>
        </w:rPr>
      </w:pPr>
      <w:hyperlink w:anchor="_Toc230426112" w:history="1">
        <w:r w:rsidRPr="006A75C3">
          <w:rPr>
            <w:rStyle w:val="Hyperlink"/>
            <w:rFonts w:eastAsiaTheme="majorEastAsia"/>
          </w:rPr>
          <w:t>Annexe 7 : Analyse comparative entre la NES N°8 et le cadre réglementaire national Malagasy</w:t>
        </w:r>
        <w:r>
          <w:rPr>
            <w:webHidden/>
          </w:rPr>
          <w:tab/>
        </w:r>
        <w:r>
          <w:rPr>
            <w:webHidden/>
          </w:rPr>
          <w:fldChar w:fldCharType="begin"/>
        </w:r>
        <w:r>
          <w:rPr>
            <w:webHidden/>
          </w:rPr>
          <w:instrText xml:space="preserve"> PAGEREF _Toc230426112 \h </w:instrText>
        </w:r>
        <w:r>
          <w:rPr>
            <w:webHidden/>
          </w:rPr>
        </w:r>
        <w:r>
          <w:rPr>
            <w:webHidden/>
          </w:rPr>
          <w:fldChar w:fldCharType="separate"/>
        </w:r>
        <w:r w:rsidR="007E133A">
          <w:rPr>
            <w:webHidden/>
          </w:rPr>
          <w:t>135</w:t>
        </w:r>
        <w:r>
          <w:rPr>
            <w:webHidden/>
          </w:rPr>
          <w:fldChar w:fldCharType="end"/>
        </w:r>
      </w:hyperlink>
    </w:p>
    <w:p w14:paraId="21354F25" w14:textId="6D24E06F" w:rsidR="004F2052" w:rsidRDefault="004F2052">
      <w:pPr>
        <w:pStyle w:val="TableofFigures"/>
        <w:rPr>
          <w:rFonts w:asciiTheme="minorHAnsi" w:eastAsiaTheme="minorEastAsia" w:hAnsiTheme="minorHAnsi" w:cstheme="minorBidi"/>
          <w:b w:val="0"/>
          <w:kern w:val="2"/>
          <w:sz w:val="24"/>
          <w:lang w:val="en-US" w:eastAsia="en-US"/>
          <w14:ligatures w14:val="standardContextual"/>
        </w:rPr>
      </w:pPr>
      <w:hyperlink w:anchor="_Toc230426113" w:history="1">
        <w:r w:rsidRPr="006A75C3">
          <w:rPr>
            <w:rStyle w:val="Hyperlink"/>
            <w:rFonts w:eastAsiaTheme="majorEastAsia"/>
          </w:rPr>
          <w:t>Annexe 8 : Analyse comparative entre la NES 10 et cadre réglementaire national malagasy</w:t>
        </w:r>
        <w:r>
          <w:rPr>
            <w:webHidden/>
          </w:rPr>
          <w:tab/>
        </w:r>
        <w:r>
          <w:rPr>
            <w:webHidden/>
          </w:rPr>
          <w:fldChar w:fldCharType="begin"/>
        </w:r>
        <w:r>
          <w:rPr>
            <w:webHidden/>
          </w:rPr>
          <w:instrText xml:space="preserve"> PAGEREF _Toc230426113 \h </w:instrText>
        </w:r>
        <w:r>
          <w:rPr>
            <w:webHidden/>
          </w:rPr>
        </w:r>
        <w:r>
          <w:rPr>
            <w:webHidden/>
          </w:rPr>
          <w:fldChar w:fldCharType="separate"/>
        </w:r>
        <w:r w:rsidR="007E133A">
          <w:rPr>
            <w:webHidden/>
          </w:rPr>
          <w:t>144</w:t>
        </w:r>
        <w:r>
          <w:rPr>
            <w:webHidden/>
          </w:rPr>
          <w:fldChar w:fldCharType="end"/>
        </w:r>
      </w:hyperlink>
    </w:p>
    <w:p w14:paraId="1529FEA8" w14:textId="6572F04E" w:rsidR="004F2052" w:rsidRDefault="004F2052">
      <w:pPr>
        <w:pStyle w:val="TableofFigures"/>
        <w:rPr>
          <w:rFonts w:asciiTheme="minorHAnsi" w:eastAsiaTheme="minorEastAsia" w:hAnsiTheme="minorHAnsi" w:cstheme="minorBidi"/>
          <w:b w:val="0"/>
          <w:kern w:val="2"/>
          <w:sz w:val="24"/>
          <w:lang w:val="en-US" w:eastAsia="en-US"/>
          <w14:ligatures w14:val="standardContextual"/>
        </w:rPr>
      </w:pPr>
      <w:hyperlink w:anchor="_Toc230426114" w:history="1">
        <w:r w:rsidRPr="006A75C3">
          <w:rPr>
            <w:rStyle w:val="Hyperlink"/>
            <w:rFonts w:eastAsiaTheme="majorEastAsia"/>
          </w:rPr>
          <w:t>Annexe 9 : Sources et types de dégradation des routes</w:t>
        </w:r>
        <w:r>
          <w:rPr>
            <w:webHidden/>
          </w:rPr>
          <w:tab/>
        </w:r>
        <w:r>
          <w:rPr>
            <w:webHidden/>
          </w:rPr>
          <w:fldChar w:fldCharType="begin"/>
        </w:r>
        <w:r>
          <w:rPr>
            <w:webHidden/>
          </w:rPr>
          <w:instrText xml:space="preserve"> PAGEREF _Toc230426114 \h </w:instrText>
        </w:r>
        <w:r>
          <w:rPr>
            <w:webHidden/>
          </w:rPr>
        </w:r>
        <w:r>
          <w:rPr>
            <w:webHidden/>
          </w:rPr>
          <w:fldChar w:fldCharType="separate"/>
        </w:r>
        <w:r w:rsidR="007E133A">
          <w:rPr>
            <w:webHidden/>
          </w:rPr>
          <w:t>CLVI</w:t>
        </w:r>
        <w:r>
          <w:rPr>
            <w:webHidden/>
          </w:rPr>
          <w:fldChar w:fldCharType="end"/>
        </w:r>
      </w:hyperlink>
    </w:p>
    <w:p w14:paraId="071B4010" w14:textId="2B04B538" w:rsidR="004F2052" w:rsidRDefault="004F2052">
      <w:pPr>
        <w:pStyle w:val="TableofFigures"/>
        <w:rPr>
          <w:rFonts w:asciiTheme="minorHAnsi" w:eastAsiaTheme="minorEastAsia" w:hAnsiTheme="minorHAnsi" w:cstheme="minorBidi"/>
          <w:b w:val="0"/>
          <w:kern w:val="2"/>
          <w:sz w:val="24"/>
          <w:lang w:val="en-US" w:eastAsia="en-US"/>
          <w14:ligatures w14:val="standardContextual"/>
        </w:rPr>
      </w:pPr>
      <w:hyperlink w:anchor="_Toc230426115" w:history="1">
        <w:r w:rsidRPr="006A75C3">
          <w:rPr>
            <w:rStyle w:val="Hyperlink"/>
            <w:rFonts w:eastAsiaTheme="majorEastAsia"/>
          </w:rPr>
          <w:t>Annexe 10 : INFORMATIONS SUR LE PORT DE MAHAJANGA</w:t>
        </w:r>
        <w:r>
          <w:rPr>
            <w:webHidden/>
          </w:rPr>
          <w:tab/>
        </w:r>
        <w:r>
          <w:rPr>
            <w:webHidden/>
          </w:rPr>
          <w:fldChar w:fldCharType="begin"/>
        </w:r>
        <w:r>
          <w:rPr>
            <w:webHidden/>
          </w:rPr>
          <w:instrText xml:space="preserve"> PAGEREF _Toc230426115 \h </w:instrText>
        </w:r>
        <w:r>
          <w:rPr>
            <w:webHidden/>
          </w:rPr>
        </w:r>
        <w:r>
          <w:rPr>
            <w:webHidden/>
          </w:rPr>
          <w:fldChar w:fldCharType="separate"/>
        </w:r>
        <w:r w:rsidR="007E133A">
          <w:rPr>
            <w:webHidden/>
          </w:rPr>
          <w:t>CLXV</w:t>
        </w:r>
        <w:r>
          <w:rPr>
            <w:webHidden/>
          </w:rPr>
          <w:fldChar w:fldCharType="end"/>
        </w:r>
      </w:hyperlink>
    </w:p>
    <w:p w14:paraId="3B754ECD" w14:textId="609B0A8D" w:rsidR="004F2052" w:rsidRDefault="004F2052">
      <w:pPr>
        <w:pStyle w:val="TableofFigures"/>
        <w:rPr>
          <w:rFonts w:asciiTheme="minorHAnsi" w:eastAsiaTheme="minorEastAsia" w:hAnsiTheme="minorHAnsi" w:cstheme="minorBidi"/>
          <w:b w:val="0"/>
          <w:kern w:val="2"/>
          <w:sz w:val="24"/>
          <w:lang w:val="en-US" w:eastAsia="en-US"/>
          <w14:ligatures w14:val="standardContextual"/>
        </w:rPr>
      </w:pPr>
      <w:hyperlink w:anchor="_Toc230426116" w:history="1">
        <w:r w:rsidRPr="006A75C3">
          <w:rPr>
            <w:rStyle w:val="Hyperlink"/>
            <w:rFonts w:eastAsiaTheme="majorEastAsia"/>
          </w:rPr>
          <w:t>Annexe 11 : Modèle de Fiche d’examen environnemental et social préliminaire</w:t>
        </w:r>
        <w:r>
          <w:rPr>
            <w:webHidden/>
          </w:rPr>
          <w:tab/>
        </w:r>
        <w:r>
          <w:rPr>
            <w:webHidden/>
          </w:rPr>
          <w:fldChar w:fldCharType="begin"/>
        </w:r>
        <w:r>
          <w:rPr>
            <w:webHidden/>
          </w:rPr>
          <w:instrText xml:space="preserve"> PAGEREF _Toc230426116 \h </w:instrText>
        </w:r>
        <w:r>
          <w:rPr>
            <w:webHidden/>
          </w:rPr>
        </w:r>
        <w:r>
          <w:rPr>
            <w:webHidden/>
          </w:rPr>
          <w:fldChar w:fldCharType="separate"/>
        </w:r>
        <w:r w:rsidR="007E133A">
          <w:rPr>
            <w:webHidden/>
          </w:rPr>
          <w:t>CLXIX</w:t>
        </w:r>
        <w:r>
          <w:rPr>
            <w:webHidden/>
          </w:rPr>
          <w:fldChar w:fldCharType="end"/>
        </w:r>
      </w:hyperlink>
    </w:p>
    <w:p w14:paraId="1E5CCFAA" w14:textId="4AEB1C46" w:rsidR="004F2052" w:rsidRDefault="004F2052">
      <w:pPr>
        <w:pStyle w:val="TableofFigures"/>
        <w:rPr>
          <w:rFonts w:asciiTheme="minorHAnsi" w:eastAsiaTheme="minorEastAsia" w:hAnsiTheme="minorHAnsi" w:cstheme="minorBidi"/>
          <w:b w:val="0"/>
          <w:kern w:val="2"/>
          <w:sz w:val="24"/>
          <w:lang w:val="en-US" w:eastAsia="en-US"/>
          <w14:ligatures w14:val="standardContextual"/>
        </w:rPr>
      </w:pPr>
      <w:hyperlink w:anchor="_Toc230426117" w:history="1">
        <w:r w:rsidRPr="006A75C3">
          <w:rPr>
            <w:rStyle w:val="Hyperlink"/>
            <w:rFonts w:eastAsiaTheme="majorEastAsia"/>
          </w:rPr>
          <w:t>Annexe 12 : Modèle de clauses E&amp;S à insérer dans les DAO</w:t>
        </w:r>
        <w:r>
          <w:rPr>
            <w:webHidden/>
          </w:rPr>
          <w:tab/>
        </w:r>
        <w:r>
          <w:rPr>
            <w:webHidden/>
          </w:rPr>
          <w:fldChar w:fldCharType="begin"/>
        </w:r>
        <w:r>
          <w:rPr>
            <w:webHidden/>
          </w:rPr>
          <w:instrText xml:space="preserve"> PAGEREF _Toc230426117 \h </w:instrText>
        </w:r>
        <w:r>
          <w:rPr>
            <w:webHidden/>
          </w:rPr>
        </w:r>
        <w:r>
          <w:rPr>
            <w:webHidden/>
          </w:rPr>
          <w:fldChar w:fldCharType="separate"/>
        </w:r>
        <w:r w:rsidR="007E133A">
          <w:rPr>
            <w:webHidden/>
          </w:rPr>
          <w:t>CLXXIX</w:t>
        </w:r>
        <w:r>
          <w:rPr>
            <w:webHidden/>
          </w:rPr>
          <w:fldChar w:fldCharType="end"/>
        </w:r>
      </w:hyperlink>
    </w:p>
    <w:p w14:paraId="69976148" w14:textId="333C85B0" w:rsidR="004F2052" w:rsidRDefault="004F2052">
      <w:pPr>
        <w:pStyle w:val="TableofFigures"/>
        <w:rPr>
          <w:rFonts w:asciiTheme="minorHAnsi" w:eastAsiaTheme="minorEastAsia" w:hAnsiTheme="minorHAnsi" w:cstheme="minorBidi"/>
          <w:b w:val="0"/>
          <w:kern w:val="2"/>
          <w:sz w:val="24"/>
          <w:lang w:val="en-US" w:eastAsia="en-US"/>
          <w14:ligatures w14:val="standardContextual"/>
        </w:rPr>
      </w:pPr>
      <w:hyperlink w:anchor="_Toc230426118" w:history="1">
        <w:r w:rsidRPr="006A75C3">
          <w:rPr>
            <w:rStyle w:val="Hyperlink"/>
            <w:rFonts w:eastAsiaTheme="majorEastAsia"/>
          </w:rPr>
          <w:t>Annexe 13 : Modèle de fiche de non-conformité</w:t>
        </w:r>
        <w:r>
          <w:rPr>
            <w:webHidden/>
          </w:rPr>
          <w:tab/>
        </w:r>
        <w:r>
          <w:rPr>
            <w:webHidden/>
          </w:rPr>
          <w:fldChar w:fldCharType="begin"/>
        </w:r>
        <w:r>
          <w:rPr>
            <w:webHidden/>
          </w:rPr>
          <w:instrText xml:space="preserve"> PAGEREF _Toc230426118 \h </w:instrText>
        </w:r>
        <w:r>
          <w:rPr>
            <w:webHidden/>
          </w:rPr>
        </w:r>
        <w:r>
          <w:rPr>
            <w:webHidden/>
          </w:rPr>
          <w:fldChar w:fldCharType="separate"/>
        </w:r>
        <w:r w:rsidR="007E133A">
          <w:rPr>
            <w:webHidden/>
          </w:rPr>
          <w:t>CXCVI</w:t>
        </w:r>
        <w:r>
          <w:rPr>
            <w:webHidden/>
          </w:rPr>
          <w:fldChar w:fldCharType="end"/>
        </w:r>
      </w:hyperlink>
    </w:p>
    <w:p w14:paraId="6F7BEDA8" w14:textId="6E2E4A9E" w:rsidR="004F2052" w:rsidRDefault="004F2052">
      <w:pPr>
        <w:pStyle w:val="TableofFigures"/>
        <w:rPr>
          <w:rFonts w:asciiTheme="minorHAnsi" w:eastAsiaTheme="minorEastAsia" w:hAnsiTheme="minorHAnsi" w:cstheme="minorBidi"/>
          <w:b w:val="0"/>
          <w:kern w:val="2"/>
          <w:sz w:val="24"/>
          <w:lang w:val="en-US" w:eastAsia="en-US"/>
          <w14:ligatures w14:val="standardContextual"/>
        </w:rPr>
      </w:pPr>
      <w:hyperlink w:anchor="_Toc230426119" w:history="1">
        <w:r w:rsidRPr="006A75C3">
          <w:rPr>
            <w:rStyle w:val="Hyperlink"/>
            <w:rFonts w:eastAsiaTheme="majorEastAsia"/>
          </w:rPr>
          <w:t>Annexe 14 : Modèles de Codes de conduite</w:t>
        </w:r>
        <w:r>
          <w:rPr>
            <w:webHidden/>
          </w:rPr>
          <w:tab/>
        </w:r>
        <w:r>
          <w:rPr>
            <w:webHidden/>
          </w:rPr>
          <w:fldChar w:fldCharType="begin"/>
        </w:r>
        <w:r>
          <w:rPr>
            <w:webHidden/>
          </w:rPr>
          <w:instrText xml:space="preserve"> PAGEREF _Toc230426119 \h </w:instrText>
        </w:r>
        <w:r>
          <w:rPr>
            <w:webHidden/>
          </w:rPr>
        </w:r>
        <w:r>
          <w:rPr>
            <w:webHidden/>
          </w:rPr>
          <w:fldChar w:fldCharType="separate"/>
        </w:r>
        <w:r w:rsidR="007E133A">
          <w:rPr>
            <w:webHidden/>
          </w:rPr>
          <w:t>CXCVIII</w:t>
        </w:r>
        <w:r>
          <w:rPr>
            <w:webHidden/>
          </w:rPr>
          <w:fldChar w:fldCharType="end"/>
        </w:r>
      </w:hyperlink>
    </w:p>
    <w:p w14:paraId="00593275" w14:textId="4D4A2243" w:rsidR="004F2052" w:rsidRDefault="004F2052">
      <w:pPr>
        <w:pStyle w:val="TableofFigures"/>
        <w:rPr>
          <w:rFonts w:asciiTheme="minorHAnsi" w:eastAsiaTheme="minorEastAsia" w:hAnsiTheme="minorHAnsi" w:cstheme="minorBidi"/>
          <w:b w:val="0"/>
          <w:kern w:val="2"/>
          <w:sz w:val="24"/>
          <w:lang w:val="en-US" w:eastAsia="en-US"/>
          <w14:ligatures w14:val="standardContextual"/>
        </w:rPr>
      </w:pPr>
      <w:hyperlink w:anchor="_Toc230426120" w:history="1">
        <w:r w:rsidRPr="006A75C3">
          <w:rPr>
            <w:rStyle w:val="Hyperlink"/>
            <w:rFonts w:eastAsiaTheme="majorEastAsia"/>
          </w:rPr>
          <w:t>Annexe 15 : Plan de protection et d’exploitation de sites</w:t>
        </w:r>
        <w:r>
          <w:rPr>
            <w:webHidden/>
          </w:rPr>
          <w:tab/>
        </w:r>
        <w:r>
          <w:rPr>
            <w:webHidden/>
          </w:rPr>
          <w:fldChar w:fldCharType="begin"/>
        </w:r>
        <w:r>
          <w:rPr>
            <w:webHidden/>
          </w:rPr>
          <w:instrText xml:space="preserve"> PAGEREF _Toc230426120 \h </w:instrText>
        </w:r>
        <w:r>
          <w:rPr>
            <w:webHidden/>
          </w:rPr>
        </w:r>
        <w:r>
          <w:rPr>
            <w:webHidden/>
          </w:rPr>
          <w:fldChar w:fldCharType="separate"/>
        </w:r>
        <w:r w:rsidR="007E133A">
          <w:rPr>
            <w:webHidden/>
          </w:rPr>
          <w:t>CCXIII</w:t>
        </w:r>
        <w:r>
          <w:rPr>
            <w:webHidden/>
          </w:rPr>
          <w:fldChar w:fldCharType="end"/>
        </w:r>
      </w:hyperlink>
    </w:p>
    <w:p w14:paraId="78F15FAF" w14:textId="213A9FF6" w:rsidR="004F2052" w:rsidRDefault="004F2052">
      <w:pPr>
        <w:pStyle w:val="TableofFigures"/>
        <w:rPr>
          <w:rFonts w:asciiTheme="minorHAnsi" w:eastAsiaTheme="minorEastAsia" w:hAnsiTheme="minorHAnsi" w:cstheme="minorBidi"/>
          <w:b w:val="0"/>
          <w:kern w:val="2"/>
          <w:sz w:val="24"/>
          <w:lang w:val="en-US" w:eastAsia="en-US"/>
          <w14:ligatures w14:val="standardContextual"/>
        </w:rPr>
      </w:pPr>
      <w:hyperlink w:anchor="_Toc230426121" w:history="1">
        <w:r w:rsidRPr="006A75C3">
          <w:rPr>
            <w:rStyle w:val="Hyperlink"/>
            <w:rFonts w:eastAsiaTheme="majorEastAsia"/>
          </w:rPr>
          <w:t>Annexe 16 : Directives pour la gestion des gites, emprunts et carrières</w:t>
        </w:r>
        <w:r>
          <w:rPr>
            <w:webHidden/>
          </w:rPr>
          <w:tab/>
        </w:r>
        <w:r>
          <w:rPr>
            <w:webHidden/>
          </w:rPr>
          <w:fldChar w:fldCharType="begin"/>
        </w:r>
        <w:r>
          <w:rPr>
            <w:webHidden/>
          </w:rPr>
          <w:instrText xml:space="preserve"> PAGEREF _Toc230426121 \h </w:instrText>
        </w:r>
        <w:r>
          <w:rPr>
            <w:webHidden/>
          </w:rPr>
        </w:r>
        <w:r>
          <w:rPr>
            <w:webHidden/>
          </w:rPr>
          <w:fldChar w:fldCharType="separate"/>
        </w:r>
        <w:r w:rsidR="007E133A">
          <w:rPr>
            <w:webHidden/>
          </w:rPr>
          <w:t>CCXVI</w:t>
        </w:r>
        <w:r>
          <w:rPr>
            <w:webHidden/>
          </w:rPr>
          <w:fldChar w:fldCharType="end"/>
        </w:r>
      </w:hyperlink>
    </w:p>
    <w:p w14:paraId="5EF0AAB8" w14:textId="5845C823" w:rsidR="004F2052" w:rsidRDefault="004F2052">
      <w:pPr>
        <w:pStyle w:val="TableofFigures"/>
        <w:rPr>
          <w:rFonts w:asciiTheme="minorHAnsi" w:eastAsiaTheme="minorEastAsia" w:hAnsiTheme="minorHAnsi" w:cstheme="minorBidi"/>
          <w:b w:val="0"/>
          <w:kern w:val="2"/>
          <w:sz w:val="24"/>
          <w:lang w:val="en-US" w:eastAsia="en-US"/>
          <w14:ligatures w14:val="standardContextual"/>
        </w:rPr>
      </w:pPr>
      <w:hyperlink w:anchor="_Toc230426122" w:history="1">
        <w:r w:rsidRPr="006A75C3">
          <w:rPr>
            <w:rStyle w:val="Hyperlink"/>
            <w:rFonts w:eastAsiaTheme="majorEastAsia"/>
          </w:rPr>
          <w:t>Annexe 17. : Plan de gestion du stockage des hydrocarbures et produits dangereux</w:t>
        </w:r>
        <w:r>
          <w:rPr>
            <w:webHidden/>
          </w:rPr>
          <w:tab/>
        </w:r>
        <w:r>
          <w:rPr>
            <w:webHidden/>
          </w:rPr>
          <w:fldChar w:fldCharType="begin"/>
        </w:r>
        <w:r>
          <w:rPr>
            <w:webHidden/>
          </w:rPr>
          <w:instrText xml:space="preserve"> PAGEREF _Toc230426122 \h </w:instrText>
        </w:r>
        <w:r>
          <w:rPr>
            <w:webHidden/>
          </w:rPr>
        </w:r>
        <w:r>
          <w:rPr>
            <w:webHidden/>
          </w:rPr>
          <w:fldChar w:fldCharType="separate"/>
        </w:r>
        <w:r w:rsidR="007E133A">
          <w:rPr>
            <w:webHidden/>
          </w:rPr>
          <w:t>CCXXII</w:t>
        </w:r>
        <w:r>
          <w:rPr>
            <w:webHidden/>
          </w:rPr>
          <w:fldChar w:fldCharType="end"/>
        </w:r>
      </w:hyperlink>
    </w:p>
    <w:p w14:paraId="51D23D85" w14:textId="2EBEF657" w:rsidR="004F2052" w:rsidRDefault="004F2052">
      <w:pPr>
        <w:pStyle w:val="TableofFigures"/>
        <w:rPr>
          <w:rFonts w:asciiTheme="minorHAnsi" w:eastAsiaTheme="minorEastAsia" w:hAnsiTheme="minorHAnsi" w:cstheme="minorBidi"/>
          <w:b w:val="0"/>
          <w:kern w:val="2"/>
          <w:sz w:val="24"/>
          <w:lang w:val="en-US" w:eastAsia="en-US"/>
          <w14:ligatures w14:val="standardContextual"/>
        </w:rPr>
      </w:pPr>
      <w:hyperlink w:anchor="_Toc230426123" w:history="1">
        <w:r w:rsidRPr="006A75C3">
          <w:rPr>
            <w:rStyle w:val="Hyperlink"/>
            <w:rFonts w:eastAsiaTheme="majorEastAsia"/>
          </w:rPr>
          <w:t>Annexe 18 : Plan de circulation des engins et véhicules (PCEV)</w:t>
        </w:r>
        <w:r>
          <w:rPr>
            <w:webHidden/>
          </w:rPr>
          <w:tab/>
        </w:r>
        <w:r>
          <w:rPr>
            <w:webHidden/>
          </w:rPr>
          <w:fldChar w:fldCharType="begin"/>
        </w:r>
        <w:r>
          <w:rPr>
            <w:webHidden/>
          </w:rPr>
          <w:instrText xml:space="preserve"> PAGEREF _Toc230426123 \h </w:instrText>
        </w:r>
        <w:r>
          <w:rPr>
            <w:webHidden/>
          </w:rPr>
        </w:r>
        <w:r>
          <w:rPr>
            <w:webHidden/>
          </w:rPr>
          <w:fldChar w:fldCharType="separate"/>
        </w:r>
        <w:r w:rsidR="007E133A">
          <w:rPr>
            <w:webHidden/>
          </w:rPr>
          <w:t>CCXXIII</w:t>
        </w:r>
        <w:r>
          <w:rPr>
            <w:webHidden/>
          </w:rPr>
          <w:fldChar w:fldCharType="end"/>
        </w:r>
      </w:hyperlink>
    </w:p>
    <w:p w14:paraId="098EE7A5" w14:textId="04AD8520" w:rsidR="004F2052" w:rsidRDefault="004F2052">
      <w:pPr>
        <w:pStyle w:val="TableofFigures"/>
        <w:rPr>
          <w:rFonts w:asciiTheme="minorHAnsi" w:eastAsiaTheme="minorEastAsia" w:hAnsiTheme="minorHAnsi" w:cstheme="minorBidi"/>
          <w:b w:val="0"/>
          <w:kern w:val="2"/>
          <w:sz w:val="24"/>
          <w:lang w:val="en-US" w:eastAsia="en-US"/>
          <w14:ligatures w14:val="standardContextual"/>
        </w:rPr>
      </w:pPr>
      <w:hyperlink w:anchor="_Toc230426124" w:history="1">
        <w:r w:rsidRPr="006A75C3">
          <w:rPr>
            <w:rStyle w:val="Hyperlink"/>
            <w:rFonts w:eastAsiaTheme="majorEastAsia"/>
          </w:rPr>
          <w:t>Annexe 19 : Bases d’un Plan de gestion des déchets</w:t>
        </w:r>
        <w:r>
          <w:rPr>
            <w:webHidden/>
          </w:rPr>
          <w:tab/>
        </w:r>
        <w:r>
          <w:rPr>
            <w:webHidden/>
          </w:rPr>
          <w:fldChar w:fldCharType="begin"/>
        </w:r>
        <w:r>
          <w:rPr>
            <w:webHidden/>
          </w:rPr>
          <w:instrText xml:space="preserve"> PAGEREF _Toc230426124 \h </w:instrText>
        </w:r>
        <w:r>
          <w:rPr>
            <w:webHidden/>
          </w:rPr>
        </w:r>
        <w:r>
          <w:rPr>
            <w:webHidden/>
          </w:rPr>
          <w:fldChar w:fldCharType="separate"/>
        </w:r>
        <w:r w:rsidR="007E133A">
          <w:rPr>
            <w:webHidden/>
          </w:rPr>
          <w:t>CCXXV</w:t>
        </w:r>
        <w:r>
          <w:rPr>
            <w:webHidden/>
          </w:rPr>
          <w:fldChar w:fldCharType="end"/>
        </w:r>
      </w:hyperlink>
    </w:p>
    <w:p w14:paraId="4A594DA1" w14:textId="0AD9D0F3" w:rsidR="004F2052" w:rsidRDefault="004F2052">
      <w:pPr>
        <w:pStyle w:val="TableofFigures"/>
        <w:rPr>
          <w:rFonts w:asciiTheme="minorHAnsi" w:eastAsiaTheme="minorEastAsia" w:hAnsiTheme="minorHAnsi" w:cstheme="minorBidi"/>
          <w:b w:val="0"/>
          <w:kern w:val="2"/>
          <w:sz w:val="24"/>
          <w:lang w:val="en-US" w:eastAsia="en-US"/>
          <w14:ligatures w14:val="standardContextual"/>
        </w:rPr>
      </w:pPr>
      <w:hyperlink w:anchor="_Toc230426125" w:history="1">
        <w:r w:rsidRPr="006A75C3">
          <w:rPr>
            <w:rStyle w:val="Hyperlink"/>
            <w:rFonts w:eastAsiaTheme="majorEastAsia"/>
          </w:rPr>
          <w:t>Annexe 20 : Bases d’un Plan santé et sécurité au travail (SST)</w:t>
        </w:r>
        <w:r>
          <w:rPr>
            <w:webHidden/>
          </w:rPr>
          <w:tab/>
        </w:r>
        <w:r>
          <w:rPr>
            <w:webHidden/>
          </w:rPr>
          <w:fldChar w:fldCharType="begin"/>
        </w:r>
        <w:r>
          <w:rPr>
            <w:webHidden/>
          </w:rPr>
          <w:instrText xml:space="preserve"> PAGEREF _Toc230426125 \h </w:instrText>
        </w:r>
        <w:r>
          <w:rPr>
            <w:webHidden/>
          </w:rPr>
        </w:r>
        <w:r>
          <w:rPr>
            <w:webHidden/>
          </w:rPr>
          <w:fldChar w:fldCharType="separate"/>
        </w:r>
        <w:r w:rsidR="007E133A">
          <w:rPr>
            <w:webHidden/>
          </w:rPr>
          <w:t>CCXXVI</w:t>
        </w:r>
        <w:r>
          <w:rPr>
            <w:webHidden/>
          </w:rPr>
          <w:fldChar w:fldCharType="end"/>
        </w:r>
      </w:hyperlink>
    </w:p>
    <w:p w14:paraId="5F03E52A" w14:textId="4AC3CCB3" w:rsidR="004F2052" w:rsidRDefault="004F2052">
      <w:pPr>
        <w:pStyle w:val="TableofFigures"/>
        <w:rPr>
          <w:rFonts w:asciiTheme="minorHAnsi" w:eastAsiaTheme="minorEastAsia" w:hAnsiTheme="minorHAnsi" w:cstheme="minorBidi"/>
          <w:b w:val="0"/>
          <w:kern w:val="2"/>
          <w:sz w:val="24"/>
          <w:lang w:val="en-US" w:eastAsia="en-US"/>
          <w14:ligatures w14:val="standardContextual"/>
        </w:rPr>
      </w:pPr>
      <w:hyperlink w:anchor="_Toc230426126" w:history="1">
        <w:r w:rsidRPr="006A75C3">
          <w:rPr>
            <w:rStyle w:val="Hyperlink"/>
            <w:rFonts w:eastAsiaTheme="majorEastAsia"/>
          </w:rPr>
          <w:t>Annexe 21 : Bases d’un Plan d’urgence</w:t>
        </w:r>
        <w:r>
          <w:rPr>
            <w:webHidden/>
          </w:rPr>
          <w:tab/>
        </w:r>
        <w:r>
          <w:rPr>
            <w:webHidden/>
          </w:rPr>
          <w:fldChar w:fldCharType="begin"/>
        </w:r>
        <w:r>
          <w:rPr>
            <w:webHidden/>
          </w:rPr>
          <w:instrText xml:space="preserve"> PAGEREF _Toc230426126 \h </w:instrText>
        </w:r>
        <w:r>
          <w:rPr>
            <w:webHidden/>
          </w:rPr>
        </w:r>
        <w:r>
          <w:rPr>
            <w:webHidden/>
          </w:rPr>
          <w:fldChar w:fldCharType="separate"/>
        </w:r>
        <w:r w:rsidR="007E133A">
          <w:rPr>
            <w:webHidden/>
          </w:rPr>
          <w:t>CCXXVII</w:t>
        </w:r>
        <w:r>
          <w:rPr>
            <w:webHidden/>
          </w:rPr>
          <w:fldChar w:fldCharType="end"/>
        </w:r>
      </w:hyperlink>
    </w:p>
    <w:p w14:paraId="337B67A2" w14:textId="4F37D82F" w:rsidR="004F2052" w:rsidRDefault="004F2052">
      <w:pPr>
        <w:pStyle w:val="TableofFigures"/>
        <w:rPr>
          <w:rFonts w:asciiTheme="minorHAnsi" w:eastAsiaTheme="minorEastAsia" w:hAnsiTheme="minorHAnsi" w:cstheme="minorBidi"/>
          <w:b w:val="0"/>
          <w:kern w:val="2"/>
          <w:sz w:val="24"/>
          <w:lang w:val="en-US" w:eastAsia="en-US"/>
          <w14:ligatures w14:val="standardContextual"/>
        </w:rPr>
      </w:pPr>
      <w:hyperlink w:anchor="_Toc230426127" w:history="1">
        <w:r w:rsidRPr="006A75C3">
          <w:rPr>
            <w:rStyle w:val="Hyperlink"/>
            <w:rFonts w:eastAsiaTheme="majorEastAsia"/>
          </w:rPr>
          <w:t>Annexe 22 : Bases d’un Plan de remise en état des sites</w:t>
        </w:r>
        <w:r>
          <w:rPr>
            <w:webHidden/>
          </w:rPr>
          <w:tab/>
        </w:r>
        <w:r>
          <w:rPr>
            <w:webHidden/>
          </w:rPr>
          <w:fldChar w:fldCharType="begin"/>
        </w:r>
        <w:r>
          <w:rPr>
            <w:webHidden/>
          </w:rPr>
          <w:instrText xml:space="preserve"> PAGEREF _Toc230426127 \h </w:instrText>
        </w:r>
        <w:r>
          <w:rPr>
            <w:webHidden/>
          </w:rPr>
        </w:r>
        <w:r>
          <w:rPr>
            <w:webHidden/>
          </w:rPr>
          <w:fldChar w:fldCharType="separate"/>
        </w:r>
        <w:r w:rsidR="007E133A">
          <w:rPr>
            <w:webHidden/>
          </w:rPr>
          <w:t>CCXXX</w:t>
        </w:r>
        <w:r>
          <w:rPr>
            <w:webHidden/>
          </w:rPr>
          <w:fldChar w:fldCharType="end"/>
        </w:r>
      </w:hyperlink>
    </w:p>
    <w:p w14:paraId="2043707E" w14:textId="7D49EF61" w:rsidR="004F2052" w:rsidRDefault="004F2052">
      <w:pPr>
        <w:pStyle w:val="TableofFigures"/>
        <w:rPr>
          <w:rFonts w:asciiTheme="minorHAnsi" w:eastAsiaTheme="minorEastAsia" w:hAnsiTheme="minorHAnsi" w:cstheme="minorBidi"/>
          <w:b w:val="0"/>
          <w:kern w:val="2"/>
          <w:sz w:val="24"/>
          <w:lang w:val="en-US" w:eastAsia="en-US"/>
          <w14:ligatures w14:val="standardContextual"/>
        </w:rPr>
      </w:pPr>
      <w:hyperlink w:anchor="_Toc230426128" w:history="1">
        <w:r w:rsidRPr="006A75C3">
          <w:rPr>
            <w:rStyle w:val="Hyperlink"/>
            <w:rFonts w:eastAsiaTheme="majorEastAsia"/>
          </w:rPr>
          <w:t>Annexe 23 : Plan de prévention et de lutte contre le Covid-19 dans le cas d’une nouvelle vague</w:t>
        </w:r>
        <w:r>
          <w:rPr>
            <w:webHidden/>
          </w:rPr>
          <w:tab/>
        </w:r>
        <w:r>
          <w:rPr>
            <w:webHidden/>
          </w:rPr>
          <w:fldChar w:fldCharType="begin"/>
        </w:r>
        <w:r>
          <w:rPr>
            <w:webHidden/>
          </w:rPr>
          <w:instrText xml:space="preserve"> PAGEREF _Toc230426128 \h </w:instrText>
        </w:r>
        <w:r>
          <w:rPr>
            <w:webHidden/>
          </w:rPr>
        </w:r>
        <w:r>
          <w:rPr>
            <w:webHidden/>
          </w:rPr>
          <w:fldChar w:fldCharType="separate"/>
        </w:r>
        <w:r w:rsidR="007E133A">
          <w:rPr>
            <w:webHidden/>
          </w:rPr>
          <w:t>CCXXXI</w:t>
        </w:r>
        <w:r>
          <w:rPr>
            <w:webHidden/>
          </w:rPr>
          <w:fldChar w:fldCharType="end"/>
        </w:r>
      </w:hyperlink>
    </w:p>
    <w:p w14:paraId="563F65EB" w14:textId="4FE8AD50" w:rsidR="004F2052" w:rsidRDefault="004F2052">
      <w:pPr>
        <w:pStyle w:val="TableofFigures"/>
        <w:rPr>
          <w:rFonts w:asciiTheme="minorHAnsi" w:eastAsiaTheme="minorEastAsia" w:hAnsiTheme="minorHAnsi" w:cstheme="minorBidi"/>
          <w:b w:val="0"/>
          <w:kern w:val="2"/>
          <w:sz w:val="24"/>
          <w:lang w:val="en-US" w:eastAsia="en-US"/>
          <w14:ligatures w14:val="standardContextual"/>
        </w:rPr>
      </w:pPr>
      <w:hyperlink w:anchor="_Toc230426129" w:history="1">
        <w:r w:rsidRPr="006A75C3">
          <w:rPr>
            <w:rStyle w:val="Hyperlink"/>
            <w:rFonts w:eastAsiaTheme="majorEastAsia"/>
          </w:rPr>
          <w:t>Annexe 24 : Plans de gestion de la sécurité dans les base-vie</w:t>
        </w:r>
        <w:r>
          <w:rPr>
            <w:webHidden/>
          </w:rPr>
          <w:tab/>
        </w:r>
        <w:r>
          <w:rPr>
            <w:webHidden/>
          </w:rPr>
          <w:fldChar w:fldCharType="begin"/>
        </w:r>
        <w:r>
          <w:rPr>
            <w:webHidden/>
          </w:rPr>
          <w:instrText xml:space="preserve"> PAGEREF _Toc230426129 \h </w:instrText>
        </w:r>
        <w:r>
          <w:rPr>
            <w:webHidden/>
          </w:rPr>
        </w:r>
        <w:r>
          <w:rPr>
            <w:webHidden/>
          </w:rPr>
          <w:fldChar w:fldCharType="separate"/>
        </w:r>
        <w:r w:rsidR="007E133A">
          <w:rPr>
            <w:webHidden/>
          </w:rPr>
          <w:t>CCXLVIII</w:t>
        </w:r>
        <w:r>
          <w:rPr>
            <w:webHidden/>
          </w:rPr>
          <w:fldChar w:fldCharType="end"/>
        </w:r>
      </w:hyperlink>
    </w:p>
    <w:p w14:paraId="5935C189" w14:textId="3ED47AE3" w:rsidR="004F2052" w:rsidRDefault="004F2052">
      <w:pPr>
        <w:pStyle w:val="TableofFigures"/>
        <w:rPr>
          <w:rFonts w:asciiTheme="minorHAnsi" w:eastAsiaTheme="minorEastAsia" w:hAnsiTheme="minorHAnsi" w:cstheme="minorBidi"/>
          <w:b w:val="0"/>
          <w:kern w:val="2"/>
          <w:sz w:val="24"/>
          <w:lang w:val="en-US" w:eastAsia="en-US"/>
          <w14:ligatures w14:val="standardContextual"/>
        </w:rPr>
      </w:pPr>
      <w:hyperlink w:anchor="_Toc230426130" w:history="1">
        <w:r w:rsidRPr="006A75C3">
          <w:rPr>
            <w:rStyle w:val="Hyperlink"/>
            <w:rFonts w:eastAsiaTheme="majorEastAsia"/>
          </w:rPr>
          <w:t>Annexe 25 : Modèles de PGT typiques</w:t>
        </w:r>
        <w:r>
          <w:rPr>
            <w:webHidden/>
          </w:rPr>
          <w:tab/>
        </w:r>
        <w:r>
          <w:rPr>
            <w:webHidden/>
          </w:rPr>
          <w:fldChar w:fldCharType="begin"/>
        </w:r>
        <w:r>
          <w:rPr>
            <w:webHidden/>
          </w:rPr>
          <w:instrText xml:space="preserve"> PAGEREF _Toc230426130 \h </w:instrText>
        </w:r>
        <w:r>
          <w:rPr>
            <w:webHidden/>
          </w:rPr>
        </w:r>
        <w:r>
          <w:rPr>
            <w:webHidden/>
          </w:rPr>
          <w:fldChar w:fldCharType="separate"/>
        </w:r>
        <w:r w:rsidR="007E133A">
          <w:rPr>
            <w:webHidden/>
          </w:rPr>
          <w:t xml:space="preserve"> </w:t>
        </w:r>
        <w:r>
          <w:rPr>
            <w:webHidden/>
          </w:rPr>
          <w:fldChar w:fldCharType="end"/>
        </w:r>
      </w:hyperlink>
    </w:p>
    <w:p w14:paraId="0BF0AC1A" w14:textId="571CFE43" w:rsidR="00EB1995" w:rsidRDefault="00EB1995" w:rsidP="00EB1995">
      <w:pPr>
        <w:rPr>
          <w:b/>
          <w:color w:val="auto"/>
          <w:szCs w:val="24"/>
          <w:u w:val="single"/>
        </w:rPr>
      </w:pPr>
      <w:r w:rsidRPr="00E67F89">
        <w:fldChar w:fldCharType="end"/>
      </w:r>
    </w:p>
    <w:p w14:paraId="2B07287B" w14:textId="77777777" w:rsidR="00EB1995" w:rsidRPr="00C801A6" w:rsidRDefault="00EB1995" w:rsidP="00EB1995">
      <w:pPr>
        <w:spacing w:before="240" w:after="240"/>
        <w:rPr>
          <w:b/>
          <w:color w:val="auto"/>
          <w:szCs w:val="24"/>
          <w:u w:val="single"/>
        </w:rPr>
      </w:pPr>
      <w:r w:rsidRPr="00C801A6">
        <w:rPr>
          <w:b/>
          <w:color w:val="auto"/>
          <w:szCs w:val="24"/>
          <w:u w:val="single"/>
        </w:rPr>
        <w:lastRenderedPageBreak/>
        <w:t>LISTE DES FIGURES</w:t>
      </w:r>
    </w:p>
    <w:p w14:paraId="2785F7DE" w14:textId="4468D884" w:rsidR="007E133A" w:rsidRDefault="00EB1995">
      <w:pPr>
        <w:pStyle w:val="TableofFigures"/>
        <w:rPr>
          <w:rFonts w:asciiTheme="minorHAnsi" w:eastAsiaTheme="minorEastAsia" w:hAnsiTheme="minorHAnsi" w:cstheme="minorBidi"/>
          <w:b w:val="0"/>
          <w:kern w:val="2"/>
          <w:sz w:val="24"/>
          <w:lang w:val="en-US" w:eastAsia="en-US"/>
          <w14:ligatures w14:val="standardContextual"/>
        </w:rPr>
      </w:pPr>
      <w:r w:rsidRPr="00C801A6">
        <w:rPr>
          <w:rFonts w:ascii="Arial" w:hAnsi="Arial"/>
          <w:sz w:val="20"/>
        </w:rPr>
        <w:fldChar w:fldCharType="begin"/>
      </w:r>
      <w:r w:rsidRPr="00C801A6">
        <w:instrText xml:space="preserve"> TOC \h \z \c "Figure" </w:instrText>
      </w:r>
      <w:r w:rsidRPr="00C801A6">
        <w:rPr>
          <w:rFonts w:ascii="Arial" w:hAnsi="Arial"/>
          <w:sz w:val="20"/>
        </w:rPr>
        <w:fldChar w:fldCharType="separate"/>
      </w:r>
      <w:hyperlink w:anchor="_Toc230426696" w:history="1">
        <w:r w:rsidR="007E133A" w:rsidRPr="008A7AE8">
          <w:rPr>
            <w:rStyle w:val="Hyperlink"/>
            <w:rFonts w:eastAsiaTheme="majorEastAsia"/>
          </w:rPr>
          <w:t>Figure 1 : Photo du Quai Coste</w:t>
        </w:r>
        <w:r w:rsidR="007E133A">
          <w:rPr>
            <w:webHidden/>
          </w:rPr>
          <w:tab/>
        </w:r>
        <w:r w:rsidR="007E133A">
          <w:rPr>
            <w:webHidden/>
          </w:rPr>
          <w:fldChar w:fldCharType="begin"/>
        </w:r>
        <w:r w:rsidR="007E133A">
          <w:rPr>
            <w:webHidden/>
          </w:rPr>
          <w:instrText xml:space="preserve"> PAGEREF _Toc230426696 \h </w:instrText>
        </w:r>
        <w:r w:rsidR="007E133A">
          <w:rPr>
            <w:webHidden/>
          </w:rPr>
        </w:r>
        <w:r w:rsidR="007E133A">
          <w:rPr>
            <w:webHidden/>
          </w:rPr>
          <w:fldChar w:fldCharType="separate"/>
        </w:r>
        <w:r w:rsidR="007E133A">
          <w:rPr>
            <w:webHidden/>
          </w:rPr>
          <w:t>17</w:t>
        </w:r>
        <w:r w:rsidR="007E133A">
          <w:rPr>
            <w:webHidden/>
          </w:rPr>
          <w:fldChar w:fldCharType="end"/>
        </w:r>
      </w:hyperlink>
    </w:p>
    <w:p w14:paraId="5982C46E" w14:textId="16268654" w:rsidR="007E133A" w:rsidRDefault="007E133A">
      <w:pPr>
        <w:pStyle w:val="TableofFigures"/>
        <w:rPr>
          <w:rFonts w:asciiTheme="minorHAnsi" w:eastAsiaTheme="minorEastAsia" w:hAnsiTheme="minorHAnsi" w:cstheme="minorBidi"/>
          <w:b w:val="0"/>
          <w:kern w:val="2"/>
          <w:sz w:val="24"/>
          <w:lang w:val="en-US" w:eastAsia="en-US"/>
          <w14:ligatures w14:val="standardContextual"/>
        </w:rPr>
      </w:pPr>
      <w:hyperlink w:anchor="_Toc230426697" w:history="1">
        <w:r w:rsidRPr="008A7AE8">
          <w:rPr>
            <w:rStyle w:val="Hyperlink"/>
            <w:rFonts w:eastAsiaTheme="majorEastAsia"/>
          </w:rPr>
          <w:t>Figure 2 : Photo du quai Vuillemin</w:t>
        </w:r>
        <w:r>
          <w:rPr>
            <w:webHidden/>
          </w:rPr>
          <w:tab/>
        </w:r>
        <w:r>
          <w:rPr>
            <w:webHidden/>
          </w:rPr>
          <w:fldChar w:fldCharType="begin"/>
        </w:r>
        <w:r>
          <w:rPr>
            <w:webHidden/>
          </w:rPr>
          <w:instrText xml:space="preserve"> PAGEREF _Toc230426697 \h </w:instrText>
        </w:r>
        <w:r>
          <w:rPr>
            <w:webHidden/>
          </w:rPr>
        </w:r>
        <w:r>
          <w:rPr>
            <w:webHidden/>
          </w:rPr>
          <w:fldChar w:fldCharType="separate"/>
        </w:r>
        <w:r>
          <w:rPr>
            <w:webHidden/>
          </w:rPr>
          <w:t>18</w:t>
        </w:r>
        <w:r>
          <w:rPr>
            <w:webHidden/>
          </w:rPr>
          <w:fldChar w:fldCharType="end"/>
        </w:r>
      </w:hyperlink>
    </w:p>
    <w:p w14:paraId="08B6A66D" w14:textId="0781AD9E" w:rsidR="007E133A" w:rsidRDefault="007E133A">
      <w:pPr>
        <w:pStyle w:val="TableofFigures"/>
        <w:rPr>
          <w:rFonts w:asciiTheme="minorHAnsi" w:eastAsiaTheme="minorEastAsia" w:hAnsiTheme="minorHAnsi" w:cstheme="minorBidi"/>
          <w:b w:val="0"/>
          <w:kern w:val="2"/>
          <w:sz w:val="24"/>
          <w:lang w:val="en-US" w:eastAsia="en-US"/>
          <w14:ligatures w14:val="standardContextual"/>
        </w:rPr>
      </w:pPr>
      <w:hyperlink w:anchor="_Toc230426698" w:history="1">
        <w:r w:rsidRPr="008A7AE8">
          <w:rPr>
            <w:rStyle w:val="Hyperlink"/>
            <w:rFonts w:eastAsiaTheme="majorEastAsia"/>
          </w:rPr>
          <w:t>Figure 3 : Localisation de la RNP 6 (SECTION 2 &amp; 3)</w:t>
        </w:r>
        <w:r>
          <w:rPr>
            <w:webHidden/>
          </w:rPr>
          <w:tab/>
        </w:r>
        <w:r>
          <w:rPr>
            <w:webHidden/>
          </w:rPr>
          <w:fldChar w:fldCharType="begin"/>
        </w:r>
        <w:r>
          <w:rPr>
            <w:webHidden/>
          </w:rPr>
          <w:instrText xml:space="preserve"> PAGEREF _Toc230426698 \h </w:instrText>
        </w:r>
        <w:r>
          <w:rPr>
            <w:webHidden/>
          </w:rPr>
        </w:r>
        <w:r>
          <w:rPr>
            <w:webHidden/>
          </w:rPr>
          <w:fldChar w:fldCharType="separate"/>
        </w:r>
        <w:r>
          <w:rPr>
            <w:webHidden/>
          </w:rPr>
          <w:t>26</w:t>
        </w:r>
        <w:r>
          <w:rPr>
            <w:webHidden/>
          </w:rPr>
          <w:fldChar w:fldCharType="end"/>
        </w:r>
      </w:hyperlink>
    </w:p>
    <w:p w14:paraId="621B5DBE" w14:textId="104C2DC7" w:rsidR="007E133A" w:rsidRDefault="007E133A">
      <w:pPr>
        <w:pStyle w:val="TableofFigures"/>
        <w:rPr>
          <w:rFonts w:asciiTheme="minorHAnsi" w:eastAsiaTheme="minorEastAsia" w:hAnsiTheme="minorHAnsi" w:cstheme="minorBidi"/>
          <w:b w:val="0"/>
          <w:kern w:val="2"/>
          <w:sz w:val="24"/>
          <w:lang w:val="en-US" w:eastAsia="en-US"/>
          <w14:ligatures w14:val="standardContextual"/>
        </w:rPr>
      </w:pPr>
      <w:hyperlink w:anchor="_Toc230426699" w:history="1">
        <w:r w:rsidRPr="008A7AE8">
          <w:rPr>
            <w:rStyle w:val="Hyperlink"/>
            <w:rFonts w:eastAsiaTheme="majorEastAsia"/>
          </w:rPr>
          <w:t>Figure 4 : Localisation de la RNP 4 (SECTION 1)</w:t>
        </w:r>
        <w:r>
          <w:rPr>
            <w:webHidden/>
          </w:rPr>
          <w:tab/>
        </w:r>
        <w:r>
          <w:rPr>
            <w:webHidden/>
          </w:rPr>
          <w:fldChar w:fldCharType="begin"/>
        </w:r>
        <w:r>
          <w:rPr>
            <w:webHidden/>
          </w:rPr>
          <w:instrText xml:space="preserve"> PAGEREF _Toc230426699 \h </w:instrText>
        </w:r>
        <w:r>
          <w:rPr>
            <w:webHidden/>
          </w:rPr>
        </w:r>
        <w:r>
          <w:rPr>
            <w:webHidden/>
          </w:rPr>
          <w:fldChar w:fldCharType="separate"/>
        </w:r>
        <w:r>
          <w:rPr>
            <w:webHidden/>
          </w:rPr>
          <w:t>28</w:t>
        </w:r>
        <w:r>
          <w:rPr>
            <w:webHidden/>
          </w:rPr>
          <w:fldChar w:fldCharType="end"/>
        </w:r>
      </w:hyperlink>
    </w:p>
    <w:p w14:paraId="4EE81A10" w14:textId="6596BAE9" w:rsidR="007E133A" w:rsidRDefault="007E133A">
      <w:pPr>
        <w:pStyle w:val="TableofFigures"/>
        <w:rPr>
          <w:rFonts w:asciiTheme="minorHAnsi" w:eastAsiaTheme="minorEastAsia" w:hAnsiTheme="minorHAnsi" w:cstheme="minorBidi"/>
          <w:b w:val="0"/>
          <w:kern w:val="2"/>
          <w:sz w:val="24"/>
          <w:lang w:val="en-US" w:eastAsia="en-US"/>
          <w14:ligatures w14:val="standardContextual"/>
        </w:rPr>
      </w:pPr>
      <w:hyperlink w:anchor="_Toc230426700" w:history="1">
        <w:r w:rsidRPr="008A7AE8">
          <w:rPr>
            <w:rStyle w:val="Hyperlink"/>
            <w:rFonts w:eastAsiaTheme="majorEastAsia"/>
            <w:bCs/>
          </w:rPr>
          <w:t>Figure 5 : Localisation du port de Mahajanga</w:t>
        </w:r>
        <w:r>
          <w:rPr>
            <w:webHidden/>
          </w:rPr>
          <w:tab/>
        </w:r>
        <w:r>
          <w:rPr>
            <w:webHidden/>
          </w:rPr>
          <w:fldChar w:fldCharType="begin"/>
        </w:r>
        <w:r>
          <w:rPr>
            <w:webHidden/>
          </w:rPr>
          <w:instrText xml:space="preserve"> PAGEREF _Toc230426700 \h </w:instrText>
        </w:r>
        <w:r>
          <w:rPr>
            <w:webHidden/>
          </w:rPr>
        </w:r>
        <w:r>
          <w:rPr>
            <w:webHidden/>
          </w:rPr>
          <w:fldChar w:fldCharType="separate"/>
        </w:r>
        <w:r>
          <w:rPr>
            <w:webHidden/>
          </w:rPr>
          <w:t>29</w:t>
        </w:r>
        <w:r>
          <w:rPr>
            <w:webHidden/>
          </w:rPr>
          <w:fldChar w:fldCharType="end"/>
        </w:r>
      </w:hyperlink>
    </w:p>
    <w:p w14:paraId="393CC210" w14:textId="638C2119" w:rsidR="007E133A" w:rsidRDefault="007E133A">
      <w:pPr>
        <w:pStyle w:val="TableofFigures"/>
        <w:rPr>
          <w:rFonts w:asciiTheme="minorHAnsi" w:eastAsiaTheme="minorEastAsia" w:hAnsiTheme="minorHAnsi" w:cstheme="minorBidi"/>
          <w:b w:val="0"/>
          <w:kern w:val="2"/>
          <w:sz w:val="24"/>
          <w:lang w:val="en-US" w:eastAsia="en-US"/>
          <w14:ligatures w14:val="standardContextual"/>
        </w:rPr>
      </w:pPr>
      <w:hyperlink w:anchor="_Toc230426701" w:history="1">
        <w:r w:rsidRPr="008A7AE8">
          <w:rPr>
            <w:rStyle w:val="Hyperlink"/>
            <w:rFonts w:eastAsiaTheme="majorEastAsia"/>
          </w:rPr>
          <w:t>Figure 6 : Localisation de la RNP7</w:t>
        </w:r>
        <w:r>
          <w:rPr>
            <w:webHidden/>
          </w:rPr>
          <w:tab/>
        </w:r>
        <w:r>
          <w:rPr>
            <w:webHidden/>
          </w:rPr>
          <w:fldChar w:fldCharType="begin"/>
        </w:r>
        <w:r>
          <w:rPr>
            <w:webHidden/>
          </w:rPr>
          <w:instrText xml:space="preserve"> PAGEREF _Toc230426701 \h </w:instrText>
        </w:r>
        <w:r>
          <w:rPr>
            <w:webHidden/>
          </w:rPr>
        </w:r>
        <w:r>
          <w:rPr>
            <w:webHidden/>
          </w:rPr>
          <w:fldChar w:fldCharType="separate"/>
        </w:r>
        <w:r>
          <w:rPr>
            <w:webHidden/>
          </w:rPr>
          <w:t>30</w:t>
        </w:r>
        <w:r>
          <w:rPr>
            <w:webHidden/>
          </w:rPr>
          <w:fldChar w:fldCharType="end"/>
        </w:r>
      </w:hyperlink>
    </w:p>
    <w:p w14:paraId="6AEDA904" w14:textId="230D91B4" w:rsidR="007E133A" w:rsidRDefault="007E133A">
      <w:pPr>
        <w:pStyle w:val="TableofFigures"/>
        <w:rPr>
          <w:rFonts w:asciiTheme="minorHAnsi" w:eastAsiaTheme="minorEastAsia" w:hAnsiTheme="minorHAnsi" w:cstheme="minorBidi"/>
          <w:b w:val="0"/>
          <w:kern w:val="2"/>
          <w:sz w:val="24"/>
          <w:lang w:val="en-US" w:eastAsia="en-US"/>
          <w14:ligatures w14:val="standardContextual"/>
        </w:rPr>
      </w:pPr>
      <w:hyperlink w:anchor="_Toc230426702" w:history="1">
        <w:r w:rsidRPr="008A7AE8">
          <w:rPr>
            <w:rStyle w:val="Hyperlink"/>
            <w:rFonts w:eastAsiaTheme="majorEastAsia"/>
          </w:rPr>
          <w:t>Figure 7 : Localisation de la RNP 6</w:t>
        </w:r>
        <w:r>
          <w:rPr>
            <w:webHidden/>
          </w:rPr>
          <w:tab/>
        </w:r>
        <w:r>
          <w:rPr>
            <w:webHidden/>
          </w:rPr>
          <w:fldChar w:fldCharType="begin"/>
        </w:r>
        <w:r>
          <w:rPr>
            <w:webHidden/>
          </w:rPr>
          <w:instrText xml:space="preserve"> PAGEREF _Toc230426702 \h </w:instrText>
        </w:r>
        <w:r>
          <w:rPr>
            <w:webHidden/>
          </w:rPr>
        </w:r>
        <w:r>
          <w:rPr>
            <w:webHidden/>
          </w:rPr>
          <w:fldChar w:fldCharType="separate"/>
        </w:r>
        <w:r>
          <w:rPr>
            <w:webHidden/>
          </w:rPr>
          <w:t>31</w:t>
        </w:r>
        <w:r>
          <w:rPr>
            <w:webHidden/>
          </w:rPr>
          <w:fldChar w:fldCharType="end"/>
        </w:r>
      </w:hyperlink>
    </w:p>
    <w:p w14:paraId="3A79EA0D" w14:textId="152F672F" w:rsidR="007E133A" w:rsidRDefault="007E133A">
      <w:pPr>
        <w:pStyle w:val="TableofFigures"/>
        <w:rPr>
          <w:rFonts w:asciiTheme="minorHAnsi" w:eastAsiaTheme="minorEastAsia" w:hAnsiTheme="minorHAnsi" w:cstheme="minorBidi"/>
          <w:b w:val="0"/>
          <w:kern w:val="2"/>
          <w:sz w:val="24"/>
          <w:lang w:val="en-US" w:eastAsia="en-US"/>
          <w14:ligatures w14:val="standardContextual"/>
        </w:rPr>
      </w:pPr>
      <w:hyperlink w:anchor="_Toc230426703" w:history="1">
        <w:r w:rsidRPr="008A7AE8">
          <w:rPr>
            <w:rStyle w:val="Hyperlink"/>
            <w:rFonts w:eastAsiaTheme="majorEastAsia"/>
          </w:rPr>
          <w:t>FIGURE 8 : Localisation de la RNS30</w:t>
        </w:r>
        <w:r>
          <w:rPr>
            <w:webHidden/>
          </w:rPr>
          <w:tab/>
        </w:r>
        <w:r>
          <w:rPr>
            <w:webHidden/>
          </w:rPr>
          <w:fldChar w:fldCharType="begin"/>
        </w:r>
        <w:r>
          <w:rPr>
            <w:webHidden/>
          </w:rPr>
          <w:instrText xml:space="preserve"> PAGEREF _Toc230426703 \h </w:instrText>
        </w:r>
        <w:r>
          <w:rPr>
            <w:webHidden/>
          </w:rPr>
        </w:r>
        <w:r>
          <w:rPr>
            <w:webHidden/>
          </w:rPr>
          <w:fldChar w:fldCharType="separate"/>
        </w:r>
        <w:r>
          <w:rPr>
            <w:webHidden/>
          </w:rPr>
          <w:t>32</w:t>
        </w:r>
        <w:r>
          <w:rPr>
            <w:webHidden/>
          </w:rPr>
          <w:fldChar w:fldCharType="end"/>
        </w:r>
      </w:hyperlink>
    </w:p>
    <w:p w14:paraId="7214C844" w14:textId="5CEF736C" w:rsidR="007E133A" w:rsidRDefault="007E133A">
      <w:pPr>
        <w:pStyle w:val="TableofFigures"/>
        <w:rPr>
          <w:rFonts w:asciiTheme="minorHAnsi" w:eastAsiaTheme="minorEastAsia" w:hAnsiTheme="minorHAnsi" w:cstheme="minorBidi"/>
          <w:b w:val="0"/>
          <w:kern w:val="2"/>
          <w:sz w:val="24"/>
          <w:lang w:val="en-US" w:eastAsia="en-US"/>
          <w14:ligatures w14:val="standardContextual"/>
        </w:rPr>
      </w:pPr>
      <w:hyperlink w:anchor="_Toc230426704" w:history="1">
        <w:r w:rsidRPr="008A7AE8">
          <w:rPr>
            <w:rStyle w:val="Hyperlink"/>
            <w:rFonts w:eastAsiaTheme="majorEastAsia"/>
          </w:rPr>
          <w:t>Figure 9 : Localisation de la RNS44 ET RNT3A</w:t>
        </w:r>
        <w:r>
          <w:rPr>
            <w:webHidden/>
          </w:rPr>
          <w:tab/>
        </w:r>
        <w:r>
          <w:rPr>
            <w:webHidden/>
          </w:rPr>
          <w:fldChar w:fldCharType="begin"/>
        </w:r>
        <w:r>
          <w:rPr>
            <w:webHidden/>
          </w:rPr>
          <w:instrText xml:space="preserve"> PAGEREF _Toc230426704 \h </w:instrText>
        </w:r>
        <w:r>
          <w:rPr>
            <w:webHidden/>
          </w:rPr>
        </w:r>
        <w:r>
          <w:rPr>
            <w:webHidden/>
          </w:rPr>
          <w:fldChar w:fldCharType="separate"/>
        </w:r>
        <w:r>
          <w:rPr>
            <w:webHidden/>
          </w:rPr>
          <w:t>32</w:t>
        </w:r>
        <w:r>
          <w:rPr>
            <w:webHidden/>
          </w:rPr>
          <w:fldChar w:fldCharType="end"/>
        </w:r>
      </w:hyperlink>
    </w:p>
    <w:p w14:paraId="2253C6DA" w14:textId="54D98C89" w:rsidR="007E133A" w:rsidRDefault="007E133A">
      <w:pPr>
        <w:pStyle w:val="TableofFigures"/>
        <w:rPr>
          <w:rFonts w:asciiTheme="minorHAnsi" w:eastAsiaTheme="minorEastAsia" w:hAnsiTheme="minorHAnsi" w:cstheme="minorBidi"/>
          <w:b w:val="0"/>
          <w:kern w:val="2"/>
          <w:sz w:val="24"/>
          <w:lang w:val="en-US" w:eastAsia="en-US"/>
          <w14:ligatures w14:val="standardContextual"/>
        </w:rPr>
      </w:pPr>
      <w:hyperlink w:anchor="_Toc230426705" w:history="1">
        <w:r w:rsidRPr="008A7AE8">
          <w:rPr>
            <w:rStyle w:val="Hyperlink"/>
            <w:rFonts w:eastAsiaTheme="majorEastAsia"/>
          </w:rPr>
          <w:t>Figure 10 : Localisation du boulevard Ratsimilaho et route en pavé entre Brickaville et Ambila</w:t>
        </w:r>
        <w:r>
          <w:rPr>
            <w:webHidden/>
          </w:rPr>
          <w:tab/>
        </w:r>
        <w:r>
          <w:rPr>
            <w:webHidden/>
          </w:rPr>
          <w:fldChar w:fldCharType="begin"/>
        </w:r>
        <w:r>
          <w:rPr>
            <w:webHidden/>
          </w:rPr>
          <w:instrText xml:space="preserve"> PAGEREF _Toc230426705 \h </w:instrText>
        </w:r>
        <w:r>
          <w:rPr>
            <w:webHidden/>
          </w:rPr>
        </w:r>
        <w:r>
          <w:rPr>
            <w:webHidden/>
          </w:rPr>
          <w:fldChar w:fldCharType="separate"/>
        </w:r>
        <w:r>
          <w:rPr>
            <w:webHidden/>
          </w:rPr>
          <w:t>32</w:t>
        </w:r>
        <w:r>
          <w:rPr>
            <w:webHidden/>
          </w:rPr>
          <w:fldChar w:fldCharType="end"/>
        </w:r>
      </w:hyperlink>
    </w:p>
    <w:p w14:paraId="03004D46" w14:textId="185FAC29" w:rsidR="007E133A" w:rsidRDefault="007E133A">
      <w:pPr>
        <w:pStyle w:val="TableofFigures"/>
        <w:rPr>
          <w:rFonts w:asciiTheme="minorHAnsi" w:eastAsiaTheme="minorEastAsia" w:hAnsiTheme="minorHAnsi" w:cstheme="minorBidi"/>
          <w:b w:val="0"/>
          <w:kern w:val="2"/>
          <w:sz w:val="24"/>
          <w:lang w:val="en-US" w:eastAsia="en-US"/>
          <w14:ligatures w14:val="standardContextual"/>
        </w:rPr>
      </w:pPr>
      <w:hyperlink w:anchor="_Toc230426706" w:history="1">
        <w:r w:rsidRPr="008A7AE8">
          <w:rPr>
            <w:rStyle w:val="Hyperlink"/>
            <w:rFonts w:eastAsiaTheme="majorEastAsia"/>
          </w:rPr>
          <w:t>Figure 11 : Ecorégions de Madagascar</w:t>
        </w:r>
        <w:r>
          <w:rPr>
            <w:webHidden/>
          </w:rPr>
          <w:tab/>
        </w:r>
        <w:r>
          <w:rPr>
            <w:webHidden/>
          </w:rPr>
          <w:fldChar w:fldCharType="begin"/>
        </w:r>
        <w:r>
          <w:rPr>
            <w:webHidden/>
          </w:rPr>
          <w:instrText xml:space="preserve"> PAGEREF _Toc230426706 \h </w:instrText>
        </w:r>
        <w:r>
          <w:rPr>
            <w:webHidden/>
          </w:rPr>
        </w:r>
        <w:r>
          <w:rPr>
            <w:webHidden/>
          </w:rPr>
          <w:fldChar w:fldCharType="separate"/>
        </w:r>
        <w:r>
          <w:rPr>
            <w:webHidden/>
          </w:rPr>
          <w:t>33</w:t>
        </w:r>
        <w:r>
          <w:rPr>
            <w:webHidden/>
          </w:rPr>
          <w:fldChar w:fldCharType="end"/>
        </w:r>
      </w:hyperlink>
    </w:p>
    <w:p w14:paraId="3DA1331F" w14:textId="55D89549" w:rsidR="007E133A" w:rsidRDefault="007E133A">
      <w:pPr>
        <w:pStyle w:val="TableofFigures"/>
        <w:rPr>
          <w:rFonts w:asciiTheme="minorHAnsi" w:eastAsiaTheme="minorEastAsia" w:hAnsiTheme="minorHAnsi" w:cstheme="minorBidi"/>
          <w:b w:val="0"/>
          <w:kern w:val="2"/>
          <w:sz w:val="24"/>
          <w:lang w:val="en-US" w:eastAsia="en-US"/>
          <w14:ligatures w14:val="standardContextual"/>
        </w:rPr>
      </w:pPr>
      <w:hyperlink w:anchor="_Toc230426707" w:history="1">
        <w:r w:rsidRPr="008A7AE8">
          <w:rPr>
            <w:rStyle w:val="Hyperlink"/>
            <w:rFonts w:eastAsiaTheme="majorEastAsia"/>
          </w:rPr>
          <w:t>Figure 12 : Carte relief vs routes nationales revêtues</w:t>
        </w:r>
        <w:r>
          <w:rPr>
            <w:webHidden/>
          </w:rPr>
          <w:tab/>
        </w:r>
        <w:r>
          <w:rPr>
            <w:webHidden/>
          </w:rPr>
          <w:fldChar w:fldCharType="begin"/>
        </w:r>
        <w:r>
          <w:rPr>
            <w:webHidden/>
          </w:rPr>
          <w:instrText xml:space="preserve"> PAGEREF _Toc230426707 \h </w:instrText>
        </w:r>
        <w:r>
          <w:rPr>
            <w:webHidden/>
          </w:rPr>
        </w:r>
        <w:r>
          <w:rPr>
            <w:webHidden/>
          </w:rPr>
          <w:fldChar w:fldCharType="separate"/>
        </w:r>
        <w:r>
          <w:rPr>
            <w:webHidden/>
          </w:rPr>
          <w:t>38</w:t>
        </w:r>
        <w:r>
          <w:rPr>
            <w:webHidden/>
          </w:rPr>
          <w:fldChar w:fldCharType="end"/>
        </w:r>
      </w:hyperlink>
    </w:p>
    <w:p w14:paraId="6C330B0C" w14:textId="760A9496" w:rsidR="007E133A" w:rsidRDefault="007E133A">
      <w:pPr>
        <w:pStyle w:val="TableofFigures"/>
        <w:rPr>
          <w:rFonts w:asciiTheme="minorHAnsi" w:eastAsiaTheme="minorEastAsia" w:hAnsiTheme="minorHAnsi" w:cstheme="minorBidi"/>
          <w:b w:val="0"/>
          <w:kern w:val="2"/>
          <w:sz w:val="24"/>
          <w:lang w:val="en-US" w:eastAsia="en-US"/>
          <w14:ligatures w14:val="standardContextual"/>
        </w:rPr>
      </w:pPr>
      <w:hyperlink w:anchor="_Toc230426708" w:history="1">
        <w:r w:rsidRPr="008A7AE8">
          <w:rPr>
            <w:rStyle w:val="Hyperlink"/>
            <w:rFonts w:eastAsiaTheme="majorEastAsia"/>
          </w:rPr>
          <w:t>Figure 13 : Carte géologique vs routes nationales revêtues</w:t>
        </w:r>
        <w:r>
          <w:rPr>
            <w:webHidden/>
          </w:rPr>
          <w:tab/>
        </w:r>
        <w:r>
          <w:rPr>
            <w:webHidden/>
          </w:rPr>
          <w:fldChar w:fldCharType="begin"/>
        </w:r>
        <w:r>
          <w:rPr>
            <w:webHidden/>
          </w:rPr>
          <w:instrText xml:space="preserve"> PAGEREF _Toc230426708 \h </w:instrText>
        </w:r>
        <w:r>
          <w:rPr>
            <w:webHidden/>
          </w:rPr>
        </w:r>
        <w:r>
          <w:rPr>
            <w:webHidden/>
          </w:rPr>
          <w:fldChar w:fldCharType="separate"/>
        </w:r>
        <w:r>
          <w:rPr>
            <w:webHidden/>
          </w:rPr>
          <w:t>40</w:t>
        </w:r>
        <w:r>
          <w:rPr>
            <w:webHidden/>
          </w:rPr>
          <w:fldChar w:fldCharType="end"/>
        </w:r>
      </w:hyperlink>
    </w:p>
    <w:p w14:paraId="7D3BB395" w14:textId="23C78F47" w:rsidR="007E133A" w:rsidRDefault="007E133A">
      <w:pPr>
        <w:pStyle w:val="TableofFigures"/>
        <w:rPr>
          <w:rFonts w:asciiTheme="minorHAnsi" w:eastAsiaTheme="minorEastAsia" w:hAnsiTheme="minorHAnsi" w:cstheme="minorBidi"/>
          <w:b w:val="0"/>
          <w:kern w:val="2"/>
          <w:sz w:val="24"/>
          <w:lang w:val="en-US" w:eastAsia="en-US"/>
          <w14:ligatures w14:val="standardContextual"/>
        </w:rPr>
      </w:pPr>
      <w:hyperlink w:anchor="_Toc230426709" w:history="1">
        <w:r w:rsidRPr="008A7AE8">
          <w:rPr>
            <w:rStyle w:val="Hyperlink"/>
            <w:rFonts w:eastAsiaTheme="majorEastAsia"/>
          </w:rPr>
          <w:t>Figure 14 : Carte pédologique vs routes nationales revêtues</w:t>
        </w:r>
        <w:r>
          <w:rPr>
            <w:webHidden/>
          </w:rPr>
          <w:tab/>
        </w:r>
        <w:r>
          <w:rPr>
            <w:webHidden/>
          </w:rPr>
          <w:fldChar w:fldCharType="begin"/>
        </w:r>
        <w:r>
          <w:rPr>
            <w:webHidden/>
          </w:rPr>
          <w:instrText xml:space="preserve"> PAGEREF _Toc230426709 \h </w:instrText>
        </w:r>
        <w:r>
          <w:rPr>
            <w:webHidden/>
          </w:rPr>
        </w:r>
        <w:r>
          <w:rPr>
            <w:webHidden/>
          </w:rPr>
          <w:fldChar w:fldCharType="separate"/>
        </w:r>
        <w:r>
          <w:rPr>
            <w:webHidden/>
          </w:rPr>
          <w:t>42</w:t>
        </w:r>
        <w:r>
          <w:rPr>
            <w:webHidden/>
          </w:rPr>
          <w:fldChar w:fldCharType="end"/>
        </w:r>
      </w:hyperlink>
    </w:p>
    <w:p w14:paraId="76654E71" w14:textId="07DA9DF0" w:rsidR="007E133A" w:rsidRDefault="007E133A">
      <w:pPr>
        <w:pStyle w:val="TableofFigures"/>
        <w:rPr>
          <w:rFonts w:asciiTheme="minorHAnsi" w:eastAsiaTheme="minorEastAsia" w:hAnsiTheme="minorHAnsi" w:cstheme="minorBidi"/>
          <w:b w:val="0"/>
          <w:kern w:val="2"/>
          <w:sz w:val="24"/>
          <w:lang w:val="en-US" w:eastAsia="en-US"/>
          <w14:ligatures w14:val="standardContextual"/>
        </w:rPr>
      </w:pPr>
      <w:hyperlink w:anchor="_Toc230426710" w:history="1">
        <w:r w:rsidRPr="008A7AE8">
          <w:rPr>
            <w:rStyle w:val="Hyperlink"/>
            <w:rFonts w:eastAsiaTheme="majorEastAsia"/>
          </w:rPr>
          <w:t>Figure 15 : Réseaux hydrographiques et principaux bassins fluviaux de Madagascar</w:t>
        </w:r>
        <w:r>
          <w:rPr>
            <w:webHidden/>
          </w:rPr>
          <w:tab/>
        </w:r>
        <w:r>
          <w:rPr>
            <w:webHidden/>
          </w:rPr>
          <w:fldChar w:fldCharType="begin"/>
        </w:r>
        <w:r>
          <w:rPr>
            <w:webHidden/>
          </w:rPr>
          <w:instrText xml:space="preserve"> PAGEREF _Toc230426710 \h </w:instrText>
        </w:r>
        <w:r>
          <w:rPr>
            <w:webHidden/>
          </w:rPr>
        </w:r>
        <w:r>
          <w:rPr>
            <w:webHidden/>
          </w:rPr>
          <w:fldChar w:fldCharType="separate"/>
        </w:r>
        <w:r>
          <w:rPr>
            <w:webHidden/>
          </w:rPr>
          <w:t>43</w:t>
        </w:r>
        <w:r>
          <w:rPr>
            <w:webHidden/>
          </w:rPr>
          <w:fldChar w:fldCharType="end"/>
        </w:r>
      </w:hyperlink>
    </w:p>
    <w:p w14:paraId="277F33DF" w14:textId="6AA69B05" w:rsidR="007E133A" w:rsidRDefault="007E133A">
      <w:pPr>
        <w:pStyle w:val="TableofFigures"/>
        <w:rPr>
          <w:rFonts w:asciiTheme="minorHAnsi" w:eastAsiaTheme="minorEastAsia" w:hAnsiTheme="minorHAnsi" w:cstheme="minorBidi"/>
          <w:b w:val="0"/>
          <w:kern w:val="2"/>
          <w:sz w:val="24"/>
          <w:lang w:val="en-US" w:eastAsia="en-US"/>
          <w14:ligatures w14:val="standardContextual"/>
        </w:rPr>
      </w:pPr>
      <w:hyperlink w:anchor="_Toc230426711" w:history="1">
        <w:r w:rsidRPr="008A7AE8">
          <w:rPr>
            <w:rStyle w:val="Hyperlink"/>
            <w:rFonts w:eastAsiaTheme="majorEastAsia"/>
          </w:rPr>
          <w:t>Figure 16 : Carte des aires protégées vs routes nationales revêtues</w:t>
        </w:r>
        <w:r>
          <w:rPr>
            <w:webHidden/>
          </w:rPr>
          <w:tab/>
        </w:r>
        <w:r>
          <w:rPr>
            <w:webHidden/>
          </w:rPr>
          <w:fldChar w:fldCharType="begin"/>
        </w:r>
        <w:r>
          <w:rPr>
            <w:webHidden/>
          </w:rPr>
          <w:instrText xml:space="preserve"> PAGEREF _Toc230426711 \h </w:instrText>
        </w:r>
        <w:r>
          <w:rPr>
            <w:webHidden/>
          </w:rPr>
        </w:r>
        <w:r>
          <w:rPr>
            <w:webHidden/>
          </w:rPr>
          <w:fldChar w:fldCharType="separate"/>
        </w:r>
        <w:r>
          <w:rPr>
            <w:webHidden/>
          </w:rPr>
          <w:t>46</w:t>
        </w:r>
        <w:r>
          <w:rPr>
            <w:webHidden/>
          </w:rPr>
          <w:fldChar w:fldCharType="end"/>
        </w:r>
      </w:hyperlink>
    </w:p>
    <w:p w14:paraId="55F5BE5D" w14:textId="592D429F" w:rsidR="007E133A" w:rsidRDefault="007E133A">
      <w:pPr>
        <w:pStyle w:val="TableofFigures"/>
        <w:rPr>
          <w:rFonts w:asciiTheme="minorHAnsi" w:eastAsiaTheme="minorEastAsia" w:hAnsiTheme="minorHAnsi" w:cstheme="minorBidi"/>
          <w:b w:val="0"/>
          <w:kern w:val="2"/>
          <w:sz w:val="24"/>
          <w:lang w:val="en-US" w:eastAsia="en-US"/>
          <w14:ligatures w14:val="standardContextual"/>
        </w:rPr>
      </w:pPr>
      <w:hyperlink w:anchor="_Toc230426712" w:history="1">
        <w:r w:rsidRPr="008A7AE8">
          <w:rPr>
            <w:rStyle w:val="Hyperlink"/>
            <w:rFonts w:eastAsiaTheme="majorEastAsia"/>
          </w:rPr>
          <w:t>Figure 17 : Carte « écorégions » versus « routes nationales revêtues »</w:t>
        </w:r>
        <w:r>
          <w:rPr>
            <w:webHidden/>
          </w:rPr>
          <w:tab/>
        </w:r>
        <w:r>
          <w:rPr>
            <w:webHidden/>
          </w:rPr>
          <w:fldChar w:fldCharType="begin"/>
        </w:r>
        <w:r>
          <w:rPr>
            <w:webHidden/>
          </w:rPr>
          <w:instrText xml:space="preserve"> PAGEREF _Toc230426712 \h </w:instrText>
        </w:r>
        <w:r>
          <w:rPr>
            <w:webHidden/>
          </w:rPr>
        </w:r>
        <w:r>
          <w:rPr>
            <w:webHidden/>
          </w:rPr>
          <w:fldChar w:fldCharType="separate"/>
        </w:r>
        <w:r>
          <w:rPr>
            <w:webHidden/>
          </w:rPr>
          <w:t>51</w:t>
        </w:r>
        <w:r>
          <w:rPr>
            <w:webHidden/>
          </w:rPr>
          <w:fldChar w:fldCharType="end"/>
        </w:r>
      </w:hyperlink>
    </w:p>
    <w:p w14:paraId="4F94D325" w14:textId="15816F75" w:rsidR="007E133A" w:rsidRDefault="007E133A">
      <w:pPr>
        <w:pStyle w:val="TableofFigures"/>
        <w:rPr>
          <w:rFonts w:asciiTheme="minorHAnsi" w:eastAsiaTheme="minorEastAsia" w:hAnsiTheme="minorHAnsi" w:cstheme="minorBidi"/>
          <w:b w:val="0"/>
          <w:kern w:val="2"/>
          <w:sz w:val="24"/>
          <w:lang w:val="en-US" w:eastAsia="en-US"/>
          <w14:ligatures w14:val="standardContextual"/>
        </w:rPr>
      </w:pPr>
      <w:hyperlink w:anchor="_Toc230426713" w:history="1">
        <w:r w:rsidRPr="008A7AE8">
          <w:rPr>
            <w:rStyle w:val="Hyperlink"/>
            <w:rFonts w:eastAsiaTheme="majorEastAsia"/>
          </w:rPr>
          <w:t>Figure 18 : Limite administrative vs routes nationales revêtues</w:t>
        </w:r>
        <w:r>
          <w:rPr>
            <w:webHidden/>
          </w:rPr>
          <w:tab/>
        </w:r>
        <w:r>
          <w:rPr>
            <w:webHidden/>
          </w:rPr>
          <w:fldChar w:fldCharType="begin"/>
        </w:r>
        <w:r>
          <w:rPr>
            <w:webHidden/>
          </w:rPr>
          <w:instrText xml:space="preserve"> PAGEREF _Toc230426713 \h </w:instrText>
        </w:r>
        <w:r>
          <w:rPr>
            <w:webHidden/>
          </w:rPr>
        </w:r>
        <w:r>
          <w:rPr>
            <w:webHidden/>
          </w:rPr>
          <w:fldChar w:fldCharType="separate"/>
        </w:r>
        <w:r>
          <w:rPr>
            <w:webHidden/>
          </w:rPr>
          <w:t>53</w:t>
        </w:r>
        <w:r>
          <w:rPr>
            <w:webHidden/>
          </w:rPr>
          <w:fldChar w:fldCharType="end"/>
        </w:r>
      </w:hyperlink>
    </w:p>
    <w:p w14:paraId="1B7518B9" w14:textId="34A2A36F" w:rsidR="007E133A" w:rsidRDefault="007E133A">
      <w:pPr>
        <w:pStyle w:val="TableofFigures"/>
        <w:rPr>
          <w:rFonts w:asciiTheme="minorHAnsi" w:eastAsiaTheme="minorEastAsia" w:hAnsiTheme="minorHAnsi" w:cstheme="minorBidi"/>
          <w:b w:val="0"/>
          <w:kern w:val="2"/>
          <w:sz w:val="24"/>
          <w:lang w:val="en-US" w:eastAsia="en-US"/>
          <w14:ligatures w14:val="standardContextual"/>
        </w:rPr>
      </w:pPr>
      <w:hyperlink w:anchor="_Toc230426714" w:history="1">
        <w:r w:rsidRPr="008A7AE8">
          <w:rPr>
            <w:rStyle w:val="Hyperlink"/>
            <w:rFonts w:eastAsiaTheme="majorEastAsia"/>
          </w:rPr>
          <w:t>Figure 19 : Contribution par secteur à la croissance du PIB - 2010 à 2018</w:t>
        </w:r>
        <w:r>
          <w:rPr>
            <w:webHidden/>
          </w:rPr>
          <w:tab/>
        </w:r>
        <w:r>
          <w:rPr>
            <w:webHidden/>
          </w:rPr>
          <w:fldChar w:fldCharType="begin"/>
        </w:r>
        <w:r>
          <w:rPr>
            <w:webHidden/>
          </w:rPr>
          <w:instrText xml:space="preserve"> PAGEREF _Toc230426714 \h </w:instrText>
        </w:r>
        <w:r>
          <w:rPr>
            <w:webHidden/>
          </w:rPr>
        </w:r>
        <w:r>
          <w:rPr>
            <w:webHidden/>
          </w:rPr>
          <w:fldChar w:fldCharType="separate"/>
        </w:r>
        <w:r>
          <w:rPr>
            <w:webHidden/>
          </w:rPr>
          <w:t>64</w:t>
        </w:r>
        <w:r>
          <w:rPr>
            <w:webHidden/>
          </w:rPr>
          <w:fldChar w:fldCharType="end"/>
        </w:r>
      </w:hyperlink>
    </w:p>
    <w:p w14:paraId="7642225B" w14:textId="571D90BB" w:rsidR="007E133A" w:rsidRDefault="007E133A">
      <w:pPr>
        <w:pStyle w:val="TableofFigures"/>
        <w:rPr>
          <w:rFonts w:asciiTheme="minorHAnsi" w:eastAsiaTheme="minorEastAsia" w:hAnsiTheme="minorHAnsi" w:cstheme="minorBidi"/>
          <w:b w:val="0"/>
          <w:kern w:val="2"/>
          <w:sz w:val="24"/>
          <w:lang w:val="en-US" w:eastAsia="en-US"/>
          <w14:ligatures w14:val="standardContextual"/>
        </w:rPr>
      </w:pPr>
      <w:hyperlink w:anchor="_Toc230426715" w:history="1">
        <w:r w:rsidRPr="008A7AE8">
          <w:rPr>
            <w:rStyle w:val="Hyperlink"/>
            <w:rFonts w:eastAsiaTheme="majorEastAsia"/>
          </w:rPr>
          <w:t>Figure 20 : Exemples de sites non remis en etat apres des travaux sur des RN</w:t>
        </w:r>
        <w:r>
          <w:rPr>
            <w:webHidden/>
          </w:rPr>
          <w:tab/>
        </w:r>
        <w:r>
          <w:rPr>
            <w:webHidden/>
          </w:rPr>
          <w:fldChar w:fldCharType="begin"/>
        </w:r>
        <w:r>
          <w:rPr>
            <w:webHidden/>
          </w:rPr>
          <w:instrText xml:space="preserve"> PAGEREF _Toc230426715 \h </w:instrText>
        </w:r>
        <w:r>
          <w:rPr>
            <w:webHidden/>
          </w:rPr>
        </w:r>
        <w:r>
          <w:rPr>
            <w:webHidden/>
          </w:rPr>
          <w:fldChar w:fldCharType="separate"/>
        </w:r>
        <w:r>
          <w:rPr>
            <w:webHidden/>
          </w:rPr>
          <w:t>122</w:t>
        </w:r>
        <w:r>
          <w:rPr>
            <w:webHidden/>
          </w:rPr>
          <w:fldChar w:fldCharType="end"/>
        </w:r>
      </w:hyperlink>
    </w:p>
    <w:p w14:paraId="622D0341" w14:textId="37388759" w:rsidR="007E133A" w:rsidRDefault="007E133A">
      <w:pPr>
        <w:pStyle w:val="TableofFigures"/>
        <w:rPr>
          <w:rFonts w:asciiTheme="minorHAnsi" w:eastAsiaTheme="minorEastAsia" w:hAnsiTheme="minorHAnsi" w:cstheme="minorBidi"/>
          <w:b w:val="0"/>
          <w:kern w:val="2"/>
          <w:sz w:val="24"/>
          <w:lang w:val="en-US" w:eastAsia="en-US"/>
          <w14:ligatures w14:val="standardContextual"/>
        </w:rPr>
      </w:pPr>
      <w:hyperlink w:anchor="_Toc230426716" w:history="1">
        <w:r w:rsidRPr="008A7AE8">
          <w:rPr>
            <w:rStyle w:val="Hyperlink"/>
            <w:rFonts w:eastAsiaTheme="majorEastAsia"/>
          </w:rPr>
          <w:t>Figure 21 : Hiérarchie des mesures d'atténuation d'un impact</w:t>
        </w:r>
        <w:r>
          <w:rPr>
            <w:webHidden/>
          </w:rPr>
          <w:tab/>
        </w:r>
        <w:r>
          <w:rPr>
            <w:webHidden/>
          </w:rPr>
          <w:fldChar w:fldCharType="begin"/>
        </w:r>
        <w:r>
          <w:rPr>
            <w:webHidden/>
          </w:rPr>
          <w:instrText xml:space="preserve"> PAGEREF _Toc230426716 \h </w:instrText>
        </w:r>
        <w:r>
          <w:rPr>
            <w:webHidden/>
          </w:rPr>
        </w:r>
        <w:r>
          <w:rPr>
            <w:webHidden/>
          </w:rPr>
          <w:fldChar w:fldCharType="separate"/>
        </w:r>
        <w:r>
          <w:rPr>
            <w:webHidden/>
          </w:rPr>
          <w:t>127</w:t>
        </w:r>
        <w:r>
          <w:rPr>
            <w:webHidden/>
          </w:rPr>
          <w:fldChar w:fldCharType="end"/>
        </w:r>
      </w:hyperlink>
    </w:p>
    <w:p w14:paraId="4FFA6FCE" w14:textId="73E2BABD" w:rsidR="00575CDF" w:rsidRPr="00C801A6" w:rsidRDefault="00EB1995" w:rsidP="00EB1995">
      <w:pPr>
        <w:spacing w:before="240" w:after="240"/>
        <w:rPr>
          <w:b/>
          <w:color w:val="auto"/>
          <w:szCs w:val="24"/>
          <w:u w:val="single"/>
        </w:rPr>
      </w:pPr>
      <w:r w:rsidRPr="00C801A6">
        <w:rPr>
          <w:color w:val="auto"/>
        </w:rPr>
        <w:fldChar w:fldCharType="end"/>
      </w:r>
      <w:r w:rsidRPr="00EB1995">
        <w:rPr>
          <w:b/>
          <w:color w:val="auto"/>
          <w:szCs w:val="24"/>
          <w:u w:val="single"/>
        </w:rPr>
        <w:t>TAB</w:t>
      </w:r>
      <w:r w:rsidR="00575CDF" w:rsidRPr="00C801A6">
        <w:rPr>
          <w:b/>
          <w:color w:val="auto"/>
          <w:szCs w:val="24"/>
          <w:u w:val="single"/>
        </w:rPr>
        <w:t>LEAUX</w:t>
      </w:r>
    </w:p>
    <w:p w14:paraId="58A891AF" w14:textId="00E907BF" w:rsidR="00646511" w:rsidRDefault="00575CDF">
      <w:pPr>
        <w:pStyle w:val="TableofFigures"/>
        <w:rPr>
          <w:rFonts w:asciiTheme="minorHAnsi" w:eastAsiaTheme="minorEastAsia" w:hAnsiTheme="minorHAnsi" w:cstheme="minorBidi"/>
          <w:b w:val="0"/>
          <w:kern w:val="2"/>
          <w:sz w:val="24"/>
          <w:lang w:val="en-US" w:eastAsia="en-US"/>
          <w14:ligatures w14:val="standardContextual"/>
        </w:rPr>
      </w:pPr>
      <w:r w:rsidRPr="00C801A6">
        <w:rPr>
          <w:rFonts w:ascii="Arial" w:hAnsi="Arial"/>
          <w:sz w:val="20"/>
        </w:rPr>
        <w:fldChar w:fldCharType="begin"/>
      </w:r>
      <w:r w:rsidRPr="00C801A6">
        <w:instrText xml:space="preserve"> TOC \h \z \c "Tableau" </w:instrText>
      </w:r>
      <w:r w:rsidRPr="00C801A6">
        <w:rPr>
          <w:rFonts w:ascii="Arial" w:hAnsi="Arial"/>
          <w:sz w:val="20"/>
        </w:rPr>
        <w:fldChar w:fldCharType="separate"/>
      </w:r>
      <w:hyperlink w:anchor="_Toc230427721" w:history="1">
        <w:r w:rsidR="00646511" w:rsidRPr="00334522">
          <w:rPr>
            <w:rStyle w:val="Hyperlink"/>
            <w:rFonts w:eastAsiaTheme="majorEastAsia"/>
          </w:rPr>
          <w:t>Tableau 1 : Etat général du réseau routier</w:t>
        </w:r>
        <w:r w:rsidR="00646511">
          <w:rPr>
            <w:webHidden/>
          </w:rPr>
          <w:tab/>
        </w:r>
        <w:r w:rsidR="00646511">
          <w:rPr>
            <w:webHidden/>
          </w:rPr>
          <w:fldChar w:fldCharType="begin"/>
        </w:r>
        <w:r w:rsidR="00646511">
          <w:rPr>
            <w:webHidden/>
          </w:rPr>
          <w:instrText xml:space="preserve"> PAGEREF _Toc230427721 \h </w:instrText>
        </w:r>
        <w:r w:rsidR="00646511">
          <w:rPr>
            <w:webHidden/>
          </w:rPr>
        </w:r>
        <w:r w:rsidR="00646511">
          <w:rPr>
            <w:webHidden/>
          </w:rPr>
          <w:fldChar w:fldCharType="separate"/>
        </w:r>
        <w:r w:rsidR="00646511">
          <w:rPr>
            <w:webHidden/>
          </w:rPr>
          <w:t>2</w:t>
        </w:r>
        <w:r w:rsidR="00646511">
          <w:rPr>
            <w:webHidden/>
          </w:rPr>
          <w:fldChar w:fldCharType="end"/>
        </w:r>
      </w:hyperlink>
    </w:p>
    <w:p w14:paraId="55E9C4D5" w14:textId="12877219" w:rsidR="00646511" w:rsidRDefault="00646511">
      <w:pPr>
        <w:pStyle w:val="TableofFigures"/>
        <w:rPr>
          <w:rFonts w:asciiTheme="minorHAnsi" w:eastAsiaTheme="minorEastAsia" w:hAnsiTheme="minorHAnsi" w:cstheme="minorBidi"/>
          <w:b w:val="0"/>
          <w:kern w:val="2"/>
          <w:sz w:val="24"/>
          <w:lang w:val="en-US" w:eastAsia="en-US"/>
          <w14:ligatures w14:val="standardContextual"/>
        </w:rPr>
      </w:pPr>
      <w:hyperlink w:anchor="_Toc230427722" w:history="1">
        <w:r w:rsidRPr="00334522">
          <w:rPr>
            <w:rStyle w:val="Hyperlink"/>
            <w:rFonts w:eastAsiaTheme="majorEastAsia"/>
          </w:rPr>
          <w:t>Tableau 2 : Normes Environnementales et Sociales de la Banque mondiale</w:t>
        </w:r>
        <w:r>
          <w:rPr>
            <w:webHidden/>
          </w:rPr>
          <w:tab/>
        </w:r>
        <w:r>
          <w:rPr>
            <w:webHidden/>
          </w:rPr>
          <w:fldChar w:fldCharType="begin"/>
        </w:r>
        <w:r>
          <w:rPr>
            <w:webHidden/>
          </w:rPr>
          <w:instrText xml:space="preserve"> PAGEREF _Toc230427722 \h </w:instrText>
        </w:r>
        <w:r>
          <w:rPr>
            <w:webHidden/>
          </w:rPr>
        </w:r>
        <w:r>
          <w:rPr>
            <w:webHidden/>
          </w:rPr>
          <w:fldChar w:fldCharType="separate"/>
        </w:r>
        <w:r>
          <w:rPr>
            <w:webHidden/>
          </w:rPr>
          <w:t>7</w:t>
        </w:r>
        <w:r>
          <w:rPr>
            <w:webHidden/>
          </w:rPr>
          <w:fldChar w:fldCharType="end"/>
        </w:r>
      </w:hyperlink>
    </w:p>
    <w:p w14:paraId="04310C8E" w14:textId="6DA05132" w:rsidR="00646511" w:rsidRDefault="00646511">
      <w:pPr>
        <w:pStyle w:val="TableofFigures"/>
        <w:rPr>
          <w:rFonts w:asciiTheme="minorHAnsi" w:eastAsiaTheme="minorEastAsia" w:hAnsiTheme="minorHAnsi" w:cstheme="minorBidi"/>
          <w:b w:val="0"/>
          <w:kern w:val="2"/>
          <w:sz w:val="24"/>
          <w:lang w:val="en-US" w:eastAsia="en-US"/>
          <w14:ligatures w14:val="standardContextual"/>
        </w:rPr>
      </w:pPr>
      <w:hyperlink w:anchor="_Toc230427723" w:history="1">
        <w:r w:rsidRPr="00334522">
          <w:rPr>
            <w:rStyle w:val="Hyperlink"/>
            <w:rFonts w:eastAsiaTheme="majorEastAsia"/>
          </w:rPr>
          <w:t>Tableau 3 : T</w:t>
        </w:r>
        <w:r w:rsidR="002C3D7F" w:rsidRPr="00334522">
          <w:rPr>
            <w:rStyle w:val="Hyperlink"/>
            <w:rFonts w:eastAsiaTheme="majorEastAsia"/>
          </w:rPr>
          <w:t>ypes d</w:t>
        </w:r>
        <w:r w:rsidR="002C3D7F" w:rsidRPr="00334522">
          <w:rPr>
            <w:rStyle w:val="Hyperlink"/>
            <w:rFonts w:eastAsiaTheme="majorEastAsia" w:hint="eastAsia"/>
          </w:rPr>
          <w:t>’</w:t>
        </w:r>
        <w:r w:rsidR="002C3D7F" w:rsidRPr="00334522">
          <w:rPr>
            <w:rStyle w:val="Hyperlink"/>
            <w:rFonts w:eastAsiaTheme="majorEastAsia"/>
          </w:rPr>
          <w:t xml:space="preserve">activites de la composante </w:t>
        </w:r>
        <w:r w:rsidRPr="00334522">
          <w:rPr>
            <w:rStyle w:val="Hyperlink"/>
            <w:rFonts w:eastAsiaTheme="majorEastAsia"/>
          </w:rPr>
          <w:t>4</w:t>
        </w:r>
        <w:r>
          <w:rPr>
            <w:webHidden/>
          </w:rPr>
          <w:tab/>
        </w:r>
        <w:r>
          <w:rPr>
            <w:webHidden/>
          </w:rPr>
          <w:fldChar w:fldCharType="begin"/>
        </w:r>
        <w:r>
          <w:rPr>
            <w:webHidden/>
          </w:rPr>
          <w:instrText xml:space="preserve"> PAGEREF _Toc230427723 \h </w:instrText>
        </w:r>
        <w:r>
          <w:rPr>
            <w:webHidden/>
          </w:rPr>
        </w:r>
        <w:r>
          <w:rPr>
            <w:webHidden/>
          </w:rPr>
          <w:fldChar w:fldCharType="separate"/>
        </w:r>
        <w:r>
          <w:rPr>
            <w:webHidden/>
          </w:rPr>
          <w:t>15</w:t>
        </w:r>
        <w:r>
          <w:rPr>
            <w:webHidden/>
          </w:rPr>
          <w:fldChar w:fldCharType="end"/>
        </w:r>
      </w:hyperlink>
    </w:p>
    <w:p w14:paraId="68BB49A6" w14:textId="2116460E" w:rsidR="00646511" w:rsidRDefault="00646511">
      <w:pPr>
        <w:pStyle w:val="TableofFigures"/>
        <w:rPr>
          <w:rFonts w:asciiTheme="minorHAnsi" w:eastAsiaTheme="minorEastAsia" w:hAnsiTheme="minorHAnsi" w:cstheme="minorBidi"/>
          <w:b w:val="0"/>
          <w:kern w:val="2"/>
          <w:sz w:val="24"/>
          <w:lang w:val="en-US" w:eastAsia="en-US"/>
          <w14:ligatures w14:val="standardContextual"/>
        </w:rPr>
      </w:pPr>
      <w:hyperlink w:anchor="_Toc230427724" w:history="1">
        <w:r w:rsidRPr="00334522">
          <w:rPr>
            <w:rStyle w:val="Hyperlink"/>
            <w:rFonts w:eastAsiaTheme="majorEastAsia"/>
          </w:rPr>
          <w:t>Tableau 4 : activites envisagees pour cerc2</w:t>
        </w:r>
        <w:r>
          <w:rPr>
            <w:webHidden/>
          </w:rPr>
          <w:tab/>
        </w:r>
        <w:r>
          <w:rPr>
            <w:webHidden/>
          </w:rPr>
          <w:fldChar w:fldCharType="begin"/>
        </w:r>
        <w:r>
          <w:rPr>
            <w:webHidden/>
          </w:rPr>
          <w:instrText xml:space="preserve"> PAGEREF _Toc230427724 \h </w:instrText>
        </w:r>
        <w:r>
          <w:rPr>
            <w:webHidden/>
          </w:rPr>
        </w:r>
        <w:r>
          <w:rPr>
            <w:webHidden/>
          </w:rPr>
          <w:fldChar w:fldCharType="separate"/>
        </w:r>
        <w:r>
          <w:rPr>
            <w:webHidden/>
          </w:rPr>
          <w:t>19</w:t>
        </w:r>
        <w:r>
          <w:rPr>
            <w:webHidden/>
          </w:rPr>
          <w:fldChar w:fldCharType="end"/>
        </w:r>
      </w:hyperlink>
    </w:p>
    <w:p w14:paraId="740549A1" w14:textId="4C31273A" w:rsidR="00646511" w:rsidRDefault="00646511">
      <w:pPr>
        <w:pStyle w:val="TableofFigures"/>
        <w:rPr>
          <w:rFonts w:asciiTheme="minorHAnsi" w:eastAsiaTheme="minorEastAsia" w:hAnsiTheme="minorHAnsi" w:cstheme="minorBidi"/>
          <w:b w:val="0"/>
          <w:kern w:val="2"/>
          <w:sz w:val="24"/>
          <w:lang w:val="en-US" w:eastAsia="en-US"/>
          <w14:ligatures w14:val="standardContextual"/>
        </w:rPr>
      </w:pPr>
      <w:hyperlink w:anchor="_Toc230427725" w:history="1">
        <w:r w:rsidRPr="00334522">
          <w:rPr>
            <w:rStyle w:val="Hyperlink"/>
            <w:rFonts w:eastAsiaTheme="majorEastAsia"/>
          </w:rPr>
          <w:t>Tableau 5 : Brève description technique des types de travaux recensés</w:t>
        </w:r>
        <w:r>
          <w:rPr>
            <w:webHidden/>
          </w:rPr>
          <w:tab/>
        </w:r>
        <w:r>
          <w:rPr>
            <w:webHidden/>
          </w:rPr>
          <w:fldChar w:fldCharType="begin"/>
        </w:r>
        <w:r>
          <w:rPr>
            <w:webHidden/>
          </w:rPr>
          <w:instrText xml:space="preserve"> PAGEREF _Toc230427725 \h </w:instrText>
        </w:r>
        <w:r>
          <w:rPr>
            <w:webHidden/>
          </w:rPr>
        </w:r>
        <w:r>
          <w:rPr>
            <w:webHidden/>
          </w:rPr>
          <w:fldChar w:fldCharType="separate"/>
        </w:r>
        <w:r>
          <w:rPr>
            <w:webHidden/>
          </w:rPr>
          <w:t>21</w:t>
        </w:r>
        <w:r>
          <w:rPr>
            <w:webHidden/>
          </w:rPr>
          <w:fldChar w:fldCharType="end"/>
        </w:r>
      </w:hyperlink>
    </w:p>
    <w:p w14:paraId="09E6AE03" w14:textId="5CB5DCBA" w:rsidR="00646511" w:rsidRDefault="00646511">
      <w:pPr>
        <w:pStyle w:val="TableofFigures"/>
        <w:rPr>
          <w:rFonts w:asciiTheme="minorHAnsi" w:eastAsiaTheme="minorEastAsia" w:hAnsiTheme="minorHAnsi" w:cstheme="minorBidi"/>
          <w:b w:val="0"/>
          <w:kern w:val="2"/>
          <w:sz w:val="24"/>
          <w:lang w:val="en-US" w:eastAsia="en-US"/>
          <w14:ligatures w14:val="standardContextual"/>
        </w:rPr>
      </w:pPr>
      <w:hyperlink w:anchor="_Toc230427726" w:history="1">
        <w:r w:rsidRPr="00334522">
          <w:rPr>
            <w:rStyle w:val="Hyperlink"/>
            <w:rFonts w:eastAsiaTheme="majorEastAsia"/>
          </w:rPr>
          <w:t>Tableau 6 : Liste des principales aires protégées traversées par les routes nationales</w:t>
        </w:r>
        <w:r>
          <w:rPr>
            <w:webHidden/>
          </w:rPr>
          <w:tab/>
        </w:r>
        <w:r>
          <w:rPr>
            <w:webHidden/>
          </w:rPr>
          <w:fldChar w:fldCharType="begin"/>
        </w:r>
        <w:r>
          <w:rPr>
            <w:webHidden/>
          </w:rPr>
          <w:instrText xml:space="preserve"> PAGEREF _Toc230427726 \h </w:instrText>
        </w:r>
        <w:r>
          <w:rPr>
            <w:webHidden/>
          </w:rPr>
        </w:r>
        <w:r>
          <w:rPr>
            <w:webHidden/>
          </w:rPr>
          <w:fldChar w:fldCharType="separate"/>
        </w:r>
        <w:r>
          <w:rPr>
            <w:webHidden/>
          </w:rPr>
          <w:t>43</w:t>
        </w:r>
        <w:r>
          <w:rPr>
            <w:webHidden/>
          </w:rPr>
          <w:fldChar w:fldCharType="end"/>
        </w:r>
      </w:hyperlink>
    </w:p>
    <w:p w14:paraId="71AE5AC4" w14:textId="361AC440" w:rsidR="00646511" w:rsidRDefault="00646511">
      <w:pPr>
        <w:pStyle w:val="TableofFigures"/>
        <w:rPr>
          <w:rFonts w:asciiTheme="minorHAnsi" w:eastAsiaTheme="minorEastAsia" w:hAnsiTheme="minorHAnsi" w:cstheme="minorBidi"/>
          <w:b w:val="0"/>
          <w:kern w:val="2"/>
          <w:sz w:val="24"/>
          <w:lang w:val="en-US" w:eastAsia="en-US"/>
          <w14:ligatures w14:val="standardContextual"/>
        </w:rPr>
      </w:pPr>
      <w:hyperlink w:anchor="_Toc230427727" w:history="1">
        <w:r w:rsidRPr="00334522">
          <w:rPr>
            <w:rStyle w:val="Hyperlink"/>
            <w:rFonts w:eastAsiaTheme="majorEastAsia"/>
          </w:rPr>
          <w:t>Tableau 7 : Historique et perspective d’évolution de la population de Madagascar</w:t>
        </w:r>
        <w:r>
          <w:rPr>
            <w:webHidden/>
          </w:rPr>
          <w:tab/>
        </w:r>
        <w:r>
          <w:rPr>
            <w:webHidden/>
          </w:rPr>
          <w:fldChar w:fldCharType="begin"/>
        </w:r>
        <w:r>
          <w:rPr>
            <w:webHidden/>
          </w:rPr>
          <w:instrText xml:space="preserve"> PAGEREF _Toc230427727 \h </w:instrText>
        </w:r>
        <w:r>
          <w:rPr>
            <w:webHidden/>
          </w:rPr>
        </w:r>
        <w:r>
          <w:rPr>
            <w:webHidden/>
          </w:rPr>
          <w:fldChar w:fldCharType="separate"/>
        </w:r>
        <w:r>
          <w:rPr>
            <w:webHidden/>
          </w:rPr>
          <w:t>52</w:t>
        </w:r>
        <w:r>
          <w:rPr>
            <w:webHidden/>
          </w:rPr>
          <w:fldChar w:fldCharType="end"/>
        </w:r>
      </w:hyperlink>
    </w:p>
    <w:p w14:paraId="48DCFB74" w14:textId="3DD55623" w:rsidR="00646511" w:rsidRDefault="00646511">
      <w:pPr>
        <w:pStyle w:val="TableofFigures"/>
        <w:rPr>
          <w:rFonts w:asciiTheme="minorHAnsi" w:eastAsiaTheme="minorEastAsia" w:hAnsiTheme="minorHAnsi" w:cstheme="minorBidi"/>
          <w:b w:val="0"/>
          <w:kern w:val="2"/>
          <w:sz w:val="24"/>
          <w:lang w:val="en-US" w:eastAsia="en-US"/>
          <w14:ligatures w14:val="standardContextual"/>
        </w:rPr>
      </w:pPr>
      <w:hyperlink w:anchor="_Toc230427728" w:history="1">
        <w:r w:rsidRPr="00334522">
          <w:rPr>
            <w:rStyle w:val="Hyperlink"/>
            <w:rFonts w:eastAsiaTheme="majorEastAsia"/>
          </w:rPr>
          <w:t>Tableau 8 : Répartition de la population par Région et par sexe</w:t>
        </w:r>
        <w:r>
          <w:rPr>
            <w:webHidden/>
          </w:rPr>
          <w:tab/>
        </w:r>
        <w:r>
          <w:rPr>
            <w:webHidden/>
          </w:rPr>
          <w:fldChar w:fldCharType="begin"/>
        </w:r>
        <w:r>
          <w:rPr>
            <w:webHidden/>
          </w:rPr>
          <w:instrText xml:space="preserve"> PAGEREF _Toc230427728 \h </w:instrText>
        </w:r>
        <w:r>
          <w:rPr>
            <w:webHidden/>
          </w:rPr>
        </w:r>
        <w:r>
          <w:rPr>
            <w:webHidden/>
          </w:rPr>
          <w:fldChar w:fldCharType="separate"/>
        </w:r>
        <w:r>
          <w:rPr>
            <w:webHidden/>
          </w:rPr>
          <w:t>53</w:t>
        </w:r>
        <w:r>
          <w:rPr>
            <w:webHidden/>
          </w:rPr>
          <w:fldChar w:fldCharType="end"/>
        </w:r>
      </w:hyperlink>
    </w:p>
    <w:p w14:paraId="60A75A7E" w14:textId="54523924" w:rsidR="00646511" w:rsidRDefault="00646511">
      <w:pPr>
        <w:pStyle w:val="TableofFigures"/>
        <w:rPr>
          <w:rFonts w:asciiTheme="minorHAnsi" w:eastAsiaTheme="minorEastAsia" w:hAnsiTheme="minorHAnsi" w:cstheme="minorBidi"/>
          <w:b w:val="0"/>
          <w:kern w:val="2"/>
          <w:sz w:val="24"/>
          <w:lang w:val="en-US" w:eastAsia="en-US"/>
          <w14:ligatures w14:val="standardContextual"/>
        </w:rPr>
      </w:pPr>
      <w:hyperlink w:anchor="_Toc230427729" w:history="1">
        <w:r w:rsidRPr="00334522">
          <w:rPr>
            <w:rStyle w:val="Hyperlink"/>
            <w:rFonts w:eastAsiaTheme="majorEastAsia"/>
          </w:rPr>
          <w:t>Tableau 9 : Répartition de la population par région et zone de résidence</w:t>
        </w:r>
        <w:r>
          <w:rPr>
            <w:webHidden/>
          </w:rPr>
          <w:tab/>
        </w:r>
        <w:r>
          <w:rPr>
            <w:webHidden/>
          </w:rPr>
          <w:fldChar w:fldCharType="begin"/>
        </w:r>
        <w:r>
          <w:rPr>
            <w:webHidden/>
          </w:rPr>
          <w:instrText xml:space="preserve"> PAGEREF _Toc230427729 \h </w:instrText>
        </w:r>
        <w:r>
          <w:rPr>
            <w:webHidden/>
          </w:rPr>
        </w:r>
        <w:r>
          <w:rPr>
            <w:webHidden/>
          </w:rPr>
          <w:fldChar w:fldCharType="separate"/>
        </w:r>
        <w:r>
          <w:rPr>
            <w:webHidden/>
          </w:rPr>
          <w:t>54</w:t>
        </w:r>
        <w:r>
          <w:rPr>
            <w:webHidden/>
          </w:rPr>
          <w:fldChar w:fldCharType="end"/>
        </w:r>
      </w:hyperlink>
    </w:p>
    <w:p w14:paraId="0F478D4F" w14:textId="166BC740" w:rsidR="00646511" w:rsidRDefault="00646511">
      <w:pPr>
        <w:pStyle w:val="TableofFigures"/>
        <w:rPr>
          <w:rFonts w:asciiTheme="minorHAnsi" w:eastAsiaTheme="minorEastAsia" w:hAnsiTheme="minorHAnsi" w:cstheme="minorBidi"/>
          <w:b w:val="0"/>
          <w:kern w:val="2"/>
          <w:sz w:val="24"/>
          <w:lang w:val="en-US" w:eastAsia="en-US"/>
          <w14:ligatures w14:val="standardContextual"/>
        </w:rPr>
      </w:pPr>
      <w:hyperlink w:anchor="_Toc230427730" w:history="1">
        <w:r w:rsidRPr="00334522">
          <w:rPr>
            <w:rStyle w:val="Hyperlink"/>
            <w:rFonts w:eastAsiaTheme="majorEastAsia"/>
          </w:rPr>
          <w:t>Tableau 10 : Infrastructures scolaires publiques et privées par région</w:t>
        </w:r>
        <w:r>
          <w:rPr>
            <w:webHidden/>
          </w:rPr>
          <w:tab/>
        </w:r>
        <w:r>
          <w:rPr>
            <w:webHidden/>
          </w:rPr>
          <w:fldChar w:fldCharType="begin"/>
        </w:r>
        <w:r>
          <w:rPr>
            <w:webHidden/>
          </w:rPr>
          <w:instrText xml:space="preserve"> PAGEREF _Toc230427730 \h </w:instrText>
        </w:r>
        <w:r>
          <w:rPr>
            <w:webHidden/>
          </w:rPr>
        </w:r>
        <w:r>
          <w:rPr>
            <w:webHidden/>
          </w:rPr>
          <w:fldChar w:fldCharType="separate"/>
        </w:r>
        <w:r>
          <w:rPr>
            <w:webHidden/>
          </w:rPr>
          <w:t>55</w:t>
        </w:r>
        <w:r>
          <w:rPr>
            <w:webHidden/>
          </w:rPr>
          <w:fldChar w:fldCharType="end"/>
        </w:r>
      </w:hyperlink>
    </w:p>
    <w:p w14:paraId="4704DB01" w14:textId="6ABBA4B8" w:rsidR="00646511" w:rsidRDefault="00646511">
      <w:pPr>
        <w:pStyle w:val="TableofFigures"/>
        <w:rPr>
          <w:rFonts w:asciiTheme="minorHAnsi" w:eastAsiaTheme="minorEastAsia" w:hAnsiTheme="minorHAnsi" w:cstheme="minorBidi"/>
          <w:b w:val="0"/>
          <w:kern w:val="2"/>
          <w:sz w:val="24"/>
          <w:lang w:val="en-US" w:eastAsia="en-US"/>
          <w14:ligatures w14:val="standardContextual"/>
        </w:rPr>
      </w:pPr>
      <w:hyperlink w:anchor="_Toc230427731" w:history="1">
        <w:r w:rsidRPr="00334522">
          <w:rPr>
            <w:rStyle w:val="Hyperlink"/>
            <w:rFonts w:eastAsiaTheme="majorEastAsia"/>
          </w:rPr>
          <w:t>Tableau 11 : Infrastructures sanitaires publiques par région</w:t>
        </w:r>
        <w:r>
          <w:rPr>
            <w:webHidden/>
          </w:rPr>
          <w:tab/>
        </w:r>
        <w:r>
          <w:rPr>
            <w:webHidden/>
          </w:rPr>
          <w:fldChar w:fldCharType="begin"/>
        </w:r>
        <w:r>
          <w:rPr>
            <w:webHidden/>
          </w:rPr>
          <w:instrText xml:space="preserve"> PAGEREF _Toc230427731 \h </w:instrText>
        </w:r>
        <w:r>
          <w:rPr>
            <w:webHidden/>
          </w:rPr>
        </w:r>
        <w:r>
          <w:rPr>
            <w:webHidden/>
          </w:rPr>
          <w:fldChar w:fldCharType="separate"/>
        </w:r>
        <w:r>
          <w:rPr>
            <w:webHidden/>
          </w:rPr>
          <w:t>56</w:t>
        </w:r>
        <w:r>
          <w:rPr>
            <w:webHidden/>
          </w:rPr>
          <w:fldChar w:fldCharType="end"/>
        </w:r>
      </w:hyperlink>
    </w:p>
    <w:p w14:paraId="20527DE5" w14:textId="2B48BF9C" w:rsidR="00646511" w:rsidRDefault="00646511">
      <w:pPr>
        <w:pStyle w:val="TableofFigures"/>
        <w:rPr>
          <w:rFonts w:asciiTheme="minorHAnsi" w:eastAsiaTheme="minorEastAsia" w:hAnsiTheme="minorHAnsi" w:cstheme="minorBidi"/>
          <w:b w:val="0"/>
          <w:kern w:val="2"/>
          <w:sz w:val="24"/>
          <w:lang w:val="en-US" w:eastAsia="en-US"/>
          <w14:ligatures w14:val="standardContextual"/>
        </w:rPr>
      </w:pPr>
      <w:hyperlink w:anchor="_Toc230427732" w:history="1">
        <w:r w:rsidRPr="00334522">
          <w:rPr>
            <w:rStyle w:val="Hyperlink"/>
            <w:rFonts w:eastAsiaTheme="majorEastAsia"/>
          </w:rPr>
          <w:t>Tableau 12: Synthèse de l’analyse comparative entre le cadre national et la NES 1</w:t>
        </w:r>
        <w:r>
          <w:rPr>
            <w:webHidden/>
          </w:rPr>
          <w:tab/>
        </w:r>
        <w:r>
          <w:rPr>
            <w:webHidden/>
          </w:rPr>
          <w:fldChar w:fldCharType="begin"/>
        </w:r>
        <w:r>
          <w:rPr>
            <w:webHidden/>
          </w:rPr>
          <w:instrText xml:space="preserve"> PAGEREF _Toc230427732 \h </w:instrText>
        </w:r>
        <w:r>
          <w:rPr>
            <w:webHidden/>
          </w:rPr>
        </w:r>
        <w:r>
          <w:rPr>
            <w:webHidden/>
          </w:rPr>
          <w:fldChar w:fldCharType="separate"/>
        </w:r>
        <w:r>
          <w:rPr>
            <w:webHidden/>
          </w:rPr>
          <w:t>80</w:t>
        </w:r>
        <w:r>
          <w:rPr>
            <w:webHidden/>
          </w:rPr>
          <w:fldChar w:fldCharType="end"/>
        </w:r>
      </w:hyperlink>
    </w:p>
    <w:p w14:paraId="17B48D71" w14:textId="061E2945" w:rsidR="00646511" w:rsidRDefault="00646511">
      <w:pPr>
        <w:pStyle w:val="TableofFigures"/>
        <w:rPr>
          <w:rFonts w:asciiTheme="minorHAnsi" w:eastAsiaTheme="minorEastAsia" w:hAnsiTheme="minorHAnsi" w:cstheme="minorBidi"/>
          <w:b w:val="0"/>
          <w:kern w:val="2"/>
          <w:sz w:val="24"/>
          <w:lang w:val="en-US" w:eastAsia="en-US"/>
          <w14:ligatures w14:val="standardContextual"/>
        </w:rPr>
      </w:pPr>
      <w:hyperlink w:anchor="_Toc230427733" w:history="1">
        <w:r w:rsidRPr="00334522">
          <w:rPr>
            <w:rStyle w:val="Hyperlink"/>
            <w:rFonts w:eastAsiaTheme="majorEastAsia"/>
          </w:rPr>
          <w:t>Tableau 13 : Synthèse de l’analyse comparative entre le cadre national et la NES 2</w:t>
        </w:r>
        <w:r>
          <w:rPr>
            <w:webHidden/>
          </w:rPr>
          <w:tab/>
        </w:r>
        <w:r>
          <w:rPr>
            <w:webHidden/>
          </w:rPr>
          <w:fldChar w:fldCharType="begin"/>
        </w:r>
        <w:r>
          <w:rPr>
            <w:webHidden/>
          </w:rPr>
          <w:instrText xml:space="preserve"> PAGEREF _Toc230427733 \h </w:instrText>
        </w:r>
        <w:r>
          <w:rPr>
            <w:webHidden/>
          </w:rPr>
        </w:r>
        <w:r>
          <w:rPr>
            <w:webHidden/>
          </w:rPr>
          <w:fldChar w:fldCharType="separate"/>
        </w:r>
        <w:r>
          <w:rPr>
            <w:webHidden/>
          </w:rPr>
          <w:t>83</w:t>
        </w:r>
        <w:r>
          <w:rPr>
            <w:webHidden/>
          </w:rPr>
          <w:fldChar w:fldCharType="end"/>
        </w:r>
      </w:hyperlink>
    </w:p>
    <w:p w14:paraId="04A2D3F6" w14:textId="0911A09A" w:rsidR="00646511" w:rsidRDefault="00646511">
      <w:pPr>
        <w:pStyle w:val="TableofFigures"/>
        <w:rPr>
          <w:rFonts w:asciiTheme="minorHAnsi" w:eastAsiaTheme="minorEastAsia" w:hAnsiTheme="minorHAnsi" w:cstheme="minorBidi"/>
          <w:b w:val="0"/>
          <w:kern w:val="2"/>
          <w:sz w:val="24"/>
          <w:lang w:val="en-US" w:eastAsia="en-US"/>
          <w14:ligatures w14:val="standardContextual"/>
        </w:rPr>
      </w:pPr>
      <w:hyperlink w:anchor="_Toc230427734" w:history="1">
        <w:r w:rsidRPr="00334522">
          <w:rPr>
            <w:rStyle w:val="Hyperlink"/>
            <w:rFonts w:eastAsiaTheme="majorEastAsia"/>
          </w:rPr>
          <w:t>Tableau 14 : Synthèse de l’analyse comparative entre le cadre national et la NES 3</w:t>
        </w:r>
        <w:r>
          <w:rPr>
            <w:webHidden/>
          </w:rPr>
          <w:tab/>
        </w:r>
        <w:r>
          <w:rPr>
            <w:webHidden/>
          </w:rPr>
          <w:fldChar w:fldCharType="begin"/>
        </w:r>
        <w:r>
          <w:rPr>
            <w:webHidden/>
          </w:rPr>
          <w:instrText xml:space="preserve"> PAGEREF _Toc230427734 \h </w:instrText>
        </w:r>
        <w:r>
          <w:rPr>
            <w:webHidden/>
          </w:rPr>
        </w:r>
        <w:r>
          <w:rPr>
            <w:webHidden/>
          </w:rPr>
          <w:fldChar w:fldCharType="separate"/>
        </w:r>
        <w:r>
          <w:rPr>
            <w:webHidden/>
          </w:rPr>
          <w:t>85</w:t>
        </w:r>
        <w:r>
          <w:rPr>
            <w:webHidden/>
          </w:rPr>
          <w:fldChar w:fldCharType="end"/>
        </w:r>
      </w:hyperlink>
    </w:p>
    <w:p w14:paraId="75AA48C6" w14:textId="463007D7" w:rsidR="00646511" w:rsidRDefault="00646511">
      <w:pPr>
        <w:pStyle w:val="TableofFigures"/>
        <w:rPr>
          <w:rFonts w:asciiTheme="minorHAnsi" w:eastAsiaTheme="minorEastAsia" w:hAnsiTheme="minorHAnsi" w:cstheme="minorBidi"/>
          <w:b w:val="0"/>
          <w:kern w:val="2"/>
          <w:sz w:val="24"/>
          <w:lang w:val="en-US" w:eastAsia="en-US"/>
          <w14:ligatures w14:val="standardContextual"/>
        </w:rPr>
      </w:pPr>
      <w:hyperlink w:anchor="_Toc230427735" w:history="1">
        <w:r w:rsidRPr="00334522">
          <w:rPr>
            <w:rStyle w:val="Hyperlink"/>
            <w:rFonts w:eastAsiaTheme="majorEastAsia"/>
          </w:rPr>
          <w:t>Tableau 15 : Synthèse de l’analyse comparative entre le cadre national et la NES 4</w:t>
        </w:r>
        <w:r>
          <w:rPr>
            <w:webHidden/>
          </w:rPr>
          <w:tab/>
        </w:r>
        <w:r>
          <w:rPr>
            <w:webHidden/>
          </w:rPr>
          <w:fldChar w:fldCharType="begin"/>
        </w:r>
        <w:r>
          <w:rPr>
            <w:webHidden/>
          </w:rPr>
          <w:instrText xml:space="preserve"> PAGEREF _Toc230427735 \h </w:instrText>
        </w:r>
        <w:r>
          <w:rPr>
            <w:webHidden/>
          </w:rPr>
        </w:r>
        <w:r>
          <w:rPr>
            <w:webHidden/>
          </w:rPr>
          <w:fldChar w:fldCharType="separate"/>
        </w:r>
        <w:r>
          <w:rPr>
            <w:webHidden/>
          </w:rPr>
          <w:t>88</w:t>
        </w:r>
        <w:r>
          <w:rPr>
            <w:webHidden/>
          </w:rPr>
          <w:fldChar w:fldCharType="end"/>
        </w:r>
      </w:hyperlink>
    </w:p>
    <w:p w14:paraId="20B6CDEA" w14:textId="761074E9" w:rsidR="00646511" w:rsidRDefault="00646511">
      <w:pPr>
        <w:pStyle w:val="TableofFigures"/>
        <w:rPr>
          <w:rFonts w:asciiTheme="minorHAnsi" w:eastAsiaTheme="minorEastAsia" w:hAnsiTheme="minorHAnsi" w:cstheme="minorBidi"/>
          <w:b w:val="0"/>
          <w:kern w:val="2"/>
          <w:sz w:val="24"/>
          <w:lang w:val="en-US" w:eastAsia="en-US"/>
          <w14:ligatures w14:val="standardContextual"/>
        </w:rPr>
      </w:pPr>
      <w:hyperlink w:anchor="_Toc230427736" w:history="1">
        <w:r w:rsidRPr="00334522">
          <w:rPr>
            <w:rStyle w:val="Hyperlink"/>
            <w:rFonts w:eastAsiaTheme="majorEastAsia"/>
          </w:rPr>
          <w:t>Tableau 16 : Synthèse de l’analyse comparative entre le cadre national et la NES 6</w:t>
        </w:r>
        <w:r>
          <w:rPr>
            <w:webHidden/>
          </w:rPr>
          <w:tab/>
        </w:r>
        <w:r>
          <w:rPr>
            <w:webHidden/>
          </w:rPr>
          <w:fldChar w:fldCharType="begin"/>
        </w:r>
        <w:r>
          <w:rPr>
            <w:webHidden/>
          </w:rPr>
          <w:instrText xml:space="preserve"> PAGEREF _Toc230427736 \h </w:instrText>
        </w:r>
        <w:r>
          <w:rPr>
            <w:webHidden/>
          </w:rPr>
        </w:r>
        <w:r>
          <w:rPr>
            <w:webHidden/>
          </w:rPr>
          <w:fldChar w:fldCharType="separate"/>
        </w:r>
        <w:r>
          <w:rPr>
            <w:webHidden/>
          </w:rPr>
          <w:t>92</w:t>
        </w:r>
        <w:r>
          <w:rPr>
            <w:webHidden/>
          </w:rPr>
          <w:fldChar w:fldCharType="end"/>
        </w:r>
      </w:hyperlink>
    </w:p>
    <w:p w14:paraId="200658C2" w14:textId="79C71045" w:rsidR="00646511" w:rsidRDefault="00646511">
      <w:pPr>
        <w:pStyle w:val="TableofFigures"/>
        <w:rPr>
          <w:rFonts w:asciiTheme="minorHAnsi" w:eastAsiaTheme="minorEastAsia" w:hAnsiTheme="minorHAnsi" w:cstheme="minorBidi"/>
          <w:b w:val="0"/>
          <w:kern w:val="2"/>
          <w:sz w:val="24"/>
          <w:lang w:val="en-US" w:eastAsia="en-US"/>
          <w14:ligatures w14:val="standardContextual"/>
        </w:rPr>
      </w:pPr>
      <w:hyperlink w:anchor="_Toc230427737" w:history="1">
        <w:r w:rsidRPr="00334522">
          <w:rPr>
            <w:rStyle w:val="Hyperlink"/>
            <w:rFonts w:eastAsiaTheme="majorEastAsia"/>
          </w:rPr>
          <w:t>Tableau 17 : Synthèse de l’analyse comparative entre le cadre national et la NES 8</w:t>
        </w:r>
        <w:r>
          <w:rPr>
            <w:webHidden/>
          </w:rPr>
          <w:tab/>
        </w:r>
        <w:r>
          <w:rPr>
            <w:webHidden/>
          </w:rPr>
          <w:fldChar w:fldCharType="begin"/>
        </w:r>
        <w:r>
          <w:rPr>
            <w:webHidden/>
          </w:rPr>
          <w:instrText xml:space="preserve"> PAGEREF _Toc230427737 \h </w:instrText>
        </w:r>
        <w:r>
          <w:rPr>
            <w:webHidden/>
          </w:rPr>
        </w:r>
        <w:r>
          <w:rPr>
            <w:webHidden/>
          </w:rPr>
          <w:fldChar w:fldCharType="separate"/>
        </w:r>
        <w:r>
          <w:rPr>
            <w:webHidden/>
          </w:rPr>
          <w:t>94</w:t>
        </w:r>
        <w:r>
          <w:rPr>
            <w:webHidden/>
          </w:rPr>
          <w:fldChar w:fldCharType="end"/>
        </w:r>
      </w:hyperlink>
    </w:p>
    <w:p w14:paraId="2E87E0A5" w14:textId="6C8EDFB5" w:rsidR="00646511" w:rsidRDefault="00646511">
      <w:pPr>
        <w:pStyle w:val="TableofFigures"/>
        <w:rPr>
          <w:rFonts w:asciiTheme="minorHAnsi" w:eastAsiaTheme="minorEastAsia" w:hAnsiTheme="minorHAnsi" w:cstheme="minorBidi"/>
          <w:b w:val="0"/>
          <w:kern w:val="2"/>
          <w:sz w:val="24"/>
          <w:lang w:val="en-US" w:eastAsia="en-US"/>
          <w14:ligatures w14:val="standardContextual"/>
        </w:rPr>
      </w:pPr>
      <w:hyperlink w:anchor="_Toc230427738" w:history="1">
        <w:r w:rsidRPr="00334522">
          <w:rPr>
            <w:rStyle w:val="Hyperlink"/>
            <w:rFonts w:eastAsiaTheme="majorEastAsia"/>
          </w:rPr>
          <w:t>Tableau 18 : Synthèse de l’analyse comparative entre le cadre national et la NES 10</w:t>
        </w:r>
        <w:r>
          <w:rPr>
            <w:webHidden/>
          </w:rPr>
          <w:tab/>
        </w:r>
        <w:r>
          <w:rPr>
            <w:webHidden/>
          </w:rPr>
          <w:fldChar w:fldCharType="begin"/>
        </w:r>
        <w:r>
          <w:rPr>
            <w:webHidden/>
          </w:rPr>
          <w:instrText xml:space="preserve"> PAGEREF _Toc230427738 \h </w:instrText>
        </w:r>
        <w:r>
          <w:rPr>
            <w:webHidden/>
          </w:rPr>
        </w:r>
        <w:r>
          <w:rPr>
            <w:webHidden/>
          </w:rPr>
          <w:fldChar w:fldCharType="separate"/>
        </w:r>
        <w:r>
          <w:rPr>
            <w:webHidden/>
          </w:rPr>
          <w:t>97</w:t>
        </w:r>
        <w:r>
          <w:rPr>
            <w:webHidden/>
          </w:rPr>
          <w:fldChar w:fldCharType="end"/>
        </w:r>
      </w:hyperlink>
    </w:p>
    <w:p w14:paraId="2DC1EF70" w14:textId="057C7F56" w:rsidR="00646511" w:rsidRDefault="00646511">
      <w:pPr>
        <w:pStyle w:val="TableofFigures"/>
        <w:rPr>
          <w:rFonts w:asciiTheme="minorHAnsi" w:eastAsiaTheme="minorEastAsia" w:hAnsiTheme="minorHAnsi" w:cstheme="minorBidi"/>
          <w:b w:val="0"/>
          <w:kern w:val="2"/>
          <w:sz w:val="24"/>
          <w:lang w:val="en-US" w:eastAsia="en-US"/>
          <w14:ligatures w14:val="standardContextual"/>
        </w:rPr>
      </w:pPr>
      <w:hyperlink w:anchor="_Toc230427739" w:history="1">
        <w:r w:rsidRPr="00334522">
          <w:rPr>
            <w:rStyle w:val="Hyperlink"/>
            <w:rFonts w:eastAsiaTheme="majorEastAsia"/>
          </w:rPr>
          <w:t>Tableau 19 : Champs d’application des directives EHS par rapport aux différentes composantes du projet</w:t>
        </w:r>
        <w:r>
          <w:rPr>
            <w:webHidden/>
          </w:rPr>
          <w:tab/>
        </w:r>
        <w:r>
          <w:rPr>
            <w:webHidden/>
          </w:rPr>
          <w:fldChar w:fldCharType="begin"/>
        </w:r>
        <w:r>
          <w:rPr>
            <w:webHidden/>
          </w:rPr>
          <w:instrText xml:space="preserve"> PAGEREF _Toc230427739 \h </w:instrText>
        </w:r>
        <w:r>
          <w:rPr>
            <w:webHidden/>
          </w:rPr>
        </w:r>
        <w:r>
          <w:rPr>
            <w:webHidden/>
          </w:rPr>
          <w:fldChar w:fldCharType="separate"/>
        </w:r>
        <w:r>
          <w:rPr>
            <w:webHidden/>
          </w:rPr>
          <w:t>103</w:t>
        </w:r>
        <w:r>
          <w:rPr>
            <w:webHidden/>
          </w:rPr>
          <w:fldChar w:fldCharType="end"/>
        </w:r>
      </w:hyperlink>
    </w:p>
    <w:p w14:paraId="040B58D5" w14:textId="3BD29BA4" w:rsidR="00646511" w:rsidRDefault="00646511">
      <w:pPr>
        <w:pStyle w:val="TableofFigures"/>
        <w:rPr>
          <w:rFonts w:asciiTheme="minorHAnsi" w:eastAsiaTheme="minorEastAsia" w:hAnsiTheme="minorHAnsi" w:cstheme="minorBidi"/>
          <w:b w:val="0"/>
          <w:kern w:val="2"/>
          <w:sz w:val="24"/>
          <w:lang w:val="en-US" w:eastAsia="en-US"/>
          <w14:ligatures w14:val="standardContextual"/>
        </w:rPr>
      </w:pPr>
      <w:hyperlink w:anchor="_Toc230427740" w:history="1">
        <w:r w:rsidRPr="00334522">
          <w:rPr>
            <w:rStyle w:val="Hyperlink"/>
            <w:rFonts w:eastAsiaTheme="majorEastAsia"/>
          </w:rPr>
          <w:t>Tableau 20 : Résumé des attributions des institutions concernées par le PCMCI</w:t>
        </w:r>
        <w:r>
          <w:rPr>
            <w:webHidden/>
          </w:rPr>
          <w:tab/>
        </w:r>
        <w:r>
          <w:rPr>
            <w:webHidden/>
          </w:rPr>
          <w:fldChar w:fldCharType="begin"/>
        </w:r>
        <w:r>
          <w:rPr>
            <w:webHidden/>
          </w:rPr>
          <w:instrText xml:space="preserve"> PAGEREF _Toc230427740 \h </w:instrText>
        </w:r>
        <w:r>
          <w:rPr>
            <w:webHidden/>
          </w:rPr>
        </w:r>
        <w:r>
          <w:rPr>
            <w:webHidden/>
          </w:rPr>
          <w:fldChar w:fldCharType="separate"/>
        </w:r>
        <w:r>
          <w:rPr>
            <w:webHidden/>
          </w:rPr>
          <w:t>105</w:t>
        </w:r>
        <w:r>
          <w:rPr>
            <w:webHidden/>
          </w:rPr>
          <w:fldChar w:fldCharType="end"/>
        </w:r>
      </w:hyperlink>
    </w:p>
    <w:p w14:paraId="425B9F3F" w14:textId="391A6405" w:rsidR="00646511" w:rsidRDefault="00646511">
      <w:pPr>
        <w:pStyle w:val="TableofFigures"/>
        <w:rPr>
          <w:rFonts w:asciiTheme="minorHAnsi" w:eastAsiaTheme="minorEastAsia" w:hAnsiTheme="minorHAnsi" w:cstheme="minorBidi"/>
          <w:b w:val="0"/>
          <w:kern w:val="2"/>
          <w:sz w:val="24"/>
          <w:lang w:val="en-US" w:eastAsia="en-US"/>
          <w14:ligatures w14:val="standardContextual"/>
        </w:rPr>
      </w:pPr>
      <w:hyperlink w:anchor="_Toc230427741" w:history="1">
        <w:r w:rsidRPr="00334522">
          <w:rPr>
            <w:rStyle w:val="Hyperlink"/>
            <w:rFonts w:eastAsiaTheme="majorEastAsia"/>
          </w:rPr>
          <w:t>Tableau 21 : Sources d’impacts - – R</w:t>
        </w:r>
        <w:r w:rsidR="002C3D7F" w:rsidRPr="00334522">
          <w:rPr>
            <w:rStyle w:val="Hyperlink"/>
            <w:rFonts w:eastAsiaTheme="majorEastAsia"/>
          </w:rPr>
          <w:t>outes et infrastructures maritimes</w:t>
        </w:r>
        <w:r>
          <w:rPr>
            <w:webHidden/>
          </w:rPr>
          <w:tab/>
        </w:r>
        <w:r>
          <w:rPr>
            <w:webHidden/>
          </w:rPr>
          <w:fldChar w:fldCharType="begin"/>
        </w:r>
        <w:r>
          <w:rPr>
            <w:webHidden/>
          </w:rPr>
          <w:instrText xml:space="preserve"> PAGEREF _Toc230427741 \h </w:instrText>
        </w:r>
        <w:r>
          <w:rPr>
            <w:webHidden/>
          </w:rPr>
        </w:r>
        <w:r>
          <w:rPr>
            <w:webHidden/>
          </w:rPr>
          <w:fldChar w:fldCharType="separate"/>
        </w:r>
        <w:r>
          <w:rPr>
            <w:webHidden/>
          </w:rPr>
          <w:t>112</w:t>
        </w:r>
        <w:r>
          <w:rPr>
            <w:webHidden/>
          </w:rPr>
          <w:fldChar w:fldCharType="end"/>
        </w:r>
      </w:hyperlink>
    </w:p>
    <w:p w14:paraId="4FF912BF" w14:textId="23C4C9CB" w:rsidR="00646511" w:rsidRDefault="00646511">
      <w:pPr>
        <w:pStyle w:val="TableofFigures"/>
        <w:rPr>
          <w:rFonts w:asciiTheme="minorHAnsi" w:eastAsiaTheme="minorEastAsia" w:hAnsiTheme="minorHAnsi" w:cstheme="minorBidi"/>
          <w:b w:val="0"/>
          <w:kern w:val="2"/>
          <w:sz w:val="24"/>
          <w:lang w:val="en-US" w:eastAsia="en-US"/>
          <w14:ligatures w14:val="standardContextual"/>
        </w:rPr>
      </w:pPr>
      <w:hyperlink w:anchor="_Toc230427742" w:history="1">
        <w:r w:rsidRPr="00334522">
          <w:rPr>
            <w:rStyle w:val="Hyperlink"/>
            <w:rFonts w:eastAsiaTheme="majorEastAsia"/>
          </w:rPr>
          <w:t>Tableau 22 : I</w:t>
        </w:r>
        <w:r w:rsidR="002C3D7F" w:rsidRPr="00334522">
          <w:rPr>
            <w:rStyle w:val="Hyperlink"/>
            <w:rFonts w:eastAsiaTheme="majorEastAsia"/>
          </w:rPr>
          <w:t>mpacts type lies aux sites d</w:t>
        </w:r>
        <w:r w:rsidR="002C3D7F" w:rsidRPr="00334522">
          <w:rPr>
            <w:rStyle w:val="Hyperlink"/>
            <w:rFonts w:eastAsiaTheme="majorEastAsia" w:hint="eastAsia"/>
          </w:rPr>
          <w:t>’</w:t>
        </w:r>
        <w:r w:rsidR="002C3D7F" w:rsidRPr="00334522">
          <w:rPr>
            <w:rStyle w:val="Hyperlink"/>
            <w:rFonts w:eastAsiaTheme="majorEastAsia"/>
          </w:rPr>
          <w:t>extraction</w:t>
        </w:r>
        <w:r>
          <w:rPr>
            <w:webHidden/>
          </w:rPr>
          <w:tab/>
        </w:r>
        <w:r>
          <w:rPr>
            <w:webHidden/>
          </w:rPr>
          <w:fldChar w:fldCharType="begin"/>
        </w:r>
        <w:r>
          <w:rPr>
            <w:webHidden/>
          </w:rPr>
          <w:instrText xml:space="preserve"> PAGEREF _Toc230427742 \h </w:instrText>
        </w:r>
        <w:r>
          <w:rPr>
            <w:webHidden/>
          </w:rPr>
        </w:r>
        <w:r>
          <w:rPr>
            <w:webHidden/>
          </w:rPr>
          <w:fldChar w:fldCharType="separate"/>
        </w:r>
        <w:r>
          <w:rPr>
            <w:webHidden/>
          </w:rPr>
          <w:t>118</w:t>
        </w:r>
        <w:r>
          <w:rPr>
            <w:webHidden/>
          </w:rPr>
          <w:fldChar w:fldCharType="end"/>
        </w:r>
      </w:hyperlink>
    </w:p>
    <w:p w14:paraId="21510194" w14:textId="2D253ABD" w:rsidR="00646511" w:rsidRDefault="00646511">
      <w:pPr>
        <w:pStyle w:val="TableofFigures"/>
        <w:rPr>
          <w:rFonts w:asciiTheme="minorHAnsi" w:eastAsiaTheme="minorEastAsia" w:hAnsiTheme="minorHAnsi" w:cstheme="minorBidi"/>
          <w:b w:val="0"/>
          <w:kern w:val="2"/>
          <w:sz w:val="24"/>
          <w:lang w:val="en-US" w:eastAsia="en-US"/>
          <w14:ligatures w14:val="standardContextual"/>
        </w:rPr>
      </w:pPr>
      <w:hyperlink w:anchor="_Toc230427743" w:history="1">
        <w:r w:rsidRPr="00334522">
          <w:rPr>
            <w:rStyle w:val="Hyperlink"/>
            <w:rFonts w:eastAsiaTheme="majorEastAsia"/>
          </w:rPr>
          <w:t>Tableau 23 : Grille d’évaluation des impacts</w:t>
        </w:r>
        <w:r w:rsidRPr="00334522">
          <w:rPr>
            <w:rStyle w:val="Hyperlink"/>
            <w:rFonts w:ascii="Times New Roman" w:eastAsiaTheme="majorEastAsia" w:hAnsi="Times New Roman"/>
          </w:rPr>
          <w:t xml:space="preserve"> (matrice de Fecteau)</w:t>
        </w:r>
        <w:r>
          <w:rPr>
            <w:webHidden/>
          </w:rPr>
          <w:tab/>
        </w:r>
        <w:r>
          <w:rPr>
            <w:webHidden/>
          </w:rPr>
          <w:fldChar w:fldCharType="begin"/>
        </w:r>
        <w:r>
          <w:rPr>
            <w:webHidden/>
          </w:rPr>
          <w:instrText xml:space="preserve"> PAGEREF _Toc230427743 \h </w:instrText>
        </w:r>
        <w:r>
          <w:rPr>
            <w:webHidden/>
          </w:rPr>
        </w:r>
        <w:r>
          <w:rPr>
            <w:webHidden/>
          </w:rPr>
          <w:fldChar w:fldCharType="separate"/>
        </w:r>
        <w:r>
          <w:rPr>
            <w:webHidden/>
          </w:rPr>
          <w:t>120</w:t>
        </w:r>
        <w:r>
          <w:rPr>
            <w:webHidden/>
          </w:rPr>
          <w:fldChar w:fldCharType="end"/>
        </w:r>
      </w:hyperlink>
    </w:p>
    <w:p w14:paraId="3BB65C97" w14:textId="46F7A536" w:rsidR="00646511" w:rsidRDefault="00646511">
      <w:pPr>
        <w:pStyle w:val="TableofFigures"/>
        <w:rPr>
          <w:rFonts w:asciiTheme="minorHAnsi" w:eastAsiaTheme="minorEastAsia" w:hAnsiTheme="minorHAnsi" w:cstheme="minorBidi"/>
          <w:b w:val="0"/>
          <w:kern w:val="2"/>
          <w:sz w:val="24"/>
          <w:lang w:val="en-US" w:eastAsia="en-US"/>
          <w14:ligatures w14:val="standardContextual"/>
        </w:rPr>
      </w:pPr>
      <w:hyperlink w:anchor="_Toc230427744" w:history="1">
        <w:r w:rsidRPr="00334522">
          <w:rPr>
            <w:rStyle w:val="Hyperlink"/>
            <w:rFonts w:eastAsiaTheme="majorEastAsia"/>
          </w:rPr>
          <w:t>Tableau 24 : Mesures types de maximisation des retombées positives des travaux d’infrastructures</w:t>
        </w:r>
        <w:r>
          <w:rPr>
            <w:webHidden/>
          </w:rPr>
          <w:tab/>
        </w:r>
        <w:r>
          <w:rPr>
            <w:webHidden/>
          </w:rPr>
          <w:fldChar w:fldCharType="begin"/>
        </w:r>
        <w:r>
          <w:rPr>
            <w:webHidden/>
          </w:rPr>
          <w:instrText xml:space="preserve"> PAGEREF _Toc230427744 \h </w:instrText>
        </w:r>
        <w:r>
          <w:rPr>
            <w:webHidden/>
          </w:rPr>
        </w:r>
        <w:r>
          <w:rPr>
            <w:webHidden/>
          </w:rPr>
          <w:fldChar w:fldCharType="separate"/>
        </w:r>
        <w:r>
          <w:rPr>
            <w:webHidden/>
          </w:rPr>
          <w:t>122</w:t>
        </w:r>
        <w:r>
          <w:rPr>
            <w:webHidden/>
          </w:rPr>
          <w:fldChar w:fldCharType="end"/>
        </w:r>
      </w:hyperlink>
    </w:p>
    <w:p w14:paraId="5E0ACDD1" w14:textId="622AEE43" w:rsidR="00646511" w:rsidRDefault="00646511">
      <w:pPr>
        <w:pStyle w:val="TableofFigures"/>
        <w:rPr>
          <w:rFonts w:asciiTheme="minorHAnsi" w:eastAsiaTheme="minorEastAsia" w:hAnsiTheme="minorHAnsi" w:cstheme="minorBidi"/>
          <w:b w:val="0"/>
          <w:kern w:val="2"/>
          <w:sz w:val="24"/>
          <w:lang w:val="en-US" w:eastAsia="en-US"/>
          <w14:ligatures w14:val="standardContextual"/>
        </w:rPr>
      </w:pPr>
      <w:hyperlink w:anchor="_Toc230427745" w:history="1">
        <w:r w:rsidRPr="00334522">
          <w:rPr>
            <w:rStyle w:val="Hyperlink"/>
            <w:rFonts w:eastAsiaTheme="majorEastAsia"/>
          </w:rPr>
          <w:t>Tableau 25 : M</w:t>
        </w:r>
        <w:r w:rsidR="002C3D7F" w:rsidRPr="00334522">
          <w:rPr>
            <w:rStyle w:val="Hyperlink"/>
            <w:rFonts w:eastAsiaTheme="majorEastAsia"/>
          </w:rPr>
          <w:t>esures types liees aux travaux preparatoires</w:t>
        </w:r>
        <w:r>
          <w:rPr>
            <w:webHidden/>
          </w:rPr>
          <w:tab/>
        </w:r>
        <w:r>
          <w:rPr>
            <w:webHidden/>
          </w:rPr>
          <w:fldChar w:fldCharType="begin"/>
        </w:r>
        <w:r>
          <w:rPr>
            <w:webHidden/>
          </w:rPr>
          <w:instrText xml:space="preserve"> PAGEREF _Toc230427745 \h </w:instrText>
        </w:r>
        <w:r>
          <w:rPr>
            <w:webHidden/>
          </w:rPr>
        </w:r>
        <w:r>
          <w:rPr>
            <w:webHidden/>
          </w:rPr>
          <w:fldChar w:fldCharType="separate"/>
        </w:r>
        <w:r>
          <w:rPr>
            <w:webHidden/>
          </w:rPr>
          <w:t>124</w:t>
        </w:r>
        <w:r>
          <w:rPr>
            <w:webHidden/>
          </w:rPr>
          <w:fldChar w:fldCharType="end"/>
        </w:r>
      </w:hyperlink>
    </w:p>
    <w:p w14:paraId="5F86B745" w14:textId="680C17F5" w:rsidR="00646511" w:rsidRDefault="00646511">
      <w:pPr>
        <w:pStyle w:val="TableofFigures"/>
        <w:rPr>
          <w:rFonts w:asciiTheme="minorHAnsi" w:eastAsiaTheme="minorEastAsia" w:hAnsiTheme="minorHAnsi" w:cstheme="minorBidi"/>
          <w:b w:val="0"/>
          <w:kern w:val="2"/>
          <w:sz w:val="24"/>
          <w:lang w:val="en-US" w:eastAsia="en-US"/>
          <w14:ligatures w14:val="standardContextual"/>
        </w:rPr>
      </w:pPr>
      <w:hyperlink w:anchor="_Toc230427746" w:history="1">
        <w:r w:rsidRPr="00334522">
          <w:rPr>
            <w:rStyle w:val="Hyperlink"/>
            <w:rFonts w:eastAsiaTheme="majorEastAsia"/>
          </w:rPr>
          <w:t>Tableau 26 : Mesures types liées à la phase des travaux</w:t>
        </w:r>
        <w:r>
          <w:rPr>
            <w:webHidden/>
          </w:rPr>
          <w:tab/>
        </w:r>
        <w:r>
          <w:rPr>
            <w:webHidden/>
          </w:rPr>
          <w:fldChar w:fldCharType="begin"/>
        </w:r>
        <w:r>
          <w:rPr>
            <w:webHidden/>
          </w:rPr>
          <w:instrText xml:space="preserve"> PAGEREF _Toc230427746 \h </w:instrText>
        </w:r>
        <w:r>
          <w:rPr>
            <w:webHidden/>
          </w:rPr>
        </w:r>
        <w:r>
          <w:rPr>
            <w:webHidden/>
          </w:rPr>
          <w:fldChar w:fldCharType="separate"/>
        </w:r>
        <w:r>
          <w:rPr>
            <w:webHidden/>
          </w:rPr>
          <w:t>125</w:t>
        </w:r>
        <w:r>
          <w:rPr>
            <w:webHidden/>
          </w:rPr>
          <w:fldChar w:fldCharType="end"/>
        </w:r>
      </w:hyperlink>
    </w:p>
    <w:p w14:paraId="4E31C4EE" w14:textId="307EFEAF" w:rsidR="00646511" w:rsidRDefault="00646511">
      <w:pPr>
        <w:pStyle w:val="TableofFigures"/>
        <w:rPr>
          <w:rFonts w:asciiTheme="minorHAnsi" w:eastAsiaTheme="minorEastAsia" w:hAnsiTheme="minorHAnsi" w:cstheme="minorBidi"/>
          <w:b w:val="0"/>
          <w:kern w:val="2"/>
          <w:sz w:val="24"/>
          <w:lang w:val="en-US" w:eastAsia="en-US"/>
          <w14:ligatures w14:val="standardContextual"/>
        </w:rPr>
      </w:pPr>
      <w:hyperlink w:anchor="_Toc230427747" w:history="1">
        <w:r w:rsidRPr="00334522">
          <w:rPr>
            <w:rStyle w:val="Hyperlink"/>
            <w:rFonts w:eastAsiaTheme="majorEastAsia"/>
          </w:rPr>
          <w:t>Tableau 27 : M</w:t>
        </w:r>
        <w:r w:rsidR="002C3D7F" w:rsidRPr="00334522">
          <w:rPr>
            <w:rStyle w:val="Hyperlink"/>
            <w:rFonts w:eastAsiaTheme="majorEastAsia"/>
          </w:rPr>
          <w:t>esures types pour la phase de cloture</w:t>
        </w:r>
        <w:r>
          <w:rPr>
            <w:webHidden/>
          </w:rPr>
          <w:tab/>
        </w:r>
        <w:r>
          <w:rPr>
            <w:webHidden/>
          </w:rPr>
          <w:fldChar w:fldCharType="begin"/>
        </w:r>
        <w:r>
          <w:rPr>
            <w:webHidden/>
          </w:rPr>
          <w:instrText xml:space="preserve"> PAGEREF _Toc230427747 \h </w:instrText>
        </w:r>
        <w:r>
          <w:rPr>
            <w:webHidden/>
          </w:rPr>
        </w:r>
        <w:r>
          <w:rPr>
            <w:webHidden/>
          </w:rPr>
          <w:fldChar w:fldCharType="separate"/>
        </w:r>
        <w:r>
          <w:rPr>
            <w:webHidden/>
          </w:rPr>
          <w:t>127</w:t>
        </w:r>
        <w:r>
          <w:rPr>
            <w:webHidden/>
          </w:rPr>
          <w:fldChar w:fldCharType="end"/>
        </w:r>
      </w:hyperlink>
    </w:p>
    <w:p w14:paraId="665CC9C2" w14:textId="1BF76DB5" w:rsidR="00646511" w:rsidRDefault="00646511">
      <w:pPr>
        <w:pStyle w:val="TableofFigures"/>
        <w:rPr>
          <w:rFonts w:asciiTheme="minorHAnsi" w:eastAsiaTheme="minorEastAsia" w:hAnsiTheme="minorHAnsi" w:cstheme="minorBidi"/>
          <w:b w:val="0"/>
          <w:kern w:val="2"/>
          <w:sz w:val="24"/>
          <w:lang w:val="en-US" w:eastAsia="en-US"/>
          <w14:ligatures w14:val="standardContextual"/>
        </w:rPr>
      </w:pPr>
      <w:hyperlink w:anchor="_Toc230427748" w:history="1">
        <w:r w:rsidRPr="00334522">
          <w:rPr>
            <w:rStyle w:val="Hyperlink"/>
            <w:rFonts w:eastAsiaTheme="majorEastAsia"/>
          </w:rPr>
          <w:t>Tableau 28 : P</w:t>
        </w:r>
        <w:r w:rsidR="002C3D7F" w:rsidRPr="00334522">
          <w:rPr>
            <w:rStyle w:val="Hyperlink"/>
            <w:rFonts w:eastAsiaTheme="majorEastAsia"/>
          </w:rPr>
          <w:t>articipants aux consultations</w:t>
        </w:r>
        <w:r>
          <w:rPr>
            <w:webHidden/>
          </w:rPr>
          <w:tab/>
        </w:r>
        <w:r>
          <w:rPr>
            <w:webHidden/>
          </w:rPr>
          <w:fldChar w:fldCharType="begin"/>
        </w:r>
        <w:r>
          <w:rPr>
            <w:webHidden/>
          </w:rPr>
          <w:instrText xml:space="preserve"> PAGEREF _Toc230427748 \h </w:instrText>
        </w:r>
        <w:r>
          <w:rPr>
            <w:webHidden/>
          </w:rPr>
        </w:r>
        <w:r>
          <w:rPr>
            <w:webHidden/>
          </w:rPr>
          <w:fldChar w:fldCharType="separate"/>
        </w:r>
        <w:r>
          <w:rPr>
            <w:webHidden/>
          </w:rPr>
          <w:t>130</w:t>
        </w:r>
        <w:r>
          <w:rPr>
            <w:webHidden/>
          </w:rPr>
          <w:fldChar w:fldCharType="end"/>
        </w:r>
      </w:hyperlink>
    </w:p>
    <w:p w14:paraId="10B4F584" w14:textId="795E1FB4" w:rsidR="00646511" w:rsidRDefault="00646511">
      <w:pPr>
        <w:pStyle w:val="TableofFigures"/>
        <w:rPr>
          <w:rFonts w:asciiTheme="minorHAnsi" w:eastAsiaTheme="minorEastAsia" w:hAnsiTheme="minorHAnsi" w:cstheme="minorBidi"/>
          <w:b w:val="0"/>
          <w:kern w:val="2"/>
          <w:sz w:val="24"/>
          <w:lang w:val="en-US" w:eastAsia="en-US"/>
          <w14:ligatures w14:val="standardContextual"/>
        </w:rPr>
      </w:pPr>
      <w:hyperlink w:anchor="_Toc230427749" w:history="1">
        <w:r w:rsidRPr="00334522">
          <w:rPr>
            <w:rStyle w:val="Hyperlink"/>
            <w:rFonts w:eastAsiaTheme="majorEastAsia"/>
          </w:rPr>
          <w:t>Tableau 29 : Résumé des principales responsabilités dans le processus d’évaluation environnementale et sociale</w:t>
        </w:r>
        <w:r>
          <w:rPr>
            <w:webHidden/>
          </w:rPr>
          <w:tab/>
        </w:r>
        <w:r>
          <w:rPr>
            <w:webHidden/>
          </w:rPr>
          <w:fldChar w:fldCharType="begin"/>
        </w:r>
        <w:r>
          <w:rPr>
            <w:webHidden/>
          </w:rPr>
          <w:instrText xml:space="preserve"> PAGEREF _Toc230427749 \h </w:instrText>
        </w:r>
        <w:r>
          <w:rPr>
            <w:webHidden/>
          </w:rPr>
        </w:r>
        <w:r>
          <w:rPr>
            <w:webHidden/>
          </w:rPr>
          <w:fldChar w:fldCharType="separate"/>
        </w:r>
        <w:r>
          <w:rPr>
            <w:webHidden/>
          </w:rPr>
          <w:t>139</w:t>
        </w:r>
        <w:r>
          <w:rPr>
            <w:webHidden/>
          </w:rPr>
          <w:fldChar w:fldCharType="end"/>
        </w:r>
      </w:hyperlink>
    </w:p>
    <w:p w14:paraId="093B7ADC" w14:textId="4F48F1E6" w:rsidR="00646511" w:rsidRDefault="00646511">
      <w:pPr>
        <w:pStyle w:val="TableofFigures"/>
        <w:rPr>
          <w:rFonts w:asciiTheme="minorHAnsi" w:eastAsiaTheme="minorEastAsia" w:hAnsiTheme="minorHAnsi" w:cstheme="minorBidi"/>
          <w:b w:val="0"/>
          <w:kern w:val="2"/>
          <w:sz w:val="24"/>
          <w:lang w:val="en-US" w:eastAsia="en-US"/>
          <w14:ligatures w14:val="standardContextual"/>
        </w:rPr>
      </w:pPr>
      <w:hyperlink w:anchor="_Toc230427750" w:history="1">
        <w:r w:rsidRPr="00334522">
          <w:rPr>
            <w:rStyle w:val="Hyperlink"/>
            <w:rFonts w:eastAsiaTheme="majorEastAsia"/>
          </w:rPr>
          <w:t>Tableau 30 : Etapes du processus de traitement des doléances reçues</w:t>
        </w:r>
        <w:r>
          <w:rPr>
            <w:webHidden/>
          </w:rPr>
          <w:tab/>
        </w:r>
        <w:r>
          <w:rPr>
            <w:webHidden/>
          </w:rPr>
          <w:fldChar w:fldCharType="begin"/>
        </w:r>
        <w:r>
          <w:rPr>
            <w:webHidden/>
          </w:rPr>
          <w:instrText xml:space="preserve"> PAGEREF _Toc230427750 \h </w:instrText>
        </w:r>
        <w:r>
          <w:rPr>
            <w:webHidden/>
          </w:rPr>
        </w:r>
        <w:r>
          <w:rPr>
            <w:webHidden/>
          </w:rPr>
          <w:fldChar w:fldCharType="separate"/>
        </w:r>
        <w:r>
          <w:rPr>
            <w:webHidden/>
          </w:rPr>
          <w:t>145</w:t>
        </w:r>
        <w:r>
          <w:rPr>
            <w:webHidden/>
          </w:rPr>
          <w:fldChar w:fldCharType="end"/>
        </w:r>
      </w:hyperlink>
    </w:p>
    <w:p w14:paraId="49E4FC59" w14:textId="6A03402E" w:rsidR="00646511" w:rsidRDefault="00646511">
      <w:pPr>
        <w:pStyle w:val="TableofFigures"/>
        <w:rPr>
          <w:rFonts w:asciiTheme="minorHAnsi" w:eastAsiaTheme="minorEastAsia" w:hAnsiTheme="minorHAnsi" w:cstheme="minorBidi"/>
          <w:b w:val="0"/>
          <w:kern w:val="2"/>
          <w:sz w:val="24"/>
          <w:lang w:val="en-US" w:eastAsia="en-US"/>
          <w14:ligatures w14:val="standardContextual"/>
        </w:rPr>
      </w:pPr>
      <w:hyperlink w:anchor="_Toc230427751" w:history="1">
        <w:r w:rsidRPr="00334522">
          <w:rPr>
            <w:rStyle w:val="Hyperlink"/>
            <w:rFonts w:eastAsiaTheme="majorEastAsia"/>
          </w:rPr>
          <w:t>Tableau 31 : Budget pour le Plan d’actions EAS-HS</w:t>
        </w:r>
        <w:r>
          <w:rPr>
            <w:webHidden/>
          </w:rPr>
          <w:tab/>
        </w:r>
        <w:r>
          <w:rPr>
            <w:webHidden/>
          </w:rPr>
          <w:fldChar w:fldCharType="begin"/>
        </w:r>
        <w:r>
          <w:rPr>
            <w:webHidden/>
          </w:rPr>
          <w:instrText xml:space="preserve"> PAGEREF _Toc230427751 \h </w:instrText>
        </w:r>
        <w:r>
          <w:rPr>
            <w:webHidden/>
          </w:rPr>
        </w:r>
        <w:r>
          <w:rPr>
            <w:webHidden/>
          </w:rPr>
          <w:fldChar w:fldCharType="separate"/>
        </w:r>
        <w:r>
          <w:rPr>
            <w:webHidden/>
          </w:rPr>
          <w:t>152</w:t>
        </w:r>
        <w:r>
          <w:rPr>
            <w:webHidden/>
          </w:rPr>
          <w:fldChar w:fldCharType="end"/>
        </w:r>
      </w:hyperlink>
    </w:p>
    <w:p w14:paraId="70B1C589" w14:textId="47096273" w:rsidR="00646511" w:rsidRDefault="00646511">
      <w:pPr>
        <w:pStyle w:val="TableofFigures"/>
        <w:rPr>
          <w:rFonts w:asciiTheme="minorHAnsi" w:eastAsiaTheme="minorEastAsia" w:hAnsiTheme="minorHAnsi" w:cstheme="minorBidi"/>
          <w:b w:val="0"/>
          <w:kern w:val="2"/>
          <w:sz w:val="24"/>
          <w:lang w:val="en-US" w:eastAsia="en-US"/>
          <w14:ligatures w14:val="standardContextual"/>
        </w:rPr>
      </w:pPr>
      <w:hyperlink w:anchor="_Toc230427752" w:history="1">
        <w:r w:rsidRPr="00334522">
          <w:rPr>
            <w:rStyle w:val="Hyperlink"/>
            <w:rFonts w:eastAsiaTheme="majorEastAsia"/>
          </w:rPr>
          <w:t>Tableau 32 . Budget pour le Plan d’actions pour la promotion du Genre</w:t>
        </w:r>
        <w:r>
          <w:rPr>
            <w:webHidden/>
          </w:rPr>
          <w:tab/>
        </w:r>
        <w:r>
          <w:rPr>
            <w:webHidden/>
          </w:rPr>
          <w:fldChar w:fldCharType="begin"/>
        </w:r>
        <w:r>
          <w:rPr>
            <w:webHidden/>
          </w:rPr>
          <w:instrText xml:space="preserve"> PAGEREF _Toc230427752 \h </w:instrText>
        </w:r>
        <w:r>
          <w:rPr>
            <w:webHidden/>
          </w:rPr>
        </w:r>
        <w:r>
          <w:rPr>
            <w:webHidden/>
          </w:rPr>
          <w:fldChar w:fldCharType="separate"/>
        </w:r>
        <w:r>
          <w:rPr>
            <w:webHidden/>
          </w:rPr>
          <w:t>152</w:t>
        </w:r>
        <w:r>
          <w:rPr>
            <w:webHidden/>
          </w:rPr>
          <w:fldChar w:fldCharType="end"/>
        </w:r>
      </w:hyperlink>
    </w:p>
    <w:p w14:paraId="6EF4057D" w14:textId="0677E500" w:rsidR="00646511" w:rsidRDefault="00646511">
      <w:pPr>
        <w:pStyle w:val="TableofFigures"/>
        <w:rPr>
          <w:rFonts w:asciiTheme="minorHAnsi" w:eastAsiaTheme="minorEastAsia" w:hAnsiTheme="minorHAnsi" w:cstheme="minorBidi"/>
          <w:b w:val="0"/>
          <w:kern w:val="2"/>
          <w:sz w:val="24"/>
          <w:lang w:val="en-US" w:eastAsia="en-US"/>
          <w14:ligatures w14:val="standardContextual"/>
        </w:rPr>
      </w:pPr>
      <w:hyperlink w:anchor="_Toc230427753" w:history="1">
        <w:r w:rsidRPr="00334522">
          <w:rPr>
            <w:rStyle w:val="Hyperlink"/>
            <w:rFonts w:eastAsiaTheme="majorEastAsia"/>
          </w:rPr>
          <w:t>Tableau 33 : P</w:t>
        </w:r>
        <w:r w:rsidR="002C3D7F" w:rsidRPr="00334522">
          <w:rPr>
            <w:rStyle w:val="Hyperlink"/>
            <w:rFonts w:eastAsiaTheme="majorEastAsia"/>
          </w:rPr>
          <w:t xml:space="preserve">lan cadre de surveillance e&amp;s </w:t>
        </w:r>
        <w:r w:rsidR="002C3D7F" w:rsidRPr="00334522">
          <w:rPr>
            <w:rStyle w:val="Hyperlink"/>
            <w:rFonts w:eastAsiaTheme="majorEastAsia" w:hint="eastAsia"/>
          </w:rPr>
          <w:t>–</w:t>
        </w:r>
        <w:r w:rsidR="002C3D7F" w:rsidRPr="00334522">
          <w:rPr>
            <w:rStyle w:val="Hyperlink"/>
            <w:rFonts w:eastAsiaTheme="majorEastAsia"/>
          </w:rPr>
          <w:t xml:space="preserve"> travaux de genie civil </w:t>
        </w:r>
        <w:r w:rsidR="002C3D7F" w:rsidRPr="00334522">
          <w:rPr>
            <w:rStyle w:val="Hyperlink"/>
            <w:rFonts w:eastAsiaTheme="majorEastAsia" w:hint="eastAsia"/>
          </w:rPr>
          <w:t>–</w:t>
        </w:r>
        <w:r w:rsidR="002C3D7F" w:rsidRPr="00334522">
          <w:rPr>
            <w:rStyle w:val="Hyperlink"/>
            <w:rFonts w:eastAsiaTheme="majorEastAsia"/>
          </w:rPr>
          <w:t xml:space="preserve"> phase de preparation</w:t>
        </w:r>
        <w:r>
          <w:rPr>
            <w:webHidden/>
          </w:rPr>
          <w:tab/>
        </w:r>
        <w:r>
          <w:rPr>
            <w:webHidden/>
          </w:rPr>
          <w:fldChar w:fldCharType="begin"/>
        </w:r>
        <w:r>
          <w:rPr>
            <w:webHidden/>
          </w:rPr>
          <w:instrText xml:space="preserve"> PAGEREF _Toc230427753 \h </w:instrText>
        </w:r>
        <w:r>
          <w:rPr>
            <w:webHidden/>
          </w:rPr>
        </w:r>
        <w:r>
          <w:rPr>
            <w:webHidden/>
          </w:rPr>
          <w:fldChar w:fldCharType="separate"/>
        </w:r>
        <w:r>
          <w:rPr>
            <w:webHidden/>
          </w:rPr>
          <w:t>157</w:t>
        </w:r>
        <w:r>
          <w:rPr>
            <w:webHidden/>
          </w:rPr>
          <w:fldChar w:fldCharType="end"/>
        </w:r>
      </w:hyperlink>
    </w:p>
    <w:p w14:paraId="22837BD5" w14:textId="3D455DDE" w:rsidR="00646511" w:rsidRDefault="00646511">
      <w:pPr>
        <w:pStyle w:val="TableofFigures"/>
        <w:rPr>
          <w:rFonts w:asciiTheme="minorHAnsi" w:eastAsiaTheme="minorEastAsia" w:hAnsiTheme="minorHAnsi" w:cstheme="minorBidi"/>
          <w:b w:val="0"/>
          <w:kern w:val="2"/>
          <w:sz w:val="24"/>
          <w:lang w:val="en-US" w:eastAsia="en-US"/>
          <w14:ligatures w14:val="standardContextual"/>
        </w:rPr>
      </w:pPr>
      <w:hyperlink w:anchor="_Toc230427754" w:history="1">
        <w:r w:rsidRPr="00334522">
          <w:rPr>
            <w:rStyle w:val="Hyperlink"/>
            <w:rFonts w:eastAsiaTheme="majorEastAsia"/>
          </w:rPr>
          <w:t>Tableau 34 : P</w:t>
        </w:r>
        <w:r w:rsidR="002C3D7F" w:rsidRPr="00334522">
          <w:rPr>
            <w:rStyle w:val="Hyperlink"/>
            <w:rFonts w:eastAsiaTheme="majorEastAsia"/>
          </w:rPr>
          <w:t xml:space="preserve">lan cadre de surveillance e&amp;s </w:t>
        </w:r>
        <w:r w:rsidR="002C3D7F" w:rsidRPr="00334522">
          <w:rPr>
            <w:rStyle w:val="Hyperlink"/>
            <w:rFonts w:eastAsiaTheme="majorEastAsia" w:hint="eastAsia"/>
          </w:rPr>
          <w:t>–</w:t>
        </w:r>
        <w:r w:rsidR="002C3D7F" w:rsidRPr="00334522">
          <w:rPr>
            <w:rStyle w:val="Hyperlink"/>
            <w:rFonts w:eastAsiaTheme="majorEastAsia"/>
          </w:rPr>
          <w:t xml:space="preserve"> travaux de genie civil </w:t>
        </w:r>
        <w:r w:rsidR="002C3D7F" w:rsidRPr="00334522">
          <w:rPr>
            <w:rStyle w:val="Hyperlink"/>
            <w:rFonts w:eastAsiaTheme="majorEastAsia" w:hint="eastAsia"/>
          </w:rPr>
          <w:t>–</w:t>
        </w:r>
        <w:r w:rsidR="002C3D7F" w:rsidRPr="00334522">
          <w:rPr>
            <w:rStyle w:val="Hyperlink"/>
            <w:rFonts w:eastAsiaTheme="majorEastAsia"/>
          </w:rPr>
          <w:t xml:space="preserve"> phase de mise en oeuvre</w:t>
        </w:r>
        <w:r>
          <w:rPr>
            <w:webHidden/>
          </w:rPr>
          <w:tab/>
        </w:r>
        <w:r>
          <w:rPr>
            <w:webHidden/>
          </w:rPr>
          <w:fldChar w:fldCharType="begin"/>
        </w:r>
        <w:r>
          <w:rPr>
            <w:webHidden/>
          </w:rPr>
          <w:instrText xml:space="preserve"> PAGEREF _Toc230427754 \h </w:instrText>
        </w:r>
        <w:r>
          <w:rPr>
            <w:webHidden/>
          </w:rPr>
        </w:r>
        <w:r>
          <w:rPr>
            <w:webHidden/>
          </w:rPr>
          <w:fldChar w:fldCharType="separate"/>
        </w:r>
        <w:r>
          <w:rPr>
            <w:webHidden/>
          </w:rPr>
          <w:t>159</w:t>
        </w:r>
        <w:r>
          <w:rPr>
            <w:webHidden/>
          </w:rPr>
          <w:fldChar w:fldCharType="end"/>
        </w:r>
      </w:hyperlink>
    </w:p>
    <w:p w14:paraId="293251C1" w14:textId="20B1D279" w:rsidR="00646511" w:rsidRDefault="00646511">
      <w:pPr>
        <w:pStyle w:val="TableofFigures"/>
        <w:rPr>
          <w:rFonts w:asciiTheme="minorHAnsi" w:eastAsiaTheme="minorEastAsia" w:hAnsiTheme="minorHAnsi" w:cstheme="minorBidi"/>
          <w:b w:val="0"/>
          <w:kern w:val="2"/>
          <w:sz w:val="24"/>
          <w:lang w:val="en-US" w:eastAsia="en-US"/>
          <w14:ligatures w14:val="standardContextual"/>
        </w:rPr>
      </w:pPr>
      <w:hyperlink w:anchor="_Toc230427755" w:history="1">
        <w:r w:rsidRPr="00334522">
          <w:rPr>
            <w:rStyle w:val="Hyperlink"/>
            <w:rFonts w:eastAsiaTheme="majorEastAsia"/>
          </w:rPr>
          <w:t>Tableau 35 : PLAN cadre de surveillance E&amp;S. Travaux de génie civil - Phase de repli de chantier</w:t>
        </w:r>
        <w:r>
          <w:rPr>
            <w:webHidden/>
          </w:rPr>
          <w:tab/>
        </w:r>
        <w:r>
          <w:rPr>
            <w:webHidden/>
          </w:rPr>
          <w:fldChar w:fldCharType="begin"/>
        </w:r>
        <w:r>
          <w:rPr>
            <w:webHidden/>
          </w:rPr>
          <w:instrText xml:space="preserve"> PAGEREF _Toc230427755 \h </w:instrText>
        </w:r>
        <w:r>
          <w:rPr>
            <w:webHidden/>
          </w:rPr>
        </w:r>
        <w:r>
          <w:rPr>
            <w:webHidden/>
          </w:rPr>
          <w:fldChar w:fldCharType="separate"/>
        </w:r>
        <w:r>
          <w:rPr>
            <w:webHidden/>
          </w:rPr>
          <w:t>162</w:t>
        </w:r>
        <w:r>
          <w:rPr>
            <w:webHidden/>
          </w:rPr>
          <w:fldChar w:fldCharType="end"/>
        </w:r>
      </w:hyperlink>
    </w:p>
    <w:p w14:paraId="0A771582" w14:textId="123DDB3F" w:rsidR="00646511" w:rsidRDefault="00646511">
      <w:pPr>
        <w:pStyle w:val="TableofFigures"/>
        <w:rPr>
          <w:rFonts w:asciiTheme="minorHAnsi" w:eastAsiaTheme="minorEastAsia" w:hAnsiTheme="minorHAnsi" w:cstheme="minorBidi"/>
          <w:b w:val="0"/>
          <w:kern w:val="2"/>
          <w:sz w:val="24"/>
          <w:lang w:val="en-US" w:eastAsia="en-US"/>
          <w14:ligatures w14:val="standardContextual"/>
        </w:rPr>
      </w:pPr>
      <w:hyperlink w:anchor="_Toc230427756" w:history="1">
        <w:r w:rsidRPr="00334522">
          <w:rPr>
            <w:rStyle w:val="Hyperlink"/>
            <w:rFonts w:eastAsiaTheme="majorEastAsia"/>
          </w:rPr>
          <w:t>Tableau 36 : P</w:t>
        </w:r>
        <w:r w:rsidR="002C3D7F" w:rsidRPr="00334522">
          <w:rPr>
            <w:rStyle w:val="Hyperlink"/>
            <w:rFonts w:eastAsiaTheme="majorEastAsia"/>
          </w:rPr>
          <w:t>lan</w:t>
        </w:r>
        <w:r w:rsidRPr="00334522">
          <w:rPr>
            <w:rStyle w:val="Hyperlink"/>
            <w:rFonts w:eastAsiaTheme="majorEastAsia"/>
          </w:rPr>
          <w:t xml:space="preserve"> cadre de surveillance E&amp;S. Cas des sites d’extraction</w:t>
        </w:r>
        <w:r>
          <w:rPr>
            <w:webHidden/>
          </w:rPr>
          <w:tab/>
        </w:r>
        <w:r>
          <w:rPr>
            <w:webHidden/>
          </w:rPr>
          <w:fldChar w:fldCharType="begin"/>
        </w:r>
        <w:r>
          <w:rPr>
            <w:webHidden/>
          </w:rPr>
          <w:instrText xml:space="preserve"> PAGEREF _Toc230427756 \h </w:instrText>
        </w:r>
        <w:r>
          <w:rPr>
            <w:webHidden/>
          </w:rPr>
        </w:r>
        <w:r>
          <w:rPr>
            <w:webHidden/>
          </w:rPr>
          <w:fldChar w:fldCharType="separate"/>
        </w:r>
        <w:r>
          <w:rPr>
            <w:webHidden/>
          </w:rPr>
          <w:t>163</w:t>
        </w:r>
        <w:r>
          <w:rPr>
            <w:webHidden/>
          </w:rPr>
          <w:fldChar w:fldCharType="end"/>
        </w:r>
      </w:hyperlink>
    </w:p>
    <w:p w14:paraId="1580DF24" w14:textId="25571B6E" w:rsidR="00646511" w:rsidRDefault="00646511">
      <w:pPr>
        <w:pStyle w:val="TableofFigures"/>
        <w:rPr>
          <w:rFonts w:asciiTheme="minorHAnsi" w:eastAsiaTheme="minorEastAsia" w:hAnsiTheme="minorHAnsi" w:cstheme="minorBidi"/>
          <w:b w:val="0"/>
          <w:kern w:val="2"/>
          <w:sz w:val="24"/>
          <w:lang w:val="en-US" w:eastAsia="en-US"/>
          <w14:ligatures w14:val="standardContextual"/>
        </w:rPr>
      </w:pPr>
      <w:hyperlink w:anchor="_Toc230427757" w:history="1">
        <w:r w:rsidRPr="00334522">
          <w:rPr>
            <w:rStyle w:val="Hyperlink"/>
            <w:rFonts w:eastAsiaTheme="majorEastAsia"/>
          </w:rPr>
          <w:t>Tableau 37 : P</w:t>
        </w:r>
        <w:r w:rsidR="002C3D7F" w:rsidRPr="00334522">
          <w:rPr>
            <w:rStyle w:val="Hyperlink"/>
            <w:rFonts w:eastAsiaTheme="majorEastAsia"/>
          </w:rPr>
          <w:t xml:space="preserve">lan cadre de suivi e&amp;s </w:t>
        </w:r>
        <w:r w:rsidR="002C3D7F" w:rsidRPr="00334522">
          <w:rPr>
            <w:rStyle w:val="Hyperlink"/>
            <w:rFonts w:eastAsiaTheme="majorEastAsia" w:hint="eastAsia"/>
          </w:rPr>
          <w:t>–</w:t>
        </w:r>
        <w:r w:rsidR="002C3D7F" w:rsidRPr="00334522">
          <w:rPr>
            <w:rStyle w:val="Hyperlink"/>
            <w:rFonts w:eastAsiaTheme="majorEastAsia"/>
          </w:rPr>
          <w:t xml:space="preserve"> travaux de genie civil </w:t>
        </w:r>
        <w:r w:rsidR="002C3D7F" w:rsidRPr="00334522">
          <w:rPr>
            <w:rStyle w:val="Hyperlink"/>
            <w:rFonts w:eastAsiaTheme="majorEastAsia" w:hint="eastAsia"/>
          </w:rPr>
          <w:t>–</w:t>
        </w:r>
        <w:r w:rsidR="002C3D7F" w:rsidRPr="00334522">
          <w:rPr>
            <w:rStyle w:val="Hyperlink"/>
            <w:rFonts w:eastAsiaTheme="majorEastAsia"/>
          </w:rPr>
          <w:t xml:space="preserve"> phase preparation</w:t>
        </w:r>
        <w:r>
          <w:rPr>
            <w:webHidden/>
          </w:rPr>
          <w:tab/>
        </w:r>
        <w:r>
          <w:rPr>
            <w:webHidden/>
          </w:rPr>
          <w:fldChar w:fldCharType="begin"/>
        </w:r>
        <w:r>
          <w:rPr>
            <w:webHidden/>
          </w:rPr>
          <w:instrText xml:space="preserve"> PAGEREF _Toc230427757 \h </w:instrText>
        </w:r>
        <w:r>
          <w:rPr>
            <w:webHidden/>
          </w:rPr>
        </w:r>
        <w:r>
          <w:rPr>
            <w:webHidden/>
          </w:rPr>
          <w:fldChar w:fldCharType="separate"/>
        </w:r>
        <w:r>
          <w:rPr>
            <w:webHidden/>
          </w:rPr>
          <w:t>166</w:t>
        </w:r>
        <w:r>
          <w:rPr>
            <w:webHidden/>
          </w:rPr>
          <w:fldChar w:fldCharType="end"/>
        </w:r>
      </w:hyperlink>
    </w:p>
    <w:p w14:paraId="0BFD236D" w14:textId="411E5965" w:rsidR="00646511" w:rsidRDefault="00646511">
      <w:pPr>
        <w:pStyle w:val="TableofFigures"/>
        <w:rPr>
          <w:rFonts w:asciiTheme="minorHAnsi" w:eastAsiaTheme="minorEastAsia" w:hAnsiTheme="minorHAnsi" w:cstheme="minorBidi"/>
          <w:b w:val="0"/>
          <w:kern w:val="2"/>
          <w:sz w:val="24"/>
          <w:lang w:val="en-US" w:eastAsia="en-US"/>
          <w14:ligatures w14:val="standardContextual"/>
        </w:rPr>
      </w:pPr>
      <w:hyperlink w:anchor="_Toc230427758" w:history="1">
        <w:r w:rsidRPr="00334522">
          <w:rPr>
            <w:rStyle w:val="Hyperlink"/>
            <w:rFonts w:eastAsiaTheme="majorEastAsia"/>
          </w:rPr>
          <w:t>Tableau 38 : P</w:t>
        </w:r>
        <w:r w:rsidR="002C3D7F" w:rsidRPr="00334522">
          <w:rPr>
            <w:rStyle w:val="Hyperlink"/>
            <w:rFonts w:eastAsiaTheme="majorEastAsia"/>
          </w:rPr>
          <w:t xml:space="preserve">lan cadre de suivi e&amp;s </w:t>
        </w:r>
        <w:r w:rsidR="002C3D7F" w:rsidRPr="00334522">
          <w:rPr>
            <w:rStyle w:val="Hyperlink"/>
            <w:rFonts w:eastAsiaTheme="majorEastAsia" w:hint="eastAsia"/>
          </w:rPr>
          <w:t>–</w:t>
        </w:r>
        <w:r w:rsidR="002C3D7F" w:rsidRPr="00334522">
          <w:rPr>
            <w:rStyle w:val="Hyperlink"/>
            <w:rFonts w:eastAsiaTheme="majorEastAsia"/>
          </w:rPr>
          <w:t xml:space="preserve"> travaux de genie civil </w:t>
        </w:r>
        <w:r w:rsidR="002C3D7F" w:rsidRPr="00334522">
          <w:rPr>
            <w:rStyle w:val="Hyperlink"/>
            <w:rFonts w:eastAsiaTheme="majorEastAsia" w:hint="eastAsia"/>
          </w:rPr>
          <w:t>–</w:t>
        </w:r>
        <w:r w:rsidR="002C3D7F" w:rsidRPr="00334522">
          <w:rPr>
            <w:rStyle w:val="Hyperlink"/>
            <w:rFonts w:eastAsiaTheme="majorEastAsia"/>
          </w:rPr>
          <w:t xml:space="preserve"> phase de mise en oeuvre</w:t>
        </w:r>
        <w:r>
          <w:rPr>
            <w:webHidden/>
          </w:rPr>
          <w:tab/>
        </w:r>
        <w:r>
          <w:rPr>
            <w:webHidden/>
          </w:rPr>
          <w:fldChar w:fldCharType="begin"/>
        </w:r>
        <w:r>
          <w:rPr>
            <w:webHidden/>
          </w:rPr>
          <w:instrText xml:space="preserve"> PAGEREF _Toc230427758 \h </w:instrText>
        </w:r>
        <w:r>
          <w:rPr>
            <w:webHidden/>
          </w:rPr>
        </w:r>
        <w:r>
          <w:rPr>
            <w:webHidden/>
          </w:rPr>
          <w:fldChar w:fldCharType="separate"/>
        </w:r>
        <w:r>
          <w:rPr>
            <w:webHidden/>
          </w:rPr>
          <w:t>169</w:t>
        </w:r>
        <w:r>
          <w:rPr>
            <w:webHidden/>
          </w:rPr>
          <w:fldChar w:fldCharType="end"/>
        </w:r>
      </w:hyperlink>
    </w:p>
    <w:p w14:paraId="0944BAAF" w14:textId="77D37E7C" w:rsidR="00646511" w:rsidRDefault="00646511">
      <w:pPr>
        <w:pStyle w:val="TableofFigures"/>
        <w:rPr>
          <w:rFonts w:asciiTheme="minorHAnsi" w:eastAsiaTheme="minorEastAsia" w:hAnsiTheme="minorHAnsi" w:cstheme="minorBidi"/>
          <w:b w:val="0"/>
          <w:kern w:val="2"/>
          <w:sz w:val="24"/>
          <w:lang w:val="en-US" w:eastAsia="en-US"/>
          <w14:ligatures w14:val="standardContextual"/>
        </w:rPr>
      </w:pPr>
      <w:hyperlink w:anchor="_Toc230427759" w:history="1">
        <w:r w:rsidRPr="00334522">
          <w:rPr>
            <w:rStyle w:val="Hyperlink"/>
            <w:rFonts w:eastAsiaTheme="majorEastAsia"/>
          </w:rPr>
          <w:t>Tableau 39 : P</w:t>
        </w:r>
        <w:r w:rsidR="002C3D7F" w:rsidRPr="00334522">
          <w:rPr>
            <w:rStyle w:val="Hyperlink"/>
            <w:rFonts w:eastAsiaTheme="majorEastAsia"/>
          </w:rPr>
          <w:t xml:space="preserve">lan cadre de suivi e&amp;s </w:t>
        </w:r>
        <w:r w:rsidR="002C3D7F" w:rsidRPr="00334522">
          <w:rPr>
            <w:rStyle w:val="Hyperlink"/>
            <w:rFonts w:eastAsiaTheme="majorEastAsia" w:hint="eastAsia"/>
          </w:rPr>
          <w:t>–</w:t>
        </w:r>
        <w:r w:rsidR="002C3D7F" w:rsidRPr="00334522">
          <w:rPr>
            <w:rStyle w:val="Hyperlink"/>
            <w:rFonts w:eastAsiaTheme="majorEastAsia"/>
          </w:rPr>
          <w:t xml:space="preserve"> travaux de genie civil </w:t>
        </w:r>
        <w:r w:rsidR="002C3D7F" w:rsidRPr="00334522">
          <w:rPr>
            <w:rStyle w:val="Hyperlink"/>
            <w:rFonts w:eastAsiaTheme="majorEastAsia" w:hint="eastAsia"/>
          </w:rPr>
          <w:t>–</w:t>
        </w:r>
        <w:r w:rsidR="002C3D7F" w:rsidRPr="00334522">
          <w:rPr>
            <w:rStyle w:val="Hyperlink"/>
            <w:rFonts w:eastAsiaTheme="majorEastAsia"/>
          </w:rPr>
          <w:t xml:space="preserve"> phase de repli de chantier</w:t>
        </w:r>
        <w:r>
          <w:rPr>
            <w:webHidden/>
          </w:rPr>
          <w:tab/>
        </w:r>
        <w:r>
          <w:rPr>
            <w:webHidden/>
          </w:rPr>
          <w:fldChar w:fldCharType="begin"/>
        </w:r>
        <w:r>
          <w:rPr>
            <w:webHidden/>
          </w:rPr>
          <w:instrText xml:space="preserve"> PAGEREF _Toc230427759 \h </w:instrText>
        </w:r>
        <w:r>
          <w:rPr>
            <w:webHidden/>
          </w:rPr>
        </w:r>
        <w:r>
          <w:rPr>
            <w:webHidden/>
          </w:rPr>
          <w:fldChar w:fldCharType="separate"/>
        </w:r>
        <w:r>
          <w:rPr>
            <w:webHidden/>
          </w:rPr>
          <w:t>173</w:t>
        </w:r>
        <w:r>
          <w:rPr>
            <w:webHidden/>
          </w:rPr>
          <w:fldChar w:fldCharType="end"/>
        </w:r>
      </w:hyperlink>
    </w:p>
    <w:p w14:paraId="2CBA73E3" w14:textId="1F1D1669" w:rsidR="00646511" w:rsidRDefault="00646511">
      <w:pPr>
        <w:pStyle w:val="TableofFigures"/>
        <w:rPr>
          <w:rFonts w:asciiTheme="minorHAnsi" w:eastAsiaTheme="minorEastAsia" w:hAnsiTheme="minorHAnsi" w:cstheme="minorBidi"/>
          <w:b w:val="0"/>
          <w:kern w:val="2"/>
          <w:sz w:val="24"/>
          <w:lang w:val="en-US" w:eastAsia="en-US"/>
          <w14:ligatures w14:val="standardContextual"/>
        </w:rPr>
      </w:pPr>
      <w:hyperlink w:anchor="_Toc230427760" w:history="1">
        <w:r w:rsidRPr="00334522">
          <w:rPr>
            <w:rStyle w:val="Hyperlink"/>
            <w:rFonts w:eastAsiaTheme="majorEastAsia"/>
          </w:rPr>
          <w:t>Tableau 40 : PLAN cadre de suivi E&amp;S. Cas des sites d’extraction</w:t>
        </w:r>
        <w:r>
          <w:rPr>
            <w:webHidden/>
          </w:rPr>
          <w:tab/>
        </w:r>
        <w:r>
          <w:rPr>
            <w:webHidden/>
          </w:rPr>
          <w:fldChar w:fldCharType="begin"/>
        </w:r>
        <w:r>
          <w:rPr>
            <w:webHidden/>
          </w:rPr>
          <w:instrText xml:space="preserve"> PAGEREF _Toc230427760 \h </w:instrText>
        </w:r>
        <w:r>
          <w:rPr>
            <w:webHidden/>
          </w:rPr>
        </w:r>
        <w:r>
          <w:rPr>
            <w:webHidden/>
          </w:rPr>
          <w:fldChar w:fldCharType="separate"/>
        </w:r>
        <w:r>
          <w:rPr>
            <w:webHidden/>
          </w:rPr>
          <w:t>174</w:t>
        </w:r>
        <w:r>
          <w:rPr>
            <w:webHidden/>
          </w:rPr>
          <w:fldChar w:fldCharType="end"/>
        </w:r>
      </w:hyperlink>
    </w:p>
    <w:p w14:paraId="07FC9AAB" w14:textId="02C447DD" w:rsidR="00646511" w:rsidRDefault="00646511">
      <w:pPr>
        <w:pStyle w:val="TableofFigures"/>
        <w:rPr>
          <w:rFonts w:asciiTheme="minorHAnsi" w:eastAsiaTheme="minorEastAsia" w:hAnsiTheme="minorHAnsi" w:cstheme="minorBidi"/>
          <w:b w:val="0"/>
          <w:kern w:val="2"/>
          <w:sz w:val="24"/>
          <w:lang w:val="en-US" w:eastAsia="en-US"/>
          <w14:ligatures w14:val="standardContextual"/>
        </w:rPr>
      </w:pPr>
      <w:hyperlink w:anchor="_Toc230427761" w:history="1">
        <w:r w:rsidRPr="00334522">
          <w:rPr>
            <w:rStyle w:val="Hyperlink"/>
            <w:rFonts w:eastAsiaTheme="majorEastAsia"/>
          </w:rPr>
          <w:t>Tableau 41 : Etat des lieux des outils de planification territoriale à Madagascar</w:t>
        </w:r>
        <w:r>
          <w:rPr>
            <w:webHidden/>
          </w:rPr>
          <w:tab/>
        </w:r>
        <w:r>
          <w:rPr>
            <w:webHidden/>
          </w:rPr>
          <w:fldChar w:fldCharType="begin"/>
        </w:r>
        <w:r>
          <w:rPr>
            <w:webHidden/>
          </w:rPr>
          <w:instrText xml:space="preserve"> PAGEREF _Toc230427761 \h </w:instrText>
        </w:r>
        <w:r>
          <w:rPr>
            <w:webHidden/>
          </w:rPr>
        </w:r>
        <w:r>
          <w:rPr>
            <w:webHidden/>
          </w:rPr>
          <w:fldChar w:fldCharType="separate"/>
        </w:r>
        <w:r>
          <w:rPr>
            <w:webHidden/>
          </w:rPr>
          <w:t>177</w:t>
        </w:r>
        <w:r>
          <w:rPr>
            <w:webHidden/>
          </w:rPr>
          <w:fldChar w:fldCharType="end"/>
        </w:r>
      </w:hyperlink>
    </w:p>
    <w:p w14:paraId="00C64560" w14:textId="5361CD46" w:rsidR="00646511" w:rsidRDefault="00646511">
      <w:pPr>
        <w:pStyle w:val="TableofFigures"/>
        <w:rPr>
          <w:rFonts w:asciiTheme="minorHAnsi" w:eastAsiaTheme="minorEastAsia" w:hAnsiTheme="minorHAnsi" w:cstheme="minorBidi"/>
          <w:b w:val="0"/>
          <w:kern w:val="2"/>
          <w:sz w:val="24"/>
          <w:lang w:val="en-US" w:eastAsia="en-US"/>
          <w14:ligatures w14:val="standardContextual"/>
        </w:rPr>
      </w:pPr>
      <w:hyperlink w:anchor="_Toc230427762" w:history="1">
        <w:r w:rsidRPr="00334522">
          <w:rPr>
            <w:rStyle w:val="Hyperlink"/>
            <w:rFonts w:eastAsiaTheme="majorEastAsia"/>
          </w:rPr>
          <w:t>Tableau 42 : Budget primitif pour la mise en œuvre du CGES</w:t>
        </w:r>
        <w:r>
          <w:rPr>
            <w:webHidden/>
          </w:rPr>
          <w:tab/>
        </w:r>
        <w:r>
          <w:rPr>
            <w:webHidden/>
          </w:rPr>
          <w:fldChar w:fldCharType="begin"/>
        </w:r>
        <w:r>
          <w:rPr>
            <w:webHidden/>
          </w:rPr>
          <w:instrText xml:space="preserve"> PAGEREF _Toc230427762 \h </w:instrText>
        </w:r>
        <w:r>
          <w:rPr>
            <w:webHidden/>
          </w:rPr>
        </w:r>
        <w:r>
          <w:rPr>
            <w:webHidden/>
          </w:rPr>
          <w:fldChar w:fldCharType="separate"/>
        </w:r>
        <w:r>
          <w:rPr>
            <w:webHidden/>
          </w:rPr>
          <w:t>182</w:t>
        </w:r>
        <w:r>
          <w:rPr>
            <w:webHidden/>
          </w:rPr>
          <w:fldChar w:fldCharType="end"/>
        </w:r>
      </w:hyperlink>
    </w:p>
    <w:p w14:paraId="7DEAF50F" w14:textId="516030A4" w:rsidR="0017750A" w:rsidRPr="00C801A6" w:rsidRDefault="00575CDF" w:rsidP="0017750A">
      <w:r w:rsidRPr="00C801A6">
        <w:rPr>
          <w:color w:val="auto"/>
        </w:rPr>
        <w:fldChar w:fldCharType="end"/>
      </w:r>
    </w:p>
    <w:p w14:paraId="043ADF05" w14:textId="62DBAE64" w:rsidR="009C0FE6" w:rsidRPr="00C801A6" w:rsidRDefault="009C0FE6" w:rsidP="004C211B">
      <w:pPr>
        <w:pStyle w:val="TableofFigures"/>
      </w:pPr>
    </w:p>
    <w:p w14:paraId="186A471A" w14:textId="77777777" w:rsidR="009C0FE6" w:rsidRPr="00C801A6" w:rsidRDefault="009C0FE6" w:rsidP="004C211B">
      <w:pPr>
        <w:pStyle w:val="TableofFigures"/>
      </w:pPr>
    </w:p>
    <w:p w14:paraId="23EE8490" w14:textId="3C4088A3" w:rsidR="004C0098" w:rsidRPr="00C801A6" w:rsidRDefault="004C0098" w:rsidP="004C211B">
      <w:pPr>
        <w:pStyle w:val="TableofFigures"/>
      </w:pPr>
      <w:r w:rsidRPr="00C801A6">
        <w:br w:type="page"/>
      </w:r>
    </w:p>
    <w:p w14:paraId="12C6A0BF" w14:textId="77777777" w:rsidR="00575CDF" w:rsidRPr="00C801A6" w:rsidRDefault="00575CDF" w:rsidP="004C211B">
      <w:pPr>
        <w:pStyle w:val="TableofFigures"/>
      </w:pPr>
    </w:p>
    <w:p w14:paraId="106046E1" w14:textId="77777777" w:rsidR="00575CDF" w:rsidRPr="00C801A6" w:rsidRDefault="00575CDF" w:rsidP="00575CDF">
      <w:pPr>
        <w:spacing w:after="360"/>
        <w:jc w:val="center"/>
        <w:rPr>
          <w:b/>
          <w:color w:val="auto"/>
          <w:sz w:val="26"/>
          <w:szCs w:val="26"/>
          <w:u w:val="single"/>
        </w:rPr>
      </w:pPr>
      <w:r w:rsidRPr="00C801A6">
        <w:rPr>
          <w:b/>
          <w:color w:val="auto"/>
          <w:sz w:val="26"/>
          <w:szCs w:val="26"/>
          <w:u w:val="single"/>
        </w:rPr>
        <w:t>ACRONYMES ET ABREVIATIONS</w:t>
      </w:r>
    </w:p>
    <w:tbl>
      <w:tblPr>
        <w:tblW w:w="9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488"/>
        <w:gridCol w:w="283"/>
        <w:gridCol w:w="7441"/>
      </w:tblGrid>
      <w:tr w:rsidR="0017750A" w:rsidRPr="00C801A6" w14:paraId="2C1F5C5A" w14:textId="77777777" w:rsidTr="00437BCA">
        <w:tc>
          <w:tcPr>
            <w:tcW w:w="1488" w:type="dxa"/>
            <w:shd w:val="clear" w:color="auto" w:fill="D9D9D9" w:themeFill="background1" w:themeFillShade="D9"/>
            <w:noWrap/>
          </w:tcPr>
          <w:p w14:paraId="743400E3" w14:textId="120A04E3" w:rsidR="0017750A" w:rsidRPr="00C801A6" w:rsidRDefault="0017750A" w:rsidP="00347FDB">
            <w:pPr>
              <w:spacing w:before="60" w:after="60" w:line="240" w:lineRule="auto"/>
              <w:jc w:val="left"/>
              <w:rPr>
                <w:rFonts w:eastAsia="Times New Roman"/>
                <w:b/>
                <w:bCs/>
                <w:caps/>
                <w:color w:val="auto"/>
                <w:szCs w:val="24"/>
                <w:lang w:eastAsia="fr-FR"/>
              </w:rPr>
            </w:pPr>
            <w:r>
              <w:rPr>
                <w:rFonts w:eastAsia="Times New Roman"/>
                <w:b/>
                <w:bCs/>
                <w:caps/>
                <w:color w:val="auto"/>
                <w:szCs w:val="24"/>
                <w:lang w:eastAsia="fr-FR"/>
              </w:rPr>
              <w:t>APMF</w:t>
            </w:r>
          </w:p>
        </w:tc>
        <w:tc>
          <w:tcPr>
            <w:tcW w:w="283" w:type="dxa"/>
          </w:tcPr>
          <w:p w14:paraId="0A12EE6B" w14:textId="256A3695" w:rsidR="0017750A" w:rsidRPr="00C801A6" w:rsidRDefault="0017750A" w:rsidP="00347FDB">
            <w:pPr>
              <w:spacing w:before="60" w:after="60" w:line="240" w:lineRule="auto"/>
              <w:rPr>
                <w:rFonts w:eastAsia="Times New Roman"/>
                <w:b/>
                <w:bCs/>
                <w:color w:val="auto"/>
                <w:szCs w:val="24"/>
                <w:lang w:eastAsia="fr-FR"/>
              </w:rPr>
            </w:pPr>
            <w:r>
              <w:rPr>
                <w:rFonts w:eastAsia="Times New Roman"/>
                <w:b/>
                <w:bCs/>
                <w:color w:val="auto"/>
                <w:szCs w:val="24"/>
                <w:lang w:eastAsia="fr-FR"/>
              </w:rPr>
              <w:t>:</w:t>
            </w:r>
          </w:p>
        </w:tc>
        <w:tc>
          <w:tcPr>
            <w:tcW w:w="7441" w:type="dxa"/>
            <w:noWrap/>
          </w:tcPr>
          <w:p w14:paraId="13512C5B" w14:textId="53B3EEC3" w:rsidR="0017750A" w:rsidRPr="00C801A6" w:rsidRDefault="0017750A" w:rsidP="00347FDB">
            <w:pPr>
              <w:spacing w:before="60" w:after="60" w:line="240" w:lineRule="auto"/>
              <w:rPr>
                <w:rFonts w:eastAsia="Times New Roman"/>
                <w:color w:val="auto"/>
                <w:szCs w:val="24"/>
                <w:lang w:eastAsia="fr-FR"/>
              </w:rPr>
            </w:pPr>
            <w:r>
              <w:rPr>
                <w:rFonts w:eastAsia="Times New Roman"/>
                <w:color w:val="auto"/>
                <w:szCs w:val="24"/>
                <w:lang w:eastAsia="fr-FR"/>
              </w:rPr>
              <w:t>Agence Portuaire Maritime et F</w:t>
            </w:r>
            <w:r w:rsidR="00AB7526">
              <w:rPr>
                <w:rFonts w:eastAsia="Times New Roman"/>
                <w:color w:val="auto"/>
                <w:szCs w:val="24"/>
                <w:lang w:eastAsia="fr-FR"/>
              </w:rPr>
              <w:t>l</w:t>
            </w:r>
            <w:r>
              <w:rPr>
                <w:rFonts w:eastAsia="Times New Roman"/>
                <w:color w:val="auto"/>
                <w:szCs w:val="24"/>
                <w:lang w:eastAsia="fr-FR"/>
              </w:rPr>
              <w:t>uvial</w:t>
            </w:r>
          </w:p>
        </w:tc>
      </w:tr>
      <w:tr w:rsidR="00C801A6" w:rsidRPr="00C801A6" w14:paraId="182EEAE6" w14:textId="77777777" w:rsidTr="00437BCA">
        <w:tc>
          <w:tcPr>
            <w:tcW w:w="1488" w:type="dxa"/>
            <w:shd w:val="clear" w:color="auto" w:fill="D9D9D9" w:themeFill="background1" w:themeFillShade="D9"/>
            <w:noWrap/>
            <w:hideMark/>
          </w:tcPr>
          <w:p w14:paraId="4518E179" w14:textId="77777777" w:rsidR="007A4908" w:rsidRPr="00C801A6" w:rsidRDefault="007A4908" w:rsidP="00347FDB">
            <w:pPr>
              <w:spacing w:before="60" w:after="60" w:line="240" w:lineRule="auto"/>
              <w:jc w:val="left"/>
              <w:rPr>
                <w:rFonts w:eastAsia="Times New Roman"/>
                <w:b/>
                <w:bCs/>
                <w:caps/>
                <w:color w:val="auto"/>
                <w:szCs w:val="24"/>
                <w:lang w:eastAsia="fr-FR"/>
              </w:rPr>
            </w:pPr>
            <w:r w:rsidRPr="00C801A6">
              <w:rPr>
                <w:rFonts w:eastAsia="Times New Roman"/>
                <w:b/>
                <w:bCs/>
                <w:caps/>
                <w:color w:val="auto"/>
                <w:szCs w:val="24"/>
                <w:lang w:eastAsia="fr-FR"/>
              </w:rPr>
              <w:t>AIV</w:t>
            </w:r>
          </w:p>
        </w:tc>
        <w:tc>
          <w:tcPr>
            <w:tcW w:w="283" w:type="dxa"/>
          </w:tcPr>
          <w:p w14:paraId="668EC53B" w14:textId="77777777" w:rsidR="007A4908" w:rsidRPr="00C801A6" w:rsidRDefault="007A4908" w:rsidP="00347FDB">
            <w:pPr>
              <w:spacing w:before="60" w:after="60" w:line="240" w:lineRule="auto"/>
              <w:rPr>
                <w:rFonts w:eastAsia="Times New Roman"/>
                <w:b/>
                <w:bCs/>
                <w:color w:val="auto"/>
                <w:szCs w:val="24"/>
                <w:lang w:eastAsia="fr-FR"/>
              </w:rPr>
            </w:pPr>
            <w:r w:rsidRPr="00C801A6">
              <w:rPr>
                <w:rFonts w:eastAsia="Times New Roman"/>
                <w:b/>
                <w:bCs/>
                <w:color w:val="auto"/>
                <w:szCs w:val="24"/>
                <w:lang w:eastAsia="fr-FR"/>
              </w:rPr>
              <w:t>:</w:t>
            </w:r>
          </w:p>
        </w:tc>
        <w:tc>
          <w:tcPr>
            <w:tcW w:w="7441" w:type="dxa"/>
            <w:noWrap/>
            <w:hideMark/>
          </w:tcPr>
          <w:p w14:paraId="0E316651" w14:textId="77777777" w:rsidR="007A4908" w:rsidRPr="00C801A6" w:rsidRDefault="007A4908" w:rsidP="00347FDB">
            <w:pPr>
              <w:spacing w:before="60" w:after="60" w:line="240" w:lineRule="auto"/>
              <w:rPr>
                <w:rFonts w:eastAsia="Times New Roman"/>
                <w:color w:val="auto"/>
                <w:szCs w:val="24"/>
                <w:lang w:eastAsia="fr-FR"/>
              </w:rPr>
            </w:pPr>
            <w:r w:rsidRPr="00C801A6">
              <w:rPr>
                <w:rFonts w:eastAsia="Times New Roman"/>
                <w:color w:val="auto"/>
                <w:szCs w:val="24"/>
                <w:lang w:eastAsia="fr-FR"/>
              </w:rPr>
              <w:t>Agent Indépendant de Vérification</w:t>
            </w:r>
          </w:p>
        </w:tc>
      </w:tr>
      <w:tr w:rsidR="00C801A6" w:rsidRPr="00C801A6" w14:paraId="5DC6EA13" w14:textId="77777777" w:rsidTr="00437BCA">
        <w:tc>
          <w:tcPr>
            <w:tcW w:w="1488" w:type="dxa"/>
            <w:shd w:val="clear" w:color="auto" w:fill="D9D9D9" w:themeFill="background1" w:themeFillShade="D9"/>
            <w:noWrap/>
            <w:hideMark/>
          </w:tcPr>
          <w:p w14:paraId="051B35DD" w14:textId="77777777" w:rsidR="007A4908" w:rsidRPr="00C801A6" w:rsidRDefault="007A4908" w:rsidP="00347FDB">
            <w:pPr>
              <w:spacing w:before="60" w:after="60" w:line="240" w:lineRule="auto"/>
              <w:jc w:val="left"/>
              <w:rPr>
                <w:rFonts w:eastAsia="Times New Roman"/>
                <w:b/>
                <w:bCs/>
                <w:caps/>
                <w:color w:val="auto"/>
                <w:szCs w:val="24"/>
                <w:lang w:eastAsia="fr-FR"/>
              </w:rPr>
            </w:pPr>
            <w:r w:rsidRPr="00C801A6">
              <w:rPr>
                <w:rFonts w:eastAsia="Times New Roman"/>
                <w:b/>
                <w:bCs/>
                <w:caps/>
                <w:color w:val="auto"/>
                <w:szCs w:val="24"/>
                <w:lang w:eastAsia="fr-FR"/>
              </w:rPr>
              <w:t>AR</w:t>
            </w:r>
          </w:p>
        </w:tc>
        <w:tc>
          <w:tcPr>
            <w:tcW w:w="283" w:type="dxa"/>
          </w:tcPr>
          <w:p w14:paraId="7FEE1D06" w14:textId="77777777" w:rsidR="007A4908" w:rsidRPr="00C801A6" w:rsidRDefault="007A4908" w:rsidP="00347FDB">
            <w:pPr>
              <w:spacing w:before="60" w:after="60" w:line="240" w:lineRule="auto"/>
              <w:rPr>
                <w:rFonts w:eastAsia="Times New Roman"/>
                <w:b/>
                <w:bCs/>
                <w:color w:val="auto"/>
                <w:szCs w:val="24"/>
                <w:lang w:eastAsia="fr-FR"/>
              </w:rPr>
            </w:pPr>
            <w:r w:rsidRPr="00C801A6">
              <w:rPr>
                <w:rFonts w:eastAsia="Times New Roman"/>
                <w:b/>
                <w:bCs/>
                <w:color w:val="auto"/>
                <w:szCs w:val="24"/>
                <w:lang w:eastAsia="fr-FR"/>
              </w:rPr>
              <w:t>:</w:t>
            </w:r>
          </w:p>
        </w:tc>
        <w:tc>
          <w:tcPr>
            <w:tcW w:w="7441" w:type="dxa"/>
            <w:noWrap/>
            <w:hideMark/>
          </w:tcPr>
          <w:p w14:paraId="6CDC62CB" w14:textId="77777777" w:rsidR="007A4908" w:rsidRPr="00C801A6" w:rsidRDefault="007A4908" w:rsidP="00347FDB">
            <w:pPr>
              <w:spacing w:before="60" w:after="60" w:line="240" w:lineRule="auto"/>
              <w:rPr>
                <w:rFonts w:eastAsia="Times New Roman"/>
                <w:color w:val="auto"/>
                <w:lang w:eastAsia="fr-FR"/>
              </w:rPr>
            </w:pPr>
            <w:r w:rsidRPr="00C801A6">
              <w:rPr>
                <w:rFonts w:eastAsia="Times New Roman"/>
                <w:color w:val="auto"/>
                <w:lang w:eastAsia="fr-FR"/>
              </w:rPr>
              <w:t>Agence Routière</w:t>
            </w:r>
          </w:p>
        </w:tc>
      </w:tr>
      <w:tr w:rsidR="00C801A6" w:rsidRPr="00C801A6" w14:paraId="24A84A06" w14:textId="77777777" w:rsidTr="00437BCA">
        <w:tc>
          <w:tcPr>
            <w:tcW w:w="1488" w:type="dxa"/>
            <w:shd w:val="clear" w:color="auto" w:fill="D9D9D9" w:themeFill="background1" w:themeFillShade="D9"/>
            <w:noWrap/>
            <w:hideMark/>
          </w:tcPr>
          <w:p w14:paraId="330EBD22" w14:textId="77777777" w:rsidR="007A4908" w:rsidRPr="00C801A6" w:rsidRDefault="007A4908" w:rsidP="00347FDB">
            <w:pPr>
              <w:spacing w:before="60" w:after="60" w:line="240" w:lineRule="auto"/>
              <w:jc w:val="left"/>
              <w:rPr>
                <w:rFonts w:eastAsia="Times New Roman"/>
                <w:b/>
                <w:bCs/>
                <w:caps/>
                <w:color w:val="auto"/>
                <w:szCs w:val="24"/>
                <w:lang w:eastAsia="fr-FR"/>
              </w:rPr>
            </w:pPr>
            <w:r w:rsidRPr="00C801A6">
              <w:rPr>
                <w:rFonts w:eastAsia="Times New Roman"/>
                <w:b/>
                <w:bCs/>
                <w:caps/>
                <w:color w:val="auto"/>
                <w:szCs w:val="24"/>
                <w:lang w:eastAsia="fr-FR"/>
              </w:rPr>
              <w:t>AT</w:t>
            </w:r>
          </w:p>
        </w:tc>
        <w:tc>
          <w:tcPr>
            <w:tcW w:w="283" w:type="dxa"/>
          </w:tcPr>
          <w:p w14:paraId="577AA036" w14:textId="77777777" w:rsidR="007A4908" w:rsidRPr="00C801A6" w:rsidRDefault="007A4908" w:rsidP="00347FDB">
            <w:pPr>
              <w:spacing w:before="60" w:after="60" w:line="240" w:lineRule="auto"/>
              <w:rPr>
                <w:rFonts w:eastAsia="Times New Roman"/>
                <w:b/>
                <w:bCs/>
                <w:color w:val="auto"/>
                <w:szCs w:val="24"/>
                <w:lang w:eastAsia="fr-FR"/>
              </w:rPr>
            </w:pPr>
            <w:r w:rsidRPr="00C801A6">
              <w:rPr>
                <w:rFonts w:eastAsia="Times New Roman"/>
                <w:b/>
                <w:bCs/>
                <w:color w:val="auto"/>
                <w:szCs w:val="24"/>
                <w:lang w:eastAsia="fr-FR"/>
              </w:rPr>
              <w:t>:</w:t>
            </w:r>
          </w:p>
        </w:tc>
        <w:tc>
          <w:tcPr>
            <w:tcW w:w="7441" w:type="dxa"/>
            <w:noWrap/>
            <w:hideMark/>
          </w:tcPr>
          <w:p w14:paraId="16610FD0" w14:textId="77777777" w:rsidR="007A4908" w:rsidRPr="00C801A6" w:rsidRDefault="007A4908" w:rsidP="00347FDB">
            <w:pPr>
              <w:spacing w:before="60" w:after="60" w:line="240" w:lineRule="auto"/>
              <w:rPr>
                <w:rFonts w:eastAsia="Times New Roman"/>
                <w:color w:val="auto"/>
                <w:szCs w:val="24"/>
                <w:lang w:eastAsia="fr-FR"/>
              </w:rPr>
            </w:pPr>
            <w:r w:rsidRPr="00C801A6">
              <w:rPr>
                <w:rFonts w:eastAsia="Times New Roman"/>
                <w:color w:val="auto"/>
                <w:szCs w:val="24"/>
                <w:lang w:eastAsia="fr-FR"/>
              </w:rPr>
              <w:t>Assistance Technique</w:t>
            </w:r>
          </w:p>
        </w:tc>
      </w:tr>
      <w:tr w:rsidR="00C801A6" w:rsidRPr="00C801A6" w14:paraId="407C6DF6" w14:textId="77777777" w:rsidTr="00437BCA">
        <w:tc>
          <w:tcPr>
            <w:tcW w:w="1488" w:type="dxa"/>
            <w:shd w:val="clear" w:color="auto" w:fill="D9D9D9" w:themeFill="background1" w:themeFillShade="D9"/>
            <w:noWrap/>
          </w:tcPr>
          <w:p w14:paraId="7C8BDAFD" w14:textId="77777777" w:rsidR="007A4908" w:rsidRPr="00C801A6" w:rsidRDefault="007A4908" w:rsidP="00347FDB">
            <w:pPr>
              <w:spacing w:before="60" w:after="60" w:line="240" w:lineRule="auto"/>
              <w:jc w:val="left"/>
              <w:rPr>
                <w:rFonts w:eastAsia="Times New Roman"/>
                <w:b/>
                <w:bCs/>
                <w:caps/>
                <w:color w:val="auto"/>
                <w:szCs w:val="24"/>
                <w:lang w:eastAsia="fr-FR"/>
              </w:rPr>
            </w:pPr>
            <w:r w:rsidRPr="00C801A6">
              <w:rPr>
                <w:rFonts w:eastAsia="Times New Roman"/>
                <w:b/>
                <w:bCs/>
                <w:color w:val="auto"/>
                <w:szCs w:val="24"/>
                <w:lang w:eastAsia="fr-FR"/>
              </w:rPr>
              <w:t>BBSG</w:t>
            </w:r>
          </w:p>
        </w:tc>
        <w:tc>
          <w:tcPr>
            <w:tcW w:w="283" w:type="dxa"/>
          </w:tcPr>
          <w:p w14:paraId="1C5D03EA" w14:textId="77777777" w:rsidR="007A4908" w:rsidRPr="00C801A6" w:rsidRDefault="007A4908" w:rsidP="00347FDB">
            <w:pPr>
              <w:spacing w:before="60" w:after="60" w:line="240" w:lineRule="auto"/>
              <w:rPr>
                <w:rFonts w:eastAsia="Times New Roman"/>
                <w:b/>
                <w:bCs/>
                <w:color w:val="auto"/>
                <w:szCs w:val="24"/>
                <w:lang w:eastAsia="fr-FR"/>
              </w:rPr>
            </w:pPr>
            <w:r w:rsidRPr="00C801A6">
              <w:rPr>
                <w:rFonts w:eastAsia="Times New Roman"/>
                <w:b/>
                <w:bCs/>
                <w:color w:val="auto"/>
                <w:szCs w:val="24"/>
                <w:lang w:eastAsia="fr-FR"/>
              </w:rPr>
              <w:t>:</w:t>
            </w:r>
          </w:p>
        </w:tc>
        <w:tc>
          <w:tcPr>
            <w:tcW w:w="7441" w:type="dxa"/>
            <w:noWrap/>
          </w:tcPr>
          <w:p w14:paraId="376BDFFB" w14:textId="58DC639D" w:rsidR="007A4908" w:rsidRPr="00C801A6" w:rsidRDefault="007A4908" w:rsidP="00347FDB">
            <w:pPr>
              <w:spacing w:before="60" w:after="60" w:line="240" w:lineRule="auto"/>
              <w:rPr>
                <w:rFonts w:eastAsia="Times New Roman"/>
                <w:color w:val="auto"/>
                <w:szCs w:val="24"/>
                <w:lang w:eastAsia="fr-FR"/>
              </w:rPr>
            </w:pPr>
            <w:r w:rsidRPr="00C801A6">
              <w:rPr>
                <w:rFonts w:eastAsia="Times New Roman"/>
                <w:color w:val="auto"/>
                <w:szCs w:val="24"/>
                <w:lang w:eastAsia="fr-FR"/>
              </w:rPr>
              <w:t xml:space="preserve">Béton </w:t>
            </w:r>
            <w:r w:rsidR="00AB7DD7" w:rsidRPr="00C801A6">
              <w:rPr>
                <w:rFonts w:eastAsia="Times New Roman"/>
                <w:color w:val="auto"/>
                <w:szCs w:val="24"/>
                <w:lang w:eastAsia="fr-FR"/>
              </w:rPr>
              <w:t>Bitumineux Semi</w:t>
            </w:r>
            <w:r w:rsidRPr="00C801A6">
              <w:rPr>
                <w:rFonts w:eastAsia="Times New Roman"/>
                <w:color w:val="auto"/>
                <w:szCs w:val="24"/>
                <w:lang w:eastAsia="fr-FR"/>
              </w:rPr>
              <w:t>-</w:t>
            </w:r>
            <w:r w:rsidR="00AB7DD7" w:rsidRPr="00C801A6">
              <w:rPr>
                <w:rFonts w:eastAsia="Times New Roman"/>
                <w:color w:val="auto"/>
                <w:szCs w:val="24"/>
                <w:lang w:eastAsia="fr-FR"/>
              </w:rPr>
              <w:t>Grenu</w:t>
            </w:r>
          </w:p>
        </w:tc>
      </w:tr>
      <w:tr w:rsidR="00C801A6" w:rsidRPr="00C801A6" w14:paraId="23F65511" w14:textId="77777777" w:rsidTr="00437BCA">
        <w:tc>
          <w:tcPr>
            <w:tcW w:w="1488" w:type="dxa"/>
            <w:shd w:val="clear" w:color="auto" w:fill="D9D9D9" w:themeFill="background1" w:themeFillShade="D9"/>
            <w:hideMark/>
          </w:tcPr>
          <w:p w14:paraId="22FD4BE2" w14:textId="77777777" w:rsidR="007A4908" w:rsidRPr="00C801A6" w:rsidRDefault="007A4908" w:rsidP="00347FDB">
            <w:pPr>
              <w:spacing w:before="60" w:after="60" w:line="240" w:lineRule="auto"/>
              <w:jc w:val="left"/>
              <w:rPr>
                <w:rFonts w:eastAsia="Times New Roman"/>
                <w:b/>
                <w:bCs/>
                <w:caps/>
                <w:color w:val="auto"/>
                <w:szCs w:val="24"/>
                <w:lang w:eastAsia="fr-FR"/>
              </w:rPr>
            </w:pPr>
            <w:r w:rsidRPr="00C801A6">
              <w:rPr>
                <w:rFonts w:eastAsia="Times New Roman"/>
                <w:b/>
                <w:bCs/>
                <w:caps/>
                <w:color w:val="auto"/>
                <w:szCs w:val="24"/>
                <w:lang w:eastAsia="fr-FR"/>
              </w:rPr>
              <w:t>CCRL</w:t>
            </w:r>
          </w:p>
        </w:tc>
        <w:tc>
          <w:tcPr>
            <w:tcW w:w="283" w:type="dxa"/>
          </w:tcPr>
          <w:p w14:paraId="6A54D4B2" w14:textId="77777777" w:rsidR="007A4908" w:rsidRPr="00C801A6" w:rsidRDefault="007A4908" w:rsidP="00347FDB">
            <w:pPr>
              <w:spacing w:before="60" w:after="60" w:line="240" w:lineRule="auto"/>
              <w:rPr>
                <w:rFonts w:eastAsia="Times New Roman"/>
                <w:b/>
                <w:bCs/>
                <w:color w:val="auto"/>
                <w:szCs w:val="24"/>
                <w:lang w:eastAsia="fr-FR"/>
              </w:rPr>
            </w:pPr>
            <w:r w:rsidRPr="00C801A6">
              <w:rPr>
                <w:rFonts w:eastAsia="Times New Roman"/>
                <w:b/>
                <w:bCs/>
                <w:color w:val="auto"/>
                <w:szCs w:val="24"/>
                <w:lang w:eastAsia="fr-FR"/>
              </w:rPr>
              <w:t>:</w:t>
            </w:r>
          </w:p>
        </w:tc>
        <w:tc>
          <w:tcPr>
            <w:tcW w:w="7441" w:type="dxa"/>
            <w:hideMark/>
          </w:tcPr>
          <w:p w14:paraId="5370A853" w14:textId="77777777" w:rsidR="007A4908" w:rsidRPr="00C801A6" w:rsidRDefault="007A4908" w:rsidP="00347FDB">
            <w:pPr>
              <w:spacing w:before="60" w:after="60" w:line="240" w:lineRule="auto"/>
              <w:rPr>
                <w:rFonts w:eastAsia="Times New Roman"/>
                <w:color w:val="auto"/>
                <w:szCs w:val="24"/>
                <w:lang w:eastAsia="fr-FR"/>
              </w:rPr>
            </w:pPr>
            <w:r w:rsidRPr="00C801A6">
              <w:rPr>
                <w:rFonts w:eastAsia="Times New Roman"/>
                <w:color w:val="auto"/>
                <w:szCs w:val="24"/>
                <w:lang w:eastAsia="fr-FR"/>
              </w:rPr>
              <w:t xml:space="preserve">Comité Communal de Règlement des Litiges </w:t>
            </w:r>
          </w:p>
        </w:tc>
      </w:tr>
      <w:tr w:rsidR="0061472B" w:rsidRPr="00C801A6" w14:paraId="0A888E50" w14:textId="77777777" w:rsidTr="00437BCA">
        <w:tc>
          <w:tcPr>
            <w:tcW w:w="1488" w:type="dxa"/>
            <w:shd w:val="clear" w:color="auto" w:fill="D9D9D9" w:themeFill="background1" w:themeFillShade="D9"/>
          </w:tcPr>
          <w:p w14:paraId="4D27852C" w14:textId="0F9AB0E8" w:rsidR="0061472B" w:rsidRPr="00C801A6" w:rsidRDefault="0061472B" w:rsidP="00347FDB">
            <w:pPr>
              <w:spacing w:before="60" w:after="60" w:line="240" w:lineRule="auto"/>
              <w:jc w:val="left"/>
              <w:rPr>
                <w:rFonts w:eastAsia="Times New Roman"/>
                <w:b/>
                <w:bCs/>
                <w:caps/>
                <w:color w:val="auto"/>
                <w:szCs w:val="24"/>
                <w:lang w:eastAsia="fr-FR"/>
              </w:rPr>
            </w:pPr>
            <w:r>
              <w:rPr>
                <w:rFonts w:eastAsia="Times New Roman"/>
                <w:b/>
                <w:bCs/>
                <w:caps/>
                <w:color w:val="auto"/>
                <w:szCs w:val="24"/>
                <w:lang w:eastAsia="fr-FR"/>
              </w:rPr>
              <w:t>CCUOP</w:t>
            </w:r>
          </w:p>
        </w:tc>
        <w:tc>
          <w:tcPr>
            <w:tcW w:w="283" w:type="dxa"/>
          </w:tcPr>
          <w:p w14:paraId="002CC3E1" w14:textId="3C817D56" w:rsidR="0061472B" w:rsidRPr="00C801A6" w:rsidRDefault="0061472B" w:rsidP="00347FDB">
            <w:pPr>
              <w:spacing w:before="60" w:after="60" w:line="240" w:lineRule="auto"/>
              <w:rPr>
                <w:rFonts w:eastAsia="Times New Roman"/>
                <w:b/>
                <w:bCs/>
                <w:color w:val="auto"/>
                <w:szCs w:val="24"/>
                <w:lang w:eastAsia="fr-FR"/>
              </w:rPr>
            </w:pPr>
            <w:r>
              <w:rPr>
                <w:rFonts w:eastAsia="Times New Roman"/>
                <w:b/>
                <w:bCs/>
                <w:color w:val="auto"/>
                <w:szCs w:val="24"/>
                <w:lang w:eastAsia="fr-FR"/>
              </w:rPr>
              <w:t>:</w:t>
            </w:r>
          </w:p>
        </w:tc>
        <w:tc>
          <w:tcPr>
            <w:tcW w:w="7441" w:type="dxa"/>
          </w:tcPr>
          <w:p w14:paraId="50633F84" w14:textId="02034281" w:rsidR="0061472B" w:rsidRPr="00C801A6" w:rsidRDefault="0061472B" w:rsidP="00347FDB">
            <w:pPr>
              <w:spacing w:before="60" w:after="60" w:line="240" w:lineRule="auto"/>
              <w:rPr>
                <w:rFonts w:eastAsia="Times New Roman"/>
                <w:color w:val="auto"/>
                <w:szCs w:val="24"/>
                <w:lang w:eastAsia="fr-FR"/>
              </w:rPr>
            </w:pPr>
            <w:r>
              <w:rPr>
                <w:rFonts w:eastAsia="Times New Roman"/>
                <w:color w:val="auto"/>
                <w:szCs w:val="24"/>
                <w:lang w:eastAsia="fr-FR"/>
              </w:rPr>
              <w:t>Commission Consultatif des Usagers et Opérateurs Portuaires</w:t>
            </w:r>
          </w:p>
        </w:tc>
      </w:tr>
      <w:tr w:rsidR="00C801A6" w:rsidRPr="00C801A6" w14:paraId="35ECEF32" w14:textId="77777777" w:rsidTr="00437BCA">
        <w:tc>
          <w:tcPr>
            <w:tcW w:w="1488" w:type="dxa"/>
            <w:shd w:val="clear" w:color="auto" w:fill="D9D9D9" w:themeFill="background1" w:themeFillShade="D9"/>
            <w:noWrap/>
          </w:tcPr>
          <w:p w14:paraId="3C2A29A5" w14:textId="77777777" w:rsidR="007A4908" w:rsidRPr="00C801A6" w:rsidRDefault="007A4908" w:rsidP="00347FDB">
            <w:pPr>
              <w:spacing w:before="60" w:after="60" w:line="240" w:lineRule="auto"/>
              <w:jc w:val="left"/>
              <w:rPr>
                <w:rFonts w:eastAsia="Times New Roman"/>
                <w:b/>
                <w:bCs/>
                <w:caps/>
                <w:color w:val="auto"/>
                <w:szCs w:val="24"/>
                <w:lang w:eastAsia="fr-FR"/>
              </w:rPr>
            </w:pPr>
            <w:r w:rsidRPr="00C801A6">
              <w:rPr>
                <w:rFonts w:eastAsia="Times New Roman"/>
                <w:b/>
                <w:bCs/>
                <w:caps/>
                <w:color w:val="auto"/>
                <w:szCs w:val="24"/>
                <w:lang w:eastAsia="fr-FR"/>
              </w:rPr>
              <w:t>CERC</w:t>
            </w:r>
          </w:p>
        </w:tc>
        <w:tc>
          <w:tcPr>
            <w:tcW w:w="283" w:type="dxa"/>
          </w:tcPr>
          <w:p w14:paraId="388C68D2" w14:textId="77777777" w:rsidR="007A4908" w:rsidRPr="00C801A6" w:rsidRDefault="007A4908" w:rsidP="00347FDB">
            <w:pPr>
              <w:spacing w:before="60" w:after="60" w:line="240" w:lineRule="auto"/>
              <w:rPr>
                <w:rFonts w:eastAsia="Times New Roman"/>
                <w:b/>
                <w:bCs/>
                <w:color w:val="auto"/>
                <w:szCs w:val="24"/>
                <w:lang w:eastAsia="fr-FR"/>
              </w:rPr>
            </w:pPr>
            <w:r w:rsidRPr="00C801A6">
              <w:rPr>
                <w:rFonts w:eastAsia="Times New Roman"/>
                <w:b/>
                <w:bCs/>
                <w:color w:val="auto"/>
                <w:szCs w:val="24"/>
                <w:lang w:eastAsia="fr-FR"/>
              </w:rPr>
              <w:t>:</w:t>
            </w:r>
          </w:p>
        </w:tc>
        <w:tc>
          <w:tcPr>
            <w:tcW w:w="7441" w:type="dxa"/>
            <w:noWrap/>
          </w:tcPr>
          <w:p w14:paraId="7D9E1DDF" w14:textId="546E35C5" w:rsidR="007A4908" w:rsidRPr="00C801A6" w:rsidRDefault="007A4908" w:rsidP="00347FDB">
            <w:pPr>
              <w:spacing w:before="60" w:after="60" w:line="240" w:lineRule="auto"/>
              <w:rPr>
                <w:rFonts w:eastAsia="Times New Roman"/>
                <w:color w:val="auto"/>
                <w:szCs w:val="24"/>
                <w:lang w:eastAsia="fr-FR"/>
              </w:rPr>
            </w:pPr>
            <w:r w:rsidRPr="00C801A6">
              <w:rPr>
                <w:rFonts w:eastAsia="Times New Roman"/>
                <w:color w:val="auto"/>
                <w:szCs w:val="24"/>
                <w:lang w:eastAsia="fr-FR"/>
              </w:rPr>
              <w:t xml:space="preserve">Contingent Emergency </w:t>
            </w:r>
            <w:r w:rsidRPr="00C801A6">
              <w:rPr>
                <w:rFonts w:eastAsia="Times New Roman"/>
                <w:color w:val="auto"/>
                <w:szCs w:val="24"/>
                <w:lang w:val="en-US" w:eastAsia="fr-FR"/>
              </w:rPr>
              <w:t>Response</w:t>
            </w:r>
            <w:r w:rsidRPr="00C801A6">
              <w:rPr>
                <w:rFonts w:eastAsia="Times New Roman"/>
                <w:color w:val="auto"/>
                <w:szCs w:val="24"/>
                <w:lang w:eastAsia="fr-FR"/>
              </w:rPr>
              <w:t xml:space="preserve"> Component</w:t>
            </w:r>
          </w:p>
        </w:tc>
      </w:tr>
      <w:tr w:rsidR="00C801A6" w:rsidRPr="00C801A6" w14:paraId="6DAF499E" w14:textId="77777777" w:rsidTr="00437BCA">
        <w:tc>
          <w:tcPr>
            <w:tcW w:w="1488" w:type="dxa"/>
            <w:shd w:val="clear" w:color="auto" w:fill="D9D9D9" w:themeFill="background1" w:themeFillShade="D9"/>
            <w:noWrap/>
            <w:hideMark/>
          </w:tcPr>
          <w:p w14:paraId="32A8F432" w14:textId="77777777" w:rsidR="007A4908" w:rsidRPr="00C801A6" w:rsidRDefault="007A4908" w:rsidP="00347FDB">
            <w:pPr>
              <w:spacing w:before="60" w:after="60" w:line="240" w:lineRule="auto"/>
              <w:jc w:val="left"/>
              <w:rPr>
                <w:rFonts w:eastAsia="Times New Roman"/>
                <w:b/>
                <w:bCs/>
                <w:caps/>
                <w:color w:val="auto"/>
                <w:szCs w:val="24"/>
                <w:lang w:eastAsia="fr-FR"/>
              </w:rPr>
            </w:pPr>
            <w:r w:rsidRPr="00C801A6">
              <w:rPr>
                <w:rFonts w:eastAsia="Times New Roman"/>
                <w:b/>
                <w:bCs/>
                <w:caps/>
                <w:color w:val="auto"/>
                <w:szCs w:val="24"/>
                <w:lang w:eastAsia="fr-FR"/>
              </w:rPr>
              <w:t>CES</w:t>
            </w:r>
          </w:p>
        </w:tc>
        <w:tc>
          <w:tcPr>
            <w:tcW w:w="283" w:type="dxa"/>
          </w:tcPr>
          <w:p w14:paraId="16ACEC45" w14:textId="77777777" w:rsidR="007A4908" w:rsidRPr="00C801A6" w:rsidRDefault="007A4908" w:rsidP="00347FDB">
            <w:pPr>
              <w:spacing w:before="60" w:after="60" w:line="240" w:lineRule="auto"/>
              <w:rPr>
                <w:rFonts w:eastAsia="Times New Roman"/>
                <w:b/>
                <w:bCs/>
                <w:color w:val="auto"/>
                <w:szCs w:val="24"/>
                <w:lang w:eastAsia="fr-FR"/>
              </w:rPr>
            </w:pPr>
            <w:r w:rsidRPr="00C801A6">
              <w:rPr>
                <w:rFonts w:eastAsia="Times New Roman"/>
                <w:b/>
                <w:bCs/>
                <w:color w:val="auto"/>
                <w:szCs w:val="24"/>
                <w:lang w:eastAsia="fr-FR"/>
              </w:rPr>
              <w:t>:</w:t>
            </w:r>
          </w:p>
        </w:tc>
        <w:tc>
          <w:tcPr>
            <w:tcW w:w="7441" w:type="dxa"/>
            <w:noWrap/>
            <w:hideMark/>
          </w:tcPr>
          <w:p w14:paraId="02F0DF33" w14:textId="77777777" w:rsidR="007A4908" w:rsidRPr="00C801A6" w:rsidRDefault="007A4908" w:rsidP="00347FDB">
            <w:pPr>
              <w:spacing w:before="60" w:after="60" w:line="240" w:lineRule="auto"/>
              <w:rPr>
                <w:rFonts w:eastAsia="Times New Roman"/>
                <w:color w:val="auto"/>
                <w:szCs w:val="24"/>
                <w:lang w:eastAsia="fr-FR"/>
              </w:rPr>
            </w:pPr>
            <w:r w:rsidRPr="00C801A6">
              <w:rPr>
                <w:rFonts w:eastAsia="Times New Roman"/>
                <w:color w:val="auto"/>
                <w:szCs w:val="24"/>
                <w:lang w:eastAsia="fr-FR"/>
              </w:rPr>
              <w:t>Cadre Environnemental et Social</w:t>
            </w:r>
          </w:p>
        </w:tc>
      </w:tr>
      <w:tr w:rsidR="00C801A6" w:rsidRPr="00C801A6" w14:paraId="136CF707" w14:textId="77777777" w:rsidTr="00437BCA">
        <w:tc>
          <w:tcPr>
            <w:tcW w:w="1488" w:type="dxa"/>
            <w:shd w:val="clear" w:color="auto" w:fill="D9D9D9" w:themeFill="background1" w:themeFillShade="D9"/>
            <w:noWrap/>
            <w:hideMark/>
          </w:tcPr>
          <w:p w14:paraId="03574BEA" w14:textId="77777777" w:rsidR="007A4908" w:rsidRPr="00C801A6" w:rsidRDefault="007A4908" w:rsidP="00347FDB">
            <w:pPr>
              <w:spacing w:before="60" w:after="60" w:line="240" w:lineRule="auto"/>
              <w:jc w:val="left"/>
              <w:rPr>
                <w:rFonts w:eastAsia="Times New Roman"/>
                <w:b/>
                <w:bCs/>
                <w:caps/>
                <w:color w:val="auto"/>
                <w:szCs w:val="24"/>
                <w:lang w:eastAsia="fr-FR"/>
              </w:rPr>
            </w:pPr>
            <w:r w:rsidRPr="00C801A6">
              <w:rPr>
                <w:rFonts w:eastAsia="Times New Roman"/>
                <w:b/>
                <w:bCs/>
                <w:caps/>
                <w:color w:val="auto"/>
                <w:szCs w:val="24"/>
                <w:lang w:eastAsia="fr-FR"/>
              </w:rPr>
              <w:t>CGES</w:t>
            </w:r>
          </w:p>
        </w:tc>
        <w:tc>
          <w:tcPr>
            <w:tcW w:w="283" w:type="dxa"/>
          </w:tcPr>
          <w:p w14:paraId="4707F5EC" w14:textId="77777777" w:rsidR="007A4908" w:rsidRPr="00C801A6" w:rsidRDefault="007A4908" w:rsidP="00347FDB">
            <w:pPr>
              <w:spacing w:before="60" w:after="60" w:line="240" w:lineRule="auto"/>
              <w:rPr>
                <w:rFonts w:eastAsia="Times New Roman"/>
                <w:b/>
                <w:bCs/>
                <w:color w:val="auto"/>
                <w:szCs w:val="24"/>
                <w:lang w:eastAsia="fr-FR"/>
              </w:rPr>
            </w:pPr>
            <w:r w:rsidRPr="00C801A6">
              <w:rPr>
                <w:rFonts w:eastAsia="Times New Roman"/>
                <w:b/>
                <w:bCs/>
                <w:color w:val="auto"/>
                <w:szCs w:val="24"/>
                <w:lang w:eastAsia="fr-FR"/>
              </w:rPr>
              <w:t>:</w:t>
            </w:r>
          </w:p>
        </w:tc>
        <w:tc>
          <w:tcPr>
            <w:tcW w:w="7441" w:type="dxa"/>
            <w:noWrap/>
            <w:hideMark/>
          </w:tcPr>
          <w:p w14:paraId="17723521" w14:textId="0AF5B725" w:rsidR="007A4908" w:rsidRPr="00C801A6" w:rsidRDefault="007A4908" w:rsidP="00347FDB">
            <w:pPr>
              <w:spacing w:before="60" w:after="60" w:line="240" w:lineRule="auto"/>
              <w:rPr>
                <w:rFonts w:eastAsia="Times New Roman"/>
                <w:color w:val="auto"/>
                <w:szCs w:val="24"/>
                <w:lang w:eastAsia="fr-FR"/>
              </w:rPr>
            </w:pPr>
            <w:r w:rsidRPr="00C801A6">
              <w:rPr>
                <w:rFonts w:eastAsia="Times New Roman"/>
                <w:color w:val="auto"/>
                <w:szCs w:val="24"/>
                <w:lang w:eastAsia="fr-FR"/>
              </w:rPr>
              <w:t>Cadre de Gestion Environnemental</w:t>
            </w:r>
            <w:r w:rsidR="00AB7DD7">
              <w:rPr>
                <w:rFonts w:eastAsia="Times New Roman"/>
                <w:color w:val="auto"/>
                <w:szCs w:val="24"/>
                <w:lang w:eastAsia="fr-FR"/>
              </w:rPr>
              <w:t>e</w:t>
            </w:r>
            <w:r w:rsidRPr="00C801A6">
              <w:rPr>
                <w:rFonts w:eastAsia="Times New Roman"/>
                <w:color w:val="auto"/>
                <w:szCs w:val="24"/>
                <w:lang w:eastAsia="fr-FR"/>
              </w:rPr>
              <w:t xml:space="preserve"> et Social</w:t>
            </w:r>
            <w:r w:rsidR="00AB7DD7">
              <w:rPr>
                <w:rFonts w:eastAsia="Times New Roman"/>
                <w:color w:val="auto"/>
                <w:szCs w:val="24"/>
                <w:lang w:eastAsia="fr-FR"/>
              </w:rPr>
              <w:t>e</w:t>
            </w:r>
          </w:p>
        </w:tc>
      </w:tr>
      <w:tr w:rsidR="00C801A6" w:rsidRPr="000645FD" w14:paraId="38304379" w14:textId="77777777" w:rsidTr="00437BCA">
        <w:tc>
          <w:tcPr>
            <w:tcW w:w="1488" w:type="dxa"/>
            <w:shd w:val="clear" w:color="auto" w:fill="D9D9D9" w:themeFill="background1" w:themeFillShade="D9"/>
            <w:noWrap/>
          </w:tcPr>
          <w:p w14:paraId="564D7852" w14:textId="45C06D44" w:rsidR="007A4908" w:rsidRPr="00C801A6" w:rsidRDefault="00AB7DD7" w:rsidP="00347FDB">
            <w:pPr>
              <w:spacing w:before="60" w:after="60" w:line="240" w:lineRule="auto"/>
              <w:jc w:val="left"/>
              <w:rPr>
                <w:rFonts w:eastAsia="Times New Roman"/>
                <w:b/>
                <w:bCs/>
                <w:caps/>
                <w:color w:val="auto"/>
                <w:szCs w:val="24"/>
                <w:lang w:eastAsia="fr-FR"/>
              </w:rPr>
            </w:pPr>
            <w:r w:rsidRPr="00C16469">
              <w:rPr>
                <w:rFonts w:eastAsia="Times New Roman"/>
                <w:color w:val="auto"/>
                <w:szCs w:val="24"/>
                <w:lang w:val="pt-BR" w:eastAsia="fr-FR"/>
              </w:rPr>
              <w:t>RFTIFM</w:t>
            </w:r>
          </w:p>
        </w:tc>
        <w:tc>
          <w:tcPr>
            <w:tcW w:w="283" w:type="dxa"/>
            <w:shd w:val="clear" w:color="auto" w:fill="FFFFFF" w:themeFill="background1"/>
          </w:tcPr>
          <w:p w14:paraId="750DC524" w14:textId="07707D3A" w:rsidR="007A4908" w:rsidRPr="00C801A6" w:rsidRDefault="00AB7DD7" w:rsidP="00347FDB">
            <w:pPr>
              <w:spacing w:before="60" w:after="60" w:line="240" w:lineRule="auto"/>
              <w:rPr>
                <w:rFonts w:eastAsia="Times New Roman"/>
                <w:b/>
                <w:bCs/>
                <w:color w:val="auto"/>
                <w:szCs w:val="24"/>
                <w:lang w:eastAsia="fr-FR"/>
              </w:rPr>
            </w:pPr>
            <w:r>
              <w:rPr>
                <w:rFonts w:eastAsia="Times New Roman"/>
                <w:b/>
                <w:bCs/>
                <w:color w:val="auto"/>
                <w:szCs w:val="24"/>
                <w:lang w:eastAsia="fr-FR"/>
              </w:rPr>
              <w:t>:</w:t>
            </w:r>
          </w:p>
        </w:tc>
        <w:tc>
          <w:tcPr>
            <w:tcW w:w="7441" w:type="dxa"/>
            <w:shd w:val="clear" w:color="auto" w:fill="FFFFFF" w:themeFill="background1"/>
            <w:noWrap/>
          </w:tcPr>
          <w:p w14:paraId="2C50F0BD" w14:textId="34519C7D" w:rsidR="007A4908" w:rsidRPr="00D42025" w:rsidRDefault="007A4908" w:rsidP="00347FDB">
            <w:pPr>
              <w:spacing w:before="60" w:after="60" w:line="240" w:lineRule="auto"/>
              <w:rPr>
                <w:rFonts w:eastAsia="Times New Roman"/>
                <w:color w:val="auto"/>
                <w:szCs w:val="24"/>
                <w:lang w:val="pt-BR" w:eastAsia="fr-FR"/>
              </w:rPr>
            </w:pPr>
            <w:r w:rsidRPr="00D42025">
              <w:rPr>
                <w:rFonts w:eastAsia="Times New Roman"/>
                <w:color w:val="auto"/>
                <w:szCs w:val="24"/>
                <w:lang w:val="pt-BR" w:eastAsia="fr-FR"/>
              </w:rPr>
              <w:t xml:space="preserve">Rafitra Fitantanana ny Tontolo Iainana sy ny Fiaraha-monina </w:t>
            </w:r>
          </w:p>
        </w:tc>
      </w:tr>
      <w:tr w:rsidR="00C801A6" w:rsidRPr="00C801A6" w14:paraId="1F2E55F5" w14:textId="77777777" w:rsidTr="00437BCA">
        <w:tc>
          <w:tcPr>
            <w:tcW w:w="1488" w:type="dxa"/>
            <w:shd w:val="clear" w:color="auto" w:fill="D9D9D9" w:themeFill="background1" w:themeFillShade="D9"/>
            <w:noWrap/>
            <w:hideMark/>
          </w:tcPr>
          <w:p w14:paraId="2E99575E" w14:textId="77777777" w:rsidR="007A4908" w:rsidRPr="00C801A6" w:rsidRDefault="007A4908" w:rsidP="00347FDB">
            <w:pPr>
              <w:spacing w:before="60" w:after="60" w:line="240" w:lineRule="auto"/>
              <w:jc w:val="left"/>
              <w:rPr>
                <w:rFonts w:eastAsia="Times New Roman"/>
                <w:b/>
                <w:bCs/>
                <w:caps/>
                <w:color w:val="auto"/>
                <w:szCs w:val="24"/>
                <w:lang w:eastAsia="fr-FR"/>
              </w:rPr>
            </w:pPr>
            <w:r w:rsidRPr="00C801A6">
              <w:rPr>
                <w:rFonts w:eastAsia="Times New Roman"/>
                <w:b/>
                <w:bCs/>
                <w:caps/>
                <w:color w:val="auto"/>
                <w:szCs w:val="24"/>
                <w:lang w:eastAsia="fr-FR"/>
              </w:rPr>
              <w:t>CGP</w:t>
            </w:r>
          </w:p>
        </w:tc>
        <w:tc>
          <w:tcPr>
            <w:tcW w:w="283" w:type="dxa"/>
            <w:shd w:val="clear" w:color="auto" w:fill="FFFFFF" w:themeFill="background1"/>
          </w:tcPr>
          <w:p w14:paraId="4BB985E4" w14:textId="77777777" w:rsidR="007A4908" w:rsidRPr="00C801A6" w:rsidRDefault="007A4908" w:rsidP="00347FDB">
            <w:pPr>
              <w:spacing w:before="60" w:after="60" w:line="240" w:lineRule="auto"/>
              <w:rPr>
                <w:rFonts w:eastAsia="Times New Roman"/>
                <w:b/>
                <w:bCs/>
                <w:color w:val="auto"/>
                <w:szCs w:val="24"/>
                <w:lang w:eastAsia="fr-FR"/>
              </w:rPr>
            </w:pPr>
            <w:r w:rsidRPr="00C801A6">
              <w:rPr>
                <w:rFonts w:eastAsia="Times New Roman"/>
                <w:b/>
                <w:bCs/>
                <w:color w:val="auto"/>
                <w:szCs w:val="24"/>
                <w:lang w:eastAsia="fr-FR"/>
              </w:rPr>
              <w:t>:</w:t>
            </w:r>
          </w:p>
        </w:tc>
        <w:tc>
          <w:tcPr>
            <w:tcW w:w="7441" w:type="dxa"/>
            <w:shd w:val="clear" w:color="auto" w:fill="FFFFFF" w:themeFill="background1"/>
            <w:noWrap/>
            <w:hideMark/>
          </w:tcPr>
          <w:p w14:paraId="27526661" w14:textId="77777777" w:rsidR="007A4908" w:rsidRPr="00C801A6" w:rsidRDefault="007A4908" w:rsidP="00347FDB">
            <w:pPr>
              <w:spacing w:before="60" w:after="60" w:line="240" w:lineRule="auto"/>
              <w:rPr>
                <w:rFonts w:eastAsia="Times New Roman"/>
                <w:color w:val="auto"/>
                <w:szCs w:val="24"/>
                <w:lang w:eastAsia="fr-FR"/>
              </w:rPr>
            </w:pPr>
            <w:r w:rsidRPr="00C801A6">
              <w:rPr>
                <w:rFonts w:eastAsia="Times New Roman"/>
                <w:color w:val="auto"/>
                <w:szCs w:val="24"/>
                <w:lang w:eastAsia="fr-FR"/>
              </w:rPr>
              <w:t>Comité de Gestion de Plaintes</w:t>
            </w:r>
          </w:p>
        </w:tc>
      </w:tr>
      <w:tr w:rsidR="00C801A6" w:rsidRPr="00C801A6" w14:paraId="13CA5EC1" w14:textId="77777777" w:rsidTr="00437BCA">
        <w:tc>
          <w:tcPr>
            <w:tcW w:w="1488" w:type="dxa"/>
            <w:shd w:val="clear" w:color="auto" w:fill="D9D9D9" w:themeFill="background1" w:themeFillShade="D9"/>
            <w:noWrap/>
          </w:tcPr>
          <w:p w14:paraId="293A0638" w14:textId="77777777" w:rsidR="007A4908" w:rsidRPr="00C801A6" w:rsidRDefault="007A4908" w:rsidP="00347FDB">
            <w:pPr>
              <w:spacing w:before="60" w:after="60" w:line="240" w:lineRule="auto"/>
              <w:jc w:val="left"/>
              <w:rPr>
                <w:rFonts w:eastAsia="Times New Roman"/>
                <w:b/>
                <w:bCs/>
                <w:caps/>
                <w:color w:val="auto"/>
                <w:szCs w:val="24"/>
                <w:lang w:eastAsia="fr-FR"/>
              </w:rPr>
            </w:pPr>
            <w:r w:rsidRPr="00C801A6">
              <w:rPr>
                <w:rFonts w:eastAsia="Times New Roman"/>
                <w:b/>
                <w:bCs/>
                <w:caps/>
                <w:color w:val="auto"/>
                <w:szCs w:val="24"/>
                <w:lang w:eastAsia="fr-FR"/>
              </w:rPr>
              <w:t>CHD</w:t>
            </w:r>
          </w:p>
        </w:tc>
        <w:tc>
          <w:tcPr>
            <w:tcW w:w="283" w:type="dxa"/>
            <w:shd w:val="clear" w:color="auto" w:fill="FFFFFF" w:themeFill="background1"/>
          </w:tcPr>
          <w:p w14:paraId="320D68C6" w14:textId="77777777" w:rsidR="007A4908" w:rsidRPr="00C801A6" w:rsidRDefault="007A4908" w:rsidP="00347FDB">
            <w:pPr>
              <w:spacing w:before="60" w:after="60" w:line="240" w:lineRule="auto"/>
              <w:rPr>
                <w:rFonts w:eastAsia="Times New Roman"/>
                <w:b/>
                <w:bCs/>
                <w:color w:val="auto"/>
                <w:szCs w:val="24"/>
                <w:lang w:eastAsia="fr-FR"/>
              </w:rPr>
            </w:pPr>
            <w:r w:rsidRPr="00C801A6">
              <w:rPr>
                <w:rFonts w:eastAsia="Times New Roman"/>
                <w:b/>
                <w:bCs/>
                <w:color w:val="auto"/>
                <w:szCs w:val="24"/>
                <w:lang w:eastAsia="fr-FR"/>
              </w:rPr>
              <w:t>:</w:t>
            </w:r>
          </w:p>
        </w:tc>
        <w:tc>
          <w:tcPr>
            <w:tcW w:w="7441" w:type="dxa"/>
            <w:shd w:val="clear" w:color="auto" w:fill="FFFFFF" w:themeFill="background1"/>
            <w:noWrap/>
          </w:tcPr>
          <w:p w14:paraId="47794EA1" w14:textId="77777777" w:rsidR="007A4908" w:rsidRPr="00C801A6" w:rsidRDefault="007A4908" w:rsidP="00347FDB">
            <w:pPr>
              <w:spacing w:before="60" w:after="60" w:line="240" w:lineRule="auto"/>
              <w:rPr>
                <w:rFonts w:eastAsia="Times New Roman"/>
                <w:color w:val="auto"/>
                <w:szCs w:val="24"/>
                <w:lang w:eastAsia="fr-FR"/>
              </w:rPr>
            </w:pPr>
            <w:r w:rsidRPr="00C801A6">
              <w:rPr>
                <w:rFonts w:eastAsia="Times New Roman"/>
                <w:color w:val="auto"/>
                <w:szCs w:val="24"/>
                <w:lang w:eastAsia="fr-FR"/>
              </w:rPr>
              <w:t>Centre Hospitalier de District</w:t>
            </w:r>
          </w:p>
        </w:tc>
      </w:tr>
      <w:tr w:rsidR="00C801A6" w:rsidRPr="00C801A6" w14:paraId="7D9D79B4" w14:textId="77777777" w:rsidTr="00437BCA">
        <w:tc>
          <w:tcPr>
            <w:tcW w:w="1488" w:type="dxa"/>
            <w:shd w:val="clear" w:color="auto" w:fill="D9D9D9" w:themeFill="background1" w:themeFillShade="D9"/>
          </w:tcPr>
          <w:p w14:paraId="55A1CF41" w14:textId="77777777" w:rsidR="007A4908" w:rsidRPr="00C801A6" w:rsidRDefault="007A4908" w:rsidP="00347FDB">
            <w:pPr>
              <w:spacing w:before="60" w:after="60" w:line="240" w:lineRule="auto"/>
              <w:jc w:val="left"/>
              <w:rPr>
                <w:rFonts w:eastAsia="Times New Roman"/>
                <w:b/>
                <w:bCs/>
                <w:caps/>
                <w:color w:val="auto"/>
                <w:szCs w:val="24"/>
                <w:lang w:eastAsia="fr-FR"/>
              </w:rPr>
            </w:pPr>
            <w:r w:rsidRPr="00C801A6">
              <w:rPr>
                <w:rFonts w:eastAsia="Times New Roman"/>
                <w:b/>
                <w:bCs/>
                <w:caps/>
                <w:color w:val="auto"/>
                <w:szCs w:val="24"/>
                <w:lang w:eastAsia="fr-FR"/>
              </w:rPr>
              <w:t>chr</w:t>
            </w:r>
          </w:p>
        </w:tc>
        <w:tc>
          <w:tcPr>
            <w:tcW w:w="283" w:type="dxa"/>
            <w:shd w:val="clear" w:color="auto" w:fill="FFFFFF" w:themeFill="background1"/>
          </w:tcPr>
          <w:p w14:paraId="3B98D2D8" w14:textId="77777777" w:rsidR="007A4908" w:rsidRPr="00C801A6" w:rsidRDefault="007A4908" w:rsidP="00347FDB">
            <w:pPr>
              <w:spacing w:before="60" w:after="60" w:line="240" w:lineRule="auto"/>
              <w:rPr>
                <w:rFonts w:eastAsia="Times New Roman"/>
                <w:b/>
                <w:bCs/>
                <w:color w:val="auto"/>
                <w:szCs w:val="24"/>
                <w:lang w:eastAsia="fr-FR"/>
              </w:rPr>
            </w:pPr>
            <w:r w:rsidRPr="00C801A6">
              <w:rPr>
                <w:rFonts w:eastAsia="Times New Roman"/>
                <w:b/>
                <w:bCs/>
                <w:color w:val="auto"/>
                <w:szCs w:val="24"/>
                <w:lang w:eastAsia="fr-FR"/>
              </w:rPr>
              <w:t>:</w:t>
            </w:r>
          </w:p>
        </w:tc>
        <w:tc>
          <w:tcPr>
            <w:tcW w:w="7441" w:type="dxa"/>
            <w:shd w:val="clear" w:color="auto" w:fill="FFFFFF" w:themeFill="background1"/>
          </w:tcPr>
          <w:p w14:paraId="70DD8753" w14:textId="77777777" w:rsidR="007A4908" w:rsidRPr="00C801A6" w:rsidRDefault="007A4908" w:rsidP="00347FDB">
            <w:pPr>
              <w:spacing w:before="60" w:after="60" w:line="240" w:lineRule="auto"/>
              <w:rPr>
                <w:rFonts w:eastAsia="Times New Roman"/>
                <w:color w:val="auto"/>
                <w:szCs w:val="24"/>
                <w:lang w:eastAsia="fr-FR"/>
              </w:rPr>
            </w:pPr>
            <w:r w:rsidRPr="00C801A6">
              <w:rPr>
                <w:rFonts w:eastAsia="Times New Roman"/>
                <w:color w:val="auto"/>
                <w:szCs w:val="24"/>
                <w:lang w:eastAsia="fr-FR"/>
              </w:rPr>
              <w:t>Centre Hospitalier de Référence</w:t>
            </w:r>
          </w:p>
        </w:tc>
      </w:tr>
      <w:tr w:rsidR="00C801A6" w:rsidRPr="00C801A6" w14:paraId="5E6844B2" w14:textId="77777777" w:rsidTr="00437BCA">
        <w:tc>
          <w:tcPr>
            <w:tcW w:w="1488" w:type="dxa"/>
            <w:shd w:val="clear" w:color="auto" w:fill="D9D9D9" w:themeFill="background1" w:themeFillShade="D9"/>
          </w:tcPr>
          <w:p w14:paraId="67F3985F" w14:textId="77777777" w:rsidR="007A4908" w:rsidRPr="00C801A6" w:rsidRDefault="007A4908" w:rsidP="00347FDB">
            <w:pPr>
              <w:spacing w:before="60" w:after="60" w:line="240" w:lineRule="auto"/>
              <w:jc w:val="left"/>
              <w:rPr>
                <w:rFonts w:eastAsia="Times New Roman"/>
                <w:b/>
                <w:bCs/>
                <w:caps/>
                <w:color w:val="auto"/>
                <w:szCs w:val="24"/>
                <w:lang w:eastAsia="fr-FR"/>
              </w:rPr>
            </w:pPr>
            <w:r w:rsidRPr="00C801A6">
              <w:rPr>
                <w:rFonts w:eastAsia="Times New Roman"/>
                <w:b/>
                <w:bCs/>
                <w:caps/>
                <w:color w:val="auto"/>
                <w:szCs w:val="24"/>
                <w:lang w:eastAsia="fr-FR"/>
              </w:rPr>
              <w:t>chrr</w:t>
            </w:r>
          </w:p>
        </w:tc>
        <w:tc>
          <w:tcPr>
            <w:tcW w:w="283" w:type="dxa"/>
            <w:shd w:val="clear" w:color="auto" w:fill="FFFFFF" w:themeFill="background1"/>
          </w:tcPr>
          <w:p w14:paraId="0729504D" w14:textId="77777777" w:rsidR="007A4908" w:rsidRPr="00C801A6" w:rsidRDefault="007A4908" w:rsidP="00347FDB">
            <w:pPr>
              <w:spacing w:before="60" w:after="60" w:line="240" w:lineRule="auto"/>
              <w:rPr>
                <w:rFonts w:eastAsia="Times New Roman"/>
                <w:b/>
                <w:bCs/>
                <w:color w:val="auto"/>
                <w:szCs w:val="24"/>
                <w:lang w:eastAsia="fr-FR"/>
              </w:rPr>
            </w:pPr>
            <w:r w:rsidRPr="00C801A6">
              <w:rPr>
                <w:rFonts w:eastAsia="Times New Roman"/>
                <w:b/>
                <w:bCs/>
                <w:color w:val="auto"/>
                <w:szCs w:val="24"/>
                <w:lang w:eastAsia="fr-FR"/>
              </w:rPr>
              <w:t>:</w:t>
            </w:r>
          </w:p>
        </w:tc>
        <w:tc>
          <w:tcPr>
            <w:tcW w:w="7441" w:type="dxa"/>
            <w:shd w:val="clear" w:color="auto" w:fill="FFFFFF" w:themeFill="background1"/>
          </w:tcPr>
          <w:p w14:paraId="56FA6101" w14:textId="77777777" w:rsidR="007A4908" w:rsidRPr="00C801A6" w:rsidRDefault="007A4908" w:rsidP="00347FDB">
            <w:pPr>
              <w:spacing w:before="60" w:after="60" w:line="240" w:lineRule="auto"/>
              <w:rPr>
                <w:rFonts w:eastAsia="Times New Roman"/>
                <w:color w:val="auto"/>
                <w:szCs w:val="24"/>
                <w:lang w:eastAsia="fr-FR"/>
              </w:rPr>
            </w:pPr>
            <w:r w:rsidRPr="00C801A6">
              <w:rPr>
                <w:rFonts w:eastAsia="Times New Roman"/>
                <w:color w:val="auto"/>
                <w:szCs w:val="24"/>
                <w:lang w:eastAsia="fr-FR"/>
              </w:rPr>
              <w:t>Centre Hospitalier de Référence Régionale</w:t>
            </w:r>
          </w:p>
        </w:tc>
      </w:tr>
      <w:tr w:rsidR="00C801A6" w:rsidRPr="00C801A6" w14:paraId="5B62530D" w14:textId="77777777" w:rsidTr="00437BCA">
        <w:tc>
          <w:tcPr>
            <w:tcW w:w="1488" w:type="dxa"/>
            <w:shd w:val="clear" w:color="auto" w:fill="D9D9D9" w:themeFill="background1" w:themeFillShade="D9"/>
          </w:tcPr>
          <w:p w14:paraId="612038A1" w14:textId="77777777" w:rsidR="007A4908" w:rsidRPr="00C801A6" w:rsidRDefault="007A4908" w:rsidP="00347FDB">
            <w:pPr>
              <w:spacing w:before="60" w:after="60" w:line="240" w:lineRule="auto"/>
              <w:jc w:val="left"/>
              <w:rPr>
                <w:rFonts w:eastAsia="Times New Roman"/>
                <w:b/>
                <w:bCs/>
                <w:caps/>
                <w:color w:val="auto"/>
                <w:szCs w:val="24"/>
                <w:lang w:eastAsia="fr-FR"/>
              </w:rPr>
            </w:pPr>
            <w:r w:rsidRPr="00C801A6">
              <w:rPr>
                <w:rFonts w:eastAsia="Times New Roman"/>
                <w:b/>
                <w:bCs/>
                <w:caps/>
                <w:color w:val="auto"/>
                <w:szCs w:val="24"/>
                <w:lang w:eastAsia="fr-FR"/>
              </w:rPr>
              <w:t>cpgu</w:t>
            </w:r>
          </w:p>
        </w:tc>
        <w:tc>
          <w:tcPr>
            <w:tcW w:w="283" w:type="dxa"/>
            <w:shd w:val="clear" w:color="auto" w:fill="FFFFFF" w:themeFill="background1"/>
          </w:tcPr>
          <w:p w14:paraId="2C295BC5" w14:textId="77777777" w:rsidR="007A4908" w:rsidRPr="00C801A6" w:rsidRDefault="007A4908" w:rsidP="00347FDB">
            <w:pPr>
              <w:spacing w:before="60" w:after="60" w:line="240" w:lineRule="auto"/>
              <w:rPr>
                <w:rFonts w:eastAsia="Times New Roman"/>
                <w:b/>
                <w:bCs/>
                <w:color w:val="auto"/>
                <w:szCs w:val="24"/>
                <w:lang w:eastAsia="fr-FR"/>
              </w:rPr>
            </w:pPr>
            <w:r w:rsidRPr="00C801A6">
              <w:rPr>
                <w:rFonts w:eastAsia="Times New Roman"/>
                <w:b/>
                <w:bCs/>
                <w:color w:val="auto"/>
                <w:szCs w:val="24"/>
                <w:lang w:eastAsia="fr-FR"/>
              </w:rPr>
              <w:t>:</w:t>
            </w:r>
          </w:p>
        </w:tc>
        <w:tc>
          <w:tcPr>
            <w:tcW w:w="7441" w:type="dxa"/>
            <w:shd w:val="clear" w:color="auto" w:fill="FFFFFF" w:themeFill="background1"/>
          </w:tcPr>
          <w:p w14:paraId="49B261E4" w14:textId="77777777" w:rsidR="007A4908" w:rsidRPr="00C801A6" w:rsidRDefault="007A4908" w:rsidP="00347FDB">
            <w:pPr>
              <w:spacing w:before="60" w:after="60" w:line="240" w:lineRule="auto"/>
              <w:rPr>
                <w:rFonts w:eastAsia="Times New Roman"/>
                <w:color w:val="auto"/>
                <w:szCs w:val="24"/>
                <w:lang w:eastAsia="fr-FR"/>
              </w:rPr>
            </w:pPr>
            <w:r w:rsidRPr="00C801A6">
              <w:rPr>
                <w:rFonts w:eastAsia="Times New Roman"/>
                <w:color w:val="auto"/>
                <w:szCs w:val="24"/>
                <w:lang w:eastAsia="fr-FR"/>
              </w:rPr>
              <w:t>Cellule de Prévention et de Gestion des Urgences</w:t>
            </w:r>
          </w:p>
        </w:tc>
      </w:tr>
      <w:tr w:rsidR="00C801A6" w:rsidRPr="00C801A6" w14:paraId="36978A35" w14:textId="77777777" w:rsidTr="00437BCA">
        <w:tc>
          <w:tcPr>
            <w:tcW w:w="1488" w:type="dxa"/>
            <w:shd w:val="clear" w:color="auto" w:fill="D9D9D9" w:themeFill="background1" w:themeFillShade="D9"/>
            <w:hideMark/>
          </w:tcPr>
          <w:p w14:paraId="48E03B78" w14:textId="77777777" w:rsidR="007A4908" w:rsidRPr="00C801A6" w:rsidRDefault="007A4908" w:rsidP="00347FDB">
            <w:pPr>
              <w:spacing w:before="60" w:after="60" w:line="240" w:lineRule="auto"/>
              <w:jc w:val="left"/>
              <w:rPr>
                <w:rFonts w:eastAsia="Times New Roman"/>
                <w:b/>
                <w:bCs/>
                <w:caps/>
                <w:color w:val="auto"/>
                <w:szCs w:val="24"/>
                <w:lang w:eastAsia="fr-FR"/>
              </w:rPr>
            </w:pPr>
            <w:r w:rsidRPr="00C801A6">
              <w:rPr>
                <w:rFonts w:eastAsia="Times New Roman"/>
                <w:b/>
                <w:bCs/>
                <w:caps/>
                <w:color w:val="auto"/>
                <w:szCs w:val="24"/>
                <w:lang w:eastAsia="fr-FR"/>
              </w:rPr>
              <w:t>CR</w:t>
            </w:r>
          </w:p>
        </w:tc>
        <w:tc>
          <w:tcPr>
            <w:tcW w:w="283" w:type="dxa"/>
            <w:shd w:val="clear" w:color="auto" w:fill="FFFFFF" w:themeFill="background1"/>
          </w:tcPr>
          <w:p w14:paraId="5D56348C" w14:textId="77777777" w:rsidR="007A4908" w:rsidRPr="00C801A6" w:rsidRDefault="007A4908" w:rsidP="00347FDB">
            <w:pPr>
              <w:spacing w:before="60" w:after="60" w:line="240" w:lineRule="auto"/>
              <w:rPr>
                <w:rFonts w:eastAsia="Times New Roman"/>
                <w:b/>
                <w:bCs/>
                <w:color w:val="auto"/>
                <w:szCs w:val="24"/>
                <w:lang w:eastAsia="fr-FR"/>
              </w:rPr>
            </w:pPr>
            <w:r w:rsidRPr="00C801A6">
              <w:rPr>
                <w:rFonts w:eastAsia="Times New Roman"/>
                <w:b/>
                <w:bCs/>
                <w:color w:val="auto"/>
                <w:szCs w:val="24"/>
                <w:lang w:eastAsia="fr-FR"/>
              </w:rPr>
              <w:t>:</w:t>
            </w:r>
          </w:p>
        </w:tc>
        <w:tc>
          <w:tcPr>
            <w:tcW w:w="7441" w:type="dxa"/>
            <w:shd w:val="clear" w:color="auto" w:fill="FFFFFF" w:themeFill="background1"/>
            <w:hideMark/>
          </w:tcPr>
          <w:p w14:paraId="4F2AC36A" w14:textId="77777777" w:rsidR="007A4908" w:rsidRPr="00C801A6" w:rsidRDefault="007A4908" w:rsidP="00347FDB">
            <w:pPr>
              <w:spacing w:before="60" w:after="60" w:line="240" w:lineRule="auto"/>
              <w:rPr>
                <w:rFonts w:eastAsia="Times New Roman"/>
                <w:color w:val="auto"/>
                <w:szCs w:val="24"/>
                <w:lang w:eastAsia="fr-FR"/>
              </w:rPr>
            </w:pPr>
            <w:r w:rsidRPr="00C801A6">
              <w:rPr>
                <w:rFonts w:eastAsia="Times New Roman"/>
                <w:color w:val="auto"/>
                <w:szCs w:val="24"/>
                <w:lang w:eastAsia="fr-FR"/>
              </w:rPr>
              <w:t>Cadre de Réinstallation</w:t>
            </w:r>
          </w:p>
        </w:tc>
      </w:tr>
      <w:tr w:rsidR="00C801A6" w:rsidRPr="00C801A6" w14:paraId="166680DB" w14:textId="77777777" w:rsidTr="00437BCA">
        <w:tc>
          <w:tcPr>
            <w:tcW w:w="1488" w:type="dxa"/>
            <w:shd w:val="clear" w:color="auto" w:fill="D9D9D9" w:themeFill="background1" w:themeFillShade="D9"/>
            <w:hideMark/>
          </w:tcPr>
          <w:p w14:paraId="65D2BD7D" w14:textId="77777777" w:rsidR="007A4908" w:rsidRPr="00C801A6" w:rsidRDefault="007A4908" w:rsidP="00347FDB">
            <w:pPr>
              <w:spacing w:before="60" w:after="60" w:line="240" w:lineRule="auto"/>
              <w:jc w:val="left"/>
              <w:rPr>
                <w:rFonts w:eastAsia="Times New Roman"/>
                <w:b/>
                <w:bCs/>
                <w:caps/>
                <w:color w:val="auto"/>
                <w:szCs w:val="24"/>
                <w:lang w:eastAsia="fr-FR"/>
              </w:rPr>
            </w:pPr>
            <w:r w:rsidRPr="00C801A6">
              <w:rPr>
                <w:rFonts w:eastAsia="Times New Roman"/>
                <w:b/>
                <w:bCs/>
                <w:caps/>
                <w:color w:val="auto"/>
                <w:szCs w:val="24"/>
                <w:lang w:eastAsia="fr-FR"/>
              </w:rPr>
              <w:t>CRL</w:t>
            </w:r>
          </w:p>
        </w:tc>
        <w:tc>
          <w:tcPr>
            <w:tcW w:w="283" w:type="dxa"/>
            <w:shd w:val="clear" w:color="auto" w:fill="FFFFFF" w:themeFill="background1"/>
          </w:tcPr>
          <w:p w14:paraId="60BC4EE2" w14:textId="77777777" w:rsidR="007A4908" w:rsidRPr="00C801A6" w:rsidRDefault="007A4908" w:rsidP="00347FDB">
            <w:pPr>
              <w:spacing w:before="60" w:after="60" w:line="240" w:lineRule="auto"/>
              <w:rPr>
                <w:b/>
                <w:bCs/>
                <w:color w:val="auto"/>
                <w:szCs w:val="24"/>
              </w:rPr>
            </w:pPr>
            <w:r w:rsidRPr="00C801A6">
              <w:rPr>
                <w:b/>
                <w:bCs/>
                <w:color w:val="auto"/>
                <w:szCs w:val="24"/>
              </w:rPr>
              <w:t>:</w:t>
            </w:r>
          </w:p>
        </w:tc>
        <w:tc>
          <w:tcPr>
            <w:tcW w:w="7441" w:type="dxa"/>
            <w:shd w:val="clear" w:color="auto" w:fill="FFFFFF" w:themeFill="background1"/>
            <w:hideMark/>
          </w:tcPr>
          <w:p w14:paraId="332B1236" w14:textId="77777777" w:rsidR="007A4908" w:rsidRPr="00C801A6" w:rsidRDefault="007A4908" w:rsidP="00347FDB">
            <w:pPr>
              <w:spacing w:before="60" w:after="60" w:line="240" w:lineRule="auto"/>
              <w:rPr>
                <w:rFonts w:eastAsia="Times New Roman"/>
                <w:color w:val="auto"/>
                <w:szCs w:val="24"/>
                <w:lang w:eastAsia="fr-FR"/>
              </w:rPr>
            </w:pPr>
            <w:r w:rsidRPr="00C801A6">
              <w:rPr>
                <w:color w:val="auto"/>
                <w:szCs w:val="24"/>
              </w:rPr>
              <w:t>Comité de Règlement des Litiges</w:t>
            </w:r>
          </w:p>
        </w:tc>
      </w:tr>
      <w:tr w:rsidR="00C801A6" w:rsidRPr="00C801A6" w14:paraId="240A9EBC" w14:textId="77777777" w:rsidTr="00437BCA">
        <w:tc>
          <w:tcPr>
            <w:tcW w:w="1488" w:type="dxa"/>
            <w:shd w:val="clear" w:color="auto" w:fill="D9D9D9" w:themeFill="background1" w:themeFillShade="D9"/>
            <w:hideMark/>
          </w:tcPr>
          <w:p w14:paraId="7569FFDD" w14:textId="77777777" w:rsidR="007A4908" w:rsidRPr="00C801A6" w:rsidRDefault="007A4908" w:rsidP="00347FDB">
            <w:pPr>
              <w:spacing w:before="60" w:after="60" w:line="240" w:lineRule="auto"/>
              <w:jc w:val="left"/>
              <w:rPr>
                <w:rFonts w:eastAsia="Times New Roman"/>
                <w:b/>
                <w:bCs/>
                <w:caps/>
                <w:color w:val="auto"/>
                <w:szCs w:val="24"/>
                <w:lang w:eastAsia="fr-FR"/>
              </w:rPr>
            </w:pPr>
            <w:r w:rsidRPr="00C801A6">
              <w:rPr>
                <w:rFonts w:eastAsia="Times New Roman"/>
                <w:b/>
                <w:bCs/>
                <w:caps/>
                <w:color w:val="auto"/>
                <w:szCs w:val="24"/>
                <w:lang w:eastAsia="fr-FR"/>
              </w:rPr>
              <w:t>CRRL</w:t>
            </w:r>
          </w:p>
        </w:tc>
        <w:tc>
          <w:tcPr>
            <w:tcW w:w="283" w:type="dxa"/>
          </w:tcPr>
          <w:p w14:paraId="7E89A4DD" w14:textId="77777777" w:rsidR="007A4908" w:rsidRPr="00C801A6" w:rsidRDefault="007A4908" w:rsidP="00347FDB">
            <w:pPr>
              <w:spacing w:before="60" w:after="60" w:line="240" w:lineRule="auto"/>
              <w:rPr>
                <w:rFonts w:eastAsia="Times New Roman"/>
                <w:b/>
                <w:bCs/>
                <w:color w:val="auto"/>
                <w:szCs w:val="24"/>
                <w:lang w:eastAsia="fr-FR"/>
              </w:rPr>
            </w:pPr>
            <w:r w:rsidRPr="00C801A6">
              <w:rPr>
                <w:rFonts w:eastAsia="Times New Roman"/>
                <w:b/>
                <w:bCs/>
                <w:color w:val="auto"/>
                <w:szCs w:val="24"/>
                <w:lang w:eastAsia="fr-FR"/>
              </w:rPr>
              <w:t>:</w:t>
            </w:r>
          </w:p>
        </w:tc>
        <w:tc>
          <w:tcPr>
            <w:tcW w:w="7441" w:type="dxa"/>
            <w:hideMark/>
          </w:tcPr>
          <w:p w14:paraId="01869B90" w14:textId="77777777" w:rsidR="007A4908" w:rsidRPr="00C801A6" w:rsidRDefault="007A4908" w:rsidP="00347FDB">
            <w:pPr>
              <w:spacing w:before="60" w:after="60" w:line="240" w:lineRule="auto"/>
              <w:rPr>
                <w:rFonts w:eastAsia="Times New Roman"/>
                <w:color w:val="auto"/>
                <w:szCs w:val="24"/>
                <w:lang w:eastAsia="fr-FR"/>
              </w:rPr>
            </w:pPr>
            <w:r w:rsidRPr="00C801A6">
              <w:rPr>
                <w:rFonts w:eastAsia="Times New Roman"/>
                <w:color w:val="auto"/>
                <w:szCs w:val="24"/>
                <w:lang w:eastAsia="fr-FR"/>
              </w:rPr>
              <w:t>Comité Régional de Règlement des Litiges</w:t>
            </w:r>
          </w:p>
        </w:tc>
      </w:tr>
      <w:tr w:rsidR="00C801A6" w:rsidRPr="00C801A6" w14:paraId="79387C11" w14:textId="77777777" w:rsidTr="00437BCA">
        <w:tc>
          <w:tcPr>
            <w:tcW w:w="1488" w:type="dxa"/>
            <w:shd w:val="clear" w:color="auto" w:fill="D9D9D9" w:themeFill="background1" w:themeFillShade="D9"/>
            <w:noWrap/>
          </w:tcPr>
          <w:p w14:paraId="7145C694" w14:textId="77777777" w:rsidR="007A4908" w:rsidRPr="00C801A6" w:rsidRDefault="007A4908" w:rsidP="00347FDB">
            <w:pPr>
              <w:tabs>
                <w:tab w:val="left" w:pos="1573"/>
              </w:tabs>
              <w:spacing w:before="60" w:after="60" w:line="240" w:lineRule="auto"/>
              <w:jc w:val="left"/>
              <w:rPr>
                <w:rFonts w:eastAsia="Times New Roman"/>
                <w:b/>
                <w:bCs/>
                <w:caps/>
                <w:color w:val="auto"/>
                <w:szCs w:val="24"/>
                <w:lang w:eastAsia="fr-FR"/>
              </w:rPr>
            </w:pPr>
            <w:r w:rsidRPr="00C801A6">
              <w:rPr>
                <w:rFonts w:eastAsia="Times New Roman"/>
                <w:b/>
                <w:bCs/>
                <w:caps/>
                <w:color w:val="auto"/>
                <w:szCs w:val="24"/>
                <w:lang w:eastAsia="fr-FR"/>
              </w:rPr>
              <w:t>cSB</w:t>
            </w:r>
          </w:p>
        </w:tc>
        <w:tc>
          <w:tcPr>
            <w:tcW w:w="283" w:type="dxa"/>
          </w:tcPr>
          <w:p w14:paraId="1CE01EE5" w14:textId="77777777" w:rsidR="007A4908" w:rsidRPr="00C801A6" w:rsidRDefault="007A4908" w:rsidP="00347FDB">
            <w:pPr>
              <w:spacing w:before="60" w:after="60" w:line="240" w:lineRule="auto"/>
              <w:rPr>
                <w:rFonts w:eastAsia="Times New Roman"/>
                <w:b/>
                <w:bCs/>
                <w:color w:val="auto"/>
                <w:szCs w:val="24"/>
                <w:lang w:eastAsia="fr-FR"/>
              </w:rPr>
            </w:pPr>
          </w:p>
        </w:tc>
        <w:tc>
          <w:tcPr>
            <w:tcW w:w="7441" w:type="dxa"/>
            <w:noWrap/>
          </w:tcPr>
          <w:p w14:paraId="5D0DE5DF" w14:textId="77777777" w:rsidR="007A4908" w:rsidRPr="00C801A6" w:rsidRDefault="007A4908" w:rsidP="00347FDB">
            <w:pPr>
              <w:spacing w:before="60" w:after="60" w:line="240" w:lineRule="auto"/>
              <w:rPr>
                <w:rFonts w:eastAsia="Times New Roman"/>
                <w:color w:val="auto"/>
                <w:szCs w:val="24"/>
                <w:lang w:eastAsia="fr-FR"/>
              </w:rPr>
            </w:pPr>
            <w:r w:rsidRPr="00C801A6">
              <w:rPr>
                <w:rFonts w:eastAsia="Times New Roman"/>
                <w:color w:val="auto"/>
                <w:szCs w:val="24"/>
                <w:lang w:eastAsia="fr-FR"/>
              </w:rPr>
              <w:t>Centre de Santé de Base</w:t>
            </w:r>
          </w:p>
        </w:tc>
      </w:tr>
      <w:tr w:rsidR="00C801A6" w:rsidRPr="00C801A6" w14:paraId="12655C63" w14:textId="77777777" w:rsidTr="00437BCA">
        <w:tc>
          <w:tcPr>
            <w:tcW w:w="1488" w:type="dxa"/>
            <w:shd w:val="clear" w:color="auto" w:fill="D9D9D9" w:themeFill="background1" w:themeFillShade="D9"/>
            <w:noWrap/>
            <w:hideMark/>
          </w:tcPr>
          <w:p w14:paraId="42B952CD" w14:textId="77777777" w:rsidR="007A4908" w:rsidRPr="00C801A6" w:rsidRDefault="007A4908" w:rsidP="00347FDB">
            <w:pPr>
              <w:tabs>
                <w:tab w:val="left" w:pos="1573"/>
              </w:tabs>
              <w:spacing w:before="60" w:after="60" w:line="240" w:lineRule="auto"/>
              <w:jc w:val="left"/>
              <w:rPr>
                <w:rFonts w:eastAsia="Times New Roman"/>
                <w:b/>
                <w:bCs/>
                <w:caps/>
                <w:color w:val="auto"/>
                <w:szCs w:val="24"/>
                <w:lang w:eastAsia="fr-FR"/>
              </w:rPr>
            </w:pPr>
            <w:r w:rsidRPr="00C801A6">
              <w:rPr>
                <w:rFonts w:eastAsia="Times New Roman"/>
                <w:b/>
                <w:bCs/>
                <w:caps/>
                <w:color w:val="auto"/>
                <w:szCs w:val="24"/>
                <w:lang w:eastAsia="fr-FR"/>
              </w:rPr>
              <w:t>CTD</w:t>
            </w:r>
          </w:p>
        </w:tc>
        <w:tc>
          <w:tcPr>
            <w:tcW w:w="283" w:type="dxa"/>
          </w:tcPr>
          <w:p w14:paraId="5AAA4F7F" w14:textId="77777777" w:rsidR="007A4908" w:rsidRPr="00C801A6" w:rsidRDefault="007A4908" w:rsidP="00347FDB">
            <w:pPr>
              <w:spacing w:before="60" w:after="60" w:line="240" w:lineRule="auto"/>
              <w:rPr>
                <w:rFonts w:eastAsia="Times New Roman"/>
                <w:b/>
                <w:bCs/>
                <w:color w:val="auto"/>
                <w:szCs w:val="24"/>
                <w:lang w:eastAsia="fr-FR"/>
              </w:rPr>
            </w:pPr>
            <w:r w:rsidRPr="00C801A6">
              <w:rPr>
                <w:rFonts w:eastAsia="Times New Roman"/>
                <w:b/>
                <w:bCs/>
                <w:color w:val="auto"/>
                <w:szCs w:val="24"/>
                <w:lang w:eastAsia="fr-FR"/>
              </w:rPr>
              <w:t>:</w:t>
            </w:r>
          </w:p>
        </w:tc>
        <w:tc>
          <w:tcPr>
            <w:tcW w:w="7441" w:type="dxa"/>
            <w:noWrap/>
            <w:hideMark/>
          </w:tcPr>
          <w:p w14:paraId="52B8B0D9" w14:textId="77777777" w:rsidR="007A4908" w:rsidRPr="00C801A6" w:rsidRDefault="007A4908" w:rsidP="00347FDB">
            <w:pPr>
              <w:spacing w:before="60" w:after="60" w:line="240" w:lineRule="auto"/>
              <w:rPr>
                <w:rFonts w:eastAsia="Times New Roman"/>
                <w:color w:val="auto"/>
                <w:szCs w:val="24"/>
                <w:lang w:eastAsia="fr-FR"/>
              </w:rPr>
            </w:pPr>
            <w:r w:rsidRPr="00C801A6">
              <w:rPr>
                <w:rFonts w:eastAsia="Times New Roman"/>
                <w:color w:val="auto"/>
                <w:szCs w:val="24"/>
                <w:lang w:eastAsia="fr-FR"/>
              </w:rPr>
              <w:t>Collectivités Territoriales Décentralisées</w:t>
            </w:r>
          </w:p>
        </w:tc>
      </w:tr>
      <w:tr w:rsidR="00C801A6" w:rsidRPr="00C801A6" w14:paraId="66865C51" w14:textId="77777777" w:rsidTr="00437BCA">
        <w:tc>
          <w:tcPr>
            <w:tcW w:w="1488" w:type="dxa"/>
            <w:shd w:val="clear" w:color="auto" w:fill="D9D9D9" w:themeFill="background1" w:themeFillShade="D9"/>
            <w:noWrap/>
          </w:tcPr>
          <w:p w14:paraId="3CEE75FF" w14:textId="77777777" w:rsidR="007A4908" w:rsidRPr="00C801A6" w:rsidRDefault="007A4908" w:rsidP="00347FDB">
            <w:pPr>
              <w:spacing w:before="60" w:after="60" w:line="240" w:lineRule="auto"/>
              <w:jc w:val="left"/>
              <w:rPr>
                <w:rFonts w:eastAsia="Times New Roman"/>
                <w:b/>
                <w:bCs/>
                <w:caps/>
                <w:color w:val="auto"/>
                <w:szCs w:val="24"/>
                <w:lang w:eastAsia="fr-FR"/>
              </w:rPr>
            </w:pPr>
            <w:r w:rsidRPr="00C801A6">
              <w:rPr>
                <w:rFonts w:eastAsia="Times New Roman"/>
                <w:b/>
                <w:bCs/>
                <w:color w:val="auto"/>
                <w:szCs w:val="24"/>
                <w:lang w:eastAsia="fr-FR"/>
              </w:rPr>
              <w:t>DRMPPSPF</w:t>
            </w:r>
          </w:p>
        </w:tc>
        <w:tc>
          <w:tcPr>
            <w:tcW w:w="283" w:type="dxa"/>
          </w:tcPr>
          <w:p w14:paraId="23319107" w14:textId="77777777" w:rsidR="007A4908" w:rsidRPr="00C801A6" w:rsidRDefault="007A4908" w:rsidP="00347FDB">
            <w:pPr>
              <w:spacing w:before="60" w:after="60" w:line="240" w:lineRule="auto"/>
              <w:rPr>
                <w:rFonts w:eastAsia="Times New Roman"/>
                <w:b/>
                <w:bCs/>
                <w:color w:val="auto"/>
                <w:szCs w:val="24"/>
                <w:lang w:eastAsia="fr-FR"/>
              </w:rPr>
            </w:pPr>
            <w:r w:rsidRPr="00C801A6">
              <w:rPr>
                <w:rFonts w:eastAsia="Times New Roman"/>
                <w:b/>
                <w:bCs/>
                <w:color w:val="auto"/>
                <w:szCs w:val="24"/>
                <w:lang w:eastAsia="fr-FR"/>
              </w:rPr>
              <w:t>:</w:t>
            </w:r>
          </w:p>
        </w:tc>
        <w:tc>
          <w:tcPr>
            <w:tcW w:w="7441" w:type="dxa"/>
            <w:noWrap/>
          </w:tcPr>
          <w:p w14:paraId="3F9587C5" w14:textId="77777777" w:rsidR="007A4908" w:rsidRPr="00C801A6" w:rsidRDefault="007A4908" w:rsidP="00347FDB">
            <w:pPr>
              <w:spacing w:before="60" w:after="60" w:line="240" w:lineRule="auto"/>
              <w:rPr>
                <w:rFonts w:eastAsia="Times New Roman"/>
                <w:color w:val="auto"/>
                <w:szCs w:val="24"/>
                <w:lang w:eastAsia="fr-FR"/>
              </w:rPr>
            </w:pPr>
            <w:r w:rsidRPr="00C801A6">
              <w:rPr>
                <w:rFonts w:eastAsia="Times New Roman"/>
                <w:color w:val="auto"/>
                <w:szCs w:val="24"/>
                <w:lang w:eastAsia="fr-FR"/>
              </w:rPr>
              <w:t>Directions Régionales du Ministère de la Population, de la Protection Sociale et de la Promotion de la Femme</w:t>
            </w:r>
          </w:p>
        </w:tc>
      </w:tr>
      <w:tr w:rsidR="00C801A6" w:rsidRPr="00C801A6" w14:paraId="09B370C5" w14:textId="77777777" w:rsidTr="00437BCA">
        <w:tc>
          <w:tcPr>
            <w:tcW w:w="1488" w:type="dxa"/>
            <w:shd w:val="clear" w:color="auto" w:fill="D9D9D9" w:themeFill="background1" w:themeFillShade="D9"/>
            <w:noWrap/>
            <w:hideMark/>
          </w:tcPr>
          <w:p w14:paraId="206445A5" w14:textId="77777777" w:rsidR="007A4908" w:rsidRPr="00C801A6" w:rsidRDefault="007A4908" w:rsidP="00347FDB">
            <w:pPr>
              <w:spacing w:before="60" w:after="60" w:line="240" w:lineRule="auto"/>
              <w:jc w:val="left"/>
              <w:rPr>
                <w:rFonts w:eastAsia="Times New Roman"/>
                <w:b/>
                <w:bCs/>
                <w:caps/>
                <w:color w:val="auto"/>
                <w:szCs w:val="24"/>
                <w:lang w:eastAsia="fr-FR"/>
              </w:rPr>
            </w:pPr>
            <w:r w:rsidRPr="00C801A6">
              <w:rPr>
                <w:rFonts w:eastAsia="Times New Roman"/>
                <w:b/>
                <w:bCs/>
                <w:caps/>
                <w:color w:val="auto"/>
                <w:szCs w:val="24"/>
                <w:lang w:eastAsia="fr-FR"/>
              </w:rPr>
              <w:t>E&amp;S</w:t>
            </w:r>
          </w:p>
        </w:tc>
        <w:tc>
          <w:tcPr>
            <w:tcW w:w="283" w:type="dxa"/>
          </w:tcPr>
          <w:p w14:paraId="41D08769" w14:textId="77777777" w:rsidR="007A4908" w:rsidRPr="00C801A6" w:rsidRDefault="007A4908" w:rsidP="00347FDB">
            <w:pPr>
              <w:spacing w:before="60" w:after="60" w:line="240" w:lineRule="auto"/>
              <w:rPr>
                <w:rFonts w:eastAsia="Times New Roman"/>
                <w:b/>
                <w:bCs/>
                <w:color w:val="auto"/>
                <w:szCs w:val="24"/>
                <w:lang w:eastAsia="fr-FR"/>
              </w:rPr>
            </w:pPr>
            <w:r w:rsidRPr="00C801A6">
              <w:rPr>
                <w:rFonts w:eastAsia="Times New Roman"/>
                <w:b/>
                <w:bCs/>
                <w:color w:val="auto"/>
                <w:szCs w:val="24"/>
                <w:lang w:eastAsia="fr-FR"/>
              </w:rPr>
              <w:t>:</w:t>
            </w:r>
          </w:p>
        </w:tc>
        <w:tc>
          <w:tcPr>
            <w:tcW w:w="7441" w:type="dxa"/>
            <w:noWrap/>
            <w:hideMark/>
          </w:tcPr>
          <w:p w14:paraId="77E79105" w14:textId="77777777" w:rsidR="007A4908" w:rsidRPr="00C801A6" w:rsidRDefault="007A4908" w:rsidP="00347FDB">
            <w:pPr>
              <w:spacing w:before="60" w:after="60" w:line="240" w:lineRule="auto"/>
              <w:rPr>
                <w:rFonts w:eastAsia="Times New Roman"/>
                <w:color w:val="auto"/>
                <w:szCs w:val="24"/>
                <w:lang w:eastAsia="fr-FR"/>
              </w:rPr>
            </w:pPr>
            <w:r w:rsidRPr="00C801A6">
              <w:rPr>
                <w:rFonts w:eastAsia="Times New Roman"/>
                <w:color w:val="auto"/>
                <w:szCs w:val="24"/>
                <w:lang w:eastAsia="fr-FR"/>
              </w:rPr>
              <w:t>Environnement et Social</w:t>
            </w:r>
          </w:p>
        </w:tc>
      </w:tr>
      <w:tr w:rsidR="00437BCA" w:rsidRPr="00C801A6" w14:paraId="7D6A5A69" w14:textId="77777777" w:rsidTr="00437BCA">
        <w:tc>
          <w:tcPr>
            <w:tcW w:w="1488" w:type="dxa"/>
            <w:shd w:val="clear" w:color="auto" w:fill="D9D9D9" w:themeFill="background1" w:themeFillShade="D9"/>
            <w:noWrap/>
          </w:tcPr>
          <w:p w14:paraId="59EBC9FB" w14:textId="4F371AE9" w:rsidR="00437BCA" w:rsidRPr="00C801A6" w:rsidRDefault="00437BCA" w:rsidP="00347FDB">
            <w:pPr>
              <w:spacing w:before="60" w:after="60" w:line="240" w:lineRule="auto"/>
              <w:jc w:val="left"/>
              <w:rPr>
                <w:rFonts w:eastAsia="Times New Roman"/>
                <w:b/>
                <w:bCs/>
                <w:caps/>
                <w:color w:val="auto"/>
                <w:szCs w:val="24"/>
                <w:lang w:eastAsia="fr-FR"/>
              </w:rPr>
            </w:pPr>
            <w:r>
              <w:rPr>
                <w:rFonts w:eastAsia="Times New Roman"/>
                <w:b/>
                <w:bCs/>
                <w:caps/>
                <w:color w:val="auto"/>
                <w:szCs w:val="24"/>
                <w:lang w:eastAsia="fr-FR"/>
              </w:rPr>
              <w:t>EAS-HS</w:t>
            </w:r>
          </w:p>
        </w:tc>
        <w:tc>
          <w:tcPr>
            <w:tcW w:w="283" w:type="dxa"/>
          </w:tcPr>
          <w:p w14:paraId="45B07E32" w14:textId="71A54DA2" w:rsidR="00437BCA" w:rsidRPr="00C801A6" w:rsidRDefault="00437BCA" w:rsidP="00347FDB">
            <w:pPr>
              <w:spacing w:before="60" w:after="60" w:line="240" w:lineRule="auto"/>
              <w:rPr>
                <w:rFonts w:eastAsia="Times New Roman"/>
                <w:b/>
                <w:bCs/>
                <w:color w:val="auto"/>
                <w:szCs w:val="24"/>
                <w:lang w:eastAsia="fr-FR"/>
              </w:rPr>
            </w:pPr>
            <w:r>
              <w:rPr>
                <w:rFonts w:eastAsia="Times New Roman"/>
                <w:b/>
                <w:bCs/>
                <w:color w:val="auto"/>
                <w:szCs w:val="24"/>
                <w:lang w:eastAsia="fr-FR"/>
              </w:rPr>
              <w:t>:</w:t>
            </w:r>
          </w:p>
        </w:tc>
        <w:tc>
          <w:tcPr>
            <w:tcW w:w="7441" w:type="dxa"/>
            <w:noWrap/>
          </w:tcPr>
          <w:p w14:paraId="1EE6201A" w14:textId="7B94C607" w:rsidR="00437BCA" w:rsidRPr="00C801A6" w:rsidRDefault="00437BCA" w:rsidP="00347FDB">
            <w:pPr>
              <w:spacing w:before="60" w:after="60" w:line="240" w:lineRule="auto"/>
              <w:rPr>
                <w:rFonts w:eastAsia="Times New Roman"/>
                <w:color w:val="auto"/>
                <w:szCs w:val="24"/>
                <w:lang w:eastAsia="fr-FR"/>
              </w:rPr>
            </w:pPr>
            <w:r>
              <w:rPr>
                <w:rFonts w:eastAsia="Times New Roman"/>
                <w:color w:val="auto"/>
                <w:szCs w:val="24"/>
                <w:lang w:eastAsia="fr-FR"/>
              </w:rPr>
              <w:t>Exploitation et Abus Sexuel – Harcèlement Sexuel</w:t>
            </w:r>
          </w:p>
        </w:tc>
      </w:tr>
      <w:tr w:rsidR="00C801A6" w:rsidRPr="00C801A6" w14:paraId="7AD01B61" w14:textId="77777777" w:rsidTr="00437BCA">
        <w:tc>
          <w:tcPr>
            <w:tcW w:w="1488" w:type="dxa"/>
            <w:shd w:val="clear" w:color="auto" w:fill="D9D9D9" w:themeFill="background1" w:themeFillShade="D9"/>
            <w:noWrap/>
          </w:tcPr>
          <w:p w14:paraId="25877754" w14:textId="77777777" w:rsidR="007A4908" w:rsidRPr="00C801A6" w:rsidRDefault="007A4908" w:rsidP="00347FDB">
            <w:pPr>
              <w:spacing w:before="60" w:after="60" w:line="240" w:lineRule="auto"/>
              <w:jc w:val="left"/>
              <w:rPr>
                <w:rFonts w:eastAsia="Times New Roman"/>
                <w:b/>
                <w:bCs/>
                <w:color w:val="auto"/>
                <w:szCs w:val="24"/>
                <w:lang w:eastAsia="fr-FR"/>
              </w:rPr>
            </w:pPr>
            <w:r w:rsidRPr="00C801A6">
              <w:rPr>
                <w:rFonts w:eastAsia="Times New Roman"/>
                <w:b/>
                <w:bCs/>
                <w:color w:val="auto"/>
                <w:szCs w:val="24"/>
                <w:lang w:eastAsia="fr-FR"/>
              </w:rPr>
              <w:t>EDC</w:t>
            </w:r>
          </w:p>
        </w:tc>
        <w:tc>
          <w:tcPr>
            <w:tcW w:w="283" w:type="dxa"/>
          </w:tcPr>
          <w:p w14:paraId="58F9885D" w14:textId="77777777" w:rsidR="007A4908" w:rsidRPr="00C801A6" w:rsidRDefault="007A4908" w:rsidP="00347FDB">
            <w:pPr>
              <w:spacing w:before="60" w:after="60" w:line="240" w:lineRule="auto"/>
              <w:rPr>
                <w:rFonts w:eastAsia="Times New Roman"/>
                <w:b/>
                <w:bCs/>
                <w:color w:val="auto"/>
                <w:szCs w:val="24"/>
                <w:lang w:eastAsia="fr-FR"/>
              </w:rPr>
            </w:pPr>
            <w:r w:rsidRPr="00C801A6">
              <w:rPr>
                <w:rFonts w:eastAsia="Times New Roman"/>
                <w:b/>
                <w:bCs/>
                <w:color w:val="auto"/>
                <w:szCs w:val="24"/>
                <w:lang w:eastAsia="fr-FR"/>
              </w:rPr>
              <w:t>:</w:t>
            </w:r>
          </w:p>
        </w:tc>
        <w:tc>
          <w:tcPr>
            <w:tcW w:w="7441" w:type="dxa"/>
            <w:noWrap/>
          </w:tcPr>
          <w:p w14:paraId="77F1301F" w14:textId="411DD3B7" w:rsidR="007A4908" w:rsidRPr="00C801A6" w:rsidRDefault="007A4908" w:rsidP="00347FDB">
            <w:pPr>
              <w:spacing w:before="60" w:after="60" w:line="240" w:lineRule="auto"/>
              <w:rPr>
                <w:rFonts w:eastAsia="Times New Roman"/>
                <w:color w:val="auto"/>
                <w:szCs w:val="24"/>
                <w:lang w:eastAsia="fr-FR"/>
              </w:rPr>
            </w:pPr>
            <w:r w:rsidRPr="00C801A6">
              <w:rPr>
                <w:rFonts w:eastAsia="Times New Roman"/>
                <w:color w:val="auto"/>
                <w:szCs w:val="24"/>
                <w:lang w:eastAsia="fr-FR"/>
              </w:rPr>
              <w:t xml:space="preserve">Emulsion </w:t>
            </w:r>
            <w:r w:rsidR="00AB7DD7" w:rsidRPr="00C801A6">
              <w:rPr>
                <w:rFonts w:eastAsia="Times New Roman"/>
                <w:color w:val="auto"/>
                <w:szCs w:val="24"/>
                <w:lang w:eastAsia="fr-FR"/>
              </w:rPr>
              <w:t xml:space="preserve">Dense </w:t>
            </w:r>
            <w:r w:rsidRPr="00C801A6">
              <w:rPr>
                <w:rFonts w:eastAsia="Times New Roman"/>
                <w:color w:val="auto"/>
                <w:szCs w:val="24"/>
                <w:lang w:eastAsia="fr-FR"/>
              </w:rPr>
              <w:t xml:space="preserve">à </w:t>
            </w:r>
            <w:r w:rsidR="00AB7DD7" w:rsidRPr="00C801A6">
              <w:rPr>
                <w:rFonts w:eastAsia="Times New Roman"/>
                <w:color w:val="auto"/>
                <w:szCs w:val="24"/>
                <w:lang w:eastAsia="fr-FR"/>
              </w:rPr>
              <w:t>Chaud</w:t>
            </w:r>
          </w:p>
        </w:tc>
      </w:tr>
      <w:tr w:rsidR="00C801A6" w:rsidRPr="00C801A6" w14:paraId="2FBA364C" w14:textId="77777777" w:rsidTr="00437BCA">
        <w:tc>
          <w:tcPr>
            <w:tcW w:w="1488" w:type="dxa"/>
            <w:shd w:val="clear" w:color="auto" w:fill="D9D9D9" w:themeFill="background1" w:themeFillShade="D9"/>
            <w:noWrap/>
          </w:tcPr>
          <w:p w14:paraId="1CB75DD7" w14:textId="77777777" w:rsidR="007A4908" w:rsidRPr="00C801A6" w:rsidRDefault="007A4908" w:rsidP="00347FDB">
            <w:pPr>
              <w:spacing w:before="60" w:after="60" w:line="240" w:lineRule="auto"/>
              <w:jc w:val="left"/>
              <w:rPr>
                <w:rFonts w:eastAsia="Times New Roman"/>
                <w:b/>
                <w:bCs/>
                <w:caps/>
                <w:color w:val="auto"/>
                <w:szCs w:val="24"/>
                <w:lang w:eastAsia="fr-FR"/>
              </w:rPr>
            </w:pPr>
            <w:r w:rsidRPr="00C801A6">
              <w:rPr>
                <w:rFonts w:eastAsia="Times New Roman"/>
                <w:b/>
                <w:bCs/>
                <w:color w:val="auto"/>
                <w:szCs w:val="24"/>
                <w:lang w:eastAsia="fr-FR"/>
              </w:rPr>
              <w:t>ES</w:t>
            </w:r>
          </w:p>
        </w:tc>
        <w:tc>
          <w:tcPr>
            <w:tcW w:w="283" w:type="dxa"/>
          </w:tcPr>
          <w:p w14:paraId="4197AF7C" w14:textId="77777777" w:rsidR="007A4908" w:rsidRPr="00C801A6" w:rsidRDefault="007A4908" w:rsidP="00347FDB">
            <w:pPr>
              <w:spacing w:before="60" w:after="60" w:line="240" w:lineRule="auto"/>
              <w:rPr>
                <w:rFonts w:eastAsia="Times New Roman"/>
                <w:b/>
                <w:bCs/>
                <w:color w:val="auto"/>
                <w:szCs w:val="24"/>
                <w:lang w:eastAsia="fr-FR"/>
              </w:rPr>
            </w:pPr>
            <w:r w:rsidRPr="00C801A6">
              <w:rPr>
                <w:rFonts w:eastAsia="Times New Roman"/>
                <w:b/>
                <w:bCs/>
                <w:color w:val="auto"/>
                <w:szCs w:val="24"/>
                <w:lang w:eastAsia="fr-FR"/>
              </w:rPr>
              <w:t>:</w:t>
            </w:r>
          </w:p>
        </w:tc>
        <w:tc>
          <w:tcPr>
            <w:tcW w:w="7441" w:type="dxa"/>
            <w:noWrap/>
          </w:tcPr>
          <w:p w14:paraId="73341298" w14:textId="217C7EA2" w:rsidR="007A4908" w:rsidRPr="00C801A6" w:rsidRDefault="007A4908" w:rsidP="00347FDB">
            <w:pPr>
              <w:spacing w:before="60" w:after="60" w:line="240" w:lineRule="auto"/>
              <w:rPr>
                <w:rFonts w:eastAsia="Times New Roman"/>
                <w:color w:val="auto"/>
                <w:szCs w:val="24"/>
                <w:lang w:eastAsia="fr-FR"/>
              </w:rPr>
            </w:pPr>
            <w:r w:rsidRPr="00C801A6">
              <w:rPr>
                <w:rFonts w:eastAsia="Times New Roman"/>
                <w:color w:val="auto"/>
                <w:szCs w:val="24"/>
                <w:lang w:eastAsia="fr-FR"/>
              </w:rPr>
              <w:t xml:space="preserve">Enrobés </w:t>
            </w:r>
            <w:r w:rsidR="00AB7DD7" w:rsidRPr="00C801A6">
              <w:rPr>
                <w:rFonts w:eastAsia="Times New Roman"/>
                <w:color w:val="auto"/>
                <w:szCs w:val="24"/>
                <w:lang w:eastAsia="fr-FR"/>
              </w:rPr>
              <w:t>Spéciaux</w:t>
            </w:r>
          </w:p>
        </w:tc>
      </w:tr>
      <w:tr w:rsidR="00FC4F17" w:rsidRPr="000645FD" w14:paraId="68E657AC" w14:textId="77777777" w:rsidTr="00437BCA">
        <w:tc>
          <w:tcPr>
            <w:tcW w:w="1488" w:type="dxa"/>
            <w:shd w:val="clear" w:color="auto" w:fill="D9D9D9" w:themeFill="background1" w:themeFillShade="D9"/>
            <w:noWrap/>
          </w:tcPr>
          <w:p w14:paraId="3A486695" w14:textId="01982D39" w:rsidR="00FC4F17" w:rsidRPr="00C801A6" w:rsidRDefault="00FC4F17" w:rsidP="00347FDB">
            <w:pPr>
              <w:spacing w:before="60" w:after="60" w:line="240" w:lineRule="auto"/>
              <w:jc w:val="left"/>
              <w:rPr>
                <w:rFonts w:eastAsia="Times New Roman"/>
                <w:b/>
                <w:bCs/>
                <w:color w:val="auto"/>
                <w:szCs w:val="24"/>
                <w:lang w:eastAsia="fr-FR"/>
              </w:rPr>
            </w:pPr>
            <w:r>
              <w:rPr>
                <w:rFonts w:eastAsia="Times New Roman"/>
                <w:b/>
                <w:bCs/>
                <w:color w:val="auto"/>
                <w:szCs w:val="24"/>
                <w:lang w:eastAsia="fr-FR"/>
              </w:rPr>
              <w:t>FETIS</w:t>
            </w:r>
          </w:p>
        </w:tc>
        <w:tc>
          <w:tcPr>
            <w:tcW w:w="283" w:type="dxa"/>
          </w:tcPr>
          <w:p w14:paraId="06943F58" w14:textId="460BA724" w:rsidR="00FC4F17" w:rsidRPr="00C801A6" w:rsidRDefault="00FC4F17" w:rsidP="00347FDB">
            <w:pPr>
              <w:spacing w:before="60" w:after="60" w:line="240" w:lineRule="auto"/>
              <w:rPr>
                <w:rFonts w:eastAsia="Times New Roman"/>
                <w:b/>
                <w:bCs/>
                <w:color w:val="auto"/>
                <w:szCs w:val="24"/>
                <w:lang w:eastAsia="fr-FR"/>
              </w:rPr>
            </w:pPr>
            <w:r>
              <w:rPr>
                <w:rFonts w:eastAsia="Times New Roman"/>
                <w:b/>
                <w:bCs/>
                <w:color w:val="auto"/>
                <w:szCs w:val="24"/>
                <w:lang w:eastAsia="fr-FR"/>
              </w:rPr>
              <w:t>:</w:t>
            </w:r>
          </w:p>
        </w:tc>
        <w:tc>
          <w:tcPr>
            <w:tcW w:w="7441" w:type="dxa"/>
            <w:noWrap/>
          </w:tcPr>
          <w:p w14:paraId="004EC4F3" w14:textId="069EF456" w:rsidR="00FC4F17" w:rsidRPr="00F66E10" w:rsidRDefault="00FC4F17" w:rsidP="00347FDB">
            <w:pPr>
              <w:spacing w:before="60" w:after="60" w:line="240" w:lineRule="auto"/>
              <w:rPr>
                <w:rFonts w:eastAsia="Times New Roman"/>
                <w:color w:val="auto"/>
                <w:szCs w:val="24"/>
                <w:lang w:val="pt-BR" w:eastAsia="fr-FR"/>
              </w:rPr>
            </w:pPr>
            <w:r w:rsidRPr="00F66E10">
              <w:rPr>
                <w:rFonts w:eastAsia="Times New Roman"/>
                <w:color w:val="auto"/>
                <w:szCs w:val="24"/>
                <w:lang w:val="pt-BR" w:eastAsia="fr-FR"/>
              </w:rPr>
              <w:t>Fenitra ara-Tontolo Iainana sy ara-Tsosialy</w:t>
            </w:r>
          </w:p>
        </w:tc>
      </w:tr>
      <w:tr w:rsidR="00C801A6" w:rsidRPr="00C801A6" w14:paraId="6188FF6D" w14:textId="77777777" w:rsidTr="00437BCA">
        <w:tc>
          <w:tcPr>
            <w:tcW w:w="1488" w:type="dxa"/>
            <w:shd w:val="clear" w:color="auto" w:fill="D9D9D9" w:themeFill="background1" w:themeFillShade="D9"/>
            <w:noWrap/>
          </w:tcPr>
          <w:p w14:paraId="0AEDE760" w14:textId="77777777" w:rsidR="007A4908" w:rsidRPr="00C801A6" w:rsidRDefault="007A4908" w:rsidP="00347FDB">
            <w:pPr>
              <w:spacing w:before="60" w:after="60" w:line="240" w:lineRule="auto"/>
              <w:jc w:val="left"/>
              <w:rPr>
                <w:rFonts w:eastAsia="Times New Roman"/>
                <w:b/>
                <w:bCs/>
                <w:caps/>
                <w:color w:val="auto"/>
                <w:szCs w:val="24"/>
                <w:lang w:eastAsia="fr-FR"/>
              </w:rPr>
            </w:pPr>
            <w:r w:rsidRPr="00C801A6">
              <w:rPr>
                <w:rFonts w:eastAsia="Times New Roman"/>
                <w:b/>
                <w:bCs/>
                <w:caps/>
                <w:color w:val="auto"/>
                <w:szCs w:val="24"/>
                <w:lang w:eastAsia="fr-FR"/>
              </w:rPr>
              <w:t>gcnt</w:t>
            </w:r>
          </w:p>
        </w:tc>
        <w:tc>
          <w:tcPr>
            <w:tcW w:w="283" w:type="dxa"/>
          </w:tcPr>
          <w:p w14:paraId="63D1FCA1" w14:textId="77777777" w:rsidR="007A4908" w:rsidRPr="00C801A6" w:rsidRDefault="007A4908" w:rsidP="00347FDB">
            <w:pPr>
              <w:spacing w:before="60" w:after="60" w:line="240" w:lineRule="auto"/>
              <w:rPr>
                <w:rFonts w:eastAsia="Times New Roman"/>
                <w:b/>
                <w:bCs/>
                <w:color w:val="auto"/>
                <w:szCs w:val="24"/>
                <w:lang w:eastAsia="fr-FR"/>
              </w:rPr>
            </w:pPr>
            <w:r w:rsidRPr="00C801A6">
              <w:rPr>
                <w:rFonts w:eastAsia="Times New Roman"/>
                <w:b/>
                <w:bCs/>
                <w:color w:val="auto"/>
                <w:szCs w:val="24"/>
                <w:lang w:eastAsia="fr-FR"/>
              </w:rPr>
              <w:t>:</w:t>
            </w:r>
          </w:p>
        </w:tc>
        <w:tc>
          <w:tcPr>
            <w:tcW w:w="7441" w:type="dxa"/>
            <w:noWrap/>
          </w:tcPr>
          <w:p w14:paraId="09D59385" w14:textId="77777777" w:rsidR="007A4908" w:rsidRPr="00C801A6" w:rsidRDefault="007A4908" w:rsidP="00347FDB">
            <w:pPr>
              <w:spacing w:before="60" w:after="60" w:line="240" w:lineRule="auto"/>
              <w:rPr>
                <w:rFonts w:eastAsia="Times New Roman"/>
                <w:color w:val="auto"/>
                <w:szCs w:val="24"/>
                <w:lang w:eastAsia="fr-FR"/>
              </w:rPr>
            </w:pPr>
            <w:r w:rsidRPr="00C801A6">
              <w:rPr>
                <w:rFonts w:eastAsia="Times New Roman"/>
                <w:color w:val="auto"/>
                <w:szCs w:val="24"/>
                <w:lang w:eastAsia="fr-FR"/>
              </w:rPr>
              <w:t>Grave Concassée Non Traitée</w:t>
            </w:r>
          </w:p>
        </w:tc>
      </w:tr>
      <w:tr w:rsidR="00C801A6" w:rsidRPr="00C801A6" w14:paraId="2979BF83" w14:textId="77777777" w:rsidTr="00437BCA">
        <w:tc>
          <w:tcPr>
            <w:tcW w:w="1488" w:type="dxa"/>
            <w:shd w:val="clear" w:color="auto" w:fill="D9D9D9" w:themeFill="background1" w:themeFillShade="D9"/>
            <w:noWrap/>
            <w:hideMark/>
          </w:tcPr>
          <w:p w14:paraId="76B981C8" w14:textId="3966FE92" w:rsidR="007A4908" w:rsidRPr="00C801A6" w:rsidRDefault="00D95DC1" w:rsidP="00347FDB">
            <w:pPr>
              <w:spacing w:before="60" w:after="60" w:line="240" w:lineRule="auto"/>
              <w:jc w:val="left"/>
              <w:rPr>
                <w:rFonts w:eastAsia="Times New Roman"/>
                <w:b/>
                <w:bCs/>
                <w:caps/>
                <w:color w:val="auto"/>
                <w:szCs w:val="24"/>
                <w:lang w:eastAsia="fr-FR"/>
              </w:rPr>
            </w:pPr>
            <w:r w:rsidRPr="00C801A6">
              <w:rPr>
                <w:rFonts w:eastAsia="Times New Roman"/>
                <w:b/>
                <w:bCs/>
                <w:caps/>
                <w:color w:val="auto"/>
                <w:szCs w:val="24"/>
                <w:lang w:eastAsia="fr-FR"/>
              </w:rPr>
              <w:t>g</w:t>
            </w:r>
            <w:r w:rsidRPr="00C801A6">
              <w:rPr>
                <w:rFonts w:eastAsia="Times New Roman"/>
                <w:b/>
                <w:bCs/>
                <w:color w:val="auto"/>
                <w:szCs w:val="24"/>
                <w:lang w:eastAsia="fr-FR"/>
              </w:rPr>
              <w:t>d</w:t>
            </w:r>
            <w:r w:rsidRPr="00C801A6">
              <w:rPr>
                <w:rFonts w:eastAsia="Times New Roman"/>
                <w:b/>
                <w:bCs/>
                <w:caps/>
                <w:color w:val="auto"/>
                <w:szCs w:val="24"/>
                <w:lang w:eastAsia="fr-FR"/>
              </w:rPr>
              <w:t xml:space="preserve">m / </w:t>
            </w:r>
            <w:r w:rsidR="007A4908" w:rsidRPr="00C801A6">
              <w:rPr>
                <w:rFonts w:eastAsia="Times New Roman"/>
                <w:b/>
                <w:bCs/>
                <w:caps/>
                <w:color w:val="auto"/>
                <w:szCs w:val="24"/>
                <w:lang w:eastAsia="fr-FR"/>
              </w:rPr>
              <w:t>G</w:t>
            </w:r>
            <w:r w:rsidR="007A4908" w:rsidRPr="00C801A6">
              <w:rPr>
                <w:rFonts w:eastAsia="Times New Roman"/>
                <w:b/>
                <w:bCs/>
                <w:color w:val="auto"/>
                <w:szCs w:val="24"/>
                <w:lang w:eastAsia="fr-FR"/>
              </w:rPr>
              <w:t>o</w:t>
            </w:r>
            <w:r w:rsidR="007A4908" w:rsidRPr="00C801A6">
              <w:rPr>
                <w:rFonts w:eastAsia="Times New Roman"/>
                <w:b/>
                <w:bCs/>
                <w:caps/>
                <w:color w:val="auto"/>
                <w:szCs w:val="24"/>
                <w:lang w:eastAsia="fr-FR"/>
              </w:rPr>
              <w:t>M</w:t>
            </w:r>
          </w:p>
        </w:tc>
        <w:tc>
          <w:tcPr>
            <w:tcW w:w="283" w:type="dxa"/>
          </w:tcPr>
          <w:p w14:paraId="45B4C081" w14:textId="77777777" w:rsidR="007A4908" w:rsidRPr="00C801A6" w:rsidRDefault="007A4908" w:rsidP="00347FDB">
            <w:pPr>
              <w:spacing w:before="60" w:after="60" w:line="240" w:lineRule="auto"/>
              <w:rPr>
                <w:rFonts w:eastAsia="Times New Roman"/>
                <w:b/>
                <w:bCs/>
                <w:color w:val="auto"/>
                <w:szCs w:val="24"/>
                <w:lang w:eastAsia="fr-FR"/>
              </w:rPr>
            </w:pPr>
            <w:r w:rsidRPr="00C801A6">
              <w:rPr>
                <w:rFonts w:eastAsia="Times New Roman"/>
                <w:b/>
                <w:bCs/>
                <w:color w:val="auto"/>
                <w:szCs w:val="24"/>
                <w:lang w:eastAsia="fr-FR"/>
              </w:rPr>
              <w:t>:</w:t>
            </w:r>
          </w:p>
        </w:tc>
        <w:tc>
          <w:tcPr>
            <w:tcW w:w="7441" w:type="dxa"/>
            <w:noWrap/>
            <w:hideMark/>
          </w:tcPr>
          <w:p w14:paraId="4249EF9A" w14:textId="77777777" w:rsidR="007A4908" w:rsidRPr="00C801A6" w:rsidRDefault="007A4908" w:rsidP="00347FDB">
            <w:pPr>
              <w:spacing w:before="60" w:after="60" w:line="240" w:lineRule="auto"/>
              <w:rPr>
                <w:rFonts w:eastAsia="Times New Roman"/>
                <w:color w:val="auto"/>
                <w:szCs w:val="24"/>
                <w:lang w:eastAsia="fr-FR"/>
              </w:rPr>
            </w:pPr>
            <w:r w:rsidRPr="00C801A6">
              <w:rPr>
                <w:rFonts w:eastAsia="Times New Roman"/>
                <w:color w:val="auto"/>
                <w:szCs w:val="24"/>
                <w:lang w:eastAsia="fr-FR"/>
              </w:rPr>
              <w:t>Gouvernement de Madagascar</w:t>
            </w:r>
          </w:p>
        </w:tc>
      </w:tr>
      <w:tr w:rsidR="00C801A6" w:rsidRPr="00C801A6" w14:paraId="4871E2A9" w14:textId="77777777" w:rsidTr="00437BCA">
        <w:tc>
          <w:tcPr>
            <w:tcW w:w="1488" w:type="dxa"/>
            <w:shd w:val="clear" w:color="auto" w:fill="D9D9D9" w:themeFill="background1" w:themeFillShade="D9"/>
            <w:noWrap/>
            <w:hideMark/>
          </w:tcPr>
          <w:p w14:paraId="6EFAD753" w14:textId="77777777" w:rsidR="007A4908" w:rsidRPr="00C801A6" w:rsidRDefault="007A4908" w:rsidP="00347FDB">
            <w:pPr>
              <w:spacing w:before="60" w:after="60" w:line="240" w:lineRule="auto"/>
              <w:jc w:val="left"/>
              <w:rPr>
                <w:rFonts w:eastAsia="Times New Roman"/>
                <w:b/>
                <w:bCs/>
                <w:caps/>
                <w:color w:val="auto"/>
                <w:szCs w:val="24"/>
                <w:lang w:eastAsia="fr-FR"/>
              </w:rPr>
            </w:pPr>
            <w:r w:rsidRPr="00C801A6">
              <w:rPr>
                <w:rFonts w:eastAsia="Times New Roman"/>
                <w:b/>
                <w:bCs/>
                <w:caps/>
                <w:color w:val="auto"/>
                <w:szCs w:val="24"/>
                <w:lang w:eastAsia="fr-FR"/>
              </w:rPr>
              <w:t>IDA</w:t>
            </w:r>
          </w:p>
        </w:tc>
        <w:tc>
          <w:tcPr>
            <w:tcW w:w="283" w:type="dxa"/>
          </w:tcPr>
          <w:p w14:paraId="282370E8" w14:textId="77777777" w:rsidR="007A4908" w:rsidRPr="00C801A6" w:rsidRDefault="007A4908" w:rsidP="00347FDB">
            <w:pPr>
              <w:spacing w:before="60" w:after="60" w:line="240" w:lineRule="auto"/>
              <w:rPr>
                <w:rFonts w:eastAsia="Times New Roman"/>
                <w:b/>
                <w:bCs/>
                <w:color w:val="auto"/>
                <w:szCs w:val="24"/>
                <w:lang w:eastAsia="fr-FR"/>
              </w:rPr>
            </w:pPr>
            <w:r w:rsidRPr="00C801A6">
              <w:rPr>
                <w:rFonts w:eastAsia="Times New Roman"/>
                <w:b/>
                <w:bCs/>
                <w:color w:val="auto"/>
                <w:szCs w:val="24"/>
                <w:lang w:eastAsia="fr-FR"/>
              </w:rPr>
              <w:t>:</w:t>
            </w:r>
          </w:p>
        </w:tc>
        <w:tc>
          <w:tcPr>
            <w:tcW w:w="7441" w:type="dxa"/>
            <w:noWrap/>
            <w:hideMark/>
          </w:tcPr>
          <w:p w14:paraId="72AF4188" w14:textId="77777777" w:rsidR="007A4908" w:rsidRPr="00C801A6" w:rsidRDefault="007A4908" w:rsidP="00347FDB">
            <w:pPr>
              <w:spacing w:before="60" w:after="60" w:line="240" w:lineRule="auto"/>
              <w:rPr>
                <w:rFonts w:eastAsia="Times New Roman"/>
                <w:color w:val="auto"/>
                <w:szCs w:val="24"/>
                <w:lang w:eastAsia="fr-FR"/>
              </w:rPr>
            </w:pPr>
            <w:r w:rsidRPr="00C801A6">
              <w:rPr>
                <w:rFonts w:eastAsia="Times New Roman"/>
                <w:color w:val="auto"/>
                <w:szCs w:val="24"/>
                <w:lang w:eastAsia="fr-FR"/>
              </w:rPr>
              <w:t xml:space="preserve">Association Internationale pour le Développement </w:t>
            </w:r>
          </w:p>
        </w:tc>
      </w:tr>
      <w:tr w:rsidR="00C801A6" w:rsidRPr="00C801A6" w14:paraId="4294C3D4" w14:textId="77777777" w:rsidTr="00437BCA">
        <w:tc>
          <w:tcPr>
            <w:tcW w:w="1488" w:type="dxa"/>
            <w:shd w:val="clear" w:color="auto" w:fill="D9D9D9" w:themeFill="background1" w:themeFillShade="D9"/>
            <w:noWrap/>
          </w:tcPr>
          <w:p w14:paraId="541148BB" w14:textId="77777777" w:rsidR="007A4908" w:rsidRPr="00C801A6" w:rsidRDefault="007A4908" w:rsidP="00347FDB">
            <w:pPr>
              <w:spacing w:before="60" w:after="60" w:line="240" w:lineRule="auto"/>
              <w:jc w:val="left"/>
              <w:rPr>
                <w:rFonts w:eastAsia="Times New Roman"/>
                <w:b/>
                <w:bCs/>
                <w:caps/>
                <w:color w:val="auto"/>
                <w:szCs w:val="24"/>
                <w:lang w:eastAsia="fr-FR"/>
              </w:rPr>
            </w:pPr>
            <w:r w:rsidRPr="00C801A6">
              <w:rPr>
                <w:rFonts w:eastAsia="Times New Roman"/>
                <w:b/>
                <w:bCs/>
                <w:caps/>
                <w:color w:val="auto"/>
                <w:szCs w:val="24"/>
                <w:lang w:eastAsia="fr-FR"/>
              </w:rPr>
              <w:lastRenderedPageBreak/>
              <w:t>INSTAT</w:t>
            </w:r>
          </w:p>
        </w:tc>
        <w:tc>
          <w:tcPr>
            <w:tcW w:w="283" w:type="dxa"/>
          </w:tcPr>
          <w:p w14:paraId="362017E2" w14:textId="77777777" w:rsidR="007A4908" w:rsidRPr="00C801A6" w:rsidRDefault="007A4908" w:rsidP="00347FDB">
            <w:pPr>
              <w:spacing w:before="60" w:after="60" w:line="240" w:lineRule="auto"/>
              <w:rPr>
                <w:rFonts w:eastAsia="Times New Roman"/>
                <w:b/>
                <w:bCs/>
                <w:color w:val="auto"/>
                <w:szCs w:val="24"/>
                <w:lang w:eastAsia="fr-FR"/>
              </w:rPr>
            </w:pPr>
          </w:p>
        </w:tc>
        <w:tc>
          <w:tcPr>
            <w:tcW w:w="7441" w:type="dxa"/>
            <w:noWrap/>
          </w:tcPr>
          <w:p w14:paraId="08410CCD" w14:textId="77777777" w:rsidR="007A4908" w:rsidRPr="00C801A6" w:rsidRDefault="007A4908" w:rsidP="00347FDB">
            <w:pPr>
              <w:spacing w:before="60" w:after="60" w:line="240" w:lineRule="auto"/>
              <w:rPr>
                <w:rFonts w:eastAsia="Times New Roman"/>
                <w:color w:val="auto"/>
                <w:szCs w:val="24"/>
                <w:lang w:eastAsia="fr-FR"/>
              </w:rPr>
            </w:pPr>
            <w:r w:rsidRPr="00C801A6">
              <w:rPr>
                <w:rFonts w:eastAsia="Times New Roman"/>
                <w:color w:val="auto"/>
                <w:szCs w:val="24"/>
                <w:lang w:eastAsia="fr-FR"/>
              </w:rPr>
              <w:t>Institut National de la Statistique</w:t>
            </w:r>
          </w:p>
        </w:tc>
      </w:tr>
      <w:tr w:rsidR="00C801A6" w:rsidRPr="00C801A6" w14:paraId="5C2323BF" w14:textId="77777777" w:rsidTr="00437BCA">
        <w:tc>
          <w:tcPr>
            <w:tcW w:w="1488" w:type="dxa"/>
            <w:shd w:val="clear" w:color="auto" w:fill="D9D9D9" w:themeFill="background1" w:themeFillShade="D9"/>
            <w:noWrap/>
          </w:tcPr>
          <w:p w14:paraId="7BF4502D" w14:textId="77777777" w:rsidR="007A4908" w:rsidRPr="00C801A6" w:rsidRDefault="007A4908" w:rsidP="00347FDB">
            <w:pPr>
              <w:spacing w:before="60" w:after="60" w:line="240" w:lineRule="auto"/>
              <w:jc w:val="left"/>
              <w:rPr>
                <w:rFonts w:eastAsia="Times New Roman"/>
                <w:b/>
                <w:bCs/>
                <w:caps/>
                <w:color w:val="auto"/>
                <w:szCs w:val="24"/>
                <w:lang w:eastAsia="fr-FR"/>
              </w:rPr>
            </w:pPr>
            <w:r w:rsidRPr="00C801A6">
              <w:rPr>
                <w:rFonts w:eastAsia="Times New Roman"/>
                <w:b/>
                <w:bCs/>
                <w:caps/>
                <w:color w:val="auto"/>
                <w:szCs w:val="24"/>
                <w:lang w:eastAsia="fr-FR"/>
              </w:rPr>
              <w:t>mecie</w:t>
            </w:r>
          </w:p>
        </w:tc>
        <w:tc>
          <w:tcPr>
            <w:tcW w:w="283" w:type="dxa"/>
          </w:tcPr>
          <w:p w14:paraId="66B4D72A" w14:textId="77777777" w:rsidR="007A4908" w:rsidRPr="00C801A6" w:rsidRDefault="007A4908" w:rsidP="00347FDB">
            <w:pPr>
              <w:spacing w:before="60" w:after="60" w:line="240" w:lineRule="auto"/>
              <w:rPr>
                <w:rFonts w:eastAsia="Times New Roman"/>
                <w:b/>
                <w:bCs/>
                <w:color w:val="auto"/>
                <w:szCs w:val="24"/>
                <w:lang w:eastAsia="fr-FR"/>
              </w:rPr>
            </w:pPr>
            <w:r w:rsidRPr="00C801A6">
              <w:rPr>
                <w:rFonts w:eastAsia="Times New Roman"/>
                <w:b/>
                <w:bCs/>
                <w:color w:val="auto"/>
                <w:szCs w:val="24"/>
                <w:lang w:eastAsia="fr-FR"/>
              </w:rPr>
              <w:t>:</w:t>
            </w:r>
          </w:p>
        </w:tc>
        <w:tc>
          <w:tcPr>
            <w:tcW w:w="7441" w:type="dxa"/>
            <w:noWrap/>
          </w:tcPr>
          <w:p w14:paraId="42AF5A2C" w14:textId="77777777" w:rsidR="007A4908" w:rsidRPr="00C801A6" w:rsidRDefault="007A4908" w:rsidP="00347FDB">
            <w:pPr>
              <w:spacing w:before="60" w:after="60" w:line="240" w:lineRule="auto"/>
              <w:rPr>
                <w:rFonts w:eastAsia="Times New Roman"/>
                <w:color w:val="auto"/>
                <w:szCs w:val="24"/>
                <w:lang w:eastAsia="fr-FR"/>
              </w:rPr>
            </w:pPr>
            <w:r w:rsidRPr="00C801A6">
              <w:rPr>
                <w:rFonts w:eastAsia="Times New Roman"/>
                <w:color w:val="auto"/>
                <w:szCs w:val="24"/>
                <w:lang w:eastAsia="fr-FR"/>
              </w:rPr>
              <w:t>Mise En Compatibilité des Investissements avec l’Environnement</w:t>
            </w:r>
          </w:p>
        </w:tc>
      </w:tr>
      <w:tr w:rsidR="00C801A6" w:rsidRPr="00C801A6" w14:paraId="21AD9B98" w14:textId="77777777" w:rsidTr="00437BCA">
        <w:tc>
          <w:tcPr>
            <w:tcW w:w="1488" w:type="dxa"/>
            <w:shd w:val="clear" w:color="auto" w:fill="D9D9D9" w:themeFill="background1" w:themeFillShade="D9"/>
            <w:noWrap/>
            <w:hideMark/>
          </w:tcPr>
          <w:p w14:paraId="4B1F4774" w14:textId="77777777" w:rsidR="007A4908" w:rsidRPr="00C801A6" w:rsidRDefault="007A4908" w:rsidP="00347FDB">
            <w:pPr>
              <w:spacing w:before="60" w:after="60" w:line="240" w:lineRule="auto"/>
              <w:jc w:val="left"/>
              <w:rPr>
                <w:rFonts w:eastAsia="Times New Roman"/>
                <w:b/>
                <w:bCs/>
                <w:caps/>
                <w:color w:val="auto"/>
                <w:szCs w:val="24"/>
                <w:lang w:eastAsia="fr-FR"/>
              </w:rPr>
            </w:pPr>
            <w:r w:rsidRPr="00C801A6">
              <w:rPr>
                <w:rFonts w:eastAsia="Times New Roman"/>
                <w:b/>
                <w:bCs/>
                <w:caps/>
                <w:color w:val="auto"/>
                <w:szCs w:val="24"/>
                <w:lang w:eastAsia="fr-FR"/>
              </w:rPr>
              <w:t>MEF</w:t>
            </w:r>
          </w:p>
        </w:tc>
        <w:tc>
          <w:tcPr>
            <w:tcW w:w="283" w:type="dxa"/>
          </w:tcPr>
          <w:p w14:paraId="0A050AA8" w14:textId="77777777" w:rsidR="007A4908" w:rsidRPr="00C801A6" w:rsidRDefault="007A4908" w:rsidP="00347FDB">
            <w:pPr>
              <w:spacing w:before="60" w:after="60" w:line="240" w:lineRule="auto"/>
              <w:rPr>
                <w:rFonts w:eastAsia="Times New Roman"/>
                <w:b/>
                <w:bCs/>
                <w:color w:val="auto"/>
                <w:szCs w:val="24"/>
                <w:lang w:eastAsia="fr-FR"/>
              </w:rPr>
            </w:pPr>
            <w:r w:rsidRPr="00C801A6">
              <w:rPr>
                <w:rFonts w:eastAsia="Times New Roman"/>
                <w:b/>
                <w:bCs/>
                <w:color w:val="auto"/>
                <w:szCs w:val="24"/>
                <w:lang w:eastAsia="fr-FR"/>
              </w:rPr>
              <w:t>:</w:t>
            </w:r>
          </w:p>
        </w:tc>
        <w:tc>
          <w:tcPr>
            <w:tcW w:w="7441" w:type="dxa"/>
            <w:noWrap/>
            <w:hideMark/>
          </w:tcPr>
          <w:p w14:paraId="7E767684" w14:textId="77777777" w:rsidR="007A4908" w:rsidRPr="00C801A6" w:rsidRDefault="007A4908" w:rsidP="00347FDB">
            <w:pPr>
              <w:spacing w:before="60" w:after="60" w:line="240" w:lineRule="auto"/>
              <w:rPr>
                <w:rFonts w:eastAsia="Times New Roman"/>
                <w:color w:val="auto"/>
                <w:szCs w:val="24"/>
                <w:lang w:eastAsia="fr-FR"/>
              </w:rPr>
            </w:pPr>
            <w:r w:rsidRPr="00C801A6">
              <w:rPr>
                <w:rFonts w:eastAsia="Times New Roman"/>
                <w:color w:val="auto"/>
                <w:szCs w:val="24"/>
                <w:lang w:eastAsia="fr-FR"/>
              </w:rPr>
              <w:t>Ministère de l’Économie et des Finances</w:t>
            </w:r>
          </w:p>
        </w:tc>
      </w:tr>
      <w:tr w:rsidR="00C801A6" w:rsidRPr="00C801A6" w14:paraId="73BF565D" w14:textId="77777777" w:rsidTr="00437BCA">
        <w:tc>
          <w:tcPr>
            <w:tcW w:w="1488" w:type="dxa"/>
            <w:shd w:val="clear" w:color="auto" w:fill="D9D9D9" w:themeFill="background1" w:themeFillShade="D9"/>
            <w:noWrap/>
            <w:hideMark/>
          </w:tcPr>
          <w:p w14:paraId="5228BCB8" w14:textId="77777777" w:rsidR="007A4908" w:rsidRPr="00C801A6" w:rsidRDefault="007A4908" w:rsidP="00347FDB">
            <w:pPr>
              <w:spacing w:before="60" w:after="60" w:line="240" w:lineRule="auto"/>
              <w:jc w:val="left"/>
              <w:rPr>
                <w:rFonts w:eastAsia="Times New Roman"/>
                <w:b/>
                <w:bCs/>
                <w:caps/>
                <w:color w:val="auto"/>
                <w:szCs w:val="24"/>
                <w:lang w:eastAsia="fr-FR"/>
              </w:rPr>
            </w:pPr>
            <w:r w:rsidRPr="00C801A6">
              <w:rPr>
                <w:rFonts w:eastAsia="Times New Roman"/>
                <w:b/>
                <w:bCs/>
                <w:caps/>
                <w:color w:val="auto"/>
                <w:szCs w:val="24"/>
                <w:lang w:eastAsia="fr-FR"/>
              </w:rPr>
              <w:t>MGP</w:t>
            </w:r>
          </w:p>
        </w:tc>
        <w:tc>
          <w:tcPr>
            <w:tcW w:w="283" w:type="dxa"/>
          </w:tcPr>
          <w:p w14:paraId="7FDCBAC7" w14:textId="77777777" w:rsidR="007A4908" w:rsidRPr="00C801A6" w:rsidRDefault="007A4908" w:rsidP="00347FDB">
            <w:pPr>
              <w:spacing w:before="60" w:after="60" w:line="240" w:lineRule="auto"/>
              <w:rPr>
                <w:rFonts w:eastAsia="Times New Roman"/>
                <w:b/>
                <w:bCs/>
                <w:color w:val="auto"/>
                <w:szCs w:val="24"/>
                <w:lang w:eastAsia="fr-FR"/>
              </w:rPr>
            </w:pPr>
            <w:r w:rsidRPr="00C801A6">
              <w:rPr>
                <w:rFonts w:eastAsia="Times New Roman"/>
                <w:b/>
                <w:bCs/>
                <w:color w:val="auto"/>
                <w:szCs w:val="24"/>
                <w:lang w:eastAsia="fr-FR"/>
              </w:rPr>
              <w:t>:</w:t>
            </w:r>
          </w:p>
        </w:tc>
        <w:tc>
          <w:tcPr>
            <w:tcW w:w="7441" w:type="dxa"/>
            <w:noWrap/>
            <w:hideMark/>
          </w:tcPr>
          <w:p w14:paraId="51F65FA0" w14:textId="77777777" w:rsidR="007A4908" w:rsidRPr="00C801A6" w:rsidRDefault="007A4908" w:rsidP="00347FDB">
            <w:pPr>
              <w:spacing w:before="60" w:after="60" w:line="240" w:lineRule="auto"/>
              <w:rPr>
                <w:rFonts w:eastAsia="Times New Roman"/>
                <w:color w:val="auto"/>
                <w:szCs w:val="24"/>
                <w:lang w:eastAsia="fr-FR"/>
              </w:rPr>
            </w:pPr>
            <w:r w:rsidRPr="00C801A6">
              <w:rPr>
                <w:rFonts w:eastAsia="Times New Roman"/>
                <w:color w:val="auto"/>
                <w:szCs w:val="24"/>
                <w:lang w:eastAsia="fr-FR"/>
              </w:rPr>
              <w:t>Mécanisme de Gestion de Plaintes</w:t>
            </w:r>
          </w:p>
        </w:tc>
      </w:tr>
      <w:tr w:rsidR="00C801A6" w:rsidRPr="00C801A6" w14:paraId="1DB1090A" w14:textId="77777777" w:rsidTr="00437BCA">
        <w:tc>
          <w:tcPr>
            <w:tcW w:w="1488" w:type="dxa"/>
            <w:shd w:val="clear" w:color="auto" w:fill="D9D9D9" w:themeFill="background1" w:themeFillShade="D9"/>
            <w:noWrap/>
          </w:tcPr>
          <w:p w14:paraId="3A4C6953" w14:textId="77777777" w:rsidR="007A4908" w:rsidRPr="00C801A6" w:rsidRDefault="007A4908" w:rsidP="00347FDB">
            <w:pPr>
              <w:spacing w:before="60" w:after="60" w:line="240" w:lineRule="auto"/>
              <w:jc w:val="left"/>
              <w:rPr>
                <w:rFonts w:eastAsia="Times New Roman"/>
                <w:b/>
                <w:bCs/>
                <w:caps/>
                <w:color w:val="auto"/>
                <w:szCs w:val="24"/>
                <w:lang w:eastAsia="fr-FR"/>
              </w:rPr>
            </w:pPr>
            <w:r w:rsidRPr="00C801A6">
              <w:rPr>
                <w:rFonts w:eastAsia="Times New Roman"/>
                <w:b/>
                <w:bCs/>
                <w:caps/>
                <w:color w:val="auto"/>
                <w:szCs w:val="24"/>
                <w:lang w:eastAsia="fr-FR"/>
              </w:rPr>
              <w:t>MOIS</w:t>
            </w:r>
          </w:p>
        </w:tc>
        <w:tc>
          <w:tcPr>
            <w:tcW w:w="283" w:type="dxa"/>
          </w:tcPr>
          <w:p w14:paraId="20716EB2" w14:textId="77777777" w:rsidR="007A4908" w:rsidRPr="00C801A6" w:rsidRDefault="007A4908" w:rsidP="00347FDB">
            <w:pPr>
              <w:spacing w:before="60" w:after="60" w:line="240" w:lineRule="auto"/>
              <w:rPr>
                <w:rFonts w:eastAsia="Times New Roman"/>
                <w:b/>
                <w:bCs/>
                <w:color w:val="auto"/>
                <w:szCs w:val="24"/>
                <w:lang w:eastAsia="fr-FR"/>
              </w:rPr>
            </w:pPr>
            <w:r w:rsidRPr="00C801A6">
              <w:rPr>
                <w:rFonts w:eastAsia="Times New Roman"/>
                <w:b/>
                <w:bCs/>
                <w:color w:val="auto"/>
                <w:szCs w:val="24"/>
                <w:lang w:eastAsia="fr-FR"/>
              </w:rPr>
              <w:t>:</w:t>
            </w:r>
          </w:p>
        </w:tc>
        <w:tc>
          <w:tcPr>
            <w:tcW w:w="7441" w:type="dxa"/>
            <w:noWrap/>
          </w:tcPr>
          <w:p w14:paraId="3AB06F77" w14:textId="77777777" w:rsidR="007A4908" w:rsidRPr="00C801A6" w:rsidRDefault="007A4908" w:rsidP="00347FDB">
            <w:pPr>
              <w:spacing w:before="60" w:after="60" w:line="240" w:lineRule="auto"/>
              <w:rPr>
                <w:rFonts w:eastAsia="Times New Roman"/>
                <w:color w:val="auto"/>
                <w:szCs w:val="24"/>
                <w:lang w:eastAsia="fr-FR"/>
              </w:rPr>
            </w:pPr>
            <w:r w:rsidRPr="00C801A6">
              <w:rPr>
                <w:color w:val="auto"/>
                <w:szCs w:val="24"/>
              </w:rPr>
              <w:t>Maitrise d'Œuvre Institutionnelle et Sociale</w:t>
            </w:r>
          </w:p>
        </w:tc>
      </w:tr>
      <w:tr w:rsidR="00C801A6" w:rsidRPr="00C801A6" w14:paraId="226426D6" w14:textId="77777777" w:rsidTr="00437BCA">
        <w:tc>
          <w:tcPr>
            <w:tcW w:w="1488" w:type="dxa"/>
            <w:shd w:val="clear" w:color="auto" w:fill="D9D9D9" w:themeFill="background1" w:themeFillShade="D9"/>
            <w:noWrap/>
          </w:tcPr>
          <w:p w14:paraId="1F2265F8" w14:textId="77777777" w:rsidR="007A4908" w:rsidRPr="00C801A6" w:rsidRDefault="007A4908" w:rsidP="00347FDB">
            <w:pPr>
              <w:spacing w:before="60" w:after="60" w:line="240" w:lineRule="auto"/>
              <w:jc w:val="left"/>
              <w:rPr>
                <w:rFonts w:eastAsia="Times New Roman"/>
                <w:b/>
                <w:bCs/>
                <w:caps/>
                <w:color w:val="auto"/>
                <w:szCs w:val="24"/>
                <w:lang w:eastAsia="fr-FR"/>
              </w:rPr>
            </w:pPr>
            <w:r w:rsidRPr="00C801A6">
              <w:rPr>
                <w:rFonts w:eastAsia="Times New Roman"/>
                <w:b/>
                <w:bCs/>
                <w:caps/>
                <w:color w:val="auto"/>
                <w:szCs w:val="24"/>
                <w:lang w:eastAsia="fr-FR"/>
              </w:rPr>
              <w:t>mri</w:t>
            </w:r>
          </w:p>
        </w:tc>
        <w:tc>
          <w:tcPr>
            <w:tcW w:w="283" w:type="dxa"/>
          </w:tcPr>
          <w:p w14:paraId="05AEAA72" w14:textId="77777777" w:rsidR="007A4908" w:rsidRPr="00C801A6" w:rsidRDefault="007A4908" w:rsidP="00347FDB">
            <w:pPr>
              <w:spacing w:before="60" w:after="60" w:line="240" w:lineRule="auto"/>
              <w:rPr>
                <w:rFonts w:eastAsia="Times New Roman"/>
                <w:b/>
                <w:bCs/>
                <w:color w:val="auto"/>
                <w:szCs w:val="24"/>
                <w:lang w:eastAsia="fr-FR"/>
              </w:rPr>
            </w:pPr>
            <w:r w:rsidRPr="00C801A6">
              <w:rPr>
                <w:rFonts w:eastAsia="Times New Roman"/>
                <w:b/>
                <w:bCs/>
                <w:color w:val="auto"/>
                <w:szCs w:val="24"/>
                <w:lang w:eastAsia="fr-FR"/>
              </w:rPr>
              <w:t>:</w:t>
            </w:r>
          </w:p>
        </w:tc>
        <w:tc>
          <w:tcPr>
            <w:tcW w:w="7441" w:type="dxa"/>
            <w:noWrap/>
          </w:tcPr>
          <w:p w14:paraId="18CD989B" w14:textId="77777777" w:rsidR="007A4908" w:rsidRPr="00C801A6" w:rsidRDefault="007A4908" w:rsidP="00347FDB">
            <w:pPr>
              <w:spacing w:before="60" w:after="60" w:line="240" w:lineRule="auto"/>
              <w:rPr>
                <w:rFonts w:eastAsia="Times New Roman"/>
                <w:color w:val="auto"/>
                <w:szCs w:val="24"/>
                <w:lang w:eastAsia="fr-FR"/>
              </w:rPr>
            </w:pPr>
            <w:r w:rsidRPr="00C801A6">
              <w:rPr>
                <w:rFonts w:eastAsia="Times New Roman"/>
                <w:color w:val="auto"/>
                <w:szCs w:val="24"/>
                <w:lang w:eastAsia="fr-FR"/>
              </w:rPr>
              <w:t>Mécanisme de Réponse Immédiate</w:t>
            </w:r>
          </w:p>
        </w:tc>
      </w:tr>
      <w:tr w:rsidR="00C801A6" w:rsidRPr="00C801A6" w14:paraId="261B8B72" w14:textId="77777777" w:rsidTr="00437BCA">
        <w:tc>
          <w:tcPr>
            <w:tcW w:w="1488" w:type="dxa"/>
            <w:shd w:val="clear" w:color="auto" w:fill="D9D9D9" w:themeFill="background1" w:themeFillShade="D9"/>
            <w:noWrap/>
            <w:hideMark/>
          </w:tcPr>
          <w:p w14:paraId="7FB0F7CB" w14:textId="77777777" w:rsidR="007A4908" w:rsidRPr="00C801A6" w:rsidRDefault="007A4908" w:rsidP="00347FDB">
            <w:pPr>
              <w:spacing w:before="60" w:after="60" w:line="240" w:lineRule="auto"/>
              <w:jc w:val="left"/>
              <w:rPr>
                <w:rFonts w:eastAsia="Times New Roman"/>
                <w:b/>
                <w:bCs/>
                <w:caps/>
                <w:color w:val="auto"/>
                <w:szCs w:val="24"/>
                <w:lang w:eastAsia="fr-FR"/>
              </w:rPr>
            </w:pPr>
            <w:r w:rsidRPr="00C801A6">
              <w:rPr>
                <w:rFonts w:eastAsia="Times New Roman"/>
                <w:b/>
                <w:bCs/>
                <w:caps/>
                <w:color w:val="auto"/>
                <w:szCs w:val="24"/>
                <w:lang w:eastAsia="fr-FR"/>
              </w:rPr>
              <w:t>MTM</w:t>
            </w:r>
          </w:p>
        </w:tc>
        <w:tc>
          <w:tcPr>
            <w:tcW w:w="283" w:type="dxa"/>
          </w:tcPr>
          <w:p w14:paraId="431F27B3" w14:textId="77777777" w:rsidR="007A4908" w:rsidRPr="00C801A6" w:rsidRDefault="007A4908" w:rsidP="00347FDB">
            <w:pPr>
              <w:spacing w:before="60" w:after="60" w:line="240" w:lineRule="auto"/>
              <w:rPr>
                <w:rFonts w:eastAsia="Times New Roman"/>
                <w:b/>
                <w:bCs/>
                <w:color w:val="auto"/>
                <w:szCs w:val="24"/>
                <w:lang w:eastAsia="fr-FR"/>
              </w:rPr>
            </w:pPr>
            <w:r w:rsidRPr="00C801A6">
              <w:rPr>
                <w:rFonts w:eastAsia="Times New Roman"/>
                <w:b/>
                <w:bCs/>
                <w:color w:val="auto"/>
                <w:szCs w:val="24"/>
                <w:lang w:eastAsia="fr-FR"/>
              </w:rPr>
              <w:t>:</w:t>
            </w:r>
          </w:p>
        </w:tc>
        <w:tc>
          <w:tcPr>
            <w:tcW w:w="7441" w:type="dxa"/>
            <w:noWrap/>
            <w:hideMark/>
          </w:tcPr>
          <w:p w14:paraId="1D42C8BC" w14:textId="77777777" w:rsidR="007A4908" w:rsidRPr="00C801A6" w:rsidRDefault="007A4908" w:rsidP="00347FDB">
            <w:pPr>
              <w:spacing w:before="60" w:after="60" w:line="240" w:lineRule="auto"/>
              <w:rPr>
                <w:rFonts w:eastAsia="Times New Roman"/>
                <w:color w:val="auto"/>
                <w:szCs w:val="24"/>
                <w:lang w:eastAsia="fr-FR"/>
              </w:rPr>
            </w:pPr>
            <w:r w:rsidRPr="00C801A6">
              <w:rPr>
                <w:rFonts w:eastAsia="Times New Roman"/>
                <w:color w:val="auto"/>
                <w:szCs w:val="24"/>
                <w:lang w:eastAsia="fr-FR"/>
              </w:rPr>
              <w:t>Ministère des Transports et de la Météorologie</w:t>
            </w:r>
          </w:p>
        </w:tc>
      </w:tr>
      <w:tr w:rsidR="00C801A6" w:rsidRPr="00C801A6" w14:paraId="682269C2" w14:textId="77777777" w:rsidTr="00437BCA">
        <w:tc>
          <w:tcPr>
            <w:tcW w:w="1488" w:type="dxa"/>
            <w:shd w:val="clear" w:color="auto" w:fill="D9D9D9" w:themeFill="background1" w:themeFillShade="D9"/>
            <w:noWrap/>
            <w:hideMark/>
          </w:tcPr>
          <w:p w14:paraId="27569D00" w14:textId="77777777" w:rsidR="007A4908" w:rsidRPr="00C801A6" w:rsidRDefault="007A4908" w:rsidP="00347FDB">
            <w:pPr>
              <w:spacing w:before="60" w:after="60" w:line="240" w:lineRule="auto"/>
              <w:jc w:val="left"/>
              <w:rPr>
                <w:rFonts w:eastAsia="Times New Roman"/>
                <w:b/>
                <w:bCs/>
                <w:caps/>
                <w:color w:val="auto"/>
                <w:szCs w:val="24"/>
                <w:lang w:eastAsia="fr-FR"/>
              </w:rPr>
            </w:pPr>
            <w:r w:rsidRPr="00C801A6">
              <w:rPr>
                <w:rFonts w:eastAsia="Times New Roman"/>
                <w:b/>
                <w:bCs/>
                <w:caps/>
                <w:color w:val="auto"/>
                <w:szCs w:val="24"/>
                <w:lang w:eastAsia="fr-FR"/>
              </w:rPr>
              <w:t>MTP</w:t>
            </w:r>
          </w:p>
        </w:tc>
        <w:tc>
          <w:tcPr>
            <w:tcW w:w="283" w:type="dxa"/>
          </w:tcPr>
          <w:p w14:paraId="40D1C551" w14:textId="77777777" w:rsidR="007A4908" w:rsidRPr="00C801A6" w:rsidRDefault="007A4908" w:rsidP="00347FDB">
            <w:pPr>
              <w:spacing w:before="60" w:after="60" w:line="240" w:lineRule="auto"/>
              <w:rPr>
                <w:rFonts w:eastAsia="Times New Roman"/>
                <w:b/>
                <w:bCs/>
                <w:color w:val="auto"/>
                <w:szCs w:val="24"/>
                <w:lang w:eastAsia="fr-FR"/>
              </w:rPr>
            </w:pPr>
            <w:r w:rsidRPr="00C801A6">
              <w:rPr>
                <w:rFonts w:eastAsia="Times New Roman"/>
                <w:b/>
                <w:bCs/>
                <w:color w:val="auto"/>
                <w:szCs w:val="24"/>
                <w:lang w:eastAsia="fr-FR"/>
              </w:rPr>
              <w:t>:</w:t>
            </w:r>
          </w:p>
        </w:tc>
        <w:tc>
          <w:tcPr>
            <w:tcW w:w="7441" w:type="dxa"/>
            <w:noWrap/>
            <w:hideMark/>
          </w:tcPr>
          <w:p w14:paraId="4A8B96BB" w14:textId="77777777" w:rsidR="007A4908" w:rsidRPr="00C801A6" w:rsidRDefault="007A4908" w:rsidP="00347FDB">
            <w:pPr>
              <w:spacing w:before="60" w:after="60" w:line="240" w:lineRule="auto"/>
              <w:rPr>
                <w:rFonts w:eastAsia="Times New Roman"/>
                <w:color w:val="auto"/>
                <w:szCs w:val="24"/>
                <w:lang w:eastAsia="fr-FR"/>
              </w:rPr>
            </w:pPr>
            <w:r w:rsidRPr="00C801A6">
              <w:rPr>
                <w:rFonts w:eastAsia="Times New Roman"/>
                <w:color w:val="auto"/>
                <w:szCs w:val="24"/>
                <w:lang w:eastAsia="fr-FR"/>
              </w:rPr>
              <w:t>Ministère des Travaux Publics</w:t>
            </w:r>
          </w:p>
        </w:tc>
      </w:tr>
      <w:tr w:rsidR="00C801A6" w:rsidRPr="00C801A6" w14:paraId="38AC6D9A" w14:textId="77777777" w:rsidTr="00437BCA">
        <w:tc>
          <w:tcPr>
            <w:tcW w:w="1488" w:type="dxa"/>
            <w:shd w:val="clear" w:color="auto" w:fill="D9D9D9" w:themeFill="background1" w:themeFillShade="D9"/>
            <w:noWrap/>
            <w:hideMark/>
          </w:tcPr>
          <w:p w14:paraId="4487FE57" w14:textId="77777777" w:rsidR="007A4908" w:rsidRPr="00C801A6" w:rsidRDefault="007A4908" w:rsidP="00347FDB">
            <w:pPr>
              <w:spacing w:before="60" w:after="60" w:line="240" w:lineRule="auto"/>
              <w:jc w:val="left"/>
              <w:rPr>
                <w:rFonts w:eastAsia="Times New Roman"/>
                <w:b/>
                <w:bCs/>
                <w:caps/>
                <w:color w:val="auto"/>
                <w:szCs w:val="24"/>
                <w:lang w:eastAsia="fr-FR"/>
              </w:rPr>
            </w:pPr>
            <w:r w:rsidRPr="00C801A6">
              <w:rPr>
                <w:rFonts w:eastAsia="Times New Roman"/>
                <w:b/>
                <w:bCs/>
                <w:caps/>
                <w:color w:val="auto"/>
                <w:szCs w:val="24"/>
                <w:lang w:eastAsia="fr-FR"/>
              </w:rPr>
              <w:t>NES</w:t>
            </w:r>
          </w:p>
        </w:tc>
        <w:tc>
          <w:tcPr>
            <w:tcW w:w="283" w:type="dxa"/>
          </w:tcPr>
          <w:p w14:paraId="3035294C" w14:textId="77777777" w:rsidR="007A4908" w:rsidRPr="00C801A6" w:rsidRDefault="007A4908" w:rsidP="00347FDB">
            <w:pPr>
              <w:spacing w:before="60" w:after="60" w:line="240" w:lineRule="auto"/>
              <w:rPr>
                <w:rFonts w:eastAsia="Times New Roman"/>
                <w:b/>
                <w:bCs/>
                <w:color w:val="auto"/>
                <w:szCs w:val="24"/>
                <w:lang w:eastAsia="fr-FR"/>
              </w:rPr>
            </w:pPr>
            <w:r w:rsidRPr="00C801A6">
              <w:rPr>
                <w:rFonts w:eastAsia="Times New Roman"/>
                <w:b/>
                <w:bCs/>
                <w:color w:val="auto"/>
                <w:szCs w:val="24"/>
                <w:lang w:eastAsia="fr-FR"/>
              </w:rPr>
              <w:t>:</w:t>
            </w:r>
          </w:p>
        </w:tc>
        <w:tc>
          <w:tcPr>
            <w:tcW w:w="7441" w:type="dxa"/>
            <w:noWrap/>
            <w:hideMark/>
          </w:tcPr>
          <w:p w14:paraId="027E0C59" w14:textId="1F12628F" w:rsidR="007A4908" w:rsidRPr="00C801A6" w:rsidRDefault="007A4908" w:rsidP="00347FDB">
            <w:pPr>
              <w:spacing w:before="60" w:after="60" w:line="240" w:lineRule="auto"/>
              <w:rPr>
                <w:rFonts w:eastAsia="Times New Roman"/>
                <w:color w:val="auto"/>
                <w:lang w:eastAsia="fr-FR"/>
              </w:rPr>
            </w:pPr>
            <w:r w:rsidRPr="00C801A6">
              <w:rPr>
                <w:rFonts w:eastAsia="Times New Roman"/>
                <w:color w:val="auto"/>
                <w:lang w:eastAsia="fr-FR"/>
              </w:rPr>
              <w:t>Norme Environnementale et Sociale (</w:t>
            </w:r>
            <w:r w:rsidR="00B910A0" w:rsidRPr="00C801A6">
              <w:rPr>
                <w:rFonts w:eastAsia="Times New Roman"/>
                <w:color w:val="auto"/>
                <w:lang w:eastAsia="fr-FR"/>
              </w:rPr>
              <w:t>Banque mondiale</w:t>
            </w:r>
            <w:r w:rsidRPr="00C801A6">
              <w:rPr>
                <w:rFonts w:eastAsia="Times New Roman"/>
                <w:color w:val="auto"/>
                <w:lang w:eastAsia="fr-FR"/>
              </w:rPr>
              <w:t>)</w:t>
            </w:r>
          </w:p>
        </w:tc>
      </w:tr>
      <w:tr w:rsidR="00C801A6" w:rsidRPr="00C801A6" w14:paraId="3D53BD22" w14:textId="77777777" w:rsidTr="00437BCA">
        <w:tc>
          <w:tcPr>
            <w:tcW w:w="1488" w:type="dxa"/>
            <w:shd w:val="clear" w:color="auto" w:fill="D9D9D9" w:themeFill="background1" w:themeFillShade="D9"/>
            <w:noWrap/>
            <w:hideMark/>
          </w:tcPr>
          <w:p w14:paraId="1B336EE1" w14:textId="77777777" w:rsidR="007A4908" w:rsidRPr="00C801A6" w:rsidRDefault="007A4908" w:rsidP="00347FDB">
            <w:pPr>
              <w:spacing w:before="60" w:after="60" w:line="240" w:lineRule="auto"/>
              <w:jc w:val="left"/>
              <w:rPr>
                <w:rFonts w:eastAsia="Times New Roman"/>
                <w:b/>
                <w:bCs/>
                <w:caps/>
                <w:color w:val="auto"/>
                <w:szCs w:val="24"/>
                <w:lang w:eastAsia="fr-FR"/>
              </w:rPr>
            </w:pPr>
            <w:r w:rsidRPr="00C801A6">
              <w:rPr>
                <w:rFonts w:eastAsia="Times New Roman"/>
                <w:b/>
                <w:bCs/>
                <w:caps/>
                <w:color w:val="auto"/>
                <w:szCs w:val="24"/>
                <w:lang w:eastAsia="fr-FR"/>
              </w:rPr>
              <w:t>ODP</w:t>
            </w:r>
          </w:p>
        </w:tc>
        <w:tc>
          <w:tcPr>
            <w:tcW w:w="283" w:type="dxa"/>
          </w:tcPr>
          <w:p w14:paraId="1F317BE4" w14:textId="77777777" w:rsidR="007A4908" w:rsidRPr="00C801A6" w:rsidRDefault="007A4908" w:rsidP="00347FDB">
            <w:pPr>
              <w:spacing w:before="60" w:after="60" w:line="240" w:lineRule="auto"/>
              <w:rPr>
                <w:rFonts w:eastAsia="Times New Roman"/>
                <w:b/>
                <w:bCs/>
                <w:color w:val="auto"/>
                <w:szCs w:val="24"/>
                <w:lang w:eastAsia="fr-FR"/>
              </w:rPr>
            </w:pPr>
            <w:r w:rsidRPr="00C801A6">
              <w:rPr>
                <w:rFonts w:eastAsia="Times New Roman"/>
                <w:b/>
                <w:bCs/>
                <w:color w:val="auto"/>
                <w:szCs w:val="24"/>
                <w:lang w:eastAsia="fr-FR"/>
              </w:rPr>
              <w:t>:</w:t>
            </w:r>
          </w:p>
        </w:tc>
        <w:tc>
          <w:tcPr>
            <w:tcW w:w="7441" w:type="dxa"/>
            <w:noWrap/>
            <w:hideMark/>
          </w:tcPr>
          <w:p w14:paraId="486A9E9D" w14:textId="77777777" w:rsidR="007A4908" w:rsidRPr="00C801A6" w:rsidRDefault="007A4908" w:rsidP="00347FDB">
            <w:pPr>
              <w:spacing w:before="60" w:after="60" w:line="240" w:lineRule="auto"/>
              <w:rPr>
                <w:rFonts w:eastAsia="Times New Roman"/>
                <w:color w:val="auto"/>
                <w:szCs w:val="24"/>
                <w:lang w:eastAsia="fr-FR"/>
              </w:rPr>
            </w:pPr>
            <w:r w:rsidRPr="00C801A6">
              <w:rPr>
                <w:rFonts w:eastAsia="Times New Roman"/>
                <w:color w:val="auto"/>
                <w:szCs w:val="24"/>
                <w:lang w:eastAsia="fr-FR"/>
              </w:rPr>
              <w:t>Objectif du Développement du Projet</w:t>
            </w:r>
          </w:p>
        </w:tc>
      </w:tr>
      <w:tr w:rsidR="00C801A6" w:rsidRPr="00C801A6" w14:paraId="4037CBD3" w14:textId="77777777" w:rsidTr="00437BCA">
        <w:tc>
          <w:tcPr>
            <w:tcW w:w="1488" w:type="dxa"/>
            <w:shd w:val="clear" w:color="auto" w:fill="D9D9D9" w:themeFill="background1" w:themeFillShade="D9"/>
            <w:noWrap/>
            <w:hideMark/>
          </w:tcPr>
          <w:p w14:paraId="601595BB" w14:textId="77777777" w:rsidR="007A4908" w:rsidRPr="00C801A6" w:rsidRDefault="007A4908" w:rsidP="00347FDB">
            <w:pPr>
              <w:spacing w:before="60" w:after="60" w:line="240" w:lineRule="auto"/>
              <w:jc w:val="left"/>
              <w:rPr>
                <w:rFonts w:eastAsia="Times New Roman"/>
                <w:b/>
                <w:bCs/>
                <w:caps/>
                <w:color w:val="auto"/>
                <w:szCs w:val="24"/>
                <w:lang w:eastAsia="fr-FR"/>
              </w:rPr>
            </w:pPr>
            <w:r w:rsidRPr="00C801A6">
              <w:rPr>
                <w:rFonts w:eastAsia="Times New Roman"/>
                <w:b/>
                <w:bCs/>
                <w:caps/>
                <w:color w:val="auto"/>
                <w:szCs w:val="24"/>
                <w:lang w:eastAsia="fr-FR"/>
              </w:rPr>
              <w:t>ONE</w:t>
            </w:r>
          </w:p>
        </w:tc>
        <w:tc>
          <w:tcPr>
            <w:tcW w:w="283" w:type="dxa"/>
          </w:tcPr>
          <w:p w14:paraId="371E0C16" w14:textId="77777777" w:rsidR="007A4908" w:rsidRPr="00C801A6" w:rsidRDefault="007A4908" w:rsidP="00347FDB">
            <w:pPr>
              <w:spacing w:before="60" w:after="60" w:line="240" w:lineRule="auto"/>
              <w:rPr>
                <w:rFonts w:eastAsia="Times New Roman"/>
                <w:b/>
                <w:bCs/>
                <w:color w:val="auto"/>
                <w:szCs w:val="24"/>
                <w:lang w:eastAsia="fr-FR"/>
              </w:rPr>
            </w:pPr>
            <w:r w:rsidRPr="00C801A6">
              <w:rPr>
                <w:rFonts w:eastAsia="Times New Roman"/>
                <w:b/>
                <w:bCs/>
                <w:color w:val="auto"/>
                <w:szCs w:val="24"/>
                <w:lang w:eastAsia="fr-FR"/>
              </w:rPr>
              <w:t>:</w:t>
            </w:r>
          </w:p>
        </w:tc>
        <w:tc>
          <w:tcPr>
            <w:tcW w:w="7441" w:type="dxa"/>
            <w:noWrap/>
            <w:hideMark/>
          </w:tcPr>
          <w:p w14:paraId="16C28A13" w14:textId="77777777" w:rsidR="007A4908" w:rsidRPr="00C801A6" w:rsidRDefault="007A4908" w:rsidP="00347FDB">
            <w:pPr>
              <w:spacing w:before="60" w:after="60" w:line="240" w:lineRule="auto"/>
              <w:rPr>
                <w:rFonts w:eastAsia="Times New Roman"/>
                <w:color w:val="auto"/>
                <w:szCs w:val="24"/>
                <w:lang w:eastAsia="fr-FR"/>
              </w:rPr>
            </w:pPr>
            <w:r w:rsidRPr="00C801A6">
              <w:rPr>
                <w:rFonts w:eastAsia="Times New Roman"/>
                <w:color w:val="auto"/>
                <w:szCs w:val="24"/>
                <w:lang w:eastAsia="fr-FR"/>
              </w:rPr>
              <w:t>Office National pour l’Environnement</w:t>
            </w:r>
          </w:p>
        </w:tc>
      </w:tr>
      <w:tr w:rsidR="00C801A6" w:rsidRPr="00C801A6" w14:paraId="367D52E8" w14:textId="77777777" w:rsidTr="00437BCA">
        <w:tc>
          <w:tcPr>
            <w:tcW w:w="1488" w:type="dxa"/>
            <w:shd w:val="clear" w:color="auto" w:fill="D9D9D9" w:themeFill="background1" w:themeFillShade="D9"/>
            <w:noWrap/>
            <w:hideMark/>
          </w:tcPr>
          <w:p w14:paraId="37933E16" w14:textId="77777777" w:rsidR="007A4908" w:rsidRPr="00C801A6" w:rsidRDefault="007A4908" w:rsidP="00347FDB">
            <w:pPr>
              <w:spacing w:before="60" w:after="60" w:line="240" w:lineRule="auto"/>
              <w:jc w:val="left"/>
              <w:rPr>
                <w:rFonts w:eastAsia="Times New Roman"/>
                <w:b/>
                <w:bCs/>
                <w:caps/>
                <w:color w:val="auto"/>
                <w:szCs w:val="24"/>
                <w:lang w:eastAsia="fr-FR"/>
              </w:rPr>
            </w:pPr>
            <w:r w:rsidRPr="00C801A6">
              <w:rPr>
                <w:rFonts w:eastAsia="Times New Roman"/>
                <w:b/>
                <w:bCs/>
                <w:caps/>
                <w:color w:val="auto"/>
                <w:szCs w:val="24"/>
                <w:lang w:eastAsia="fr-FR"/>
              </w:rPr>
              <w:t>ONG</w:t>
            </w:r>
          </w:p>
        </w:tc>
        <w:tc>
          <w:tcPr>
            <w:tcW w:w="283" w:type="dxa"/>
          </w:tcPr>
          <w:p w14:paraId="26C1A311" w14:textId="77777777" w:rsidR="007A4908" w:rsidRPr="00C801A6" w:rsidRDefault="007A4908" w:rsidP="00347FDB">
            <w:pPr>
              <w:spacing w:before="60" w:after="60" w:line="240" w:lineRule="auto"/>
              <w:rPr>
                <w:rFonts w:eastAsia="Times New Roman"/>
                <w:b/>
                <w:bCs/>
                <w:color w:val="auto"/>
                <w:szCs w:val="24"/>
                <w:lang w:eastAsia="fr-FR"/>
              </w:rPr>
            </w:pPr>
            <w:r w:rsidRPr="00C801A6">
              <w:rPr>
                <w:rFonts w:eastAsia="Times New Roman"/>
                <w:b/>
                <w:bCs/>
                <w:color w:val="auto"/>
                <w:szCs w:val="24"/>
                <w:lang w:eastAsia="fr-FR"/>
              </w:rPr>
              <w:t>:</w:t>
            </w:r>
          </w:p>
        </w:tc>
        <w:tc>
          <w:tcPr>
            <w:tcW w:w="7441" w:type="dxa"/>
            <w:noWrap/>
            <w:hideMark/>
          </w:tcPr>
          <w:p w14:paraId="6D998B2E" w14:textId="77777777" w:rsidR="007A4908" w:rsidRPr="00C801A6" w:rsidRDefault="007A4908" w:rsidP="00347FDB">
            <w:pPr>
              <w:spacing w:before="60" w:after="60" w:line="240" w:lineRule="auto"/>
              <w:rPr>
                <w:rFonts w:eastAsia="Times New Roman"/>
                <w:color w:val="auto"/>
                <w:szCs w:val="24"/>
                <w:lang w:eastAsia="fr-FR"/>
              </w:rPr>
            </w:pPr>
            <w:r w:rsidRPr="00C801A6">
              <w:rPr>
                <w:rFonts w:eastAsia="Times New Roman"/>
                <w:color w:val="auto"/>
                <w:szCs w:val="24"/>
                <w:lang w:eastAsia="fr-FR"/>
              </w:rPr>
              <w:t>Organisation Non Gouvernementale</w:t>
            </w:r>
          </w:p>
        </w:tc>
      </w:tr>
      <w:tr w:rsidR="00C801A6" w:rsidRPr="00C801A6" w14:paraId="446533CF" w14:textId="77777777" w:rsidTr="00437BCA">
        <w:tc>
          <w:tcPr>
            <w:tcW w:w="1488" w:type="dxa"/>
            <w:shd w:val="clear" w:color="auto" w:fill="D9D9D9" w:themeFill="background1" w:themeFillShade="D9"/>
            <w:noWrap/>
            <w:hideMark/>
          </w:tcPr>
          <w:p w14:paraId="33DCE174" w14:textId="77777777" w:rsidR="007A4908" w:rsidRPr="00C801A6" w:rsidRDefault="007A4908" w:rsidP="00347FDB">
            <w:pPr>
              <w:spacing w:before="60" w:after="60" w:line="240" w:lineRule="auto"/>
              <w:jc w:val="left"/>
              <w:rPr>
                <w:rFonts w:eastAsia="Times New Roman"/>
                <w:b/>
                <w:bCs/>
                <w:caps/>
                <w:color w:val="auto"/>
                <w:szCs w:val="24"/>
                <w:lang w:eastAsia="fr-FR"/>
              </w:rPr>
            </w:pPr>
            <w:r w:rsidRPr="00C801A6">
              <w:rPr>
                <w:rFonts w:eastAsia="Times New Roman"/>
                <w:b/>
                <w:bCs/>
                <w:caps/>
                <w:color w:val="auto"/>
                <w:szCs w:val="24"/>
                <w:lang w:eastAsia="fr-FR"/>
              </w:rPr>
              <w:t>OSC</w:t>
            </w:r>
          </w:p>
        </w:tc>
        <w:tc>
          <w:tcPr>
            <w:tcW w:w="283" w:type="dxa"/>
          </w:tcPr>
          <w:p w14:paraId="3BC1DB9C" w14:textId="77777777" w:rsidR="007A4908" w:rsidRPr="00C801A6" w:rsidRDefault="007A4908" w:rsidP="00347FDB">
            <w:pPr>
              <w:spacing w:before="60" w:after="60" w:line="240" w:lineRule="auto"/>
              <w:rPr>
                <w:rFonts w:eastAsia="Times New Roman"/>
                <w:b/>
                <w:bCs/>
                <w:color w:val="auto"/>
                <w:szCs w:val="24"/>
                <w:lang w:eastAsia="fr-FR"/>
              </w:rPr>
            </w:pPr>
            <w:r w:rsidRPr="00C801A6">
              <w:rPr>
                <w:rFonts w:eastAsia="Times New Roman"/>
                <w:b/>
                <w:bCs/>
                <w:color w:val="auto"/>
                <w:szCs w:val="24"/>
                <w:lang w:eastAsia="fr-FR"/>
              </w:rPr>
              <w:t>:</w:t>
            </w:r>
          </w:p>
        </w:tc>
        <w:tc>
          <w:tcPr>
            <w:tcW w:w="7441" w:type="dxa"/>
            <w:noWrap/>
            <w:hideMark/>
          </w:tcPr>
          <w:p w14:paraId="1712B98E" w14:textId="77777777" w:rsidR="007A4908" w:rsidRPr="00C801A6" w:rsidRDefault="007A4908" w:rsidP="00347FDB">
            <w:pPr>
              <w:spacing w:before="60" w:after="60" w:line="240" w:lineRule="auto"/>
              <w:rPr>
                <w:rFonts w:eastAsia="Times New Roman"/>
                <w:color w:val="auto"/>
                <w:szCs w:val="24"/>
                <w:lang w:eastAsia="fr-FR"/>
              </w:rPr>
            </w:pPr>
            <w:r w:rsidRPr="00C801A6">
              <w:rPr>
                <w:rFonts w:eastAsia="Times New Roman"/>
                <w:color w:val="auto"/>
                <w:szCs w:val="24"/>
                <w:lang w:eastAsia="fr-FR"/>
              </w:rPr>
              <w:t>Organisation de la Société Civile</w:t>
            </w:r>
          </w:p>
        </w:tc>
      </w:tr>
      <w:tr w:rsidR="00C801A6" w:rsidRPr="00C801A6" w14:paraId="18EA63A2" w14:textId="77777777" w:rsidTr="00437BCA">
        <w:tc>
          <w:tcPr>
            <w:tcW w:w="1488" w:type="dxa"/>
            <w:shd w:val="clear" w:color="auto" w:fill="D9D9D9" w:themeFill="background1" w:themeFillShade="D9"/>
            <w:noWrap/>
            <w:hideMark/>
          </w:tcPr>
          <w:p w14:paraId="7AF48089" w14:textId="77777777" w:rsidR="007A4908" w:rsidRPr="00C801A6" w:rsidRDefault="007A4908" w:rsidP="00347FDB">
            <w:pPr>
              <w:spacing w:before="60" w:after="60" w:line="240" w:lineRule="auto"/>
              <w:jc w:val="left"/>
              <w:rPr>
                <w:rFonts w:eastAsia="Times New Roman"/>
                <w:b/>
                <w:bCs/>
                <w:caps/>
                <w:color w:val="auto"/>
                <w:szCs w:val="24"/>
                <w:lang w:eastAsia="fr-FR"/>
              </w:rPr>
            </w:pPr>
            <w:r w:rsidRPr="00C801A6">
              <w:rPr>
                <w:rFonts w:eastAsia="Times New Roman"/>
                <w:b/>
                <w:bCs/>
                <w:caps/>
                <w:color w:val="auto"/>
                <w:szCs w:val="24"/>
                <w:lang w:eastAsia="fr-FR"/>
              </w:rPr>
              <w:t>PACT</w:t>
            </w:r>
          </w:p>
        </w:tc>
        <w:tc>
          <w:tcPr>
            <w:tcW w:w="283" w:type="dxa"/>
          </w:tcPr>
          <w:p w14:paraId="10F4135D" w14:textId="77777777" w:rsidR="007A4908" w:rsidRPr="00C801A6" w:rsidRDefault="007A4908" w:rsidP="00347FDB">
            <w:pPr>
              <w:spacing w:before="60" w:after="60" w:line="240" w:lineRule="auto"/>
              <w:rPr>
                <w:rFonts w:eastAsia="Times New Roman"/>
                <w:b/>
                <w:bCs/>
                <w:color w:val="auto"/>
                <w:szCs w:val="24"/>
                <w:lang w:eastAsia="fr-FR"/>
              </w:rPr>
            </w:pPr>
            <w:r w:rsidRPr="00C801A6">
              <w:rPr>
                <w:rFonts w:eastAsia="Times New Roman"/>
                <w:b/>
                <w:bCs/>
                <w:color w:val="auto"/>
                <w:szCs w:val="24"/>
                <w:lang w:eastAsia="fr-FR"/>
              </w:rPr>
              <w:t>:</w:t>
            </w:r>
          </w:p>
        </w:tc>
        <w:tc>
          <w:tcPr>
            <w:tcW w:w="7441" w:type="dxa"/>
            <w:noWrap/>
            <w:hideMark/>
          </w:tcPr>
          <w:p w14:paraId="7E97998B" w14:textId="77777777" w:rsidR="007A4908" w:rsidRPr="00C801A6" w:rsidRDefault="007A4908" w:rsidP="00347FDB">
            <w:pPr>
              <w:spacing w:before="60" w:after="60" w:line="240" w:lineRule="auto"/>
              <w:rPr>
                <w:rFonts w:eastAsia="Times New Roman"/>
                <w:color w:val="auto"/>
                <w:szCs w:val="24"/>
                <w:lang w:eastAsia="fr-FR"/>
              </w:rPr>
            </w:pPr>
            <w:r w:rsidRPr="00C801A6">
              <w:rPr>
                <w:rFonts w:eastAsia="Times New Roman"/>
                <w:color w:val="auto"/>
                <w:szCs w:val="24"/>
                <w:lang w:eastAsia="fr-FR"/>
              </w:rPr>
              <w:t xml:space="preserve">Projet d’Appui à la Connectivité des Transports </w:t>
            </w:r>
          </w:p>
        </w:tc>
      </w:tr>
      <w:tr w:rsidR="00C801A6" w:rsidRPr="00C801A6" w14:paraId="0DD5DA2C" w14:textId="77777777" w:rsidTr="00437BCA">
        <w:tc>
          <w:tcPr>
            <w:tcW w:w="1488" w:type="dxa"/>
            <w:shd w:val="clear" w:color="auto" w:fill="D9D9D9" w:themeFill="background1" w:themeFillShade="D9"/>
            <w:noWrap/>
          </w:tcPr>
          <w:p w14:paraId="72FCF452" w14:textId="77777777" w:rsidR="007A4908" w:rsidRPr="00C801A6" w:rsidRDefault="007A4908" w:rsidP="00347FDB">
            <w:pPr>
              <w:spacing w:before="60" w:after="60" w:line="240" w:lineRule="auto"/>
              <w:jc w:val="left"/>
              <w:rPr>
                <w:rFonts w:eastAsia="Times New Roman"/>
                <w:b/>
                <w:bCs/>
                <w:caps/>
                <w:color w:val="auto"/>
                <w:szCs w:val="24"/>
                <w:lang w:eastAsia="fr-FR"/>
              </w:rPr>
            </w:pPr>
            <w:r w:rsidRPr="00C801A6">
              <w:rPr>
                <w:rFonts w:eastAsia="Times New Roman"/>
                <w:b/>
                <w:bCs/>
                <w:caps/>
                <w:color w:val="auto"/>
                <w:szCs w:val="24"/>
                <w:lang w:eastAsia="fr-FR"/>
              </w:rPr>
              <w:t>PAP</w:t>
            </w:r>
            <w:r w:rsidRPr="00C801A6">
              <w:rPr>
                <w:rFonts w:eastAsia="Times New Roman"/>
                <w:b/>
                <w:bCs/>
                <w:color w:val="auto"/>
                <w:szCs w:val="24"/>
                <w:lang w:eastAsia="fr-FR"/>
              </w:rPr>
              <w:t>s</w:t>
            </w:r>
          </w:p>
        </w:tc>
        <w:tc>
          <w:tcPr>
            <w:tcW w:w="283" w:type="dxa"/>
          </w:tcPr>
          <w:p w14:paraId="6D35F003" w14:textId="77777777" w:rsidR="007A4908" w:rsidRPr="00C801A6" w:rsidRDefault="007A4908" w:rsidP="00347FDB">
            <w:pPr>
              <w:spacing w:before="60" w:after="60" w:line="240" w:lineRule="auto"/>
              <w:rPr>
                <w:rFonts w:eastAsia="Times New Roman"/>
                <w:b/>
                <w:bCs/>
                <w:color w:val="auto"/>
                <w:szCs w:val="24"/>
                <w:lang w:eastAsia="fr-FR"/>
              </w:rPr>
            </w:pPr>
            <w:r w:rsidRPr="00C801A6">
              <w:rPr>
                <w:rFonts w:eastAsia="Times New Roman"/>
                <w:b/>
                <w:bCs/>
                <w:color w:val="auto"/>
                <w:szCs w:val="24"/>
                <w:lang w:eastAsia="fr-FR"/>
              </w:rPr>
              <w:t>:</w:t>
            </w:r>
          </w:p>
        </w:tc>
        <w:tc>
          <w:tcPr>
            <w:tcW w:w="7441" w:type="dxa"/>
            <w:noWrap/>
          </w:tcPr>
          <w:p w14:paraId="4945979A" w14:textId="77777777" w:rsidR="007A4908" w:rsidRPr="00C801A6" w:rsidRDefault="007A4908" w:rsidP="00347FDB">
            <w:pPr>
              <w:spacing w:before="60" w:after="60" w:line="240" w:lineRule="auto"/>
              <w:rPr>
                <w:rFonts w:eastAsia="Times New Roman"/>
                <w:color w:val="auto"/>
                <w:szCs w:val="24"/>
                <w:lang w:eastAsia="fr-FR"/>
              </w:rPr>
            </w:pPr>
            <w:r w:rsidRPr="00C801A6">
              <w:rPr>
                <w:rFonts w:eastAsia="Times New Roman"/>
                <w:color w:val="auto"/>
                <w:szCs w:val="24"/>
                <w:lang w:eastAsia="fr-FR"/>
              </w:rPr>
              <w:t>Personnes Affectées par le Projet</w:t>
            </w:r>
          </w:p>
        </w:tc>
      </w:tr>
      <w:tr w:rsidR="0017750A" w:rsidRPr="00C801A6" w14:paraId="67BE665D" w14:textId="77777777" w:rsidTr="00437BCA">
        <w:tc>
          <w:tcPr>
            <w:tcW w:w="1488" w:type="dxa"/>
            <w:shd w:val="clear" w:color="auto" w:fill="D9D9D9" w:themeFill="background1" w:themeFillShade="D9"/>
            <w:noWrap/>
          </w:tcPr>
          <w:p w14:paraId="2F4A7B7F" w14:textId="103CC9C3" w:rsidR="0017750A" w:rsidRPr="00C801A6" w:rsidRDefault="0017750A" w:rsidP="007A4908">
            <w:pPr>
              <w:spacing w:before="60" w:after="60" w:line="240" w:lineRule="auto"/>
              <w:jc w:val="left"/>
              <w:rPr>
                <w:rFonts w:eastAsia="Times New Roman"/>
                <w:b/>
                <w:bCs/>
                <w:caps/>
                <w:color w:val="auto"/>
                <w:szCs w:val="24"/>
                <w:lang w:eastAsia="fr-FR"/>
              </w:rPr>
            </w:pPr>
            <w:r>
              <w:rPr>
                <w:rFonts w:eastAsia="Times New Roman"/>
                <w:b/>
                <w:bCs/>
                <w:caps/>
                <w:color w:val="auto"/>
                <w:szCs w:val="24"/>
                <w:lang w:eastAsia="fr-FR"/>
              </w:rPr>
              <w:t>PCMCI</w:t>
            </w:r>
          </w:p>
        </w:tc>
        <w:tc>
          <w:tcPr>
            <w:tcW w:w="283" w:type="dxa"/>
          </w:tcPr>
          <w:p w14:paraId="57709027" w14:textId="071501F4" w:rsidR="0017750A" w:rsidRPr="00C801A6" w:rsidRDefault="0017750A" w:rsidP="007A4908">
            <w:pPr>
              <w:spacing w:before="60" w:after="60" w:line="240" w:lineRule="auto"/>
              <w:rPr>
                <w:rFonts w:eastAsia="Times New Roman"/>
                <w:b/>
                <w:bCs/>
                <w:color w:val="auto"/>
                <w:szCs w:val="24"/>
                <w:lang w:eastAsia="fr-FR"/>
              </w:rPr>
            </w:pPr>
            <w:r>
              <w:rPr>
                <w:rFonts w:eastAsia="Times New Roman"/>
                <w:b/>
                <w:bCs/>
                <w:color w:val="auto"/>
                <w:szCs w:val="24"/>
                <w:lang w:eastAsia="fr-FR"/>
              </w:rPr>
              <w:t>:</w:t>
            </w:r>
          </w:p>
        </w:tc>
        <w:tc>
          <w:tcPr>
            <w:tcW w:w="7441" w:type="dxa"/>
            <w:noWrap/>
          </w:tcPr>
          <w:p w14:paraId="1456F9EB" w14:textId="248CE29F" w:rsidR="0017750A" w:rsidRPr="00C801A6" w:rsidRDefault="0017750A" w:rsidP="007A4908">
            <w:pPr>
              <w:spacing w:before="60" w:after="60" w:line="240" w:lineRule="auto"/>
              <w:rPr>
                <w:rFonts w:eastAsia="Times New Roman"/>
                <w:color w:val="auto"/>
                <w:szCs w:val="24"/>
                <w:lang w:eastAsia="fr-FR"/>
              </w:rPr>
            </w:pPr>
            <w:r>
              <w:rPr>
                <w:rFonts w:eastAsia="Times New Roman"/>
                <w:color w:val="auto"/>
                <w:szCs w:val="24"/>
                <w:lang w:eastAsia="fr-FR"/>
              </w:rPr>
              <w:t>Projet Connecter Madagascar pour une Croissance Inclusive</w:t>
            </w:r>
          </w:p>
        </w:tc>
      </w:tr>
      <w:tr w:rsidR="002C3D7F" w:rsidRPr="00C801A6" w14:paraId="1704DBA2" w14:textId="77777777" w:rsidTr="00CB7225">
        <w:tc>
          <w:tcPr>
            <w:tcW w:w="1488" w:type="dxa"/>
            <w:shd w:val="clear" w:color="auto" w:fill="D9D9D9" w:themeFill="background1" w:themeFillShade="D9"/>
            <w:noWrap/>
          </w:tcPr>
          <w:p w14:paraId="7C3FD391" w14:textId="77777777" w:rsidR="002C3D7F" w:rsidRPr="00C801A6" w:rsidRDefault="002C3D7F" w:rsidP="00CB7225">
            <w:pPr>
              <w:spacing w:before="60" w:after="60" w:line="240" w:lineRule="auto"/>
              <w:jc w:val="left"/>
              <w:rPr>
                <w:rFonts w:eastAsia="Times New Roman"/>
                <w:b/>
                <w:bCs/>
                <w:caps/>
                <w:color w:val="auto"/>
                <w:szCs w:val="24"/>
                <w:lang w:eastAsia="fr-FR"/>
              </w:rPr>
            </w:pPr>
            <w:r w:rsidRPr="00C801A6">
              <w:rPr>
                <w:rFonts w:eastAsia="Times New Roman"/>
                <w:b/>
                <w:bCs/>
                <w:caps/>
                <w:color w:val="auto"/>
                <w:szCs w:val="24"/>
                <w:lang w:eastAsia="fr-FR"/>
              </w:rPr>
              <w:t>PDDR</w:t>
            </w:r>
          </w:p>
        </w:tc>
        <w:tc>
          <w:tcPr>
            <w:tcW w:w="283" w:type="dxa"/>
          </w:tcPr>
          <w:p w14:paraId="37A45CF9" w14:textId="77777777" w:rsidR="002C3D7F" w:rsidRPr="00C801A6" w:rsidRDefault="002C3D7F" w:rsidP="00CB7225">
            <w:pPr>
              <w:spacing w:before="60" w:after="60" w:line="240" w:lineRule="auto"/>
              <w:rPr>
                <w:rFonts w:eastAsia="Times New Roman"/>
                <w:b/>
                <w:bCs/>
                <w:color w:val="auto"/>
                <w:szCs w:val="24"/>
                <w:lang w:eastAsia="fr-FR"/>
              </w:rPr>
            </w:pPr>
            <w:r w:rsidRPr="00C801A6">
              <w:rPr>
                <w:rFonts w:eastAsia="Times New Roman"/>
                <w:b/>
                <w:bCs/>
                <w:color w:val="auto"/>
                <w:szCs w:val="24"/>
                <w:lang w:eastAsia="fr-FR"/>
              </w:rPr>
              <w:t>:</w:t>
            </w:r>
          </w:p>
        </w:tc>
        <w:tc>
          <w:tcPr>
            <w:tcW w:w="7441" w:type="dxa"/>
            <w:noWrap/>
          </w:tcPr>
          <w:p w14:paraId="378F7EEB" w14:textId="77777777" w:rsidR="002C3D7F" w:rsidRPr="00C801A6" w:rsidRDefault="002C3D7F" w:rsidP="00CB7225">
            <w:pPr>
              <w:spacing w:before="60" w:after="60" w:line="240" w:lineRule="auto"/>
              <w:rPr>
                <w:rFonts w:eastAsia="Times New Roman"/>
                <w:color w:val="auto"/>
                <w:szCs w:val="24"/>
                <w:lang w:eastAsia="fr-FR"/>
              </w:rPr>
            </w:pPr>
            <w:r w:rsidRPr="00C801A6">
              <w:rPr>
                <w:rFonts w:eastAsia="Times New Roman"/>
                <w:color w:val="auto"/>
                <w:szCs w:val="24"/>
                <w:lang w:eastAsia="fr-FR"/>
              </w:rPr>
              <w:t>Projet de développement Durable des Routes à Madagascar</w:t>
            </w:r>
          </w:p>
        </w:tc>
      </w:tr>
      <w:tr w:rsidR="00C801A6" w:rsidRPr="00C801A6" w14:paraId="4E78690B" w14:textId="77777777" w:rsidTr="00437BCA">
        <w:tc>
          <w:tcPr>
            <w:tcW w:w="1488" w:type="dxa"/>
            <w:shd w:val="clear" w:color="auto" w:fill="D9D9D9" w:themeFill="background1" w:themeFillShade="D9"/>
            <w:noWrap/>
            <w:hideMark/>
          </w:tcPr>
          <w:p w14:paraId="50CC5F5D" w14:textId="77777777" w:rsidR="007A4908" w:rsidRPr="00C801A6" w:rsidRDefault="007A4908" w:rsidP="00347FDB">
            <w:pPr>
              <w:spacing w:before="60" w:after="60" w:line="240" w:lineRule="auto"/>
              <w:jc w:val="left"/>
              <w:rPr>
                <w:rFonts w:eastAsia="Times New Roman"/>
                <w:b/>
                <w:bCs/>
                <w:caps/>
                <w:color w:val="auto"/>
                <w:szCs w:val="24"/>
                <w:lang w:eastAsia="fr-FR"/>
              </w:rPr>
            </w:pPr>
            <w:r w:rsidRPr="00C801A6">
              <w:rPr>
                <w:rFonts w:eastAsia="Times New Roman"/>
                <w:b/>
                <w:bCs/>
                <w:caps/>
                <w:color w:val="auto"/>
                <w:szCs w:val="24"/>
                <w:lang w:eastAsia="fr-FR"/>
              </w:rPr>
              <w:t>PEES</w:t>
            </w:r>
          </w:p>
        </w:tc>
        <w:tc>
          <w:tcPr>
            <w:tcW w:w="283" w:type="dxa"/>
          </w:tcPr>
          <w:p w14:paraId="4B73638D" w14:textId="77777777" w:rsidR="007A4908" w:rsidRPr="00C801A6" w:rsidRDefault="007A4908" w:rsidP="00347FDB">
            <w:pPr>
              <w:spacing w:before="60" w:after="60" w:line="240" w:lineRule="auto"/>
              <w:rPr>
                <w:rFonts w:eastAsia="Times New Roman"/>
                <w:b/>
                <w:bCs/>
                <w:color w:val="auto"/>
                <w:szCs w:val="24"/>
                <w:lang w:eastAsia="fr-FR"/>
              </w:rPr>
            </w:pPr>
            <w:r w:rsidRPr="00C801A6">
              <w:rPr>
                <w:rFonts w:eastAsia="Times New Roman"/>
                <w:b/>
                <w:bCs/>
                <w:color w:val="auto"/>
                <w:szCs w:val="24"/>
                <w:lang w:eastAsia="fr-FR"/>
              </w:rPr>
              <w:t>:</w:t>
            </w:r>
          </w:p>
        </w:tc>
        <w:tc>
          <w:tcPr>
            <w:tcW w:w="7441" w:type="dxa"/>
            <w:noWrap/>
            <w:hideMark/>
          </w:tcPr>
          <w:p w14:paraId="24BF003A" w14:textId="77777777" w:rsidR="007A4908" w:rsidRPr="00C801A6" w:rsidRDefault="007A4908" w:rsidP="00347FDB">
            <w:pPr>
              <w:spacing w:before="60" w:after="60" w:line="240" w:lineRule="auto"/>
              <w:rPr>
                <w:rFonts w:eastAsia="Times New Roman"/>
                <w:color w:val="auto"/>
                <w:szCs w:val="24"/>
                <w:lang w:eastAsia="fr-FR"/>
              </w:rPr>
            </w:pPr>
            <w:r w:rsidRPr="00C801A6">
              <w:rPr>
                <w:rFonts w:eastAsia="Times New Roman"/>
                <w:color w:val="auto"/>
                <w:szCs w:val="24"/>
                <w:lang w:eastAsia="fr-FR"/>
              </w:rPr>
              <w:t>Plan d’Engagement Environnemental et Social</w:t>
            </w:r>
          </w:p>
        </w:tc>
      </w:tr>
      <w:tr w:rsidR="00C801A6" w:rsidRPr="00C801A6" w14:paraId="26481315" w14:textId="77777777" w:rsidTr="00437BCA">
        <w:tc>
          <w:tcPr>
            <w:tcW w:w="1488" w:type="dxa"/>
            <w:shd w:val="clear" w:color="auto" w:fill="D9D9D9" w:themeFill="background1" w:themeFillShade="D9"/>
            <w:noWrap/>
          </w:tcPr>
          <w:p w14:paraId="7C6298C5" w14:textId="77777777" w:rsidR="007A4908" w:rsidRPr="00C801A6" w:rsidRDefault="007A4908" w:rsidP="007A4908">
            <w:pPr>
              <w:spacing w:before="60" w:after="60" w:line="240" w:lineRule="auto"/>
              <w:jc w:val="left"/>
              <w:rPr>
                <w:rFonts w:eastAsia="Times New Roman"/>
                <w:b/>
                <w:bCs/>
                <w:caps/>
                <w:color w:val="auto"/>
                <w:szCs w:val="24"/>
                <w:lang w:eastAsia="fr-FR"/>
              </w:rPr>
            </w:pPr>
            <w:r w:rsidRPr="00C801A6">
              <w:rPr>
                <w:rFonts w:eastAsia="Times New Roman"/>
                <w:b/>
                <w:bCs/>
                <w:caps/>
                <w:color w:val="auto"/>
                <w:szCs w:val="24"/>
                <w:lang w:eastAsia="fr-FR"/>
              </w:rPr>
              <w:t>PGMO</w:t>
            </w:r>
          </w:p>
        </w:tc>
        <w:tc>
          <w:tcPr>
            <w:tcW w:w="283" w:type="dxa"/>
          </w:tcPr>
          <w:p w14:paraId="6D8BAC3C" w14:textId="77777777" w:rsidR="007A4908" w:rsidRPr="00C801A6" w:rsidRDefault="007A4908" w:rsidP="007A4908">
            <w:pPr>
              <w:spacing w:before="60" w:after="60" w:line="240" w:lineRule="auto"/>
              <w:rPr>
                <w:rFonts w:eastAsia="Times New Roman"/>
                <w:b/>
                <w:bCs/>
                <w:color w:val="auto"/>
                <w:szCs w:val="24"/>
                <w:lang w:eastAsia="fr-FR"/>
              </w:rPr>
            </w:pPr>
          </w:p>
        </w:tc>
        <w:tc>
          <w:tcPr>
            <w:tcW w:w="7441" w:type="dxa"/>
            <w:noWrap/>
          </w:tcPr>
          <w:p w14:paraId="225B5E94" w14:textId="77777777" w:rsidR="007A4908" w:rsidRPr="00C801A6" w:rsidRDefault="007A4908" w:rsidP="007A4908">
            <w:pPr>
              <w:spacing w:before="60" w:after="60" w:line="240" w:lineRule="auto"/>
              <w:rPr>
                <w:rFonts w:eastAsia="Times New Roman"/>
                <w:color w:val="auto"/>
                <w:szCs w:val="24"/>
                <w:lang w:eastAsia="fr-FR"/>
              </w:rPr>
            </w:pPr>
            <w:r w:rsidRPr="00C801A6">
              <w:rPr>
                <w:rFonts w:eastAsia="Times New Roman"/>
                <w:color w:val="auto"/>
                <w:szCs w:val="24"/>
                <w:lang w:eastAsia="fr-FR"/>
              </w:rPr>
              <w:t xml:space="preserve">Procédures de Gestion de la Main d’Œuvre </w:t>
            </w:r>
          </w:p>
        </w:tc>
      </w:tr>
      <w:tr w:rsidR="00C801A6" w:rsidRPr="00C801A6" w14:paraId="68FCD4F5" w14:textId="77777777" w:rsidTr="00437BCA">
        <w:tc>
          <w:tcPr>
            <w:tcW w:w="1488" w:type="dxa"/>
            <w:shd w:val="clear" w:color="auto" w:fill="D9D9D9" w:themeFill="background1" w:themeFillShade="D9"/>
            <w:noWrap/>
            <w:hideMark/>
          </w:tcPr>
          <w:p w14:paraId="0900CD1E" w14:textId="77777777" w:rsidR="007A4908" w:rsidRPr="00C801A6" w:rsidRDefault="007A4908" w:rsidP="00347FDB">
            <w:pPr>
              <w:spacing w:before="60" w:after="60" w:line="240" w:lineRule="auto"/>
              <w:jc w:val="left"/>
              <w:rPr>
                <w:rFonts w:eastAsia="Times New Roman"/>
                <w:b/>
                <w:bCs/>
                <w:caps/>
                <w:color w:val="auto"/>
                <w:szCs w:val="24"/>
                <w:lang w:eastAsia="fr-FR"/>
              </w:rPr>
            </w:pPr>
            <w:r w:rsidRPr="00C801A6">
              <w:rPr>
                <w:rFonts w:eastAsia="Times New Roman"/>
                <w:b/>
                <w:bCs/>
                <w:caps/>
                <w:color w:val="auto"/>
                <w:szCs w:val="24"/>
                <w:lang w:eastAsia="fr-FR"/>
              </w:rPr>
              <w:t>PMPP</w:t>
            </w:r>
          </w:p>
        </w:tc>
        <w:tc>
          <w:tcPr>
            <w:tcW w:w="283" w:type="dxa"/>
          </w:tcPr>
          <w:p w14:paraId="7EC9A0A8" w14:textId="77777777" w:rsidR="007A4908" w:rsidRPr="00C801A6" w:rsidRDefault="007A4908" w:rsidP="00347FDB">
            <w:pPr>
              <w:spacing w:before="60" w:after="60" w:line="240" w:lineRule="auto"/>
              <w:rPr>
                <w:rFonts w:eastAsia="Times New Roman"/>
                <w:b/>
                <w:bCs/>
                <w:color w:val="auto"/>
                <w:szCs w:val="24"/>
                <w:lang w:eastAsia="fr-FR"/>
              </w:rPr>
            </w:pPr>
            <w:r w:rsidRPr="00C801A6">
              <w:rPr>
                <w:rFonts w:eastAsia="Times New Roman"/>
                <w:b/>
                <w:bCs/>
                <w:color w:val="auto"/>
                <w:szCs w:val="24"/>
                <w:lang w:eastAsia="fr-FR"/>
              </w:rPr>
              <w:t>:</w:t>
            </w:r>
          </w:p>
        </w:tc>
        <w:tc>
          <w:tcPr>
            <w:tcW w:w="7441" w:type="dxa"/>
            <w:noWrap/>
            <w:hideMark/>
          </w:tcPr>
          <w:p w14:paraId="1825460B" w14:textId="77777777" w:rsidR="007A4908" w:rsidRPr="00C801A6" w:rsidRDefault="007A4908" w:rsidP="00347FDB">
            <w:pPr>
              <w:spacing w:before="60" w:after="60" w:line="240" w:lineRule="auto"/>
              <w:rPr>
                <w:rFonts w:eastAsia="Times New Roman"/>
                <w:color w:val="auto"/>
                <w:szCs w:val="24"/>
                <w:lang w:eastAsia="fr-FR"/>
              </w:rPr>
            </w:pPr>
            <w:r w:rsidRPr="00C801A6">
              <w:rPr>
                <w:rFonts w:eastAsia="Times New Roman"/>
                <w:color w:val="auto"/>
                <w:szCs w:val="24"/>
                <w:lang w:eastAsia="fr-FR"/>
              </w:rPr>
              <w:t>Plan de Mobilisation des Parties Prenantes</w:t>
            </w:r>
          </w:p>
        </w:tc>
      </w:tr>
      <w:tr w:rsidR="00C801A6" w:rsidRPr="00C801A6" w14:paraId="37AC45E7" w14:textId="77777777" w:rsidTr="00437BCA">
        <w:tc>
          <w:tcPr>
            <w:tcW w:w="1488" w:type="dxa"/>
            <w:shd w:val="clear" w:color="auto" w:fill="D9D9D9" w:themeFill="background1" w:themeFillShade="D9"/>
            <w:noWrap/>
            <w:hideMark/>
          </w:tcPr>
          <w:p w14:paraId="4682A75A" w14:textId="77777777" w:rsidR="007A4908" w:rsidRPr="00C801A6" w:rsidRDefault="007A4908" w:rsidP="00347FDB">
            <w:pPr>
              <w:spacing w:before="60" w:after="60" w:line="240" w:lineRule="auto"/>
              <w:jc w:val="left"/>
              <w:rPr>
                <w:rFonts w:eastAsia="Times New Roman"/>
                <w:b/>
                <w:bCs/>
                <w:caps/>
                <w:color w:val="auto"/>
                <w:szCs w:val="24"/>
                <w:lang w:eastAsia="fr-FR"/>
              </w:rPr>
            </w:pPr>
            <w:r w:rsidRPr="00C801A6">
              <w:rPr>
                <w:rFonts w:eastAsia="Times New Roman"/>
                <w:b/>
                <w:bCs/>
                <w:caps/>
                <w:color w:val="auto"/>
                <w:szCs w:val="24"/>
                <w:lang w:eastAsia="fr-FR"/>
              </w:rPr>
              <w:t>PR</w:t>
            </w:r>
          </w:p>
        </w:tc>
        <w:tc>
          <w:tcPr>
            <w:tcW w:w="283" w:type="dxa"/>
          </w:tcPr>
          <w:p w14:paraId="1D5AF433" w14:textId="77777777" w:rsidR="007A4908" w:rsidRPr="00C801A6" w:rsidRDefault="007A4908" w:rsidP="00347FDB">
            <w:pPr>
              <w:spacing w:before="60" w:after="60" w:line="240" w:lineRule="auto"/>
              <w:rPr>
                <w:rFonts w:eastAsia="Times New Roman"/>
                <w:b/>
                <w:bCs/>
                <w:color w:val="auto"/>
                <w:szCs w:val="24"/>
                <w:lang w:eastAsia="fr-FR"/>
              </w:rPr>
            </w:pPr>
            <w:r w:rsidRPr="00C801A6">
              <w:rPr>
                <w:rFonts w:eastAsia="Times New Roman"/>
                <w:b/>
                <w:bCs/>
                <w:color w:val="auto"/>
                <w:szCs w:val="24"/>
                <w:lang w:eastAsia="fr-FR"/>
              </w:rPr>
              <w:t>:</w:t>
            </w:r>
          </w:p>
        </w:tc>
        <w:tc>
          <w:tcPr>
            <w:tcW w:w="7441" w:type="dxa"/>
            <w:noWrap/>
            <w:hideMark/>
          </w:tcPr>
          <w:p w14:paraId="45570D76" w14:textId="77777777" w:rsidR="007A4908" w:rsidRPr="00C801A6" w:rsidRDefault="007A4908" w:rsidP="00347FDB">
            <w:pPr>
              <w:spacing w:before="60" w:after="60" w:line="240" w:lineRule="auto"/>
              <w:rPr>
                <w:rFonts w:eastAsia="Times New Roman"/>
                <w:color w:val="auto"/>
                <w:lang w:eastAsia="fr-FR"/>
              </w:rPr>
            </w:pPr>
            <w:r w:rsidRPr="00C801A6">
              <w:rPr>
                <w:rFonts w:eastAsia="Times New Roman"/>
                <w:color w:val="auto"/>
                <w:lang w:eastAsia="fr-FR"/>
              </w:rPr>
              <w:t>Plan de Réinstallation</w:t>
            </w:r>
          </w:p>
        </w:tc>
      </w:tr>
      <w:tr w:rsidR="00C801A6" w:rsidRPr="00C801A6" w14:paraId="5EB4E321" w14:textId="77777777" w:rsidTr="00437BCA">
        <w:tc>
          <w:tcPr>
            <w:tcW w:w="1488" w:type="dxa"/>
            <w:shd w:val="clear" w:color="auto" w:fill="D9D9D9" w:themeFill="background1" w:themeFillShade="D9"/>
            <w:noWrap/>
          </w:tcPr>
          <w:p w14:paraId="6702872E" w14:textId="26BA7364" w:rsidR="007A4908" w:rsidRPr="00C801A6" w:rsidRDefault="007A4908" w:rsidP="007A4908">
            <w:pPr>
              <w:spacing w:before="60" w:after="60" w:line="240" w:lineRule="auto"/>
              <w:jc w:val="left"/>
              <w:rPr>
                <w:rFonts w:eastAsia="Times New Roman"/>
                <w:b/>
                <w:bCs/>
                <w:caps/>
                <w:color w:val="auto"/>
                <w:szCs w:val="24"/>
                <w:lang w:eastAsia="fr-FR"/>
              </w:rPr>
            </w:pPr>
            <w:r w:rsidRPr="00C801A6">
              <w:rPr>
                <w:rFonts w:eastAsia="Times New Roman"/>
                <w:b/>
                <w:bCs/>
                <w:caps/>
                <w:color w:val="auto"/>
                <w:szCs w:val="24"/>
                <w:lang w:eastAsia="fr-FR"/>
              </w:rPr>
              <w:t>PREE</w:t>
            </w:r>
            <w:r w:rsidR="00856276">
              <w:rPr>
                <w:rFonts w:eastAsia="Times New Roman"/>
                <w:b/>
                <w:bCs/>
                <w:caps/>
                <w:color w:val="auto"/>
                <w:szCs w:val="24"/>
                <w:lang w:eastAsia="fr-FR"/>
              </w:rPr>
              <w:t>S</w:t>
            </w:r>
          </w:p>
        </w:tc>
        <w:tc>
          <w:tcPr>
            <w:tcW w:w="283" w:type="dxa"/>
          </w:tcPr>
          <w:p w14:paraId="6708EEDD" w14:textId="77777777" w:rsidR="007A4908" w:rsidRPr="00C801A6" w:rsidRDefault="007A4908" w:rsidP="007A4908">
            <w:pPr>
              <w:spacing w:before="60" w:after="60" w:line="240" w:lineRule="auto"/>
              <w:rPr>
                <w:rFonts w:eastAsia="Times New Roman"/>
                <w:b/>
                <w:bCs/>
                <w:color w:val="auto"/>
                <w:szCs w:val="24"/>
                <w:lang w:eastAsia="fr-FR"/>
              </w:rPr>
            </w:pPr>
            <w:r w:rsidRPr="00C801A6">
              <w:rPr>
                <w:rFonts w:eastAsia="Times New Roman"/>
                <w:b/>
                <w:bCs/>
                <w:color w:val="auto"/>
                <w:szCs w:val="24"/>
                <w:lang w:eastAsia="fr-FR"/>
              </w:rPr>
              <w:t>:</w:t>
            </w:r>
          </w:p>
        </w:tc>
        <w:tc>
          <w:tcPr>
            <w:tcW w:w="7441" w:type="dxa"/>
            <w:noWrap/>
          </w:tcPr>
          <w:p w14:paraId="5CC0777D" w14:textId="1772392B" w:rsidR="007A4908" w:rsidRPr="00C801A6" w:rsidRDefault="007A4908" w:rsidP="007A4908">
            <w:pPr>
              <w:spacing w:before="60" w:after="60" w:line="240" w:lineRule="auto"/>
              <w:rPr>
                <w:rFonts w:eastAsia="Times New Roman"/>
                <w:color w:val="auto"/>
                <w:lang w:eastAsia="fr-FR"/>
              </w:rPr>
            </w:pPr>
            <w:r w:rsidRPr="00C801A6">
              <w:rPr>
                <w:rFonts w:eastAsia="Times New Roman"/>
                <w:color w:val="auto"/>
                <w:lang w:eastAsia="fr-FR"/>
              </w:rPr>
              <w:t>Programme d’Engagement Environnemental</w:t>
            </w:r>
            <w:r w:rsidR="00856276">
              <w:rPr>
                <w:rFonts w:eastAsia="Times New Roman"/>
                <w:color w:val="auto"/>
                <w:lang w:eastAsia="fr-FR"/>
              </w:rPr>
              <w:t xml:space="preserve"> et Social</w:t>
            </w:r>
          </w:p>
        </w:tc>
      </w:tr>
      <w:tr w:rsidR="00C801A6" w:rsidRPr="00C801A6" w14:paraId="57BFC1EB" w14:textId="77777777" w:rsidTr="00437BCA">
        <w:tc>
          <w:tcPr>
            <w:tcW w:w="1488" w:type="dxa"/>
            <w:shd w:val="clear" w:color="auto" w:fill="D9D9D9" w:themeFill="background1" w:themeFillShade="D9"/>
            <w:noWrap/>
          </w:tcPr>
          <w:p w14:paraId="772B4BBA" w14:textId="77777777" w:rsidR="007A4908" w:rsidRPr="00C801A6" w:rsidRDefault="007A4908" w:rsidP="00347FDB">
            <w:pPr>
              <w:spacing w:before="60" w:after="60" w:line="240" w:lineRule="auto"/>
              <w:jc w:val="left"/>
              <w:rPr>
                <w:rFonts w:eastAsia="Times New Roman"/>
                <w:b/>
                <w:bCs/>
                <w:caps/>
                <w:color w:val="auto"/>
                <w:szCs w:val="24"/>
                <w:lang w:eastAsia="fr-FR"/>
              </w:rPr>
            </w:pPr>
            <w:r w:rsidRPr="00C801A6">
              <w:rPr>
                <w:rFonts w:eastAsia="Times New Roman"/>
                <w:b/>
                <w:bCs/>
                <w:caps/>
                <w:color w:val="auto"/>
                <w:szCs w:val="24"/>
                <w:lang w:eastAsia="fr-FR"/>
              </w:rPr>
              <w:t>pta</w:t>
            </w:r>
          </w:p>
        </w:tc>
        <w:tc>
          <w:tcPr>
            <w:tcW w:w="283" w:type="dxa"/>
          </w:tcPr>
          <w:p w14:paraId="530512A2" w14:textId="77777777" w:rsidR="007A4908" w:rsidRPr="00C801A6" w:rsidRDefault="007A4908" w:rsidP="00347FDB">
            <w:pPr>
              <w:spacing w:before="60" w:after="60" w:line="240" w:lineRule="auto"/>
              <w:rPr>
                <w:rFonts w:eastAsia="Times New Roman"/>
                <w:b/>
                <w:bCs/>
                <w:color w:val="auto"/>
                <w:szCs w:val="24"/>
                <w:lang w:eastAsia="fr-FR"/>
              </w:rPr>
            </w:pPr>
            <w:r w:rsidRPr="00C801A6">
              <w:rPr>
                <w:rFonts w:eastAsia="Times New Roman"/>
                <w:b/>
                <w:bCs/>
                <w:color w:val="auto"/>
                <w:szCs w:val="24"/>
                <w:lang w:eastAsia="fr-FR"/>
              </w:rPr>
              <w:t>:</w:t>
            </w:r>
          </w:p>
        </w:tc>
        <w:tc>
          <w:tcPr>
            <w:tcW w:w="7441" w:type="dxa"/>
            <w:noWrap/>
          </w:tcPr>
          <w:p w14:paraId="04A8B8A2" w14:textId="77777777" w:rsidR="007A4908" w:rsidRPr="00C801A6" w:rsidRDefault="007A4908" w:rsidP="00347FDB">
            <w:pPr>
              <w:spacing w:before="60" w:after="60" w:line="240" w:lineRule="auto"/>
              <w:rPr>
                <w:rFonts w:eastAsia="Times New Roman"/>
                <w:color w:val="auto"/>
                <w:szCs w:val="24"/>
                <w:lang w:eastAsia="fr-FR"/>
              </w:rPr>
            </w:pPr>
            <w:r w:rsidRPr="00C801A6">
              <w:rPr>
                <w:rFonts w:eastAsia="Times New Roman"/>
                <w:color w:val="auto"/>
                <w:szCs w:val="24"/>
                <w:lang w:eastAsia="fr-FR"/>
              </w:rPr>
              <w:t>Plan de travail annuel</w:t>
            </w:r>
          </w:p>
        </w:tc>
      </w:tr>
      <w:tr w:rsidR="00C801A6" w:rsidRPr="00C801A6" w14:paraId="1A7C5336" w14:textId="77777777" w:rsidTr="00437BCA">
        <w:tc>
          <w:tcPr>
            <w:tcW w:w="1488" w:type="dxa"/>
            <w:shd w:val="clear" w:color="auto" w:fill="D9D9D9" w:themeFill="background1" w:themeFillShade="D9"/>
            <w:noWrap/>
          </w:tcPr>
          <w:p w14:paraId="727F2E82" w14:textId="77777777" w:rsidR="007A4908" w:rsidRPr="00C801A6" w:rsidRDefault="007A4908" w:rsidP="007A4908">
            <w:pPr>
              <w:spacing w:before="60" w:after="60" w:line="240" w:lineRule="auto"/>
              <w:jc w:val="left"/>
              <w:rPr>
                <w:rFonts w:eastAsia="Times New Roman"/>
                <w:b/>
                <w:bCs/>
                <w:caps/>
                <w:color w:val="auto"/>
                <w:szCs w:val="24"/>
                <w:lang w:eastAsia="fr-FR"/>
              </w:rPr>
            </w:pPr>
            <w:r w:rsidRPr="00C801A6">
              <w:rPr>
                <w:rFonts w:eastAsia="Times New Roman"/>
                <w:b/>
                <w:bCs/>
                <w:caps/>
                <w:color w:val="auto"/>
                <w:szCs w:val="24"/>
                <w:lang w:eastAsia="fr-FR"/>
              </w:rPr>
              <w:t>rn</w:t>
            </w:r>
          </w:p>
        </w:tc>
        <w:tc>
          <w:tcPr>
            <w:tcW w:w="283" w:type="dxa"/>
          </w:tcPr>
          <w:p w14:paraId="14281EC6" w14:textId="77777777" w:rsidR="007A4908" w:rsidRPr="00C801A6" w:rsidRDefault="007A4908" w:rsidP="007A4908">
            <w:pPr>
              <w:spacing w:before="60" w:after="60" w:line="240" w:lineRule="auto"/>
              <w:rPr>
                <w:rFonts w:eastAsia="Times New Roman"/>
                <w:b/>
                <w:bCs/>
                <w:color w:val="auto"/>
                <w:szCs w:val="24"/>
                <w:lang w:eastAsia="fr-FR"/>
              </w:rPr>
            </w:pPr>
            <w:r w:rsidRPr="00C801A6">
              <w:rPr>
                <w:rFonts w:eastAsia="Times New Roman"/>
                <w:b/>
                <w:bCs/>
                <w:color w:val="auto"/>
                <w:szCs w:val="24"/>
                <w:lang w:eastAsia="fr-FR"/>
              </w:rPr>
              <w:t>:</w:t>
            </w:r>
          </w:p>
        </w:tc>
        <w:tc>
          <w:tcPr>
            <w:tcW w:w="7441" w:type="dxa"/>
            <w:noWrap/>
          </w:tcPr>
          <w:p w14:paraId="62315AFC" w14:textId="77777777" w:rsidR="007A4908" w:rsidRPr="00C801A6" w:rsidRDefault="007A4908" w:rsidP="007A4908">
            <w:pPr>
              <w:spacing w:before="60" w:after="60" w:line="240" w:lineRule="auto"/>
              <w:rPr>
                <w:rFonts w:eastAsia="Times New Roman"/>
                <w:color w:val="auto"/>
                <w:szCs w:val="24"/>
                <w:lang w:eastAsia="fr-FR"/>
              </w:rPr>
            </w:pPr>
            <w:r w:rsidRPr="00C801A6">
              <w:rPr>
                <w:rFonts w:eastAsia="Times New Roman"/>
                <w:color w:val="auto"/>
                <w:szCs w:val="24"/>
                <w:lang w:eastAsia="fr-FR"/>
              </w:rPr>
              <w:t>Route Nationale</w:t>
            </w:r>
          </w:p>
        </w:tc>
      </w:tr>
      <w:tr w:rsidR="00C801A6" w:rsidRPr="00C801A6" w14:paraId="3B899B39" w14:textId="77777777" w:rsidTr="00437BCA">
        <w:tc>
          <w:tcPr>
            <w:tcW w:w="1488" w:type="dxa"/>
            <w:shd w:val="clear" w:color="auto" w:fill="D9D9D9" w:themeFill="background1" w:themeFillShade="D9"/>
            <w:noWrap/>
          </w:tcPr>
          <w:p w14:paraId="128AEC78" w14:textId="77777777" w:rsidR="007A4908" w:rsidRPr="00C801A6" w:rsidRDefault="007A4908" w:rsidP="00347FDB">
            <w:pPr>
              <w:spacing w:before="60" w:after="60" w:line="240" w:lineRule="auto"/>
              <w:jc w:val="left"/>
              <w:rPr>
                <w:rFonts w:eastAsia="Times New Roman"/>
                <w:b/>
                <w:bCs/>
                <w:caps/>
                <w:color w:val="auto"/>
                <w:szCs w:val="24"/>
                <w:lang w:eastAsia="fr-FR"/>
              </w:rPr>
            </w:pPr>
            <w:r w:rsidRPr="00C801A6">
              <w:rPr>
                <w:rFonts w:eastAsia="Times New Roman"/>
                <w:b/>
                <w:bCs/>
                <w:caps/>
                <w:color w:val="auto"/>
                <w:szCs w:val="24"/>
                <w:lang w:eastAsia="fr-FR"/>
              </w:rPr>
              <w:t>rnp</w:t>
            </w:r>
          </w:p>
        </w:tc>
        <w:tc>
          <w:tcPr>
            <w:tcW w:w="283" w:type="dxa"/>
          </w:tcPr>
          <w:p w14:paraId="769E661F" w14:textId="77777777" w:rsidR="007A4908" w:rsidRPr="00C801A6" w:rsidRDefault="007A4908" w:rsidP="00347FDB">
            <w:pPr>
              <w:spacing w:before="60" w:after="60" w:line="240" w:lineRule="auto"/>
              <w:rPr>
                <w:rFonts w:eastAsia="Times New Roman"/>
                <w:b/>
                <w:bCs/>
                <w:color w:val="auto"/>
                <w:szCs w:val="24"/>
                <w:lang w:eastAsia="fr-FR"/>
              </w:rPr>
            </w:pPr>
            <w:r w:rsidRPr="00C801A6">
              <w:rPr>
                <w:rFonts w:eastAsia="Times New Roman"/>
                <w:b/>
                <w:bCs/>
                <w:color w:val="auto"/>
                <w:szCs w:val="24"/>
                <w:lang w:eastAsia="fr-FR"/>
              </w:rPr>
              <w:t>:</w:t>
            </w:r>
          </w:p>
        </w:tc>
        <w:tc>
          <w:tcPr>
            <w:tcW w:w="7441" w:type="dxa"/>
            <w:noWrap/>
          </w:tcPr>
          <w:p w14:paraId="35C0ABBF" w14:textId="77777777" w:rsidR="007A4908" w:rsidRPr="00C801A6" w:rsidRDefault="007A4908" w:rsidP="00347FDB">
            <w:pPr>
              <w:spacing w:before="60" w:after="60" w:line="240" w:lineRule="auto"/>
              <w:rPr>
                <w:rFonts w:eastAsia="Times New Roman"/>
                <w:color w:val="auto"/>
                <w:szCs w:val="24"/>
                <w:lang w:eastAsia="fr-FR"/>
              </w:rPr>
            </w:pPr>
            <w:r w:rsidRPr="00C801A6">
              <w:rPr>
                <w:rFonts w:eastAsia="Times New Roman"/>
                <w:color w:val="auto"/>
                <w:szCs w:val="24"/>
                <w:lang w:eastAsia="fr-FR"/>
              </w:rPr>
              <w:t>Route Nationale Primaire</w:t>
            </w:r>
          </w:p>
        </w:tc>
      </w:tr>
      <w:tr w:rsidR="00C801A6" w:rsidRPr="00C801A6" w14:paraId="354A92CF" w14:textId="77777777" w:rsidTr="00437BCA">
        <w:tc>
          <w:tcPr>
            <w:tcW w:w="1488" w:type="dxa"/>
            <w:shd w:val="clear" w:color="auto" w:fill="D9D9D9" w:themeFill="background1" w:themeFillShade="D9"/>
            <w:noWrap/>
          </w:tcPr>
          <w:p w14:paraId="2914B592" w14:textId="77777777" w:rsidR="007A4908" w:rsidRPr="00C801A6" w:rsidRDefault="007A4908" w:rsidP="007A4908">
            <w:pPr>
              <w:spacing w:before="60" w:after="60" w:line="240" w:lineRule="auto"/>
              <w:jc w:val="left"/>
              <w:rPr>
                <w:rFonts w:eastAsia="Times New Roman"/>
                <w:b/>
                <w:bCs/>
                <w:caps/>
                <w:color w:val="auto"/>
                <w:szCs w:val="24"/>
                <w:lang w:eastAsia="fr-FR"/>
              </w:rPr>
            </w:pPr>
            <w:r w:rsidRPr="00C801A6">
              <w:rPr>
                <w:rFonts w:eastAsia="Times New Roman"/>
                <w:b/>
                <w:bCs/>
                <w:caps/>
                <w:color w:val="auto"/>
                <w:szCs w:val="24"/>
                <w:lang w:eastAsia="fr-FR"/>
              </w:rPr>
              <w:t>rns</w:t>
            </w:r>
          </w:p>
        </w:tc>
        <w:tc>
          <w:tcPr>
            <w:tcW w:w="283" w:type="dxa"/>
          </w:tcPr>
          <w:p w14:paraId="1A86700B" w14:textId="77777777" w:rsidR="007A4908" w:rsidRPr="00C801A6" w:rsidRDefault="007A4908" w:rsidP="007A4908">
            <w:pPr>
              <w:spacing w:before="60" w:after="60" w:line="240" w:lineRule="auto"/>
              <w:rPr>
                <w:rFonts w:eastAsia="Times New Roman"/>
                <w:b/>
                <w:bCs/>
                <w:color w:val="auto"/>
                <w:szCs w:val="24"/>
                <w:lang w:eastAsia="fr-FR"/>
              </w:rPr>
            </w:pPr>
            <w:r w:rsidRPr="00C801A6">
              <w:rPr>
                <w:rFonts w:eastAsia="Times New Roman"/>
                <w:b/>
                <w:bCs/>
                <w:color w:val="auto"/>
                <w:szCs w:val="24"/>
                <w:lang w:eastAsia="fr-FR"/>
              </w:rPr>
              <w:t>:</w:t>
            </w:r>
          </w:p>
        </w:tc>
        <w:tc>
          <w:tcPr>
            <w:tcW w:w="7441" w:type="dxa"/>
            <w:noWrap/>
          </w:tcPr>
          <w:p w14:paraId="32850CD8" w14:textId="77777777" w:rsidR="007A4908" w:rsidRPr="00C801A6" w:rsidRDefault="007A4908" w:rsidP="007A4908">
            <w:pPr>
              <w:spacing w:before="60" w:after="60" w:line="240" w:lineRule="auto"/>
              <w:rPr>
                <w:rFonts w:eastAsia="Times New Roman"/>
                <w:color w:val="auto"/>
                <w:szCs w:val="24"/>
                <w:lang w:eastAsia="fr-FR"/>
              </w:rPr>
            </w:pPr>
            <w:r w:rsidRPr="00C801A6">
              <w:rPr>
                <w:rFonts w:eastAsia="Times New Roman"/>
                <w:color w:val="auto"/>
                <w:szCs w:val="24"/>
                <w:lang w:eastAsia="fr-FR"/>
              </w:rPr>
              <w:t>Route Nationale Secondaire</w:t>
            </w:r>
          </w:p>
        </w:tc>
      </w:tr>
      <w:tr w:rsidR="00C801A6" w:rsidRPr="00C801A6" w14:paraId="441177DC" w14:textId="77777777" w:rsidTr="00437BCA">
        <w:tc>
          <w:tcPr>
            <w:tcW w:w="1488" w:type="dxa"/>
            <w:shd w:val="clear" w:color="auto" w:fill="D9D9D9" w:themeFill="background1" w:themeFillShade="D9"/>
            <w:noWrap/>
          </w:tcPr>
          <w:p w14:paraId="6010ADBD" w14:textId="77777777" w:rsidR="007A4908" w:rsidRPr="00C801A6" w:rsidRDefault="007A4908" w:rsidP="00347FDB">
            <w:pPr>
              <w:spacing w:before="60" w:after="60" w:line="240" w:lineRule="auto"/>
              <w:jc w:val="left"/>
              <w:rPr>
                <w:rFonts w:eastAsia="Times New Roman"/>
                <w:b/>
                <w:bCs/>
                <w:caps/>
                <w:color w:val="auto"/>
                <w:szCs w:val="24"/>
                <w:lang w:eastAsia="fr-FR"/>
              </w:rPr>
            </w:pPr>
            <w:r w:rsidRPr="00C801A6">
              <w:rPr>
                <w:rFonts w:eastAsia="Times New Roman"/>
                <w:b/>
                <w:bCs/>
                <w:caps/>
                <w:color w:val="auto"/>
                <w:szCs w:val="24"/>
                <w:lang w:eastAsia="fr-FR"/>
              </w:rPr>
              <w:t>rnt</w:t>
            </w:r>
          </w:p>
        </w:tc>
        <w:tc>
          <w:tcPr>
            <w:tcW w:w="283" w:type="dxa"/>
          </w:tcPr>
          <w:p w14:paraId="7AE6281D" w14:textId="77777777" w:rsidR="007A4908" w:rsidRPr="00C801A6" w:rsidRDefault="007A4908" w:rsidP="00347FDB">
            <w:pPr>
              <w:spacing w:before="60" w:after="60" w:line="240" w:lineRule="auto"/>
              <w:rPr>
                <w:rFonts w:eastAsia="Times New Roman"/>
                <w:b/>
                <w:bCs/>
                <w:color w:val="auto"/>
                <w:szCs w:val="24"/>
                <w:lang w:eastAsia="fr-FR"/>
              </w:rPr>
            </w:pPr>
            <w:r w:rsidRPr="00C801A6">
              <w:rPr>
                <w:rFonts w:eastAsia="Times New Roman"/>
                <w:b/>
                <w:bCs/>
                <w:color w:val="auto"/>
                <w:szCs w:val="24"/>
                <w:lang w:eastAsia="fr-FR"/>
              </w:rPr>
              <w:t>:</w:t>
            </w:r>
          </w:p>
        </w:tc>
        <w:tc>
          <w:tcPr>
            <w:tcW w:w="7441" w:type="dxa"/>
            <w:noWrap/>
          </w:tcPr>
          <w:p w14:paraId="6A9DD56C" w14:textId="77777777" w:rsidR="007A4908" w:rsidRPr="00C801A6" w:rsidRDefault="007A4908" w:rsidP="00347FDB">
            <w:pPr>
              <w:spacing w:before="60" w:after="60" w:line="240" w:lineRule="auto"/>
              <w:rPr>
                <w:rFonts w:eastAsia="Times New Roman"/>
                <w:color w:val="auto"/>
                <w:szCs w:val="24"/>
                <w:lang w:eastAsia="fr-FR"/>
              </w:rPr>
            </w:pPr>
            <w:r w:rsidRPr="00C801A6">
              <w:rPr>
                <w:rFonts w:eastAsia="Times New Roman"/>
                <w:color w:val="auto"/>
                <w:szCs w:val="24"/>
                <w:lang w:eastAsia="fr-FR"/>
              </w:rPr>
              <w:t>Route Nationale Temporaire</w:t>
            </w:r>
          </w:p>
        </w:tc>
      </w:tr>
      <w:tr w:rsidR="00C801A6" w:rsidRPr="00C801A6" w14:paraId="0BB738FB" w14:textId="77777777" w:rsidTr="00437BCA">
        <w:tc>
          <w:tcPr>
            <w:tcW w:w="1488" w:type="dxa"/>
            <w:shd w:val="clear" w:color="auto" w:fill="D9D9D9" w:themeFill="background1" w:themeFillShade="D9"/>
            <w:noWrap/>
            <w:hideMark/>
          </w:tcPr>
          <w:p w14:paraId="6D3014C7" w14:textId="77777777" w:rsidR="007A4908" w:rsidRPr="00C801A6" w:rsidRDefault="007A4908" w:rsidP="00347FDB">
            <w:pPr>
              <w:spacing w:before="60" w:after="60" w:line="240" w:lineRule="auto"/>
              <w:jc w:val="left"/>
              <w:rPr>
                <w:rFonts w:eastAsia="Times New Roman"/>
                <w:b/>
                <w:bCs/>
                <w:caps/>
                <w:color w:val="auto"/>
                <w:szCs w:val="24"/>
                <w:lang w:eastAsia="fr-FR"/>
              </w:rPr>
            </w:pPr>
            <w:r w:rsidRPr="00C801A6">
              <w:rPr>
                <w:rFonts w:eastAsia="Times New Roman"/>
                <w:b/>
                <w:bCs/>
                <w:caps/>
                <w:color w:val="auto"/>
                <w:szCs w:val="24"/>
                <w:lang w:eastAsia="fr-FR"/>
              </w:rPr>
              <w:t>SLC</w:t>
            </w:r>
          </w:p>
        </w:tc>
        <w:tc>
          <w:tcPr>
            <w:tcW w:w="283" w:type="dxa"/>
          </w:tcPr>
          <w:p w14:paraId="6899F8AC" w14:textId="77777777" w:rsidR="007A4908" w:rsidRPr="00C801A6" w:rsidRDefault="007A4908" w:rsidP="00347FDB">
            <w:pPr>
              <w:spacing w:before="60" w:after="60" w:line="240" w:lineRule="auto"/>
              <w:rPr>
                <w:rFonts w:eastAsia="Times New Roman"/>
                <w:b/>
                <w:bCs/>
                <w:color w:val="auto"/>
                <w:szCs w:val="24"/>
                <w:lang w:eastAsia="fr-FR"/>
              </w:rPr>
            </w:pPr>
            <w:r w:rsidRPr="00C801A6">
              <w:rPr>
                <w:rFonts w:eastAsia="Times New Roman"/>
                <w:b/>
                <w:bCs/>
                <w:color w:val="auto"/>
                <w:szCs w:val="24"/>
                <w:lang w:eastAsia="fr-FR"/>
              </w:rPr>
              <w:t>:</w:t>
            </w:r>
          </w:p>
        </w:tc>
        <w:tc>
          <w:tcPr>
            <w:tcW w:w="7441" w:type="dxa"/>
            <w:noWrap/>
            <w:hideMark/>
          </w:tcPr>
          <w:p w14:paraId="75E5CB5A" w14:textId="77777777" w:rsidR="007A4908" w:rsidRPr="00C801A6" w:rsidRDefault="007A4908" w:rsidP="00347FDB">
            <w:pPr>
              <w:spacing w:before="60" w:after="60" w:line="240" w:lineRule="auto"/>
              <w:rPr>
                <w:rFonts w:eastAsia="Times New Roman"/>
                <w:color w:val="auto"/>
                <w:szCs w:val="24"/>
                <w:lang w:eastAsia="fr-FR"/>
              </w:rPr>
            </w:pPr>
            <w:r w:rsidRPr="00C801A6">
              <w:rPr>
                <w:rFonts w:eastAsia="Times New Roman"/>
                <w:color w:val="auto"/>
                <w:szCs w:val="24"/>
                <w:lang w:eastAsia="fr-FR"/>
              </w:rPr>
              <w:t>Structure Locale de Concertation</w:t>
            </w:r>
          </w:p>
        </w:tc>
      </w:tr>
      <w:tr w:rsidR="00C801A6" w:rsidRPr="00C801A6" w14:paraId="0CDAA999" w14:textId="77777777" w:rsidTr="00437BCA">
        <w:tc>
          <w:tcPr>
            <w:tcW w:w="1488" w:type="dxa"/>
            <w:shd w:val="clear" w:color="auto" w:fill="D9D9D9" w:themeFill="background1" w:themeFillShade="D9"/>
            <w:noWrap/>
            <w:hideMark/>
          </w:tcPr>
          <w:p w14:paraId="12F06A9D" w14:textId="77777777" w:rsidR="007A4908" w:rsidRPr="00C801A6" w:rsidRDefault="007A4908" w:rsidP="00347FDB">
            <w:pPr>
              <w:spacing w:before="60" w:after="60" w:line="240" w:lineRule="auto"/>
              <w:jc w:val="left"/>
              <w:rPr>
                <w:rFonts w:eastAsia="Times New Roman"/>
                <w:b/>
                <w:bCs/>
                <w:caps/>
                <w:color w:val="auto"/>
                <w:szCs w:val="24"/>
                <w:lang w:eastAsia="fr-FR"/>
              </w:rPr>
            </w:pPr>
            <w:r w:rsidRPr="00C801A6">
              <w:rPr>
                <w:rFonts w:eastAsia="Times New Roman"/>
                <w:b/>
                <w:bCs/>
                <w:caps/>
                <w:color w:val="auto"/>
                <w:szCs w:val="24"/>
                <w:lang w:eastAsia="fr-FR"/>
              </w:rPr>
              <w:t>STD</w:t>
            </w:r>
          </w:p>
        </w:tc>
        <w:tc>
          <w:tcPr>
            <w:tcW w:w="283" w:type="dxa"/>
          </w:tcPr>
          <w:p w14:paraId="2C36C9A0" w14:textId="77777777" w:rsidR="007A4908" w:rsidRPr="00C801A6" w:rsidRDefault="007A4908" w:rsidP="00347FDB">
            <w:pPr>
              <w:spacing w:before="60" w:after="60" w:line="240" w:lineRule="auto"/>
              <w:rPr>
                <w:rFonts w:eastAsia="Times New Roman"/>
                <w:b/>
                <w:bCs/>
                <w:color w:val="auto"/>
                <w:szCs w:val="24"/>
                <w:lang w:eastAsia="fr-FR"/>
              </w:rPr>
            </w:pPr>
            <w:r w:rsidRPr="00C801A6">
              <w:rPr>
                <w:rFonts w:eastAsia="Times New Roman"/>
                <w:b/>
                <w:bCs/>
                <w:color w:val="auto"/>
                <w:szCs w:val="24"/>
                <w:lang w:eastAsia="fr-FR"/>
              </w:rPr>
              <w:t>:</w:t>
            </w:r>
          </w:p>
        </w:tc>
        <w:tc>
          <w:tcPr>
            <w:tcW w:w="7441" w:type="dxa"/>
            <w:noWrap/>
            <w:hideMark/>
          </w:tcPr>
          <w:p w14:paraId="4CE1C8A1" w14:textId="77777777" w:rsidR="007A4908" w:rsidRPr="00C801A6" w:rsidRDefault="007A4908" w:rsidP="00347FDB">
            <w:pPr>
              <w:spacing w:before="60" w:after="60" w:line="240" w:lineRule="auto"/>
              <w:rPr>
                <w:rFonts w:eastAsia="Times New Roman"/>
                <w:color w:val="auto"/>
                <w:szCs w:val="24"/>
                <w:lang w:eastAsia="fr-FR"/>
              </w:rPr>
            </w:pPr>
            <w:r w:rsidRPr="00C801A6">
              <w:rPr>
                <w:rFonts w:eastAsia="Times New Roman"/>
                <w:color w:val="auto"/>
                <w:szCs w:val="24"/>
                <w:lang w:eastAsia="fr-FR"/>
              </w:rPr>
              <w:t>Services Techniques Déconcentrés</w:t>
            </w:r>
          </w:p>
        </w:tc>
      </w:tr>
      <w:tr w:rsidR="00C801A6" w:rsidRPr="00C801A6" w14:paraId="188D8D43" w14:textId="77777777" w:rsidTr="00437BCA">
        <w:tc>
          <w:tcPr>
            <w:tcW w:w="1488" w:type="dxa"/>
            <w:shd w:val="clear" w:color="auto" w:fill="D9D9D9" w:themeFill="background1" w:themeFillShade="D9"/>
            <w:noWrap/>
            <w:hideMark/>
          </w:tcPr>
          <w:p w14:paraId="5856467D" w14:textId="6EA24601" w:rsidR="007A4908" w:rsidRPr="00C801A6" w:rsidRDefault="007A4908" w:rsidP="00347FDB">
            <w:pPr>
              <w:spacing w:before="60" w:after="60" w:line="240" w:lineRule="auto"/>
              <w:jc w:val="left"/>
              <w:rPr>
                <w:rFonts w:eastAsia="Times New Roman"/>
                <w:b/>
                <w:bCs/>
                <w:caps/>
                <w:color w:val="auto"/>
                <w:szCs w:val="24"/>
                <w:lang w:eastAsia="fr-FR"/>
              </w:rPr>
            </w:pPr>
            <w:r w:rsidRPr="00C801A6">
              <w:rPr>
                <w:rFonts w:eastAsia="Times New Roman"/>
                <w:b/>
                <w:bCs/>
                <w:caps/>
                <w:color w:val="auto"/>
                <w:szCs w:val="24"/>
                <w:lang w:eastAsia="fr-FR"/>
              </w:rPr>
              <w:t>U</w:t>
            </w:r>
            <w:r w:rsidR="0017750A">
              <w:rPr>
                <w:rFonts w:eastAsia="Times New Roman"/>
                <w:b/>
                <w:bCs/>
                <w:caps/>
                <w:color w:val="auto"/>
                <w:szCs w:val="24"/>
                <w:lang w:eastAsia="fr-FR"/>
              </w:rPr>
              <w:t>C</w:t>
            </w:r>
            <w:r w:rsidRPr="00C801A6">
              <w:rPr>
                <w:rFonts w:eastAsia="Times New Roman"/>
                <w:b/>
                <w:bCs/>
                <w:caps/>
                <w:color w:val="auto"/>
                <w:szCs w:val="24"/>
                <w:lang w:eastAsia="fr-FR"/>
              </w:rPr>
              <w:t>P</w:t>
            </w:r>
          </w:p>
        </w:tc>
        <w:tc>
          <w:tcPr>
            <w:tcW w:w="283" w:type="dxa"/>
          </w:tcPr>
          <w:p w14:paraId="00DB1709" w14:textId="77777777" w:rsidR="007A4908" w:rsidRPr="00C801A6" w:rsidRDefault="007A4908" w:rsidP="00347FDB">
            <w:pPr>
              <w:spacing w:before="60" w:after="60" w:line="240" w:lineRule="auto"/>
              <w:rPr>
                <w:rFonts w:eastAsia="Times New Roman"/>
                <w:b/>
                <w:bCs/>
                <w:color w:val="auto"/>
                <w:szCs w:val="24"/>
                <w:lang w:eastAsia="fr-FR"/>
              </w:rPr>
            </w:pPr>
            <w:r w:rsidRPr="00C801A6">
              <w:rPr>
                <w:rFonts w:eastAsia="Times New Roman"/>
                <w:b/>
                <w:bCs/>
                <w:color w:val="auto"/>
                <w:szCs w:val="24"/>
                <w:lang w:eastAsia="fr-FR"/>
              </w:rPr>
              <w:t>:</w:t>
            </w:r>
          </w:p>
        </w:tc>
        <w:tc>
          <w:tcPr>
            <w:tcW w:w="7441" w:type="dxa"/>
            <w:noWrap/>
            <w:hideMark/>
          </w:tcPr>
          <w:p w14:paraId="700F5DC7" w14:textId="53073FA3" w:rsidR="007A4908" w:rsidRPr="00C801A6" w:rsidRDefault="007A4908" w:rsidP="00347FDB">
            <w:pPr>
              <w:spacing w:before="60" w:after="60" w:line="240" w:lineRule="auto"/>
              <w:rPr>
                <w:rFonts w:eastAsia="Times New Roman"/>
                <w:color w:val="auto"/>
                <w:szCs w:val="24"/>
                <w:lang w:eastAsia="fr-FR"/>
              </w:rPr>
            </w:pPr>
            <w:r w:rsidRPr="00C801A6">
              <w:rPr>
                <w:rFonts w:eastAsia="Times New Roman"/>
                <w:color w:val="auto"/>
                <w:szCs w:val="24"/>
                <w:lang w:eastAsia="fr-FR"/>
              </w:rPr>
              <w:t xml:space="preserve">Unité de </w:t>
            </w:r>
            <w:r w:rsidR="0017750A">
              <w:rPr>
                <w:rFonts w:eastAsia="Times New Roman"/>
                <w:color w:val="auto"/>
                <w:szCs w:val="24"/>
                <w:lang w:eastAsia="fr-FR"/>
              </w:rPr>
              <w:t>Coordination</w:t>
            </w:r>
            <w:r w:rsidRPr="00C801A6">
              <w:rPr>
                <w:rFonts w:eastAsia="Times New Roman"/>
                <w:color w:val="auto"/>
                <w:szCs w:val="24"/>
                <w:lang w:eastAsia="fr-FR"/>
              </w:rPr>
              <w:t xml:space="preserve"> du Projet</w:t>
            </w:r>
          </w:p>
        </w:tc>
      </w:tr>
      <w:tr w:rsidR="00C801A6" w:rsidRPr="00C801A6" w14:paraId="733AB835" w14:textId="77777777" w:rsidTr="00437BCA">
        <w:tc>
          <w:tcPr>
            <w:tcW w:w="1488" w:type="dxa"/>
            <w:shd w:val="clear" w:color="auto" w:fill="D9D9D9" w:themeFill="background1" w:themeFillShade="D9"/>
            <w:noWrap/>
            <w:hideMark/>
          </w:tcPr>
          <w:p w14:paraId="77690A05" w14:textId="77777777" w:rsidR="007A4908" w:rsidRPr="00C801A6" w:rsidRDefault="007A4908" w:rsidP="00347FDB">
            <w:pPr>
              <w:spacing w:before="60" w:after="60" w:line="240" w:lineRule="auto"/>
              <w:jc w:val="left"/>
              <w:rPr>
                <w:rFonts w:eastAsia="Times New Roman"/>
                <w:b/>
                <w:bCs/>
                <w:caps/>
                <w:color w:val="auto"/>
                <w:szCs w:val="24"/>
                <w:lang w:eastAsia="fr-FR"/>
              </w:rPr>
            </w:pPr>
            <w:r w:rsidRPr="00C801A6">
              <w:rPr>
                <w:rFonts w:eastAsia="Times New Roman"/>
                <w:b/>
                <w:bCs/>
                <w:caps/>
                <w:color w:val="auto"/>
                <w:szCs w:val="24"/>
                <w:lang w:eastAsia="fr-FR"/>
              </w:rPr>
              <w:t>VBG</w:t>
            </w:r>
          </w:p>
        </w:tc>
        <w:tc>
          <w:tcPr>
            <w:tcW w:w="283" w:type="dxa"/>
          </w:tcPr>
          <w:p w14:paraId="13B25D73" w14:textId="77777777" w:rsidR="007A4908" w:rsidRPr="00C801A6" w:rsidRDefault="007A4908" w:rsidP="00347FDB">
            <w:pPr>
              <w:spacing w:before="60" w:after="60" w:line="240" w:lineRule="auto"/>
              <w:rPr>
                <w:rFonts w:eastAsia="Times New Roman"/>
                <w:b/>
                <w:bCs/>
                <w:color w:val="auto"/>
                <w:szCs w:val="24"/>
                <w:lang w:eastAsia="fr-FR"/>
              </w:rPr>
            </w:pPr>
            <w:r w:rsidRPr="00C801A6">
              <w:rPr>
                <w:rFonts w:eastAsia="Times New Roman"/>
                <w:b/>
                <w:bCs/>
                <w:color w:val="auto"/>
                <w:szCs w:val="24"/>
                <w:lang w:eastAsia="fr-FR"/>
              </w:rPr>
              <w:t>:</w:t>
            </w:r>
          </w:p>
        </w:tc>
        <w:tc>
          <w:tcPr>
            <w:tcW w:w="7441" w:type="dxa"/>
            <w:noWrap/>
            <w:hideMark/>
          </w:tcPr>
          <w:p w14:paraId="3CB7D387" w14:textId="77777777" w:rsidR="007A4908" w:rsidRPr="00C801A6" w:rsidRDefault="007A4908" w:rsidP="00347FDB">
            <w:pPr>
              <w:spacing w:before="60" w:after="60" w:line="240" w:lineRule="auto"/>
              <w:rPr>
                <w:rFonts w:eastAsia="Times New Roman"/>
                <w:color w:val="auto"/>
                <w:szCs w:val="24"/>
                <w:lang w:eastAsia="fr-FR"/>
              </w:rPr>
            </w:pPr>
            <w:r w:rsidRPr="00C801A6">
              <w:rPr>
                <w:rFonts w:eastAsia="Times New Roman"/>
                <w:color w:val="auto"/>
                <w:szCs w:val="24"/>
                <w:lang w:eastAsia="fr-FR"/>
              </w:rPr>
              <w:t>Violence Basée sur le Genre</w:t>
            </w:r>
          </w:p>
        </w:tc>
      </w:tr>
    </w:tbl>
    <w:p w14:paraId="36AF4427" w14:textId="77777777" w:rsidR="00575CDF" w:rsidRPr="00C801A6" w:rsidRDefault="00575CDF" w:rsidP="00575CDF">
      <w:pPr>
        <w:rPr>
          <w:color w:val="auto"/>
        </w:rPr>
      </w:pPr>
    </w:p>
    <w:p w14:paraId="7CD669DD" w14:textId="77777777" w:rsidR="00575CDF" w:rsidRPr="00C801A6" w:rsidRDefault="00575CDF" w:rsidP="00575CDF">
      <w:pPr>
        <w:rPr>
          <w:color w:val="auto"/>
        </w:rPr>
        <w:sectPr w:rsidR="00575CDF" w:rsidRPr="00C801A6" w:rsidSect="00A95B58">
          <w:footerReference w:type="default" r:id="rId20"/>
          <w:pgSz w:w="11906" w:h="16838"/>
          <w:pgMar w:top="1417" w:right="1417" w:bottom="1417" w:left="1417" w:header="708" w:footer="708" w:gutter="0"/>
          <w:pgNumType w:fmt="lowerRoman" w:start="1"/>
          <w:cols w:space="708"/>
          <w:docGrid w:linePitch="360"/>
        </w:sectPr>
      </w:pPr>
    </w:p>
    <w:p w14:paraId="48A835C6" w14:textId="77777777" w:rsidR="00575CDF" w:rsidRPr="00C801A6" w:rsidRDefault="00575CDF" w:rsidP="00FF08D4">
      <w:pPr>
        <w:pStyle w:val="Title"/>
        <w:pBdr>
          <w:bottom w:val="single" w:sz="4" w:space="1" w:color="auto"/>
        </w:pBdr>
        <w:rPr>
          <w:sz w:val="28"/>
        </w:rPr>
      </w:pPr>
      <w:bookmarkStart w:id="4" w:name="_Toc106320081"/>
      <w:bookmarkStart w:id="5" w:name="_Toc230425964"/>
      <w:r w:rsidRPr="00C801A6">
        <w:rPr>
          <w:sz w:val="28"/>
        </w:rPr>
        <w:lastRenderedPageBreak/>
        <w:t>RESUME</w:t>
      </w:r>
      <w:bookmarkEnd w:id="4"/>
      <w:bookmarkEnd w:id="5"/>
    </w:p>
    <w:p w14:paraId="0CB2B229" w14:textId="5DA38B28" w:rsidR="00DF575C" w:rsidRPr="00E106BA" w:rsidRDefault="00E106BA" w:rsidP="00DF575C">
      <w:pPr>
        <w:rPr>
          <w:b/>
        </w:rPr>
      </w:pPr>
      <w:r w:rsidRPr="00E106BA">
        <w:rPr>
          <w:b/>
        </w:rPr>
        <w:t>CONTEXTE</w:t>
      </w:r>
    </w:p>
    <w:p w14:paraId="3E69807F" w14:textId="1E96F5E3" w:rsidR="00DF575C" w:rsidRDefault="00506C7F" w:rsidP="00506C7F">
      <w:r w:rsidRPr="00D42025">
        <w:rPr>
          <w:rFonts w:cs="Times New Roman"/>
          <w:color w:val="000000"/>
        </w:rPr>
        <w:t>Pour Madagascar, le développement socioéconomique dépend de la connectivité, du capital humain, du climat des affaires et de l’innovation agricole. Les difficultés de transport allongent les chaînes de commercialisation et réduisent l’efficacité sur les marchés locaux et internationaux. Le Projet Connecter Madagascar pour une Croissance Inclusive (PCMCI) vise à répondre à ces enjeux.</w:t>
      </w:r>
      <w:r>
        <w:rPr>
          <w:rFonts w:cs="Times New Roman"/>
          <w:color w:val="000000"/>
        </w:rPr>
        <w:t xml:space="preserve"> </w:t>
      </w:r>
    </w:p>
    <w:p w14:paraId="70736B6A" w14:textId="07BE8783" w:rsidR="00DF575C" w:rsidRPr="00E106BA" w:rsidRDefault="00E106BA" w:rsidP="00DF575C">
      <w:pPr>
        <w:rPr>
          <w:b/>
        </w:rPr>
      </w:pPr>
      <w:r w:rsidRPr="00E106BA">
        <w:rPr>
          <w:b/>
        </w:rPr>
        <w:t>DESCRIPTION DU PROJET</w:t>
      </w:r>
    </w:p>
    <w:p w14:paraId="16ECB533" w14:textId="19691ACC" w:rsidR="00DF575C" w:rsidRPr="00DF575C" w:rsidRDefault="00DF575C" w:rsidP="00DF575C">
      <w:r w:rsidRPr="00DF575C">
        <w:t>L’objectif de développement du P</w:t>
      </w:r>
      <w:r w:rsidR="00E106BA">
        <w:t>CMCI</w:t>
      </w:r>
      <w:r w:rsidRPr="00DF575C">
        <w:t xml:space="preserve"> est d’améliorer la connectivité des transports dans certaines zones rurales afin d’accroître l’accès des communautés aux opportunités sociales et économiques. Ce Pro</w:t>
      </w:r>
      <w:r w:rsidR="00E106BA">
        <w:t>jet</w:t>
      </w:r>
      <w:r w:rsidRPr="00DF575C">
        <w:t xml:space="preserve"> est prévu pour comporter différentes phases : la présente étude se rapporte à la Phase 1. L’objectif de cette première Phase du Programme consiste en l’amélioration de la connectivité en milieu rural dans les Régions SAVA, DIANA, </w:t>
      </w:r>
      <w:r w:rsidR="00506C7F" w:rsidRPr="00DF575C">
        <w:t xml:space="preserve">Analanjirofo, Sofia, Boeny, </w:t>
      </w:r>
      <w:r w:rsidR="00506C7F">
        <w:t xml:space="preserve">Alaotra Mangoro, Atsinanana, Fitovinany, Amoron’i Mania, </w:t>
      </w:r>
      <w:r w:rsidR="00506C7F" w:rsidRPr="00DF575C">
        <w:t xml:space="preserve">Ihorombe, </w:t>
      </w:r>
      <w:r w:rsidR="00506C7F">
        <w:t xml:space="preserve">Atsimo Andrefana, </w:t>
      </w:r>
      <w:r w:rsidR="00506C7F" w:rsidRPr="00DF575C">
        <w:t>Androy et Anosy</w:t>
      </w:r>
      <w:r w:rsidRPr="00DF575C">
        <w:t>. Il s’articule autour de 4 Composantes :</w:t>
      </w:r>
    </w:p>
    <w:tbl>
      <w:tblPr>
        <w:tblStyle w:val="TableGrid"/>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8613"/>
      </w:tblGrid>
      <w:tr w:rsidR="00DF575C" w:rsidRPr="00E106BA" w14:paraId="4596EF08" w14:textId="77777777" w:rsidTr="00E106BA">
        <w:tc>
          <w:tcPr>
            <w:tcW w:w="9606" w:type="dxa"/>
            <w:gridSpan w:val="2"/>
          </w:tcPr>
          <w:p w14:paraId="11F02A64" w14:textId="77777777" w:rsidR="00DF575C" w:rsidRPr="00E106BA" w:rsidRDefault="00DF575C" w:rsidP="00DF575C">
            <w:pPr>
              <w:rPr>
                <w:b/>
                <w:i/>
              </w:rPr>
            </w:pPr>
            <w:r w:rsidRPr="00E106BA">
              <w:rPr>
                <w:b/>
                <w:i/>
              </w:rPr>
              <w:t>Composante 1 : Amélioration de l’état et de la résilience des routes principales suivantes</w:t>
            </w:r>
          </w:p>
        </w:tc>
      </w:tr>
      <w:tr w:rsidR="00DF575C" w:rsidRPr="00DF575C" w14:paraId="19CB4D20" w14:textId="77777777" w:rsidTr="00E106BA">
        <w:tc>
          <w:tcPr>
            <w:tcW w:w="993" w:type="dxa"/>
          </w:tcPr>
          <w:p w14:paraId="4A5CE24B" w14:textId="77777777" w:rsidR="00DF575C" w:rsidRPr="00DF575C" w:rsidRDefault="00DF575C" w:rsidP="00DF575C"/>
        </w:tc>
        <w:tc>
          <w:tcPr>
            <w:tcW w:w="8613" w:type="dxa"/>
          </w:tcPr>
          <w:p w14:paraId="68622FA9" w14:textId="77777777" w:rsidR="00DF575C" w:rsidRPr="00DF575C" w:rsidRDefault="00DF575C" w:rsidP="00DF575C">
            <w:r w:rsidRPr="00DF575C">
              <w:t>Travaux :</w:t>
            </w:r>
          </w:p>
        </w:tc>
      </w:tr>
      <w:tr w:rsidR="00DF575C" w:rsidRPr="00DF575C" w14:paraId="1A0E3FA7" w14:textId="77777777" w:rsidTr="00E106BA">
        <w:tc>
          <w:tcPr>
            <w:tcW w:w="993" w:type="dxa"/>
          </w:tcPr>
          <w:p w14:paraId="275A793A" w14:textId="77777777" w:rsidR="00DF575C" w:rsidRPr="00DF575C" w:rsidRDefault="00DF575C" w:rsidP="00DF575C"/>
        </w:tc>
        <w:tc>
          <w:tcPr>
            <w:tcW w:w="8613" w:type="dxa"/>
          </w:tcPr>
          <w:p w14:paraId="54E96D2D" w14:textId="77777777" w:rsidR="00DF575C" w:rsidRPr="00DF575C" w:rsidRDefault="00DF575C" w:rsidP="00DF575C">
            <w:r w:rsidRPr="00DF575C">
              <w:t>RN31 : 203 km de tronçon de route en terre, entre Bealanana et Andapa</w:t>
            </w:r>
          </w:p>
        </w:tc>
      </w:tr>
      <w:tr w:rsidR="00DF575C" w:rsidRPr="00DF575C" w14:paraId="35FA28AC" w14:textId="77777777" w:rsidTr="00E106BA">
        <w:tc>
          <w:tcPr>
            <w:tcW w:w="993" w:type="dxa"/>
          </w:tcPr>
          <w:p w14:paraId="2FAC9727" w14:textId="77777777" w:rsidR="00DF575C" w:rsidRPr="00DF575C" w:rsidRDefault="00DF575C" w:rsidP="00DF575C"/>
        </w:tc>
        <w:tc>
          <w:tcPr>
            <w:tcW w:w="8613" w:type="dxa"/>
          </w:tcPr>
          <w:p w14:paraId="0B2F7076" w14:textId="77777777" w:rsidR="00DF575C" w:rsidRPr="00DF575C" w:rsidRDefault="00DF575C" w:rsidP="00DF575C">
            <w:r w:rsidRPr="00DF575C">
              <w:t>RN13 : 389 km de route en terre, entre Ambovombe et Ihosy (carrefour RN7)</w:t>
            </w:r>
          </w:p>
        </w:tc>
      </w:tr>
      <w:tr w:rsidR="00DF575C" w:rsidRPr="00DF575C" w14:paraId="57C1B3BE" w14:textId="77777777" w:rsidTr="00E106BA">
        <w:tc>
          <w:tcPr>
            <w:tcW w:w="993" w:type="dxa"/>
          </w:tcPr>
          <w:p w14:paraId="58F7251A" w14:textId="77777777" w:rsidR="00DF575C" w:rsidRPr="00DF575C" w:rsidRDefault="00DF575C" w:rsidP="00DF575C"/>
        </w:tc>
        <w:tc>
          <w:tcPr>
            <w:tcW w:w="8613" w:type="dxa"/>
          </w:tcPr>
          <w:p w14:paraId="1C572F63" w14:textId="77777777" w:rsidR="00DF575C" w:rsidRPr="00DF575C" w:rsidRDefault="00DF575C" w:rsidP="00DF575C">
            <w:r w:rsidRPr="00DF575C">
              <w:t>Etudes préparatoires :</w:t>
            </w:r>
          </w:p>
        </w:tc>
      </w:tr>
      <w:tr w:rsidR="00DF575C" w:rsidRPr="00DF575C" w14:paraId="0E0600DF" w14:textId="77777777" w:rsidTr="00E106BA">
        <w:tc>
          <w:tcPr>
            <w:tcW w:w="993" w:type="dxa"/>
          </w:tcPr>
          <w:p w14:paraId="3D196481" w14:textId="77777777" w:rsidR="00DF575C" w:rsidRPr="00DF575C" w:rsidRDefault="00DF575C" w:rsidP="00DF575C"/>
        </w:tc>
        <w:tc>
          <w:tcPr>
            <w:tcW w:w="8613" w:type="dxa"/>
          </w:tcPr>
          <w:p w14:paraId="12317299" w14:textId="28C715D6" w:rsidR="00DF575C" w:rsidRPr="00DF575C" w:rsidRDefault="00DF575C" w:rsidP="00DF575C">
            <w:r w:rsidRPr="00DF575C">
              <w:t>RNT3B : 100 km de tronçon de route bitumée, entre Ambarihomiambina (croisement RNS5a) et Andapa</w:t>
            </w:r>
          </w:p>
        </w:tc>
      </w:tr>
      <w:tr w:rsidR="00DF575C" w:rsidRPr="00DF575C" w14:paraId="65C18F51" w14:textId="77777777" w:rsidTr="00E106BA">
        <w:tc>
          <w:tcPr>
            <w:tcW w:w="993" w:type="dxa"/>
          </w:tcPr>
          <w:p w14:paraId="175C21B6" w14:textId="77777777" w:rsidR="00DF575C" w:rsidRPr="00DF575C" w:rsidRDefault="00DF575C" w:rsidP="00DF575C"/>
        </w:tc>
        <w:tc>
          <w:tcPr>
            <w:tcW w:w="8613" w:type="dxa"/>
          </w:tcPr>
          <w:p w14:paraId="44860D85" w14:textId="77777777" w:rsidR="00DF575C" w:rsidRPr="00DF575C" w:rsidRDefault="00DF575C" w:rsidP="00DF575C">
            <w:r w:rsidRPr="00DF575C">
              <w:t>RN6 : 476 km de tronçon de route bitumée, entre Ambondromamy et Ambanja.</w:t>
            </w:r>
          </w:p>
        </w:tc>
      </w:tr>
      <w:tr w:rsidR="00DF575C" w:rsidRPr="00DF575C" w14:paraId="25F1AA9E" w14:textId="77777777" w:rsidTr="00E106BA">
        <w:tc>
          <w:tcPr>
            <w:tcW w:w="9606" w:type="dxa"/>
            <w:gridSpan w:val="2"/>
          </w:tcPr>
          <w:p w14:paraId="4DA3F4C3" w14:textId="77777777" w:rsidR="00DF575C" w:rsidRPr="00E106BA" w:rsidRDefault="00DF575C" w:rsidP="00DF575C">
            <w:pPr>
              <w:rPr>
                <w:b/>
                <w:i/>
              </w:rPr>
            </w:pPr>
            <w:r w:rsidRPr="00E106BA">
              <w:rPr>
                <w:b/>
                <w:i/>
              </w:rPr>
              <w:t xml:space="preserve">Composante 2 : Amélioration de l’accessibilité et des avantages socio-économiques des routes de desserte </w:t>
            </w:r>
          </w:p>
        </w:tc>
      </w:tr>
      <w:tr w:rsidR="00DF575C" w:rsidRPr="00DF575C" w14:paraId="11094C5B" w14:textId="77777777" w:rsidTr="00E106BA">
        <w:tc>
          <w:tcPr>
            <w:tcW w:w="993" w:type="dxa"/>
          </w:tcPr>
          <w:p w14:paraId="432B37B4" w14:textId="77777777" w:rsidR="00DF575C" w:rsidRPr="00DF575C" w:rsidRDefault="00DF575C" w:rsidP="00DF575C"/>
        </w:tc>
        <w:tc>
          <w:tcPr>
            <w:tcW w:w="8613" w:type="dxa"/>
          </w:tcPr>
          <w:p w14:paraId="6C04D918" w14:textId="77777777" w:rsidR="00DF575C" w:rsidRPr="00DF575C" w:rsidRDefault="00DF575C" w:rsidP="00DF575C">
            <w:r w:rsidRPr="00E106BA">
              <w:rPr>
                <w:i/>
              </w:rPr>
              <w:t>Sous-composante 2.1</w:t>
            </w:r>
            <w:r w:rsidRPr="00DF575C">
              <w:t>. Réhabilitation de routes régionales et communales sélectionnées dans les zones prioritaires et déploiement de l’entretien communautaire pilote des routes de desserte (500km)</w:t>
            </w:r>
          </w:p>
        </w:tc>
      </w:tr>
      <w:tr w:rsidR="00DF575C" w:rsidRPr="00DF575C" w14:paraId="5B7AD042" w14:textId="77777777" w:rsidTr="00E106BA">
        <w:tc>
          <w:tcPr>
            <w:tcW w:w="993" w:type="dxa"/>
          </w:tcPr>
          <w:p w14:paraId="2CC3026C" w14:textId="77777777" w:rsidR="00DF575C" w:rsidRPr="00DF575C" w:rsidRDefault="00DF575C" w:rsidP="00DF575C"/>
        </w:tc>
        <w:tc>
          <w:tcPr>
            <w:tcW w:w="8613" w:type="dxa"/>
          </w:tcPr>
          <w:p w14:paraId="5040A806" w14:textId="77777777" w:rsidR="00DF575C" w:rsidRPr="00DF575C" w:rsidRDefault="00DF575C" w:rsidP="00DF575C">
            <w:r w:rsidRPr="00E106BA">
              <w:rPr>
                <w:i/>
              </w:rPr>
              <w:t>Sous-composante 2.2</w:t>
            </w:r>
            <w:r w:rsidRPr="00DF575C">
              <w:t xml:space="preserve"> : Déploiement de contrats basés sur la performance sur certaines routes non revêtues. </w:t>
            </w:r>
          </w:p>
        </w:tc>
      </w:tr>
      <w:tr w:rsidR="00DF575C" w:rsidRPr="00DF575C" w14:paraId="0EC08201" w14:textId="77777777" w:rsidTr="00E106BA">
        <w:tc>
          <w:tcPr>
            <w:tcW w:w="993" w:type="dxa"/>
          </w:tcPr>
          <w:p w14:paraId="11946B44" w14:textId="77777777" w:rsidR="00DF575C" w:rsidRPr="00DF575C" w:rsidRDefault="00DF575C" w:rsidP="00DF575C"/>
        </w:tc>
        <w:tc>
          <w:tcPr>
            <w:tcW w:w="8613" w:type="dxa"/>
          </w:tcPr>
          <w:p w14:paraId="05E3C9C7" w14:textId="77777777" w:rsidR="00DF575C" w:rsidRPr="00DF575C" w:rsidRDefault="00DF575C" w:rsidP="00DF575C">
            <w:r w:rsidRPr="00E106BA">
              <w:rPr>
                <w:i/>
              </w:rPr>
              <w:t>Sous-composante 2.3</w:t>
            </w:r>
            <w:r w:rsidRPr="00DF575C">
              <w:t xml:space="preserve"> : Expérimentation d’interventions sociales complémentaires le long de routes primaires et de desserte sélectionnées. </w:t>
            </w:r>
          </w:p>
        </w:tc>
      </w:tr>
      <w:tr w:rsidR="00DF575C" w:rsidRPr="00DF575C" w14:paraId="26D831BA" w14:textId="77777777" w:rsidTr="00E106BA">
        <w:tc>
          <w:tcPr>
            <w:tcW w:w="993" w:type="dxa"/>
          </w:tcPr>
          <w:p w14:paraId="0A48285F" w14:textId="77777777" w:rsidR="00DF575C" w:rsidRPr="00DF575C" w:rsidRDefault="00DF575C" w:rsidP="00DF575C"/>
        </w:tc>
        <w:tc>
          <w:tcPr>
            <w:tcW w:w="8613" w:type="dxa"/>
          </w:tcPr>
          <w:p w14:paraId="0D418D58" w14:textId="354EBD76" w:rsidR="00DF575C" w:rsidRPr="00DF575C" w:rsidRDefault="00DF575C" w:rsidP="00DF575C">
            <w:r w:rsidRPr="00DF575C">
              <w:t>Sous cette Composante, le Programme entend associer les activités à la promotion du genre ainsi qu’à la prévention et à la lutte contre les VBG.</w:t>
            </w:r>
          </w:p>
        </w:tc>
      </w:tr>
      <w:tr w:rsidR="00DF575C" w:rsidRPr="00DF575C" w14:paraId="2BAE8555" w14:textId="77777777" w:rsidTr="00E106BA">
        <w:tc>
          <w:tcPr>
            <w:tcW w:w="9606" w:type="dxa"/>
            <w:gridSpan w:val="2"/>
          </w:tcPr>
          <w:p w14:paraId="4EF86E5B" w14:textId="77777777" w:rsidR="00DF575C" w:rsidRPr="00E106BA" w:rsidRDefault="00DF575C" w:rsidP="00DF575C">
            <w:pPr>
              <w:rPr>
                <w:b/>
                <w:i/>
              </w:rPr>
            </w:pPr>
            <w:r w:rsidRPr="00E106BA">
              <w:rPr>
                <w:b/>
                <w:i/>
              </w:rPr>
              <w:t>Composante 3 : Assistance technique et appui aux réformes du secteur routier et des transports</w:t>
            </w:r>
          </w:p>
        </w:tc>
      </w:tr>
      <w:tr w:rsidR="00DF575C" w:rsidRPr="00DF575C" w14:paraId="1BE45291" w14:textId="77777777" w:rsidTr="00E106BA">
        <w:tc>
          <w:tcPr>
            <w:tcW w:w="9606" w:type="dxa"/>
            <w:gridSpan w:val="2"/>
          </w:tcPr>
          <w:p w14:paraId="11EF965A" w14:textId="77777777" w:rsidR="00DF575C" w:rsidRDefault="00DF575C" w:rsidP="00DF575C">
            <w:pPr>
              <w:rPr>
                <w:b/>
                <w:i/>
              </w:rPr>
            </w:pPr>
            <w:r w:rsidRPr="00E106BA">
              <w:rPr>
                <w:b/>
                <w:i/>
              </w:rPr>
              <w:t xml:space="preserve">Composante 4 : Composante d’intervention d’urgence en cas d’urgence </w:t>
            </w:r>
          </w:p>
          <w:p w14:paraId="7F815269" w14:textId="68694246" w:rsidR="002020BE" w:rsidRDefault="002020BE" w:rsidP="00DF575C">
            <w:pPr>
              <w:rPr>
                <w:bCs/>
                <w:iCs/>
              </w:rPr>
            </w:pPr>
            <w:r>
              <w:rPr>
                <w:bCs/>
                <w:iCs/>
              </w:rPr>
              <w:t>La composante 4, relative à l’intervention d’urgence en cas d’urgence est structurée en deux phases distinctes correspondant aux différents événements climatiques ayant affecté le pays.</w:t>
            </w:r>
          </w:p>
          <w:p w14:paraId="39EBEC2D" w14:textId="230A8200" w:rsidR="002020BE" w:rsidRDefault="002020BE" w:rsidP="00DF575C">
            <w:pPr>
              <w:rPr>
                <w:bCs/>
                <w:iCs/>
              </w:rPr>
            </w:pPr>
            <w:r>
              <w:rPr>
                <w:bCs/>
                <w:iCs/>
              </w:rPr>
              <w:lastRenderedPageBreak/>
              <w:t xml:space="preserve">La première phase (CERC1) a été activée le 6 Mars 2024, à la suite d’épisodes de pluies diluviennes et d’avers intenses survenus durant le mois de février 2024, ayant entrainé d’important </w:t>
            </w:r>
            <w:r w:rsidR="002F0AD5">
              <w:rPr>
                <w:bCs/>
                <w:iCs/>
              </w:rPr>
              <w:t>dommages</w:t>
            </w:r>
            <w:r>
              <w:rPr>
                <w:bCs/>
                <w:iCs/>
              </w:rPr>
              <w:t xml:space="preserve"> aux infrastructures dans la partie Nord de pays.</w:t>
            </w:r>
          </w:p>
          <w:p w14:paraId="37A0DAD1" w14:textId="06709ECD" w:rsidR="006E1481" w:rsidRDefault="002020BE" w:rsidP="00DF575C">
            <w:pPr>
              <w:rPr>
                <w:bCs/>
                <w:iCs/>
              </w:rPr>
            </w:pPr>
            <w:r>
              <w:rPr>
                <w:bCs/>
                <w:iCs/>
              </w:rPr>
              <w:t>La deuxième phase (CERC2) a été déclenchée à la suite du passage des cyclones FYTIA (31 janvier 2026) et GEZANI (10 février 2026), qui ont causé des dégâts significatifs sur les infrastructures sociales et routier national</w:t>
            </w:r>
            <w:r w:rsidR="001F34A2">
              <w:rPr>
                <w:bCs/>
                <w:iCs/>
              </w:rPr>
              <w:t>.</w:t>
            </w:r>
          </w:p>
          <w:p w14:paraId="613DD369" w14:textId="3276FBE7" w:rsidR="00E106BA" w:rsidRPr="00DF575C" w:rsidRDefault="001F34A2" w:rsidP="003617DE">
            <w:r>
              <w:rPr>
                <w:bCs/>
                <w:iCs/>
              </w:rPr>
              <w:t>Le CERC 1 est s</w:t>
            </w:r>
            <w:r w:rsidR="002020BE">
              <w:rPr>
                <w:bCs/>
                <w:iCs/>
              </w:rPr>
              <w:t>tructuré autour de</w:t>
            </w:r>
            <w:r>
              <w:rPr>
                <w:bCs/>
                <w:iCs/>
              </w:rPr>
              <w:t xml:space="preserve"> deux sous-composantes</w:t>
            </w:r>
            <w:r w:rsidR="002020BE">
              <w:rPr>
                <w:bCs/>
                <w:iCs/>
              </w:rPr>
              <w:t xml:space="preserve"> principales</w:t>
            </w:r>
            <w:r>
              <w:rPr>
                <w:bCs/>
                <w:iCs/>
              </w:rPr>
              <w:t> :</w:t>
            </w:r>
          </w:p>
        </w:tc>
      </w:tr>
      <w:tr w:rsidR="00E106BA" w:rsidRPr="00DF575C" w14:paraId="76354014" w14:textId="77777777" w:rsidTr="00E106BA">
        <w:tc>
          <w:tcPr>
            <w:tcW w:w="9606" w:type="dxa"/>
            <w:gridSpan w:val="2"/>
          </w:tcPr>
          <w:p w14:paraId="38F04FE1" w14:textId="4347CC96" w:rsidR="001D735C" w:rsidRPr="00DF575C" w:rsidRDefault="00E106BA" w:rsidP="00844538">
            <w:pPr>
              <w:pStyle w:val="ListParagraph"/>
              <w:numPr>
                <w:ilvl w:val="0"/>
                <w:numId w:val="185"/>
              </w:numPr>
            </w:pPr>
            <w:r>
              <w:t>Réparation de la RNP 4</w:t>
            </w:r>
            <w:r w:rsidR="004F43EE">
              <w:t>,</w:t>
            </w:r>
            <w:r w:rsidR="001F34A2">
              <w:t xml:space="preserve"> et </w:t>
            </w:r>
            <w:r>
              <w:t xml:space="preserve">de la RNP </w:t>
            </w:r>
            <w:r w:rsidR="001F34A2">
              <w:t>6</w:t>
            </w:r>
          </w:p>
        </w:tc>
      </w:tr>
      <w:tr w:rsidR="00E106BA" w:rsidRPr="00DF575C" w14:paraId="300C95D0" w14:textId="77777777" w:rsidTr="00E106BA">
        <w:tc>
          <w:tcPr>
            <w:tcW w:w="9606" w:type="dxa"/>
            <w:gridSpan w:val="2"/>
          </w:tcPr>
          <w:p w14:paraId="0D6915B2" w14:textId="74D2C54E" w:rsidR="00E106BA" w:rsidRDefault="00E106BA" w:rsidP="00844538">
            <w:pPr>
              <w:pStyle w:val="ListParagraph"/>
              <w:numPr>
                <w:ilvl w:val="0"/>
                <w:numId w:val="185"/>
              </w:numPr>
            </w:pPr>
            <w:r>
              <w:t>Réhabilitation du port de Mahajanga</w:t>
            </w:r>
          </w:p>
          <w:p w14:paraId="0F7FAC95" w14:textId="2F1BCB90" w:rsidR="00856276" w:rsidRPr="00DF575C" w:rsidRDefault="001F34A2" w:rsidP="003617DE">
            <w:r>
              <w:t xml:space="preserve">Le CERC 2 consiste à la réalisation des travaux d’urgence sur les infrastructures routières sur la </w:t>
            </w:r>
            <w:r w:rsidRPr="001F34A2">
              <w:t>RNP6, RNP7, RNS30, RNS44, RNT3A</w:t>
            </w:r>
            <w:r>
              <w:t xml:space="preserve">, y compris la route en pavés vers Ambila et la réhabilitation du </w:t>
            </w:r>
            <w:r w:rsidR="0054683C">
              <w:t xml:space="preserve">Boulevard </w:t>
            </w:r>
            <w:r>
              <w:t>Ratsimilaho à Toamasina.</w:t>
            </w:r>
          </w:p>
        </w:tc>
      </w:tr>
    </w:tbl>
    <w:p w14:paraId="21403BFA" w14:textId="0523935B" w:rsidR="00DF575C" w:rsidRDefault="00DF575C" w:rsidP="00E106BA">
      <w:r w:rsidRPr="00DF575C">
        <w:t xml:space="preserve">En respect de la législation nationale et des NES de la Banque, le </w:t>
      </w:r>
      <w:r w:rsidR="001342EC">
        <w:t>P</w:t>
      </w:r>
      <w:r w:rsidRPr="00DF575C">
        <w:t>CM</w:t>
      </w:r>
      <w:r w:rsidR="001342EC">
        <w:t>CI</w:t>
      </w:r>
      <w:r w:rsidRPr="00DF575C">
        <w:t xml:space="preserve"> doit être soumis à une évaluation environnementale et sociale afin que les investissements prévus causent le moins de dommages possibles et apportent le maximum d’avantages à l’environnement et aux populations desservies.</w:t>
      </w:r>
    </w:p>
    <w:p w14:paraId="1C5FAAB1" w14:textId="2FA1C976" w:rsidR="00437BCA" w:rsidRDefault="00437BCA" w:rsidP="00437BCA">
      <w:pPr>
        <w:rPr>
          <w:b/>
          <w:i/>
        </w:rPr>
      </w:pPr>
      <w:r w:rsidRPr="00437BCA">
        <w:rPr>
          <w:b/>
          <w:i/>
        </w:rPr>
        <w:t xml:space="preserve">Composante 5 : </w:t>
      </w:r>
      <w:r w:rsidR="00B16A57">
        <w:rPr>
          <w:b/>
          <w:i/>
        </w:rPr>
        <w:t>Amélioration de la résilience de l’infrastructure des ponts</w:t>
      </w:r>
    </w:p>
    <w:p w14:paraId="4A543C04" w14:textId="2D0FBEBB" w:rsidR="00B16A57" w:rsidRPr="00591B2F" w:rsidRDefault="00B16A57" w:rsidP="00844538">
      <w:pPr>
        <w:pStyle w:val="ListParagraph"/>
        <w:numPr>
          <w:ilvl w:val="0"/>
          <w:numId w:val="189"/>
        </w:numPr>
        <w:rPr>
          <w:bCs/>
          <w:iCs/>
        </w:rPr>
      </w:pPr>
      <w:r w:rsidRPr="00591B2F">
        <w:rPr>
          <w:bCs/>
          <w:iCs/>
        </w:rPr>
        <w:t>Acquisition de ponts modulaires</w:t>
      </w:r>
    </w:p>
    <w:p w14:paraId="494D364E" w14:textId="2436F207" w:rsidR="00B16A57" w:rsidRPr="00591B2F" w:rsidRDefault="00B16A57" w:rsidP="00844538">
      <w:pPr>
        <w:pStyle w:val="ListParagraph"/>
        <w:numPr>
          <w:ilvl w:val="0"/>
          <w:numId w:val="189"/>
        </w:numPr>
        <w:spacing w:after="0"/>
        <w:rPr>
          <w:bCs/>
          <w:iCs/>
        </w:rPr>
      </w:pPr>
      <w:r w:rsidRPr="00591B2F">
        <w:rPr>
          <w:bCs/>
          <w:iCs/>
        </w:rPr>
        <w:t>Réhabilitation des ponts/routes endommagés par les cyclones : pont Manambery sur la RN5a</w:t>
      </w:r>
    </w:p>
    <w:p w14:paraId="297459C7" w14:textId="77777777" w:rsidR="002F0AD5" w:rsidRDefault="002F0AD5" w:rsidP="00DF575C">
      <w:pPr>
        <w:rPr>
          <w:b/>
        </w:rPr>
      </w:pPr>
    </w:p>
    <w:p w14:paraId="38499B3F" w14:textId="3A960CC3" w:rsidR="00DF575C" w:rsidRPr="00E106BA" w:rsidRDefault="00E106BA" w:rsidP="00DF575C">
      <w:pPr>
        <w:rPr>
          <w:b/>
        </w:rPr>
      </w:pPr>
      <w:r w:rsidRPr="00E106BA">
        <w:rPr>
          <w:b/>
        </w:rPr>
        <w:t>GESTION DES RISQUES ENVIRONNEMENTAUX ET SOCIAUX</w:t>
      </w:r>
    </w:p>
    <w:p w14:paraId="7AD586EA" w14:textId="77777777" w:rsidR="00DF575C" w:rsidRPr="00E106BA" w:rsidRDefault="00DF575C" w:rsidP="00DF575C">
      <w:pPr>
        <w:rPr>
          <w:b/>
          <w:i/>
        </w:rPr>
      </w:pPr>
      <w:r w:rsidRPr="00E106BA">
        <w:rPr>
          <w:b/>
          <w:i/>
        </w:rPr>
        <w:t>Niveau de risques</w:t>
      </w:r>
    </w:p>
    <w:p w14:paraId="6CA5C6B3" w14:textId="210CCAFA" w:rsidR="00DF575C" w:rsidRPr="00DF575C" w:rsidRDefault="00170EFA" w:rsidP="00170EFA">
      <w:r w:rsidRPr="00D42025">
        <w:rPr>
          <w:rFonts w:cs="Times New Roman"/>
          <w:color w:val="000000"/>
        </w:rPr>
        <w:t xml:space="preserve">Les risques environnementaux et sociaux du Projet PCMCI sont limités, réversibles et gérables par des </w:t>
      </w:r>
      <w:r w:rsidR="00AE759D">
        <w:rPr>
          <w:rFonts w:cs="Times New Roman"/>
          <w:color w:val="000000"/>
        </w:rPr>
        <w:t xml:space="preserve">mesures d’atténuation </w:t>
      </w:r>
      <w:r w:rsidR="00EE407A">
        <w:rPr>
          <w:rFonts w:cs="Times New Roman"/>
          <w:color w:val="000000"/>
        </w:rPr>
        <w:t xml:space="preserve">génériques des travaux de réhabilitation des axes </w:t>
      </w:r>
      <w:r w:rsidR="009B7D11">
        <w:rPr>
          <w:rFonts w:cs="Times New Roman"/>
          <w:color w:val="000000"/>
        </w:rPr>
        <w:t>existants</w:t>
      </w:r>
      <w:r w:rsidRPr="00D42025">
        <w:rPr>
          <w:rFonts w:cs="Times New Roman"/>
          <w:color w:val="000000"/>
        </w:rPr>
        <w:t xml:space="preserve">. Il </w:t>
      </w:r>
      <w:r w:rsidR="00B87963">
        <w:rPr>
          <w:rFonts w:cs="Times New Roman"/>
          <w:color w:val="000000"/>
        </w:rPr>
        <w:t>est</w:t>
      </w:r>
      <w:r w:rsidRPr="00D42025">
        <w:rPr>
          <w:rFonts w:cs="Times New Roman"/>
          <w:color w:val="000000"/>
        </w:rPr>
        <w:t xml:space="preserve"> donc </w:t>
      </w:r>
      <w:r w:rsidR="00B87963">
        <w:rPr>
          <w:rFonts w:cs="Times New Roman"/>
          <w:color w:val="000000"/>
        </w:rPr>
        <w:t xml:space="preserve">maintenu le </w:t>
      </w:r>
      <w:r w:rsidRPr="00D42025">
        <w:rPr>
          <w:rFonts w:cs="Times New Roman"/>
          <w:color w:val="000000"/>
        </w:rPr>
        <w:t xml:space="preserve"> niveau de risques substantiels, ce qui inclut la composante CERC.</w:t>
      </w:r>
      <w:r>
        <w:rPr>
          <w:rFonts w:cs="Times New Roman"/>
          <w:color w:val="000000"/>
        </w:rPr>
        <w:t xml:space="preserve"> </w:t>
      </w:r>
    </w:p>
    <w:p w14:paraId="2EC4BF6F" w14:textId="77777777" w:rsidR="00DF575C" w:rsidRPr="00DF575C" w:rsidRDefault="00DF575C" w:rsidP="00DF575C">
      <w:r w:rsidRPr="00DF575C">
        <w:t>Dans ce cadre, afin de prévenir, de minimiser, de mitiger ou de compenser les risques identifiés, la préparation et la mise en œuvre du Cadre de Gestion Environnementale et Sociale (CGES) devrait permettre d’optimiser les impacts positifs et de mitiger les éventuels impacts négatifs qui découleront de sa mise en œuvre.</w:t>
      </w:r>
    </w:p>
    <w:p w14:paraId="4CF0C949" w14:textId="77777777" w:rsidR="00DF575C" w:rsidRPr="00E106BA" w:rsidRDefault="00DF575C" w:rsidP="00DF575C">
      <w:pPr>
        <w:rPr>
          <w:b/>
          <w:i/>
        </w:rPr>
      </w:pPr>
      <w:r w:rsidRPr="00E106BA">
        <w:rPr>
          <w:b/>
          <w:i/>
        </w:rPr>
        <w:t>Objectifs du CGES</w:t>
      </w:r>
    </w:p>
    <w:p w14:paraId="4C66C5B1" w14:textId="77777777" w:rsidR="00DF575C" w:rsidRPr="00DF575C" w:rsidRDefault="00DF575C" w:rsidP="00DF575C">
      <w:r w:rsidRPr="00DF575C">
        <w:t xml:space="preserve">Les principaux objectifs du CGES sont (i) de définir le mécanisme d’examen E&amp;S préliminaire et (ii) d’identifier des mesures et des dispositions de mise en œuvre du Projet qui permettront d’assurer une conformité d’une part avec les NES applicables de la Banque Mondiale par les sous-projets à financer, et d’autre part avec les exigences environnementales et sociales nationales de la législation malagasy. </w:t>
      </w:r>
    </w:p>
    <w:p w14:paraId="1DBAFEC7" w14:textId="77777777" w:rsidR="00DF575C" w:rsidRPr="00DF575C" w:rsidRDefault="00DF575C" w:rsidP="00DF575C">
      <w:r w:rsidRPr="00DF575C">
        <w:t xml:space="preserve">Plus précisément, comme les sous-projets ne sont pas encore bien définis au moment des études, le CGES établit les principes qui guideront les études sociales et environnementales futures y </w:t>
      </w:r>
      <w:r w:rsidRPr="00DF575C">
        <w:lastRenderedPageBreak/>
        <w:t>afférentes. Il inclut également un Plan cadre de gestion environnementale et sociale ainsi que diverses annexes qui constituent des documents d’appui.</w:t>
      </w:r>
    </w:p>
    <w:p w14:paraId="29CCEC37" w14:textId="4421BA62" w:rsidR="00DF575C" w:rsidRPr="00E106BA" w:rsidRDefault="00E106BA" w:rsidP="00E106BA">
      <w:pPr>
        <w:jc w:val="left"/>
        <w:rPr>
          <w:b/>
        </w:rPr>
      </w:pPr>
      <w:r w:rsidRPr="00E106BA">
        <w:rPr>
          <w:b/>
        </w:rPr>
        <w:t>CADRE JURIDIQUE ET INSTITUTIONNEL DES EVALUATIONS ENVIRONNEMENTALES</w:t>
      </w:r>
    </w:p>
    <w:p w14:paraId="358EBE3E" w14:textId="77777777" w:rsidR="00DF575C" w:rsidRPr="00E106BA" w:rsidRDefault="00DF575C" w:rsidP="00DF575C">
      <w:pPr>
        <w:rPr>
          <w:b/>
          <w:i/>
        </w:rPr>
      </w:pPr>
      <w:r w:rsidRPr="00E106BA">
        <w:rPr>
          <w:b/>
          <w:i/>
        </w:rPr>
        <w:t>Législation environnementale nationale</w:t>
      </w:r>
    </w:p>
    <w:p w14:paraId="330D80A7" w14:textId="5916C47F" w:rsidR="00216772" w:rsidRPr="00216772" w:rsidRDefault="00DF575C" w:rsidP="00216772">
      <w:r w:rsidRPr="00DF575C">
        <w:t xml:space="preserve">Selon l’article 13 de la Charte de l’Environnement actualisée, tous les projets d’investissement, privés ou publics, susceptibles de porter atteinte à l’environnement doivent faire l’objet d’une Etude d’Impact Environnementale et Sociale (EIES). Pour donner suite à cet énoncé, un régime administratif a été mis en place par le Décret </w:t>
      </w:r>
      <w:r w:rsidR="00BD46A6">
        <w:t>n°2025-080</w:t>
      </w:r>
      <w:r w:rsidRPr="00DF575C">
        <w:t xml:space="preserve"> du </w:t>
      </w:r>
      <w:r w:rsidR="00BD46A6">
        <w:t>20 janvier 2025</w:t>
      </w:r>
      <w:r w:rsidR="007359ED">
        <w:t xml:space="preserve"> </w:t>
      </w:r>
      <w:r w:rsidR="00BD46A6">
        <w:t>fixe les règles et procédures de l’Evaluation Environnementale et Sociale pour la</w:t>
      </w:r>
      <w:r w:rsidR="00216772" w:rsidRPr="00216772">
        <w:t xml:space="preserve"> mise en comptabilité des investissements avec l’Environnement (ou décret MECIE).</w:t>
      </w:r>
    </w:p>
    <w:p w14:paraId="69D1C63E" w14:textId="0BDEED13" w:rsidR="00DF575C" w:rsidRPr="00DF575C" w:rsidRDefault="00170EFA" w:rsidP="00DF575C">
      <w:r>
        <w:t>LE decret</w:t>
      </w:r>
      <w:r w:rsidR="00DF575C" w:rsidRPr="00DF575C">
        <w:t xml:space="preserve"> MECIE </w:t>
      </w:r>
      <w:r>
        <w:t>dispose</w:t>
      </w:r>
      <w:r w:rsidR="00DF575C" w:rsidRPr="00DF575C">
        <w:t xml:space="preserve"> que tout projet susceptible de porter atteinte à l’environnement est soumis selon la nature technique, l’ampleur de ces projets et la sensibilité de leurs milieux d’implantation, à une Etude d’impact environnemental et social (EIES) ou à un Programme d’engagement environnemental</w:t>
      </w:r>
      <w:r w:rsidR="004E4940">
        <w:t xml:space="preserve"> et social</w:t>
      </w:r>
      <w:r w:rsidR="00DF575C" w:rsidRPr="00DF575C">
        <w:t xml:space="preserve"> (PREE</w:t>
      </w:r>
      <w:r w:rsidR="004E4940">
        <w:t>S</w:t>
      </w:r>
      <w:r w:rsidR="00DF575C" w:rsidRPr="00DF575C">
        <w:t>)</w:t>
      </w:r>
    </w:p>
    <w:p w14:paraId="2FAF344E" w14:textId="1926B1D2" w:rsidR="00DF575C" w:rsidRPr="00DF575C" w:rsidRDefault="00DF575C" w:rsidP="00DF575C">
      <w:r w:rsidRPr="00DF575C">
        <w:t xml:space="preserve">L’étude d’impact environnemental et social (EIES) est une obligation qui s’applique à des projets susceptibles d’engendrer des effets importants, alors que le programme d’engagement environnemental </w:t>
      </w:r>
      <w:r w:rsidR="002821F6">
        <w:t xml:space="preserve">et social </w:t>
      </w:r>
      <w:r w:rsidRPr="00DF575C">
        <w:t>(PREE</w:t>
      </w:r>
      <w:r w:rsidR="002821F6">
        <w:t>S</w:t>
      </w:r>
      <w:r w:rsidRPr="00DF575C">
        <w:t>) vise les projets susceptibles d’avoir des effets plus circonscrits sur le milieu.</w:t>
      </w:r>
    </w:p>
    <w:p w14:paraId="6F7670DF" w14:textId="1F5A1862" w:rsidR="00DF575C" w:rsidRPr="00DF575C" w:rsidRDefault="00DF575C" w:rsidP="00DF575C">
      <w:r w:rsidRPr="00DF575C">
        <w:t xml:space="preserve">Le Décret MECIE établit les étapes du processus d’évaluation </w:t>
      </w:r>
      <w:r w:rsidR="00B03E96">
        <w:t>d’une EIES</w:t>
      </w:r>
      <w:r w:rsidRPr="00DF575C">
        <w:t>, les attributions des institutions publiques, les attributions du promoteur, les mécanismes d’évaluation par un Comité technique, les étapes d’enquêtes et d’audience publiques, la délivrance du permis environnemental et de ses conditions d’exécution de même que les règles régissant le suivi de ces dernières. Il fait de même pour le processus PREE</w:t>
      </w:r>
      <w:r w:rsidR="002821F6">
        <w:t>S</w:t>
      </w:r>
      <w:r w:rsidRPr="00DF575C">
        <w:t xml:space="preserve">, </w:t>
      </w:r>
      <w:r w:rsidR="00B03E96">
        <w:t>dont</w:t>
      </w:r>
      <w:r w:rsidR="00B03E96" w:rsidRPr="00DF575C">
        <w:t xml:space="preserve"> </w:t>
      </w:r>
      <w:r w:rsidRPr="00DF575C">
        <w:t xml:space="preserve">la démarche administrative </w:t>
      </w:r>
      <w:r w:rsidR="00B03E96">
        <w:t>es</w:t>
      </w:r>
      <w:r w:rsidR="00B03E96" w:rsidRPr="00DF575C">
        <w:t xml:space="preserve">t </w:t>
      </w:r>
      <w:r w:rsidRPr="00DF575C">
        <w:t xml:space="preserve">beaucoup plus simple. </w:t>
      </w:r>
    </w:p>
    <w:p w14:paraId="2DD5015D" w14:textId="77777777" w:rsidR="00DF575C" w:rsidRPr="00E106BA" w:rsidRDefault="00DF575C" w:rsidP="00DF575C">
      <w:pPr>
        <w:rPr>
          <w:b/>
          <w:i/>
        </w:rPr>
      </w:pPr>
      <w:r w:rsidRPr="00E106BA">
        <w:rPr>
          <w:b/>
          <w:i/>
        </w:rPr>
        <w:t xml:space="preserve">Cadre environnemental et social (CES) de la Banque mondiale </w:t>
      </w:r>
    </w:p>
    <w:p w14:paraId="5FA22B6B" w14:textId="77777777" w:rsidR="00DF575C" w:rsidRPr="00DF575C" w:rsidRDefault="00DF575C" w:rsidP="00DF575C">
      <w:r w:rsidRPr="00DF575C">
        <w:t>Le CES de la Banque Mondiale est basé sur les 10 Normes environnementales et sociales (NES) suivantes :</w:t>
      </w:r>
    </w:p>
    <w:p w14:paraId="6B689185" w14:textId="77777777" w:rsidR="00DF575C" w:rsidRPr="00DF575C" w:rsidRDefault="00DF575C" w:rsidP="00DF575C">
      <w:r w:rsidRPr="00DF575C">
        <w:t xml:space="preserve">Tabl. </w:t>
      </w:r>
      <w:r w:rsidRPr="00DF575C">
        <w:fldChar w:fldCharType="begin"/>
      </w:r>
      <w:r w:rsidRPr="00DF575C">
        <w:instrText>SEQ Tabl. \* ARABIC</w:instrText>
      </w:r>
      <w:r w:rsidRPr="00DF575C">
        <w:fldChar w:fldCharType="separate"/>
      </w:r>
      <w:r w:rsidRPr="00DF575C">
        <w:t>1</w:t>
      </w:r>
      <w:r w:rsidRPr="00DF575C">
        <w:fldChar w:fldCharType="end"/>
      </w:r>
      <w:r w:rsidRPr="00DF575C">
        <w:t> : Normes Environnementales et Sociales de la Banque mondiale</w:t>
      </w:r>
    </w:p>
    <w:tbl>
      <w:tblPr>
        <w:tblStyle w:val="Trameclaire-Accent51"/>
        <w:tblW w:w="9497" w:type="dxa"/>
        <w:tblInd w:w="108" w:type="dxa"/>
        <w:tblLayout w:type="fixed"/>
        <w:tblLook w:val="04A0" w:firstRow="1" w:lastRow="0" w:firstColumn="1" w:lastColumn="0" w:noHBand="0" w:noVBand="1"/>
      </w:tblPr>
      <w:tblGrid>
        <w:gridCol w:w="1018"/>
        <w:gridCol w:w="258"/>
        <w:gridCol w:w="6237"/>
        <w:gridCol w:w="1984"/>
      </w:tblGrid>
      <w:tr w:rsidR="00DF575C" w:rsidRPr="00DF575C" w14:paraId="3D78EECF" w14:textId="77777777" w:rsidTr="00E106B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513" w:type="dxa"/>
            <w:gridSpan w:val="3"/>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E2EFD9" w:themeFill="accent6" w:themeFillTint="33"/>
          </w:tcPr>
          <w:p w14:paraId="25A37981" w14:textId="77777777" w:rsidR="00DF575C" w:rsidRPr="00DF575C" w:rsidRDefault="00DF575C" w:rsidP="00DF575C">
            <w:r w:rsidRPr="00DF575C">
              <w:t>Normes environnementales et sociales</w:t>
            </w:r>
          </w:p>
        </w:tc>
        <w:tc>
          <w:tcPr>
            <w:tcW w:w="198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E2EFD9" w:themeFill="accent6" w:themeFillTint="33"/>
          </w:tcPr>
          <w:p w14:paraId="0B7909C8" w14:textId="77777777" w:rsidR="00DF575C" w:rsidRPr="00DF575C" w:rsidRDefault="00DF575C" w:rsidP="00DF575C">
            <w:pPr>
              <w:cnfStyle w:val="100000000000" w:firstRow="1" w:lastRow="0" w:firstColumn="0" w:lastColumn="0" w:oddVBand="0" w:evenVBand="0" w:oddHBand="0" w:evenHBand="0" w:firstRowFirstColumn="0" w:firstRowLastColumn="0" w:lastRowFirstColumn="0" w:lastRowLastColumn="0"/>
            </w:pPr>
            <w:r w:rsidRPr="00DF575C">
              <w:t>Pertinence</w:t>
            </w:r>
          </w:p>
        </w:tc>
      </w:tr>
      <w:tr w:rsidR="00DF575C" w:rsidRPr="00DF575C" w14:paraId="5A220F61" w14:textId="77777777" w:rsidTr="00E106BA">
        <w:trPr>
          <w:cnfStyle w:val="000000100000" w:firstRow="0" w:lastRow="0" w:firstColumn="0" w:lastColumn="0" w:oddVBand="0" w:evenVBand="0" w:oddHBand="1" w:evenHBand="0" w:firstRowFirstColumn="0" w:firstRowLastColumn="0" w:lastRowFirstColumn="0" w:lastRowLastColumn="0"/>
          <w:trHeight w:val="635"/>
        </w:trPr>
        <w:tc>
          <w:tcPr>
            <w:cnfStyle w:val="001000000000" w:firstRow="0" w:lastRow="0" w:firstColumn="1" w:lastColumn="0" w:oddVBand="0" w:evenVBand="0" w:oddHBand="0" w:evenHBand="0" w:firstRowFirstColumn="0" w:firstRowLastColumn="0" w:lastRowFirstColumn="0" w:lastRowLastColumn="0"/>
            <w:tcW w:w="1018" w:type="dxa"/>
            <w:tcBorders>
              <w:top w:val="single" w:sz="4" w:space="0" w:color="2F5496" w:themeColor="accent1" w:themeShade="BF"/>
              <w:left w:val="single" w:sz="4" w:space="0" w:color="2F5496" w:themeColor="accent1" w:themeShade="BF"/>
              <w:bottom w:val="single" w:sz="4" w:space="0" w:color="2F5496" w:themeColor="accent1" w:themeShade="BF"/>
            </w:tcBorders>
            <w:shd w:val="clear" w:color="auto" w:fill="auto"/>
          </w:tcPr>
          <w:p w14:paraId="636E5B08" w14:textId="77777777" w:rsidR="00DF575C" w:rsidRPr="00DF575C" w:rsidRDefault="00DF575C" w:rsidP="00DF575C">
            <w:r w:rsidRPr="00DF575C">
              <w:t>NES 1</w:t>
            </w:r>
          </w:p>
        </w:tc>
        <w:tc>
          <w:tcPr>
            <w:tcW w:w="258" w:type="dxa"/>
            <w:tcBorders>
              <w:top w:val="single" w:sz="4" w:space="0" w:color="2F5496" w:themeColor="accent1" w:themeShade="BF"/>
              <w:bottom w:val="single" w:sz="4" w:space="0" w:color="2F5496" w:themeColor="accent1" w:themeShade="BF"/>
            </w:tcBorders>
            <w:shd w:val="clear" w:color="auto" w:fill="FFFFFF" w:themeFill="background1"/>
          </w:tcPr>
          <w:p w14:paraId="1BA727F6" w14:textId="77777777" w:rsidR="00DF575C" w:rsidRPr="00DF575C" w:rsidRDefault="00DF575C" w:rsidP="00DF575C">
            <w:pPr>
              <w:cnfStyle w:val="000000100000" w:firstRow="0" w:lastRow="0" w:firstColumn="0" w:lastColumn="0" w:oddVBand="0" w:evenVBand="0" w:oddHBand="1" w:evenHBand="0" w:firstRowFirstColumn="0" w:firstRowLastColumn="0" w:lastRowFirstColumn="0" w:lastRowLastColumn="0"/>
            </w:pPr>
            <w:r w:rsidRPr="00DF575C">
              <w:t>:</w:t>
            </w:r>
          </w:p>
        </w:tc>
        <w:tc>
          <w:tcPr>
            <w:tcW w:w="6237" w:type="dxa"/>
            <w:tcBorders>
              <w:top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76B4CAFA" w14:textId="77777777" w:rsidR="00DF575C" w:rsidRPr="00DF575C" w:rsidRDefault="00DF575C" w:rsidP="00DF575C">
            <w:pPr>
              <w:cnfStyle w:val="000000100000" w:firstRow="0" w:lastRow="0" w:firstColumn="0" w:lastColumn="0" w:oddVBand="0" w:evenVBand="0" w:oddHBand="1" w:evenHBand="0" w:firstRowFirstColumn="0" w:firstRowLastColumn="0" w:lastRowFirstColumn="0" w:lastRowLastColumn="0"/>
            </w:pPr>
            <w:r w:rsidRPr="00DF575C">
              <w:t>Evaluation et gestion des risques et des impacts environnementaux et sociaux</w:t>
            </w:r>
          </w:p>
        </w:tc>
        <w:tc>
          <w:tcPr>
            <w:tcW w:w="198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10DBC505" w14:textId="77777777" w:rsidR="00DF575C" w:rsidRPr="00DF575C" w:rsidRDefault="00DF575C" w:rsidP="00DF575C">
            <w:pPr>
              <w:cnfStyle w:val="000000100000" w:firstRow="0" w:lastRow="0" w:firstColumn="0" w:lastColumn="0" w:oddVBand="0" w:evenVBand="0" w:oddHBand="1" w:evenHBand="0" w:firstRowFirstColumn="0" w:firstRowLastColumn="0" w:lastRowFirstColumn="0" w:lastRowLastColumn="0"/>
            </w:pPr>
            <w:r w:rsidRPr="00DF575C">
              <w:t>Pertinente</w:t>
            </w:r>
          </w:p>
        </w:tc>
      </w:tr>
      <w:tr w:rsidR="00DF575C" w:rsidRPr="00DF575C" w14:paraId="1B19B098" w14:textId="77777777" w:rsidTr="00E106BA">
        <w:trPr>
          <w:trHeight w:val="363"/>
        </w:trPr>
        <w:tc>
          <w:tcPr>
            <w:cnfStyle w:val="001000000000" w:firstRow="0" w:lastRow="0" w:firstColumn="1" w:lastColumn="0" w:oddVBand="0" w:evenVBand="0" w:oddHBand="0" w:evenHBand="0" w:firstRowFirstColumn="0" w:firstRowLastColumn="0" w:lastRowFirstColumn="0" w:lastRowLastColumn="0"/>
            <w:tcW w:w="1018" w:type="dxa"/>
            <w:tcBorders>
              <w:top w:val="single" w:sz="4" w:space="0" w:color="2F5496" w:themeColor="accent1" w:themeShade="BF"/>
              <w:left w:val="single" w:sz="4" w:space="0" w:color="2F5496" w:themeColor="accent1" w:themeShade="BF"/>
              <w:bottom w:val="single" w:sz="4" w:space="0" w:color="2F5496" w:themeColor="accent1" w:themeShade="BF"/>
              <w:right w:val="nil"/>
            </w:tcBorders>
          </w:tcPr>
          <w:p w14:paraId="67B4EFC7" w14:textId="77777777" w:rsidR="00DF575C" w:rsidRPr="00DF575C" w:rsidRDefault="00DF575C" w:rsidP="00DF575C">
            <w:r w:rsidRPr="00DF575C">
              <w:t>NES 2</w:t>
            </w:r>
          </w:p>
        </w:tc>
        <w:tc>
          <w:tcPr>
            <w:tcW w:w="258" w:type="dxa"/>
            <w:tcBorders>
              <w:top w:val="single" w:sz="4" w:space="0" w:color="2F5496" w:themeColor="accent1" w:themeShade="BF"/>
              <w:left w:val="nil"/>
              <w:bottom w:val="single" w:sz="4" w:space="0" w:color="2F5496" w:themeColor="accent1" w:themeShade="BF"/>
              <w:right w:val="nil"/>
            </w:tcBorders>
            <w:shd w:val="clear" w:color="auto" w:fill="FFFFFF" w:themeFill="background1"/>
          </w:tcPr>
          <w:p w14:paraId="235F8295" w14:textId="77777777" w:rsidR="00DF575C" w:rsidRPr="00DF575C" w:rsidRDefault="00DF575C" w:rsidP="00DF575C">
            <w:pPr>
              <w:cnfStyle w:val="000000000000" w:firstRow="0" w:lastRow="0" w:firstColumn="0" w:lastColumn="0" w:oddVBand="0" w:evenVBand="0" w:oddHBand="0" w:evenHBand="0" w:firstRowFirstColumn="0" w:firstRowLastColumn="0" w:lastRowFirstColumn="0" w:lastRowLastColumn="0"/>
            </w:pPr>
            <w:r w:rsidRPr="00DF575C">
              <w:t>:</w:t>
            </w:r>
          </w:p>
        </w:tc>
        <w:tc>
          <w:tcPr>
            <w:tcW w:w="6237" w:type="dxa"/>
            <w:tcBorders>
              <w:top w:val="single" w:sz="4" w:space="0" w:color="2F5496" w:themeColor="accent1" w:themeShade="BF"/>
              <w:left w:val="nil"/>
              <w:bottom w:val="single" w:sz="4" w:space="0" w:color="2F5496" w:themeColor="accent1" w:themeShade="BF"/>
              <w:right w:val="single" w:sz="4" w:space="0" w:color="2F5496" w:themeColor="accent1" w:themeShade="BF"/>
            </w:tcBorders>
            <w:shd w:val="clear" w:color="auto" w:fill="FFFFFF" w:themeFill="background1"/>
          </w:tcPr>
          <w:p w14:paraId="22214714" w14:textId="77777777" w:rsidR="00DF575C" w:rsidRPr="00DF575C" w:rsidRDefault="00DF575C" w:rsidP="00DF575C">
            <w:pPr>
              <w:cnfStyle w:val="000000000000" w:firstRow="0" w:lastRow="0" w:firstColumn="0" w:lastColumn="0" w:oddVBand="0" w:evenVBand="0" w:oddHBand="0" w:evenHBand="0" w:firstRowFirstColumn="0" w:firstRowLastColumn="0" w:lastRowFirstColumn="0" w:lastRowLastColumn="0"/>
            </w:pPr>
            <w:r w:rsidRPr="00DF575C">
              <w:t>Emploi et conditions de travail</w:t>
            </w:r>
          </w:p>
        </w:tc>
        <w:tc>
          <w:tcPr>
            <w:tcW w:w="198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71B07F89" w14:textId="77777777" w:rsidR="00DF575C" w:rsidRPr="00DF575C" w:rsidRDefault="00DF575C" w:rsidP="00DF575C">
            <w:pPr>
              <w:cnfStyle w:val="000000000000" w:firstRow="0" w:lastRow="0" w:firstColumn="0" w:lastColumn="0" w:oddVBand="0" w:evenVBand="0" w:oddHBand="0" w:evenHBand="0" w:firstRowFirstColumn="0" w:firstRowLastColumn="0" w:lastRowFirstColumn="0" w:lastRowLastColumn="0"/>
            </w:pPr>
            <w:r w:rsidRPr="00DF575C">
              <w:t>Pertinente</w:t>
            </w:r>
          </w:p>
        </w:tc>
      </w:tr>
      <w:tr w:rsidR="00DF575C" w:rsidRPr="00DF575C" w14:paraId="7F23623E" w14:textId="77777777" w:rsidTr="00E106BA">
        <w:trPr>
          <w:cnfStyle w:val="000000100000" w:firstRow="0" w:lastRow="0" w:firstColumn="0" w:lastColumn="0" w:oddVBand="0" w:evenVBand="0" w:oddHBand="1" w:evenHBand="0" w:firstRowFirstColumn="0" w:firstRowLastColumn="0" w:lastRowFirstColumn="0" w:lastRowLastColumn="0"/>
          <w:trHeight w:val="635"/>
        </w:trPr>
        <w:tc>
          <w:tcPr>
            <w:cnfStyle w:val="001000000000" w:firstRow="0" w:lastRow="0" w:firstColumn="1" w:lastColumn="0" w:oddVBand="0" w:evenVBand="0" w:oddHBand="0" w:evenHBand="0" w:firstRowFirstColumn="0" w:firstRowLastColumn="0" w:lastRowFirstColumn="0" w:lastRowLastColumn="0"/>
            <w:tcW w:w="1018" w:type="dxa"/>
            <w:tcBorders>
              <w:top w:val="single" w:sz="4" w:space="0" w:color="2F5496" w:themeColor="accent1" w:themeShade="BF"/>
              <w:left w:val="single" w:sz="4" w:space="0" w:color="2F5496" w:themeColor="accent1" w:themeShade="BF"/>
              <w:bottom w:val="single" w:sz="4" w:space="0" w:color="2F5496" w:themeColor="accent1" w:themeShade="BF"/>
            </w:tcBorders>
            <w:shd w:val="clear" w:color="auto" w:fill="auto"/>
          </w:tcPr>
          <w:p w14:paraId="43987A94" w14:textId="77777777" w:rsidR="00DF575C" w:rsidRPr="00DF575C" w:rsidRDefault="00DF575C" w:rsidP="00DF575C">
            <w:r w:rsidRPr="00DF575C">
              <w:t>NES 3</w:t>
            </w:r>
          </w:p>
        </w:tc>
        <w:tc>
          <w:tcPr>
            <w:tcW w:w="258" w:type="dxa"/>
            <w:tcBorders>
              <w:top w:val="single" w:sz="4" w:space="0" w:color="2F5496" w:themeColor="accent1" w:themeShade="BF"/>
              <w:bottom w:val="single" w:sz="4" w:space="0" w:color="2F5496" w:themeColor="accent1" w:themeShade="BF"/>
            </w:tcBorders>
            <w:shd w:val="clear" w:color="auto" w:fill="FFFFFF" w:themeFill="background1"/>
          </w:tcPr>
          <w:p w14:paraId="4BA364EB" w14:textId="77777777" w:rsidR="00DF575C" w:rsidRPr="00DF575C" w:rsidRDefault="00DF575C" w:rsidP="00DF575C">
            <w:pPr>
              <w:cnfStyle w:val="000000100000" w:firstRow="0" w:lastRow="0" w:firstColumn="0" w:lastColumn="0" w:oddVBand="0" w:evenVBand="0" w:oddHBand="1" w:evenHBand="0" w:firstRowFirstColumn="0" w:firstRowLastColumn="0" w:lastRowFirstColumn="0" w:lastRowLastColumn="0"/>
            </w:pPr>
            <w:r w:rsidRPr="00DF575C">
              <w:t>:</w:t>
            </w:r>
          </w:p>
        </w:tc>
        <w:tc>
          <w:tcPr>
            <w:tcW w:w="6237" w:type="dxa"/>
            <w:tcBorders>
              <w:top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56636D74" w14:textId="77777777" w:rsidR="00DF575C" w:rsidRPr="00DF575C" w:rsidRDefault="00DF575C" w:rsidP="00DF575C">
            <w:pPr>
              <w:cnfStyle w:val="000000100000" w:firstRow="0" w:lastRow="0" w:firstColumn="0" w:lastColumn="0" w:oddVBand="0" w:evenVBand="0" w:oddHBand="1" w:evenHBand="0" w:firstRowFirstColumn="0" w:firstRowLastColumn="0" w:lastRowFirstColumn="0" w:lastRowLastColumn="0"/>
            </w:pPr>
            <w:r w:rsidRPr="00DF575C">
              <w:t>Utilisation rationnelle des ressources et prévention et gestion de la pollution</w:t>
            </w:r>
          </w:p>
        </w:tc>
        <w:tc>
          <w:tcPr>
            <w:tcW w:w="198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3F6ACC10" w14:textId="77777777" w:rsidR="00DF575C" w:rsidRPr="00DF575C" w:rsidRDefault="00DF575C" w:rsidP="00DF575C">
            <w:pPr>
              <w:cnfStyle w:val="000000100000" w:firstRow="0" w:lastRow="0" w:firstColumn="0" w:lastColumn="0" w:oddVBand="0" w:evenVBand="0" w:oddHBand="1" w:evenHBand="0" w:firstRowFirstColumn="0" w:firstRowLastColumn="0" w:lastRowFirstColumn="0" w:lastRowLastColumn="0"/>
            </w:pPr>
            <w:r w:rsidRPr="00DF575C">
              <w:t>Pertinente</w:t>
            </w:r>
          </w:p>
        </w:tc>
      </w:tr>
      <w:tr w:rsidR="00DF575C" w:rsidRPr="00DF575C" w14:paraId="24A812DC" w14:textId="77777777" w:rsidTr="00E106BA">
        <w:trPr>
          <w:trHeight w:val="335"/>
        </w:trPr>
        <w:tc>
          <w:tcPr>
            <w:cnfStyle w:val="001000000000" w:firstRow="0" w:lastRow="0" w:firstColumn="1" w:lastColumn="0" w:oddVBand="0" w:evenVBand="0" w:oddHBand="0" w:evenHBand="0" w:firstRowFirstColumn="0" w:firstRowLastColumn="0" w:lastRowFirstColumn="0" w:lastRowLastColumn="0"/>
            <w:tcW w:w="1018" w:type="dxa"/>
            <w:tcBorders>
              <w:top w:val="single" w:sz="4" w:space="0" w:color="2F5496" w:themeColor="accent1" w:themeShade="BF"/>
              <w:left w:val="single" w:sz="4" w:space="0" w:color="2F5496" w:themeColor="accent1" w:themeShade="BF"/>
              <w:bottom w:val="single" w:sz="4" w:space="0" w:color="2F5496" w:themeColor="accent1" w:themeShade="BF"/>
              <w:right w:val="nil"/>
            </w:tcBorders>
          </w:tcPr>
          <w:p w14:paraId="0B7CDBF6" w14:textId="77777777" w:rsidR="00DF575C" w:rsidRPr="00DF575C" w:rsidRDefault="00DF575C" w:rsidP="00DF575C">
            <w:r w:rsidRPr="00DF575C">
              <w:t>NES 4</w:t>
            </w:r>
          </w:p>
        </w:tc>
        <w:tc>
          <w:tcPr>
            <w:tcW w:w="258" w:type="dxa"/>
            <w:tcBorders>
              <w:top w:val="single" w:sz="4" w:space="0" w:color="2F5496" w:themeColor="accent1" w:themeShade="BF"/>
              <w:left w:val="nil"/>
              <w:bottom w:val="single" w:sz="4" w:space="0" w:color="2F5496" w:themeColor="accent1" w:themeShade="BF"/>
              <w:right w:val="nil"/>
            </w:tcBorders>
            <w:shd w:val="clear" w:color="auto" w:fill="FFFFFF" w:themeFill="background1"/>
          </w:tcPr>
          <w:p w14:paraId="500F3486" w14:textId="77777777" w:rsidR="00DF575C" w:rsidRPr="00DF575C" w:rsidRDefault="00DF575C" w:rsidP="00DF575C">
            <w:pPr>
              <w:cnfStyle w:val="000000000000" w:firstRow="0" w:lastRow="0" w:firstColumn="0" w:lastColumn="0" w:oddVBand="0" w:evenVBand="0" w:oddHBand="0" w:evenHBand="0" w:firstRowFirstColumn="0" w:firstRowLastColumn="0" w:lastRowFirstColumn="0" w:lastRowLastColumn="0"/>
            </w:pPr>
            <w:r w:rsidRPr="00DF575C">
              <w:t>:</w:t>
            </w:r>
          </w:p>
        </w:tc>
        <w:tc>
          <w:tcPr>
            <w:tcW w:w="6237" w:type="dxa"/>
            <w:tcBorders>
              <w:top w:val="single" w:sz="4" w:space="0" w:color="2F5496" w:themeColor="accent1" w:themeShade="BF"/>
              <w:left w:val="nil"/>
              <w:bottom w:val="single" w:sz="4" w:space="0" w:color="2F5496" w:themeColor="accent1" w:themeShade="BF"/>
              <w:right w:val="single" w:sz="4" w:space="0" w:color="2F5496" w:themeColor="accent1" w:themeShade="BF"/>
            </w:tcBorders>
            <w:shd w:val="clear" w:color="auto" w:fill="FFFFFF" w:themeFill="background1"/>
          </w:tcPr>
          <w:p w14:paraId="725ECF72" w14:textId="77777777" w:rsidR="00DF575C" w:rsidRPr="00DF575C" w:rsidRDefault="00DF575C" w:rsidP="00DF575C">
            <w:pPr>
              <w:cnfStyle w:val="000000000000" w:firstRow="0" w:lastRow="0" w:firstColumn="0" w:lastColumn="0" w:oddVBand="0" w:evenVBand="0" w:oddHBand="0" w:evenHBand="0" w:firstRowFirstColumn="0" w:firstRowLastColumn="0" w:lastRowFirstColumn="0" w:lastRowLastColumn="0"/>
            </w:pPr>
            <w:r w:rsidRPr="00DF575C">
              <w:t>Santé et sécurité des populations</w:t>
            </w:r>
          </w:p>
        </w:tc>
        <w:tc>
          <w:tcPr>
            <w:tcW w:w="198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3A492F4B" w14:textId="77777777" w:rsidR="00DF575C" w:rsidRPr="00DF575C" w:rsidRDefault="00DF575C" w:rsidP="00DF575C">
            <w:pPr>
              <w:cnfStyle w:val="000000000000" w:firstRow="0" w:lastRow="0" w:firstColumn="0" w:lastColumn="0" w:oddVBand="0" w:evenVBand="0" w:oddHBand="0" w:evenHBand="0" w:firstRowFirstColumn="0" w:firstRowLastColumn="0" w:lastRowFirstColumn="0" w:lastRowLastColumn="0"/>
            </w:pPr>
            <w:r w:rsidRPr="00DF575C">
              <w:t>Pertinente</w:t>
            </w:r>
          </w:p>
        </w:tc>
      </w:tr>
      <w:tr w:rsidR="00DF575C" w:rsidRPr="00DF575C" w14:paraId="51120E60" w14:textId="77777777" w:rsidTr="00E106BA">
        <w:trPr>
          <w:cnfStyle w:val="000000100000" w:firstRow="0" w:lastRow="0" w:firstColumn="0" w:lastColumn="0" w:oddVBand="0" w:evenVBand="0" w:oddHBand="1" w:evenHBand="0" w:firstRowFirstColumn="0" w:firstRowLastColumn="0" w:lastRowFirstColumn="0" w:lastRowLastColumn="0"/>
          <w:trHeight w:val="635"/>
        </w:trPr>
        <w:tc>
          <w:tcPr>
            <w:cnfStyle w:val="001000000000" w:firstRow="0" w:lastRow="0" w:firstColumn="1" w:lastColumn="0" w:oddVBand="0" w:evenVBand="0" w:oddHBand="0" w:evenHBand="0" w:firstRowFirstColumn="0" w:firstRowLastColumn="0" w:lastRowFirstColumn="0" w:lastRowLastColumn="0"/>
            <w:tcW w:w="1018" w:type="dxa"/>
            <w:tcBorders>
              <w:top w:val="single" w:sz="4" w:space="0" w:color="2F5496" w:themeColor="accent1" w:themeShade="BF"/>
              <w:left w:val="single" w:sz="4" w:space="0" w:color="2F5496" w:themeColor="accent1" w:themeShade="BF"/>
              <w:bottom w:val="single" w:sz="4" w:space="0" w:color="2F5496" w:themeColor="accent1" w:themeShade="BF"/>
            </w:tcBorders>
            <w:shd w:val="clear" w:color="auto" w:fill="auto"/>
          </w:tcPr>
          <w:p w14:paraId="5EE847C1" w14:textId="77777777" w:rsidR="00DF575C" w:rsidRPr="00DF575C" w:rsidRDefault="00DF575C" w:rsidP="00DF575C">
            <w:r w:rsidRPr="00DF575C">
              <w:t>NES 5</w:t>
            </w:r>
          </w:p>
        </w:tc>
        <w:tc>
          <w:tcPr>
            <w:tcW w:w="258" w:type="dxa"/>
            <w:tcBorders>
              <w:top w:val="single" w:sz="4" w:space="0" w:color="2F5496" w:themeColor="accent1" w:themeShade="BF"/>
              <w:bottom w:val="single" w:sz="4" w:space="0" w:color="2F5496" w:themeColor="accent1" w:themeShade="BF"/>
            </w:tcBorders>
            <w:shd w:val="clear" w:color="auto" w:fill="FFFFFF" w:themeFill="background1"/>
          </w:tcPr>
          <w:p w14:paraId="10159C0C" w14:textId="77777777" w:rsidR="00DF575C" w:rsidRPr="00DF575C" w:rsidRDefault="00DF575C" w:rsidP="00DF575C">
            <w:pPr>
              <w:cnfStyle w:val="000000100000" w:firstRow="0" w:lastRow="0" w:firstColumn="0" w:lastColumn="0" w:oddVBand="0" w:evenVBand="0" w:oddHBand="1" w:evenHBand="0" w:firstRowFirstColumn="0" w:firstRowLastColumn="0" w:lastRowFirstColumn="0" w:lastRowLastColumn="0"/>
            </w:pPr>
            <w:r w:rsidRPr="00DF575C">
              <w:t>:</w:t>
            </w:r>
          </w:p>
        </w:tc>
        <w:tc>
          <w:tcPr>
            <w:tcW w:w="6237" w:type="dxa"/>
            <w:tcBorders>
              <w:top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28101F2D" w14:textId="77777777" w:rsidR="00DF575C" w:rsidRPr="00DF575C" w:rsidRDefault="00DF575C" w:rsidP="00DF575C">
            <w:pPr>
              <w:cnfStyle w:val="000000100000" w:firstRow="0" w:lastRow="0" w:firstColumn="0" w:lastColumn="0" w:oddVBand="0" w:evenVBand="0" w:oddHBand="1" w:evenHBand="0" w:firstRowFirstColumn="0" w:firstRowLastColumn="0" w:lastRowFirstColumn="0" w:lastRowLastColumn="0"/>
            </w:pPr>
            <w:r w:rsidRPr="00DF575C">
              <w:t>Acquisition des terres, restrictions à l’utilisation des terres et réinstallation involontaire</w:t>
            </w:r>
          </w:p>
        </w:tc>
        <w:tc>
          <w:tcPr>
            <w:tcW w:w="198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0D88B846" w14:textId="77777777" w:rsidR="00DF575C" w:rsidRPr="00DF575C" w:rsidRDefault="00DF575C" w:rsidP="00DF575C">
            <w:pPr>
              <w:cnfStyle w:val="000000100000" w:firstRow="0" w:lastRow="0" w:firstColumn="0" w:lastColumn="0" w:oddVBand="0" w:evenVBand="0" w:oddHBand="1" w:evenHBand="0" w:firstRowFirstColumn="0" w:firstRowLastColumn="0" w:lastRowFirstColumn="0" w:lastRowLastColumn="0"/>
            </w:pPr>
            <w:r w:rsidRPr="00DF575C">
              <w:t>Pertinente</w:t>
            </w:r>
          </w:p>
        </w:tc>
      </w:tr>
      <w:tr w:rsidR="00DF575C" w:rsidRPr="00DF575C" w14:paraId="447487D4" w14:textId="77777777" w:rsidTr="00E106BA">
        <w:trPr>
          <w:trHeight w:val="477"/>
        </w:trPr>
        <w:tc>
          <w:tcPr>
            <w:cnfStyle w:val="001000000000" w:firstRow="0" w:lastRow="0" w:firstColumn="1" w:lastColumn="0" w:oddVBand="0" w:evenVBand="0" w:oddHBand="0" w:evenHBand="0" w:firstRowFirstColumn="0" w:firstRowLastColumn="0" w:lastRowFirstColumn="0" w:lastRowLastColumn="0"/>
            <w:tcW w:w="1018" w:type="dxa"/>
            <w:tcBorders>
              <w:top w:val="single" w:sz="4" w:space="0" w:color="2F5496" w:themeColor="accent1" w:themeShade="BF"/>
              <w:left w:val="single" w:sz="4" w:space="0" w:color="2F5496" w:themeColor="accent1" w:themeShade="BF"/>
              <w:bottom w:val="single" w:sz="4" w:space="0" w:color="2F5496" w:themeColor="accent1" w:themeShade="BF"/>
              <w:right w:val="nil"/>
            </w:tcBorders>
          </w:tcPr>
          <w:p w14:paraId="3CBE5483" w14:textId="77777777" w:rsidR="00DF575C" w:rsidRPr="00DF575C" w:rsidRDefault="00DF575C" w:rsidP="00DF575C">
            <w:r w:rsidRPr="00DF575C">
              <w:lastRenderedPageBreak/>
              <w:t>NES 6</w:t>
            </w:r>
          </w:p>
        </w:tc>
        <w:tc>
          <w:tcPr>
            <w:tcW w:w="258" w:type="dxa"/>
            <w:tcBorders>
              <w:top w:val="single" w:sz="4" w:space="0" w:color="2F5496" w:themeColor="accent1" w:themeShade="BF"/>
              <w:left w:val="nil"/>
              <w:bottom w:val="single" w:sz="4" w:space="0" w:color="2F5496" w:themeColor="accent1" w:themeShade="BF"/>
              <w:right w:val="nil"/>
            </w:tcBorders>
            <w:shd w:val="clear" w:color="auto" w:fill="FFFFFF" w:themeFill="background1"/>
          </w:tcPr>
          <w:p w14:paraId="6CBD050C" w14:textId="77777777" w:rsidR="00DF575C" w:rsidRPr="00DF575C" w:rsidRDefault="00DF575C" w:rsidP="00DF575C">
            <w:pPr>
              <w:cnfStyle w:val="000000000000" w:firstRow="0" w:lastRow="0" w:firstColumn="0" w:lastColumn="0" w:oddVBand="0" w:evenVBand="0" w:oddHBand="0" w:evenHBand="0" w:firstRowFirstColumn="0" w:firstRowLastColumn="0" w:lastRowFirstColumn="0" w:lastRowLastColumn="0"/>
            </w:pPr>
            <w:r w:rsidRPr="00DF575C">
              <w:t>:</w:t>
            </w:r>
          </w:p>
        </w:tc>
        <w:tc>
          <w:tcPr>
            <w:tcW w:w="6237" w:type="dxa"/>
            <w:tcBorders>
              <w:top w:val="single" w:sz="4" w:space="0" w:color="2F5496" w:themeColor="accent1" w:themeShade="BF"/>
              <w:left w:val="nil"/>
              <w:bottom w:val="single" w:sz="4" w:space="0" w:color="2F5496" w:themeColor="accent1" w:themeShade="BF"/>
              <w:right w:val="single" w:sz="4" w:space="0" w:color="2F5496" w:themeColor="accent1" w:themeShade="BF"/>
            </w:tcBorders>
            <w:shd w:val="clear" w:color="auto" w:fill="FFFFFF" w:themeFill="background1"/>
          </w:tcPr>
          <w:p w14:paraId="2A7786EF" w14:textId="77777777" w:rsidR="00DF575C" w:rsidRPr="00DF575C" w:rsidRDefault="00DF575C" w:rsidP="00DF575C">
            <w:pPr>
              <w:cnfStyle w:val="000000000000" w:firstRow="0" w:lastRow="0" w:firstColumn="0" w:lastColumn="0" w:oddVBand="0" w:evenVBand="0" w:oddHBand="0" w:evenHBand="0" w:firstRowFirstColumn="0" w:firstRowLastColumn="0" w:lastRowFirstColumn="0" w:lastRowLastColumn="0"/>
            </w:pPr>
            <w:r w:rsidRPr="00DF575C">
              <w:t>Préservation de la biodiversité et gestion durable des ressources naturelles biologiques</w:t>
            </w:r>
          </w:p>
        </w:tc>
        <w:tc>
          <w:tcPr>
            <w:tcW w:w="198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4680561E" w14:textId="77777777" w:rsidR="00DF575C" w:rsidRPr="00DF575C" w:rsidRDefault="00DF575C" w:rsidP="00DF575C">
            <w:pPr>
              <w:cnfStyle w:val="000000000000" w:firstRow="0" w:lastRow="0" w:firstColumn="0" w:lastColumn="0" w:oddVBand="0" w:evenVBand="0" w:oddHBand="0" w:evenHBand="0" w:firstRowFirstColumn="0" w:firstRowLastColumn="0" w:lastRowFirstColumn="0" w:lastRowLastColumn="0"/>
            </w:pPr>
            <w:r w:rsidRPr="00DF575C">
              <w:t>Pertinente</w:t>
            </w:r>
          </w:p>
        </w:tc>
      </w:tr>
      <w:tr w:rsidR="00DF575C" w:rsidRPr="00DF575C" w14:paraId="05F64B99" w14:textId="77777777" w:rsidTr="00E106BA">
        <w:trPr>
          <w:cnfStyle w:val="000000100000" w:firstRow="0" w:lastRow="0" w:firstColumn="0" w:lastColumn="0" w:oddVBand="0" w:evenVBand="0" w:oddHBand="1" w:evenHBand="0" w:firstRowFirstColumn="0" w:firstRowLastColumn="0" w:lastRowFirstColumn="0" w:lastRowLastColumn="0"/>
          <w:trHeight w:val="635"/>
        </w:trPr>
        <w:tc>
          <w:tcPr>
            <w:cnfStyle w:val="001000000000" w:firstRow="0" w:lastRow="0" w:firstColumn="1" w:lastColumn="0" w:oddVBand="0" w:evenVBand="0" w:oddHBand="0" w:evenHBand="0" w:firstRowFirstColumn="0" w:firstRowLastColumn="0" w:lastRowFirstColumn="0" w:lastRowLastColumn="0"/>
            <w:tcW w:w="1018" w:type="dxa"/>
            <w:tcBorders>
              <w:top w:val="single" w:sz="4" w:space="0" w:color="2F5496" w:themeColor="accent1" w:themeShade="BF"/>
              <w:left w:val="single" w:sz="4" w:space="0" w:color="2F5496" w:themeColor="accent1" w:themeShade="BF"/>
              <w:bottom w:val="single" w:sz="4" w:space="0" w:color="2F5496" w:themeColor="accent1" w:themeShade="BF"/>
            </w:tcBorders>
            <w:shd w:val="clear" w:color="auto" w:fill="auto"/>
          </w:tcPr>
          <w:p w14:paraId="458B9C11" w14:textId="77777777" w:rsidR="00DF575C" w:rsidRPr="00DF575C" w:rsidRDefault="00DF575C" w:rsidP="00DF575C">
            <w:r w:rsidRPr="00DF575C">
              <w:t>NES 7</w:t>
            </w:r>
          </w:p>
        </w:tc>
        <w:tc>
          <w:tcPr>
            <w:tcW w:w="258" w:type="dxa"/>
            <w:tcBorders>
              <w:top w:val="single" w:sz="4" w:space="0" w:color="2F5496" w:themeColor="accent1" w:themeShade="BF"/>
              <w:bottom w:val="single" w:sz="4" w:space="0" w:color="2F5496" w:themeColor="accent1" w:themeShade="BF"/>
            </w:tcBorders>
            <w:shd w:val="clear" w:color="auto" w:fill="FFFFFF" w:themeFill="background1"/>
          </w:tcPr>
          <w:p w14:paraId="17EF2007" w14:textId="77777777" w:rsidR="00DF575C" w:rsidRPr="00DF575C" w:rsidRDefault="00DF575C" w:rsidP="00DF575C">
            <w:pPr>
              <w:cnfStyle w:val="000000100000" w:firstRow="0" w:lastRow="0" w:firstColumn="0" w:lastColumn="0" w:oddVBand="0" w:evenVBand="0" w:oddHBand="1" w:evenHBand="0" w:firstRowFirstColumn="0" w:firstRowLastColumn="0" w:lastRowFirstColumn="0" w:lastRowLastColumn="0"/>
            </w:pPr>
            <w:r w:rsidRPr="00DF575C">
              <w:t>:</w:t>
            </w:r>
          </w:p>
        </w:tc>
        <w:tc>
          <w:tcPr>
            <w:tcW w:w="6237" w:type="dxa"/>
            <w:tcBorders>
              <w:top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4BAC7CF1" w14:textId="77777777" w:rsidR="00DF575C" w:rsidRPr="00DF575C" w:rsidRDefault="00DF575C" w:rsidP="00DF575C">
            <w:pPr>
              <w:cnfStyle w:val="000000100000" w:firstRow="0" w:lastRow="0" w:firstColumn="0" w:lastColumn="0" w:oddVBand="0" w:evenVBand="0" w:oddHBand="1" w:evenHBand="0" w:firstRowFirstColumn="0" w:firstRowLastColumn="0" w:lastRowFirstColumn="0" w:lastRowLastColumn="0"/>
            </w:pPr>
            <w:r w:rsidRPr="00DF575C">
              <w:t>Peuples autochtones /Communautés locales traditionnelles d’Afrique subsaharienne historiquement défavorisées</w:t>
            </w:r>
          </w:p>
        </w:tc>
        <w:tc>
          <w:tcPr>
            <w:tcW w:w="198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3341FF92" w14:textId="77777777" w:rsidR="00DF575C" w:rsidRPr="00DF575C" w:rsidRDefault="00DF575C" w:rsidP="00DF575C">
            <w:pPr>
              <w:cnfStyle w:val="000000100000" w:firstRow="0" w:lastRow="0" w:firstColumn="0" w:lastColumn="0" w:oddVBand="0" w:evenVBand="0" w:oddHBand="1" w:evenHBand="0" w:firstRowFirstColumn="0" w:firstRowLastColumn="0" w:lastRowFirstColumn="0" w:lastRowLastColumn="0"/>
            </w:pPr>
            <w:r w:rsidRPr="00DF575C">
              <w:t>Non pertinente</w:t>
            </w:r>
          </w:p>
        </w:tc>
      </w:tr>
      <w:tr w:rsidR="00DF575C" w:rsidRPr="00DF575C" w14:paraId="3DD85522" w14:textId="77777777" w:rsidTr="00E106BA">
        <w:trPr>
          <w:trHeight w:val="68"/>
        </w:trPr>
        <w:tc>
          <w:tcPr>
            <w:cnfStyle w:val="001000000000" w:firstRow="0" w:lastRow="0" w:firstColumn="1" w:lastColumn="0" w:oddVBand="0" w:evenVBand="0" w:oddHBand="0" w:evenHBand="0" w:firstRowFirstColumn="0" w:firstRowLastColumn="0" w:lastRowFirstColumn="0" w:lastRowLastColumn="0"/>
            <w:tcW w:w="1018" w:type="dxa"/>
            <w:tcBorders>
              <w:top w:val="single" w:sz="4" w:space="0" w:color="2F5496" w:themeColor="accent1" w:themeShade="BF"/>
              <w:left w:val="single" w:sz="4" w:space="0" w:color="2F5496" w:themeColor="accent1" w:themeShade="BF"/>
              <w:bottom w:val="single" w:sz="4" w:space="0" w:color="2F5496" w:themeColor="accent1" w:themeShade="BF"/>
              <w:right w:val="nil"/>
            </w:tcBorders>
          </w:tcPr>
          <w:p w14:paraId="54BEF1F7" w14:textId="77777777" w:rsidR="00DF575C" w:rsidRPr="00DF575C" w:rsidRDefault="00DF575C" w:rsidP="00DF575C">
            <w:r w:rsidRPr="00DF575C">
              <w:t>NES 8</w:t>
            </w:r>
          </w:p>
        </w:tc>
        <w:tc>
          <w:tcPr>
            <w:tcW w:w="258" w:type="dxa"/>
            <w:tcBorders>
              <w:top w:val="single" w:sz="4" w:space="0" w:color="2F5496" w:themeColor="accent1" w:themeShade="BF"/>
              <w:left w:val="nil"/>
              <w:bottom w:val="single" w:sz="4" w:space="0" w:color="2F5496" w:themeColor="accent1" w:themeShade="BF"/>
              <w:right w:val="nil"/>
            </w:tcBorders>
            <w:shd w:val="clear" w:color="auto" w:fill="FFFFFF" w:themeFill="background1"/>
          </w:tcPr>
          <w:p w14:paraId="3C557236" w14:textId="77777777" w:rsidR="00DF575C" w:rsidRPr="00DF575C" w:rsidRDefault="00DF575C" w:rsidP="00DF575C">
            <w:pPr>
              <w:cnfStyle w:val="000000000000" w:firstRow="0" w:lastRow="0" w:firstColumn="0" w:lastColumn="0" w:oddVBand="0" w:evenVBand="0" w:oddHBand="0" w:evenHBand="0" w:firstRowFirstColumn="0" w:firstRowLastColumn="0" w:lastRowFirstColumn="0" w:lastRowLastColumn="0"/>
            </w:pPr>
            <w:r w:rsidRPr="00DF575C">
              <w:t>:</w:t>
            </w:r>
          </w:p>
        </w:tc>
        <w:tc>
          <w:tcPr>
            <w:tcW w:w="6237" w:type="dxa"/>
            <w:tcBorders>
              <w:top w:val="single" w:sz="4" w:space="0" w:color="2F5496" w:themeColor="accent1" w:themeShade="BF"/>
              <w:left w:val="nil"/>
              <w:bottom w:val="single" w:sz="4" w:space="0" w:color="2F5496" w:themeColor="accent1" w:themeShade="BF"/>
              <w:right w:val="single" w:sz="4" w:space="0" w:color="2F5496" w:themeColor="accent1" w:themeShade="BF"/>
            </w:tcBorders>
            <w:shd w:val="clear" w:color="auto" w:fill="FFFFFF" w:themeFill="background1"/>
          </w:tcPr>
          <w:p w14:paraId="350B6785" w14:textId="77777777" w:rsidR="00DF575C" w:rsidRPr="00DF575C" w:rsidRDefault="00DF575C" w:rsidP="00DF575C">
            <w:pPr>
              <w:cnfStyle w:val="000000000000" w:firstRow="0" w:lastRow="0" w:firstColumn="0" w:lastColumn="0" w:oddVBand="0" w:evenVBand="0" w:oddHBand="0" w:evenHBand="0" w:firstRowFirstColumn="0" w:firstRowLastColumn="0" w:lastRowFirstColumn="0" w:lastRowLastColumn="0"/>
            </w:pPr>
            <w:r w:rsidRPr="00DF575C">
              <w:t>Patrimoine culturel</w:t>
            </w:r>
          </w:p>
        </w:tc>
        <w:tc>
          <w:tcPr>
            <w:tcW w:w="198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118F345C" w14:textId="77777777" w:rsidR="00DF575C" w:rsidRPr="00DF575C" w:rsidRDefault="00DF575C" w:rsidP="00DF575C">
            <w:pPr>
              <w:cnfStyle w:val="000000000000" w:firstRow="0" w:lastRow="0" w:firstColumn="0" w:lastColumn="0" w:oddVBand="0" w:evenVBand="0" w:oddHBand="0" w:evenHBand="0" w:firstRowFirstColumn="0" w:firstRowLastColumn="0" w:lastRowFirstColumn="0" w:lastRowLastColumn="0"/>
            </w:pPr>
            <w:r w:rsidRPr="00DF575C">
              <w:t>Pertinente</w:t>
            </w:r>
          </w:p>
        </w:tc>
      </w:tr>
      <w:tr w:rsidR="00DF575C" w:rsidRPr="00DF575C" w14:paraId="6173899F" w14:textId="77777777" w:rsidTr="00E106BA">
        <w:trPr>
          <w:cnfStyle w:val="000000100000" w:firstRow="0" w:lastRow="0" w:firstColumn="0" w:lastColumn="0" w:oddVBand="0" w:evenVBand="0" w:oddHBand="1" w:evenHBand="0" w:firstRowFirstColumn="0" w:firstRowLastColumn="0" w:lastRowFirstColumn="0" w:lastRowLastColumn="0"/>
          <w:trHeight w:val="372"/>
        </w:trPr>
        <w:tc>
          <w:tcPr>
            <w:cnfStyle w:val="001000000000" w:firstRow="0" w:lastRow="0" w:firstColumn="1" w:lastColumn="0" w:oddVBand="0" w:evenVBand="0" w:oddHBand="0" w:evenHBand="0" w:firstRowFirstColumn="0" w:firstRowLastColumn="0" w:lastRowFirstColumn="0" w:lastRowLastColumn="0"/>
            <w:tcW w:w="1018" w:type="dxa"/>
            <w:tcBorders>
              <w:top w:val="single" w:sz="4" w:space="0" w:color="2F5496" w:themeColor="accent1" w:themeShade="BF"/>
              <w:left w:val="single" w:sz="4" w:space="0" w:color="2F5496" w:themeColor="accent1" w:themeShade="BF"/>
              <w:bottom w:val="single" w:sz="4" w:space="0" w:color="2F5496" w:themeColor="accent1" w:themeShade="BF"/>
            </w:tcBorders>
            <w:shd w:val="clear" w:color="auto" w:fill="auto"/>
          </w:tcPr>
          <w:p w14:paraId="2F46DD88" w14:textId="77777777" w:rsidR="00DF575C" w:rsidRPr="00DF575C" w:rsidRDefault="00DF575C" w:rsidP="00DF575C">
            <w:r w:rsidRPr="00DF575C">
              <w:t>NES 9</w:t>
            </w:r>
          </w:p>
        </w:tc>
        <w:tc>
          <w:tcPr>
            <w:tcW w:w="258" w:type="dxa"/>
            <w:tcBorders>
              <w:top w:val="single" w:sz="4" w:space="0" w:color="2F5496" w:themeColor="accent1" w:themeShade="BF"/>
              <w:bottom w:val="single" w:sz="4" w:space="0" w:color="2F5496" w:themeColor="accent1" w:themeShade="BF"/>
            </w:tcBorders>
            <w:shd w:val="clear" w:color="auto" w:fill="FFFFFF" w:themeFill="background1"/>
          </w:tcPr>
          <w:p w14:paraId="4CAD7EA0" w14:textId="77777777" w:rsidR="00DF575C" w:rsidRPr="00DF575C" w:rsidRDefault="00DF575C" w:rsidP="00DF575C">
            <w:pPr>
              <w:cnfStyle w:val="000000100000" w:firstRow="0" w:lastRow="0" w:firstColumn="0" w:lastColumn="0" w:oddVBand="0" w:evenVBand="0" w:oddHBand="1" w:evenHBand="0" w:firstRowFirstColumn="0" w:firstRowLastColumn="0" w:lastRowFirstColumn="0" w:lastRowLastColumn="0"/>
            </w:pPr>
            <w:r w:rsidRPr="00DF575C">
              <w:t>:</w:t>
            </w:r>
          </w:p>
        </w:tc>
        <w:tc>
          <w:tcPr>
            <w:tcW w:w="6237" w:type="dxa"/>
            <w:tcBorders>
              <w:top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36DFA042" w14:textId="77777777" w:rsidR="00DF575C" w:rsidRPr="00DF575C" w:rsidRDefault="00DF575C" w:rsidP="00DF575C">
            <w:pPr>
              <w:cnfStyle w:val="000000100000" w:firstRow="0" w:lastRow="0" w:firstColumn="0" w:lastColumn="0" w:oddVBand="0" w:evenVBand="0" w:oddHBand="1" w:evenHBand="0" w:firstRowFirstColumn="0" w:firstRowLastColumn="0" w:lastRowFirstColumn="0" w:lastRowLastColumn="0"/>
            </w:pPr>
            <w:r w:rsidRPr="00DF575C">
              <w:t>Intermédiaires financiers</w:t>
            </w:r>
          </w:p>
        </w:tc>
        <w:tc>
          <w:tcPr>
            <w:tcW w:w="198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3C13DF8A" w14:textId="77777777" w:rsidR="00DF575C" w:rsidRPr="00DF575C" w:rsidRDefault="00DF575C" w:rsidP="00DF575C">
            <w:pPr>
              <w:cnfStyle w:val="000000100000" w:firstRow="0" w:lastRow="0" w:firstColumn="0" w:lastColumn="0" w:oddVBand="0" w:evenVBand="0" w:oddHBand="1" w:evenHBand="0" w:firstRowFirstColumn="0" w:firstRowLastColumn="0" w:lastRowFirstColumn="0" w:lastRowLastColumn="0"/>
            </w:pPr>
            <w:r w:rsidRPr="00DF575C">
              <w:t>Non pertinente</w:t>
            </w:r>
          </w:p>
        </w:tc>
      </w:tr>
      <w:tr w:rsidR="00DF575C" w:rsidRPr="00DF575C" w14:paraId="06758507" w14:textId="77777777" w:rsidTr="00E106BA">
        <w:trPr>
          <w:trHeight w:val="424"/>
        </w:trPr>
        <w:tc>
          <w:tcPr>
            <w:cnfStyle w:val="001000000000" w:firstRow="0" w:lastRow="0" w:firstColumn="1" w:lastColumn="0" w:oddVBand="0" w:evenVBand="0" w:oddHBand="0" w:evenHBand="0" w:firstRowFirstColumn="0" w:firstRowLastColumn="0" w:lastRowFirstColumn="0" w:lastRowLastColumn="0"/>
            <w:tcW w:w="1018" w:type="dxa"/>
            <w:tcBorders>
              <w:top w:val="single" w:sz="4" w:space="0" w:color="2F5496" w:themeColor="accent1" w:themeShade="BF"/>
              <w:left w:val="single" w:sz="4" w:space="0" w:color="2F5496" w:themeColor="accent1" w:themeShade="BF"/>
              <w:bottom w:val="single" w:sz="4" w:space="0" w:color="2F5496" w:themeColor="accent1" w:themeShade="BF"/>
              <w:right w:val="nil"/>
            </w:tcBorders>
          </w:tcPr>
          <w:p w14:paraId="28738675" w14:textId="77777777" w:rsidR="00DF575C" w:rsidRPr="00DF575C" w:rsidRDefault="00DF575C" w:rsidP="00DF575C">
            <w:r w:rsidRPr="00DF575C">
              <w:t>NES 10</w:t>
            </w:r>
          </w:p>
        </w:tc>
        <w:tc>
          <w:tcPr>
            <w:tcW w:w="258" w:type="dxa"/>
            <w:tcBorders>
              <w:top w:val="single" w:sz="4" w:space="0" w:color="2F5496" w:themeColor="accent1" w:themeShade="BF"/>
              <w:left w:val="nil"/>
              <w:bottom w:val="single" w:sz="4" w:space="0" w:color="2F5496" w:themeColor="accent1" w:themeShade="BF"/>
              <w:right w:val="nil"/>
            </w:tcBorders>
            <w:shd w:val="clear" w:color="auto" w:fill="FFFFFF" w:themeFill="background1"/>
          </w:tcPr>
          <w:p w14:paraId="72FA0D58" w14:textId="77777777" w:rsidR="00DF575C" w:rsidRPr="00DF575C" w:rsidRDefault="00DF575C" w:rsidP="00DF575C">
            <w:pPr>
              <w:cnfStyle w:val="000000000000" w:firstRow="0" w:lastRow="0" w:firstColumn="0" w:lastColumn="0" w:oddVBand="0" w:evenVBand="0" w:oddHBand="0" w:evenHBand="0" w:firstRowFirstColumn="0" w:firstRowLastColumn="0" w:lastRowFirstColumn="0" w:lastRowLastColumn="0"/>
            </w:pPr>
            <w:r w:rsidRPr="00DF575C">
              <w:t>:</w:t>
            </w:r>
          </w:p>
        </w:tc>
        <w:tc>
          <w:tcPr>
            <w:tcW w:w="6237" w:type="dxa"/>
            <w:tcBorders>
              <w:top w:val="single" w:sz="4" w:space="0" w:color="2F5496" w:themeColor="accent1" w:themeShade="BF"/>
              <w:left w:val="nil"/>
              <w:bottom w:val="single" w:sz="4" w:space="0" w:color="2F5496" w:themeColor="accent1" w:themeShade="BF"/>
              <w:right w:val="single" w:sz="4" w:space="0" w:color="2F5496" w:themeColor="accent1" w:themeShade="BF"/>
            </w:tcBorders>
            <w:shd w:val="clear" w:color="auto" w:fill="FFFFFF" w:themeFill="background1"/>
          </w:tcPr>
          <w:p w14:paraId="7DDED6CF" w14:textId="77777777" w:rsidR="00DF575C" w:rsidRPr="00DF575C" w:rsidRDefault="00DF575C" w:rsidP="00DF575C">
            <w:pPr>
              <w:cnfStyle w:val="000000000000" w:firstRow="0" w:lastRow="0" w:firstColumn="0" w:lastColumn="0" w:oddVBand="0" w:evenVBand="0" w:oddHBand="0" w:evenHBand="0" w:firstRowFirstColumn="0" w:firstRowLastColumn="0" w:lastRowFirstColumn="0" w:lastRowLastColumn="0"/>
            </w:pPr>
            <w:r w:rsidRPr="00DF575C">
              <w:t>Mobilisation des parties prenantes et information</w:t>
            </w:r>
          </w:p>
        </w:tc>
        <w:tc>
          <w:tcPr>
            <w:tcW w:w="198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68E3CE7D" w14:textId="77777777" w:rsidR="00DF575C" w:rsidRPr="00DF575C" w:rsidRDefault="00DF575C" w:rsidP="00DF575C">
            <w:pPr>
              <w:cnfStyle w:val="000000000000" w:firstRow="0" w:lastRow="0" w:firstColumn="0" w:lastColumn="0" w:oddVBand="0" w:evenVBand="0" w:oddHBand="0" w:evenHBand="0" w:firstRowFirstColumn="0" w:firstRowLastColumn="0" w:lastRowFirstColumn="0" w:lastRowLastColumn="0"/>
            </w:pPr>
            <w:r w:rsidRPr="00DF575C">
              <w:t>Pertinente</w:t>
            </w:r>
          </w:p>
        </w:tc>
      </w:tr>
    </w:tbl>
    <w:p w14:paraId="657D1B6F" w14:textId="77777777" w:rsidR="00DF575C" w:rsidRPr="00E106BA" w:rsidRDefault="00DF575C" w:rsidP="00DF575C">
      <w:pPr>
        <w:rPr>
          <w:b/>
          <w:i/>
        </w:rPr>
      </w:pPr>
      <w:r w:rsidRPr="00E106BA">
        <w:rPr>
          <w:b/>
          <w:i/>
        </w:rPr>
        <w:t>Analyse comparative</w:t>
      </w:r>
    </w:p>
    <w:p w14:paraId="0B924C84" w14:textId="1F204E5E" w:rsidR="00DF575C" w:rsidRPr="00DF575C" w:rsidRDefault="00DF575C" w:rsidP="00DF575C">
      <w:r w:rsidRPr="00DF575C">
        <w:t>Sur la base l’analyse comparative des deux cadres normatifs, il est apparu que les NES de la Banque mondiale sont plus explicites. Il convient donc dans le cadre du PCM</w:t>
      </w:r>
      <w:r w:rsidR="00E106BA">
        <w:t>CI</w:t>
      </w:r>
      <w:r w:rsidRPr="00DF575C">
        <w:t xml:space="preserve"> d’utiliser la classification et la procédure préconisée par la BM.</w:t>
      </w:r>
    </w:p>
    <w:p w14:paraId="068E199B" w14:textId="77777777" w:rsidR="00DF575C" w:rsidRPr="00E106BA" w:rsidRDefault="00DF575C" w:rsidP="00DF575C">
      <w:pPr>
        <w:rPr>
          <w:b/>
          <w:i/>
        </w:rPr>
      </w:pPr>
      <w:r w:rsidRPr="00E106BA">
        <w:rPr>
          <w:b/>
          <w:i/>
        </w:rPr>
        <w:t>Arrangements institutionnels</w:t>
      </w:r>
    </w:p>
    <w:p w14:paraId="147904E3" w14:textId="2724DD65" w:rsidR="00DF575C" w:rsidRPr="00DF575C" w:rsidRDefault="00DF575C" w:rsidP="00DF575C">
      <w:r w:rsidRPr="00DF575C">
        <w:t>Les arrangements institutionnels pour la mise en œuvre du PCM</w:t>
      </w:r>
      <w:r w:rsidR="00E106BA">
        <w:t>CI</w:t>
      </w:r>
      <w:r w:rsidRPr="00DF575C">
        <w:t xml:space="preserve"> sont les suivants :</w:t>
      </w:r>
    </w:p>
    <w:p w14:paraId="01BD2713" w14:textId="77777777" w:rsidR="00DF575C" w:rsidRPr="00E106BA" w:rsidRDefault="00DF575C" w:rsidP="00DF575C">
      <w:pPr>
        <w:rPr>
          <w:b/>
          <w:i/>
        </w:rPr>
      </w:pPr>
      <w:r w:rsidRPr="00E106BA">
        <w:rPr>
          <w:b/>
          <w:i/>
        </w:rPr>
        <w:t>Le Maître d’Ouvrage</w:t>
      </w:r>
    </w:p>
    <w:p w14:paraId="5090B6A1" w14:textId="77777777" w:rsidR="00DF575C" w:rsidRPr="00DF575C" w:rsidRDefault="00DF575C" w:rsidP="00DF575C">
      <w:r w:rsidRPr="00DF575C">
        <w:t>La maîtrise d’ouvrage relève des fonctions régaliennes du Ministère des Travaux Publics (MTP), ministère de tutelle du Projet.</w:t>
      </w:r>
    </w:p>
    <w:p w14:paraId="5ABB1734" w14:textId="77777777" w:rsidR="00DF575C" w:rsidRPr="00E106BA" w:rsidRDefault="00DF575C" w:rsidP="00DF575C">
      <w:pPr>
        <w:rPr>
          <w:b/>
          <w:i/>
        </w:rPr>
      </w:pPr>
      <w:r w:rsidRPr="00E106BA">
        <w:rPr>
          <w:b/>
          <w:i/>
        </w:rPr>
        <w:t xml:space="preserve">Le Maître d'Ouvrage Délégué (MOD) </w:t>
      </w:r>
    </w:p>
    <w:p w14:paraId="7EA99541" w14:textId="1ECB89AA" w:rsidR="00216772" w:rsidRPr="00216772" w:rsidRDefault="00216772" w:rsidP="00216772">
      <w:r w:rsidRPr="00216772">
        <w:t>Pour le projet PCMCI, le rôle de maîtrise d’ouvrage déléguée (MOD) des travaux routiers est assurée par l’Agence routière. La composante CERC du PCMCI aura l’UCP/</w:t>
      </w:r>
      <w:r w:rsidR="005A749B">
        <w:t>CERC-PCMCI</w:t>
      </w:r>
      <w:r w:rsidRPr="00216772">
        <w:t xml:space="preserve"> comme MOD</w:t>
      </w:r>
      <w:r w:rsidR="00D142D6">
        <w:t xml:space="preserve"> qui est hébergée au sein de l’AR.</w:t>
      </w:r>
    </w:p>
    <w:p w14:paraId="0BAEEEC4" w14:textId="77777777" w:rsidR="00DF575C" w:rsidRPr="00E106BA" w:rsidRDefault="00DF575C" w:rsidP="00DF575C">
      <w:pPr>
        <w:rPr>
          <w:b/>
          <w:i/>
        </w:rPr>
      </w:pPr>
      <w:r w:rsidRPr="00E106BA">
        <w:rPr>
          <w:b/>
          <w:i/>
        </w:rPr>
        <w:t>Le Chef de Projet</w:t>
      </w:r>
    </w:p>
    <w:p w14:paraId="510A9EA2" w14:textId="0E351F6C" w:rsidR="00DF575C" w:rsidRPr="00216772" w:rsidRDefault="00216772" w:rsidP="00DF575C">
      <w:pPr>
        <w:rPr>
          <w:color w:val="auto"/>
        </w:rPr>
      </w:pPr>
      <w:r w:rsidRPr="00216772">
        <w:rPr>
          <w:color w:val="auto"/>
        </w:rPr>
        <w:t>De même, l</w:t>
      </w:r>
      <w:r w:rsidR="00D142D6">
        <w:rPr>
          <w:color w:val="auto"/>
        </w:rPr>
        <w:t xml:space="preserve">es </w:t>
      </w:r>
      <w:r w:rsidRPr="00216772">
        <w:rPr>
          <w:color w:val="auto"/>
        </w:rPr>
        <w:t>Ingénieur</w:t>
      </w:r>
      <w:r w:rsidR="00D142D6">
        <w:rPr>
          <w:color w:val="auto"/>
        </w:rPr>
        <w:t>s</w:t>
      </w:r>
      <w:r w:rsidRPr="00216772">
        <w:rPr>
          <w:color w:val="auto"/>
        </w:rPr>
        <w:t xml:space="preserve"> chargé</w:t>
      </w:r>
      <w:r w:rsidR="00D142D6">
        <w:rPr>
          <w:color w:val="auto"/>
        </w:rPr>
        <w:t>s</w:t>
      </w:r>
      <w:r w:rsidRPr="00216772">
        <w:rPr>
          <w:color w:val="auto"/>
        </w:rPr>
        <w:t xml:space="preserve"> du suivi des projets sont issus de l’AR pour la composante1 du PCMCI, et de l’UCP/</w:t>
      </w:r>
      <w:r w:rsidR="005A749B">
        <w:rPr>
          <w:color w:val="auto"/>
        </w:rPr>
        <w:t>CERC-PCMCI</w:t>
      </w:r>
      <w:r w:rsidRPr="00216772">
        <w:rPr>
          <w:color w:val="auto"/>
        </w:rPr>
        <w:t xml:space="preserve"> pour la composante 4 ou composante CERC / PCMCI du Projet</w:t>
      </w:r>
      <w:r w:rsidR="00DF575C" w:rsidRPr="00216772">
        <w:rPr>
          <w:color w:val="auto"/>
        </w:rPr>
        <w:t>.</w:t>
      </w:r>
    </w:p>
    <w:p w14:paraId="1F7486FE" w14:textId="77777777" w:rsidR="00DF575C" w:rsidRPr="00E106BA" w:rsidRDefault="00DF575C" w:rsidP="00DF575C">
      <w:pPr>
        <w:rPr>
          <w:b/>
          <w:i/>
        </w:rPr>
      </w:pPr>
      <w:r w:rsidRPr="00E106BA">
        <w:rPr>
          <w:b/>
          <w:i/>
        </w:rPr>
        <w:t>Le Maître d’œuvre technique (MOeT)</w:t>
      </w:r>
    </w:p>
    <w:p w14:paraId="546B8574" w14:textId="77777777" w:rsidR="00DF575C" w:rsidRPr="00DF575C" w:rsidRDefault="00DF575C" w:rsidP="00DF575C">
      <w:r w:rsidRPr="00DF575C">
        <w:t xml:space="preserve">Le Maître d'Œuvre technique sera l'entité retenue pour suivre la réalisation des travaux, dans les conditions de délais, de qualité et de coût fixées par ce dernier et conformément au marché de travaux. C’est le bureau d'études qui sera chargé d'exécuter le contrôle et la surveillance des travaux, le suivi des délais et des budgets selon les modalités définies dans son contrat. </w:t>
      </w:r>
    </w:p>
    <w:p w14:paraId="3BEBA269" w14:textId="77777777" w:rsidR="00DF575C" w:rsidRPr="00E106BA" w:rsidRDefault="00DF575C" w:rsidP="00DF575C">
      <w:pPr>
        <w:rPr>
          <w:b/>
          <w:i/>
        </w:rPr>
      </w:pPr>
      <w:r w:rsidRPr="00E106BA">
        <w:rPr>
          <w:b/>
          <w:i/>
        </w:rPr>
        <w:t>Les Autorités Locales</w:t>
      </w:r>
    </w:p>
    <w:p w14:paraId="59C265DE" w14:textId="7CC3D35D" w:rsidR="00DF575C" w:rsidRPr="00DF575C" w:rsidRDefault="00216772" w:rsidP="00DF575C">
      <w:r w:rsidRPr="00216772">
        <w:rPr>
          <w:color w:val="auto"/>
        </w:rPr>
        <w:t>Il s’agit des autorités dans les Régions Boeny, Sofia</w:t>
      </w:r>
      <w:r w:rsidR="007147B3">
        <w:rPr>
          <w:color w:val="auto"/>
        </w:rPr>
        <w:t xml:space="preserve">, </w:t>
      </w:r>
      <w:r w:rsidRPr="00216772">
        <w:rPr>
          <w:color w:val="auto"/>
        </w:rPr>
        <w:t>DIANA</w:t>
      </w:r>
      <w:r w:rsidR="007147B3">
        <w:rPr>
          <w:color w:val="auto"/>
        </w:rPr>
        <w:t xml:space="preserve">, ALAOTRA MANGORO, </w:t>
      </w:r>
      <w:r w:rsidR="008F6785">
        <w:rPr>
          <w:color w:val="auto"/>
        </w:rPr>
        <w:t>ATSINANANA,</w:t>
      </w:r>
      <w:r w:rsidR="007147B3">
        <w:rPr>
          <w:color w:val="auto"/>
        </w:rPr>
        <w:t xml:space="preserve"> </w:t>
      </w:r>
      <w:r w:rsidR="008F6785">
        <w:rPr>
          <w:color w:val="auto"/>
        </w:rPr>
        <w:t>AMORON’I MANIA, ATSIMO ANDREFANA,</w:t>
      </w:r>
      <w:r w:rsidRPr="00216772">
        <w:rPr>
          <w:color w:val="auto"/>
        </w:rPr>
        <w:t xml:space="preserve"> pour les projets sur la composante CERC, soit la réparation de la RNP 4</w:t>
      </w:r>
      <w:r w:rsidR="008F6785">
        <w:rPr>
          <w:color w:val="auto"/>
        </w:rPr>
        <w:t>,</w:t>
      </w:r>
      <w:r w:rsidRPr="00216772">
        <w:rPr>
          <w:color w:val="auto"/>
        </w:rPr>
        <w:t xml:space="preserve"> de la RNP 6</w:t>
      </w:r>
      <w:r w:rsidR="008F6785">
        <w:rPr>
          <w:color w:val="auto"/>
        </w:rPr>
        <w:t>, de la RNP7, de la RNS30, de la RNT34, de la RNS44, et la route en pavés vers Ambila</w:t>
      </w:r>
      <w:r w:rsidRPr="00216772">
        <w:rPr>
          <w:color w:val="auto"/>
        </w:rPr>
        <w:t xml:space="preserve"> et la réhabilitation du port de Mahajanga</w:t>
      </w:r>
      <w:r w:rsidR="008F6785">
        <w:rPr>
          <w:color w:val="auto"/>
        </w:rPr>
        <w:t xml:space="preserve"> et du Boulevard Ratsimilaho à Toamasina</w:t>
      </w:r>
      <w:r w:rsidRPr="00216772">
        <w:rPr>
          <w:color w:val="auto"/>
        </w:rPr>
        <w:t xml:space="preserve">. Elles ont un droit de regard sur le bon respect des </w:t>
      </w:r>
      <w:r w:rsidRPr="00216772">
        <w:rPr>
          <w:color w:val="auto"/>
        </w:rPr>
        <w:lastRenderedPageBreak/>
        <w:t xml:space="preserve">principes auxquels adhère le Projet </w:t>
      </w:r>
      <w:r w:rsidRPr="00B73034">
        <w:t>et au suivi de la mise en œuvre du Plan de gestion environnementale et sociale. Elles jouent aussi un rôle dans le Mécanisme de gestion des plaintes.</w:t>
      </w:r>
    </w:p>
    <w:p w14:paraId="11CAD9AE" w14:textId="77777777" w:rsidR="00DF575C" w:rsidRPr="00E106BA" w:rsidRDefault="00DF575C" w:rsidP="00DF575C">
      <w:pPr>
        <w:rPr>
          <w:b/>
          <w:i/>
        </w:rPr>
      </w:pPr>
      <w:r w:rsidRPr="00E106BA">
        <w:rPr>
          <w:b/>
          <w:i/>
        </w:rPr>
        <w:t>Les Entreprises titulaires des travaux</w:t>
      </w:r>
    </w:p>
    <w:p w14:paraId="2E0DAE7F" w14:textId="26D0B870" w:rsidR="00DF575C" w:rsidRPr="00DF575C" w:rsidRDefault="00DF575C" w:rsidP="00DF575C">
      <w:r w:rsidRPr="00DF575C">
        <w:t>La mise en œuvre de la majeure partie des mesures environnementales et sociales qui seront associées a</w:t>
      </w:r>
      <w:r w:rsidR="006E5EB6">
        <w:t>u</w:t>
      </w:r>
      <w:r w:rsidRPr="00DF575C">
        <w:t xml:space="preserve"> PCM</w:t>
      </w:r>
      <w:r w:rsidR="006E5EB6">
        <w:t>CI</w:t>
      </w:r>
      <w:r w:rsidRPr="00DF575C">
        <w:t xml:space="preserve"> sera de la responsabilité des Entreprises de travaux, notamment à travers la mise en œuvre des prescriptions des documents de sauvegarde.</w:t>
      </w:r>
    </w:p>
    <w:p w14:paraId="5DEC0026" w14:textId="77777777" w:rsidR="00DF575C" w:rsidRPr="006E5EB6" w:rsidRDefault="00DF575C" w:rsidP="00DF575C">
      <w:pPr>
        <w:rPr>
          <w:b/>
          <w:i/>
        </w:rPr>
      </w:pPr>
      <w:r w:rsidRPr="006E5EB6">
        <w:rPr>
          <w:b/>
          <w:i/>
        </w:rPr>
        <w:t>Le Maître d’œuvre institutionnelle et sociale (MOIS)</w:t>
      </w:r>
    </w:p>
    <w:p w14:paraId="41CE8C9E" w14:textId="77777777" w:rsidR="00DF575C" w:rsidRPr="00DF575C" w:rsidRDefault="00DF575C" w:rsidP="00DF575C">
      <w:r w:rsidRPr="00DF575C">
        <w:t>Il s’agira d’un bureau d’études ou d’une ONG dont le rôle sera de faciliter le déroulement des travaux sur les secteurs où ceux-ci présentent un impact social important, avec perturbation et déplacement temporaire ou définitif de ménages et des activités qui nécessiteront un travail d’information, de négociation, d’accompagnement tout au long du chantier pour qu’il se déroule dans les meilleures conditions.</w:t>
      </w:r>
    </w:p>
    <w:p w14:paraId="2BF568EF" w14:textId="77777777" w:rsidR="00DF575C" w:rsidRPr="006E5EB6" w:rsidRDefault="00DF575C" w:rsidP="00DF575C">
      <w:pPr>
        <w:rPr>
          <w:b/>
          <w:i/>
        </w:rPr>
      </w:pPr>
      <w:r w:rsidRPr="006E5EB6">
        <w:rPr>
          <w:b/>
          <w:i/>
        </w:rPr>
        <w:t>L’Entité d’appui pour la prévention et la lutte contre les VBG</w:t>
      </w:r>
    </w:p>
    <w:p w14:paraId="00C76302" w14:textId="77777777" w:rsidR="00DF575C" w:rsidRPr="00DF575C" w:rsidRDefault="00DF575C" w:rsidP="00DF575C">
      <w:r w:rsidRPr="00DF575C">
        <w:t>Le Projet recrutera une entité spécialisée dans la prévention et la lutte contre les VBG.</w:t>
      </w:r>
    </w:p>
    <w:p w14:paraId="7C2DF075" w14:textId="2FC1373B" w:rsidR="00DF575C" w:rsidRPr="006E5EB6" w:rsidRDefault="006E5EB6" w:rsidP="00DF575C">
      <w:pPr>
        <w:rPr>
          <w:b/>
        </w:rPr>
      </w:pPr>
      <w:r w:rsidRPr="006E5EB6">
        <w:rPr>
          <w:b/>
        </w:rPr>
        <w:t>IMPACTS TYPES</w:t>
      </w:r>
    </w:p>
    <w:p w14:paraId="096EA335" w14:textId="77777777" w:rsidR="00DF575C" w:rsidRPr="006E5EB6" w:rsidRDefault="00DF575C" w:rsidP="00DF575C">
      <w:pPr>
        <w:rPr>
          <w:b/>
          <w:i/>
        </w:rPr>
      </w:pPr>
      <w:r w:rsidRPr="006E5EB6">
        <w:rPr>
          <w:b/>
          <w:i/>
        </w:rPr>
        <w:t>Impacts bénéfiques attendus du Projet</w:t>
      </w:r>
    </w:p>
    <w:p w14:paraId="7477DA14" w14:textId="77777777" w:rsidR="00DF575C" w:rsidRPr="00DF575C" w:rsidRDefault="00DF575C" w:rsidP="00DF575C">
      <w:r w:rsidRPr="00DF575C">
        <w:t>Les retombées positives attendues de ce Programme sont multiples :</w:t>
      </w:r>
    </w:p>
    <w:p w14:paraId="34F62974" w14:textId="77777777" w:rsidR="00DF575C" w:rsidRPr="00DF575C" w:rsidRDefault="00DF575C" w:rsidP="00844538">
      <w:pPr>
        <w:pStyle w:val="ListParagraph"/>
        <w:numPr>
          <w:ilvl w:val="0"/>
          <w:numId w:val="165"/>
        </w:numPr>
      </w:pPr>
      <w:r w:rsidRPr="00DF575C">
        <w:t>Création d’emplois et de sources de revenus supplémentaires pour les ménages des ouvriers</w:t>
      </w:r>
    </w:p>
    <w:p w14:paraId="62A1081A" w14:textId="77777777" w:rsidR="00DF575C" w:rsidRPr="00DF575C" w:rsidRDefault="00DF575C" w:rsidP="00844538">
      <w:pPr>
        <w:pStyle w:val="ListParagraph"/>
        <w:numPr>
          <w:ilvl w:val="0"/>
          <w:numId w:val="165"/>
        </w:numPr>
      </w:pPr>
      <w:r w:rsidRPr="00DF575C">
        <w:t>Fluidité de la circulation dans les zones ciblées</w:t>
      </w:r>
    </w:p>
    <w:p w14:paraId="56C0B9CA" w14:textId="77777777" w:rsidR="00DF575C" w:rsidRPr="00DF575C" w:rsidRDefault="00DF575C" w:rsidP="00844538">
      <w:pPr>
        <w:pStyle w:val="ListParagraph"/>
        <w:numPr>
          <w:ilvl w:val="0"/>
          <w:numId w:val="165"/>
        </w:numPr>
      </w:pPr>
      <w:r w:rsidRPr="00DF575C">
        <w:t>Augmentation de l’attrait des Régions concernées et du pays en tant que destinations touristiques</w:t>
      </w:r>
    </w:p>
    <w:p w14:paraId="3AA46D40" w14:textId="77777777" w:rsidR="00DF575C" w:rsidRPr="00DF575C" w:rsidRDefault="00DF575C" w:rsidP="00844538">
      <w:pPr>
        <w:pStyle w:val="ListParagraph"/>
        <w:numPr>
          <w:ilvl w:val="0"/>
          <w:numId w:val="165"/>
        </w:numPr>
      </w:pPr>
      <w:r w:rsidRPr="00DF575C">
        <w:t>Raccourcissement de la durée du parcours et gain de temps subséquent</w:t>
      </w:r>
    </w:p>
    <w:p w14:paraId="50FFF52F" w14:textId="77777777" w:rsidR="00DF575C" w:rsidRPr="00DF575C" w:rsidRDefault="00DF575C" w:rsidP="00844538">
      <w:pPr>
        <w:pStyle w:val="ListParagraph"/>
        <w:numPr>
          <w:ilvl w:val="0"/>
          <w:numId w:val="165"/>
        </w:numPr>
      </w:pPr>
      <w:r w:rsidRPr="00DF575C">
        <w:t>Réduction des coûts d’entretien des véhicules</w:t>
      </w:r>
    </w:p>
    <w:p w14:paraId="066DEA1D" w14:textId="77777777" w:rsidR="00DF575C" w:rsidRPr="00DF575C" w:rsidRDefault="00DF575C" w:rsidP="00844538">
      <w:pPr>
        <w:pStyle w:val="ListParagraph"/>
        <w:numPr>
          <w:ilvl w:val="0"/>
          <w:numId w:val="165"/>
        </w:numPr>
      </w:pPr>
      <w:r w:rsidRPr="00DF575C">
        <w:t>Stabilité des coûts des déplacements motorisés</w:t>
      </w:r>
    </w:p>
    <w:p w14:paraId="41BB0C70" w14:textId="77777777" w:rsidR="00DF575C" w:rsidRPr="00DF575C" w:rsidRDefault="00DF575C" w:rsidP="00844538">
      <w:pPr>
        <w:pStyle w:val="ListParagraph"/>
        <w:numPr>
          <w:ilvl w:val="0"/>
          <w:numId w:val="165"/>
        </w:numPr>
      </w:pPr>
      <w:r w:rsidRPr="00DF575C">
        <w:t>Amélioration des échanges commerciaux au plan national</w:t>
      </w:r>
    </w:p>
    <w:p w14:paraId="3FD8FD7A" w14:textId="77777777" w:rsidR="00DF575C" w:rsidRPr="00DF575C" w:rsidRDefault="00DF575C" w:rsidP="00844538">
      <w:pPr>
        <w:pStyle w:val="ListParagraph"/>
        <w:numPr>
          <w:ilvl w:val="0"/>
          <w:numId w:val="165"/>
        </w:numPr>
      </w:pPr>
      <w:r w:rsidRPr="00DF575C">
        <w:t>Contribution à l’amélioration des conditions de vie des usagers</w:t>
      </w:r>
    </w:p>
    <w:p w14:paraId="02811488" w14:textId="77777777" w:rsidR="00DF575C" w:rsidRPr="00DF575C" w:rsidRDefault="00DF575C" w:rsidP="00844538">
      <w:pPr>
        <w:pStyle w:val="ListParagraph"/>
        <w:numPr>
          <w:ilvl w:val="0"/>
          <w:numId w:val="165"/>
        </w:numPr>
      </w:pPr>
      <w:r w:rsidRPr="00DF575C">
        <w:t>Contribution à l’amélioration des relations entre populations des diverses Régions car les opportunités de rencontre seront plus fréquentes</w:t>
      </w:r>
    </w:p>
    <w:p w14:paraId="2CFD4567" w14:textId="77777777" w:rsidR="00DF575C" w:rsidRPr="00DF575C" w:rsidRDefault="00DF575C" w:rsidP="00844538">
      <w:pPr>
        <w:pStyle w:val="ListParagraph"/>
        <w:numPr>
          <w:ilvl w:val="0"/>
          <w:numId w:val="165"/>
        </w:numPr>
      </w:pPr>
      <w:r w:rsidRPr="00DF575C">
        <w:t>La réhabilitation de RN facilitera l’accès des populations aux principaux centres administratifs, économiques, médicaux, scolaires, et développera également les échanges</w:t>
      </w:r>
    </w:p>
    <w:p w14:paraId="0B5C4967" w14:textId="77777777" w:rsidR="00DF575C" w:rsidRPr="00DF575C" w:rsidRDefault="00DF575C" w:rsidP="00844538">
      <w:pPr>
        <w:pStyle w:val="ListParagraph"/>
        <w:numPr>
          <w:ilvl w:val="0"/>
          <w:numId w:val="165"/>
        </w:numPr>
      </w:pPr>
      <w:r w:rsidRPr="00DF575C">
        <w:t>Amélioration de la sécurité des biens et des personnes</w:t>
      </w:r>
    </w:p>
    <w:p w14:paraId="6E78BBBF" w14:textId="7FB1A1CE" w:rsidR="00DF575C" w:rsidRDefault="00DF575C" w:rsidP="00844538">
      <w:pPr>
        <w:pStyle w:val="ListParagraph"/>
        <w:numPr>
          <w:ilvl w:val="0"/>
          <w:numId w:val="165"/>
        </w:numPr>
      </w:pPr>
      <w:r w:rsidRPr="00DF575C">
        <w:t>Désenclavement des zones desservies.</w:t>
      </w:r>
    </w:p>
    <w:p w14:paraId="5C994D0D" w14:textId="47D44705" w:rsidR="00CA750F" w:rsidRPr="00CA750F" w:rsidRDefault="00CA750F" w:rsidP="00844538">
      <w:pPr>
        <w:pStyle w:val="ListParagraph"/>
        <w:numPr>
          <w:ilvl w:val="0"/>
          <w:numId w:val="165"/>
        </w:numPr>
        <w:rPr>
          <w:color w:val="auto"/>
        </w:rPr>
      </w:pPr>
      <w:r w:rsidRPr="00CA750F">
        <w:rPr>
          <w:color w:val="auto"/>
        </w:rPr>
        <w:t>La conformité des conditions d’exploitation du port par rapport aux standards d’exploitation et l’évitement de tout risque d’opération portuaire.</w:t>
      </w:r>
    </w:p>
    <w:p w14:paraId="28C78B98" w14:textId="77777777" w:rsidR="00DF575C" w:rsidRPr="00DF575C" w:rsidRDefault="00DF575C" w:rsidP="00DF575C">
      <w:r w:rsidRPr="00DF575C">
        <w:t>Bref, les travaux envisagés auront des retombées positives sur l’économie locale, régionale et nationale.</w:t>
      </w:r>
    </w:p>
    <w:p w14:paraId="0A430DC7" w14:textId="77777777" w:rsidR="00DF575C" w:rsidRPr="006E5EB6" w:rsidRDefault="00DF575C" w:rsidP="00DF575C">
      <w:pPr>
        <w:rPr>
          <w:b/>
          <w:i/>
        </w:rPr>
      </w:pPr>
      <w:r w:rsidRPr="006E5EB6">
        <w:rPr>
          <w:b/>
          <w:i/>
        </w:rPr>
        <w:t>Types d’impacts E&amp;S négatifs possibles</w:t>
      </w:r>
    </w:p>
    <w:p w14:paraId="497450AD" w14:textId="77777777" w:rsidR="00DF575C" w:rsidRPr="00DF575C" w:rsidRDefault="00DF575C" w:rsidP="00DF575C">
      <w:r w:rsidRPr="00DF575C">
        <w:t>Malgré tous les impacts bénéfiques attendus, des impacts négatifs peuvent, également, se produire. Ils se rapportent aux aspects suivants :</w:t>
      </w:r>
    </w:p>
    <w:p w14:paraId="0E47DE55" w14:textId="77777777" w:rsidR="00DF575C" w:rsidRPr="00DF575C" w:rsidRDefault="00DF575C" w:rsidP="00844538">
      <w:pPr>
        <w:pStyle w:val="ListParagraph"/>
        <w:numPr>
          <w:ilvl w:val="0"/>
          <w:numId w:val="166"/>
        </w:numPr>
      </w:pPr>
      <w:r w:rsidRPr="00DF575C">
        <w:lastRenderedPageBreak/>
        <w:t>D’éventuelles pertes temporaires de sources de revenus ou d’activités liées à libération de l’emprise des routes.</w:t>
      </w:r>
    </w:p>
    <w:p w14:paraId="7629226A" w14:textId="77777777" w:rsidR="00DF575C" w:rsidRPr="00DF575C" w:rsidRDefault="00DF575C" w:rsidP="00844538">
      <w:pPr>
        <w:pStyle w:val="ListParagraph"/>
        <w:numPr>
          <w:ilvl w:val="0"/>
          <w:numId w:val="166"/>
        </w:numPr>
      </w:pPr>
      <w:r w:rsidRPr="00DF575C">
        <w:t>Des perturbations liées à des occupations temporaires de portions de terrain liées à d’éventuelles déviations durant les travaux routiers.</w:t>
      </w:r>
    </w:p>
    <w:p w14:paraId="231A3DE9" w14:textId="77777777" w:rsidR="00DF575C" w:rsidRPr="00DF575C" w:rsidRDefault="00DF575C" w:rsidP="00844538">
      <w:pPr>
        <w:pStyle w:val="ListParagraph"/>
        <w:numPr>
          <w:ilvl w:val="0"/>
          <w:numId w:val="166"/>
        </w:numPr>
      </w:pPr>
      <w:r w:rsidRPr="00DF575C">
        <w:t>Diverses pollutions liées aux engins et équipements utilisés.</w:t>
      </w:r>
    </w:p>
    <w:p w14:paraId="40C5E1CC" w14:textId="77777777" w:rsidR="00DF575C" w:rsidRPr="00DF575C" w:rsidRDefault="00DF575C" w:rsidP="00844538">
      <w:pPr>
        <w:pStyle w:val="ListParagraph"/>
        <w:numPr>
          <w:ilvl w:val="0"/>
          <w:numId w:val="166"/>
        </w:numPr>
      </w:pPr>
      <w:r w:rsidRPr="00DF575C">
        <w:t>Des risques liés à l’afflux de main-d’œuvre.</w:t>
      </w:r>
    </w:p>
    <w:p w14:paraId="027413E6" w14:textId="77777777" w:rsidR="00DF575C" w:rsidRPr="00DF575C" w:rsidRDefault="00DF575C" w:rsidP="00844538">
      <w:pPr>
        <w:pStyle w:val="ListParagraph"/>
        <w:numPr>
          <w:ilvl w:val="0"/>
          <w:numId w:val="166"/>
        </w:numPr>
      </w:pPr>
      <w:r w:rsidRPr="00DF575C">
        <w:t>Des risques d’accident de travail.</w:t>
      </w:r>
    </w:p>
    <w:p w14:paraId="3A2C084A" w14:textId="77777777" w:rsidR="00DF575C" w:rsidRPr="00DF575C" w:rsidRDefault="00DF575C" w:rsidP="00844538">
      <w:pPr>
        <w:pStyle w:val="ListParagraph"/>
        <w:numPr>
          <w:ilvl w:val="0"/>
          <w:numId w:val="166"/>
        </w:numPr>
      </w:pPr>
      <w:r w:rsidRPr="00DF575C">
        <w:t>Des perturbations diverses de la vie quotidienne de la population.</w:t>
      </w:r>
    </w:p>
    <w:p w14:paraId="4646DF65" w14:textId="77777777" w:rsidR="00DF575C" w:rsidRPr="00DF575C" w:rsidRDefault="00DF575C" w:rsidP="00844538">
      <w:pPr>
        <w:pStyle w:val="ListParagraph"/>
        <w:numPr>
          <w:ilvl w:val="0"/>
          <w:numId w:val="166"/>
        </w:numPr>
      </w:pPr>
      <w:r w:rsidRPr="00DF575C">
        <w:t>Des risques de conflits sociaux.</w:t>
      </w:r>
    </w:p>
    <w:p w14:paraId="27F4EE60" w14:textId="77777777" w:rsidR="00DF575C" w:rsidRPr="00DF575C" w:rsidRDefault="00DF575C" w:rsidP="00844538">
      <w:pPr>
        <w:pStyle w:val="ListParagraph"/>
        <w:numPr>
          <w:ilvl w:val="0"/>
          <w:numId w:val="166"/>
        </w:numPr>
      </w:pPr>
      <w:r w:rsidRPr="00DF575C">
        <w:t>Des actes de Violence basée sur le genre par suite de l’afflux de main d’œuvre venant d’autres régions.</w:t>
      </w:r>
    </w:p>
    <w:p w14:paraId="7A6993B1" w14:textId="77777777" w:rsidR="00DF575C" w:rsidRPr="00DF575C" w:rsidRDefault="00DF575C" w:rsidP="00844538">
      <w:pPr>
        <w:pStyle w:val="ListParagraph"/>
        <w:numPr>
          <w:ilvl w:val="0"/>
          <w:numId w:val="166"/>
        </w:numPr>
      </w:pPr>
      <w:r w:rsidRPr="00DF575C">
        <w:t>Des risques liés à la sécurité routière.</w:t>
      </w:r>
    </w:p>
    <w:p w14:paraId="3F53DDB2" w14:textId="77777777" w:rsidR="00DF575C" w:rsidRPr="00DF575C" w:rsidRDefault="00DF575C" w:rsidP="00844538">
      <w:pPr>
        <w:pStyle w:val="ListParagraph"/>
        <w:numPr>
          <w:ilvl w:val="0"/>
          <w:numId w:val="166"/>
        </w:numPr>
      </w:pPr>
      <w:r w:rsidRPr="00DF575C">
        <w:t>Des risques liés à des maladies transmissibles ou contagieuses (IST-VIH/SIDA, COVID-19 …)</w:t>
      </w:r>
    </w:p>
    <w:p w14:paraId="0F6CBAD3" w14:textId="77777777" w:rsidR="00DF575C" w:rsidRPr="00DF575C" w:rsidRDefault="00DF575C" w:rsidP="00844538">
      <w:pPr>
        <w:pStyle w:val="ListParagraph"/>
        <w:numPr>
          <w:ilvl w:val="0"/>
          <w:numId w:val="166"/>
        </w:numPr>
      </w:pPr>
      <w:r w:rsidRPr="00DF575C">
        <w:t>Des risques liés à la sécurité physique du chantier.</w:t>
      </w:r>
    </w:p>
    <w:p w14:paraId="5947FD3A" w14:textId="77777777" w:rsidR="00DF575C" w:rsidRPr="00DF575C" w:rsidRDefault="00DF575C" w:rsidP="00844538">
      <w:pPr>
        <w:pStyle w:val="ListParagraph"/>
        <w:numPr>
          <w:ilvl w:val="0"/>
          <w:numId w:val="166"/>
        </w:numPr>
      </w:pPr>
      <w:r w:rsidRPr="00DF575C">
        <w:t>D’éventuels impacts sur des sites culturels/cultuels.</w:t>
      </w:r>
    </w:p>
    <w:p w14:paraId="39CA8C56" w14:textId="6D632412" w:rsidR="00DF575C" w:rsidRDefault="00DF575C" w:rsidP="00844538">
      <w:pPr>
        <w:pStyle w:val="ListParagraph"/>
        <w:numPr>
          <w:ilvl w:val="0"/>
          <w:numId w:val="166"/>
        </w:numPr>
      </w:pPr>
      <w:r w:rsidRPr="00DF575C">
        <w:t>Des risques liés au changement climatique.</w:t>
      </w:r>
    </w:p>
    <w:p w14:paraId="7F66514F" w14:textId="77777777" w:rsidR="00CA750F" w:rsidRPr="00CA750F" w:rsidRDefault="00CA750F" w:rsidP="00844538">
      <w:pPr>
        <w:pStyle w:val="ListParagraph"/>
        <w:numPr>
          <w:ilvl w:val="0"/>
          <w:numId w:val="166"/>
        </w:numPr>
        <w:rPr>
          <w:color w:val="auto"/>
        </w:rPr>
      </w:pPr>
      <w:r w:rsidRPr="00CA750F">
        <w:rPr>
          <w:color w:val="auto"/>
        </w:rPr>
        <w:t>La perturbation de l’accès des usagers à l’espace portuaire de Mahajanga</w:t>
      </w:r>
    </w:p>
    <w:p w14:paraId="2A769928" w14:textId="77777777" w:rsidR="00DF575C" w:rsidRPr="00DF575C" w:rsidRDefault="00DF575C" w:rsidP="00844538">
      <w:pPr>
        <w:pStyle w:val="ListParagraph"/>
        <w:numPr>
          <w:ilvl w:val="0"/>
          <w:numId w:val="166"/>
        </w:numPr>
      </w:pPr>
      <w:r w:rsidRPr="00DF575C">
        <w:t>Autres.</w:t>
      </w:r>
    </w:p>
    <w:p w14:paraId="22DE6C2C" w14:textId="77777777" w:rsidR="00DF575C" w:rsidRPr="00DF575C" w:rsidRDefault="00DF575C" w:rsidP="00DF575C">
      <w:r w:rsidRPr="00DF575C">
        <w:t>En outre, des risques et impacts spécifiques liés à la traversée ou au passage dans la lisière d’aires protégées seront, également, à gérer.</w:t>
      </w:r>
    </w:p>
    <w:p w14:paraId="49E8A941" w14:textId="77777777" w:rsidR="00DF575C" w:rsidRPr="006E5EB6" w:rsidRDefault="00DF575C" w:rsidP="00DF575C">
      <w:pPr>
        <w:rPr>
          <w:b/>
          <w:i/>
        </w:rPr>
      </w:pPr>
      <w:r w:rsidRPr="006E5EB6">
        <w:rPr>
          <w:b/>
          <w:i/>
        </w:rPr>
        <w:t>Consultations</w:t>
      </w:r>
    </w:p>
    <w:p w14:paraId="7DB1F136" w14:textId="4523A19C" w:rsidR="00DF575C" w:rsidRPr="00DF575C" w:rsidRDefault="00DF575C" w:rsidP="00DF575C">
      <w:r w:rsidRPr="00DF575C">
        <w:t xml:space="preserve">Avec l’appui des Directions </w:t>
      </w:r>
      <w:r w:rsidR="006E5EB6">
        <w:t>R</w:t>
      </w:r>
      <w:r w:rsidRPr="00DF575C">
        <w:t xml:space="preserve">égionales des Travaux </w:t>
      </w:r>
      <w:r w:rsidR="006E5EB6">
        <w:t>P</w:t>
      </w:r>
      <w:r w:rsidRPr="00DF575C">
        <w:t>ublics, des séances de consultation du public ont été organisées dans les chefs-lieux de Région concernés par le PCM</w:t>
      </w:r>
      <w:r w:rsidR="006E5EB6">
        <w:t>CI</w:t>
      </w:r>
      <w:r w:rsidRPr="00DF575C">
        <w:t>. Durant ces sessions, la participation des femmes a été assurée.</w:t>
      </w:r>
    </w:p>
    <w:p w14:paraId="2E7F9336" w14:textId="134A2E7A" w:rsidR="00DF575C" w:rsidRDefault="00DF575C" w:rsidP="00DF575C">
      <w:r w:rsidRPr="00DF575C">
        <w:t>Par la suite, ces consultations publiques ont été complétées par des entretiens individuels auprès des Autorités incluant des autorités de Région, de District, des Communes ainsi que des Services déconcentrés de l’Etat.</w:t>
      </w:r>
    </w:p>
    <w:p w14:paraId="4616D703" w14:textId="754363F4" w:rsidR="00CA750F" w:rsidRDefault="00CA750F" w:rsidP="00CA750F">
      <w:pPr>
        <w:rPr>
          <w:color w:val="auto"/>
        </w:rPr>
      </w:pPr>
      <w:r w:rsidRPr="00CA750F">
        <w:rPr>
          <w:color w:val="auto"/>
        </w:rPr>
        <w:t>Les résultats y afférents sont considérés pour la gestion des projets PCMCI/CERC.</w:t>
      </w:r>
    </w:p>
    <w:p w14:paraId="355E8DFD" w14:textId="77777777" w:rsidR="00CA750F" w:rsidRPr="00CA750F" w:rsidRDefault="00CA750F" w:rsidP="00CA750F">
      <w:pPr>
        <w:rPr>
          <w:color w:val="auto"/>
        </w:rPr>
      </w:pPr>
    </w:p>
    <w:p w14:paraId="6F3F5C5A" w14:textId="0DE9EC32" w:rsidR="00DF575C" w:rsidRPr="006E5EB6" w:rsidRDefault="006E5EB6" w:rsidP="00DF575C">
      <w:pPr>
        <w:rPr>
          <w:b/>
        </w:rPr>
      </w:pPr>
      <w:r w:rsidRPr="006E5EB6">
        <w:rPr>
          <w:b/>
        </w:rPr>
        <w:t>PLAN CADRE DE GESTION ENVIRONNEMENTALE ET SOCIALE</w:t>
      </w:r>
    </w:p>
    <w:p w14:paraId="6CC6CB73" w14:textId="77777777" w:rsidR="00DF575C" w:rsidRPr="006E5EB6" w:rsidRDefault="00DF575C" w:rsidP="00DF575C">
      <w:pPr>
        <w:rPr>
          <w:b/>
          <w:i/>
        </w:rPr>
      </w:pPr>
      <w:r w:rsidRPr="006E5EB6">
        <w:rPr>
          <w:b/>
          <w:i/>
        </w:rPr>
        <w:t>Procédure de gestion environnementale et sociale des projets</w:t>
      </w:r>
    </w:p>
    <w:p w14:paraId="2177E434" w14:textId="77777777" w:rsidR="00DF575C" w:rsidRPr="00DF575C" w:rsidRDefault="00DF575C" w:rsidP="00DF575C">
      <w:r w:rsidRPr="00DF575C">
        <w:t>Selon le CGES, la procédure à suivre est la suivante :</w:t>
      </w:r>
    </w:p>
    <w:p w14:paraId="0F7A6840" w14:textId="53419FE6" w:rsidR="00DF575C" w:rsidRPr="00DF575C" w:rsidRDefault="00DF575C" w:rsidP="00DF575C">
      <w:r w:rsidRPr="00DF575C">
        <w:t xml:space="preserve">Table </w:t>
      </w:r>
      <w:r w:rsidR="006E5EB6" w:rsidRPr="00DF575C">
        <w:t>3 :</w:t>
      </w:r>
      <w:r w:rsidRPr="00DF575C">
        <w:t xml:space="preserve"> procédure de gestion environnementale et sociale</w:t>
      </w:r>
    </w:p>
    <w:tbl>
      <w:tblPr>
        <w:tblW w:w="9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3544"/>
        <w:gridCol w:w="3760"/>
      </w:tblGrid>
      <w:tr w:rsidR="00DF575C" w:rsidRPr="00DF575C" w14:paraId="426FC2A5" w14:textId="77777777" w:rsidTr="006E5EB6">
        <w:trPr>
          <w:tblHeader/>
        </w:trPr>
        <w:tc>
          <w:tcPr>
            <w:tcW w:w="1980"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65FE0C0E" w14:textId="77777777" w:rsidR="00DF575C" w:rsidRPr="00DF575C" w:rsidRDefault="00DF575C" w:rsidP="00DF575C">
            <w:r w:rsidRPr="00DF575C">
              <w:lastRenderedPageBreak/>
              <w:t>PRINCIPALES ETAPES</w:t>
            </w:r>
          </w:p>
        </w:tc>
        <w:tc>
          <w:tcPr>
            <w:tcW w:w="7304" w:type="dxa"/>
            <w:gridSpan w:val="2"/>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E2166C0" w14:textId="77777777" w:rsidR="00DF575C" w:rsidRPr="00DF575C" w:rsidRDefault="00DF575C" w:rsidP="006E5EB6">
            <w:pPr>
              <w:jc w:val="center"/>
            </w:pPr>
            <w:r w:rsidRPr="00DF575C">
              <w:t>RESPONSABILITES</w:t>
            </w:r>
          </w:p>
        </w:tc>
      </w:tr>
      <w:tr w:rsidR="00DF575C" w:rsidRPr="00DF575C" w14:paraId="39452EBD" w14:textId="77777777" w:rsidTr="006E5EB6">
        <w:trPr>
          <w:tblHeader/>
        </w:trPr>
        <w:tc>
          <w:tcPr>
            <w:tcW w:w="1980" w:type="dxa"/>
            <w:vMerge/>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48B0730" w14:textId="77777777" w:rsidR="00DF575C" w:rsidRPr="00DF575C" w:rsidRDefault="00DF575C" w:rsidP="00DF575C"/>
        </w:tc>
        <w:tc>
          <w:tcPr>
            <w:tcW w:w="3544"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49F8EB5" w14:textId="77777777" w:rsidR="00DF575C" w:rsidRPr="00DF575C" w:rsidRDefault="00DF575C" w:rsidP="00DF575C">
            <w:r w:rsidRPr="00DF575C">
              <w:t>Unité de Coordination du Projet (UCP)</w:t>
            </w:r>
          </w:p>
        </w:tc>
        <w:tc>
          <w:tcPr>
            <w:tcW w:w="3757"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832A087" w14:textId="77777777" w:rsidR="00DF575C" w:rsidRPr="00DF575C" w:rsidRDefault="00DF575C" w:rsidP="00DF575C">
            <w:r w:rsidRPr="00DF575C">
              <w:t>BANQUE MONDIALE (BM)</w:t>
            </w:r>
          </w:p>
        </w:tc>
      </w:tr>
      <w:tr w:rsidR="00DF575C" w:rsidRPr="00DF575C" w14:paraId="7FDE196E" w14:textId="77777777" w:rsidTr="006E5EB6">
        <w:tc>
          <w:tcPr>
            <w:tcW w:w="1980" w:type="dxa"/>
            <w:tcBorders>
              <w:top w:val="single" w:sz="4" w:space="0" w:color="auto"/>
              <w:left w:val="single" w:sz="4" w:space="0" w:color="auto"/>
              <w:bottom w:val="single" w:sz="4" w:space="0" w:color="auto"/>
              <w:right w:val="single" w:sz="4" w:space="0" w:color="auto"/>
            </w:tcBorders>
          </w:tcPr>
          <w:p w14:paraId="2E1EDE61" w14:textId="77777777" w:rsidR="00DF575C" w:rsidRPr="00DF575C" w:rsidRDefault="00DF575C" w:rsidP="006E5EB6">
            <w:pPr>
              <w:jc w:val="left"/>
            </w:pPr>
            <w:r w:rsidRPr="00DF575C">
              <w:t>Examen environnemental préalable (screening)</w:t>
            </w:r>
          </w:p>
        </w:tc>
        <w:tc>
          <w:tcPr>
            <w:tcW w:w="3544" w:type="dxa"/>
            <w:tcBorders>
              <w:top w:val="single" w:sz="4" w:space="0" w:color="auto"/>
              <w:left w:val="single" w:sz="4" w:space="0" w:color="auto"/>
              <w:bottom w:val="single" w:sz="4" w:space="0" w:color="auto"/>
              <w:right w:val="single" w:sz="4" w:space="0" w:color="auto"/>
            </w:tcBorders>
          </w:tcPr>
          <w:p w14:paraId="71460148" w14:textId="77777777" w:rsidR="00DF575C" w:rsidRPr="00DF575C" w:rsidRDefault="00DF575C" w:rsidP="00DF575C">
            <w:r w:rsidRPr="00DF575C">
              <w:t>Préparation de la fiche d’examen environnemental préalable</w:t>
            </w:r>
          </w:p>
          <w:p w14:paraId="25AC2364" w14:textId="77777777" w:rsidR="00DF575C" w:rsidRPr="00DF575C" w:rsidRDefault="00DF575C" w:rsidP="00DF575C">
            <w:r w:rsidRPr="00DF575C">
              <w:t>Catégorisation du sous-projet et identification du/des documents à préparer selon les NES applicables et la législation environnementale nationale</w:t>
            </w:r>
          </w:p>
        </w:tc>
        <w:tc>
          <w:tcPr>
            <w:tcW w:w="3757" w:type="dxa"/>
            <w:tcBorders>
              <w:top w:val="single" w:sz="4" w:space="0" w:color="auto"/>
              <w:left w:val="single" w:sz="4" w:space="0" w:color="auto"/>
              <w:bottom w:val="single" w:sz="4" w:space="0" w:color="auto"/>
              <w:right w:val="single" w:sz="4" w:space="0" w:color="auto"/>
            </w:tcBorders>
          </w:tcPr>
          <w:p w14:paraId="57D66D19" w14:textId="77777777" w:rsidR="00DF575C" w:rsidRPr="00DF575C" w:rsidRDefault="00DF575C" w:rsidP="00DF575C">
            <w:r w:rsidRPr="00DF575C">
              <w:t>Vérification à postériori de la catégorie du sous-projet et des NES applicables</w:t>
            </w:r>
          </w:p>
          <w:p w14:paraId="582433A5" w14:textId="77777777" w:rsidR="00DF575C" w:rsidRPr="00DF575C" w:rsidRDefault="00DF575C" w:rsidP="00DF575C">
            <w:r w:rsidRPr="00DF575C">
              <w:t>La fiche d’examen environnemental et social préliminaire est annexée à toutes les études environnementales et sociales soumises à la Banque</w:t>
            </w:r>
          </w:p>
        </w:tc>
      </w:tr>
      <w:tr w:rsidR="00DF575C" w:rsidRPr="00DF575C" w14:paraId="671F7F56" w14:textId="77777777" w:rsidTr="006E5EB6">
        <w:tc>
          <w:tcPr>
            <w:tcW w:w="1980" w:type="dxa"/>
            <w:tcBorders>
              <w:top w:val="single" w:sz="4" w:space="0" w:color="auto"/>
              <w:left w:val="single" w:sz="4" w:space="0" w:color="auto"/>
              <w:bottom w:val="single" w:sz="4" w:space="0" w:color="auto"/>
              <w:right w:val="single" w:sz="4" w:space="0" w:color="auto"/>
            </w:tcBorders>
          </w:tcPr>
          <w:p w14:paraId="06827EA9" w14:textId="77777777" w:rsidR="00DF575C" w:rsidRPr="00DF575C" w:rsidRDefault="00DF575C" w:rsidP="006E5EB6">
            <w:pPr>
              <w:jc w:val="left"/>
            </w:pPr>
            <w:r w:rsidRPr="00DF575C">
              <w:t>Mise en œuvre du PMPP. Consultations du public</w:t>
            </w:r>
          </w:p>
        </w:tc>
        <w:tc>
          <w:tcPr>
            <w:tcW w:w="3544" w:type="dxa"/>
            <w:tcBorders>
              <w:top w:val="single" w:sz="4" w:space="0" w:color="auto"/>
              <w:left w:val="single" w:sz="4" w:space="0" w:color="auto"/>
              <w:bottom w:val="single" w:sz="4" w:space="0" w:color="auto"/>
              <w:right w:val="single" w:sz="4" w:space="0" w:color="auto"/>
            </w:tcBorders>
          </w:tcPr>
          <w:p w14:paraId="5741C9DF" w14:textId="77777777" w:rsidR="00DF575C" w:rsidRPr="00DF575C" w:rsidRDefault="00DF575C" w:rsidP="00DF575C">
            <w:r w:rsidRPr="00DF575C">
              <w:t>Consultation des groupes affectés et intéressés</w:t>
            </w:r>
          </w:p>
        </w:tc>
        <w:tc>
          <w:tcPr>
            <w:tcW w:w="3757" w:type="dxa"/>
            <w:tcBorders>
              <w:top w:val="single" w:sz="4" w:space="0" w:color="auto"/>
              <w:left w:val="single" w:sz="4" w:space="0" w:color="auto"/>
              <w:bottom w:val="single" w:sz="4" w:space="0" w:color="auto"/>
              <w:right w:val="single" w:sz="4" w:space="0" w:color="auto"/>
            </w:tcBorders>
          </w:tcPr>
          <w:p w14:paraId="11EA5DDC" w14:textId="77777777" w:rsidR="00DF575C" w:rsidRPr="00DF575C" w:rsidRDefault="00DF575C" w:rsidP="00DF575C">
            <w:r w:rsidRPr="00DF575C">
              <w:t>Vérification (à postériori)</w:t>
            </w:r>
          </w:p>
        </w:tc>
      </w:tr>
      <w:tr w:rsidR="00DF575C" w:rsidRPr="00DF575C" w14:paraId="097A170F" w14:textId="77777777" w:rsidTr="006E5EB6">
        <w:tc>
          <w:tcPr>
            <w:tcW w:w="1980" w:type="dxa"/>
            <w:tcBorders>
              <w:top w:val="single" w:sz="4" w:space="0" w:color="auto"/>
              <w:left w:val="single" w:sz="4" w:space="0" w:color="auto"/>
              <w:bottom w:val="single" w:sz="4" w:space="0" w:color="auto"/>
              <w:right w:val="single" w:sz="4" w:space="0" w:color="auto"/>
            </w:tcBorders>
          </w:tcPr>
          <w:p w14:paraId="40B8A2FF" w14:textId="17A02ABA" w:rsidR="00DF575C" w:rsidRPr="00DF575C" w:rsidRDefault="00DF575C" w:rsidP="006E5EB6">
            <w:pPr>
              <w:jc w:val="left"/>
            </w:pPr>
            <w:r w:rsidRPr="00DF575C">
              <w:t>Sélection du consultant</w:t>
            </w:r>
          </w:p>
        </w:tc>
        <w:tc>
          <w:tcPr>
            <w:tcW w:w="3544" w:type="dxa"/>
            <w:tcBorders>
              <w:top w:val="single" w:sz="4" w:space="0" w:color="auto"/>
              <w:left w:val="single" w:sz="4" w:space="0" w:color="auto"/>
              <w:bottom w:val="single" w:sz="4" w:space="0" w:color="auto"/>
              <w:right w:val="single" w:sz="4" w:space="0" w:color="auto"/>
            </w:tcBorders>
          </w:tcPr>
          <w:p w14:paraId="0651EF33" w14:textId="77777777" w:rsidR="00DF575C" w:rsidRPr="00DF575C" w:rsidRDefault="00DF575C" w:rsidP="00DF575C">
            <w:r w:rsidRPr="00DF575C">
              <w:t>Préparation des TdR des études E&amp;S et des autres études requises</w:t>
            </w:r>
          </w:p>
          <w:p w14:paraId="105233D9" w14:textId="77777777" w:rsidR="00DF575C" w:rsidRPr="00DF575C" w:rsidRDefault="00DF575C" w:rsidP="00DF575C">
            <w:r w:rsidRPr="00DF575C">
              <w:t>Sélection du consultant pour la réalisation des études requises (PGES, PR, etc.)</w:t>
            </w:r>
          </w:p>
        </w:tc>
        <w:tc>
          <w:tcPr>
            <w:tcW w:w="3757" w:type="dxa"/>
            <w:tcBorders>
              <w:top w:val="single" w:sz="4" w:space="0" w:color="auto"/>
              <w:left w:val="single" w:sz="4" w:space="0" w:color="auto"/>
              <w:bottom w:val="single" w:sz="4" w:space="0" w:color="auto"/>
              <w:right w:val="single" w:sz="4" w:space="0" w:color="auto"/>
            </w:tcBorders>
          </w:tcPr>
          <w:p w14:paraId="3C9BC7C6" w14:textId="77777777" w:rsidR="00DF575C" w:rsidRPr="00DF575C" w:rsidRDefault="00DF575C" w:rsidP="00DF575C">
            <w:r w:rsidRPr="00DF575C">
              <w:t>En fonction du montant du marché :</w:t>
            </w:r>
          </w:p>
          <w:p w14:paraId="3F4BDCC2" w14:textId="77777777" w:rsidR="00DF575C" w:rsidRPr="00DF575C" w:rsidRDefault="00DF575C" w:rsidP="00DF575C">
            <w:r w:rsidRPr="00DF575C">
              <w:t>Non-objection requise si le seuil est dépassé</w:t>
            </w:r>
          </w:p>
          <w:p w14:paraId="5C60D28B" w14:textId="77777777" w:rsidR="00DF575C" w:rsidRPr="00DF575C" w:rsidRDefault="00DF575C" w:rsidP="00DF575C">
            <w:r w:rsidRPr="00DF575C">
              <w:t>Revue à posteriori si le seuil n’est pas dépassé</w:t>
            </w:r>
          </w:p>
        </w:tc>
      </w:tr>
      <w:tr w:rsidR="00DF575C" w:rsidRPr="00DF575C" w14:paraId="49E12C43" w14:textId="77777777" w:rsidTr="006E5EB6">
        <w:tc>
          <w:tcPr>
            <w:tcW w:w="1980" w:type="dxa"/>
            <w:tcBorders>
              <w:top w:val="single" w:sz="4" w:space="0" w:color="auto"/>
              <w:left w:val="single" w:sz="4" w:space="0" w:color="auto"/>
              <w:bottom w:val="single" w:sz="4" w:space="0" w:color="auto"/>
              <w:right w:val="single" w:sz="4" w:space="0" w:color="auto"/>
            </w:tcBorders>
          </w:tcPr>
          <w:p w14:paraId="2BD357E4" w14:textId="77777777" w:rsidR="00DF575C" w:rsidRPr="00DF575C" w:rsidRDefault="00DF575C" w:rsidP="006E5EB6">
            <w:pPr>
              <w:jc w:val="left"/>
            </w:pPr>
            <w:r w:rsidRPr="00DF575C">
              <w:t>Analyse environnementale et sociale</w:t>
            </w:r>
          </w:p>
        </w:tc>
        <w:tc>
          <w:tcPr>
            <w:tcW w:w="3544" w:type="dxa"/>
            <w:tcBorders>
              <w:top w:val="single" w:sz="4" w:space="0" w:color="auto"/>
              <w:left w:val="single" w:sz="4" w:space="0" w:color="auto"/>
              <w:bottom w:val="single" w:sz="4" w:space="0" w:color="auto"/>
              <w:right w:val="single" w:sz="4" w:space="0" w:color="auto"/>
            </w:tcBorders>
          </w:tcPr>
          <w:p w14:paraId="65DF9D91" w14:textId="77777777" w:rsidR="00DF575C" w:rsidRPr="00DF575C" w:rsidRDefault="00DF575C" w:rsidP="006E5EB6">
            <w:pPr>
              <w:jc w:val="left"/>
            </w:pPr>
            <w:r w:rsidRPr="00DF575C">
              <w:t>Traitement des données</w:t>
            </w:r>
          </w:p>
          <w:p w14:paraId="4EACB86A" w14:textId="77777777" w:rsidR="00DF575C" w:rsidRPr="00DF575C" w:rsidRDefault="00DF575C" w:rsidP="006E5EB6">
            <w:pPr>
              <w:jc w:val="left"/>
            </w:pPr>
            <w:r w:rsidRPr="00DF575C">
              <w:t>Rédaction : Tenir compte des résultats des consultations</w:t>
            </w:r>
          </w:p>
        </w:tc>
        <w:tc>
          <w:tcPr>
            <w:tcW w:w="3757" w:type="dxa"/>
            <w:tcBorders>
              <w:top w:val="single" w:sz="4" w:space="0" w:color="auto"/>
              <w:left w:val="single" w:sz="4" w:space="0" w:color="auto"/>
              <w:bottom w:val="single" w:sz="4" w:space="0" w:color="auto"/>
              <w:right w:val="single" w:sz="4" w:space="0" w:color="auto"/>
            </w:tcBorders>
          </w:tcPr>
          <w:p w14:paraId="532B9432" w14:textId="77777777" w:rsidR="00DF575C" w:rsidRPr="00DF575C" w:rsidRDefault="00DF575C" w:rsidP="006E5EB6">
            <w:pPr>
              <w:jc w:val="left"/>
            </w:pPr>
          </w:p>
        </w:tc>
      </w:tr>
      <w:tr w:rsidR="00DF575C" w:rsidRPr="00DF575C" w14:paraId="5CF6DA8D" w14:textId="77777777" w:rsidTr="006E5EB6">
        <w:tc>
          <w:tcPr>
            <w:tcW w:w="1980" w:type="dxa"/>
            <w:tcBorders>
              <w:top w:val="single" w:sz="4" w:space="0" w:color="auto"/>
              <w:left w:val="single" w:sz="4" w:space="0" w:color="auto"/>
              <w:bottom w:val="single" w:sz="4" w:space="0" w:color="auto"/>
              <w:right w:val="single" w:sz="4" w:space="0" w:color="auto"/>
            </w:tcBorders>
          </w:tcPr>
          <w:p w14:paraId="5E6BE7F8" w14:textId="77777777" w:rsidR="00DF575C" w:rsidRPr="00DF575C" w:rsidRDefault="00DF575C" w:rsidP="006E5EB6">
            <w:pPr>
              <w:jc w:val="left"/>
            </w:pPr>
            <w:r w:rsidRPr="00DF575C">
              <w:t>Examen et approbation des documents</w:t>
            </w:r>
          </w:p>
        </w:tc>
        <w:tc>
          <w:tcPr>
            <w:tcW w:w="3544" w:type="dxa"/>
            <w:tcBorders>
              <w:top w:val="single" w:sz="4" w:space="0" w:color="auto"/>
              <w:left w:val="single" w:sz="4" w:space="0" w:color="auto"/>
              <w:bottom w:val="single" w:sz="4" w:space="0" w:color="auto"/>
              <w:right w:val="single" w:sz="4" w:space="0" w:color="auto"/>
            </w:tcBorders>
          </w:tcPr>
          <w:p w14:paraId="6CAF08EE" w14:textId="77777777" w:rsidR="00DF575C" w:rsidRPr="00DF575C" w:rsidRDefault="00DF575C" w:rsidP="006E5EB6">
            <w:pPr>
              <w:jc w:val="left"/>
            </w:pPr>
            <w:r w:rsidRPr="00DF575C">
              <w:t>Vérification de la conformité des études aux TdR</w:t>
            </w:r>
          </w:p>
          <w:p w14:paraId="11F68BA0" w14:textId="77777777" w:rsidR="00DF575C" w:rsidRPr="00DF575C" w:rsidRDefault="00DF575C" w:rsidP="006E5EB6">
            <w:pPr>
              <w:jc w:val="left"/>
            </w:pPr>
            <w:r w:rsidRPr="00DF575C">
              <w:t>Modification des documents selon les commentaires des intervenants</w:t>
            </w:r>
          </w:p>
          <w:p w14:paraId="3A5721A9" w14:textId="77777777" w:rsidR="00DF575C" w:rsidRPr="00DF575C" w:rsidRDefault="00DF575C" w:rsidP="006E5EB6">
            <w:pPr>
              <w:jc w:val="left"/>
            </w:pPr>
            <w:r w:rsidRPr="00DF575C">
              <w:t>Soumission du plan de gestion environnementale et sociale (PGES) du sous-projet et autres documents requis par la BM.</w:t>
            </w:r>
          </w:p>
        </w:tc>
        <w:tc>
          <w:tcPr>
            <w:tcW w:w="3757" w:type="dxa"/>
            <w:tcBorders>
              <w:top w:val="single" w:sz="4" w:space="0" w:color="auto"/>
              <w:left w:val="single" w:sz="4" w:space="0" w:color="auto"/>
              <w:bottom w:val="single" w:sz="4" w:space="0" w:color="auto"/>
              <w:right w:val="single" w:sz="4" w:space="0" w:color="auto"/>
            </w:tcBorders>
          </w:tcPr>
          <w:p w14:paraId="3BB33480" w14:textId="77777777" w:rsidR="00DF575C" w:rsidRPr="00DF575C" w:rsidRDefault="00DF575C" w:rsidP="006E5EB6">
            <w:pPr>
              <w:jc w:val="left"/>
            </w:pPr>
            <w:r w:rsidRPr="00DF575C">
              <w:t>Commentaires sur les études réalisées</w:t>
            </w:r>
          </w:p>
          <w:p w14:paraId="2E21AD01" w14:textId="3E50E613" w:rsidR="00DF575C" w:rsidRPr="00DF575C" w:rsidRDefault="00DF575C" w:rsidP="006E5EB6">
            <w:pPr>
              <w:jc w:val="left"/>
            </w:pPr>
            <w:r w:rsidRPr="00DF575C">
              <w:t>Approbation des études environnementales et sociales requise</w:t>
            </w:r>
            <w:r w:rsidR="006E5EB6">
              <w:t>s</w:t>
            </w:r>
          </w:p>
        </w:tc>
      </w:tr>
      <w:tr w:rsidR="00DF575C" w:rsidRPr="00DF575C" w14:paraId="3FE2011B" w14:textId="77777777" w:rsidTr="006E5EB6">
        <w:tc>
          <w:tcPr>
            <w:tcW w:w="1980" w:type="dxa"/>
            <w:tcBorders>
              <w:top w:val="single" w:sz="4" w:space="0" w:color="auto"/>
              <w:left w:val="single" w:sz="4" w:space="0" w:color="auto"/>
              <w:bottom w:val="single" w:sz="4" w:space="0" w:color="auto"/>
              <w:right w:val="single" w:sz="4" w:space="0" w:color="auto"/>
            </w:tcBorders>
          </w:tcPr>
          <w:p w14:paraId="052B2F3D" w14:textId="77777777" w:rsidR="00DF575C" w:rsidRPr="00DF575C" w:rsidRDefault="00DF575C" w:rsidP="006E5EB6">
            <w:pPr>
              <w:jc w:val="left"/>
            </w:pPr>
            <w:r w:rsidRPr="00DF575C">
              <w:t>Diffusion des documents</w:t>
            </w:r>
          </w:p>
        </w:tc>
        <w:tc>
          <w:tcPr>
            <w:tcW w:w="3544" w:type="dxa"/>
            <w:tcBorders>
              <w:top w:val="single" w:sz="4" w:space="0" w:color="auto"/>
              <w:left w:val="single" w:sz="4" w:space="0" w:color="auto"/>
              <w:bottom w:val="single" w:sz="4" w:space="0" w:color="auto"/>
              <w:right w:val="single" w:sz="4" w:space="0" w:color="auto"/>
            </w:tcBorders>
          </w:tcPr>
          <w:p w14:paraId="64BFECBB" w14:textId="77777777" w:rsidR="00DF575C" w:rsidRPr="00DF575C" w:rsidRDefault="00DF575C" w:rsidP="006E5EB6">
            <w:pPr>
              <w:jc w:val="left"/>
            </w:pPr>
            <w:r w:rsidRPr="00DF575C">
              <w:t>Sites Web du Projet / MTP</w:t>
            </w:r>
          </w:p>
          <w:p w14:paraId="31E9BD44" w14:textId="77777777" w:rsidR="00DF575C" w:rsidRPr="00DF575C" w:rsidRDefault="00DF575C" w:rsidP="006E5EB6">
            <w:pPr>
              <w:jc w:val="left"/>
            </w:pPr>
            <w:r w:rsidRPr="00DF575C">
              <w:t>Au niveau local</w:t>
            </w:r>
          </w:p>
        </w:tc>
        <w:tc>
          <w:tcPr>
            <w:tcW w:w="3757" w:type="dxa"/>
            <w:tcBorders>
              <w:top w:val="single" w:sz="4" w:space="0" w:color="auto"/>
              <w:left w:val="single" w:sz="4" w:space="0" w:color="auto"/>
              <w:bottom w:val="single" w:sz="4" w:space="0" w:color="auto"/>
              <w:right w:val="single" w:sz="4" w:space="0" w:color="auto"/>
            </w:tcBorders>
          </w:tcPr>
          <w:p w14:paraId="21EDEE77" w14:textId="40972BFD" w:rsidR="00DF575C" w:rsidRPr="00DF575C" w:rsidRDefault="00DF575C" w:rsidP="006E5EB6">
            <w:pPr>
              <w:jc w:val="left"/>
            </w:pPr>
            <w:r w:rsidRPr="00DF575C">
              <w:t>External Web site de la Banque</w:t>
            </w:r>
          </w:p>
        </w:tc>
      </w:tr>
      <w:tr w:rsidR="00DF575C" w:rsidRPr="00DF575C" w14:paraId="19700BA8" w14:textId="77777777" w:rsidTr="006E5EB6">
        <w:tc>
          <w:tcPr>
            <w:tcW w:w="1980" w:type="dxa"/>
            <w:tcBorders>
              <w:top w:val="single" w:sz="4" w:space="0" w:color="auto"/>
              <w:left w:val="single" w:sz="4" w:space="0" w:color="auto"/>
              <w:bottom w:val="single" w:sz="4" w:space="0" w:color="auto"/>
              <w:right w:val="single" w:sz="4" w:space="0" w:color="auto"/>
            </w:tcBorders>
          </w:tcPr>
          <w:p w14:paraId="5C513349" w14:textId="77777777" w:rsidR="00DF575C" w:rsidRPr="00DF575C" w:rsidRDefault="00DF575C" w:rsidP="006E5EB6">
            <w:pPr>
              <w:jc w:val="left"/>
            </w:pPr>
            <w:r w:rsidRPr="00DF575C">
              <w:t xml:space="preserve">Surveillance et Suivi </w:t>
            </w:r>
            <w:r w:rsidRPr="00DF575C">
              <w:lastRenderedPageBreak/>
              <w:t>environnemental et social</w:t>
            </w:r>
          </w:p>
        </w:tc>
        <w:tc>
          <w:tcPr>
            <w:tcW w:w="3544" w:type="dxa"/>
            <w:tcBorders>
              <w:top w:val="single" w:sz="4" w:space="0" w:color="auto"/>
              <w:left w:val="single" w:sz="4" w:space="0" w:color="auto"/>
              <w:bottom w:val="single" w:sz="4" w:space="0" w:color="auto"/>
              <w:right w:val="single" w:sz="4" w:space="0" w:color="auto"/>
            </w:tcBorders>
          </w:tcPr>
          <w:p w14:paraId="3229667D" w14:textId="77777777" w:rsidR="00DF575C" w:rsidRPr="00DF575C" w:rsidRDefault="00DF575C" w:rsidP="00DF575C">
            <w:r w:rsidRPr="00DF575C">
              <w:lastRenderedPageBreak/>
              <w:t>Suivi interne de l’exécution du PGES</w:t>
            </w:r>
          </w:p>
          <w:p w14:paraId="794DA39F" w14:textId="77777777" w:rsidR="00DF575C" w:rsidRPr="00DF575C" w:rsidRDefault="00DF575C" w:rsidP="00DF575C">
            <w:r w:rsidRPr="00DF575C">
              <w:lastRenderedPageBreak/>
              <w:t>Soumission des rapports de suivi environnemental &amp; social à la BM.</w:t>
            </w:r>
          </w:p>
        </w:tc>
        <w:tc>
          <w:tcPr>
            <w:tcW w:w="3757" w:type="dxa"/>
            <w:tcBorders>
              <w:top w:val="single" w:sz="4" w:space="0" w:color="auto"/>
              <w:left w:val="single" w:sz="4" w:space="0" w:color="auto"/>
              <w:bottom w:val="single" w:sz="4" w:space="0" w:color="auto"/>
              <w:right w:val="single" w:sz="4" w:space="0" w:color="auto"/>
            </w:tcBorders>
          </w:tcPr>
          <w:p w14:paraId="328AFF47" w14:textId="77777777" w:rsidR="00DF575C" w:rsidRPr="00DF575C" w:rsidRDefault="00DF575C" w:rsidP="00DF575C">
            <w:r w:rsidRPr="00DF575C">
              <w:lastRenderedPageBreak/>
              <w:t>Supervision / Missions d’appui (tous les 6 mois)</w:t>
            </w:r>
          </w:p>
        </w:tc>
      </w:tr>
    </w:tbl>
    <w:p w14:paraId="27324E0A" w14:textId="77777777" w:rsidR="004A20C3" w:rsidRDefault="004A20C3" w:rsidP="00DF575C">
      <w:pPr>
        <w:rPr>
          <w:b/>
          <w:i/>
        </w:rPr>
      </w:pPr>
    </w:p>
    <w:p w14:paraId="7A7BDCBB" w14:textId="110FD385" w:rsidR="00DF575C" w:rsidRPr="006E5EB6" w:rsidRDefault="00DF575C" w:rsidP="00DF575C">
      <w:pPr>
        <w:rPr>
          <w:b/>
          <w:i/>
        </w:rPr>
      </w:pPr>
      <w:r w:rsidRPr="006E5EB6">
        <w:rPr>
          <w:b/>
          <w:i/>
        </w:rPr>
        <w:t>Plan de communication/consultation du public pendant le cycle de vie du projet</w:t>
      </w:r>
    </w:p>
    <w:p w14:paraId="7CCFF4AE" w14:textId="37857547" w:rsidR="00DF575C" w:rsidRPr="00DF575C" w:rsidRDefault="00DF575C" w:rsidP="00DF575C">
      <w:r w:rsidRPr="00DF575C">
        <w:t>Dans le cadre de la mise en œuvre du PCM</w:t>
      </w:r>
      <w:r w:rsidR="006E5EB6">
        <w:t>CI</w:t>
      </w:r>
      <w:r w:rsidRPr="00DF575C">
        <w:t>, il est nécessaire de faciliter l’aboutissement du Projet et la réalisation des travaux même si les impacts environnementaux sociaux prédits sont d’ampleur limitée, à travers une campagne de sensibilisation et de communication permanente. En effet, pour la durabilité des infrastructures entretenues, il faudra susciter l’adhésion et la prise de responsabilité des populations desservies, ainsi que des diverses parties prenantes. Une stratégie de communication sera ainsi adoptée : les consultations font partie d’un tel Plan de communication.</w:t>
      </w:r>
    </w:p>
    <w:p w14:paraId="50EAB610" w14:textId="77777777" w:rsidR="00DF575C" w:rsidRPr="006E5EB6" w:rsidRDefault="00DF575C" w:rsidP="00DF575C">
      <w:pPr>
        <w:rPr>
          <w:b/>
          <w:i/>
        </w:rPr>
      </w:pPr>
      <w:r w:rsidRPr="006E5EB6">
        <w:rPr>
          <w:b/>
          <w:i/>
        </w:rPr>
        <w:t xml:space="preserve">Renforcement des capacités </w:t>
      </w:r>
    </w:p>
    <w:p w14:paraId="57577195" w14:textId="1AF52DAB" w:rsidR="00DF575C" w:rsidRPr="00DF575C" w:rsidRDefault="00DF575C" w:rsidP="00DF575C">
      <w:r w:rsidRPr="00DF575C">
        <w:t>L’évaluation sommaire des besoins en renforcement des capacités des différents acteurs qui vont intervenir dans la mise en œuvre et le suivi du PCM</w:t>
      </w:r>
      <w:r w:rsidR="006E5EB6">
        <w:t>CI</w:t>
      </w:r>
      <w:r w:rsidRPr="00DF575C">
        <w:t xml:space="preserve"> a montré que l’acteur central a des expériences dans la préparation et de la mise en œuvre de documents de sauvegarde E&amp;S. Toutefois, du fait des changements possibles de personnel et des recrutements additionnels pour subvenir aux besoins des charges de travail additionnelles, des sessions de renforcement des capacités seront requises. </w:t>
      </w:r>
    </w:p>
    <w:p w14:paraId="50AD3EF0" w14:textId="77777777" w:rsidR="00DF575C" w:rsidRPr="00DF575C" w:rsidRDefault="00DF575C" w:rsidP="00DF575C">
      <w:r w:rsidRPr="00DF575C">
        <w:t>Identiquement, d’autres parties prenantes concernées nécessitent également des renforcements des capacités afin de mieux optimiser leurs contributions à la réussite du Projet envisagé.</w:t>
      </w:r>
    </w:p>
    <w:p w14:paraId="215466EA" w14:textId="77777777" w:rsidR="00DF575C" w:rsidRPr="00DF575C" w:rsidRDefault="00DF575C" w:rsidP="00DF575C">
      <w:r w:rsidRPr="00DF575C">
        <w:t>Mécanisme de gestion des plaintes et des litiges</w:t>
      </w:r>
    </w:p>
    <w:p w14:paraId="3DFCDDCC" w14:textId="77777777" w:rsidR="00DF575C" w:rsidRPr="00DF575C" w:rsidRDefault="00DF575C" w:rsidP="00DF575C">
      <w:r w:rsidRPr="00DF575C">
        <w:t xml:space="preserve">Il est prévu un mécanisme de résolution des plaintes et des litiges et une voie de recours. Ce mécanisme privilégie les modes de résolution des différends à l’amiable en privilégiant la médiation par les chefs de Fokontany, les notables, les Comités de quartier et les autorités locales. </w:t>
      </w:r>
    </w:p>
    <w:p w14:paraId="28D5BD31" w14:textId="77777777" w:rsidR="00DF575C" w:rsidRPr="00DF575C" w:rsidRDefault="00DF575C" w:rsidP="00DF575C">
      <w:r w:rsidRPr="00DF575C">
        <w:t>Toutefois, différents niveaux de traitement existent afin de permettre un traitement équitable des plaintes, niveaux qui vont du chef de Fokontany au tribunal (recours final, le cas échéant), en passant par les instances au niveau du Maire puis par les divers Comités de règlement des litiges.</w:t>
      </w:r>
    </w:p>
    <w:p w14:paraId="2AC7D1BA" w14:textId="77777777" w:rsidR="00DF575C" w:rsidRPr="00DF575C" w:rsidRDefault="00DF575C" w:rsidP="00DF575C">
      <w:r w:rsidRPr="00DF575C">
        <w:t>Bref, 4 niveaux de gestion des plaintes sont prévus :</w:t>
      </w:r>
    </w:p>
    <w:p w14:paraId="4EC586A4" w14:textId="77777777" w:rsidR="00DF575C" w:rsidRPr="00DF575C" w:rsidRDefault="00DF575C" w:rsidP="00844538">
      <w:pPr>
        <w:pStyle w:val="ListParagraph"/>
        <w:numPr>
          <w:ilvl w:val="0"/>
          <w:numId w:val="167"/>
        </w:numPr>
      </w:pPr>
      <w:r w:rsidRPr="00DF575C">
        <w:t>A l’amiable : au niveau du Fokontany</w:t>
      </w:r>
    </w:p>
    <w:p w14:paraId="0ACB12A7" w14:textId="77777777" w:rsidR="00DF575C" w:rsidRPr="00DF575C" w:rsidRDefault="00DF575C" w:rsidP="00844538">
      <w:pPr>
        <w:pStyle w:val="ListParagraph"/>
        <w:numPr>
          <w:ilvl w:val="0"/>
          <w:numId w:val="167"/>
        </w:numPr>
      </w:pPr>
      <w:r w:rsidRPr="00DF575C">
        <w:t>A l’amiable : au niveau de la Commune</w:t>
      </w:r>
    </w:p>
    <w:p w14:paraId="2B9758AD" w14:textId="77777777" w:rsidR="00DF575C" w:rsidRPr="00DF575C" w:rsidRDefault="00DF575C" w:rsidP="00844538">
      <w:pPr>
        <w:pStyle w:val="ListParagraph"/>
        <w:numPr>
          <w:ilvl w:val="0"/>
          <w:numId w:val="167"/>
        </w:numPr>
      </w:pPr>
      <w:r w:rsidRPr="00DF575C">
        <w:t>Arbitrage : par les divers Comités</w:t>
      </w:r>
    </w:p>
    <w:p w14:paraId="6831ADAD" w14:textId="77777777" w:rsidR="00DF575C" w:rsidRPr="00DF575C" w:rsidRDefault="00DF575C" w:rsidP="00844538">
      <w:pPr>
        <w:pStyle w:val="ListParagraph"/>
        <w:numPr>
          <w:ilvl w:val="0"/>
          <w:numId w:val="167"/>
        </w:numPr>
      </w:pPr>
      <w:r w:rsidRPr="00DF575C">
        <w:t>Tribunal (dernier recours et avec l’appui de l’UCP)</w:t>
      </w:r>
    </w:p>
    <w:p w14:paraId="54E0B4F7" w14:textId="237D0A5F" w:rsidR="00DF575C" w:rsidRPr="006E5EB6" w:rsidRDefault="006E5EB6" w:rsidP="00DF575C">
      <w:pPr>
        <w:rPr>
          <w:b/>
        </w:rPr>
      </w:pPr>
      <w:r w:rsidRPr="006E5EB6">
        <w:rPr>
          <w:b/>
        </w:rPr>
        <w:t>BUDGET</w:t>
      </w:r>
    </w:p>
    <w:p w14:paraId="4B8B4FE1" w14:textId="77777777" w:rsidR="00DF575C" w:rsidRPr="00DF575C" w:rsidRDefault="00DF575C" w:rsidP="00DF575C">
      <w:r w:rsidRPr="00DF575C">
        <w:lastRenderedPageBreak/>
        <w:t>Les coûts des mesures à prendre dans le cadre de la mise en œuvre du présent CGES sont estimés à 1 244 269 USD. Ils seront intégrés dans les coûts du Projet dont environ 271 975 USD seront pris en charge par le GoM pour la mise en œuvre des Plans de Réinstallation et 972 294 USD seront éligibles sur le crédit.</w:t>
      </w:r>
    </w:p>
    <w:p w14:paraId="3A845703" w14:textId="77777777" w:rsidR="00DF575C" w:rsidRPr="00DF575C" w:rsidRDefault="00DF575C" w:rsidP="00DF575C"/>
    <w:p w14:paraId="020AD3A1" w14:textId="77777777" w:rsidR="00DF575C" w:rsidRPr="00DF575C" w:rsidRDefault="00DF575C" w:rsidP="00DF575C"/>
    <w:p w14:paraId="74656A2D" w14:textId="77777777" w:rsidR="00DF575C" w:rsidRPr="00DF575C" w:rsidRDefault="00DF575C" w:rsidP="00DF575C">
      <w:pPr>
        <w:sectPr w:rsidR="00DF575C" w:rsidRPr="00DF575C" w:rsidSect="002F0AD5">
          <w:headerReference w:type="default" r:id="rId21"/>
          <w:pgSz w:w="11906" w:h="16838"/>
          <w:pgMar w:top="1418" w:right="1134" w:bottom="1134" w:left="1418" w:header="709" w:footer="709" w:gutter="0"/>
          <w:pgNumType w:fmt="lowerRoman"/>
          <w:cols w:space="708"/>
          <w:docGrid w:linePitch="360"/>
        </w:sectPr>
      </w:pPr>
    </w:p>
    <w:p w14:paraId="6297FFDA" w14:textId="635E6C8E" w:rsidR="006E5EB6" w:rsidRPr="00D42025" w:rsidRDefault="006E5EB6" w:rsidP="006E5EB6">
      <w:pPr>
        <w:pStyle w:val="Title"/>
        <w:pBdr>
          <w:bottom w:val="single" w:sz="4" w:space="1" w:color="auto"/>
        </w:pBdr>
        <w:rPr>
          <w:sz w:val="28"/>
          <w:lang w:val="en-US"/>
        </w:rPr>
      </w:pPr>
      <w:bookmarkStart w:id="6" w:name="_Toc138413951"/>
      <w:bookmarkStart w:id="7" w:name="_Toc230425965"/>
      <w:r w:rsidRPr="00D42025">
        <w:rPr>
          <w:sz w:val="28"/>
          <w:lang w:val="en-US"/>
        </w:rPr>
        <w:lastRenderedPageBreak/>
        <w:t>SUMMARY</w:t>
      </w:r>
      <w:bookmarkEnd w:id="7"/>
    </w:p>
    <w:p w14:paraId="7C3F281B" w14:textId="77777777" w:rsidR="006E5EB6" w:rsidRPr="00D42025" w:rsidRDefault="006E5EB6" w:rsidP="006E5EB6">
      <w:pPr>
        <w:rPr>
          <w:b/>
          <w:lang w:val="en-US"/>
        </w:rPr>
      </w:pPr>
      <w:r w:rsidRPr="00D42025">
        <w:rPr>
          <w:b/>
          <w:lang w:val="en-US"/>
        </w:rPr>
        <w:t>CONTEXTE</w:t>
      </w:r>
    </w:p>
    <w:bookmarkEnd w:id="6"/>
    <w:p w14:paraId="727DC53F" w14:textId="4782EDD1" w:rsidR="00DF575C" w:rsidRPr="00D42025" w:rsidRDefault="00D142D6" w:rsidP="00D142D6">
      <w:pPr>
        <w:rPr>
          <w:lang w:val="en-US"/>
        </w:rPr>
      </w:pPr>
      <w:r w:rsidRPr="00D42025">
        <w:rPr>
          <w:rFonts w:cs="Times New Roman"/>
          <w:color w:val="000000"/>
          <w:lang w:val="en-US"/>
        </w:rPr>
        <w:t xml:space="preserve">Madagascar's socio-economic progress depends on better connectivity, skilled workforce, a strong business climate, and technological upgrades in agriculture. Domestic transport issues lengthen marketing chains and cause inefficiencies locally and for exports. The Connecting Madagascar for Inclusive Development (PCMCI) initiative aims to address these challenges. </w:t>
      </w:r>
    </w:p>
    <w:p w14:paraId="5E04E6E3" w14:textId="3889E006" w:rsidR="00DF575C" w:rsidRPr="00D42025" w:rsidRDefault="006E5EB6" w:rsidP="00DF575C">
      <w:pPr>
        <w:rPr>
          <w:b/>
          <w:lang w:val="en-US"/>
        </w:rPr>
      </w:pPr>
      <w:r w:rsidRPr="00D42025">
        <w:rPr>
          <w:b/>
          <w:lang w:val="en-US"/>
        </w:rPr>
        <w:t>PROJECT DESCRIPTION</w:t>
      </w:r>
    </w:p>
    <w:p w14:paraId="7D1A8CF8" w14:textId="13C8C5AF" w:rsidR="00DF575C" w:rsidRPr="00DF575C" w:rsidRDefault="00DF575C" w:rsidP="00DF575C">
      <w:r w:rsidRPr="00D42025">
        <w:rPr>
          <w:lang w:val="en-US"/>
        </w:rPr>
        <w:t xml:space="preserve">The </w:t>
      </w:r>
      <w:r w:rsidR="00640A78">
        <w:rPr>
          <w:lang w:val="en-US"/>
        </w:rPr>
        <w:t xml:space="preserve">project </w:t>
      </w:r>
      <w:r w:rsidRPr="00D42025">
        <w:rPr>
          <w:lang w:val="en-US"/>
        </w:rPr>
        <w:t>development objective of the P</w:t>
      </w:r>
      <w:r w:rsidR="006E5EB6" w:rsidRPr="00D42025">
        <w:rPr>
          <w:lang w:val="en-US"/>
        </w:rPr>
        <w:t>C</w:t>
      </w:r>
      <w:r w:rsidRPr="00D42025">
        <w:rPr>
          <w:lang w:val="en-US"/>
        </w:rPr>
        <w:t>M</w:t>
      </w:r>
      <w:r w:rsidR="006E5EB6" w:rsidRPr="00D42025">
        <w:rPr>
          <w:lang w:val="en-US"/>
        </w:rPr>
        <w:t>CI</w:t>
      </w:r>
      <w:r w:rsidRPr="00D42025">
        <w:rPr>
          <w:lang w:val="en-US"/>
        </w:rPr>
        <w:t xml:space="preserve"> is to improve transport connectivity in selected rural areas in order to increase communities' access to social and economic opportunities. This Program is intended to consist of different </w:t>
      </w:r>
      <w:r w:rsidR="006E5EB6" w:rsidRPr="00D42025">
        <w:rPr>
          <w:lang w:val="en-US"/>
        </w:rPr>
        <w:t>phases :</w:t>
      </w:r>
      <w:r w:rsidRPr="00D42025">
        <w:rPr>
          <w:lang w:val="en-US"/>
        </w:rPr>
        <w:t xml:space="preserve"> this study relates to Phase 1. The objective of this Phase 1 of the Programme is to improve connectivity in rural areas in the SAVA, DIANA, ANALANJIROFO, SOFIA, BOENY, </w:t>
      </w:r>
      <w:r w:rsidR="002913DB" w:rsidRPr="00D42025">
        <w:rPr>
          <w:lang w:val="en-US"/>
        </w:rPr>
        <w:t xml:space="preserve">ALAOTRA MANGORO, ATSINANANA, FITOVINANY, AMORON’I MANIA, </w:t>
      </w:r>
      <w:r w:rsidRPr="00D42025">
        <w:rPr>
          <w:lang w:val="en-US"/>
        </w:rPr>
        <w:t xml:space="preserve">IHOROMBE, </w:t>
      </w:r>
      <w:r w:rsidR="002913DB" w:rsidRPr="00D42025">
        <w:rPr>
          <w:lang w:val="en-US"/>
        </w:rPr>
        <w:t xml:space="preserve">ATSIMO ANDREFANA, </w:t>
      </w:r>
      <w:r w:rsidRPr="00D42025">
        <w:rPr>
          <w:lang w:val="en-US"/>
        </w:rPr>
        <w:t xml:space="preserve">ANDROY and ANOSY Regions. </w:t>
      </w:r>
      <w:r w:rsidRPr="00DF575C">
        <w:t xml:space="preserve">It is structured around 4 </w:t>
      </w:r>
      <w:r w:rsidR="001342EC" w:rsidRPr="00DF575C">
        <w:t>Components :</w:t>
      </w:r>
    </w:p>
    <w:tbl>
      <w:tblPr>
        <w:tblStyle w:val="TableGrid"/>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8931"/>
      </w:tblGrid>
      <w:tr w:rsidR="00DF575C" w:rsidRPr="00EB1995" w14:paraId="35A78499" w14:textId="77777777" w:rsidTr="00E106BA">
        <w:tc>
          <w:tcPr>
            <w:tcW w:w="9606" w:type="dxa"/>
            <w:gridSpan w:val="2"/>
          </w:tcPr>
          <w:p w14:paraId="7E9F059E" w14:textId="77777777" w:rsidR="00DF575C" w:rsidRPr="00D42025" w:rsidRDefault="00DF575C" w:rsidP="00DF575C">
            <w:pPr>
              <w:rPr>
                <w:b/>
                <w:i/>
                <w:lang w:val="en-US"/>
              </w:rPr>
            </w:pPr>
            <w:r w:rsidRPr="00D42025">
              <w:rPr>
                <w:b/>
                <w:i/>
                <w:lang w:val="en-US"/>
              </w:rPr>
              <w:t xml:space="preserve">Component 1: Improving the condition and resilience of the following main roads </w:t>
            </w:r>
          </w:p>
        </w:tc>
      </w:tr>
      <w:tr w:rsidR="00DF575C" w:rsidRPr="00DF575C" w14:paraId="44687EDF" w14:textId="77777777" w:rsidTr="00E106BA">
        <w:tc>
          <w:tcPr>
            <w:tcW w:w="675" w:type="dxa"/>
          </w:tcPr>
          <w:p w14:paraId="7696A158" w14:textId="77777777" w:rsidR="00DF575C" w:rsidRPr="00D42025" w:rsidRDefault="00DF575C" w:rsidP="00DF575C">
            <w:pPr>
              <w:rPr>
                <w:lang w:val="en-US"/>
              </w:rPr>
            </w:pPr>
          </w:p>
        </w:tc>
        <w:tc>
          <w:tcPr>
            <w:tcW w:w="8931" w:type="dxa"/>
          </w:tcPr>
          <w:p w14:paraId="0BB89CEA" w14:textId="77777777" w:rsidR="00DF575C" w:rsidRPr="00DF575C" w:rsidRDefault="00DF575C" w:rsidP="00DF575C">
            <w:r w:rsidRPr="00DF575C">
              <w:t>Road repairs :</w:t>
            </w:r>
          </w:p>
        </w:tc>
      </w:tr>
      <w:tr w:rsidR="00DF575C" w:rsidRPr="00EB1995" w14:paraId="43887507" w14:textId="77777777" w:rsidTr="00E106BA">
        <w:tc>
          <w:tcPr>
            <w:tcW w:w="675" w:type="dxa"/>
          </w:tcPr>
          <w:p w14:paraId="77D7FDE3" w14:textId="77777777" w:rsidR="00DF575C" w:rsidRPr="00DF575C" w:rsidRDefault="00DF575C" w:rsidP="00DF575C"/>
        </w:tc>
        <w:tc>
          <w:tcPr>
            <w:tcW w:w="8931" w:type="dxa"/>
          </w:tcPr>
          <w:p w14:paraId="3433D53E" w14:textId="77777777" w:rsidR="00DF575C" w:rsidRPr="00D42025" w:rsidRDefault="00DF575C" w:rsidP="00DF575C">
            <w:pPr>
              <w:rPr>
                <w:lang w:val="en-US"/>
              </w:rPr>
            </w:pPr>
            <w:r w:rsidRPr="00D42025">
              <w:rPr>
                <w:lang w:val="en-US"/>
              </w:rPr>
              <w:t>RN31: 203 km of gravel road between Bealanana and Andapa</w:t>
            </w:r>
          </w:p>
        </w:tc>
      </w:tr>
      <w:tr w:rsidR="00DF575C" w:rsidRPr="00EB1995" w14:paraId="48B33237" w14:textId="77777777" w:rsidTr="00E106BA">
        <w:tc>
          <w:tcPr>
            <w:tcW w:w="675" w:type="dxa"/>
          </w:tcPr>
          <w:p w14:paraId="64FE6EA6" w14:textId="77777777" w:rsidR="00DF575C" w:rsidRPr="00D42025" w:rsidRDefault="00DF575C" w:rsidP="00DF575C">
            <w:pPr>
              <w:rPr>
                <w:lang w:val="en-US"/>
              </w:rPr>
            </w:pPr>
          </w:p>
        </w:tc>
        <w:tc>
          <w:tcPr>
            <w:tcW w:w="8931" w:type="dxa"/>
          </w:tcPr>
          <w:p w14:paraId="0FE7BFBB" w14:textId="77777777" w:rsidR="00DF575C" w:rsidRPr="00D42025" w:rsidRDefault="00DF575C" w:rsidP="00DF575C">
            <w:pPr>
              <w:rPr>
                <w:lang w:val="en-US"/>
              </w:rPr>
            </w:pPr>
            <w:r w:rsidRPr="00D42025">
              <w:rPr>
                <w:lang w:val="en-US"/>
              </w:rPr>
              <w:t>RN13: 389 km of gravel road, between Ambovombe and Ihosy (RN7 junction)</w:t>
            </w:r>
          </w:p>
        </w:tc>
      </w:tr>
      <w:tr w:rsidR="00DF575C" w:rsidRPr="00DF575C" w14:paraId="4628FCA8" w14:textId="77777777" w:rsidTr="00E106BA">
        <w:tc>
          <w:tcPr>
            <w:tcW w:w="675" w:type="dxa"/>
          </w:tcPr>
          <w:p w14:paraId="1D9A342F" w14:textId="77777777" w:rsidR="00DF575C" w:rsidRPr="00D42025" w:rsidRDefault="00DF575C" w:rsidP="00DF575C">
            <w:pPr>
              <w:rPr>
                <w:lang w:val="en-US"/>
              </w:rPr>
            </w:pPr>
          </w:p>
        </w:tc>
        <w:tc>
          <w:tcPr>
            <w:tcW w:w="8931" w:type="dxa"/>
          </w:tcPr>
          <w:p w14:paraId="3FD0BE80" w14:textId="77777777" w:rsidR="00DF575C" w:rsidRPr="00DF575C" w:rsidRDefault="00DF575C" w:rsidP="00DF575C">
            <w:r w:rsidRPr="00DF575C">
              <w:t>Preparatory studies :</w:t>
            </w:r>
          </w:p>
        </w:tc>
      </w:tr>
      <w:tr w:rsidR="00DF575C" w:rsidRPr="00EB1995" w14:paraId="23898B73" w14:textId="77777777" w:rsidTr="00E106BA">
        <w:tc>
          <w:tcPr>
            <w:tcW w:w="675" w:type="dxa"/>
          </w:tcPr>
          <w:p w14:paraId="2D718FCD" w14:textId="77777777" w:rsidR="00DF575C" w:rsidRPr="00DF575C" w:rsidRDefault="00DF575C" w:rsidP="00DF575C"/>
        </w:tc>
        <w:tc>
          <w:tcPr>
            <w:tcW w:w="8931" w:type="dxa"/>
          </w:tcPr>
          <w:p w14:paraId="78A66BFC" w14:textId="77777777" w:rsidR="00DF575C" w:rsidRPr="00D42025" w:rsidRDefault="00DF575C" w:rsidP="00DF575C">
            <w:pPr>
              <w:rPr>
                <w:lang w:val="en-US"/>
              </w:rPr>
            </w:pPr>
            <w:r w:rsidRPr="00D42025">
              <w:rPr>
                <w:lang w:val="en-US"/>
              </w:rPr>
              <w:t>RNT3B: 100 km of asphalt road between Ambarihomiambina (RNS5a junction) and Andapa</w:t>
            </w:r>
          </w:p>
        </w:tc>
      </w:tr>
      <w:tr w:rsidR="00DF575C" w:rsidRPr="00EB1995" w14:paraId="318DFA71" w14:textId="77777777" w:rsidTr="00E106BA">
        <w:tc>
          <w:tcPr>
            <w:tcW w:w="675" w:type="dxa"/>
          </w:tcPr>
          <w:p w14:paraId="6EB779A4" w14:textId="77777777" w:rsidR="00DF575C" w:rsidRPr="00D42025" w:rsidRDefault="00DF575C" w:rsidP="00DF575C">
            <w:pPr>
              <w:rPr>
                <w:lang w:val="en-US"/>
              </w:rPr>
            </w:pPr>
          </w:p>
        </w:tc>
        <w:tc>
          <w:tcPr>
            <w:tcW w:w="8931" w:type="dxa"/>
          </w:tcPr>
          <w:p w14:paraId="0FC271A2" w14:textId="77777777" w:rsidR="00DF575C" w:rsidRPr="00D42025" w:rsidRDefault="00DF575C" w:rsidP="00DF575C">
            <w:pPr>
              <w:rPr>
                <w:lang w:val="en-US"/>
              </w:rPr>
            </w:pPr>
            <w:r w:rsidRPr="00D42025">
              <w:rPr>
                <w:lang w:val="en-US"/>
              </w:rPr>
              <w:t>RN6: 476 km of paved road between Ambondromamy and Ambanja.</w:t>
            </w:r>
          </w:p>
        </w:tc>
      </w:tr>
      <w:tr w:rsidR="00DF575C" w:rsidRPr="00EB1995" w14:paraId="1E1E2CA3" w14:textId="77777777" w:rsidTr="00E106BA">
        <w:tc>
          <w:tcPr>
            <w:tcW w:w="9606" w:type="dxa"/>
            <w:gridSpan w:val="2"/>
          </w:tcPr>
          <w:p w14:paraId="2ECD896F" w14:textId="77777777" w:rsidR="00DF575C" w:rsidRPr="00D42025" w:rsidRDefault="00DF575C" w:rsidP="00DF575C">
            <w:pPr>
              <w:rPr>
                <w:b/>
                <w:i/>
                <w:lang w:val="en-US"/>
              </w:rPr>
            </w:pPr>
            <w:r w:rsidRPr="00D42025">
              <w:rPr>
                <w:b/>
                <w:i/>
                <w:lang w:val="en-US"/>
              </w:rPr>
              <w:t xml:space="preserve">Component 2: Improving the accessibility and socio-economic benefits of feeder roads </w:t>
            </w:r>
          </w:p>
        </w:tc>
      </w:tr>
      <w:tr w:rsidR="00DF575C" w:rsidRPr="00EB1995" w14:paraId="359D79DD" w14:textId="77777777" w:rsidTr="00E106BA">
        <w:tc>
          <w:tcPr>
            <w:tcW w:w="675" w:type="dxa"/>
          </w:tcPr>
          <w:p w14:paraId="06A31D5E" w14:textId="77777777" w:rsidR="00DF575C" w:rsidRPr="00D42025" w:rsidRDefault="00DF575C" w:rsidP="00DF575C">
            <w:pPr>
              <w:rPr>
                <w:lang w:val="en-US"/>
              </w:rPr>
            </w:pPr>
          </w:p>
        </w:tc>
        <w:tc>
          <w:tcPr>
            <w:tcW w:w="8931" w:type="dxa"/>
          </w:tcPr>
          <w:p w14:paraId="3AAA62CF" w14:textId="77777777" w:rsidR="00DF575C" w:rsidRPr="00D42025" w:rsidRDefault="00DF575C" w:rsidP="00DF575C">
            <w:pPr>
              <w:rPr>
                <w:lang w:val="en-US"/>
              </w:rPr>
            </w:pPr>
            <w:r w:rsidRPr="00D42025">
              <w:rPr>
                <w:lang w:val="en-US"/>
              </w:rPr>
              <w:t>Sub-component 2.1. Rehabilitation of selected regional and communal roads in priority areas and deployment of pilot community maintenance of feeder roads (500km)</w:t>
            </w:r>
          </w:p>
        </w:tc>
      </w:tr>
      <w:tr w:rsidR="00DF575C" w:rsidRPr="00EB1995" w14:paraId="4855DB07" w14:textId="77777777" w:rsidTr="00E106BA">
        <w:tc>
          <w:tcPr>
            <w:tcW w:w="675" w:type="dxa"/>
          </w:tcPr>
          <w:p w14:paraId="7558E4E1" w14:textId="77777777" w:rsidR="00DF575C" w:rsidRPr="00D42025" w:rsidRDefault="00DF575C" w:rsidP="00DF575C">
            <w:pPr>
              <w:rPr>
                <w:lang w:val="en-US"/>
              </w:rPr>
            </w:pPr>
          </w:p>
        </w:tc>
        <w:tc>
          <w:tcPr>
            <w:tcW w:w="8931" w:type="dxa"/>
          </w:tcPr>
          <w:p w14:paraId="6E518485" w14:textId="77777777" w:rsidR="00DF575C" w:rsidRPr="00D42025" w:rsidRDefault="00DF575C" w:rsidP="00DF575C">
            <w:pPr>
              <w:rPr>
                <w:lang w:val="en-US"/>
              </w:rPr>
            </w:pPr>
            <w:r w:rsidRPr="00D42025">
              <w:rPr>
                <w:lang w:val="en-US"/>
              </w:rPr>
              <w:t xml:space="preserve">Sub-component 2.2: Deployment of performance-based contracts on selected unpaved roads. </w:t>
            </w:r>
          </w:p>
        </w:tc>
      </w:tr>
      <w:tr w:rsidR="00DF575C" w:rsidRPr="00EB1995" w14:paraId="6CE8A5CF" w14:textId="77777777" w:rsidTr="00E106BA">
        <w:tc>
          <w:tcPr>
            <w:tcW w:w="675" w:type="dxa"/>
          </w:tcPr>
          <w:p w14:paraId="20C066FF" w14:textId="77777777" w:rsidR="00DF575C" w:rsidRPr="00D42025" w:rsidRDefault="00DF575C" w:rsidP="00DF575C">
            <w:pPr>
              <w:rPr>
                <w:lang w:val="en-US"/>
              </w:rPr>
            </w:pPr>
          </w:p>
        </w:tc>
        <w:tc>
          <w:tcPr>
            <w:tcW w:w="8931" w:type="dxa"/>
          </w:tcPr>
          <w:p w14:paraId="103C1B1B" w14:textId="45DC0098" w:rsidR="00DF575C" w:rsidRPr="00D42025" w:rsidRDefault="00DF575C" w:rsidP="00DF575C">
            <w:pPr>
              <w:rPr>
                <w:lang w:val="en-US"/>
              </w:rPr>
            </w:pPr>
            <w:r w:rsidRPr="00D42025">
              <w:rPr>
                <w:lang w:val="en-US"/>
              </w:rPr>
              <w:t xml:space="preserve">Subcomponent 2.3: Testing of complementary social interventions along selected primary and feeder roads. </w:t>
            </w:r>
          </w:p>
        </w:tc>
      </w:tr>
      <w:tr w:rsidR="00DF575C" w:rsidRPr="00EB1995" w14:paraId="63A66AB1" w14:textId="77777777" w:rsidTr="00E106BA">
        <w:tc>
          <w:tcPr>
            <w:tcW w:w="675" w:type="dxa"/>
          </w:tcPr>
          <w:p w14:paraId="342DEF96" w14:textId="77777777" w:rsidR="00DF575C" w:rsidRPr="00D42025" w:rsidRDefault="00DF575C" w:rsidP="00DF575C">
            <w:pPr>
              <w:rPr>
                <w:lang w:val="en-US"/>
              </w:rPr>
            </w:pPr>
          </w:p>
        </w:tc>
        <w:tc>
          <w:tcPr>
            <w:tcW w:w="8931" w:type="dxa"/>
          </w:tcPr>
          <w:p w14:paraId="614D0ADB" w14:textId="77777777" w:rsidR="00DF575C" w:rsidRPr="00D42025" w:rsidRDefault="00DF575C" w:rsidP="00DF575C">
            <w:pPr>
              <w:rPr>
                <w:lang w:val="en-US"/>
              </w:rPr>
            </w:pPr>
            <w:r w:rsidRPr="00D42025">
              <w:rPr>
                <w:lang w:val="en-US"/>
              </w:rPr>
              <w:t>Under this component, the Programme intends to link activities to gender promotion.</w:t>
            </w:r>
          </w:p>
        </w:tc>
      </w:tr>
      <w:tr w:rsidR="00DF575C" w:rsidRPr="00EB1995" w14:paraId="05315B37" w14:textId="77777777" w:rsidTr="00E106BA">
        <w:tc>
          <w:tcPr>
            <w:tcW w:w="9606" w:type="dxa"/>
            <w:gridSpan w:val="2"/>
          </w:tcPr>
          <w:p w14:paraId="0258012A" w14:textId="77777777" w:rsidR="00DF575C" w:rsidRPr="00D42025" w:rsidRDefault="00DF575C" w:rsidP="00DF575C">
            <w:pPr>
              <w:rPr>
                <w:b/>
                <w:i/>
                <w:lang w:val="en-US"/>
              </w:rPr>
            </w:pPr>
            <w:r w:rsidRPr="00D42025">
              <w:rPr>
                <w:b/>
                <w:i/>
                <w:lang w:val="en-US"/>
              </w:rPr>
              <w:t>Component 3: Technical assistance and support to road and transport sector reforms</w:t>
            </w:r>
          </w:p>
        </w:tc>
      </w:tr>
      <w:tr w:rsidR="00DF575C" w:rsidRPr="00DF575C" w14:paraId="73A6913D" w14:textId="77777777" w:rsidTr="00E106BA">
        <w:tc>
          <w:tcPr>
            <w:tcW w:w="9606" w:type="dxa"/>
            <w:gridSpan w:val="2"/>
          </w:tcPr>
          <w:p w14:paraId="5184EDE0" w14:textId="0FBCF018" w:rsidR="001342EC" w:rsidRPr="001342EC" w:rsidRDefault="00DF575C" w:rsidP="00DF575C">
            <w:pPr>
              <w:rPr>
                <w:b/>
                <w:i/>
              </w:rPr>
            </w:pPr>
            <w:r w:rsidRPr="001342EC">
              <w:rPr>
                <w:b/>
                <w:i/>
              </w:rPr>
              <w:t xml:space="preserve">Component 4: Emergency response component </w:t>
            </w:r>
          </w:p>
        </w:tc>
      </w:tr>
      <w:tr w:rsidR="001342EC" w:rsidRPr="00EB1995" w14:paraId="53F90D67" w14:textId="77777777" w:rsidTr="00E106BA">
        <w:tc>
          <w:tcPr>
            <w:tcW w:w="9606" w:type="dxa"/>
            <w:gridSpan w:val="2"/>
          </w:tcPr>
          <w:p w14:paraId="1301296D" w14:textId="15D91FDA" w:rsidR="009E4FA8" w:rsidRPr="00D42025" w:rsidRDefault="009E4FA8" w:rsidP="009E4FA8">
            <w:pPr>
              <w:rPr>
                <w:lang w:val="en-US"/>
              </w:rPr>
            </w:pPr>
            <w:r w:rsidRPr="00D42025">
              <w:rPr>
                <w:lang w:val="en-US"/>
              </w:rPr>
              <w:t>Component 4, related to emergency response interventions, is structured into two phases corresponding to the different climatic events that affected the country.</w:t>
            </w:r>
          </w:p>
          <w:p w14:paraId="0F7E4239" w14:textId="35FC8939" w:rsidR="009E4FA8" w:rsidRPr="00D42025" w:rsidRDefault="009E4FA8" w:rsidP="009E4FA8">
            <w:pPr>
              <w:rPr>
                <w:lang w:val="en-US"/>
              </w:rPr>
            </w:pPr>
            <w:r w:rsidRPr="00D42025">
              <w:rPr>
                <w:lang w:val="en-US"/>
              </w:rPr>
              <w:t>The first phase (CERC1) was activated on March 6, 2024, following episodes of heavy rainfall and intense downpours that occurred during February 2024, which caused significant damage to infrastructure in the northern part of the country.</w:t>
            </w:r>
          </w:p>
          <w:p w14:paraId="7ECA3154" w14:textId="4D34E29C" w:rsidR="009E4FA8" w:rsidRPr="00D42025" w:rsidRDefault="009E4FA8" w:rsidP="009E4FA8">
            <w:pPr>
              <w:rPr>
                <w:lang w:val="en-US"/>
              </w:rPr>
            </w:pPr>
            <w:r w:rsidRPr="00D42025">
              <w:rPr>
                <w:lang w:val="en-US"/>
              </w:rPr>
              <w:t>The second phase (CERC2) was triggered following the passage of cyclones FYTIA (January 31, 2026) and GEZANI (February 10, 2026), which resulted in substantial damage to national social and road infrastructure.</w:t>
            </w:r>
          </w:p>
          <w:p w14:paraId="3B507870" w14:textId="3652C2DD" w:rsidR="001342EC" w:rsidRPr="00D42025" w:rsidRDefault="009E4FA8" w:rsidP="003617DE">
            <w:pPr>
              <w:rPr>
                <w:lang w:val="en-US"/>
              </w:rPr>
            </w:pPr>
            <w:r w:rsidRPr="00D42025">
              <w:rPr>
                <w:lang w:val="en-US"/>
              </w:rPr>
              <w:lastRenderedPageBreak/>
              <w:t>CERC1 is structured around two main sub-project:</w:t>
            </w:r>
          </w:p>
          <w:p w14:paraId="7651ED2E" w14:textId="7CCB5AB3" w:rsidR="009E4FA8" w:rsidRPr="00D42025" w:rsidRDefault="001342EC" w:rsidP="009E4FA8">
            <w:pPr>
              <w:ind w:left="743" w:firstLine="34"/>
              <w:rPr>
                <w:lang w:val="en-US"/>
              </w:rPr>
            </w:pPr>
            <w:r w:rsidRPr="00D42025">
              <w:rPr>
                <w:lang w:val="en-US"/>
              </w:rPr>
              <w:t>Repair of the national roads RNP 4</w:t>
            </w:r>
            <w:r w:rsidR="009E4FA8" w:rsidRPr="00D42025">
              <w:rPr>
                <w:lang w:val="en-US"/>
              </w:rPr>
              <w:t xml:space="preserve"> and R</w:t>
            </w:r>
            <w:r w:rsidRPr="00D42025">
              <w:rPr>
                <w:lang w:val="en-US"/>
              </w:rPr>
              <w:t>NP 6</w:t>
            </w:r>
            <w:r w:rsidR="008A5687" w:rsidRPr="00D42025">
              <w:rPr>
                <w:lang w:val="en-US"/>
              </w:rPr>
              <w:t xml:space="preserve">, </w:t>
            </w:r>
          </w:p>
          <w:p w14:paraId="5E6E9939" w14:textId="56397BDF" w:rsidR="001342EC" w:rsidRPr="00D42025" w:rsidRDefault="001342EC" w:rsidP="003617DE">
            <w:pPr>
              <w:ind w:left="743" w:firstLine="34"/>
              <w:rPr>
                <w:b/>
                <w:i/>
                <w:lang w:val="en-US"/>
              </w:rPr>
            </w:pPr>
            <w:r w:rsidRPr="00D42025">
              <w:rPr>
                <w:lang w:val="en-US"/>
              </w:rPr>
              <w:t>Rehabilitation of the port of Mahajanga</w:t>
            </w:r>
          </w:p>
        </w:tc>
      </w:tr>
    </w:tbl>
    <w:p w14:paraId="22D10F2E" w14:textId="6DAFFEDB" w:rsidR="009E4FA8" w:rsidRPr="00D42025" w:rsidRDefault="009E4FA8" w:rsidP="003617DE">
      <w:pPr>
        <w:rPr>
          <w:lang w:val="en-US"/>
        </w:rPr>
      </w:pPr>
      <w:r w:rsidRPr="00D42025">
        <w:rPr>
          <w:lang w:val="en-US"/>
        </w:rPr>
        <w:t>CERC2  involves the execution of emergency works on key road infrastructure RNP6, RNP7, RNS30, RNS44, RNT3A, as well as the paved access road to Ambila and the rehabilitation of Ratsimilaho Boulevard in Toamasina.</w:t>
      </w:r>
    </w:p>
    <w:p w14:paraId="581ED123" w14:textId="0DB913C2" w:rsidR="00DF575C" w:rsidRPr="00D42025" w:rsidRDefault="00DF575C" w:rsidP="00DF575C">
      <w:pPr>
        <w:rPr>
          <w:lang w:val="en-US"/>
        </w:rPr>
      </w:pPr>
      <w:r w:rsidRPr="00D42025">
        <w:rPr>
          <w:lang w:val="en-US"/>
        </w:rPr>
        <w:t xml:space="preserve">In accordance with national legislation and the Bank's ESS, the </w:t>
      </w:r>
      <w:r w:rsidR="00CA750F" w:rsidRPr="00D42025">
        <w:rPr>
          <w:lang w:val="en-US"/>
        </w:rPr>
        <w:t xml:space="preserve">CERC component of </w:t>
      </w:r>
      <w:r w:rsidRPr="00D42025">
        <w:rPr>
          <w:lang w:val="en-US"/>
        </w:rPr>
        <w:t>PCM</w:t>
      </w:r>
      <w:r w:rsidR="001342EC" w:rsidRPr="00D42025">
        <w:rPr>
          <w:lang w:val="en-US"/>
        </w:rPr>
        <w:t>CI</w:t>
      </w:r>
      <w:r w:rsidRPr="00D42025">
        <w:rPr>
          <w:lang w:val="en-US"/>
        </w:rPr>
        <w:t xml:space="preserve"> </w:t>
      </w:r>
      <w:r w:rsidR="00CA750F" w:rsidRPr="00D42025">
        <w:rPr>
          <w:lang w:val="en-US"/>
        </w:rPr>
        <w:t xml:space="preserve">(or PCMCI/CERC) </w:t>
      </w:r>
      <w:r w:rsidRPr="00D42025">
        <w:rPr>
          <w:lang w:val="en-US"/>
        </w:rPr>
        <w:t>must undergo an environmental and social assessment to ensure that planned investments cause the least possible damage and bring maximum benefits to the environment and the beneficiary populations.</w:t>
      </w:r>
    </w:p>
    <w:p w14:paraId="1CE1E468" w14:textId="4C593370" w:rsidR="001342EC" w:rsidRPr="00D42025" w:rsidRDefault="001317BB" w:rsidP="00DF575C">
      <w:pPr>
        <w:rPr>
          <w:b/>
          <w:i/>
          <w:lang w:val="en-US"/>
        </w:rPr>
      </w:pPr>
      <w:r w:rsidRPr="00D42025">
        <w:rPr>
          <w:b/>
          <w:i/>
          <w:lang w:val="en-US"/>
        </w:rPr>
        <w:t xml:space="preserve">Component 5 : </w:t>
      </w:r>
      <w:r w:rsidR="00A679F5" w:rsidRPr="00D42025">
        <w:rPr>
          <w:b/>
          <w:i/>
          <w:lang w:val="en-US"/>
        </w:rPr>
        <w:t>Improving the Climate and Structural Resilience of Bridge Infrastructure</w:t>
      </w:r>
    </w:p>
    <w:p w14:paraId="22BF1616" w14:textId="62EFD508" w:rsidR="006E20EA" w:rsidRDefault="00A679F5" w:rsidP="00844538">
      <w:pPr>
        <w:pStyle w:val="ListParagraph"/>
        <w:numPr>
          <w:ilvl w:val="0"/>
          <w:numId w:val="190"/>
        </w:numPr>
        <w:rPr>
          <w:bCs/>
          <w:iCs/>
        </w:rPr>
      </w:pPr>
      <w:r>
        <w:rPr>
          <w:bCs/>
          <w:iCs/>
        </w:rPr>
        <w:t>Procurement of modular bridges</w:t>
      </w:r>
    </w:p>
    <w:p w14:paraId="308F338F" w14:textId="627F688D" w:rsidR="00A679F5" w:rsidRPr="00D42025" w:rsidRDefault="00A679F5" w:rsidP="00844538">
      <w:pPr>
        <w:pStyle w:val="ListParagraph"/>
        <w:numPr>
          <w:ilvl w:val="0"/>
          <w:numId w:val="190"/>
        </w:numPr>
        <w:rPr>
          <w:bCs/>
          <w:iCs/>
          <w:lang w:val="en-US"/>
        </w:rPr>
      </w:pPr>
      <w:r w:rsidRPr="00D42025">
        <w:rPr>
          <w:bCs/>
          <w:iCs/>
          <w:lang w:val="en-US"/>
        </w:rPr>
        <w:t>Rehabilitation of bridges and roads damaged by cyclones : Manambery Bridge on National Road RN5a</w:t>
      </w:r>
    </w:p>
    <w:p w14:paraId="314A0ED9" w14:textId="16A396EE" w:rsidR="00DF575C" w:rsidRPr="00D42025" w:rsidRDefault="001342EC" w:rsidP="00DF575C">
      <w:pPr>
        <w:rPr>
          <w:b/>
          <w:lang w:val="en-US"/>
        </w:rPr>
      </w:pPr>
      <w:r w:rsidRPr="00D42025">
        <w:rPr>
          <w:b/>
          <w:lang w:val="en-US"/>
        </w:rPr>
        <w:t>MANAGEMENT OF ENVIRONMENTAL AND SOCIAL RISKS</w:t>
      </w:r>
    </w:p>
    <w:p w14:paraId="01285A3A" w14:textId="77777777" w:rsidR="00DF575C" w:rsidRPr="00D42025" w:rsidRDefault="00DF575C" w:rsidP="00DF575C">
      <w:pPr>
        <w:rPr>
          <w:b/>
          <w:i/>
          <w:lang w:val="en-US"/>
        </w:rPr>
      </w:pPr>
      <w:r w:rsidRPr="00D42025">
        <w:rPr>
          <w:b/>
          <w:i/>
          <w:lang w:val="en-US"/>
        </w:rPr>
        <w:t>Level of risk</w:t>
      </w:r>
    </w:p>
    <w:p w14:paraId="041A09D0" w14:textId="5B600530" w:rsidR="00DF575C" w:rsidRPr="00D42025" w:rsidRDefault="00DF575C" w:rsidP="00DF575C">
      <w:pPr>
        <w:rPr>
          <w:lang w:val="en-US"/>
        </w:rPr>
      </w:pPr>
      <w:r w:rsidRPr="00D42025">
        <w:rPr>
          <w:lang w:val="en-US"/>
        </w:rPr>
        <w:t>Given the limited environmental and social risks associated with its implementation, the impacts are reversible and can be managed using standard methods. As a result, the PCM</w:t>
      </w:r>
      <w:r w:rsidR="001342EC" w:rsidRPr="00D42025">
        <w:rPr>
          <w:lang w:val="en-US"/>
        </w:rPr>
        <w:t>CI</w:t>
      </w:r>
      <w:r w:rsidRPr="00D42025">
        <w:rPr>
          <w:lang w:val="en-US"/>
        </w:rPr>
        <w:t xml:space="preserve"> Project was classified as the </w:t>
      </w:r>
      <w:r w:rsidR="001342EC" w:rsidRPr="00D42025">
        <w:rPr>
          <w:lang w:val="en-US"/>
        </w:rPr>
        <w:t>« </w:t>
      </w:r>
      <w:r w:rsidRPr="00D42025">
        <w:rPr>
          <w:lang w:val="en-US"/>
        </w:rPr>
        <w:t>substantial risk</w:t>
      </w:r>
      <w:r w:rsidR="001342EC" w:rsidRPr="00D42025">
        <w:rPr>
          <w:lang w:val="en-US"/>
        </w:rPr>
        <w:t> »</w:t>
      </w:r>
      <w:r w:rsidRPr="00D42025">
        <w:rPr>
          <w:lang w:val="en-US"/>
        </w:rPr>
        <w:t xml:space="preserve"> level</w:t>
      </w:r>
      <w:r w:rsidR="00192014" w:rsidRPr="00D42025">
        <w:rPr>
          <w:lang w:val="en-US"/>
        </w:rPr>
        <w:t>, such as its CERC component</w:t>
      </w:r>
      <w:r w:rsidRPr="00D42025">
        <w:rPr>
          <w:lang w:val="en-US"/>
        </w:rPr>
        <w:t xml:space="preserve">. </w:t>
      </w:r>
    </w:p>
    <w:p w14:paraId="75F72084" w14:textId="77777777" w:rsidR="00DF575C" w:rsidRPr="00D42025" w:rsidRDefault="00DF575C" w:rsidP="00DF575C">
      <w:pPr>
        <w:rPr>
          <w:lang w:val="en-US"/>
        </w:rPr>
      </w:pPr>
      <w:r w:rsidRPr="00D42025">
        <w:rPr>
          <w:lang w:val="en-US"/>
        </w:rPr>
        <w:t>In this context, in order to prevent, minimize, mitigate or compensate for the risks identified, the preparation and implementation of the Environmental and Social Management Framework (ESMF) should make it possible to optimize the positive impacts and mitigate the possible negative impacts that will result from its implementation.</w:t>
      </w:r>
    </w:p>
    <w:p w14:paraId="24A756E2" w14:textId="77777777" w:rsidR="00DF575C" w:rsidRPr="00D42025" w:rsidRDefault="00DF575C" w:rsidP="00DF575C">
      <w:pPr>
        <w:rPr>
          <w:b/>
          <w:i/>
          <w:lang w:val="en-US"/>
        </w:rPr>
      </w:pPr>
      <w:r w:rsidRPr="00D42025">
        <w:rPr>
          <w:b/>
          <w:i/>
          <w:lang w:val="en-US"/>
        </w:rPr>
        <w:t>Objectives of the ESMF</w:t>
      </w:r>
    </w:p>
    <w:p w14:paraId="42BCD81F" w14:textId="77777777" w:rsidR="00DF575C" w:rsidRPr="00D42025" w:rsidRDefault="00DF575C" w:rsidP="00DF575C">
      <w:pPr>
        <w:rPr>
          <w:lang w:val="en-US"/>
        </w:rPr>
      </w:pPr>
      <w:r w:rsidRPr="00D42025">
        <w:rPr>
          <w:lang w:val="en-US"/>
        </w:rPr>
        <w:t xml:space="preserve">The main objectives of the ESMF are (i) to define the preliminary E&amp;S review mechanism and (ii) to identify measures and implementation provisions of the Project that will ensure compliance with the applicable World Bank NES by the sub-projects to be financed, and with national environmental and social requirements. Malagasy legislation. </w:t>
      </w:r>
    </w:p>
    <w:p w14:paraId="483B2055" w14:textId="77777777" w:rsidR="00DF575C" w:rsidRPr="00D42025" w:rsidRDefault="00DF575C" w:rsidP="00DF575C">
      <w:pPr>
        <w:rPr>
          <w:lang w:val="en-US"/>
        </w:rPr>
      </w:pPr>
      <w:r w:rsidRPr="00D42025">
        <w:rPr>
          <w:lang w:val="en-US"/>
        </w:rPr>
        <w:t>Specifically, as sub-projects are not yet well defined at the time of the studies, the ESMF establishes the principles that will guide future social and environmental studies related to them. It also includes an Environmental and Social Management Master Plan and various annexes that are supporting documents.</w:t>
      </w:r>
    </w:p>
    <w:p w14:paraId="001AF39E" w14:textId="47BBB619" w:rsidR="00DF575C" w:rsidRPr="00D42025" w:rsidRDefault="001342EC" w:rsidP="001342EC">
      <w:pPr>
        <w:jc w:val="left"/>
        <w:rPr>
          <w:b/>
          <w:lang w:val="en-US"/>
        </w:rPr>
      </w:pPr>
      <w:r w:rsidRPr="00D42025">
        <w:rPr>
          <w:b/>
          <w:lang w:val="en-US"/>
        </w:rPr>
        <w:t>LEGAL AND INSTITUTIONAL FRAMEWORK FOR ENVIRONMENTAL ASSESSMENT</w:t>
      </w:r>
    </w:p>
    <w:p w14:paraId="2500A09C" w14:textId="77777777" w:rsidR="00DF575C" w:rsidRPr="00D42025" w:rsidRDefault="00DF575C" w:rsidP="00DF575C">
      <w:pPr>
        <w:rPr>
          <w:b/>
          <w:i/>
          <w:lang w:val="en-US"/>
        </w:rPr>
      </w:pPr>
      <w:r w:rsidRPr="00D42025">
        <w:rPr>
          <w:b/>
          <w:i/>
          <w:lang w:val="en-US"/>
        </w:rPr>
        <w:t>National environmental legislation</w:t>
      </w:r>
    </w:p>
    <w:p w14:paraId="241E3A98" w14:textId="1EEEEBA9" w:rsidR="00DF575C" w:rsidRPr="00D42025" w:rsidRDefault="00DF575C" w:rsidP="00DF575C">
      <w:pPr>
        <w:rPr>
          <w:color w:val="auto"/>
          <w:lang w:val="en-US"/>
        </w:rPr>
      </w:pPr>
      <w:r w:rsidRPr="00D42025">
        <w:rPr>
          <w:lang w:val="en-US"/>
        </w:rPr>
        <w:t xml:space="preserve">According to Article 13 of the updated Environment Charter, all investment projects, private or public, likely to harm the environment must be subject to an Environmental and Social Impact </w:t>
      </w:r>
      <w:r w:rsidRPr="00D42025">
        <w:rPr>
          <w:lang w:val="en-US"/>
        </w:rPr>
        <w:lastRenderedPageBreak/>
        <w:t xml:space="preserve">Assessment (ESIA). In response to this statement, an administrative regime was established by Decree </w:t>
      </w:r>
      <w:r w:rsidR="000E04AA" w:rsidRPr="00D42025">
        <w:rPr>
          <w:lang w:val="en-US"/>
        </w:rPr>
        <w:t>=n°2025-080</w:t>
      </w:r>
      <w:r w:rsidRPr="00D42025">
        <w:rPr>
          <w:lang w:val="en-US"/>
        </w:rPr>
        <w:t xml:space="preserve"> of </w:t>
      </w:r>
      <w:r w:rsidR="000E04AA" w:rsidRPr="00D42025">
        <w:rPr>
          <w:lang w:val="en-US"/>
        </w:rPr>
        <w:t>January</w:t>
      </w:r>
      <w:r w:rsidRPr="00D42025">
        <w:rPr>
          <w:lang w:val="en-US"/>
        </w:rPr>
        <w:t xml:space="preserve"> </w:t>
      </w:r>
      <w:r w:rsidR="000E04AA" w:rsidRPr="00D42025">
        <w:rPr>
          <w:lang w:val="en-US"/>
        </w:rPr>
        <w:t>2025</w:t>
      </w:r>
      <w:r w:rsidRPr="00D42025">
        <w:rPr>
          <w:lang w:val="en-US"/>
        </w:rPr>
        <w:t xml:space="preserve">, </w:t>
      </w:r>
      <w:r w:rsidR="000E04AA" w:rsidRPr="00D42025">
        <w:rPr>
          <w:lang w:val="en-US"/>
        </w:rPr>
        <w:t xml:space="preserve">which sets out the rules and procedures for Environmental and Social Assessment to ensure that </w:t>
      </w:r>
      <w:r w:rsidR="00301790" w:rsidRPr="00D42025">
        <w:rPr>
          <w:color w:val="auto"/>
          <w:lang w:val="en-US"/>
        </w:rPr>
        <w:t>to the compatibility of investments with the environment (or</w:t>
      </w:r>
      <w:r w:rsidRPr="00D42025">
        <w:rPr>
          <w:color w:val="auto"/>
          <w:lang w:val="en-US"/>
        </w:rPr>
        <w:t xml:space="preserve"> MECIE</w:t>
      </w:r>
      <w:r w:rsidR="00301790" w:rsidRPr="00D42025">
        <w:rPr>
          <w:color w:val="auto"/>
          <w:lang w:val="en-US"/>
        </w:rPr>
        <w:t xml:space="preserve"> decree)</w:t>
      </w:r>
      <w:r w:rsidRPr="00D42025">
        <w:rPr>
          <w:color w:val="auto"/>
          <w:lang w:val="en-US"/>
        </w:rPr>
        <w:t>.</w:t>
      </w:r>
    </w:p>
    <w:p w14:paraId="36BAAABE" w14:textId="21DDEC34" w:rsidR="00DF575C" w:rsidRPr="00D42025" w:rsidRDefault="00DF575C" w:rsidP="00DF575C">
      <w:pPr>
        <w:rPr>
          <w:lang w:val="en-US"/>
        </w:rPr>
      </w:pPr>
      <w:r w:rsidRPr="00D42025">
        <w:rPr>
          <w:lang w:val="en-US"/>
        </w:rPr>
        <w:t xml:space="preserve">Essentially, the MECIE stipulates that any project likely to harm the environment is subject, depending on the technical nature, the size of these projects and the sensitivity of their surroundings, to a full Environmental and Social Impact Assessment (ESIA) or an Environmental </w:t>
      </w:r>
      <w:r w:rsidR="00864CC6" w:rsidRPr="00D42025">
        <w:rPr>
          <w:lang w:val="en-US"/>
        </w:rPr>
        <w:t xml:space="preserve">and Social </w:t>
      </w:r>
      <w:r w:rsidRPr="00D42025">
        <w:rPr>
          <w:lang w:val="en-US"/>
        </w:rPr>
        <w:t>Commitment Program (known as “PREE</w:t>
      </w:r>
      <w:r w:rsidR="00864CC6" w:rsidRPr="00D42025">
        <w:rPr>
          <w:lang w:val="en-US"/>
        </w:rPr>
        <w:t>S</w:t>
      </w:r>
      <w:r w:rsidRPr="00D42025">
        <w:rPr>
          <w:lang w:val="en-US"/>
        </w:rPr>
        <w:t>”)</w:t>
      </w:r>
    </w:p>
    <w:p w14:paraId="3235067A" w14:textId="5EE6F67A" w:rsidR="00DF575C" w:rsidRPr="00D42025" w:rsidRDefault="00DF575C" w:rsidP="00DF575C">
      <w:pPr>
        <w:rPr>
          <w:lang w:val="en-US"/>
        </w:rPr>
      </w:pPr>
      <w:r w:rsidRPr="00D42025">
        <w:rPr>
          <w:lang w:val="en-US"/>
        </w:rPr>
        <w:t>The Environmental and Social Impact Statement (ESIA) is an obligation that applies to projects likely to cause significant effects, while the Environmental</w:t>
      </w:r>
      <w:r w:rsidR="00864CC6" w:rsidRPr="00D42025">
        <w:rPr>
          <w:lang w:val="en-US"/>
        </w:rPr>
        <w:t xml:space="preserve"> and Social</w:t>
      </w:r>
      <w:r w:rsidRPr="00D42025">
        <w:rPr>
          <w:lang w:val="en-US"/>
        </w:rPr>
        <w:t xml:space="preserve"> Commitment Program (PREE</w:t>
      </w:r>
      <w:r w:rsidR="00864CC6" w:rsidRPr="00D42025">
        <w:rPr>
          <w:lang w:val="en-US"/>
        </w:rPr>
        <w:t>S</w:t>
      </w:r>
      <w:r w:rsidRPr="00D42025">
        <w:rPr>
          <w:lang w:val="en-US"/>
        </w:rPr>
        <w:t>) is for projects likely to have more limited effects on the environment.</w:t>
      </w:r>
    </w:p>
    <w:p w14:paraId="37464CCA" w14:textId="2352B8C0" w:rsidR="00DF575C" w:rsidRPr="00D42025" w:rsidRDefault="00DF575C" w:rsidP="00DF575C">
      <w:pPr>
        <w:rPr>
          <w:lang w:val="en-US"/>
        </w:rPr>
      </w:pPr>
      <w:r w:rsidRPr="00D42025">
        <w:rPr>
          <w:lang w:val="en-US"/>
        </w:rPr>
        <w:t>The MECIE decree establishes the stages of the environmental assessment process, the attributions of public institutions, the attributions of the proponent, the review process by a Technical Committee, the stages of investigations and public hearings, the issuance of the environmental permit and its conditions of execution as well as the rules governing the monitoring of the latter. It does the same for the PREE</w:t>
      </w:r>
      <w:r w:rsidR="00864CC6" w:rsidRPr="00D42025">
        <w:rPr>
          <w:lang w:val="en-US"/>
        </w:rPr>
        <w:t>S</w:t>
      </w:r>
      <w:r w:rsidRPr="00D42025">
        <w:rPr>
          <w:lang w:val="en-US"/>
        </w:rPr>
        <w:t xml:space="preserve"> process, although the administrative process for the latter is much simpler. </w:t>
      </w:r>
    </w:p>
    <w:p w14:paraId="1EFCAC63" w14:textId="77777777" w:rsidR="00DF575C" w:rsidRPr="00D42025" w:rsidRDefault="00DF575C" w:rsidP="00DF575C">
      <w:pPr>
        <w:rPr>
          <w:b/>
          <w:i/>
          <w:lang w:val="en-US"/>
        </w:rPr>
      </w:pPr>
      <w:r w:rsidRPr="00D42025">
        <w:rPr>
          <w:b/>
          <w:i/>
          <w:lang w:val="en-US"/>
        </w:rPr>
        <w:t>World Bank Environmental and Social Framework (ESF)</w:t>
      </w:r>
    </w:p>
    <w:p w14:paraId="5E6E24FC" w14:textId="77777777" w:rsidR="00DF575C" w:rsidRPr="00D42025" w:rsidRDefault="00DF575C" w:rsidP="00DF575C">
      <w:pPr>
        <w:rPr>
          <w:lang w:val="en-US"/>
        </w:rPr>
      </w:pPr>
      <w:r w:rsidRPr="00D42025">
        <w:rPr>
          <w:lang w:val="en-US"/>
        </w:rPr>
        <w:t>The World Bank's ESF is based on the following 10 Environmental and Social Standards (ESS):</w:t>
      </w:r>
    </w:p>
    <w:p w14:paraId="428DBB47" w14:textId="77777777" w:rsidR="00DF575C" w:rsidRPr="00D42025" w:rsidRDefault="00DF575C" w:rsidP="00DF575C">
      <w:pPr>
        <w:rPr>
          <w:lang w:val="en-US"/>
        </w:rPr>
      </w:pPr>
      <w:r w:rsidRPr="00D42025">
        <w:rPr>
          <w:lang w:val="en-US"/>
        </w:rPr>
        <w:t xml:space="preserve">Table </w:t>
      </w:r>
      <w:r w:rsidRPr="00DF575C">
        <w:fldChar w:fldCharType="begin"/>
      </w:r>
      <w:r w:rsidRPr="00D42025">
        <w:rPr>
          <w:lang w:val="en-US"/>
        </w:rPr>
        <w:instrText>SEQ Tabl. \* ARABIC</w:instrText>
      </w:r>
      <w:r w:rsidRPr="00DF575C">
        <w:fldChar w:fldCharType="separate"/>
      </w:r>
      <w:r w:rsidRPr="00D42025">
        <w:rPr>
          <w:lang w:val="en-US"/>
        </w:rPr>
        <w:t>2</w:t>
      </w:r>
      <w:r w:rsidRPr="00DF575C">
        <w:fldChar w:fldCharType="end"/>
      </w:r>
      <w:r w:rsidRPr="00D42025">
        <w:rPr>
          <w:lang w:val="en-US"/>
        </w:rPr>
        <w:t>: World Bank Environmental and Social Standards</w:t>
      </w:r>
    </w:p>
    <w:tbl>
      <w:tblPr>
        <w:tblStyle w:val="Trameclaire-Accent51"/>
        <w:tblW w:w="9355" w:type="dxa"/>
        <w:tblInd w:w="108" w:type="dxa"/>
        <w:tblLayout w:type="fixed"/>
        <w:tblLook w:val="04A0" w:firstRow="1" w:lastRow="0" w:firstColumn="1" w:lastColumn="0" w:noHBand="0" w:noVBand="1"/>
      </w:tblPr>
      <w:tblGrid>
        <w:gridCol w:w="1018"/>
        <w:gridCol w:w="258"/>
        <w:gridCol w:w="6095"/>
        <w:gridCol w:w="1984"/>
      </w:tblGrid>
      <w:tr w:rsidR="00DF575C" w:rsidRPr="00DF575C" w14:paraId="6179654C" w14:textId="77777777" w:rsidTr="00E106B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371" w:type="dxa"/>
            <w:gridSpan w:val="3"/>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E2EFD9" w:themeFill="accent6" w:themeFillTint="33"/>
          </w:tcPr>
          <w:p w14:paraId="52566391" w14:textId="77777777" w:rsidR="00DF575C" w:rsidRPr="00DF575C" w:rsidRDefault="00DF575C" w:rsidP="00DF575C">
            <w:r w:rsidRPr="00DF575C">
              <w:t>Environmental and social standards</w:t>
            </w:r>
          </w:p>
        </w:tc>
        <w:tc>
          <w:tcPr>
            <w:tcW w:w="198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E2EFD9" w:themeFill="accent6" w:themeFillTint="33"/>
          </w:tcPr>
          <w:p w14:paraId="5736842C" w14:textId="77777777" w:rsidR="00DF575C" w:rsidRPr="00DF575C" w:rsidRDefault="00DF575C" w:rsidP="00DF575C">
            <w:pPr>
              <w:cnfStyle w:val="100000000000" w:firstRow="1" w:lastRow="0" w:firstColumn="0" w:lastColumn="0" w:oddVBand="0" w:evenVBand="0" w:oddHBand="0" w:evenHBand="0" w:firstRowFirstColumn="0" w:firstRowLastColumn="0" w:lastRowFirstColumn="0" w:lastRowLastColumn="0"/>
            </w:pPr>
            <w:r w:rsidRPr="00DF575C">
              <w:t>Relevance</w:t>
            </w:r>
          </w:p>
        </w:tc>
      </w:tr>
      <w:tr w:rsidR="00DF575C" w:rsidRPr="00DF575C" w14:paraId="0F245901" w14:textId="77777777" w:rsidTr="00E106BA">
        <w:trPr>
          <w:cnfStyle w:val="000000100000" w:firstRow="0" w:lastRow="0" w:firstColumn="0" w:lastColumn="0" w:oddVBand="0" w:evenVBand="0" w:oddHBand="1" w:evenHBand="0" w:firstRowFirstColumn="0" w:firstRowLastColumn="0" w:lastRowFirstColumn="0" w:lastRowLastColumn="0"/>
          <w:trHeight w:val="635"/>
        </w:trPr>
        <w:tc>
          <w:tcPr>
            <w:cnfStyle w:val="001000000000" w:firstRow="0" w:lastRow="0" w:firstColumn="1" w:lastColumn="0" w:oddVBand="0" w:evenVBand="0" w:oddHBand="0" w:evenHBand="0" w:firstRowFirstColumn="0" w:firstRowLastColumn="0" w:lastRowFirstColumn="0" w:lastRowLastColumn="0"/>
            <w:tcW w:w="1018" w:type="dxa"/>
            <w:tcBorders>
              <w:top w:val="single" w:sz="4" w:space="0" w:color="2F5496" w:themeColor="accent1" w:themeShade="BF"/>
              <w:left w:val="single" w:sz="4" w:space="0" w:color="2F5496" w:themeColor="accent1" w:themeShade="BF"/>
              <w:bottom w:val="single" w:sz="4" w:space="0" w:color="2F5496" w:themeColor="accent1" w:themeShade="BF"/>
            </w:tcBorders>
            <w:shd w:val="clear" w:color="auto" w:fill="FFFFFF" w:themeFill="background1"/>
          </w:tcPr>
          <w:p w14:paraId="0930023C" w14:textId="77777777" w:rsidR="00DF575C" w:rsidRPr="00DF575C" w:rsidRDefault="00DF575C" w:rsidP="00DF575C">
            <w:r w:rsidRPr="00DF575C">
              <w:t>NES 1</w:t>
            </w:r>
          </w:p>
        </w:tc>
        <w:tc>
          <w:tcPr>
            <w:tcW w:w="258" w:type="dxa"/>
            <w:tcBorders>
              <w:top w:val="single" w:sz="4" w:space="0" w:color="2F5496" w:themeColor="accent1" w:themeShade="BF"/>
              <w:bottom w:val="single" w:sz="4" w:space="0" w:color="2F5496" w:themeColor="accent1" w:themeShade="BF"/>
            </w:tcBorders>
            <w:shd w:val="clear" w:color="auto" w:fill="FFFFFF" w:themeFill="background1"/>
          </w:tcPr>
          <w:p w14:paraId="11D2614F" w14:textId="77777777" w:rsidR="00DF575C" w:rsidRPr="00DF575C" w:rsidRDefault="00DF575C" w:rsidP="00DF575C">
            <w:pPr>
              <w:cnfStyle w:val="000000100000" w:firstRow="0" w:lastRow="0" w:firstColumn="0" w:lastColumn="0" w:oddVBand="0" w:evenVBand="0" w:oddHBand="1" w:evenHBand="0" w:firstRowFirstColumn="0" w:firstRowLastColumn="0" w:lastRowFirstColumn="0" w:lastRowLastColumn="0"/>
            </w:pPr>
            <w:r w:rsidRPr="00DF575C">
              <w:t>:</w:t>
            </w:r>
          </w:p>
        </w:tc>
        <w:tc>
          <w:tcPr>
            <w:tcW w:w="6095" w:type="dxa"/>
            <w:tcBorders>
              <w:top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4EEBDF4D" w14:textId="77777777" w:rsidR="00DF575C" w:rsidRPr="00D42025" w:rsidRDefault="00DF575C" w:rsidP="00DF575C">
            <w:pPr>
              <w:cnfStyle w:val="000000100000" w:firstRow="0" w:lastRow="0" w:firstColumn="0" w:lastColumn="0" w:oddVBand="0" w:evenVBand="0" w:oddHBand="1" w:evenHBand="0" w:firstRowFirstColumn="0" w:firstRowLastColumn="0" w:lastRowFirstColumn="0" w:lastRowLastColumn="0"/>
              <w:rPr>
                <w:lang w:val="en-US"/>
              </w:rPr>
            </w:pPr>
            <w:r w:rsidRPr="00D42025">
              <w:rPr>
                <w:lang w:val="en-US"/>
              </w:rPr>
              <w:t>Assessment and management of environmental and social risks and impacts</w:t>
            </w:r>
          </w:p>
        </w:tc>
        <w:tc>
          <w:tcPr>
            <w:tcW w:w="198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49E27160" w14:textId="77777777" w:rsidR="00DF575C" w:rsidRPr="00DF575C" w:rsidRDefault="00DF575C" w:rsidP="00DF575C">
            <w:pPr>
              <w:cnfStyle w:val="000000100000" w:firstRow="0" w:lastRow="0" w:firstColumn="0" w:lastColumn="0" w:oddVBand="0" w:evenVBand="0" w:oddHBand="1" w:evenHBand="0" w:firstRowFirstColumn="0" w:firstRowLastColumn="0" w:lastRowFirstColumn="0" w:lastRowLastColumn="0"/>
            </w:pPr>
            <w:r w:rsidRPr="00DF575C">
              <w:t>Relevant</w:t>
            </w:r>
          </w:p>
        </w:tc>
      </w:tr>
      <w:tr w:rsidR="00DF575C" w:rsidRPr="00DF575C" w14:paraId="4CB0947F" w14:textId="77777777" w:rsidTr="00E106BA">
        <w:trPr>
          <w:trHeight w:val="372"/>
        </w:trPr>
        <w:tc>
          <w:tcPr>
            <w:cnfStyle w:val="001000000000" w:firstRow="0" w:lastRow="0" w:firstColumn="1" w:lastColumn="0" w:oddVBand="0" w:evenVBand="0" w:oddHBand="0" w:evenHBand="0" w:firstRowFirstColumn="0" w:firstRowLastColumn="0" w:lastRowFirstColumn="0" w:lastRowLastColumn="0"/>
            <w:tcW w:w="1018" w:type="dxa"/>
            <w:tcBorders>
              <w:top w:val="single" w:sz="4" w:space="0" w:color="2F5496" w:themeColor="accent1" w:themeShade="BF"/>
              <w:left w:val="single" w:sz="4" w:space="0" w:color="2F5496" w:themeColor="accent1" w:themeShade="BF"/>
              <w:bottom w:val="single" w:sz="4" w:space="0" w:color="2F5496" w:themeColor="accent1" w:themeShade="BF"/>
              <w:right w:val="nil"/>
            </w:tcBorders>
            <w:shd w:val="clear" w:color="auto" w:fill="FFFFFF" w:themeFill="background1"/>
            <w:vAlign w:val="center"/>
          </w:tcPr>
          <w:p w14:paraId="007728C6" w14:textId="77777777" w:rsidR="00DF575C" w:rsidRPr="00DF575C" w:rsidRDefault="00DF575C" w:rsidP="00DF575C">
            <w:r w:rsidRPr="00DF575C">
              <w:t>NES 2</w:t>
            </w:r>
          </w:p>
        </w:tc>
        <w:tc>
          <w:tcPr>
            <w:tcW w:w="258" w:type="dxa"/>
            <w:tcBorders>
              <w:top w:val="single" w:sz="4" w:space="0" w:color="2F5496" w:themeColor="accent1" w:themeShade="BF"/>
              <w:left w:val="nil"/>
              <w:bottom w:val="single" w:sz="4" w:space="0" w:color="2F5496" w:themeColor="accent1" w:themeShade="BF"/>
              <w:right w:val="nil"/>
            </w:tcBorders>
            <w:shd w:val="clear" w:color="auto" w:fill="FFFFFF" w:themeFill="background1"/>
            <w:vAlign w:val="center"/>
          </w:tcPr>
          <w:p w14:paraId="7663EA40" w14:textId="77777777" w:rsidR="00DF575C" w:rsidRPr="00DF575C" w:rsidRDefault="00DF575C" w:rsidP="00DF575C">
            <w:pPr>
              <w:cnfStyle w:val="000000000000" w:firstRow="0" w:lastRow="0" w:firstColumn="0" w:lastColumn="0" w:oddVBand="0" w:evenVBand="0" w:oddHBand="0" w:evenHBand="0" w:firstRowFirstColumn="0" w:firstRowLastColumn="0" w:lastRowFirstColumn="0" w:lastRowLastColumn="0"/>
            </w:pPr>
            <w:r w:rsidRPr="00DF575C">
              <w:t>:</w:t>
            </w:r>
          </w:p>
        </w:tc>
        <w:tc>
          <w:tcPr>
            <w:tcW w:w="6095" w:type="dxa"/>
            <w:tcBorders>
              <w:top w:val="single" w:sz="4" w:space="0" w:color="2F5496" w:themeColor="accent1" w:themeShade="BF"/>
              <w:left w:val="nil"/>
              <w:bottom w:val="single" w:sz="4" w:space="0" w:color="2F5496" w:themeColor="accent1" w:themeShade="BF"/>
              <w:right w:val="single" w:sz="4" w:space="0" w:color="2F5496" w:themeColor="accent1" w:themeShade="BF"/>
            </w:tcBorders>
            <w:shd w:val="clear" w:color="auto" w:fill="FFFFFF" w:themeFill="background1"/>
            <w:vAlign w:val="center"/>
          </w:tcPr>
          <w:p w14:paraId="721E8D8A" w14:textId="77777777" w:rsidR="00DF575C" w:rsidRPr="00DF575C" w:rsidRDefault="00DF575C" w:rsidP="00DF575C">
            <w:pPr>
              <w:cnfStyle w:val="000000000000" w:firstRow="0" w:lastRow="0" w:firstColumn="0" w:lastColumn="0" w:oddVBand="0" w:evenVBand="0" w:oddHBand="0" w:evenHBand="0" w:firstRowFirstColumn="0" w:firstRowLastColumn="0" w:lastRowFirstColumn="0" w:lastRowLastColumn="0"/>
            </w:pPr>
            <w:r w:rsidRPr="00DF575C">
              <w:t>Labor and working conditions</w:t>
            </w:r>
          </w:p>
        </w:tc>
        <w:tc>
          <w:tcPr>
            <w:tcW w:w="198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vAlign w:val="center"/>
          </w:tcPr>
          <w:p w14:paraId="1928C8EB" w14:textId="77777777" w:rsidR="00DF575C" w:rsidRPr="00DF575C" w:rsidRDefault="00DF575C" w:rsidP="00DF575C">
            <w:pPr>
              <w:cnfStyle w:val="000000000000" w:firstRow="0" w:lastRow="0" w:firstColumn="0" w:lastColumn="0" w:oddVBand="0" w:evenVBand="0" w:oddHBand="0" w:evenHBand="0" w:firstRowFirstColumn="0" w:firstRowLastColumn="0" w:lastRowFirstColumn="0" w:lastRowLastColumn="0"/>
            </w:pPr>
            <w:r w:rsidRPr="00DF575C">
              <w:t>Relevant</w:t>
            </w:r>
          </w:p>
        </w:tc>
      </w:tr>
      <w:tr w:rsidR="00DF575C" w:rsidRPr="00DF575C" w14:paraId="29F303D8" w14:textId="77777777" w:rsidTr="00E106BA">
        <w:trPr>
          <w:cnfStyle w:val="000000100000" w:firstRow="0" w:lastRow="0" w:firstColumn="0" w:lastColumn="0" w:oddVBand="0" w:evenVBand="0" w:oddHBand="1" w:evenHBand="0" w:firstRowFirstColumn="0" w:firstRowLastColumn="0" w:lastRowFirstColumn="0" w:lastRowLastColumn="0"/>
          <w:trHeight w:val="372"/>
        </w:trPr>
        <w:tc>
          <w:tcPr>
            <w:cnfStyle w:val="001000000000" w:firstRow="0" w:lastRow="0" w:firstColumn="1" w:lastColumn="0" w:oddVBand="0" w:evenVBand="0" w:oddHBand="0" w:evenHBand="0" w:firstRowFirstColumn="0" w:firstRowLastColumn="0" w:lastRowFirstColumn="0" w:lastRowLastColumn="0"/>
            <w:tcW w:w="1018" w:type="dxa"/>
            <w:tcBorders>
              <w:top w:val="single" w:sz="4" w:space="0" w:color="2F5496" w:themeColor="accent1" w:themeShade="BF"/>
              <w:left w:val="single" w:sz="4" w:space="0" w:color="2F5496" w:themeColor="accent1" w:themeShade="BF"/>
              <w:bottom w:val="single" w:sz="4" w:space="0" w:color="2F5496" w:themeColor="accent1" w:themeShade="BF"/>
            </w:tcBorders>
            <w:shd w:val="clear" w:color="auto" w:fill="FFFFFF" w:themeFill="background1"/>
            <w:vAlign w:val="center"/>
          </w:tcPr>
          <w:p w14:paraId="2D3D9DA9" w14:textId="77777777" w:rsidR="00DF575C" w:rsidRPr="00DF575C" w:rsidRDefault="00DF575C" w:rsidP="00DF575C">
            <w:r w:rsidRPr="00DF575C">
              <w:t>NES 3</w:t>
            </w:r>
          </w:p>
        </w:tc>
        <w:tc>
          <w:tcPr>
            <w:tcW w:w="258" w:type="dxa"/>
            <w:tcBorders>
              <w:top w:val="single" w:sz="4" w:space="0" w:color="2F5496" w:themeColor="accent1" w:themeShade="BF"/>
              <w:bottom w:val="single" w:sz="4" w:space="0" w:color="2F5496" w:themeColor="accent1" w:themeShade="BF"/>
            </w:tcBorders>
            <w:shd w:val="clear" w:color="auto" w:fill="FFFFFF" w:themeFill="background1"/>
            <w:vAlign w:val="center"/>
          </w:tcPr>
          <w:p w14:paraId="2FD627D9" w14:textId="77777777" w:rsidR="00DF575C" w:rsidRPr="00DF575C" w:rsidRDefault="00DF575C" w:rsidP="00DF575C">
            <w:pPr>
              <w:cnfStyle w:val="000000100000" w:firstRow="0" w:lastRow="0" w:firstColumn="0" w:lastColumn="0" w:oddVBand="0" w:evenVBand="0" w:oddHBand="1" w:evenHBand="0" w:firstRowFirstColumn="0" w:firstRowLastColumn="0" w:lastRowFirstColumn="0" w:lastRowLastColumn="0"/>
            </w:pPr>
            <w:r w:rsidRPr="00DF575C">
              <w:t>:</w:t>
            </w:r>
          </w:p>
        </w:tc>
        <w:tc>
          <w:tcPr>
            <w:tcW w:w="6095" w:type="dxa"/>
            <w:tcBorders>
              <w:top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vAlign w:val="center"/>
          </w:tcPr>
          <w:p w14:paraId="45C3864D" w14:textId="77777777" w:rsidR="00DF575C" w:rsidRPr="00D42025" w:rsidRDefault="00DF575C" w:rsidP="00DF575C">
            <w:pPr>
              <w:cnfStyle w:val="000000100000" w:firstRow="0" w:lastRow="0" w:firstColumn="0" w:lastColumn="0" w:oddVBand="0" w:evenVBand="0" w:oddHBand="1" w:evenHBand="0" w:firstRowFirstColumn="0" w:firstRowLastColumn="0" w:lastRowFirstColumn="0" w:lastRowLastColumn="0"/>
              <w:rPr>
                <w:lang w:val="en-US"/>
              </w:rPr>
            </w:pPr>
            <w:r w:rsidRPr="00D42025">
              <w:rPr>
                <w:lang w:val="en-US"/>
              </w:rPr>
              <w:t>Resource efficiency and pollution prevention and management</w:t>
            </w:r>
          </w:p>
        </w:tc>
        <w:tc>
          <w:tcPr>
            <w:tcW w:w="198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vAlign w:val="center"/>
          </w:tcPr>
          <w:p w14:paraId="790402F9" w14:textId="77777777" w:rsidR="00DF575C" w:rsidRPr="00DF575C" w:rsidRDefault="00DF575C" w:rsidP="00DF575C">
            <w:pPr>
              <w:cnfStyle w:val="000000100000" w:firstRow="0" w:lastRow="0" w:firstColumn="0" w:lastColumn="0" w:oddVBand="0" w:evenVBand="0" w:oddHBand="1" w:evenHBand="0" w:firstRowFirstColumn="0" w:firstRowLastColumn="0" w:lastRowFirstColumn="0" w:lastRowLastColumn="0"/>
            </w:pPr>
            <w:r w:rsidRPr="00DF575C">
              <w:t>Relevant</w:t>
            </w:r>
          </w:p>
        </w:tc>
      </w:tr>
      <w:tr w:rsidR="00DF575C" w:rsidRPr="00DF575C" w14:paraId="7741FAC1" w14:textId="77777777" w:rsidTr="00E106BA">
        <w:trPr>
          <w:trHeight w:val="372"/>
        </w:trPr>
        <w:tc>
          <w:tcPr>
            <w:cnfStyle w:val="001000000000" w:firstRow="0" w:lastRow="0" w:firstColumn="1" w:lastColumn="0" w:oddVBand="0" w:evenVBand="0" w:oddHBand="0" w:evenHBand="0" w:firstRowFirstColumn="0" w:firstRowLastColumn="0" w:lastRowFirstColumn="0" w:lastRowLastColumn="0"/>
            <w:tcW w:w="1018" w:type="dxa"/>
            <w:tcBorders>
              <w:top w:val="single" w:sz="4" w:space="0" w:color="2F5496" w:themeColor="accent1" w:themeShade="BF"/>
              <w:left w:val="single" w:sz="4" w:space="0" w:color="2F5496" w:themeColor="accent1" w:themeShade="BF"/>
              <w:bottom w:val="single" w:sz="4" w:space="0" w:color="2F5496" w:themeColor="accent1" w:themeShade="BF"/>
              <w:right w:val="nil"/>
            </w:tcBorders>
            <w:shd w:val="clear" w:color="auto" w:fill="FFFFFF" w:themeFill="background1"/>
            <w:vAlign w:val="center"/>
          </w:tcPr>
          <w:p w14:paraId="6AE732D5" w14:textId="77777777" w:rsidR="00DF575C" w:rsidRPr="00DF575C" w:rsidRDefault="00DF575C" w:rsidP="00DF575C">
            <w:r w:rsidRPr="00DF575C">
              <w:t>NES 4</w:t>
            </w:r>
          </w:p>
        </w:tc>
        <w:tc>
          <w:tcPr>
            <w:tcW w:w="258" w:type="dxa"/>
            <w:tcBorders>
              <w:top w:val="single" w:sz="4" w:space="0" w:color="2F5496" w:themeColor="accent1" w:themeShade="BF"/>
              <w:left w:val="nil"/>
              <w:bottom w:val="single" w:sz="4" w:space="0" w:color="2F5496" w:themeColor="accent1" w:themeShade="BF"/>
              <w:right w:val="nil"/>
            </w:tcBorders>
            <w:shd w:val="clear" w:color="auto" w:fill="FFFFFF" w:themeFill="background1"/>
            <w:vAlign w:val="center"/>
          </w:tcPr>
          <w:p w14:paraId="42960C84" w14:textId="77777777" w:rsidR="00DF575C" w:rsidRPr="00DF575C" w:rsidRDefault="00DF575C" w:rsidP="00DF575C">
            <w:pPr>
              <w:cnfStyle w:val="000000000000" w:firstRow="0" w:lastRow="0" w:firstColumn="0" w:lastColumn="0" w:oddVBand="0" w:evenVBand="0" w:oddHBand="0" w:evenHBand="0" w:firstRowFirstColumn="0" w:firstRowLastColumn="0" w:lastRowFirstColumn="0" w:lastRowLastColumn="0"/>
            </w:pPr>
            <w:r w:rsidRPr="00DF575C">
              <w:t>:</w:t>
            </w:r>
          </w:p>
        </w:tc>
        <w:tc>
          <w:tcPr>
            <w:tcW w:w="6095" w:type="dxa"/>
            <w:tcBorders>
              <w:top w:val="single" w:sz="4" w:space="0" w:color="2F5496" w:themeColor="accent1" w:themeShade="BF"/>
              <w:left w:val="nil"/>
              <w:bottom w:val="single" w:sz="4" w:space="0" w:color="2F5496" w:themeColor="accent1" w:themeShade="BF"/>
              <w:right w:val="single" w:sz="4" w:space="0" w:color="2F5496" w:themeColor="accent1" w:themeShade="BF"/>
            </w:tcBorders>
            <w:shd w:val="clear" w:color="auto" w:fill="FFFFFF" w:themeFill="background1"/>
            <w:vAlign w:val="center"/>
          </w:tcPr>
          <w:p w14:paraId="116AF69A" w14:textId="77777777" w:rsidR="00DF575C" w:rsidRPr="00DF575C" w:rsidRDefault="00DF575C" w:rsidP="00DF575C">
            <w:pPr>
              <w:cnfStyle w:val="000000000000" w:firstRow="0" w:lastRow="0" w:firstColumn="0" w:lastColumn="0" w:oddVBand="0" w:evenVBand="0" w:oddHBand="0" w:evenHBand="0" w:firstRowFirstColumn="0" w:firstRowLastColumn="0" w:lastRowFirstColumn="0" w:lastRowLastColumn="0"/>
            </w:pPr>
            <w:r w:rsidRPr="00DF575C">
              <w:t>Public health and safety</w:t>
            </w:r>
          </w:p>
        </w:tc>
        <w:tc>
          <w:tcPr>
            <w:tcW w:w="198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vAlign w:val="center"/>
          </w:tcPr>
          <w:p w14:paraId="4F8332D5" w14:textId="77777777" w:rsidR="00DF575C" w:rsidRPr="00DF575C" w:rsidRDefault="00DF575C" w:rsidP="00DF575C">
            <w:pPr>
              <w:cnfStyle w:val="000000000000" w:firstRow="0" w:lastRow="0" w:firstColumn="0" w:lastColumn="0" w:oddVBand="0" w:evenVBand="0" w:oddHBand="0" w:evenHBand="0" w:firstRowFirstColumn="0" w:firstRowLastColumn="0" w:lastRowFirstColumn="0" w:lastRowLastColumn="0"/>
            </w:pPr>
            <w:r w:rsidRPr="00DF575C">
              <w:t>Relevant</w:t>
            </w:r>
          </w:p>
        </w:tc>
      </w:tr>
      <w:tr w:rsidR="00DF575C" w:rsidRPr="00DF575C" w14:paraId="0EA7CB85" w14:textId="77777777" w:rsidTr="00E106BA">
        <w:trPr>
          <w:cnfStyle w:val="000000100000" w:firstRow="0" w:lastRow="0" w:firstColumn="0" w:lastColumn="0" w:oddVBand="0" w:evenVBand="0" w:oddHBand="1" w:evenHBand="0" w:firstRowFirstColumn="0" w:firstRowLastColumn="0" w:lastRowFirstColumn="0" w:lastRowLastColumn="0"/>
          <w:trHeight w:val="500"/>
        </w:trPr>
        <w:tc>
          <w:tcPr>
            <w:cnfStyle w:val="001000000000" w:firstRow="0" w:lastRow="0" w:firstColumn="1" w:lastColumn="0" w:oddVBand="0" w:evenVBand="0" w:oddHBand="0" w:evenHBand="0" w:firstRowFirstColumn="0" w:firstRowLastColumn="0" w:lastRowFirstColumn="0" w:lastRowLastColumn="0"/>
            <w:tcW w:w="1018" w:type="dxa"/>
            <w:tcBorders>
              <w:top w:val="single" w:sz="4" w:space="0" w:color="2F5496" w:themeColor="accent1" w:themeShade="BF"/>
              <w:left w:val="single" w:sz="4" w:space="0" w:color="2F5496" w:themeColor="accent1" w:themeShade="BF"/>
              <w:bottom w:val="single" w:sz="4" w:space="0" w:color="2F5496" w:themeColor="accent1" w:themeShade="BF"/>
            </w:tcBorders>
            <w:shd w:val="clear" w:color="auto" w:fill="FFFFFF" w:themeFill="background1"/>
          </w:tcPr>
          <w:p w14:paraId="393DB51A" w14:textId="77777777" w:rsidR="00DF575C" w:rsidRPr="00DF575C" w:rsidRDefault="00DF575C" w:rsidP="00DF575C">
            <w:r w:rsidRPr="00DF575C">
              <w:t>NES 5</w:t>
            </w:r>
          </w:p>
        </w:tc>
        <w:tc>
          <w:tcPr>
            <w:tcW w:w="258" w:type="dxa"/>
            <w:tcBorders>
              <w:top w:val="single" w:sz="4" w:space="0" w:color="2F5496" w:themeColor="accent1" w:themeShade="BF"/>
              <w:bottom w:val="single" w:sz="4" w:space="0" w:color="2F5496" w:themeColor="accent1" w:themeShade="BF"/>
            </w:tcBorders>
            <w:shd w:val="clear" w:color="auto" w:fill="FFFFFF" w:themeFill="background1"/>
          </w:tcPr>
          <w:p w14:paraId="0F596B02" w14:textId="77777777" w:rsidR="00DF575C" w:rsidRPr="00DF575C" w:rsidRDefault="00DF575C" w:rsidP="00DF575C">
            <w:pPr>
              <w:cnfStyle w:val="000000100000" w:firstRow="0" w:lastRow="0" w:firstColumn="0" w:lastColumn="0" w:oddVBand="0" w:evenVBand="0" w:oddHBand="1" w:evenHBand="0" w:firstRowFirstColumn="0" w:firstRowLastColumn="0" w:lastRowFirstColumn="0" w:lastRowLastColumn="0"/>
            </w:pPr>
            <w:r w:rsidRPr="00DF575C">
              <w:t>:</w:t>
            </w:r>
          </w:p>
        </w:tc>
        <w:tc>
          <w:tcPr>
            <w:tcW w:w="6095" w:type="dxa"/>
            <w:tcBorders>
              <w:top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746AE6EB" w14:textId="77777777" w:rsidR="00DF575C" w:rsidRPr="00D42025" w:rsidRDefault="00DF575C" w:rsidP="00DF575C">
            <w:pPr>
              <w:cnfStyle w:val="000000100000" w:firstRow="0" w:lastRow="0" w:firstColumn="0" w:lastColumn="0" w:oddVBand="0" w:evenVBand="0" w:oddHBand="1" w:evenHBand="0" w:firstRowFirstColumn="0" w:firstRowLastColumn="0" w:lastRowFirstColumn="0" w:lastRowLastColumn="0"/>
              <w:rPr>
                <w:lang w:val="en-US"/>
              </w:rPr>
            </w:pPr>
            <w:r w:rsidRPr="00D42025">
              <w:rPr>
                <w:lang w:val="en-US"/>
              </w:rPr>
              <w:t>Land acquisition, land use restrictions and involuntary resettlement</w:t>
            </w:r>
          </w:p>
        </w:tc>
        <w:tc>
          <w:tcPr>
            <w:tcW w:w="198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4429B23E" w14:textId="77777777" w:rsidR="00DF575C" w:rsidRPr="00DF575C" w:rsidRDefault="00DF575C" w:rsidP="00DF575C">
            <w:pPr>
              <w:cnfStyle w:val="000000100000" w:firstRow="0" w:lastRow="0" w:firstColumn="0" w:lastColumn="0" w:oddVBand="0" w:evenVBand="0" w:oddHBand="1" w:evenHBand="0" w:firstRowFirstColumn="0" w:firstRowLastColumn="0" w:lastRowFirstColumn="0" w:lastRowLastColumn="0"/>
            </w:pPr>
            <w:r w:rsidRPr="00DF575C">
              <w:t>Relevant</w:t>
            </w:r>
          </w:p>
        </w:tc>
      </w:tr>
      <w:tr w:rsidR="00DF575C" w:rsidRPr="00DF575C" w14:paraId="4B4A5EA8" w14:textId="77777777" w:rsidTr="00E106BA">
        <w:trPr>
          <w:trHeight w:val="477"/>
        </w:trPr>
        <w:tc>
          <w:tcPr>
            <w:cnfStyle w:val="001000000000" w:firstRow="0" w:lastRow="0" w:firstColumn="1" w:lastColumn="0" w:oddVBand="0" w:evenVBand="0" w:oddHBand="0" w:evenHBand="0" w:firstRowFirstColumn="0" w:firstRowLastColumn="0" w:lastRowFirstColumn="0" w:lastRowLastColumn="0"/>
            <w:tcW w:w="1018" w:type="dxa"/>
            <w:tcBorders>
              <w:top w:val="single" w:sz="4" w:space="0" w:color="2F5496" w:themeColor="accent1" w:themeShade="BF"/>
              <w:left w:val="single" w:sz="4" w:space="0" w:color="2F5496" w:themeColor="accent1" w:themeShade="BF"/>
              <w:bottom w:val="single" w:sz="4" w:space="0" w:color="2F5496" w:themeColor="accent1" w:themeShade="BF"/>
              <w:right w:val="nil"/>
            </w:tcBorders>
            <w:shd w:val="clear" w:color="auto" w:fill="FFFFFF" w:themeFill="background1"/>
          </w:tcPr>
          <w:p w14:paraId="56375C5F" w14:textId="77777777" w:rsidR="00DF575C" w:rsidRPr="00DF575C" w:rsidRDefault="00DF575C" w:rsidP="00DF575C">
            <w:r w:rsidRPr="00DF575C">
              <w:t>NES 6</w:t>
            </w:r>
          </w:p>
        </w:tc>
        <w:tc>
          <w:tcPr>
            <w:tcW w:w="258" w:type="dxa"/>
            <w:tcBorders>
              <w:top w:val="single" w:sz="4" w:space="0" w:color="2F5496" w:themeColor="accent1" w:themeShade="BF"/>
              <w:left w:val="nil"/>
              <w:bottom w:val="single" w:sz="4" w:space="0" w:color="2F5496" w:themeColor="accent1" w:themeShade="BF"/>
              <w:right w:val="nil"/>
            </w:tcBorders>
            <w:shd w:val="clear" w:color="auto" w:fill="FFFFFF" w:themeFill="background1"/>
          </w:tcPr>
          <w:p w14:paraId="24DF850D" w14:textId="77777777" w:rsidR="00DF575C" w:rsidRPr="00DF575C" w:rsidRDefault="00DF575C" w:rsidP="00DF575C">
            <w:pPr>
              <w:cnfStyle w:val="000000000000" w:firstRow="0" w:lastRow="0" w:firstColumn="0" w:lastColumn="0" w:oddVBand="0" w:evenVBand="0" w:oddHBand="0" w:evenHBand="0" w:firstRowFirstColumn="0" w:firstRowLastColumn="0" w:lastRowFirstColumn="0" w:lastRowLastColumn="0"/>
            </w:pPr>
            <w:r w:rsidRPr="00DF575C">
              <w:t>:</w:t>
            </w:r>
          </w:p>
        </w:tc>
        <w:tc>
          <w:tcPr>
            <w:tcW w:w="6095" w:type="dxa"/>
            <w:tcBorders>
              <w:top w:val="single" w:sz="4" w:space="0" w:color="2F5496" w:themeColor="accent1" w:themeShade="BF"/>
              <w:left w:val="nil"/>
              <w:bottom w:val="single" w:sz="4" w:space="0" w:color="2F5496" w:themeColor="accent1" w:themeShade="BF"/>
              <w:right w:val="single" w:sz="4" w:space="0" w:color="2F5496" w:themeColor="accent1" w:themeShade="BF"/>
            </w:tcBorders>
            <w:shd w:val="clear" w:color="auto" w:fill="FFFFFF" w:themeFill="background1"/>
          </w:tcPr>
          <w:p w14:paraId="2E0003B6" w14:textId="77777777" w:rsidR="00DF575C" w:rsidRPr="00D42025" w:rsidRDefault="00DF575C" w:rsidP="00DF575C">
            <w:pPr>
              <w:cnfStyle w:val="000000000000" w:firstRow="0" w:lastRow="0" w:firstColumn="0" w:lastColumn="0" w:oddVBand="0" w:evenVBand="0" w:oddHBand="0" w:evenHBand="0" w:firstRowFirstColumn="0" w:firstRowLastColumn="0" w:lastRowFirstColumn="0" w:lastRowLastColumn="0"/>
              <w:rPr>
                <w:lang w:val="en-US"/>
              </w:rPr>
            </w:pPr>
            <w:r w:rsidRPr="00D42025">
              <w:rPr>
                <w:lang w:val="en-US"/>
              </w:rPr>
              <w:t>Preservation of biodiversity and sustainable management of biological natural resources</w:t>
            </w:r>
          </w:p>
        </w:tc>
        <w:tc>
          <w:tcPr>
            <w:tcW w:w="198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519B3B9A" w14:textId="77777777" w:rsidR="00DF575C" w:rsidRPr="00DF575C" w:rsidRDefault="00DF575C" w:rsidP="00DF575C">
            <w:pPr>
              <w:cnfStyle w:val="000000000000" w:firstRow="0" w:lastRow="0" w:firstColumn="0" w:lastColumn="0" w:oddVBand="0" w:evenVBand="0" w:oddHBand="0" w:evenHBand="0" w:firstRowFirstColumn="0" w:firstRowLastColumn="0" w:lastRowFirstColumn="0" w:lastRowLastColumn="0"/>
            </w:pPr>
            <w:r w:rsidRPr="00DF575C">
              <w:t>Relevant</w:t>
            </w:r>
          </w:p>
        </w:tc>
      </w:tr>
      <w:tr w:rsidR="00DF575C" w:rsidRPr="00DF575C" w14:paraId="357ED388" w14:textId="77777777" w:rsidTr="00E106BA">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1018" w:type="dxa"/>
            <w:tcBorders>
              <w:top w:val="single" w:sz="4" w:space="0" w:color="2F5496" w:themeColor="accent1" w:themeShade="BF"/>
              <w:left w:val="single" w:sz="4" w:space="0" w:color="2F5496" w:themeColor="accent1" w:themeShade="BF"/>
              <w:bottom w:val="single" w:sz="4" w:space="0" w:color="2F5496" w:themeColor="accent1" w:themeShade="BF"/>
            </w:tcBorders>
            <w:shd w:val="clear" w:color="auto" w:fill="FFFFFF" w:themeFill="background1"/>
          </w:tcPr>
          <w:p w14:paraId="7F1E3974" w14:textId="77777777" w:rsidR="00DF575C" w:rsidRPr="00DF575C" w:rsidRDefault="00DF575C" w:rsidP="00DF575C">
            <w:r w:rsidRPr="00DF575C">
              <w:t>NES 7</w:t>
            </w:r>
          </w:p>
        </w:tc>
        <w:tc>
          <w:tcPr>
            <w:tcW w:w="258" w:type="dxa"/>
            <w:tcBorders>
              <w:top w:val="single" w:sz="4" w:space="0" w:color="2F5496" w:themeColor="accent1" w:themeShade="BF"/>
              <w:bottom w:val="single" w:sz="4" w:space="0" w:color="2F5496" w:themeColor="accent1" w:themeShade="BF"/>
            </w:tcBorders>
            <w:shd w:val="clear" w:color="auto" w:fill="FFFFFF" w:themeFill="background1"/>
          </w:tcPr>
          <w:p w14:paraId="458F22F5" w14:textId="77777777" w:rsidR="00DF575C" w:rsidRPr="00DF575C" w:rsidRDefault="00DF575C" w:rsidP="00DF575C">
            <w:pPr>
              <w:cnfStyle w:val="000000100000" w:firstRow="0" w:lastRow="0" w:firstColumn="0" w:lastColumn="0" w:oddVBand="0" w:evenVBand="0" w:oddHBand="1" w:evenHBand="0" w:firstRowFirstColumn="0" w:firstRowLastColumn="0" w:lastRowFirstColumn="0" w:lastRowLastColumn="0"/>
            </w:pPr>
            <w:r w:rsidRPr="00DF575C">
              <w:t>:</w:t>
            </w:r>
          </w:p>
        </w:tc>
        <w:tc>
          <w:tcPr>
            <w:tcW w:w="6095" w:type="dxa"/>
            <w:tcBorders>
              <w:top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1F3CE8BF" w14:textId="77777777" w:rsidR="00DF575C" w:rsidRPr="00D42025" w:rsidRDefault="00DF575C" w:rsidP="00DF575C">
            <w:pPr>
              <w:cnfStyle w:val="000000100000" w:firstRow="0" w:lastRow="0" w:firstColumn="0" w:lastColumn="0" w:oddVBand="0" w:evenVBand="0" w:oddHBand="1" w:evenHBand="0" w:firstRowFirstColumn="0" w:firstRowLastColumn="0" w:lastRowFirstColumn="0" w:lastRowLastColumn="0"/>
              <w:rPr>
                <w:lang w:val="en-US"/>
              </w:rPr>
            </w:pPr>
            <w:r w:rsidRPr="00D42025">
              <w:rPr>
                <w:lang w:val="en-US"/>
              </w:rPr>
              <w:t>Historically disadvantaged indigenous peoples/traditional local communities in sub-Saharan Africa</w:t>
            </w:r>
          </w:p>
        </w:tc>
        <w:tc>
          <w:tcPr>
            <w:tcW w:w="198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7EB9B5C2" w14:textId="77777777" w:rsidR="00DF575C" w:rsidRPr="00DF575C" w:rsidRDefault="00DF575C" w:rsidP="00DF575C">
            <w:pPr>
              <w:cnfStyle w:val="000000100000" w:firstRow="0" w:lastRow="0" w:firstColumn="0" w:lastColumn="0" w:oddVBand="0" w:evenVBand="0" w:oddHBand="1" w:evenHBand="0" w:firstRowFirstColumn="0" w:firstRowLastColumn="0" w:lastRowFirstColumn="0" w:lastRowLastColumn="0"/>
            </w:pPr>
            <w:r w:rsidRPr="00DF575C">
              <w:t>Not relevant</w:t>
            </w:r>
          </w:p>
        </w:tc>
      </w:tr>
      <w:tr w:rsidR="00DF575C" w:rsidRPr="00DF575C" w14:paraId="0B54E699" w14:textId="77777777" w:rsidTr="00E106BA">
        <w:trPr>
          <w:trHeight w:val="408"/>
        </w:trPr>
        <w:tc>
          <w:tcPr>
            <w:cnfStyle w:val="001000000000" w:firstRow="0" w:lastRow="0" w:firstColumn="1" w:lastColumn="0" w:oddVBand="0" w:evenVBand="0" w:oddHBand="0" w:evenHBand="0" w:firstRowFirstColumn="0" w:firstRowLastColumn="0" w:lastRowFirstColumn="0" w:lastRowLastColumn="0"/>
            <w:tcW w:w="1018" w:type="dxa"/>
            <w:tcBorders>
              <w:top w:val="single" w:sz="4" w:space="0" w:color="2F5496" w:themeColor="accent1" w:themeShade="BF"/>
              <w:left w:val="single" w:sz="4" w:space="0" w:color="2F5496" w:themeColor="accent1" w:themeShade="BF"/>
              <w:bottom w:val="single" w:sz="4" w:space="0" w:color="2F5496" w:themeColor="accent1" w:themeShade="BF"/>
              <w:right w:val="nil"/>
            </w:tcBorders>
            <w:shd w:val="clear" w:color="auto" w:fill="FFFFFF" w:themeFill="background1"/>
            <w:vAlign w:val="center"/>
          </w:tcPr>
          <w:p w14:paraId="5D85CC37" w14:textId="77777777" w:rsidR="00DF575C" w:rsidRPr="00DF575C" w:rsidRDefault="00DF575C" w:rsidP="00DF575C">
            <w:r w:rsidRPr="00DF575C">
              <w:t>NES 8</w:t>
            </w:r>
          </w:p>
        </w:tc>
        <w:tc>
          <w:tcPr>
            <w:tcW w:w="258" w:type="dxa"/>
            <w:tcBorders>
              <w:top w:val="single" w:sz="4" w:space="0" w:color="2F5496" w:themeColor="accent1" w:themeShade="BF"/>
              <w:left w:val="nil"/>
              <w:bottom w:val="single" w:sz="4" w:space="0" w:color="2F5496" w:themeColor="accent1" w:themeShade="BF"/>
              <w:right w:val="nil"/>
            </w:tcBorders>
            <w:shd w:val="clear" w:color="auto" w:fill="FFFFFF" w:themeFill="background1"/>
            <w:vAlign w:val="center"/>
          </w:tcPr>
          <w:p w14:paraId="70F84294" w14:textId="77777777" w:rsidR="00DF575C" w:rsidRPr="00DF575C" w:rsidRDefault="00DF575C" w:rsidP="00DF575C">
            <w:pPr>
              <w:cnfStyle w:val="000000000000" w:firstRow="0" w:lastRow="0" w:firstColumn="0" w:lastColumn="0" w:oddVBand="0" w:evenVBand="0" w:oddHBand="0" w:evenHBand="0" w:firstRowFirstColumn="0" w:firstRowLastColumn="0" w:lastRowFirstColumn="0" w:lastRowLastColumn="0"/>
            </w:pPr>
            <w:r w:rsidRPr="00DF575C">
              <w:t>:</w:t>
            </w:r>
          </w:p>
        </w:tc>
        <w:tc>
          <w:tcPr>
            <w:tcW w:w="6095" w:type="dxa"/>
            <w:tcBorders>
              <w:top w:val="single" w:sz="4" w:space="0" w:color="2F5496" w:themeColor="accent1" w:themeShade="BF"/>
              <w:left w:val="nil"/>
              <w:bottom w:val="single" w:sz="4" w:space="0" w:color="2F5496" w:themeColor="accent1" w:themeShade="BF"/>
              <w:right w:val="single" w:sz="4" w:space="0" w:color="2F5496" w:themeColor="accent1" w:themeShade="BF"/>
            </w:tcBorders>
            <w:shd w:val="clear" w:color="auto" w:fill="FFFFFF" w:themeFill="background1"/>
            <w:vAlign w:val="center"/>
          </w:tcPr>
          <w:p w14:paraId="7F1F177B" w14:textId="77777777" w:rsidR="00DF575C" w:rsidRPr="00DF575C" w:rsidRDefault="00DF575C" w:rsidP="00DF575C">
            <w:pPr>
              <w:cnfStyle w:val="000000000000" w:firstRow="0" w:lastRow="0" w:firstColumn="0" w:lastColumn="0" w:oddVBand="0" w:evenVBand="0" w:oddHBand="0" w:evenHBand="0" w:firstRowFirstColumn="0" w:firstRowLastColumn="0" w:lastRowFirstColumn="0" w:lastRowLastColumn="0"/>
            </w:pPr>
            <w:r w:rsidRPr="00DF575C">
              <w:t>Cultural heritage</w:t>
            </w:r>
          </w:p>
        </w:tc>
        <w:tc>
          <w:tcPr>
            <w:tcW w:w="198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vAlign w:val="center"/>
          </w:tcPr>
          <w:p w14:paraId="66D4C34A" w14:textId="77777777" w:rsidR="00DF575C" w:rsidRPr="00DF575C" w:rsidRDefault="00DF575C" w:rsidP="00DF575C">
            <w:pPr>
              <w:cnfStyle w:val="000000000000" w:firstRow="0" w:lastRow="0" w:firstColumn="0" w:lastColumn="0" w:oddVBand="0" w:evenVBand="0" w:oddHBand="0" w:evenHBand="0" w:firstRowFirstColumn="0" w:firstRowLastColumn="0" w:lastRowFirstColumn="0" w:lastRowLastColumn="0"/>
            </w:pPr>
            <w:r w:rsidRPr="00DF575C">
              <w:t>Relevant</w:t>
            </w:r>
          </w:p>
        </w:tc>
      </w:tr>
      <w:tr w:rsidR="00DF575C" w:rsidRPr="00DF575C" w14:paraId="5AD664BA" w14:textId="77777777" w:rsidTr="00E106BA">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1018" w:type="dxa"/>
            <w:tcBorders>
              <w:top w:val="single" w:sz="4" w:space="0" w:color="2F5496" w:themeColor="accent1" w:themeShade="BF"/>
              <w:left w:val="single" w:sz="4" w:space="0" w:color="2F5496" w:themeColor="accent1" w:themeShade="BF"/>
              <w:bottom w:val="single" w:sz="4" w:space="0" w:color="2F5496" w:themeColor="accent1" w:themeShade="BF"/>
            </w:tcBorders>
            <w:shd w:val="clear" w:color="auto" w:fill="FFFFFF" w:themeFill="background1"/>
            <w:vAlign w:val="center"/>
          </w:tcPr>
          <w:p w14:paraId="531F2099" w14:textId="77777777" w:rsidR="00DF575C" w:rsidRPr="00DF575C" w:rsidRDefault="00DF575C" w:rsidP="00DF575C">
            <w:r w:rsidRPr="00DF575C">
              <w:t>NES 9</w:t>
            </w:r>
          </w:p>
        </w:tc>
        <w:tc>
          <w:tcPr>
            <w:tcW w:w="258" w:type="dxa"/>
            <w:tcBorders>
              <w:top w:val="single" w:sz="4" w:space="0" w:color="2F5496" w:themeColor="accent1" w:themeShade="BF"/>
              <w:bottom w:val="single" w:sz="4" w:space="0" w:color="2F5496" w:themeColor="accent1" w:themeShade="BF"/>
            </w:tcBorders>
            <w:shd w:val="clear" w:color="auto" w:fill="FFFFFF" w:themeFill="background1"/>
            <w:vAlign w:val="center"/>
          </w:tcPr>
          <w:p w14:paraId="6C325D14" w14:textId="77777777" w:rsidR="00DF575C" w:rsidRPr="00DF575C" w:rsidRDefault="00DF575C" w:rsidP="00DF575C">
            <w:pPr>
              <w:cnfStyle w:val="000000100000" w:firstRow="0" w:lastRow="0" w:firstColumn="0" w:lastColumn="0" w:oddVBand="0" w:evenVBand="0" w:oddHBand="1" w:evenHBand="0" w:firstRowFirstColumn="0" w:firstRowLastColumn="0" w:lastRowFirstColumn="0" w:lastRowLastColumn="0"/>
            </w:pPr>
            <w:r w:rsidRPr="00DF575C">
              <w:t>:</w:t>
            </w:r>
          </w:p>
        </w:tc>
        <w:tc>
          <w:tcPr>
            <w:tcW w:w="6095" w:type="dxa"/>
            <w:tcBorders>
              <w:top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vAlign w:val="center"/>
          </w:tcPr>
          <w:p w14:paraId="6329BDC0" w14:textId="77777777" w:rsidR="00DF575C" w:rsidRPr="00DF575C" w:rsidRDefault="00DF575C" w:rsidP="00DF575C">
            <w:pPr>
              <w:cnfStyle w:val="000000100000" w:firstRow="0" w:lastRow="0" w:firstColumn="0" w:lastColumn="0" w:oddVBand="0" w:evenVBand="0" w:oddHBand="1" w:evenHBand="0" w:firstRowFirstColumn="0" w:firstRowLastColumn="0" w:lastRowFirstColumn="0" w:lastRowLastColumn="0"/>
            </w:pPr>
            <w:r w:rsidRPr="00DF575C">
              <w:t>Financial intermediaries</w:t>
            </w:r>
          </w:p>
        </w:tc>
        <w:tc>
          <w:tcPr>
            <w:tcW w:w="198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vAlign w:val="center"/>
          </w:tcPr>
          <w:p w14:paraId="536167C2" w14:textId="77777777" w:rsidR="00DF575C" w:rsidRPr="00DF575C" w:rsidRDefault="00DF575C" w:rsidP="00DF575C">
            <w:pPr>
              <w:cnfStyle w:val="000000100000" w:firstRow="0" w:lastRow="0" w:firstColumn="0" w:lastColumn="0" w:oddVBand="0" w:evenVBand="0" w:oddHBand="1" w:evenHBand="0" w:firstRowFirstColumn="0" w:firstRowLastColumn="0" w:lastRowFirstColumn="0" w:lastRowLastColumn="0"/>
            </w:pPr>
            <w:r w:rsidRPr="00DF575C">
              <w:t>Not relevant</w:t>
            </w:r>
          </w:p>
        </w:tc>
      </w:tr>
      <w:tr w:rsidR="00DF575C" w:rsidRPr="00DF575C" w14:paraId="67790F3E" w14:textId="77777777" w:rsidTr="00E106BA">
        <w:trPr>
          <w:trHeight w:val="408"/>
        </w:trPr>
        <w:tc>
          <w:tcPr>
            <w:cnfStyle w:val="001000000000" w:firstRow="0" w:lastRow="0" w:firstColumn="1" w:lastColumn="0" w:oddVBand="0" w:evenVBand="0" w:oddHBand="0" w:evenHBand="0" w:firstRowFirstColumn="0" w:firstRowLastColumn="0" w:lastRowFirstColumn="0" w:lastRowLastColumn="0"/>
            <w:tcW w:w="1018" w:type="dxa"/>
            <w:tcBorders>
              <w:top w:val="single" w:sz="4" w:space="0" w:color="2F5496" w:themeColor="accent1" w:themeShade="BF"/>
              <w:left w:val="single" w:sz="4" w:space="0" w:color="2F5496" w:themeColor="accent1" w:themeShade="BF"/>
              <w:bottom w:val="single" w:sz="4" w:space="0" w:color="2F5496" w:themeColor="accent1" w:themeShade="BF"/>
              <w:right w:val="nil"/>
            </w:tcBorders>
            <w:shd w:val="clear" w:color="auto" w:fill="FFFFFF" w:themeFill="background1"/>
            <w:vAlign w:val="center"/>
          </w:tcPr>
          <w:p w14:paraId="6DE318F2" w14:textId="77777777" w:rsidR="00DF575C" w:rsidRPr="00DF575C" w:rsidRDefault="00DF575C" w:rsidP="00DF575C">
            <w:r w:rsidRPr="00DF575C">
              <w:t>NES 10</w:t>
            </w:r>
          </w:p>
        </w:tc>
        <w:tc>
          <w:tcPr>
            <w:tcW w:w="258" w:type="dxa"/>
            <w:tcBorders>
              <w:top w:val="single" w:sz="4" w:space="0" w:color="2F5496" w:themeColor="accent1" w:themeShade="BF"/>
              <w:left w:val="nil"/>
              <w:bottom w:val="single" w:sz="4" w:space="0" w:color="2F5496" w:themeColor="accent1" w:themeShade="BF"/>
              <w:right w:val="nil"/>
            </w:tcBorders>
            <w:shd w:val="clear" w:color="auto" w:fill="FFFFFF" w:themeFill="background1"/>
            <w:vAlign w:val="center"/>
          </w:tcPr>
          <w:p w14:paraId="3C40F2E7" w14:textId="77777777" w:rsidR="00DF575C" w:rsidRPr="00DF575C" w:rsidRDefault="00DF575C" w:rsidP="00DF575C">
            <w:pPr>
              <w:cnfStyle w:val="000000000000" w:firstRow="0" w:lastRow="0" w:firstColumn="0" w:lastColumn="0" w:oddVBand="0" w:evenVBand="0" w:oddHBand="0" w:evenHBand="0" w:firstRowFirstColumn="0" w:firstRowLastColumn="0" w:lastRowFirstColumn="0" w:lastRowLastColumn="0"/>
            </w:pPr>
            <w:r w:rsidRPr="00DF575C">
              <w:t>:</w:t>
            </w:r>
          </w:p>
        </w:tc>
        <w:tc>
          <w:tcPr>
            <w:tcW w:w="6095" w:type="dxa"/>
            <w:tcBorders>
              <w:top w:val="single" w:sz="4" w:space="0" w:color="2F5496" w:themeColor="accent1" w:themeShade="BF"/>
              <w:left w:val="nil"/>
              <w:bottom w:val="single" w:sz="4" w:space="0" w:color="2F5496" w:themeColor="accent1" w:themeShade="BF"/>
              <w:right w:val="single" w:sz="4" w:space="0" w:color="2F5496" w:themeColor="accent1" w:themeShade="BF"/>
            </w:tcBorders>
            <w:shd w:val="clear" w:color="auto" w:fill="FFFFFF" w:themeFill="background1"/>
            <w:vAlign w:val="center"/>
          </w:tcPr>
          <w:p w14:paraId="22B34C7B" w14:textId="77777777" w:rsidR="00DF575C" w:rsidRPr="00DF575C" w:rsidRDefault="00DF575C" w:rsidP="00DF575C">
            <w:pPr>
              <w:cnfStyle w:val="000000000000" w:firstRow="0" w:lastRow="0" w:firstColumn="0" w:lastColumn="0" w:oddVBand="0" w:evenVBand="0" w:oddHBand="0" w:evenHBand="0" w:firstRowFirstColumn="0" w:firstRowLastColumn="0" w:lastRowFirstColumn="0" w:lastRowLastColumn="0"/>
            </w:pPr>
            <w:r w:rsidRPr="00DF575C">
              <w:t>Stakeholder engagement and information</w:t>
            </w:r>
          </w:p>
        </w:tc>
        <w:tc>
          <w:tcPr>
            <w:tcW w:w="198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vAlign w:val="center"/>
          </w:tcPr>
          <w:p w14:paraId="5389C5E0" w14:textId="77777777" w:rsidR="00DF575C" w:rsidRPr="00DF575C" w:rsidRDefault="00DF575C" w:rsidP="00DF575C">
            <w:pPr>
              <w:cnfStyle w:val="000000000000" w:firstRow="0" w:lastRow="0" w:firstColumn="0" w:lastColumn="0" w:oddVBand="0" w:evenVBand="0" w:oddHBand="0" w:evenHBand="0" w:firstRowFirstColumn="0" w:firstRowLastColumn="0" w:lastRowFirstColumn="0" w:lastRowLastColumn="0"/>
            </w:pPr>
            <w:r w:rsidRPr="00DF575C">
              <w:t>Relevant</w:t>
            </w:r>
          </w:p>
        </w:tc>
      </w:tr>
    </w:tbl>
    <w:p w14:paraId="2A4ABACE" w14:textId="77777777" w:rsidR="00DF575C" w:rsidRPr="001342EC" w:rsidRDefault="00DF575C" w:rsidP="00DF575C">
      <w:pPr>
        <w:rPr>
          <w:b/>
          <w:i/>
        </w:rPr>
      </w:pPr>
      <w:r w:rsidRPr="001342EC">
        <w:rPr>
          <w:b/>
          <w:i/>
        </w:rPr>
        <w:t>Comparative analysis</w:t>
      </w:r>
    </w:p>
    <w:p w14:paraId="0FED3F4A" w14:textId="3F87ECE2" w:rsidR="00DF575C" w:rsidRPr="00D42025" w:rsidRDefault="00DF575C" w:rsidP="00DF575C">
      <w:pPr>
        <w:rPr>
          <w:lang w:val="en-US"/>
        </w:rPr>
      </w:pPr>
      <w:r w:rsidRPr="00D42025">
        <w:rPr>
          <w:lang w:val="en-US"/>
        </w:rPr>
        <w:lastRenderedPageBreak/>
        <w:t>Based on the comparative analysis of the two normative frameworks, it appeared that the World Bank's ESS are more explicit. It is therefore appropriate within the framework of the PCM</w:t>
      </w:r>
      <w:r w:rsidR="001342EC" w:rsidRPr="00D42025">
        <w:rPr>
          <w:lang w:val="en-US"/>
        </w:rPr>
        <w:t>CI</w:t>
      </w:r>
      <w:r w:rsidRPr="00D42025">
        <w:rPr>
          <w:lang w:val="en-US"/>
        </w:rPr>
        <w:t xml:space="preserve"> to use the classification and procedure recommended by the WB.</w:t>
      </w:r>
    </w:p>
    <w:p w14:paraId="1BA1B42E" w14:textId="77777777" w:rsidR="00DF575C" w:rsidRPr="00D42025" w:rsidRDefault="00DF575C" w:rsidP="00DF575C">
      <w:pPr>
        <w:rPr>
          <w:b/>
          <w:i/>
          <w:lang w:val="en-US"/>
        </w:rPr>
      </w:pPr>
      <w:r w:rsidRPr="00D42025">
        <w:rPr>
          <w:b/>
          <w:i/>
          <w:lang w:val="en-US"/>
        </w:rPr>
        <w:t>Institutional arrangements</w:t>
      </w:r>
    </w:p>
    <w:p w14:paraId="258A0854" w14:textId="1D9305BB" w:rsidR="00DF575C" w:rsidRPr="00D42025" w:rsidRDefault="00DF575C" w:rsidP="00DF575C">
      <w:pPr>
        <w:rPr>
          <w:lang w:val="en-US"/>
        </w:rPr>
      </w:pPr>
      <w:r w:rsidRPr="00D42025">
        <w:rPr>
          <w:lang w:val="en-US"/>
        </w:rPr>
        <w:t xml:space="preserve">The institutional arrangements for the implementation of the </w:t>
      </w:r>
      <w:r w:rsidR="001342EC" w:rsidRPr="00D42025">
        <w:rPr>
          <w:lang w:val="en-US"/>
        </w:rPr>
        <w:t>PCMCI</w:t>
      </w:r>
      <w:r w:rsidRPr="00D42025">
        <w:rPr>
          <w:lang w:val="en-US"/>
        </w:rPr>
        <w:t xml:space="preserve"> are as </w:t>
      </w:r>
      <w:r w:rsidR="001342EC" w:rsidRPr="00D42025">
        <w:rPr>
          <w:lang w:val="en-US"/>
        </w:rPr>
        <w:t>follows :</w:t>
      </w:r>
    </w:p>
    <w:p w14:paraId="3B6E3A29" w14:textId="77777777" w:rsidR="00DF575C" w:rsidRPr="00D42025" w:rsidRDefault="00DF575C" w:rsidP="00DF575C">
      <w:pPr>
        <w:rPr>
          <w:b/>
          <w:i/>
          <w:lang w:val="en-US"/>
        </w:rPr>
      </w:pPr>
      <w:r w:rsidRPr="00D42025">
        <w:rPr>
          <w:b/>
          <w:i/>
          <w:lang w:val="en-US"/>
        </w:rPr>
        <w:t>The Project owner</w:t>
      </w:r>
    </w:p>
    <w:p w14:paraId="0EBA00DA" w14:textId="77777777" w:rsidR="00DF575C" w:rsidRPr="00D42025" w:rsidRDefault="00DF575C" w:rsidP="00DF575C">
      <w:pPr>
        <w:rPr>
          <w:lang w:val="en-US"/>
        </w:rPr>
      </w:pPr>
      <w:r w:rsidRPr="00D42025">
        <w:rPr>
          <w:lang w:val="en-US"/>
        </w:rPr>
        <w:t>Project management is the responsibility of the sovereign functions of the Ministry of Public Works (MTP), the ministry responsible for the Project.</w:t>
      </w:r>
    </w:p>
    <w:p w14:paraId="10BF6964" w14:textId="77777777" w:rsidR="00DF575C" w:rsidRPr="00D42025" w:rsidRDefault="00DF575C" w:rsidP="00DF575C">
      <w:pPr>
        <w:rPr>
          <w:b/>
          <w:i/>
          <w:lang w:val="en-US"/>
        </w:rPr>
      </w:pPr>
      <w:r w:rsidRPr="00D42025">
        <w:rPr>
          <w:b/>
          <w:i/>
          <w:lang w:val="en-US"/>
        </w:rPr>
        <w:t>The Delegated Contracting Authority (MOD)</w:t>
      </w:r>
    </w:p>
    <w:p w14:paraId="32E60506" w14:textId="4ED374DB" w:rsidR="00301790" w:rsidRPr="00D42025" w:rsidRDefault="00301790" w:rsidP="00301790">
      <w:pPr>
        <w:rPr>
          <w:color w:val="auto"/>
          <w:lang w:val="en-US"/>
        </w:rPr>
      </w:pPr>
      <w:r w:rsidRPr="00D42025">
        <w:rPr>
          <w:color w:val="auto"/>
          <w:lang w:val="en-US"/>
        </w:rPr>
        <w:t>For the PCMCI project, the role of delegated project management (MOD) of road works is carried out by the Road Agency. Butt, the CERC component of the PCMCI will have the UCP/</w:t>
      </w:r>
      <w:r w:rsidR="00B11368" w:rsidRPr="00D42025">
        <w:rPr>
          <w:color w:val="auto"/>
          <w:lang w:val="en-US"/>
        </w:rPr>
        <w:t>CERC-PCMCI</w:t>
      </w:r>
      <w:r w:rsidRPr="00D42025">
        <w:rPr>
          <w:color w:val="auto"/>
          <w:lang w:val="en-US"/>
        </w:rPr>
        <w:t xml:space="preserve"> as MOD</w:t>
      </w:r>
    </w:p>
    <w:p w14:paraId="5CA40449" w14:textId="77777777" w:rsidR="00DF575C" w:rsidRPr="00D42025" w:rsidRDefault="00DF575C" w:rsidP="00DF575C">
      <w:pPr>
        <w:rPr>
          <w:b/>
          <w:i/>
          <w:lang w:val="en-US"/>
        </w:rPr>
      </w:pPr>
      <w:r w:rsidRPr="00D42025">
        <w:rPr>
          <w:b/>
          <w:i/>
          <w:lang w:val="en-US"/>
        </w:rPr>
        <w:t xml:space="preserve">The Project Manager </w:t>
      </w:r>
    </w:p>
    <w:p w14:paraId="1B4541F5" w14:textId="2136D3D2" w:rsidR="00DF575C" w:rsidRPr="00D42025" w:rsidRDefault="00301790" w:rsidP="00DF575C">
      <w:pPr>
        <w:rPr>
          <w:color w:val="auto"/>
          <w:lang w:val="en-US"/>
        </w:rPr>
      </w:pPr>
      <w:r w:rsidRPr="00D42025">
        <w:rPr>
          <w:color w:val="auto"/>
          <w:lang w:val="en-US"/>
        </w:rPr>
        <w:t>Likewise, the Engineer responsible for project monitoring comes from the AR for component 1 of the PCMCI, and from the UCP/</w:t>
      </w:r>
      <w:r w:rsidR="00B11368" w:rsidRPr="00D42025">
        <w:rPr>
          <w:color w:val="auto"/>
          <w:lang w:val="en-US"/>
        </w:rPr>
        <w:t>CERC-PCMCI</w:t>
      </w:r>
      <w:r w:rsidRPr="00D42025">
        <w:rPr>
          <w:color w:val="auto"/>
          <w:lang w:val="en-US"/>
        </w:rPr>
        <w:t xml:space="preserve"> for component 4 or CERC / PCMCI component of the Project.</w:t>
      </w:r>
    </w:p>
    <w:p w14:paraId="4B001AE3" w14:textId="77777777" w:rsidR="00DF575C" w:rsidRPr="00D42025" w:rsidRDefault="00DF575C" w:rsidP="00DF575C">
      <w:pPr>
        <w:rPr>
          <w:b/>
          <w:i/>
          <w:lang w:val="en-US"/>
        </w:rPr>
      </w:pPr>
      <w:r w:rsidRPr="00D42025">
        <w:rPr>
          <w:b/>
          <w:i/>
          <w:lang w:val="en-US"/>
        </w:rPr>
        <w:t>Technical Contractor (MOeT)</w:t>
      </w:r>
    </w:p>
    <w:p w14:paraId="5E1449DC" w14:textId="77777777" w:rsidR="00DF575C" w:rsidRPr="00D42025" w:rsidRDefault="00DF575C" w:rsidP="00DF575C">
      <w:pPr>
        <w:rPr>
          <w:lang w:val="en-US"/>
        </w:rPr>
      </w:pPr>
      <w:r w:rsidRPr="00D42025">
        <w:rPr>
          <w:lang w:val="en-US"/>
        </w:rPr>
        <w:t xml:space="preserve">The prime Contractor will be the entity selected to monitor the completion the works until completion, under the conditions of deadlines, quality and cost set by the latter and in accordance with the works contract. It is the design office that will be responsible for carrying out the control and supervision of the works, the monitoring of deadlines and budgets according to the terms defined in its contract. </w:t>
      </w:r>
    </w:p>
    <w:p w14:paraId="4B625D21" w14:textId="77777777" w:rsidR="00DF575C" w:rsidRPr="00D42025" w:rsidRDefault="00DF575C" w:rsidP="00DF575C">
      <w:pPr>
        <w:rPr>
          <w:b/>
          <w:i/>
          <w:lang w:val="en-US"/>
        </w:rPr>
      </w:pPr>
      <w:r w:rsidRPr="00D42025">
        <w:rPr>
          <w:b/>
          <w:i/>
          <w:lang w:val="en-US"/>
        </w:rPr>
        <w:t>Local authorities</w:t>
      </w:r>
    </w:p>
    <w:p w14:paraId="179B9D86" w14:textId="4FE89C5D" w:rsidR="00DF575C" w:rsidRPr="00D42025" w:rsidRDefault="00DF575C" w:rsidP="00DF575C">
      <w:pPr>
        <w:rPr>
          <w:lang w:val="en-US"/>
        </w:rPr>
      </w:pPr>
      <w:r w:rsidRPr="00D42025">
        <w:rPr>
          <w:color w:val="auto"/>
          <w:lang w:val="en-US"/>
        </w:rPr>
        <w:t xml:space="preserve">These are the authorities </w:t>
      </w:r>
      <w:r w:rsidR="00301790" w:rsidRPr="00D42025">
        <w:rPr>
          <w:color w:val="auto"/>
          <w:lang w:val="en-US"/>
        </w:rPr>
        <w:t>in the Boeny, Sofia</w:t>
      </w:r>
      <w:r w:rsidR="00A67651" w:rsidRPr="00D42025">
        <w:rPr>
          <w:color w:val="auto"/>
          <w:lang w:val="en-US"/>
        </w:rPr>
        <w:t>,</w:t>
      </w:r>
      <w:r w:rsidR="00301790" w:rsidRPr="00D42025">
        <w:rPr>
          <w:color w:val="auto"/>
          <w:lang w:val="en-US"/>
        </w:rPr>
        <w:t>DIANA</w:t>
      </w:r>
      <w:r w:rsidR="00A67651" w:rsidRPr="00D42025">
        <w:rPr>
          <w:color w:val="auto"/>
          <w:lang w:val="en-US"/>
        </w:rPr>
        <w:t>, ALAOTRA MANGORO, ATSINANANA, AMORON’I MANIA, ATSIMO ANDREFANA,</w:t>
      </w:r>
      <w:r w:rsidR="00301790" w:rsidRPr="00D42025">
        <w:rPr>
          <w:color w:val="auto"/>
          <w:lang w:val="en-US"/>
        </w:rPr>
        <w:t xml:space="preserve"> regions for for projects on the CERC component, namely the repair of RNP 4</w:t>
      </w:r>
      <w:r w:rsidR="00A67651" w:rsidRPr="00D42025">
        <w:rPr>
          <w:color w:val="auto"/>
          <w:lang w:val="en-US"/>
        </w:rPr>
        <w:t>,</w:t>
      </w:r>
      <w:r w:rsidR="004A20C3">
        <w:rPr>
          <w:color w:val="auto"/>
          <w:lang w:val="en-US"/>
        </w:rPr>
        <w:t xml:space="preserve"> </w:t>
      </w:r>
      <w:r w:rsidR="00301790" w:rsidRPr="00D42025">
        <w:rPr>
          <w:color w:val="auto"/>
          <w:lang w:val="en-US"/>
        </w:rPr>
        <w:t>RNP 6</w:t>
      </w:r>
      <w:r w:rsidR="00A67651" w:rsidRPr="00D42025">
        <w:rPr>
          <w:color w:val="auto"/>
          <w:lang w:val="en-US"/>
        </w:rPr>
        <w:t>, RNP7, RNS30, RNS44</w:t>
      </w:r>
      <w:r w:rsidR="003F004D" w:rsidRPr="00D42025">
        <w:rPr>
          <w:color w:val="auto"/>
          <w:lang w:val="en-US"/>
        </w:rPr>
        <w:t>, RNT3A</w:t>
      </w:r>
      <w:r w:rsidR="00A67651" w:rsidRPr="00D42025">
        <w:rPr>
          <w:color w:val="auto"/>
          <w:lang w:val="en-US"/>
        </w:rPr>
        <w:t xml:space="preserve"> and the paved access road to Ambila,</w:t>
      </w:r>
      <w:r w:rsidR="00301790" w:rsidRPr="00D42025">
        <w:rPr>
          <w:color w:val="auto"/>
          <w:lang w:val="en-US"/>
        </w:rPr>
        <w:t>the rehabilitation of the port of Mahajanga</w:t>
      </w:r>
      <w:r w:rsidR="00A67651" w:rsidRPr="00D42025">
        <w:rPr>
          <w:color w:val="auto"/>
          <w:lang w:val="en-US"/>
        </w:rPr>
        <w:t xml:space="preserve"> and the rehabilitation of Ratsimilaho Boulevard in Toamasina</w:t>
      </w:r>
      <w:r w:rsidR="00301790" w:rsidRPr="00D42025">
        <w:rPr>
          <w:color w:val="auto"/>
          <w:lang w:val="en-US"/>
        </w:rPr>
        <w:t>.</w:t>
      </w:r>
      <w:r w:rsidRPr="00D42025">
        <w:rPr>
          <w:color w:val="auto"/>
          <w:lang w:val="en-US"/>
        </w:rPr>
        <w:t xml:space="preserve"> </w:t>
      </w:r>
      <w:r w:rsidRPr="00D42025">
        <w:rPr>
          <w:lang w:val="en-US"/>
        </w:rPr>
        <w:t>They have the right to monitor compliance with the principles to which the Project adheres and to monitor the implementation of the Environmental and Social Management Plan. They also play a role in the Grievance Redress Mechanism.</w:t>
      </w:r>
    </w:p>
    <w:p w14:paraId="47F6CBAF" w14:textId="77777777" w:rsidR="00DF575C" w:rsidRPr="00D42025" w:rsidRDefault="00DF575C" w:rsidP="00DF575C">
      <w:pPr>
        <w:rPr>
          <w:b/>
          <w:i/>
          <w:lang w:val="en-US"/>
        </w:rPr>
      </w:pPr>
      <w:r w:rsidRPr="00D42025">
        <w:rPr>
          <w:b/>
          <w:i/>
          <w:lang w:val="en-US"/>
        </w:rPr>
        <w:t>The work contractants</w:t>
      </w:r>
    </w:p>
    <w:p w14:paraId="61F0E6A4" w14:textId="61A1B083" w:rsidR="00DF575C" w:rsidRPr="00D42025" w:rsidRDefault="00DF575C" w:rsidP="00DF575C">
      <w:pPr>
        <w:rPr>
          <w:lang w:val="en-US"/>
        </w:rPr>
      </w:pPr>
      <w:r w:rsidRPr="00D42025">
        <w:rPr>
          <w:lang w:val="en-US"/>
        </w:rPr>
        <w:t xml:space="preserve">The implementation of most of the environmental and social measures that will be associated with the </w:t>
      </w:r>
      <w:r w:rsidR="001342EC" w:rsidRPr="00D42025">
        <w:rPr>
          <w:lang w:val="en-US"/>
        </w:rPr>
        <w:t>PCMCI</w:t>
      </w:r>
      <w:r w:rsidR="00301790" w:rsidRPr="00D42025">
        <w:rPr>
          <w:lang w:val="en-US"/>
        </w:rPr>
        <w:t>/CERC</w:t>
      </w:r>
      <w:r w:rsidRPr="00D42025">
        <w:rPr>
          <w:lang w:val="en-US"/>
        </w:rPr>
        <w:t xml:space="preserve"> will be the responsibility of the construction companies, in particular through the implementation of the requirements of the safeguard documents.</w:t>
      </w:r>
    </w:p>
    <w:p w14:paraId="71CD1B42" w14:textId="77777777" w:rsidR="00DF575C" w:rsidRPr="00D42025" w:rsidRDefault="00DF575C" w:rsidP="00DF575C">
      <w:pPr>
        <w:rPr>
          <w:b/>
          <w:i/>
          <w:lang w:val="en-US"/>
        </w:rPr>
      </w:pPr>
      <w:r w:rsidRPr="00D42025">
        <w:rPr>
          <w:b/>
          <w:i/>
          <w:lang w:val="en-US"/>
        </w:rPr>
        <w:t>The Institutional and Social Project Manager (MOIS)</w:t>
      </w:r>
    </w:p>
    <w:p w14:paraId="649BB294" w14:textId="77777777" w:rsidR="00DF575C" w:rsidRPr="00D42025" w:rsidRDefault="00DF575C" w:rsidP="00DF575C">
      <w:pPr>
        <w:rPr>
          <w:lang w:val="en-US"/>
        </w:rPr>
      </w:pPr>
      <w:r w:rsidRPr="00D42025">
        <w:rPr>
          <w:lang w:val="en-US"/>
        </w:rPr>
        <w:lastRenderedPageBreak/>
        <w:t>It will be a consulting firm or an NGO which role will be to facilitate the progress of work on sectors where they have a significant social impact, with disruption and temporary or permanent displacement of households and activities that will require information, negotiation, support throughout the site so that it takes place in the best conditions.</w:t>
      </w:r>
    </w:p>
    <w:p w14:paraId="441EBE7E" w14:textId="77777777" w:rsidR="00DF575C" w:rsidRPr="00D42025" w:rsidRDefault="00DF575C" w:rsidP="00DF575C">
      <w:pPr>
        <w:rPr>
          <w:b/>
          <w:i/>
          <w:lang w:val="en-US"/>
        </w:rPr>
      </w:pPr>
      <w:r w:rsidRPr="00D42025">
        <w:rPr>
          <w:b/>
          <w:i/>
          <w:lang w:val="en-US"/>
        </w:rPr>
        <w:t>The Support Entity for GBV Prevention and Control</w:t>
      </w:r>
    </w:p>
    <w:p w14:paraId="6A7EC2BC" w14:textId="77777777" w:rsidR="00DF575C" w:rsidRPr="00D42025" w:rsidRDefault="00DF575C" w:rsidP="00DF575C">
      <w:pPr>
        <w:rPr>
          <w:lang w:val="en-US"/>
        </w:rPr>
      </w:pPr>
      <w:r w:rsidRPr="00D42025">
        <w:rPr>
          <w:lang w:val="en-US"/>
        </w:rPr>
        <w:t>The Project will hire an entity specialized in GBV prevention and control.</w:t>
      </w:r>
    </w:p>
    <w:p w14:paraId="1C0193C5" w14:textId="1CB6646E" w:rsidR="00DF575C" w:rsidRPr="00D42025" w:rsidRDefault="003848EF" w:rsidP="00DF575C">
      <w:pPr>
        <w:rPr>
          <w:b/>
          <w:lang w:val="en-US"/>
        </w:rPr>
      </w:pPr>
      <w:r w:rsidRPr="00D42025">
        <w:rPr>
          <w:b/>
          <w:lang w:val="en-US"/>
        </w:rPr>
        <w:t>TYPICAL IMPACTS</w:t>
      </w:r>
    </w:p>
    <w:p w14:paraId="038EAE82" w14:textId="77777777" w:rsidR="00DF575C" w:rsidRPr="00D42025" w:rsidRDefault="00DF575C" w:rsidP="00DF575C">
      <w:pPr>
        <w:rPr>
          <w:b/>
          <w:i/>
          <w:lang w:val="en-US"/>
        </w:rPr>
      </w:pPr>
      <w:r w:rsidRPr="00D42025">
        <w:rPr>
          <w:b/>
          <w:i/>
          <w:lang w:val="en-US"/>
        </w:rPr>
        <w:t>Expected beneficial impacts of the Project</w:t>
      </w:r>
    </w:p>
    <w:p w14:paraId="13C95EB6" w14:textId="19E2974C" w:rsidR="00DF575C" w:rsidRPr="00D42025" w:rsidRDefault="00DF575C" w:rsidP="00DF575C">
      <w:pPr>
        <w:rPr>
          <w:lang w:val="en-US"/>
        </w:rPr>
      </w:pPr>
      <w:r w:rsidRPr="00D42025">
        <w:rPr>
          <w:lang w:val="en-US"/>
        </w:rPr>
        <w:t xml:space="preserve">The expected benefits of this Program are </w:t>
      </w:r>
      <w:r w:rsidR="003848EF" w:rsidRPr="00D42025">
        <w:rPr>
          <w:lang w:val="en-US"/>
        </w:rPr>
        <w:t>multiple :</w:t>
      </w:r>
    </w:p>
    <w:p w14:paraId="2F432969" w14:textId="77777777" w:rsidR="00DF575C" w:rsidRPr="00D42025" w:rsidRDefault="00DF575C" w:rsidP="00844538">
      <w:pPr>
        <w:pStyle w:val="ListParagraph"/>
        <w:numPr>
          <w:ilvl w:val="0"/>
          <w:numId w:val="168"/>
        </w:numPr>
        <w:rPr>
          <w:lang w:val="en-US"/>
        </w:rPr>
      </w:pPr>
      <w:r w:rsidRPr="00D42025">
        <w:rPr>
          <w:lang w:val="en-US"/>
        </w:rPr>
        <w:t>Creation of additional jobs and sources of income for workers’ households</w:t>
      </w:r>
    </w:p>
    <w:p w14:paraId="3E986AF3" w14:textId="77777777" w:rsidR="00DF575C" w:rsidRPr="00D42025" w:rsidRDefault="00DF575C" w:rsidP="00844538">
      <w:pPr>
        <w:pStyle w:val="ListParagraph"/>
        <w:numPr>
          <w:ilvl w:val="0"/>
          <w:numId w:val="168"/>
        </w:numPr>
        <w:rPr>
          <w:lang w:val="en-US"/>
        </w:rPr>
      </w:pPr>
      <w:r w:rsidRPr="00D42025">
        <w:rPr>
          <w:lang w:val="en-US"/>
        </w:rPr>
        <w:t>Improved Traffic flow in targeted areas</w:t>
      </w:r>
    </w:p>
    <w:p w14:paraId="784BC2E4" w14:textId="77777777" w:rsidR="00DF575C" w:rsidRPr="00D42025" w:rsidRDefault="00DF575C" w:rsidP="00844538">
      <w:pPr>
        <w:pStyle w:val="ListParagraph"/>
        <w:numPr>
          <w:ilvl w:val="0"/>
          <w:numId w:val="168"/>
        </w:numPr>
        <w:rPr>
          <w:lang w:val="en-US"/>
        </w:rPr>
      </w:pPr>
      <w:r w:rsidRPr="00D42025">
        <w:rPr>
          <w:lang w:val="en-US"/>
        </w:rPr>
        <w:t>Increased attractiveness of the concerned Regions and of the country as tourist destinations</w:t>
      </w:r>
    </w:p>
    <w:p w14:paraId="0D80A422" w14:textId="77777777" w:rsidR="00DF575C" w:rsidRPr="00D42025" w:rsidRDefault="00DF575C" w:rsidP="00844538">
      <w:pPr>
        <w:pStyle w:val="ListParagraph"/>
        <w:numPr>
          <w:ilvl w:val="0"/>
          <w:numId w:val="168"/>
        </w:numPr>
        <w:rPr>
          <w:lang w:val="en-US"/>
        </w:rPr>
      </w:pPr>
      <w:r w:rsidRPr="00D42025">
        <w:rPr>
          <w:lang w:val="en-US"/>
        </w:rPr>
        <w:t>Shortening of the travel time and subsequent time savings</w:t>
      </w:r>
    </w:p>
    <w:p w14:paraId="1B257735" w14:textId="77777777" w:rsidR="00DF575C" w:rsidRPr="00DF575C" w:rsidRDefault="00DF575C" w:rsidP="00844538">
      <w:pPr>
        <w:pStyle w:val="ListParagraph"/>
        <w:numPr>
          <w:ilvl w:val="0"/>
          <w:numId w:val="168"/>
        </w:numPr>
      </w:pPr>
      <w:r w:rsidRPr="00DF575C">
        <w:t>Reduced vehicle maintenance costs</w:t>
      </w:r>
    </w:p>
    <w:p w14:paraId="075AF157" w14:textId="77777777" w:rsidR="00DF575C" w:rsidRPr="00DF575C" w:rsidRDefault="00DF575C" w:rsidP="00844538">
      <w:pPr>
        <w:pStyle w:val="ListParagraph"/>
        <w:numPr>
          <w:ilvl w:val="0"/>
          <w:numId w:val="168"/>
        </w:numPr>
      </w:pPr>
      <w:r w:rsidRPr="00DF575C">
        <w:t>Stable motorized travel costs</w:t>
      </w:r>
    </w:p>
    <w:p w14:paraId="46E95C37" w14:textId="77777777" w:rsidR="00DF575C" w:rsidRPr="00DF575C" w:rsidRDefault="00DF575C" w:rsidP="00844538">
      <w:pPr>
        <w:pStyle w:val="ListParagraph"/>
        <w:numPr>
          <w:ilvl w:val="0"/>
          <w:numId w:val="168"/>
        </w:numPr>
      </w:pPr>
      <w:r w:rsidRPr="00DF575C">
        <w:t>Improving national trade</w:t>
      </w:r>
    </w:p>
    <w:p w14:paraId="01837A02" w14:textId="77777777" w:rsidR="00DF575C" w:rsidRPr="00D42025" w:rsidRDefault="00DF575C" w:rsidP="00844538">
      <w:pPr>
        <w:pStyle w:val="ListParagraph"/>
        <w:numPr>
          <w:ilvl w:val="0"/>
          <w:numId w:val="168"/>
        </w:numPr>
        <w:rPr>
          <w:lang w:val="en-US"/>
        </w:rPr>
      </w:pPr>
      <w:r w:rsidRPr="00D42025">
        <w:rPr>
          <w:lang w:val="en-US"/>
        </w:rPr>
        <w:t>Contribution to the improvement of users' living conditions</w:t>
      </w:r>
    </w:p>
    <w:p w14:paraId="2BEC51E7" w14:textId="77777777" w:rsidR="00DF575C" w:rsidRPr="00D42025" w:rsidRDefault="00DF575C" w:rsidP="00844538">
      <w:pPr>
        <w:pStyle w:val="ListParagraph"/>
        <w:numPr>
          <w:ilvl w:val="0"/>
          <w:numId w:val="168"/>
        </w:numPr>
        <w:rPr>
          <w:lang w:val="en-US"/>
        </w:rPr>
      </w:pPr>
      <w:r w:rsidRPr="00D42025">
        <w:rPr>
          <w:lang w:val="en-US"/>
        </w:rPr>
        <w:t>Contribution to the improvement of relations between populations of the various Regions because the opportunities for meetings will be more frequent</w:t>
      </w:r>
    </w:p>
    <w:p w14:paraId="240EE715" w14:textId="77777777" w:rsidR="00DF575C" w:rsidRPr="00D42025" w:rsidRDefault="00DF575C" w:rsidP="00844538">
      <w:pPr>
        <w:pStyle w:val="ListParagraph"/>
        <w:numPr>
          <w:ilvl w:val="0"/>
          <w:numId w:val="168"/>
        </w:numPr>
        <w:rPr>
          <w:lang w:val="en-US"/>
        </w:rPr>
      </w:pPr>
      <w:r w:rsidRPr="00D42025">
        <w:rPr>
          <w:lang w:val="en-US"/>
        </w:rPr>
        <w:t>The rehabilitation of RN will facilitate the access of populations to the main administrative, economic, medical and school centers, and will also develop exchanges</w:t>
      </w:r>
    </w:p>
    <w:p w14:paraId="6AC3DFA3" w14:textId="77777777" w:rsidR="00DF575C" w:rsidRPr="00D42025" w:rsidRDefault="00DF575C" w:rsidP="00844538">
      <w:pPr>
        <w:pStyle w:val="ListParagraph"/>
        <w:numPr>
          <w:ilvl w:val="0"/>
          <w:numId w:val="168"/>
        </w:numPr>
        <w:rPr>
          <w:lang w:val="en-US"/>
        </w:rPr>
      </w:pPr>
      <w:r w:rsidRPr="00D42025">
        <w:rPr>
          <w:lang w:val="en-US"/>
        </w:rPr>
        <w:t>Improvement of the safety of property and people</w:t>
      </w:r>
    </w:p>
    <w:p w14:paraId="776771F3" w14:textId="12FD8B80" w:rsidR="00DF575C" w:rsidRPr="00D42025" w:rsidRDefault="00DF575C" w:rsidP="00844538">
      <w:pPr>
        <w:pStyle w:val="ListParagraph"/>
        <w:numPr>
          <w:ilvl w:val="0"/>
          <w:numId w:val="168"/>
        </w:numPr>
        <w:rPr>
          <w:lang w:val="en-US"/>
        </w:rPr>
      </w:pPr>
      <w:r w:rsidRPr="00D42025">
        <w:rPr>
          <w:lang w:val="en-US"/>
        </w:rPr>
        <w:t>Opening up of the areas served.</w:t>
      </w:r>
    </w:p>
    <w:p w14:paraId="23DD7549" w14:textId="1A46C79C" w:rsidR="00301790" w:rsidRPr="00D42025" w:rsidRDefault="00301790" w:rsidP="00844538">
      <w:pPr>
        <w:pStyle w:val="ListParagraph"/>
        <w:numPr>
          <w:ilvl w:val="0"/>
          <w:numId w:val="168"/>
        </w:numPr>
        <w:rPr>
          <w:lang w:val="en-US"/>
        </w:rPr>
      </w:pPr>
      <w:r w:rsidRPr="00D42025">
        <w:rPr>
          <w:color w:val="auto"/>
          <w:lang w:val="en-US"/>
        </w:rPr>
        <w:t>Compliance of port operating conditions with operating standards and avoidance of any harbour operation risk.</w:t>
      </w:r>
    </w:p>
    <w:p w14:paraId="568B77DA" w14:textId="77777777" w:rsidR="00DF575C" w:rsidRPr="00D42025" w:rsidRDefault="00DF575C" w:rsidP="00DF575C">
      <w:pPr>
        <w:rPr>
          <w:lang w:val="en-US"/>
        </w:rPr>
      </w:pPr>
      <w:r w:rsidRPr="00D42025">
        <w:rPr>
          <w:lang w:val="en-US"/>
        </w:rPr>
        <w:t>In short, the proposed work will have a positive impact on the local, regional and national economy.</w:t>
      </w:r>
    </w:p>
    <w:p w14:paraId="3F81DAB6" w14:textId="77777777" w:rsidR="00DF575C" w:rsidRPr="00D42025" w:rsidRDefault="00DF575C" w:rsidP="00DF575C">
      <w:pPr>
        <w:rPr>
          <w:b/>
          <w:i/>
          <w:lang w:val="en-US"/>
        </w:rPr>
      </w:pPr>
      <w:r w:rsidRPr="00D42025">
        <w:rPr>
          <w:b/>
          <w:i/>
          <w:lang w:val="en-US"/>
        </w:rPr>
        <w:t xml:space="preserve">Types of possible negative impacts </w:t>
      </w:r>
    </w:p>
    <w:p w14:paraId="73B03CE6" w14:textId="08DEC159" w:rsidR="00DF575C" w:rsidRPr="00DF575C" w:rsidRDefault="00DF575C" w:rsidP="00DF575C">
      <w:r w:rsidRPr="00D42025">
        <w:rPr>
          <w:lang w:val="en-US"/>
        </w:rPr>
        <w:t xml:space="preserve">Despite all the expected beneficial impacts, negative impacts can also occur. </w:t>
      </w:r>
      <w:r w:rsidRPr="00DF575C">
        <w:t xml:space="preserve">They relate to the following </w:t>
      </w:r>
      <w:r w:rsidR="003848EF" w:rsidRPr="00DF575C">
        <w:t>aspects :</w:t>
      </w:r>
    </w:p>
    <w:p w14:paraId="4B1D3A04" w14:textId="77777777" w:rsidR="00DF575C" w:rsidRPr="00D42025" w:rsidRDefault="00DF575C" w:rsidP="00844538">
      <w:pPr>
        <w:pStyle w:val="ListParagraph"/>
        <w:numPr>
          <w:ilvl w:val="0"/>
          <w:numId w:val="169"/>
        </w:numPr>
        <w:rPr>
          <w:lang w:val="en-US"/>
        </w:rPr>
      </w:pPr>
      <w:r w:rsidRPr="00D42025">
        <w:rPr>
          <w:lang w:val="en-US"/>
        </w:rPr>
        <w:t>Possible temporary losses of sources of income or activities related to the release of roads’ rights-of-way.</w:t>
      </w:r>
    </w:p>
    <w:p w14:paraId="3B478C09" w14:textId="77777777" w:rsidR="00DF575C" w:rsidRPr="00D42025" w:rsidRDefault="00DF575C" w:rsidP="00844538">
      <w:pPr>
        <w:pStyle w:val="ListParagraph"/>
        <w:numPr>
          <w:ilvl w:val="0"/>
          <w:numId w:val="169"/>
        </w:numPr>
        <w:rPr>
          <w:lang w:val="en-US"/>
        </w:rPr>
      </w:pPr>
      <w:r w:rsidRPr="00D42025">
        <w:rPr>
          <w:lang w:val="en-US"/>
        </w:rPr>
        <w:t>Disturbances related to temporary occupations of portions of land related to possible diversions during the civil work.</w:t>
      </w:r>
    </w:p>
    <w:p w14:paraId="42D41447" w14:textId="77777777" w:rsidR="00DF575C" w:rsidRPr="00D42025" w:rsidRDefault="00DF575C" w:rsidP="00844538">
      <w:pPr>
        <w:pStyle w:val="ListParagraph"/>
        <w:numPr>
          <w:ilvl w:val="0"/>
          <w:numId w:val="169"/>
        </w:numPr>
        <w:rPr>
          <w:lang w:val="en-US"/>
        </w:rPr>
      </w:pPr>
      <w:r w:rsidRPr="00D42025">
        <w:rPr>
          <w:lang w:val="en-US"/>
        </w:rPr>
        <w:t>Various pollutions related to the machinery and equipment used.</w:t>
      </w:r>
    </w:p>
    <w:p w14:paraId="5D1ACDEB" w14:textId="77777777" w:rsidR="00DF575C" w:rsidRPr="00D42025" w:rsidRDefault="00DF575C" w:rsidP="00844538">
      <w:pPr>
        <w:pStyle w:val="ListParagraph"/>
        <w:numPr>
          <w:ilvl w:val="0"/>
          <w:numId w:val="169"/>
        </w:numPr>
        <w:rPr>
          <w:lang w:val="en-US"/>
        </w:rPr>
      </w:pPr>
      <w:r w:rsidRPr="00D42025">
        <w:rPr>
          <w:lang w:val="en-US"/>
        </w:rPr>
        <w:t>Risks related to labor influx.</w:t>
      </w:r>
    </w:p>
    <w:p w14:paraId="685AA050" w14:textId="77777777" w:rsidR="00DF575C" w:rsidRPr="00DF575C" w:rsidRDefault="00DF575C" w:rsidP="00844538">
      <w:pPr>
        <w:pStyle w:val="ListParagraph"/>
        <w:numPr>
          <w:ilvl w:val="0"/>
          <w:numId w:val="169"/>
        </w:numPr>
      </w:pPr>
      <w:r w:rsidRPr="00DF575C">
        <w:t>Occupational safety.</w:t>
      </w:r>
    </w:p>
    <w:p w14:paraId="77C50523" w14:textId="77777777" w:rsidR="00DF575C" w:rsidRPr="00D42025" w:rsidRDefault="00DF575C" w:rsidP="00844538">
      <w:pPr>
        <w:pStyle w:val="ListParagraph"/>
        <w:numPr>
          <w:ilvl w:val="0"/>
          <w:numId w:val="169"/>
        </w:numPr>
        <w:rPr>
          <w:lang w:val="en-US"/>
        </w:rPr>
      </w:pPr>
      <w:r w:rsidRPr="00D42025">
        <w:rPr>
          <w:lang w:val="en-US"/>
        </w:rPr>
        <w:t>Various disruptions to the daily life of the population.</w:t>
      </w:r>
    </w:p>
    <w:p w14:paraId="5C62F504" w14:textId="77777777" w:rsidR="00DF575C" w:rsidRPr="00DF575C" w:rsidRDefault="00DF575C" w:rsidP="00844538">
      <w:pPr>
        <w:pStyle w:val="ListParagraph"/>
        <w:numPr>
          <w:ilvl w:val="0"/>
          <w:numId w:val="169"/>
        </w:numPr>
      </w:pPr>
      <w:r w:rsidRPr="00DF575C">
        <w:t>Risks of social conflicts.</w:t>
      </w:r>
    </w:p>
    <w:p w14:paraId="5B5E8A78" w14:textId="77777777" w:rsidR="00DF575C" w:rsidRPr="00D42025" w:rsidRDefault="00DF575C" w:rsidP="00844538">
      <w:pPr>
        <w:pStyle w:val="ListParagraph"/>
        <w:numPr>
          <w:ilvl w:val="0"/>
          <w:numId w:val="169"/>
        </w:numPr>
        <w:rPr>
          <w:lang w:val="en-US"/>
        </w:rPr>
      </w:pPr>
      <w:r w:rsidRPr="00D42025">
        <w:rPr>
          <w:lang w:val="en-US"/>
        </w:rPr>
        <w:t>Acts of gender-based violence as a result of the labor influx from other regions.</w:t>
      </w:r>
    </w:p>
    <w:p w14:paraId="54F30CA3" w14:textId="77777777" w:rsidR="00DF575C" w:rsidRPr="00DF575C" w:rsidRDefault="00DF575C" w:rsidP="00844538">
      <w:pPr>
        <w:pStyle w:val="ListParagraph"/>
        <w:numPr>
          <w:ilvl w:val="0"/>
          <w:numId w:val="169"/>
        </w:numPr>
      </w:pPr>
      <w:r w:rsidRPr="00DF575C">
        <w:t>Road safety risks.</w:t>
      </w:r>
    </w:p>
    <w:p w14:paraId="0B38AA66" w14:textId="77777777" w:rsidR="00DF575C" w:rsidRPr="00D42025" w:rsidRDefault="00DF575C" w:rsidP="00844538">
      <w:pPr>
        <w:pStyle w:val="ListParagraph"/>
        <w:numPr>
          <w:ilvl w:val="0"/>
          <w:numId w:val="169"/>
        </w:numPr>
        <w:rPr>
          <w:lang w:val="en-US"/>
        </w:rPr>
      </w:pPr>
      <w:r w:rsidRPr="00D42025">
        <w:rPr>
          <w:lang w:val="en-US"/>
        </w:rPr>
        <w:t>Risks related to communicable or contagious diseases (HIV/AIDS, Covid-19 ...)</w:t>
      </w:r>
    </w:p>
    <w:p w14:paraId="17EDD516" w14:textId="77777777" w:rsidR="00DF575C" w:rsidRPr="00D42025" w:rsidRDefault="00DF575C" w:rsidP="00844538">
      <w:pPr>
        <w:pStyle w:val="ListParagraph"/>
        <w:numPr>
          <w:ilvl w:val="0"/>
          <w:numId w:val="169"/>
        </w:numPr>
        <w:rPr>
          <w:lang w:val="en-US"/>
        </w:rPr>
      </w:pPr>
      <w:r w:rsidRPr="00D42025">
        <w:rPr>
          <w:lang w:val="en-US"/>
        </w:rPr>
        <w:lastRenderedPageBreak/>
        <w:t>Risks related to the physical safety of the construction site.</w:t>
      </w:r>
    </w:p>
    <w:p w14:paraId="1A147227" w14:textId="77777777" w:rsidR="00DF575C" w:rsidRPr="00DF575C" w:rsidRDefault="00DF575C" w:rsidP="00844538">
      <w:pPr>
        <w:pStyle w:val="ListParagraph"/>
        <w:numPr>
          <w:ilvl w:val="0"/>
          <w:numId w:val="169"/>
        </w:numPr>
      </w:pPr>
      <w:r w:rsidRPr="00DF575C">
        <w:t>Possible impacts on cultural/religious sites.</w:t>
      </w:r>
    </w:p>
    <w:p w14:paraId="1D6C0EBF" w14:textId="28646751" w:rsidR="00DF575C" w:rsidRPr="00D42025" w:rsidRDefault="00DF575C" w:rsidP="00844538">
      <w:pPr>
        <w:pStyle w:val="ListParagraph"/>
        <w:numPr>
          <w:ilvl w:val="0"/>
          <w:numId w:val="169"/>
        </w:numPr>
        <w:rPr>
          <w:lang w:val="en-US"/>
        </w:rPr>
      </w:pPr>
      <w:r w:rsidRPr="00D42025">
        <w:rPr>
          <w:lang w:val="en-US"/>
        </w:rPr>
        <w:t>Risks related to climate change.</w:t>
      </w:r>
    </w:p>
    <w:p w14:paraId="2EDC5862" w14:textId="2C1249D5" w:rsidR="00301790" w:rsidRPr="00D42025" w:rsidRDefault="00301790" w:rsidP="00844538">
      <w:pPr>
        <w:pStyle w:val="ListParagraph"/>
        <w:numPr>
          <w:ilvl w:val="0"/>
          <w:numId w:val="169"/>
        </w:numPr>
        <w:rPr>
          <w:lang w:val="en-US"/>
        </w:rPr>
      </w:pPr>
      <w:r w:rsidRPr="00D42025">
        <w:rPr>
          <w:lang w:val="en-US"/>
        </w:rPr>
        <w:t>Disruption of user acces to the port area.</w:t>
      </w:r>
    </w:p>
    <w:p w14:paraId="557E814A" w14:textId="77777777" w:rsidR="00DF575C" w:rsidRPr="00DF575C" w:rsidRDefault="00DF575C" w:rsidP="00844538">
      <w:pPr>
        <w:pStyle w:val="ListParagraph"/>
        <w:numPr>
          <w:ilvl w:val="0"/>
          <w:numId w:val="169"/>
        </w:numPr>
      </w:pPr>
      <w:r w:rsidRPr="00DF575C">
        <w:t>Other.</w:t>
      </w:r>
    </w:p>
    <w:p w14:paraId="7132CDCB" w14:textId="77777777" w:rsidR="00DF575C" w:rsidRPr="00D42025" w:rsidRDefault="00DF575C" w:rsidP="00DF575C">
      <w:pPr>
        <w:rPr>
          <w:lang w:val="en-US"/>
        </w:rPr>
      </w:pPr>
      <w:r w:rsidRPr="00D42025">
        <w:rPr>
          <w:lang w:val="en-US"/>
        </w:rPr>
        <w:t>In addition, specific risks and impacts related to crossing or passing through the edge of protected areas will also have to be managed.</w:t>
      </w:r>
    </w:p>
    <w:p w14:paraId="450DE3C0" w14:textId="77777777" w:rsidR="00DF575C" w:rsidRPr="00D42025" w:rsidRDefault="00DF575C" w:rsidP="00DF575C">
      <w:pPr>
        <w:rPr>
          <w:b/>
          <w:i/>
          <w:lang w:val="en-US"/>
        </w:rPr>
      </w:pPr>
      <w:r w:rsidRPr="00D42025">
        <w:rPr>
          <w:b/>
          <w:i/>
          <w:lang w:val="en-US"/>
        </w:rPr>
        <w:t>Public hearings</w:t>
      </w:r>
    </w:p>
    <w:p w14:paraId="40E71218" w14:textId="7D4310AF" w:rsidR="00DF575C" w:rsidRPr="00D42025" w:rsidRDefault="00DF575C" w:rsidP="00DF575C">
      <w:pPr>
        <w:rPr>
          <w:lang w:val="en-US"/>
        </w:rPr>
      </w:pPr>
      <w:r w:rsidRPr="00D42025">
        <w:rPr>
          <w:lang w:val="en-US"/>
        </w:rPr>
        <w:t xml:space="preserve">With the support of the Regional Directorates of Public Works, public consultation sessions were organized in the regional capitals concerned by the </w:t>
      </w:r>
      <w:r w:rsidR="001342EC" w:rsidRPr="00D42025">
        <w:rPr>
          <w:lang w:val="en-US"/>
        </w:rPr>
        <w:t>PCMCI</w:t>
      </w:r>
      <w:r w:rsidRPr="00D42025">
        <w:rPr>
          <w:lang w:val="en-US"/>
        </w:rPr>
        <w:t>. During these sessions, the participation of women was ensured.</w:t>
      </w:r>
    </w:p>
    <w:p w14:paraId="7BADF849" w14:textId="2F084CD7" w:rsidR="00DF575C" w:rsidRPr="00D42025" w:rsidRDefault="00DF575C" w:rsidP="00DF575C">
      <w:pPr>
        <w:rPr>
          <w:lang w:val="en-US"/>
        </w:rPr>
      </w:pPr>
      <w:r w:rsidRPr="00D42025">
        <w:rPr>
          <w:lang w:val="en-US"/>
        </w:rPr>
        <w:t>Subsequently, these public consultations were supplemented by individual discussions with the authorities, including regional, district, municipal and decentralized Government authorities.</w:t>
      </w:r>
    </w:p>
    <w:p w14:paraId="6896FE0C" w14:textId="77777777" w:rsidR="00301790" w:rsidRPr="00D42025" w:rsidRDefault="00301790" w:rsidP="00301790">
      <w:pPr>
        <w:rPr>
          <w:color w:val="auto"/>
          <w:lang w:val="en-US"/>
        </w:rPr>
      </w:pPr>
      <w:r w:rsidRPr="00D42025">
        <w:rPr>
          <w:color w:val="auto"/>
          <w:lang w:val="en-US"/>
        </w:rPr>
        <w:t>The related results are considered for the management of PCMCI/CERC project.</w:t>
      </w:r>
    </w:p>
    <w:p w14:paraId="5C1AF2FE" w14:textId="3BF55E1D" w:rsidR="00DF575C" w:rsidRPr="00D42025" w:rsidRDefault="003848EF" w:rsidP="00DF575C">
      <w:pPr>
        <w:rPr>
          <w:b/>
          <w:lang w:val="en-US"/>
        </w:rPr>
      </w:pPr>
      <w:r w:rsidRPr="00D42025">
        <w:rPr>
          <w:b/>
          <w:lang w:val="en-US"/>
        </w:rPr>
        <w:t>ENVIRONMENTAL AND SOCIAL MANAGEMENT FRAMEWORK PLAN</w:t>
      </w:r>
    </w:p>
    <w:p w14:paraId="10E8D876" w14:textId="77777777" w:rsidR="00DF575C" w:rsidRPr="00D42025" w:rsidRDefault="00DF575C" w:rsidP="00DF575C">
      <w:pPr>
        <w:rPr>
          <w:b/>
          <w:i/>
          <w:lang w:val="en-US"/>
        </w:rPr>
      </w:pPr>
      <w:r w:rsidRPr="00D42025">
        <w:rPr>
          <w:b/>
          <w:i/>
          <w:lang w:val="en-US"/>
        </w:rPr>
        <w:t>Procedure for the environmental and social management of projects</w:t>
      </w:r>
    </w:p>
    <w:p w14:paraId="4FC4E6B5" w14:textId="59729F47" w:rsidR="00DF575C" w:rsidRPr="00D42025" w:rsidRDefault="00DF575C" w:rsidP="00DF575C">
      <w:pPr>
        <w:rPr>
          <w:lang w:val="en-US"/>
        </w:rPr>
      </w:pPr>
      <w:r w:rsidRPr="00D42025">
        <w:rPr>
          <w:lang w:val="en-US"/>
        </w:rPr>
        <w:t xml:space="preserve">According to the ESMF, the procedure to be followed is as </w:t>
      </w:r>
      <w:r w:rsidR="00995F7C" w:rsidRPr="00D42025">
        <w:rPr>
          <w:lang w:val="en-US"/>
        </w:rPr>
        <w:t>follows :</w:t>
      </w:r>
    </w:p>
    <w:p w14:paraId="7FA133EC" w14:textId="77777777" w:rsidR="00DF575C" w:rsidRPr="00D42025" w:rsidRDefault="00DF575C" w:rsidP="00DF575C">
      <w:pPr>
        <w:rPr>
          <w:lang w:val="en-US"/>
        </w:rPr>
      </w:pPr>
      <w:r w:rsidRPr="00D42025">
        <w:rPr>
          <w:lang w:val="en-US"/>
        </w:rPr>
        <w:t>Table 3: Procedure for the environmental and social management</w:t>
      </w:r>
    </w:p>
    <w:tbl>
      <w:tblPr>
        <w:tblW w:w="9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3544"/>
        <w:gridCol w:w="3760"/>
      </w:tblGrid>
      <w:tr w:rsidR="00DF575C" w:rsidRPr="00DF575C" w14:paraId="30AEB7E8" w14:textId="77777777" w:rsidTr="00995F7C">
        <w:trPr>
          <w:tblHeader/>
        </w:trPr>
        <w:tc>
          <w:tcPr>
            <w:tcW w:w="1980" w:type="dxa"/>
            <w:vMerge w:val="restart"/>
            <w:shd w:val="clear" w:color="auto" w:fill="E2EFD9" w:themeFill="accent6" w:themeFillTint="33"/>
            <w:vAlign w:val="center"/>
          </w:tcPr>
          <w:p w14:paraId="6651F0C6" w14:textId="77777777" w:rsidR="00DF575C" w:rsidRPr="00DF575C" w:rsidRDefault="00DF575C" w:rsidP="00DF575C">
            <w:r w:rsidRPr="00DF575C">
              <w:t>MAIN STEPS</w:t>
            </w:r>
          </w:p>
        </w:tc>
        <w:tc>
          <w:tcPr>
            <w:tcW w:w="7304" w:type="dxa"/>
            <w:gridSpan w:val="2"/>
            <w:shd w:val="clear" w:color="auto" w:fill="E2EFD9" w:themeFill="accent6" w:themeFillTint="33"/>
            <w:vAlign w:val="center"/>
          </w:tcPr>
          <w:p w14:paraId="708EC880" w14:textId="77777777" w:rsidR="00DF575C" w:rsidRPr="00DF575C" w:rsidRDefault="00DF575C" w:rsidP="00DF575C">
            <w:r w:rsidRPr="00DF575C">
              <w:t>RESPONSIBILITIES</w:t>
            </w:r>
          </w:p>
        </w:tc>
      </w:tr>
      <w:tr w:rsidR="00DF575C" w:rsidRPr="00DF575C" w14:paraId="23BA3EFF" w14:textId="77777777" w:rsidTr="00995F7C">
        <w:trPr>
          <w:tblHeader/>
        </w:trPr>
        <w:tc>
          <w:tcPr>
            <w:tcW w:w="1980" w:type="dxa"/>
            <w:vMerge/>
            <w:shd w:val="clear" w:color="auto" w:fill="E2EFD9" w:themeFill="accent6" w:themeFillTint="33"/>
            <w:vAlign w:val="center"/>
          </w:tcPr>
          <w:p w14:paraId="39D21E37" w14:textId="77777777" w:rsidR="00DF575C" w:rsidRPr="00DF575C" w:rsidRDefault="00DF575C" w:rsidP="00DF575C"/>
        </w:tc>
        <w:tc>
          <w:tcPr>
            <w:tcW w:w="3544" w:type="dxa"/>
            <w:shd w:val="clear" w:color="auto" w:fill="E2EFD9" w:themeFill="accent6" w:themeFillTint="33"/>
            <w:vAlign w:val="center"/>
          </w:tcPr>
          <w:p w14:paraId="4CDE0324" w14:textId="77777777" w:rsidR="00DF575C" w:rsidRPr="00DF575C" w:rsidRDefault="00DF575C" w:rsidP="00DF575C">
            <w:r w:rsidRPr="00DF575C">
              <w:t>UCP (Project Coordination Unit)</w:t>
            </w:r>
          </w:p>
        </w:tc>
        <w:tc>
          <w:tcPr>
            <w:tcW w:w="3757" w:type="dxa"/>
            <w:shd w:val="clear" w:color="auto" w:fill="E2EFD9" w:themeFill="accent6" w:themeFillTint="33"/>
            <w:vAlign w:val="center"/>
          </w:tcPr>
          <w:p w14:paraId="7C2B49C7" w14:textId="77777777" w:rsidR="00DF575C" w:rsidRPr="00DF575C" w:rsidRDefault="00DF575C" w:rsidP="00DF575C">
            <w:bookmarkStart w:id="8" w:name="_Toc514169414"/>
            <w:r w:rsidRPr="00DF575C">
              <w:t>WORLD BANK</w:t>
            </w:r>
            <w:bookmarkEnd w:id="8"/>
          </w:p>
        </w:tc>
      </w:tr>
      <w:tr w:rsidR="00DF575C" w:rsidRPr="00EB1995" w14:paraId="01965125" w14:textId="77777777" w:rsidTr="00995F7C">
        <w:tc>
          <w:tcPr>
            <w:tcW w:w="1980" w:type="dxa"/>
          </w:tcPr>
          <w:p w14:paraId="3B0F7F19" w14:textId="77777777" w:rsidR="00DF575C" w:rsidRPr="00DF575C" w:rsidRDefault="00DF575C" w:rsidP="00DF575C">
            <w:r w:rsidRPr="00DF575C">
              <w:t>Environmental screening</w:t>
            </w:r>
          </w:p>
        </w:tc>
        <w:tc>
          <w:tcPr>
            <w:tcW w:w="3544" w:type="dxa"/>
          </w:tcPr>
          <w:p w14:paraId="5C8BC057" w14:textId="77777777" w:rsidR="00DF575C" w:rsidRPr="00D42025" w:rsidRDefault="00DF575C" w:rsidP="00DF575C">
            <w:pPr>
              <w:rPr>
                <w:lang w:val="en-US"/>
              </w:rPr>
            </w:pPr>
            <w:r w:rsidRPr="00D42025">
              <w:rPr>
                <w:lang w:val="en-US"/>
              </w:rPr>
              <w:t>Preparation of the Environmental Screening Record</w:t>
            </w:r>
          </w:p>
          <w:p w14:paraId="785EB6C6" w14:textId="77777777" w:rsidR="00DF575C" w:rsidRPr="00D42025" w:rsidRDefault="00DF575C" w:rsidP="00DF575C">
            <w:pPr>
              <w:rPr>
                <w:lang w:val="en-US"/>
              </w:rPr>
            </w:pPr>
            <w:r w:rsidRPr="00D42025">
              <w:rPr>
                <w:lang w:val="en-US"/>
              </w:rPr>
              <w:t>Categorization of the sub-project and identification of the document(s) to be prepared according to the applicable ESS and national environmental legislation</w:t>
            </w:r>
          </w:p>
        </w:tc>
        <w:tc>
          <w:tcPr>
            <w:tcW w:w="3757" w:type="dxa"/>
          </w:tcPr>
          <w:p w14:paraId="6496BCB8" w14:textId="77777777" w:rsidR="00DF575C" w:rsidRPr="00D42025" w:rsidRDefault="00DF575C" w:rsidP="00DF575C">
            <w:pPr>
              <w:rPr>
                <w:lang w:val="en-US"/>
              </w:rPr>
            </w:pPr>
            <w:r w:rsidRPr="00D42025">
              <w:rPr>
                <w:lang w:val="en-US"/>
              </w:rPr>
              <w:t>Post verification of sub-project category and applicable ESS</w:t>
            </w:r>
          </w:p>
          <w:p w14:paraId="05D2C32D" w14:textId="77777777" w:rsidR="00DF575C" w:rsidRPr="00D42025" w:rsidRDefault="00DF575C" w:rsidP="00DF575C">
            <w:pPr>
              <w:rPr>
                <w:lang w:val="en-US"/>
              </w:rPr>
            </w:pPr>
            <w:r w:rsidRPr="00D42025">
              <w:rPr>
                <w:lang w:val="en-US"/>
              </w:rPr>
              <w:t>The preliminary Environmental and Social Review Statement is attached to each related environmental and social studies submitted to the Bank</w:t>
            </w:r>
          </w:p>
        </w:tc>
      </w:tr>
      <w:tr w:rsidR="00DF575C" w:rsidRPr="00EB1995" w14:paraId="10AAB601" w14:textId="77777777" w:rsidTr="00995F7C">
        <w:tc>
          <w:tcPr>
            <w:tcW w:w="1980" w:type="dxa"/>
          </w:tcPr>
          <w:p w14:paraId="7EB3A9F7" w14:textId="77777777" w:rsidR="00DF575C" w:rsidRPr="00DF575C" w:rsidRDefault="00DF575C" w:rsidP="00995F7C">
            <w:pPr>
              <w:jc w:val="left"/>
            </w:pPr>
            <w:r w:rsidRPr="00D42025">
              <w:rPr>
                <w:lang w:val="en-US"/>
              </w:rPr>
              <w:t xml:space="preserve">Implementation of the Stakeholders Engagement Plan (SEP). </w:t>
            </w:r>
            <w:r w:rsidRPr="00DF575C">
              <w:t>Public Consultations</w:t>
            </w:r>
          </w:p>
        </w:tc>
        <w:tc>
          <w:tcPr>
            <w:tcW w:w="3544" w:type="dxa"/>
          </w:tcPr>
          <w:p w14:paraId="4D8C6B68" w14:textId="77777777" w:rsidR="00DF575C" w:rsidRPr="00D42025" w:rsidRDefault="00DF575C" w:rsidP="00DF575C">
            <w:pPr>
              <w:rPr>
                <w:lang w:val="en-US"/>
              </w:rPr>
            </w:pPr>
            <w:bookmarkStart w:id="9" w:name="_Toc514169421"/>
            <w:r w:rsidRPr="00D42025">
              <w:rPr>
                <w:lang w:val="en-US"/>
              </w:rPr>
              <w:t>Consultation with affected and interested groups</w:t>
            </w:r>
            <w:bookmarkEnd w:id="9"/>
          </w:p>
        </w:tc>
        <w:tc>
          <w:tcPr>
            <w:tcW w:w="3757" w:type="dxa"/>
          </w:tcPr>
          <w:p w14:paraId="1F0151C5" w14:textId="77777777" w:rsidR="00DF575C" w:rsidRPr="00D42025" w:rsidRDefault="00DF575C" w:rsidP="00DF575C">
            <w:pPr>
              <w:rPr>
                <w:lang w:val="en-US"/>
              </w:rPr>
            </w:pPr>
            <w:r w:rsidRPr="00D42025">
              <w:rPr>
                <w:lang w:val="en-US"/>
              </w:rPr>
              <w:t>Verification (in a retrospective way)</w:t>
            </w:r>
          </w:p>
        </w:tc>
      </w:tr>
      <w:tr w:rsidR="00DF575C" w:rsidRPr="00EB1995" w14:paraId="6FEDE070" w14:textId="77777777" w:rsidTr="00995F7C">
        <w:tc>
          <w:tcPr>
            <w:tcW w:w="1980" w:type="dxa"/>
          </w:tcPr>
          <w:p w14:paraId="00150A20" w14:textId="77777777" w:rsidR="00DF575C" w:rsidRPr="00DF575C" w:rsidRDefault="00DF575C" w:rsidP="00DF575C">
            <w:r w:rsidRPr="00DF575C">
              <w:t>Selection of the consultant</w:t>
            </w:r>
          </w:p>
          <w:p w14:paraId="42322539" w14:textId="77777777" w:rsidR="00DF575C" w:rsidRPr="00DF575C" w:rsidRDefault="00DF575C" w:rsidP="00DF575C"/>
        </w:tc>
        <w:tc>
          <w:tcPr>
            <w:tcW w:w="3544" w:type="dxa"/>
          </w:tcPr>
          <w:p w14:paraId="18CACD02" w14:textId="77777777" w:rsidR="00DF575C" w:rsidRPr="00D42025" w:rsidRDefault="00DF575C" w:rsidP="00DF575C">
            <w:pPr>
              <w:rPr>
                <w:lang w:val="en-US"/>
              </w:rPr>
            </w:pPr>
            <w:r w:rsidRPr="00D42025">
              <w:rPr>
                <w:lang w:val="en-US"/>
              </w:rPr>
              <w:lastRenderedPageBreak/>
              <w:t>Preparation of ToR of E&amp;S studies and other required studies</w:t>
            </w:r>
          </w:p>
          <w:p w14:paraId="372789EA" w14:textId="77777777" w:rsidR="00DF575C" w:rsidRPr="00D42025" w:rsidRDefault="00DF575C" w:rsidP="00DF575C">
            <w:pPr>
              <w:rPr>
                <w:lang w:val="en-US"/>
              </w:rPr>
            </w:pPr>
            <w:r w:rsidRPr="00D42025">
              <w:rPr>
                <w:lang w:val="en-US"/>
              </w:rPr>
              <w:lastRenderedPageBreak/>
              <w:t>Selection of the consultant to carry out the required studies (ESMP, RP, etc.)</w:t>
            </w:r>
          </w:p>
        </w:tc>
        <w:tc>
          <w:tcPr>
            <w:tcW w:w="3757" w:type="dxa"/>
          </w:tcPr>
          <w:p w14:paraId="02E294BA" w14:textId="2D4CE1AB" w:rsidR="00DF575C" w:rsidRPr="00D42025" w:rsidRDefault="00DF575C" w:rsidP="00DF575C">
            <w:pPr>
              <w:rPr>
                <w:lang w:val="en-US"/>
              </w:rPr>
            </w:pPr>
            <w:r w:rsidRPr="00D42025">
              <w:rPr>
                <w:lang w:val="en-US"/>
              </w:rPr>
              <w:lastRenderedPageBreak/>
              <w:t>Depending on the amount of the contract</w:t>
            </w:r>
            <w:r w:rsidR="00DC2162" w:rsidRPr="00D42025">
              <w:rPr>
                <w:lang w:val="en-US"/>
              </w:rPr>
              <w:t xml:space="preserve"> </w:t>
            </w:r>
            <w:r w:rsidRPr="00D42025">
              <w:rPr>
                <w:lang w:val="en-US"/>
              </w:rPr>
              <w:t>:</w:t>
            </w:r>
          </w:p>
          <w:p w14:paraId="49705852" w14:textId="77777777" w:rsidR="00DF575C" w:rsidRPr="00D42025" w:rsidRDefault="00DF575C" w:rsidP="00DF575C">
            <w:pPr>
              <w:rPr>
                <w:lang w:val="en-US"/>
              </w:rPr>
            </w:pPr>
            <w:r w:rsidRPr="00D42025">
              <w:rPr>
                <w:lang w:val="en-US"/>
              </w:rPr>
              <w:lastRenderedPageBreak/>
              <w:t>No objection required if threshold is exceeded.</w:t>
            </w:r>
          </w:p>
          <w:p w14:paraId="75F916D5" w14:textId="77777777" w:rsidR="00DF575C" w:rsidRPr="00D42025" w:rsidRDefault="00DF575C" w:rsidP="00DF575C">
            <w:pPr>
              <w:rPr>
                <w:lang w:val="en-US"/>
              </w:rPr>
            </w:pPr>
            <w:r w:rsidRPr="00D42025">
              <w:rPr>
                <w:lang w:val="en-US"/>
              </w:rPr>
              <w:t>Retrospective review if the threshold is not exceeded</w:t>
            </w:r>
          </w:p>
        </w:tc>
      </w:tr>
      <w:tr w:rsidR="00DF575C" w:rsidRPr="00EB1995" w14:paraId="559DE4EE" w14:textId="77777777" w:rsidTr="00995F7C">
        <w:tc>
          <w:tcPr>
            <w:tcW w:w="1980" w:type="dxa"/>
          </w:tcPr>
          <w:p w14:paraId="13C81AA8" w14:textId="77777777" w:rsidR="00DF575C" w:rsidRPr="00DF575C" w:rsidRDefault="00DF575C" w:rsidP="00DF575C">
            <w:r w:rsidRPr="00DF575C">
              <w:lastRenderedPageBreak/>
              <w:t>Environmental and social analysis</w:t>
            </w:r>
          </w:p>
        </w:tc>
        <w:tc>
          <w:tcPr>
            <w:tcW w:w="3544" w:type="dxa"/>
          </w:tcPr>
          <w:p w14:paraId="7EB35D25" w14:textId="77777777" w:rsidR="00DF575C" w:rsidRPr="00D42025" w:rsidRDefault="00DF575C" w:rsidP="00DF575C">
            <w:pPr>
              <w:rPr>
                <w:lang w:val="en-US"/>
              </w:rPr>
            </w:pPr>
            <w:r w:rsidRPr="00D42025">
              <w:rPr>
                <w:lang w:val="en-US"/>
              </w:rPr>
              <w:t>Data processing</w:t>
            </w:r>
          </w:p>
          <w:p w14:paraId="42094489" w14:textId="69BDB16F" w:rsidR="00DF575C" w:rsidRPr="00D42025" w:rsidRDefault="00DF575C" w:rsidP="00DF575C">
            <w:pPr>
              <w:rPr>
                <w:lang w:val="en-US"/>
              </w:rPr>
            </w:pPr>
            <w:r w:rsidRPr="00D42025">
              <w:rPr>
                <w:lang w:val="en-US"/>
              </w:rPr>
              <w:t>Writing</w:t>
            </w:r>
            <w:r w:rsidR="00DC2162" w:rsidRPr="00D42025">
              <w:rPr>
                <w:lang w:val="en-US"/>
              </w:rPr>
              <w:t xml:space="preserve"> </w:t>
            </w:r>
            <w:r w:rsidRPr="00D42025">
              <w:rPr>
                <w:lang w:val="en-US"/>
              </w:rPr>
              <w:t>: Taking into account the results of consultations</w:t>
            </w:r>
          </w:p>
        </w:tc>
        <w:tc>
          <w:tcPr>
            <w:tcW w:w="3757" w:type="dxa"/>
          </w:tcPr>
          <w:p w14:paraId="78970B6A" w14:textId="77777777" w:rsidR="00DF575C" w:rsidRPr="00D42025" w:rsidRDefault="00DF575C" w:rsidP="00DF575C">
            <w:pPr>
              <w:rPr>
                <w:lang w:val="en-US"/>
              </w:rPr>
            </w:pPr>
          </w:p>
        </w:tc>
      </w:tr>
      <w:tr w:rsidR="00DF575C" w:rsidRPr="00EB1995" w14:paraId="2CC73B0A" w14:textId="77777777" w:rsidTr="00995F7C">
        <w:tc>
          <w:tcPr>
            <w:tcW w:w="1980" w:type="dxa"/>
          </w:tcPr>
          <w:p w14:paraId="25646F61" w14:textId="77777777" w:rsidR="00DF575C" w:rsidRPr="00DF575C" w:rsidRDefault="00DF575C" w:rsidP="00DF575C">
            <w:r w:rsidRPr="00DF575C">
              <w:t>Document Review and Approval</w:t>
            </w:r>
          </w:p>
        </w:tc>
        <w:tc>
          <w:tcPr>
            <w:tcW w:w="3544" w:type="dxa"/>
          </w:tcPr>
          <w:p w14:paraId="1911ABD1" w14:textId="77777777" w:rsidR="00DF575C" w:rsidRPr="00D42025" w:rsidRDefault="00DF575C" w:rsidP="00DF575C">
            <w:pPr>
              <w:rPr>
                <w:lang w:val="en-US"/>
              </w:rPr>
            </w:pPr>
            <w:r w:rsidRPr="00D42025">
              <w:rPr>
                <w:lang w:val="en-US"/>
              </w:rPr>
              <w:t>Verification of the conformity of studies with ToR</w:t>
            </w:r>
          </w:p>
          <w:p w14:paraId="55F920A7" w14:textId="77777777" w:rsidR="00DF575C" w:rsidRPr="00D42025" w:rsidRDefault="00DF575C" w:rsidP="00DF575C">
            <w:pPr>
              <w:rPr>
                <w:lang w:val="en-US"/>
              </w:rPr>
            </w:pPr>
            <w:r w:rsidRPr="00D42025">
              <w:rPr>
                <w:lang w:val="en-US"/>
              </w:rPr>
              <w:t>Modification of documents based on stakeholder feedback.</w:t>
            </w:r>
          </w:p>
          <w:p w14:paraId="51669B8E" w14:textId="77777777" w:rsidR="00DF575C" w:rsidRPr="00D42025" w:rsidRDefault="00DF575C" w:rsidP="00DF575C">
            <w:pPr>
              <w:rPr>
                <w:lang w:val="en-US"/>
              </w:rPr>
            </w:pPr>
            <w:r w:rsidRPr="00D42025">
              <w:rPr>
                <w:lang w:val="en-US"/>
              </w:rPr>
              <w:t>Submission of the sub-project's Environmental and Social Management Plan (ESMP) and other documents required by the World Bank</w:t>
            </w:r>
          </w:p>
        </w:tc>
        <w:tc>
          <w:tcPr>
            <w:tcW w:w="3757" w:type="dxa"/>
          </w:tcPr>
          <w:p w14:paraId="686A7E36" w14:textId="77777777" w:rsidR="00DF575C" w:rsidRPr="00D42025" w:rsidRDefault="00DF575C" w:rsidP="00DF575C">
            <w:pPr>
              <w:rPr>
                <w:lang w:val="en-US"/>
              </w:rPr>
            </w:pPr>
            <w:r w:rsidRPr="00D42025">
              <w:rPr>
                <w:lang w:val="en-US"/>
              </w:rPr>
              <w:t>Comments on studies conducted</w:t>
            </w:r>
          </w:p>
          <w:p w14:paraId="5878BF79" w14:textId="77777777" w:rsidR="00DF575C" w:rsidRPr="00D42025" w:rsidRDefault="00DF575C" w:rsidP="00DF575C">
            <w:pPr>
              <w:rPr>
                <w:lang w:val="en-US"/>
              </w:rPr>
            </w:pPr>
            <w:r w:rsidRPr="00D42025">
              <w:rPr>
                <w:lang w:val="en-US"/>
              </w:rPr>
              <w:t>Approval of required environmental and social studies</w:t>
            </w:r>
          </w:p>
          <w:p w14:paraId="2B566757" w14:textId="77777777" w:rsidR="00DF575C" w:rsidRPr="00D42025" w:rsidRDefault="00DF575C" w:rsidP="00DF575C">
            <w:pPr>
              <w:rPr>
                <w:lang w:val="en-US"/>
              </w:rPr>
            </w:pPr>
          </w:p>
        </w:tc>
      </w:tr>
      <w:tr w:rsidR="00DF575C" w:rsidRPr="00DF575C" w14:paraId="14DA89C8" w14:textId="77777777" w:rsidTr="00995F7C">
        <w:tc>
          <w:tcPr>
            <w:tcW w:w="1980" w:type="dxa"/>
          </w:tcPr>
          <w:p w14:paraId="7230BE94" w14:textId="77777777" w:rsidR="00DF575C" w:rsidRPr="00DF575C" w:rsidRDefault="00DF575C" w:rsidP="00DF575C">
            <w:r w:rsidRPr="00DF575C">
              <w:t>Dissemination of documents</w:t>
            </w:r>
          </w:p>
        </w:tc>
        <w:tc>
          <w:tcPr>
            <w:tcW w:w="3544" w:type="dxa"/>
          </w:tcPr>
          <w:p w14:paraId="530C2CB3" w14:textId="77777777" w:rsidR="00DF575C" w:rsidRPr="00D42025" w:rsidRDefault="00DF575C" w:rsidP="00DF575C">
            <w:pPr>
              <w:rPr>
                <w:lang w:val="en-US"/>
              </w:rPr>
            </w:pPr>
            <w:r w:rsidRPr="00D42025">
              <w:rPr>
                <w:lang w:val="en-US"/>
              </w:rPr>
              <w:t>Project / MTP Websites</w:t>
            </w:r>
          </w:p>
          <w:p w14:paraId="151BAF77" w14:textId="77777777" w:rsidR="00DF575C" w:rsidRPr="00D42025" w:rsidRDefault="00DF575C" w:rsidP="00DF575C">
            <w:pPr>
              <w:rPr>
                <w:lang w:val="en-US"/>
              </w:rPr>
            </w:pPr>
            <w:r w:rsidRPr="00D42025">
              <w:rPr>
                <w:lang w:val="en-US"/>
              </w:rPr>
              <w:t>At the local level</w:t>
            </w:r>
          </w:p>
        </w:tc>
        <w:tc>
          <w:tcPr>
            <w:tcW w:w="3757" w:type="dxa"/>
          </w:tcPr>
          <w:p w14:paraId="622712F0" w14:textId="77777777" w:rsidR="00DF575C" w:rsidRPr="00DF575C" w:rsidRDefault="00DF575C" w:rsidP="00DF575C">
            <w:r w:rsidRPr="00DF575C">
              <w:t>Bank External Web site</w:t>
            </w:r>
          </w:p>
          <w:p w14:paraId="100E6F8F" w14:textId="77777777" w:rsidR="00DF575C" w:rsidRPr="00DF575C" w:rsidRDefault="00DF575C" w:rsidP="00DF575C"/>
        </w:tc>
      </w:tr>
      <w:tr w:rsidR="00DF575C" w:rsidRPr="00EB1995" w14:paraId="02084641" w14:textId="77777777" w:rsidTr="00995F7C">
        <w:tc>
          <w:tcPr>
            <w:tcW w:w="1980" w:type="dxa"/>
          </w:tcPr>
          <w:p w14:paraId="1EE4866A" w14:textId="77777777" w:rsidR="00DF575C" w:rsidRPr="00D42025" w:rsidRDefault="00DF575C" w:rsidP="00DF575C">
            <w:pPr>
              <w:rPr>
                <w:lang w:val="en-US"/>
              </w:rPr>
            </w:pPr>
            <w:r w:rsidRPr="00D42025">
              <w:rPr>
                <w:lang w:val="en-US"/>
              </w:rPr>
              <w:t>Environmental and Social Control and Monitoring</w:t>
            </w:r>
          </w:p>
        </w:tc>
        <w:tc>
          <w:tcPr>
            <w:tcW w:w="3544" w:type="dxa"/>
          </w:tcPr>
          <w:p w14:paraId="4005524C" w14:textId="77777777" w:rsidR="00DF575C" w:rsidRPr="00D42025" w:rsidRDefault="00DF575C" w:rsidP="00DF575C">
            <w:pPr>
              <w:rPr>
                <w:lang w:val="en-US"/>
              </w:rPr>
            </w:pPr>
            <w:r w:rsidRPr="00D42025">
              <w:rPr>
                <w:lang w:val="en-US"/>
              </w:rPr>
              <w:t>Internal monitoring of the implementation of the ESMP</w:t>
            </w:r>
          </w:p>
          <w:p w14:paraId="2732F385" w14:textId="77777777" w:rsidR="00DF575C" w:rsidRPr="00D42025" w:rsidRDefault="00DF575C" w:rsidP="00DF575C">
            <w:pPr>
              <w:rPr>
                <w:lang w:val="en-US"/>
              </w:rPr>
            </w:pPr>
            <w:r w:rsidRPr="00D42025">
              <w:rPr>
                <w:lang w:val="en-US"/>
              </w:rPr>
              <w:t>Submission of environmental and social monitoring reports to the World Bank</w:t>
            </w:r>
          </w:p>
        </w:tc>
        <w:tc>
          <w:tcPr>
            <w:tcW w:w="3757" w:type="dxa"/>
          </w:tcPr>
          <w:p w14:paraId="68B4FAD9" w14:textId="77777777" w:rsidR="00DF575C" w:rsidRPr="00D42025" w:rsidRDefault="00DF575C" w:rsidP="00DF575C">
            <w:pPr>
              <w:rPr>
                <w:lang w:val="en-US"/>
              </w:rPr>
            </w:pPr>
            <w:r w:rsidRPr="00D42025">
              <w:rPr>
                <w:lang w:val="en-US"/>
              </w:rPr>
              <w:t>Supervision / Support missions (every 6 months)</w:t>
            </w:r>
          </w:p>
        </w:tc>
      </w:tr>
    </w:tbl>
    <w:p w14:paraId="178932C3" w14:textId="77777777" w:rsidR="00995F7C" w:rsidRPr="00D42025" w:rsidRDefault="00995F7C" w:rsidP="00DF575C">
      <w:pPr>
        <w:rPr>
          <w:b/>
          <w:i/>
          <w:lang w:val="en-US"/>
        </w:rPr>
      </w:pPr>
      <w:bookmarkStart w:id="10" w:name="_Toc514169445"/>
    </w:p>
    <w:p w14:paraId="127BE2EA" w14:textId="34074FB2" w:rsidR="00DF575C" w:rsidRPr="00D42025" w:rsidRDefault="00DF575C" w:rsidP="00DF575C">
      <w:pPr>
        <w:rPr>
          <w:b/>
          <w:i/>
          <w:lang w:val="en-US"/>
        </w:rPr>
      </w:pPr>
      <w:r w:rsidRPr="00D42025">
        <w:rPr>
          <w:b/>
          <w:i/>
          <w:lang w:val="en-US"/>
        </w:rPr>
        <w:t>Public communication/consultation plan during the project life cycle</w:t>
      </w:r>
      <w:bookmarkEnd w:id="10"/>
    </w:p>
    <w:p w14:paraId="35BCE06F" w14:textId="5B2C84AC" w:rsidR="00DF575C" w:rsidRPr="00D42025" w:rsidRDefault="00DF575C" w:rsidP="00DF575C">
      <w:pPr>
        <w:rPr>
          <w:lang w:val="en-US"/>
        </w:rPr>
      </w:pPr>
      <w:r w:rsidRPr="00D42025">
        <w:rPr>
          <w:lang w:val="en-US"/>
        </w:rPr>
        <w:t xml:space="preserve">As part of the implementation of the </w:t>
      </w:r>
      <w:r w:rsidR="001342EC" w:rsidRPr="00D42025">
        <w:rPr>
          <w:lang w:val="en-US"/>
        </w:rPr>
        <w:t>PCMCI</w:t>
      </w:r>
      <w:r w:rsidRPr="00D42025">
        <w:rPr>
          <w:lang w:val="en-US"/>
        </w:rPr>
        <w:t>, it is necessary to facilitate the completion of the Project and the realization of the works even if the predicted social environmental impacts are limited in scope, through a permanent awareness and communication campaign. Indeed, for the sustainability of the rehabilitated infrastructure, it will be necessary to attract the support and responsibility of the beneficiary populations, as well as its various stakeholders. A communication strategy will be adopted</w:t>
      </w:r>
      <w:r w:rsidR="00E261DB" w:rsidRPr="00D42025">
        <w:rPr>
          <w:lang w:val="en-US"/>
        </w:rPr>
        <w:t xml:space="preserve"> </w:t>
      </w:r>
      <w:r w:rsidRPr="00D42025">
        <w:rPr>
          <w:lang w:val="en-US"/>
        </w:rPr>
        <w:t>: consultations are part of such a communication plan.</w:t>
      </w:r>
    </w:p>
    <w:p w14:paraId="29FAE05C" w14:textId="77777777" w:rsidR="00DF575C" w:rsidRPr="00D42025" w:rsidRDefault="00DF575C" w:rsidP="00DF575C">
      <w:pPr>
        <w:rPr>
          <w:b/>
          <w:i/>
          <w:lang w:val="en-US"/>
        </w:rPr>
      </w:pPr>
      <w:r w:rsidRPr="00D42025">
        <w:rPr>
          <w:b/>
          <w:i/>
          <w:lang w:val="en-US"/>
        </w:rPr>
        <w:t xml:space="preserve">Capacity-building </w:t>
      </w:r>
    </w:p>
    <w:p w14:paraId="187E01B1" w14:textId="59C0FA1A" w:rsidR="00DF575C" w:rsidRPr="00D42025" w:rsidRDefault="00DF575C" w:rsidP="00DF575C">
      <w:pPr>
        <w:rPr>
          <w:lang w:val="en-US"/>
        </w:rPr>
      </w:pPr>
      <w:r w:rsidRPr="00D42025">
        <w:rPr>
          <w:lang w:val="en-US"/>
        </w:rPr>
        <w:lastRenderedPageBreak/>
        <w:t xml:space="preserve">The summary assessment of the capacity building needs of the various actors who will intervene in the implementation and monitoring of the </w:t>
      </w:r>
      <w:r w:rsidR="001342EC" w:rsidRPr="00D42025">
        <w:rPr>
          <w:lang w:val="en-US"/>
        </w:rPr>
        <w:t>PCMCI</w:t>
      </w:r>
      <w:r w:rsidRPr="00D42025">
        <w:rPr>
          <w:lang w:val="en-US"/>
        </w:rPr>
        <w:t xml:space="preserve"> showed that the PIU has experience in the preparation and implementation of E&amp;S safeguarding documents. However, due to possible staff changes and additional recruitment to meet the additional workloads, capacity-building sessions will be required. </w:t>
      </w:r>
    </w:p>
    <w:p w14:paraId="351395BB" w14:textId="77777777" w:rsidR="00DF575C" w:rsidRPr="00D42025" w:rsidRDefault="00DF575C" w:rsidP="00DF575C">
      <w:pPr>
        <w:rPr>
          <w:lang w:val="en-US"/>
        </w:rPr>
      </w:pPr>
      <w:r w:rsidRPr="00D42025">
        <w:rPr>
          <w:lang w:val="en-US"/>
        </w:rPr>
        <w:t>Similarly, other relevant stakeholders also require capacity building to better optimize their contributions to the success of the proposed Project.</w:t>
      </w:r>
    </w:p>
    <w:p w14:paraId="4B63E3C6" w14:textId="29C3879C" w:rsidR="00DF575C" w:rsidRPr="00D42025" w:rsidRDefault="00DF575C" w:rsidP="00DF575C">
      <w:pPr>
        <w:rPr>
          <w:b/>
          <w:i/>
          <w:lang w:val="en-US"/>
        </w:rPr>
      </w:pPr>
      <w:r w:rsidRPr="00D42025">
        <w:rPr>
          <w:b/>
          <w:i/>
          <w:lang w:val="en-US"/>
        </w:rPr>
        <w:t>Grievance Mechanism</w:t>
      </w:r>
    </w:p>
    <w:p w14:paraId="52260FA6" w14:textId="77777777" w:rsidR="00DF575C" w:rsidRPr="00D42025" w:rsidRDefault="00DF575C" w:rsidP="00DF575C">
      <w:pPr>
        <w:rPr>
          <w:lang w:val="en-US"/>
        </w:rPr>
      </w:pPr>
      <w:r w:rsidRPr="00D42025">
        <w:rPr>
          <w:lang w:val="en-US"/>
        </w:rPr>
        <w:t xml:space="preserve">A Grievance redress mechanism for resolving complaints and disputes is planned. This mechanism favors amicable dispute resolution methods, favoring mediation by Fokontany chiefs, notables, neighborhood councils and local authorities. </w:t>
      </w:r>
    </w:p>
    <w:p w14:paraId="193342A7" w14:textId="77777777" w:rsidR="00DF575C" w:rsidRPr="00D42025" w:rsidRDefault="00DF575C" w:rsidP="00DF575C">
      <w:pPr>
        <w:rPr>
          <w:lang w:val="en-US"/>
        </w:rPr>
      </w:pPr>
      <w:r w:rsidRPr="00D42025">
        <w:rPr>
          <w:lang w:val="en-US"/>
        </w:rPr>
        <w:t>However, different levels of processing exist to allow for fair handling of complaints, ranging from the Fokontany Chief to the Tribunal (final appeal, if any), through the bodies at the level of the Mayor and then through the various Dispute Resolution Committees.</w:t>
      </w:r>
    </w:p>
    <w:p w14:paraId="5E90B0FF" w14:textId="180F4D14" w:rsidR="00DF575C" w:rsidRPr="00D42025" w:rsidRDefault="00DF575C" w:rsidP="00DF575C">
      <w:pPr>
        <w:rPr>
          <w:lang w:val="en-US"/>
        </w:rPr>
      </w:pPr>
      <w:r w:rsidRPr="00D42025">
        <w:rPr>
          <w:lang w:val="en-US"/>
        </w:rPr>
        <w:t xml:space="preserve">In short, 4 levels of complaint management are </w:t>
      </w:r>
      <w:r w:rsidR="00995F7C" w:rsidRPr="00D42025">
        <w:rPr>
          <w:lang w:val="en-US"/>
        </w:rPr>
        <w:t>planned :</w:t>
      </w:r>
    </w:p>
    <w:p w14:paraId="6FE3068B" w14:textId="56816D61" w:rsidR="00DF575C" w:rsidRPr="00D42025" w:rsidRDefault="00995F7C" w:rsidP="00844538">
      <w:pPr>
        <w:pStyle w:val="ListParagraph"/>
        <w:numPr>
          <w:ilvl w:val="0"/>
          <w:numId w:val="170"/>
        </w:numPr>
        <w:rPr>
          <w:lang w:val="en-US"/>
        </w:rPr>
      </w:pPr>
      <w:r w:rsidRPr="00D42025">
        <w:rPr>
          <w:lang w:val="en-US"/>
        </w:rPr>
        <w:t>Amicable :</w:t>
      </w:r>
      <w:r w:rsidR="00DF575C" w:rsidRPr="00D42025">
        <w:rPr>
          <w:lang w:val="en-US"/>
        </w:rPr>
        <w:t xml:space="preserve"> at the level of Fokontany</w:t>
      </w:r>
    </w:p>
    <w:p w14:paraId="737EEF84" w14:textId="37549D77" w:rsidR="00DF575C" w:rsidRPr="00D42025" w:rsidRDefault="00995F7C" w:rsidP="00844538">
      <w:pPr>
        <w:pStyle w:val="ListParagraph"/>
        <w:numPr>
          <w:ilvl w:val="0"/>
          <w:numId w:val="170"/>
        </w:numPr>
        <w:rPr>
          <w:lang w:val="en-US"/>
        </w:rPr>
      </w:pPr>
      <w:r w:rsidRPr="00D42025">
        <w:rPr>
          <w:lang w:val="en-US"/>
        </w:rPr>
        <w:t>Amicable :</w:t>
      </w:r>
      <w:r w:rsidR="00DF575C" w:rsidRPr="00D42025">
        <w:rPr>
          <w:lang w:val="en-US"/>
        </w:rPr>
        <w:t xml:space="preserve"> At the level</w:t>
      </w:r>
      <w:r w:rsidRPr="00D42025">
        <w:rPr>
          <w:lang w:val="en-US"/>
        </w:rPr>
        <w:t xml:space="preserve"> </w:t>
      </w:r>
      <w:r w:rsidR="00DF575C" w:rsidRPr="00D42025">
        <w:rPr>
          <w:lang w:val="en-US"/>
        </w:rPr>
        <w:t>of the Commune</w:t>
      </w:r>
    </w:p>
    <w:p w14:paraId="67B77FE1" w14:textId="65519F6A" w:rsidR="00DF575C" w:rsidRPr="00DF575C" w:rsidRDefault="00995F7C" w:rsidP="00844538">
      <w:pPr>
        <w:pStyle w:val="ListParagraph"/>
        <w:numPr>
          <w:ilvl w:val="0"/>
          <w:numId w:val="170"/>
        </w:numPr>
      </w:pPr>
      <w:r w:rsidRPr="00DF575C">
        <w:t>Arbitration :</w:t>
      </w:r>
      <w:r w:rsidR="00DF575C" w:rsidRPr="00DF575C">
        <w:t xml:space="preserve"> by various Committees </w:t>
      </w:r>
    </w:p>
    <w:p w14:paraId="05B1CE5B" w14:textId="77777777" w:rsidR="00DF575C" w:rsidRPr="00D42025" w:rsidRDefault="00DF575C" w:rsidP="00844538">
      <w:pPr>
        <w:pStyle w:val="ListParagraph"/>
        <w:numPr>
          <w:ilvl w:val="0"/>
          <w:numId w:val="170"/>
        </w:numPr>
        <w:rPr>
          <w:lang w:val="en-US"/>
        </w:rPr>
      </w:pPr>
      <w:r w:rsidRPr="00D42025">
        <w:rPr>
          <w:lang w:val="en-US"/>
        </w:rPr>
        <w:t>Tribunal (last alternative and with the support of the PIU)</w:t>
      </w:r>
    </w:p>
    <w:p w14:paraId="114636F4" w14:textId="18D0AE92" w:rsidR="00DF575C" w:rsidRPr="00D42025" w:rsidRDefault="00995F7C" w:rsidP="00DF575C">
      <w:pPr>
        <w:rPr>
          <w:b/>
          <w:lang w:val="en-US"/>
        </w:rPr>
      </w:pPr>
      <w:r w:rsidRPr="00D42025">
        <w:rPr>
          <w:b/>
          <w:lang w:val="en-US"/>
        </w:rPr>
        <w:t>BUDGET</w:t>
      </w:r>
    </w:p>
    <w:p w14:paraId="4DB6E377" w14:textId="77777777" w:rsidR="00DF575C" w:rsidRPr="00D42025" w:rsidRDefault="00DF575C" w:rsidP="00DF575C">
      <w:pPr>
        <w:rPr>
          <w:lang w:val="en-US"/>
        </w:rPr>
      </w:pPr>
      <w:r w:rsidRPr="00D42025">
        <w:rPr>
          <w:lang w:val="en-US"/>
        </w:rPr>
        <w:t>The costs of the measures to be taken in the context of the implementation of this ESMF are estimated at USD 1 244 269. They will be integrated into the costs of the Project of which approximately USD 271,975 will be covered by the GoM for the implementation of the Resettlement Plans and USD 972,294 will be eligible on the credit.</w:t>
      </w:r>
    </w:p>
    <w:p w14:paraId="7C41283D" w14:textId="77777777" w:rsidR="00DF575C" w:rsidRPr="00D42025" w:rsidRDefault="00DF575C" w:rsidP="00DF575C">
      <w:pPr>
        <w:rPr>
          <w:lang w:val="en-US"/>
        </w:rPr>
      </w:pPr>
    </w:p>
    <w:p w14:paraId="6AB1AE75" w14:textId="77777777" w:rsidR="00DF575C" w:rsidRPr="00D42025" w:rsidRDefault="00DF575C" w:rsidP="00DF575C">
      <w:pPr>
        <w:rPr>
          <w:lang w:val="en-US"/>
        </w:rPr>
        <w:sectPr w:rsidR="00DF575C" w:rsidRPr="00D42025" w:rsidSect="00E106BA">
          <w:headerReference w:type="default" r:id="rId22"/>
          <w:pgSz w:w="11906" w:h="16838"/>
          <w:pgMar w:top="1418" w:right="1134" w:bottom="1134" w:left="1418" w:header="709" w:footer="709" w:gutter="0"/>
          <w:pgNumType w:fmt="lowerRoman"/>
          <w:cols w:space="708"/>
          <w:docGrid w:linePitch="360"/>
        </w:sectPr>
      </w:pPr>
    </w:p>
    <w:p w14:paraId="32FB7D2C" w14:textId="787FA793" w:rsidR="00995F7C" w:rsidRPr="00D42025" w:rsidRDefault="00995F7C" w:rsidP="00995F7C">
      <w:pPr>
        <w:pStyle w:val="Title"/>
        <w:pBdr>
          <w:bottom w:val="single" w:sz="4" w:space="1" w:color="auto"/>
        </w:pBdr>
        <w:rPr>
          <w:sz w:val="28"/>
          <w:lang w:val="en-US"/>
        </w:rPr>
      </w:pPr>
      <w:bookmarkStart w:id="11" w:name="_Toc138413952"/>
      <w:bookmarkStart w:id="12" w:name="_Toc230425966"/>
      <w:r w:rsidRPr="00D42025">
        <w:rPr>
          <w:sz w:val="28"/>
          <w:lang w:val="en-US"/>
        </w:rPr>
        <w:lastRenderedPageBreak/>
        <w:t>FAMINTINANA</w:t>
      </w:r>
      <w:bookmarkEnd w:id="12"/>
    </w:p>
    <w:p w14:paraId="74FDE16A" w14:textId="5FE91A6F" w:rsidR="00995F7C" w:rsidRPr="00D42025" w:rsidRDefault="00995F7C" w:rsidP="00995F7C">
      <w:pPr>
        <w:rPr>
          <w:b/>
          <w:lang w:val="en-US"/>
        </w:rPr>
      </w:pPr>
      <w:r w:rsidRPr="00D42025">
        <w:rPr>
          <w:b/>
          <w:lang w:val="en-US"/>
        </w:rPr>
        <w:t>SAHAN-KEVITRA</w:t>
      </w:r>
    </w:p>
    <w:bookmarkEnd w:id="11"/>
    <w:p w14:paraId="719470FB" w14:textId="77777777" w:rsidR="00DF575C" w:rsidRPr="00D42025" w:rsidRDefault="00DF575C" w:rsidP="00DF575C">
      <w:pPr>
        <w:rPr>
          <w:lang w:val="en-US"/>
        </w:rPr>
      </w:pPr>
      <w:r w:rsidRPr="00D42025">
        <w:rPr>
          <w:lang w:val="en-US"/>
        </w:rPr>
        <w:t xml:space="preserve">Ho an'ireo firenena toa an'i Madagasikara dia fantatra tsara fa ny fampandrosoana ara-tsosialy sy ara-toekarena dia mitaky fanatsarana ny fifandraisana, ny fahaiza-manao sy ny tontolon'ny fandraharahana, ary koa ny fampiasana ny teknolojia vaovao eo amin'ny sehatry ny fambolena. </w:t>
      </w:r>
    </w:p>
    <w:p w14:paraId="66BF5028" w14:textId="23145759" w:rsidR="00DF575C" w:rsidRPr="00D42025" w:rsidRDefault="00DF575C" w:rsidP="00DF575C">
      <w:pPr>
        <w:rPr>
          <w:lang w:val="en-US"/>
        </w:rPr>
      </w:pPr>
      <w:r w:rsidRPr="00D42025">
        <w:rPr>
          <w:lang w:val="en-US"/>
        </w:rPr>
        <w:t xml:space="preserve">Raha ny momba ny fitaterana anatiny, ny olana amin'ny fifandraisana dia mbola mitohy hatrany ny fitomboan’ny rojom-barotra ka miteraka tsy fahombiazana, na ho an’ny varotra anatiny na ho an'ny fanondranana. Ao anatin'izany toe-javatra izany indrindra no misy ity </w:t>
      </w:r>
      <w:r w:rsidR="00995F7C" w:rsidRPr="00D42025">
        <w:rPr>
          <w:lang w:val="en-US"/>
        </w:rPr>
        <w:t>Tetik’asa Mampifandray an’i Madagasikara ho amin’ny F</w:t>
      </w:r>
      <w:r w:rsidR="00F6445B" w:rsidRPr="00D42025">
        <w:rPr>
          <w:lang w:val="en-US"/>
        </w:rPr>
        <w:t>ampandrosoana</w:t>
      </w:r>
      <w:r w:rsidR="00995F7C" w:rsidRPr="00D42025">
        <w:rPr>
          <w:lang w:val="en-US"/>
        </w:rPr>
        <w:t xml:space="preserve"> Miaty</w:t>
      </w:r>
      <w:r w:rsidRPr="00D42025">
        <w:rPr>
          <w:lang w:val="en-US"/>
        </w:rPr>
        <w:t xml:space="preserve"> (</w:t>
      </w:r>
      <w:r w:rsidR="001342EC" w:rsidRPr="00D42025">
        <w:rPr>
          <w:lang w:val="en-US"/>
        </w:rPr>
        <w:t>PCMCI</w:t>
      </w:r>
      <w:r w:rsidRPr="00D42025">
        <w:rPr>
          <w:lang w:val="en-US"/>
        </w:rPr>
        <w:t>) ity.</w:t>
      </w:r>
    </w:p>
    <w:p w14:paraId="5472FBDA" w14:textId="34D0F9DE" w:rsidR="00DF575C" w:rsidRPr="00D42025" w:rsidRDefault="00995F7C" w:rsidP="00DF575C">
      <w:pPr>
        <w:rPr>
          <w:b/>
          <w:lang w:val="en-US"/>
        </w:rPr>
      </w:pPr>
      <w:r w:rsidRPr="00D42025">
        <w:rPr>
          <w:b/>
          <w:lang w:val="en-US"/>
        </w:rPr>
        <w:t>FAMARITANA NY TETIKASA</w:t>
      </w:r>
    </w:p>
    <w:p w14:paraId="5A34B48F" w14:textId="799628F8" w:rsidR="00DF575C" w:rsidRPr="00D42025" w:rsidRDefault="00DF575C" w:rsidP="00DF575C">
      <w:pPr>
        <w:rPr>
          <w:lang w:val="en-US"/>
        </w:rPr>
      </w:pPr>
      <w:r w:rsidRPr="00D42025">
        <w:rPr>
          <w:lang w:val="en-US"/>
        </w:rPr>
        <w:t xml:space="preserve">Ny tanjom-pampandrosoana kendren'ny </w:t>
      </w:r>
      <w:r w:rsidR="001342EC" w:rsidRPr="00D42025">
        <w:rPr>
          <w:lang w:val="en-US"/>
        </w:rPr>
        <w:t>PCMCI</w:t>
      </w:r>
      <w:r w:rsidRPr="00D42025">
        <w:rPr>
          <w:lang w:val="en-US"/>
        </w:rPr>
        <w:t xml:space="preserve"> dia ny hanatsara ny fifandraisana amin'ny fitaterana any amin'ireo faritra ambanivohitra voafantina mba hampitomboana ny fahafahan'ny vondrom-piarahamonina misitraka ny fanatsarana ara-tsosialy sy ara-toekarena.</w:t>
      </w:r>
    </w:p>
    <w:p w14:paraId="32FFAE0A" w14:textId="2067705E" w:rsidR="00DF575C" w:rsidRPr="003617DE" w:rsidRDefault="00DF575C" w:rsidP="00DF575C">
      <w:pPr>
        <w:rPr>
          <w:lang w:val="pt-BR"/>
        </w:rPr>
      </w:pPr>
      <w:r w:rsidRPr="00F66E10">
        <w:rPr>
          <w:lang w:val="pt-BR"/>
        </w:rPr>
        <w:t xml:space="preserve">Ity programa ity dia natao hisy dingana vitsivitsy ka ity fanadihadiana ity dia mifandraika amin'ny dingana 1. Ny tanjon'ity dingana 1 amin'ny Programa ity dia ny hanatsara ny fifandraisana any ambanivohitra ao amin'ny Faritra SAVA, DIANA, ANALANJIROFO, SOFIA, BOENY, </w:t>
      </w:r>
      <w:r w:rsidR="00F22CFF">
        <w:rPr>
          <w:lang w:val="pt-BR"/>
        </w:rPr>
        <w:t>ALAOTRA MANGORO, ATSINANANA, FITOVINANY, AMORON’I MANIA,</w:t>
      </w:r>
      <w:r w:rsidRPr="00F66E10">
        <w:rPr>
          <w:lang w:val="pt-BR"/>
        </w:rPr>
        <w:t>IHOROMBE,</w:t>
      </w:r>
      <w:r w:rsidR="00F22CFF">
        <w:rPr>
          <w:lang w:val="pt-BR"/>
        </w:rPr>
        <w:t xml:space="preserve"> ATSIMO ANDREFANA</w:t>
      </w:r>
      <w:r w:rsidRPr="00F66E10">
        <w:rPr>
          <w:lang w:val="pt-BR"/>
        </w:rPr>
        <w:t xml:space="preserve"> ANDROY ary ANOSY. </w:t>
      </w:r>
      <w:r w:rsidRPr="003617DE">
        <w:rPr>
          <w:lang w:val="pt-BR"/>
        </w:rPr>
        <w:t>Miorina amin’ireto Tangoronasa 4 manaraka ireto ny Programa :</w:t>
      </w:r>
    </w:p>
    <w:tbl>
      <w:tblPr>
        <w:tblStyle w:val="TableGrid"/>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8613"/>
      </w:tblGrid>
      <w:tr w:rsidR="00DF575C" w:rsidRPr="00EB1995" w14:paraId="2C5CF932" w14:textId="77777777" w:rsidTr="00E106BA">
        <w:tc>
          <w:tcPr>
            <w:tcW w:w="9606" w:type="dxa"/>
            <w:gridSpan w:val="2"/>
          </w:tcPr>
          <w:p w14:paraId="15C4722E" w14:textId="77777777" w:rsidR="00DF575C" w:rsidRPr="008858D5" w:rsidRDefault="00DF575C" w:rsidP="00DF575C">
            <w:pPr>
              <w:rPr>
                <w:b/>
                <w:i/>
                <w:lang w:val="pt-BR"/>
              </w:rPr>
            </w:pPr>
            <w:r w:rsidRPr="008858D5">
              <w:rPr>
                <w:b/>
                <w:i/>
                <w:lang w:val="pt-BR"/>
              </w:rPr>
              <w:t>Tangoronasa 1: Asa fanatsarana sy fampitomboana ny faharetan'ireto lalam-pirenena manaraka ireto</w:t>
            </w:r>
          </w:p>
        </w:tc>
      </w:tr>
      <w:tr w:rsidR="00DF575C" w:rsidRPr="00DF575C" w14:paraId="5F7E2E34" w14:textId="77777777" w:rsidTr="00E106BA">
        <w:tc>
          <w:tcPr>
            <w:tcW w:w="993" w:type="dxa"/>
          </w:tcPr>
          <w:p w14:paraId="05D0CCA2" w14:textId="77777777" w:rsidR="00DF575C" w:rsidRPr="008858D5" w:rsidRDefault="00DF575C" w:rsidP="00DF575C">
            <w:pPr>
              <w:rPr>
                <w:lang w:val="pt-BR"/>
              </w:rPr>
            </w:pPr>
          </w:p>
        </w:tc>
        <w:tc>
          <w:tcPr>
            <w:tcW w:w="8613" w:type="dxa"/>
          </w:tcPr>
          <w:p w14:paraId="364711AF" w14:textId="77777777" w:rsidR="00DF575C" w:rsidRPr="00DF575C" w:rsidRDefault="00DF575C" w:rsidP="00DF575C">
            <w:r w:rsidRPr="00DF575C">
              <w:t>Fanamboaran-dalana :</w:t>
            </w:r>
          </w:p>
        </w:tc>
      </w:tr>
      <w:tr w:rsidR="00DF575C" w:rsidRPr="00EB1995" w14:paraId="43E52C66" w14:textId="77777777" w:rsidTr="00E106BA">
        <w:tc>
          <w:tcPr>
            <w:tcW w:w="993" w:type="dxa"/>
          </w:tcPr>
          <w:p w14:paraId="06BF739C" w14:textId="77777777" w:rsidR="00DF575C" w:rsidRPr="00DF575C" w:rsidRDefault="00DF575C" w:rsidP="00DF575C"/>
        </w:tc>
        <w:tc>
          <w:tcPr>
            <w:tcW w:w="8613" w:type="dxa"/>
          </w:tcPr>
          <w:p w14:paraId="79C2DEAB" w14:textId="77777777" w:rsidR="00DF575C" w:rsidRPr="00FD08CC" w:rsidRDefault="00DF575C" w:rsidP="00DF575C">
            <w:pPr>
              <w:rPr>
                <w:lang w:val="en-US"/>
              </w:rPr>
            </w:pPr>
            <w:r w:rsidRPr="00FD08CC">
              <w:rPr>
                <w:lang w:val="en-US"/>
              </w:rPr>
              <w:t>RN31: 203 km, fanatsarana ny ampahan’ny lalan-tany eo anelanelan'i Bealanana sy Andapa</w:t>
            </w:r>
          </w:p>
        </w:tc>
      </w:tr>
      <w:tr w:rsidR="00DF575C" w:rsidRPr="00EB1995" w14:paraId="1C2376F5" w14:textId="77777777" w:rsidTr="00E106BA">
        <w:tc>
          <w:tcPr>
            <w:tcW w:w="993" w:type="dxa"/>
          </w:tcPr>
          <w:p w14:paraId="49E51CA5" w14:textId="77777777" w:rsidR="00DF575C" w:rsidRPr="00FD08CC" w:rsidRDefault="00DF575C" w:rsidP="00DF575C">
            <w:pPr>
              <w:rPr>
                <w:lang w:val="en-US"/>
              </w:rPr>
            </w:pPr>
          </w:p>
        </w:tc>
        <w:tc>
          <w:tcPr>
            <w:tcW w:w="8613" w:type="dxa"/>
          </w:tcPr>
          <w:p w14:paraId="7588CCBD" w14:textId="77777777" w:rsidR="00DF575C" w:rsidRPr="00FD08CC" w:rsidRDefault="00DF575C" w:rsidP="00DF575C">
            <w:pPr>
              <w:rPr>
                <w:lang w:val="en-US"/>
              </w:rPr>
            </w:pPr>
            <w:r w:rsidRPr="00FD08CC">
              <w:rPr>
                <w:lang w:val="en-US"/>
              </w:rPr>
              <w:t>RN13: 389 km, fanatsarana ny ampahan’ny lalan-tany eo anelanelan'Ambovombe sy Ihosy (sampanan-dàlana mandray ny RN7)</w:t>
            </w:r>
          </w:p>
        </w:tc>
      </w:tr>
      <w:tr w:rsidR="00DF575C" w:rsidRPr="00DF575C" w14:paraId="201A4DB5" w14:textId="77777777" w:rsidTr="00E106BA">
        <w:tc>
          <w:tcPr>
            <w:tcW w:w="993" w:type="dxa"/>
          </w:tcPr>
          <w:p w14:paraId="17975811" w14:textId="77777777" w:rsidR="00DF575C" w:rsidRPr="00FD08CC" w:rsidRDefault="00DF575C" w:rsidP="00DF575C">
            <w:pPr>
              <w:rPr>
                <w:lang w:val="en-US"/>
              </w:rPr>
            </w:pPr>
          </w:p>
        </w:tc>
        <w:tc>
          <w:tcPr>
            <w:tcW w:w="8613" w:type="dxa"/>
          </w:tcPr>
          <w:p w14:paraId="241A4D75" w14:textId="77777777" w:rsidR="00DF575C" w:rsidRPr="00DF575C" w:rsidRDefault="00DF575C" w:rsidP="00DF575C">
            <w:r w:rsidRPr="00DF575C">
              <w:t>Fanadihadiana fanomanana :</w:t>
            </w:r>
          </w:p>
        </w:tc>
      </w:tr>
      <w:tr w:rsidR="00DF575C" w:rsidRPr="003617DE" w14:paraId="1F54BF6B" w14:textId="77777777" w:rsidTr="00E106BA">
        <w:tc>
          <w:tcPr>
            <w:tcW w:w="993" w:type="dxa"/>
          </w:tcPr>
          <w:p w14:paraId="2C23E82E" w14:textId="77777777" w:rsidR="00DF575C" w:rsidRPr="00DF575C" w:rsidRDefault="00DF575C" w:rsidP="00DF575C"/>
        </w:tc>
        <w:tc>
          <w:tcPr>
            <w:tcW w:w="8613" w:type="dxa"/>
          </w:tcPr>
          <w:p w14:paraId="788EF4DD" w14:textId="77777777" w:rsidR="00DF575C" w:rsidRPr="00D42025" w:rsidRDefault="00DF575C" w:rsidP="00DF575C">
            <w:r w:rsidRPr="00D42025">
              <w:t>RNT3B : 100 km, lalana vita amin’ny tara, mampifandray an'Ambarihomiambina (sampanan-dàlana mandray ny RNS5a) sy Andapa</w:t>
            </w:r>
          </w:p>
        </w:tc>
      </w:tr>
      <w:tr w:rsidR="00DF575C" w:rsidRPr="003617DE" w14:paraId="2921AB83" w14:textId="77777777" w:rsidTr="00E106BA">
        <w:tc>
          <w:tcPr>
            <w:tcW w:w="993" w:type="dxa"/>
          </w:tcPr>
          <w:p w14:paraId="11402C8A" w14:textId="77777777" w:rsidR="00DF575C" w:rsidRPr="00D42025" w:rsidRDefault="00DF575C" w:rsidP="00DF575C"/>
        </w:tc>
        <w:tc>
          <w:tcPr>
            <w:tcW w:w="8613" w:type="dxa"/>
          </w:tcPr>
          <w:p w14:paraId="65F9543E" w14:textId="77777777" w:rsidR="00DF575C" w:rsidRPr="00D42025" w:rsidRDefault="00DF575C" w:rsidP="00DF575C">
            <w:r w:rsidRPr="00D42025">
              <w:t>RN6 : 476 km izay lalana vita amin’ny tara, mampifandray an'Ambondromamy sy Ambanja.</w:t>
            </w:r>
          </w:p>
        </w:tc>
      </w:tr>
      <w:tr w:rsidR="00DF575C" w:rsidRPr="003617DE" w14:paraId="007EC64E" w14:textId="77777777" w:rsidTr="00E106BA">
        <w:tc>
          <w:tcPr>
            <w:tcW w:w="9606" w:type="dxa"/>
            <w:gridSpan w:val="2"/>
          </w:tcPr>
          <w:p w14:paraId="0BBD8407" w14:textId="77777777" w:rsidR="00DF575C" w:rsidRPr="00D42025" w:rsidRDefault="00DF575C" w:rsidP="00DF575C">
            <w:pPr>
              <w:rPr>
                <w:b/>
                <w:i/>
              </w:rPr>
            </w:pPr>
            <w:r w:rsidRPr="00D42025">
              <w:rPr>
                <w:b/>
                <w:i/>
              </w:rPr>
              <w:t>Tangoronasa 2: Asa fanatsarana lalana ahafahana misitraka ny tombontsoa ara-tsosialy sy ara-toekarena ao amin'ny faritra voafidy</w:t>
            </w:r>
          </w:p>
        </w:tc>
      </w:tr>
      <w:tr w:rsidR="00DF575C" w:rsidRPr="003617DE" w14:paraId="162624AD" w14:textId="77777777" w:rsidTr="00E106BA">
        <w:tc>
          <w:tcPr>
            <w:tcW w:w="993" w:type="dxa"/>
          </w:tcPr>
          <w:p w14:paraId="1A8A55EF" w14:textId="77777777" w:rsidR="00DF575C" w:rsidRPr="00D42025" w:rsidRDefault="00DF575C" w:rsidP="00DF575C"/>
        </w:tc>
        <w:tc>
          <w:tcPr>
            <w:tcW w:w="8613" w:type="dxa"/>
          </w:tcPr>
          <w:p w14:paraId="480F831F" w14:textId="77777777" w:rsidR="00DF575C" w:rsidRPr="00D42025" w:rsidRDefault="00DF575C" w:rsidP="00DF575C">
            <w:r w:rsidRPr="00D42025">
              <w:t>Zana-tangoronasa 2.1. Fanarenana ireo lalana voafantina ao amin'ny faritra sy ny kaominina any amin'ireo faritra izay natao laharam-pahamehana ary fametrahana ny fomba fikojakojana ny lalana izay zakain’ny vondrom-piarahamonina (500km)</w:t>
            </w:r>
          </w:p>
        </w:tc>
      </w:tr>
      <w:tr w:rsidR="00DF575C" w:rsidRPr="000645FD" w14:paraId="7FF5B499" w14:textId="77777777" w:rsidTr="00E106BA">
        <w:tc>
          <w:tcPr>
            <w:tcW w:w="993" w:type="dxa"/>
          </w:tcPr>
          <w:p w14:paraId="5059CBED" w14:textId="77777777" w:rsidR="00DF575C" w:rsidRPr="00D42025" w:rsidRDefault="00DF575C" w:rsidP="00DF575C"/>
        </w:tc>
        <w:tc>
          <w:tcPr>
            <w:tcW w:w="8613" w:type="dxa"/>
          </w:tcPr>
          <w:p w14:paraId="1FF11D17" w14:textId="77777777" w:rsidR="00DF575C" w:rsidRPr="00F66E10" w:rsidRDefault="00DF575C" w:rsidP="00DF575C">
            <w:pPr>
              <w:rPr>
                <w:lang w:val="pt-BR"/>
              </w:rPr>
            </w:pPr>
            <w:r w:rsidRPr="00F66E10">
              <w:rPr>
                <w:lang w:val="pt-BR"/>
              </w:rPr>
              <w:t>Zana-tangoronasa 2.2: Fametrahana fifanarahana ara-kasa mifototra amin'ny fahaiza-mikoja lalan-tany.</w:t>
            </w:r>
          </w:p>
        </w:tc>
      </w:tr>
      <w:tr w:rsidR="00DF575C" w:rsidRPr="00EB1995" w14:paraId="5A160D3E" w14:textId="77777777" w:rsidTr="00E106BA">
        <w:tc>
          <w:tcPr>
            <w:tcW w:w="993" w:type="dxa"/>
          </w:tcPr>
          <w:p w14:paraId="101E4919" w14:textId="77777777" w:rsidR="00DF575C" w:rsidRPr="00F66E10" w:rsidRDefault="00DF575C" w:rsidP="00DF575C">
            <w:pPr>
              <w:rPr>
                <w:lang w:val="pt-BR"/>
              </w:rPr>
            </w:pPr>
          </w:p>
        </w:tc>
        <w:tc>
          <w:tcPr>
            <w:tcW w:w="8613" w:type="dxa"/>
          </w:tcPr>
          <w:p w14:paraId="74E6ECC4" w14:textId="77777777" w:rsidR="00DF575C" w:rsidRPr="00F66E10" w:rsidRDefault="00DF575C" w:rsidP="00DF575C">
            <w:pPr>
              <w:rPr>
                <w:lang w:val="pt-BR"/>
              </w:rPr>
            </w:pPr>
            <w:r w:rsidRPr="00F66E10">
              <w:rPr>
                <w:lang w:val="pt-BR"/>
              </w:rPr>
              <w:t xml:space="preserve">Zana-tangoronasa 2.3: Asa andrana ara-tsosialy fanampiny amin'ny lalana kaominaly sy lalam-pamatsiana voafantina. </w:t>
            </w:r>
          </w:p>
        </w:tc>
      </w:tr>
      <w:tr w:rsidR="00DF575C" w:rsidRPr="00EB1995" w14:paraId="41F2A217" w14:textId="77777777" w:rsidTr="00E106BA">
        <w:tc>
          <w:tcPr>
            <w:tcW w:w="993" w:type="dxa"/>
          </w:tcPr>
          <w:p w14:paraId="1B06EF0C" w14:textId="77777777" w:rsidR="00DF575C" w:rsidRPr="00F66E10" w:rsidRDefault="00DF575C" w:rsidP="00DF575C">
            <w:pPr>
              <w:rPr>
                <w:lang w:val="pt-BR"/>
              </w:rPr>
            </w:pPr>
          </w:p>
        </w:tc>
        <w:tc>
          <w:tcPr>
            <w:tcW w:w="8613" w:type="dxa"/>
          </w:tcPr>
          <w:p w14:paraId="740D6BEF" w14:textId="77777777" w:rsidR="00DF575C" w:rsidRPr="00F66E10" w:rsidRDefault="00DF575C" w:rsidP="00DF575C">
            <w:pPr>
              <w:rPr>
                <w:lang w:val="pt-BR"/>
              </w:rPr>
            </w:pPr>
            <w:r w:rsidRPr="00F66E10">
              <w:rPr>
                <w:lang w:val="pt-BR"/>
              </w:rPr>
              <w:t>Ao anatin’io Tangoronasa io koa no kasain’ny Programa hampifandraisana ny fandaharan'asa amin'ny hetsika fampimirana ny lahy sy ny vavy.</w:t>
            </w:r>
          </w:p>
        </w:tc>
      </w:tr>
      <w:tr w:rsidR="00DF575C" w:rsidRPr="00EB1995" w14:paraId="2268DD94" w14:textId="77777777" w:rsidTr="00E106BA">
        <w:tc>
          <w:tcPr>
            <w:tcW w:w="9606" w:type="dxa"/>
            <w:gridSpan w:val="2"/>
          </w:tcPr>
          <w:p w14:paraId="14412659" w14:textId="77777777" w:rsidR="00DF575C" w:rsidRPr="003617DE" w:rsidRDefault="00DF575C" w:rsidP="00DF575C">
            <w:pPr>
              <w:rPr>
                <w:b/>
                <w:i/>
                <w:lang w:val="pt-BR"/>
              </w:rPr>
            </w:pPr>
            <w:r w:rsidRPr="003617DE">
              <w:rPr>
                <w:b/>
                <w:i/>
                <w:lang w:val="pt-BR"/>
              </w:rPr>
              <w:t>Tangoronasa 3: Fanampiana ara-teknika sy fanohanana ny fanavaozana ny sehatry ny lalana sy ny fitaterana</w:t>
            </w:r>
          </w:p>
        </w:tc>
      </w:tr>
      <w:tr w:rsidR="00DF575C" w:rsidRPr="00EB1995" w14:paraId="7B18AAFB" w14:textId="77777777" w:rsidTr="00E106BA">
        <w:tc>
          <w:tcPr>
            <w:tcW w:w="9606" w:type="dxa"/>
            <w:gridSpan w:val="2"/>
          </w:tcPr>
          <w:p w14:paraId="15920160" w14:textId="77777777" w:rsidR="00DF575C" w:rsidRDefault="00DF575C" w:rsidP="00DF575C">
            <w:pPr>
              <w:rPr>
                <w:b/>
                <w:i/>
                <w:lang w:val="pt-BR"/>
              </w:rPr>
            </w:pPr>
            <w:r w:rsidRPr="003617DE">
              <w:rPr>
                <w:b/>
                <w:i/>
                <w:lang w:val="pt-BR"/>
              </w:rPr>
              <w:t>Tangoronasa 4: Asa Vonjy taitra (na « CERC »)</w:t>
            </w:r>
          </w:p>
          <w:p w14:paraId="0C26BD1C" w14:textId="77777777" w:rsidR="00616670" w:rsidRDefault="00616670" w:rsidP="00DF575C">
            <w:pPr>
              <w:rPr>
                <w:bCs/>
                <w:iCs/>
                <w:lang w:val="pt-BR"/>
              </w:rPr>
            </w:pPr>
            <w:r w:rsidRPr="00616670">
              <w:rPr>
                <w:bCs/>
                <w:iCs/>
                <w:lang w:val="pt-BR"/>
              </w:rPr>
              <w:t xml:space="preserve">Ny tangoronasa 4, izay mikasika ny Asa Vonjy </w:t>
            </w:r>
            <w:r w:rsidRPr="003617DE">
              <w:rPr>
                <w:bCs/>
                <w:iCs/>
                <w:lang w:val="pt-BR"/>
              </w:rPr>
              <w:t>tai</w:t>
            </w:r>
            <w:r>
              <w:rPr>
                <w:bCs/>
                <w:iCs/>
                <w:lang w:val="pt-BR"/>
              </w:rPr>
              <w:t>tra, dia voalamina ho dingana roa samihafa mifanaraka amin’ireo zava-misy ara-toetrandro samihafa izay nisy fiantrailany teo amin’ny firenena.</w:t>
            </w:r>
          </w:p>
          <w:p w14:paraId="3C2813B9" w14:textId="138AA25B" w:rsidR="00616670" w:rsidRDefault="00616670" w:rsidP="00DF575C">
            <w:pPr>
              <w:rPr>
                <w:bCs/>
                <w:iCs/>
                <w:lang w:val="pt-BR"/>
              </w:rPr>
            </w:pPr>
            <w:r>
              <w:rPr>
                <w:bCs/>
                <w:iCs/>
                <w:lang w:val="pt-BR"/>
              </w:rPr>
              <w:t>Ny dingana voalohany (CERC 1) dia nampandehanana tamin’ny 6 Martsa 2024, taorian’ireo oram-be mahery vaika nitranga nandritra ny volana Febroary 2024, izay niteraka fahasimbana goavana tamin’ireo fotodrafitrasa, indrindra tany amin’ny faritra avaratr’ny firenena.</w:t>
            </w:r>
          </w:p>
          <w:p w14:paraId="5397E151" w14:textId="59DBECE0" w:rsidR="00616670" w:rsidRDefault="00616670" w:rsidP="00DF575C">
            <w:pPr>
              <w:rPr>
                <w:bCs/>
                <w:iCs/>
                <w:lang w:val="pt-BR"/>
              </w:rPr>
            </w:pPr>
            <w:r>
              <w:rPr>
                <w:bCs/>
                <w:iCs/>
                <w:lang w:val="pt-BR"/>
              </w:rPr>
              <w:t>Ny dingana faharoa (CERC 2) kosa dia vokatry ny fandalovan’ireo rivodoza FYTIA (tamin’ny 31 Janoary 2026) sy GEZANI ( tamin’ny 10 Febroary 2026), izay nahatonga fahasimbana lehibe teo amin’ireo fotodrafitrasa sosialy sy lalana manerana ny firenena.</w:t>
            </w:r>
          </w:p>
          <w:p w14:paraId="2C0947EA" w14:textId="2AA2F052" w:rsidR="00616670" w:rsidRPr="00616670" w:rsidRDefault="00616670" w:rsidP="00DF575C">
            <w:pPr>
              <w:rPr>
                <w:bCs/>
                <w:iCs/>
                <w:lang w:val="pt-BR"/>
              </w:rPr>
            </w:pPr>
            <w:r>
              <w:rPr>
                <w:bCs/>
                <w:iCs/>
                <w:lang w:val="pt-BR"/>
              </w:rPr>
              <w:t>Ny CERC 1  dia voarafitra manodidina ny zana-singa roa lehibe :</w:t>
            </w:r>
          </w:p>
        </w:tc>
      </w:tr>
      <w:tr w:rsidR="00F6445B" w:rsidRPr="00EB1995" w14:paraId="31ABBE27" w14:textId="77777777" w:rsidTr="00E106BA">
        <w:tc>
          <w:tcPr>
            <w:tcW w:w="9606" w:type="dxa"/>
            <w:gridSpan w:val="2"/>
          </w:tcPr>
          <w:p w14:paraId="4E3495DA" w14:textId="6A4E49E9" w:rsidR="00F6445B" w:rsidRDefault="00616670" w:rsidP="003617DE">
            <w:pPr>
              <w:ind w:left="1032"/>
              <w:rPr>
                <w:lang w:val="pt-BR"/>
              </w:rPr>
            </w:pPr>
            <w:r w:rsidRPr="003617DE">
              <w:rPr>
                <w:lang w:val="pt-BR"/>
              </w:rPr>
              <w:t>Fanarenana ny lalam-pirenena RNP4 sy RNP6,</w:t>
            </w:r>
          </w:p>
          <w:p w14:paraId="082C3A49" w14:textId="77777777" w:rsidR="00616670" w:rsidRDefault="00616670" w:rsidP="003617DE">
            <w:pPr>
              <w:ind w:left="1032"/>
              <w:rPr>
                <w:lang w:val="pt-BR"/>
              </w:rPr>
            </w:pPr>
            <w:r>
              <w:rPr>
                <w:lang w:val="pt-BR"/>
              </w:rPr>
              <w:t>Fanarenana ny seranantsambon’i Mahajanga</w:t>
            </w:r>
          </w:p>
          <w:p w14:paraId="4DEA542A" w14:textId="4810E848" w:rsidR="00616670" w:rsidRPr="003617DE" w:rsidRDefault="00616670" w:rsidP="005864E5">
            <w:pPr>
              <w:rPr>
                <w:lang w:val="pt-BR"/>
              </w:rPr>
            </w:pPr>
            <w:r>
              <w:rPr>
                <w:lang w:val="pt-BR"/>
              </w:rPr>
              <w:t>Ny CERC 2 dia mifantoka bebe kokoa amin’ny fanatanterahana ny asa fanarenana maika ireo fotodrafitrasa lalana, RNP6,</w:t>
            </w:r>
            <w:r w:rsidR="005864E5">
              <w:rPr>
                <w:lang w:val="pt-BR"/>
              </w:rPr>
              <w:t xml:space="preserve"> RNP7, RNS30, RNS44 ary RNT3A, lalana vita amin’ny rarivato mandeha Ambila ary ny fanarenana ny “boulevard” Ratsimilaho ao Toamasina.</w:t>
            </w:r>
          </w:p>
        </w:tc>
      </w:tr>
    </w:tbl>
    <w:p w14:paraId="7C644A41" w14:textId="16DE77AC" w:rsidR="00DF575C" w:rsidRDefault="00DF575C" w:rsidP="00DF575C">
      <w:pPr>
        <w:rPr>
          <w:lang w:val="pt-BR"/>
        </w:rPr>
      </w:pPr>
      <w:r w:rsidRPr="003617DE">
        <w:rPr>
          <w:lang w:val="pt-BR"/>
        </w:rPr>
        <w:t xml:space="preserve">Araka ny lalàna nasionaly sy ny Fenitra ara-tontolo iainana sy sosialin’ny Banky iraisam-pirenena (FETIS), ny </w:t>
      </w:r>
      <w:r w:rsidR="001342EC" w:rsidRPr="003617DE">
        <w:rPr>
          <w:lang w:val="pt-BR"/>
        </w:rPr>
        <w:t>PCMCI</w:t>
      </w:r>
      <w:r w:rsidRPr="003617DE">
        <w:rPr>
          <w:lang w:val="pt-BR"/>
        </w:rPr>
        <w:t xml:space="preserve"> dia tsy maintsy mandalo fanombanana ara-tontolo iainana sy ara-tsosialy mba hahazoana antoka fa ny fampiasam-bola nomanina dia hiteraka afa-tsy izay fiantraika kely indrindra ary hitondra tombontsoa lehibe indrindra araka izay azo atao ho an'ny tontolo iainana sy ny mponina misitraka izany.</w:t>
      </w:r>
    </w:p>
    <w:p w14:paraId="255AA14A" w14:textId="668EFCB3" w:rsidR="00591B2F" w:rsidRDefault="00591B2F" w:rsidP="00DF575C">
      <w:pPr>
        <w:rPr>
          <w:b/>
          <w:bCs/>
          <w:i/>
          <w:iCs/>
          <w:lang w:val="pt-BR"/>
        </w:rPr>
      </w:pPr>
      <w:r>
        <w:rPr>
          <w:b/>
          <w:bCs/>
          <w:i/>
          <w:iCs/>
          <w:lang w:val="pt-BR"/>
        </w:rPr>
        <w:t>Tangoron’asa 5: Asa fanatsarana ny faharetan’ny fotodrafitrasa tetezana</w:t>
      </w:r>
    </w:p>
    <w:p w14:paraId="7AB3BD2C" w14:textId="289F8F4C" w:rsidR="00591B2F" w:rsidRDefault="00591B2F" w:rsidP="00844538">
      <w:pPr>
        <w:pStyle w:val="ListParagraph"/>
        <w:numPr>
          <w:ilvl w:val="0"/>
          <w:numId w:val="191"/>
        </w:numPr>
        <w:rPr>
          <w:lang w:val="pt-BR"/>
        </w:rPr>
      </w:pPr>
      <w:r>
        <w:rPr>
          <w:lang w:val="pt-BR"/>
        </w:rPr>
        <w:t xml:space="preserve">Fividianana tetezana </w:t>
      </w:r>
      <w:r w:rsidR="00D40848">
        <w:rPr>
          <w:lang w:val="pt-BR"/>
        </w:rPr>
        <w:t>afaka akambana (modulaire)</w:t>
      </w:r>
    </w:p>
    <w:p w14:paraId="33BE1972" w14:textId="63565ECB" w:rsidR="00591B2F" w:rsidRPr="00591B2F" w:rsidRDefault="00591B2F" w:rsidP="00844538">
      <w:pPr>
        <w:pStyle w:val="ListParagraph"/>
        <w:numPr>
          <w:ilvl w:val="0"/>
          <w:numId w:val="191"/>
        </w:numPr>
        <w:rPr>
          <w:lang w:val="pt-BR"/>
        </w:rPr>
      </w:pPr>
      <w:r>
        <w:rPr>
          <w:lang w:val="pt-BR"/>
        </w:rPr>
        <w:t>Fanarenana ny tetezana sy ny lalana simba vokatry ny rivodoza: tetezana Manambery amin’ny lalam-pirenena RN5a</w:t>
      </w:r>
    </w:p>
    <w:p w14:paraId="2E818F2F" w14:textId="75605DDE" w:rsidR="00DF575C" w:rsidRPr="00F66E10" w:rsidRDefault="00F6445B" w:rsidP="00DF575C">
      <w:pPr>
        <w:rPr>
          <w:b/>
          <w:lang w:val="pt-BR"/>
        </w:rPr>
      </w:pPr>
      <w:r w:rsidRPr="00F66E10">
        <w:rPr>
          <w:b/>
          <w:lang w:val="pt-BR"/>
        </w:rPr>
        <w:t>FIATREHANA IREO FIANTRAIKA ARA-TONTOLO IAINANA SY ARA-TSOSIALY</w:t>
      </w:r>
    </w:p>
    <w:p w14:paraId="3B5EC362" w14:textId="77777777" w:rsidR="00DF575C" w:rsidRPr="00F66E10" w:rsidRDefault="00DF575C" w:rsidP="00DF575C">
      <w:pPr>
        <w:rPr>
          <w:b/>
          <w:i/>
          <w:lang w:val="pt-BR"/>
        </w:rPr>
      </w:pPr>
      <w:r w:rsidRPr="00F66E10">
        <w:rPr>
          <w:b/>
          <w:i/>
          <w:lang w:val="pt-BR"/>
        </w:rPr>
        <w:t>Tahan'ny fiantraika</w:t>
      </w:r>
    </w:p>
    <w:p w14:paraId="3D7A611E" w14:textId="07530CE1" w:rsidR="00DF575C" w:rsidRPr="00F66E10" w:rsidRDefault="00DF575C" w:rsidP="00DF575C">
      <w:pPr>
        <w:rPr>
          <w:lang w:val="pt-BR"/>
        </w:rPr>
      </w:pPr>
      <w:r w:rsidRPr="00F66E10">
        <w:rPr>
          <w:lang w:val="pt-BR"/>
        </w:rPr>
        <w:t xml:space="preserve">Ny fanatanterahana ny Programa dia hiteraka fiantraika ara-tontolo iainana sy ara-tsosialy izay izay heverina fa ho voafetra ihany. Noho izany dia tsy ho mandrakizay ny fiantraika ary ho azo tantanana amin'ny fampiasana fomba mahazatra. Vokatr'izany, ny tetikasa </w:t>
      </w:r>
      <w:r w:rsidR="001342EC" w:rsidRPr="00F66E10">
        <w:rPr>
          <w:lang w:val="pt-BR"/>
        </w:rPr>
        <w:t>PCMCI</w:t>
      </w:r>
      <w:r w:rsidRPr="00F66E10">
        <w:rPr>
          <w:lang w:val="pt-BR"/>
        </w:rPr>
        <w:t xml:space="preserve"> dia nosokajiana ho ao anatin’ny kilasin’ny fiantraika "antonony". </w:t>
      </w:r>
      <w:r w:rsidR="00DC2162" w:rsidRPr="00F66E10">
        <w:rPr>
          <w:lang w:val="pt-BR"/>
        </w:rPr>
        <w:t>Toy izany koa ny tangoron’asa PCMCI/CERC.</w:t>
      </w:r>
    </w:p>
    <w:p w14:paraId="1AEC7F90" w14:textId="77777777" w:rsidR="00DF575C" w:rsidRPr="00F66E10" w:rsidRDefault="00DF575C" w:rsidP="00DF575C">
      <w:pPr>
        <w:rPr>
          <w:lang w:val="pt-BR"/>
        </w:rPr>
      </w:pPr>
      <w:r w:rsidRPr="00F66E10">
        <w:rPr>
          <w:lang w:val="pt-BR"/>
        </w:rPr>
        <w:t xml:space="preserve">Ao anatin'izany toe-javatra izany, mba hisorohana, hampihenana, hanalefahana na hanonerana ny loza mety hitranga, ny fanomanana sy ny fampiharana ny ity Rafitra Fitantanana ny Tontolo </w:t>
      </w:r>
      <w:r w:rsidRPr="00F66E10">
        <w:rPr>
          <w:lang w:val="pt-BR"/>
        </w:rPr>
        <w:lastRenderedPageBreak/>
        <w:t xml:space="preserve">Iainana sy ny Fiaraha-monina (RFTIFM) ity dia tokony ahafahana manatsara ny fiantraikany tsara ary manamaivana ny mety ho fiantraika ratsy mety hitranga amin'ny fampiharana azy. </w:t>
      </w:r>
    </w:p>
    <w:p w14:paraId="7DE66B9C" w14:textId="77777777" w:rsidR="00DF575C" w:rsidRPr="00F66E10" w:rsidRDefault="00DF575C" w:rsidP="00DF575C">
      <w:pPr>
        <w:rPr>
          <w:b/>
          <w:i/>
          <w:lang w:val="pt-BR"/>
        </w:rPr>
      </w:pPr>
      <w:r w:rsidRPr="00F66E10">
        <w:rPr>
          <w:b/>
          <w:i/>
          <w:lang w:val="pt-BR"/>
        </w:rPr>
        <w:t>Tanjon'ny RFTIFM</w:t>
      </w:r>
    </w:p>
    <w:p w14:paraId="0BBB37A3" w14:textId="77777777" w:rsidR="00DF575C" w:rsidRPr="00F66E10" w:rsidRDefault="00DF575C" w:rsidP="00DF575C">
      <w:pPr>
        <w:rPr>
          <w:lang w:val="pt-BR"/>
        </w:rPr>
      </w:pPr>
      <w:r w:rsidRPr="00F66E10">
        <w:rPr>
          <w:lang w:val="pt-BR"/>
        </w:rPr>
        <w:t>Ny tanjon'ny RFTIFM dia (i) ny hamaritana ny sokajy sy rafitra fitantanana ara-tontolo iainana sy ara-tsosialy mialoha ary (ii) hamantatra ireo fepetra sy fomba fampiharana ny tetikasa, ary izany dia hiantoka ny fanajana ireo fepetra takian’ireo FETIS-ny Banky Iraisam-pirenena amin'ny tetikasa famatsiam-bola, ary manaraka amin'ny fepetra takian'ny lalàna malagasy ara-tontolo iainana sy ara-tsosialy nasionaly.</w:t>
      </w:r>
    </w:p>
    <w:p w14:paraId="28521459" w14:textId="77777777" w:rsidR="00DF575C" w:rsidRPr="00F66E10" w:rsidRDefault="00DF575C" w:rsidP="00DF575C">
      <w:pPr>
        <w:rPr>
          <w:lang w:val="pt-BR"/>
        </w:rPr>
      </w:pPr>
      <w:r w:rsidRPr="00F66E10">
        <w:rPr>
          <w:lang w:val="pt-BR"/>
        </w:rPr>
        <w:t>Amin'ny ankapobeny, satria mbola tsy voafaritra tsara ireo zana-tetikasa tamin'ny fotoana nanaovana ny fanadihadiana, dia mametraka ireo fitsipika izay hitarika ny fandalinana ara-tsosialy sy ara-tontolo iainana amin'ny hoavy mifandraika amin'izy ireo ny RFTIFM. Tafiditra ao anatin'izany ihany koa ny drafitra fototra momba ny tontolo iainana sy ny fitantanana ara-tsosialy ary ireo tovana isan-karazany izay entina anamorana ireo fanadihadiana ho avy.</w:t>
      </w:r>
    </w:p>
    <w:p w14:paraId="6FE373A5" w14:textId="77777777" w:rsidR="00DF575C" w:rsidRPr="00F66E10" w:rsidRDefault="00DF575C" w:rsidP="00DF575C">
      <w:pPr>
        <w:rPr>
          <w:lang w:val="pt-BR"/>
        </w:rPr>
      </w:pPr>
      <w:r w:rsidRPr="00F66E10">
        <w:rPr>
          <w:lang w:val="pt-BR"/>
        </w:rPr>
        <w:br w:type="page"/>
      </w:r>
    </w:p>
    <w:p w14:paraId="03D86E91" w14:textId="0A99C82F" w:rsidR="00DF575C" w:rsidRPr="00F66E10" w:rsidRDefault="00F6445B" w:rsidP="00DF575C">
      <w:pPr>
        <w:rPr>
          <w:b/>
          <w:lang w:val="pt-BR"/>
        </w:rPr>
      </w:pPr>
      <w:r w:rsidRPr="00F66E10">
        <w:rPr>
          <w:b/>
          <w:lang w:val="pt-BR"/>
        </w:rPr>
        <w:lastRenderedPageBreak/>
        <w:t>RAFITRA MIHATRA AMIN’NY FANOMBANANA ARA-TONTOLO IAINANA SY ARA-TSOSIALY</w:t>
      </w:r>
    </w:p>
    <w:p w14:paraId="21165A43" w14:textId="77777777" w:rsidR="00DF575C" w:rsidRPr="00F66E10" w:rsidRDefault="00DF575C" w:rsidP="00DF575C">
      <w:pPr>
        <w:rPr>
          <w:b/>
          <w:i/>
          <w:lang w:val="pt-BR"/>
        </w:rPr>
      </w:pPr>
      <w:r w:rsidRPr="00F66E10">
        <w:rPr>
          <w:b/>
          <w:i/>
          <w:lang w:val="pt-BR"/>
        </w:rPr>
        <w:t>Lalàna nasionaly momba ny tontolo iainana</w:t>
      </w:r>
    </w:p>
    <w:p w14:paraId="71918EE8" w14:textId="425045D0" w:rsidR="00DF575C" w:rsidRPr="00F66E10" w:rsidRDefault="00DF575C" w:rsidP="00DF575C">
      <w:pPr>
        <w:rPr>
          <w:lang w:val="pt-BR"/>
        </w:rPr>
      </w:pPr>
      <w:r w:rsidRPr="00F66E10">
        <w:rPr>
          <w:lang w:val="pt-BR"/>
        </w:rPr>
        <w:t>Araka ny Andininy faha-13 ao amin'ny Sata fototra momba ny Tontolo Iainana nohavaozina, ny tetikasa fampiasam-bola rehetra, na miankina na tsy miankina, mety hanimba ny tontolo iainana dia tsy maintsy manatanteraka fanombanana ny fiantraikan’izany ara-tontolo iainana sy ara-tsosialy. Ho setrin'izany fanambarana izany dia namoaka ny didim-panjakana laharana faha-</w:t>
      </w:r>
      <w:r w:rsidR="006E45EA">
        <w:rPr>
          <w:lang w:val="pt-BR"/>
        </w:rPr>
        <w:t>2025-080</w:t>
      </w:r>
      <w:r w:rsidRPr="00F66E10">
        <w:rPr>
          <w:lang w:val="pt-BR"/>
        </w:rPr>
        <w:t xml:space="preserve"> tamin'ny </w:t>
      </w:r>
      <w:r w:rsidR="006E45EA">
        <w:rPr>
          <w:lang w:val="pt-BR"/>
        </w:rPr>
        <w:t>28</w:t>
      </w:r>
      <w:r w:rsidRPr="00F66E10">
        <w:rPr>
          <w:lang w:val="pt-BR"/>
        </w:rPr>
        <w:t xml:space="preserve"> </w:t>
      </w:r>
      <w:r w:rsidR="006E45EA">
        <w:rPr>
          <w:lang w:val="pt-BR"/>
        </w:rPr>
        <w:t>Janoary 2025</w:t>
      </w:r>
      <w:r w:rsidRPr="00F66E10">
        <w:rPr>
          <w:lang w:val="pt-BR"/>
        </w:rPr>
        <w:t xml:space="preserve"> ny fitondram-panjakana</w:t>
      </w:r>
      <w:r w:rsidR="006E45EA">
        <w:rPr>
          <w:lang w:val="pt-BR"/>
        </w:rPr>
        <w:t xml:space="preserve"> mikasika ny fampifaneranana ny fampiasam-bola amin’ny tontolo iainana</w:t>
      </w:r>
      <w:r w:rsidRPr="00F66E10">
        <w:rPr>
          <w:color w:val="auto"/>
          <w:lang w:val="pt-BR"/>
        </w:rPr>
        <w:t xml:space="preserve"> </w:t>
      </w:r>
      <w:r w:rsidR="00DC2162" w:rsidRPr="00F66E10">
        <w:rPr>
          <w:lang w:val="pt-BR"/>
        </w:rPr>
        <w:t xml:space="preserve">na </w:t>
      </w:r>
      <w:r w:rsidRPr="00F66E10">
        <w:rPr>
          <w:lang w:val="pt-BR"/>
        </w:rPr>
        <w:t xml:space="preserve">ny </w:t>
      </w:r>
      <w:r w:rsidR="00DC2162" w:rsidRPr="00F66E10">
        <w:rPr>
          <w:lang w:val="pt-BR"/>
        </w:rPr>
        <w:t xml:space="preserve">décret </w:t>
      </w:r>
      <w:r w:rsidRPr="00F66E10">
        <w:rPr>
          <w:lang w:val="pt-BR"/>
        </w:rPr>
        <w:t>MECIE.</w:t>
      </w:r>
    </w:p>
    <w:p w14:paraId="782460ED" w14:textId="7611F6C2" w:rsidR="00DF575C" w:rsidRPr="00F66E10" w:rsidRDefault="00DF575C" w:rsidP="00DF575C">
      <w:pPr>
        <w:rPr>
          <w:lang w:val="pt-BR"/>
        </w:rPr>
      </w:pPr>
      <w:r w:rsidRPr="00F66E10">
        <w:rPr>
          <w:lang w:val="pt-BR"/>
        </w:rPr>
        <w:t>Amin'ny ankapobeny, milaza ny MECIE fa mihatra amin’izay tetikasa rehetra mety hanimba ny tontolo iainana io didy io. Arakaraky ny toetra ara-teknika, ny haben'ny tetikasa ary ny harefon'ny manodidina dia mila manao Fanombanana feno ny fiantraika ara-tontolo iainana sy ara-tsosialy (na « EIES ») na ny Fandaharan'asa momba ny Fandraisana anjara amin'ny Tontolo Iainana</w:t>
      </w:r>
      <w:r w:rsidR="000410FA">
        <w:rPr>
          <w:lang w:val="pt-BR"/>
        </w:rPr>
        <w:t xml:space="preserve"> sy ara-tsosialy</w:t>
      </w:r>
      <w:r w:rsidRPr="00F66E10">
        <w:rPr>
          <w:lang w:val="pt-BR"/>
        </w:rPr>
        <w:t xml:space="preserve"> (na « PREE</w:t>
      </w:r>
      <w:r w:rsidR="000410FA">
        <w:rPr>
          <w:lang w:val="pt-BR"/>
        </w:rPr>
        <w:t>S</w:t>
      </w:r>
      <w:r w:rsidRPr="00F66E10">
        <w:rPr>
          <w:lang w:val="pt-BR"/>
        </w:rPr>
        <w:t> ») ilay tetikasa.</w:t>
      </w:r>
    </w:p>
    <w:p w14:paraId="26A74DAC" w14:textId="53CBD527" w:rsidR="00DF575C" w:rsidRPr="00F66E10" w:rsidRDefault="00DF575C" w:rsidP="00DF575C">
      <w:pPr>
        <w:rPr>
          <w:lang w:val="pt-BR"/>
        </w:rPr>
      </w:pPr>
      <w:r w:rsidRPr="00F66E10">
        <w:rPr>
          <w:lang w:val="pt-BR"/>
        </w:rPr>
        <w:t xml:space="preserve">Ny Fanombanana feno momba ny tontolo iainana sy ara-tsosialy (« EIES ») dia adidy mihatra amin'ireo tetikasa mety hiteraka fiantraika avo. Ny Fandaharan'asa momba ny Fandraisan'anjara amin'ny Tontolo Iainana </w:t>
      </w:r>
      <w:r w:rsidR="000410FA">
        <w:rPr>
          <w:lang w:val="pt-BR"/>
        </w:rPr>
        <w:t>sy Ara-tsosialy</w:t>
      </w:r>
      <w:r w:rsidRPr="00F66E10">
        <w:rPr>
          <w:lang w:val="pt-BR"/>
        </w:rPr>
        <w:t>(« PREE</w:t>
      </w:r>
      <w:r w:rsidR="000410FA">
        <w:rPr>
          <w:lang w:val="pt-BR"/>
        </w:rPr>
        <w:t>S</w:t>
      </w:r>
      <w:r w:rsidRPr="00F66E10">
        <w:rPr>
          <w:lang w:val="pt-BR"/>
        </w:rPr>
        <w:t> ») kosa dia natao ho an'ireo tetikasa izay mety hisy fiantraika voafetra eo amin'ny tontolo iainana.</w:t>
      </w:r>
    </w:p>
    <w:p w14:paraId="7B5B96C6" w14:textId="75B5C8D6" w:rsidR="00DF575C" w:rsidRPr="00F66E10" w:rsidRDefault="00DF575C" w:rsidP="00DF575C">
      <w:pPr>
        <w:rPr>
          <w:lang w:val="pt-BR"/>
        </w:rPr>
      </w:pPr>
      <w:r w:rsidRPr="00F66E10">
        <w:rPr>
          <w:lang w:val="pt-BR"/>
        </w:rPr>
        <w:t>Ny didim-panjakana MECIE dia mametraka ireo dingana atao amin'ny dingana fanombanana ny tontolo iainana, ny andraikitr’ireo solontenam-panjakana, ny andraikitry ny tompon’ny orinasa, ny andraikitry ny Komity teknika momba ny fanombanana, ny dingana fanadihadiana sy ny fakan-kevitra ampahibemaso, ny famoahana ny fahazoan-dalana ara-tontolo iainana sy ny fepetra mikasika ny fanatanterahana ary koa ireo fitsipika mifehy ny fanaraha-maso. Manao toy izany koa izy ho an'ny « PREE</w:t>
      </w:r>
      <w:r w:rsidR="00467B36">
        <w:rPr>
          <w:lang w:val="pt-BR"/>
        </w:rPr>
        <w:t>S</w:t>
      </w:r>
      <w:r w:rsidRPr="00F66E10">
        <w:rPr>
          <w:lang w:val="pt-BR"/>
        </w:rPr>
        <w:t> », na dia tsotra kokoa aza ny dingana ara-pitantanana ho an'ity farany ity.</w:t>
      </w:r>
    </w:p>
    <w:p w14:paraId="03B41B3A" w14:textId="77777777" w:rsidR="00DF575C" w:rsidRPr="00F66E10" w:rsidRDefault="00DF575C" w:rsidP="00DF575C">
      <w:pPr>
        <w:rPr>
          <w:b/>
          <w:i/>
          <w:lang w:val="pt-BR"/>
        </w:rPr>
      </w:pPr>
      <w:r w:rsidRPr="00F66E10">
        <w:rPr>
          <w:b/>
          <w:i/>
          <w:lang w:val="pt-BR"/>
        </w:rPr>
        <w:t>Ny Banky iraisam-pirenena sy ireo FETIS</w:t>
      </w:r>
    </w:p>
    <w:p w14:paraId="2F8525C3" w14:textId="0AE6858E" w:rsidR="00DF575C" w:rsidRPr="00F66E10" w:rsidRDefault="00DF575C" w:rsidP="00DF575C">
      <w:pPr>
        <w:rPr>
          <w:lang w:val="pt-BR"/>
        </w:rPr>
      </w:pPr>
      <w:r w:rsidRPr="00F66E10">
        <w:rPr>
          <w:lang w:val="pt-BR"/>
        </w:rPr>
        <w:t>Mifototra amin'ireto fenitra 10 momba ny tontolo iainana sy ny sosialy (FETIS) manaraka ireto ny sata fototra ara-tontolo Iainana sy ara-tsosialin’ny Banky Iraisam-</w:t>
      </w:r>
      <w:r w:rsidR="00F6445B" w:rsidRPr="00F66E10">
        <w:rPr>
          <w:lang w:val="pt-BR"/>
        </w:rPr>
        <w:t>pirenena :</w:t>
      </w:r>
      <w:r w:rsidRPr="00F66E10">
        <w:rPr>
          <w:lang w:val="pt-BR"/>
        </w:rPr>
        <w:t xml:space="preserve"> </w:t>
      </w:r>
    </w:p>
    <w:p w14:paraId="22066B54" w14:textId="77777777" w:rsidR="00DF575C" w:rsidRPr="00F66E10" w:rsidRDefault="00DF575C" w:rsidP="00DF575C">
      <w:pPr>
        <w:rPr>
          <w:lang w:val="pt-BR"/>
        </w:rPr>
      </w:pPr>
      <w:r w:rsidRPr="00F66E10">
        <w:rPr>
          <w:lang w:val="pt-BR"/>
        </w:rPr>
        <w:t xml:space="preserve">Tabilao </w:t>
      </w:r>
      <w:r>
        <w:fldChar w:fldCharType="begin"/>
      </w:r>
      <w:r w:rsidRPr="00F66E10">
        <w:rPr>
          <w:lang w:val="pt-BR"/>
        </w:rPr>
        <w:instrText xml:space="preserve"> SEQ Tabilao \* ARABIC </w:instrText>
      </w:r>
      <w:r>
        <w:fldChar w:fldCharType="separate"/>
      </w:r>
      <w:r w:rsidRPr="00F66E10">
        <w:rPr>
          <w:lang w:val="pt-BR"/>
        </w:rPr>
        <w:t>1</w:t>
      </w:r>
      <w:r>
        <w:fldChar w:fldCharType="end"/>
      </w:r>
      <w:r w:rsidRPr="00F66E10">
        <w:rPr>
          <w:lang w:val="pt-BR"/>
        </w:rPr>
        <w:t>. FETIS ampiharin’ny Banky Iraisam-pirenena</w:t>
      </w:r>
    </w:p>
    <w:tbl>
      <w:tblPr>
        <w:tblStyle w:val="Trameclaire-Accent51"/>
        <w:tblW w:w="9497" w:type="dxa"/>
        <w:tblInd w:w="108" w:type="dxa"/>
        <w:tblLayout w:type="fixed"/>
        <w:tblLook w:val="04A0" w:firstRow="1" w:lastRow="0" w:firstColumn="1" w:lastColumn="0" w:noHBand="0" w:noVBand="1"/>
      </w:tblPr>
      <w:tblGrid>
        <w:gridCol w:w="1134"/>
        <w:gridCol w:w="284"/>
        <w:gridCol w:w="6095"/>
        <w:gridCol w:w="1984"/>
      </w:tblGrid>
      <w:tr w:rsidR="00DF575C" w:rsidRPr="00DF575C" w14:paraId="17B5EC1A" w14:textId="77777777" w:rsidTr="00E106B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513" w:type="dxa"/>
            <w:gridSpan w:val="3"/>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E2EFD9" w:themeFill="accent6" w:themeFillTint="33"/>
          </w:tcPr>
          <w:p w14:paraId="6B5045E9" w14:textId="77777777" w:rsidR="00DF575C" w:rsidRPr="00F66E10" w:rsidRDefault="00DF575C" w:rsidP="00DF575C">
            <w:pPr>
              <w:rPr>
                <w:lang w:val="pt-BR"/>
              </w:rPr>
            </w:pPr>
            <w:r w:rsidRPr="00F66E10">
              <w:rPr>
                <w:lang w:val="pt-BR"/>
              </w:rPr>
              <w:t>Fenitra ara-tontolo iainana sy ara-tsosialy (FETIS)</w:t>
            </w:r>
          </w:p>
        </w:tc>
        <w:tc>
          <w:tcPr>
            <w:tcW w:w="198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E2EFD9" w:themeFill="accent6" w:themeFillTint="33"/>
          </w:tcPr>
          <w:p w14:paraId="0196F808" w14:textId="77777777" w:rsidR="00DF575C" w:rsidRPr="00DF575C" w:rsidRDefault="00DF575C" w:rsidP="00DF575C">
            <w:pPr>
              <w:cnfStyle w:val="100000000000" w:firstRow="1" w:lastRow="0" w:firstColumn="0" w:lastColumn="0" w:oddVBand="0" w:evenVBand="0" w:oddHBand="0" w:evenHBand="0" w:firstRowFirstColumn="0" w:firstRowLastColumn="0" w:lastRowFirstColumn="0" w:lastRowLastColumn="0"/>
            </w:pPr>
            <w:r w:rsidRPr="00DF575C">
              <w:t>Ilaina sa tsia</w:t>
            </w:r>
          </w:p>
        </w:tc>
      </w:tr>
      <w:tr w:rsidR="00DF575C" w:rsidRPr="00DF575C" w14:paraId="3031F4A2" w14:textId="77777777" w:rsidTr="00E106BA">
        <w:trPr>
          <w:cnfStyle w:val="000000100000" w:firstRow="0" w:lastRow="0" w:firstColumn="0" w:lastColumn="0" w:oddVBand="0" w:evenVBand="0" w:oddHBand="1" w:evenHBand="0" w:firstRowFirstColumn="0" w:firstRowLastColumn="0" w:lastRowFirstColumn="0" w:lastRowLastColumn="0"/>
          <w:trHeight w:val="635"/>
        </w:trPr>
        <w:tc>
          <w:tcPr>
            <w:cnfStyle w:val="001000000000" w:firstRow="0" w:lastRow="0" w:firstColumn="1" w:lastColumn="0" w:oddVBand="0" w:evenVBand="0" w:oddHBand="0" w:evenHBand="0" w:firstRowFirstColumn="0" w:firstRowLastColumn="0" w:lastRowFirstColumn="0" w:lastRowLastColumn="0"/>
            <w:tcW w:w="1134" w:type="dxa"/>
            <w:tcBorders>
              <w:top w:val="single" w:sz="4" w:space="0" w:color="2F5496" w:themeColor="accent1" w:themeShade="BF"/>
              <w:left w:val="single" w:sz="4" w:space="0" w:color="2F5496" w:themeColor="accent1" w:themeShade="BF"/>
              <w:bottom w:val="single" w:sz="4" w:space="0" w:color="2F5496" w:themeColor="accent1" w:themeShade="BF"/>
            </w:tcBorders>
            <w:shd w:val="clear" w:color="auto" w:fill="FFFFFF" w:themeFill="background1"/>
          </w:tcPr>
          <w:p w14:paraId="392F66D5" w14:textId="77777777" w:rsidR="00DF575C" w:rsidRPr="00DF575C" w:rsidRDefault="00DF575C" w:rsidP="00DF575C">
            <w:r w:rsidRPr="00DF575C">
              <w:t>FETIS 1</w:t>
            </w:r>
          </w:p>
        </w:tc>
        <w:tc>
          <w:tcPr>
            <w:tcW w:w="284" w:type="dxa"/>
            <w:tcBorders>
              <w:top w:val="single" w:sz="4" w:space="0" w:color="2F5496" w:themeColor="accent1" w:themeShade="BF"/>
              <w:bottom w:val="single" w:sz="4" w:space="0" w:color="2F5496" w:themeColor="accent1" w:themeShade="BF"/>
            </w:tcBorders>
            <w:shd w:val="clear" w:color="auto" w:fill="FFFFFF" w:themeFill="background1"/>
          </w:tcPr>
          <w:p w14:paraId="6A88BFFF" w14:textId="77777777" w:rsidR="00DF575C" w:rsidRPr="00DF575C" w:rsidRDefault="00DF575C" w:rsidP="00DF575C">
            <w:pPr>
              <w:cnfStyle w:val="000000100000" w:firstRow="0" w:lastRow="0" w:firstColumn="0" w:lastColumn="0" w:oddVBand="0" w:evenVBand="0" w:oddHBand="1" w:evenHBand="0" w:firstRowFirstColumn="0" w:firstRowLastColumn="0" w:lastRowFirstColumn="0" w:lastRowLastColumn="0"/>
            </w:pPr>
            <w:r w:rsidRPr="00DF575C">
              <w:t>:</w:t>
            </w:r>
          </w:p>
        </w:tc>
        <w:tc>
          <w:tcPr>
            <w:tcW w:w="6095" w:type="dxa"/>
            <w:tcBorders>
              <w:top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1B3A8E3A" w14:textId="77777777" w:rsidR="00DF575C" w:rsidRPr="00D42025" w:rsidRDefault="00DF575C" w:rsidP="00DF575C">
            <w:pPr>
              <w:cnfStyle w:val="000000100000" w:firstRow="0" w:lastRow="0" w:firstColumn="0" w:lastColumn="0" w:oddVBand="0" w:evenVBand="0" w:oddHBand="1" w:evenHBand="0" w:firstRowFirstColumn="0" w:firstRowLastColumn="0" w:lastRowFirstColumn="0" w:lastRowLastColumn="0"/>
            </w:pPr>
            <w:r w:rsidRPr="00D42025">
              <w:t>Fanombanana sy fitantanana ny loza ara-tontolo iainana sy ara-tsosialy ary ny fiantraikany</w:t>
            </w:r>
          </w:p>
        </w:tc>
        <w:tc>
          <w:tcPr>
            <w:tcW w:w="198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306F12D3" w14:textId="77777777" w:rsidR="00DF575C" w:rsidRPr="00DF575C" w:rsidRDefault="00DF575C" w:rsidP="00DF575C">
            <w:pPr>
              <w:cnfStyle w:val="000000100000" w:firstRow="0" w:lastRow="0" w:firstColumn="0" w:lastColumn="0" w:oddVBand="0" w:evenVBand="0" w:oddHBand="1" w:evenHBand="0" w:firstRowFirstColumn="0" w:firstRowLastColumn="0" w:lastRowFirstColumn="0" w:lastRowLastColumn="0"/>
            </w:pPr>
            <w:r w:rsidRPr="00DF575C">
              <w:t>Ilaina</w:t>
            </w:r>
          </w:p>
        </w:tc>
      </w:tr>
      <w:tr w:rsidR="00DF575C" w:rsidRPr="00DF575C" w14:paraId="133A721D" w14:textId="77777777" w:rsidTr="00E106BA">
        <w:trPr>
          <w:trHeight w:val="363"/>
        </w:trPr>
        <w:tc>
          <w:tcPr>
            <w:cnfStyle w:val="001000000000" w:firstRow="0" w:lastRow="0" w:firstColumn="1" w:lastColumn="0" w:oddVBand="0" w:evenVBand="0" w:oddHBand="0" w:evenHBand="0" w:firstRowFirstColumn="0" w:firstRowLastColumn="0" w:lastRowFirstColumn="0" w:lastRowLastColumn="0"/>
            <w:tcW w:w="1134" w:type="dxa"/>
            <w:tcBorders>
              <w:top w:val="single" w:sz="4" w:space="0" w:color="2F5496" w:themeColor="accent1" w:themeShade="BF"/>
              <w:left w:val="single" w:sz="4" w:space="0" w:color="2F5496" w:themeColor="accent1" w:themeShade="BF"/>
              <w:bottom w:val="single" w:sz="4" w:space="0" w:color="2F5496" w:themeColor="accent1" w:themeShade="BF"/>
              <w:right w:val="nil"/>
            </w:tcBorders>
            <w:shd w:val="clear" w:color="auto" w:fill="FFFFFF" w:themeFill="background1"/>
          </w:tcPr>
          <w:p w14:paraId="0782A560" w14:textId="77777777" w:rsidR="00DF575C" w:rsidRPr="00DF575C" w:rsidRDefault="00DF575C" w:rsidP="00DF575C">
            <w:r w:rsidRPr="00DF575C">
              <w:t>FETIS 2</w:t>
            </w:r>
          </w:p>
        </w:tc>
        <w:tc>
          <w:tcPr>
            <w:tcW w:w="284" w:type="dxa"/>
            <w:tcBorders>
              <w:top w:val="single" w:sz="4" w:space="0" w:color="2F5496" w:themeColor="accent1" w:themeShade="BF"/>
              <w:left w:val="nil"/>
              <w:bottom w:val="single" w:sz="4" w:space="0" w:color="2F5496" w:themeColor="accent1" w:themeShade="BF"/>
              <w:right w:val="nil"/>
            </w:tcBorders>
            <w:shd w:val="clear" w:color="auto" w:fill="FFFFFF" w:themeFill="background1"/>
          </w:tcPr>
          <w:p w14:paraId="3A0F0208" w14:textId="77777777" w:rsidR="00DF575C" w:rsidRPr="00DF575C" w:rsidRDefault="00DF575C" w:rsidP="00DF575C">
            <w:pPr>
              <w:cnfStyle w:val="000000000000" w:firstRow="0" w:lastRow="0" w:firstColumn="0" w:lastColumn="0" w:oddVBand="0" w:evenVBand="0" w:oddHBand="0" w:evenHBand="0" w:firstRowFirstColumn="0" w:firstRowLastColumn="0" w:lastRowFirstColumn="0" w:lastRowLastColumn="0"/>
            </w:pPr>
            <w:r w:rsidRPr="00DF575C">
              <w:t>:</w:t>
            </w:r>
          </w:p>
        </w:tc>
        <w:tc>
          <w:tcPr>
            <w:tcW w:w="6095" w:type="dxa"/>
            <w:tcBorders>
              <w:top w:val="single" w:sz="4" w:space="0" w:color="2F5496" w:themeColor="accent1" w:themeShade="BF"/>
              <w:left w:val="nil"/>
              <w:bottom w:val="single" w:sz="4" w:space="0" w:color="2F5496" w:themeColor="accent1" w:themeShade="BF"/>
              <w:right w:val="single" w:sz="4" w:space="0" w:color="2F5496" w:themeColor="accent1" w:themeShade="BF"/>
            </w:tcBorders>
            <w:shd w:val="clear" w:color="auto" w:fill="FFFFFF" w:themeFill="background1"/>
          </w:tcPr>
          <w:p w14:paraId="6CCDC28C" w14:textId="77777777" w:rsidR="00DF575C" w:rsidRPr="00D42025" w:rsidRDefault="00DF575C" w:rsidP="00DF575C">
            <w:pPr>
              <w:cnfStyle w:val="000000000000" w:firstRow="0" w:lastRow="0" w:firstColumn="0" w:lastColumn="0" w:oddVBand="0" w:evenVBand="0" w:oddHBand="0" w:evenHBand="0" w:firstRowFirstColumn="0" w:firstRowLastColumn="0" w:lastRowFirstColumn="0" w:lastRowLastColumn="0"/>
              <w:rPr>
                <w:lang w:val="en-US"/>
              </w:rPr>
            </w:pPr>
            <w:r w:rsidRPr="00D42025">
              <w:rPr>
                <w:lang w:val="en-US"/>
              </w:rPr>
              <w:t>Fepetran'ny asa sy ny asa</w:t>
            </w:r>
          </w:p>
        </w:tc>
        <w:tc>
          <w:tcPr>
            <w:tcW w:w="198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2CAD664D" w14:textId="77777777" w:rsidR="00DF575C" w:rsidRPr="00DF575C" w:rsidRDefault="00DF575C" w:rsidP="00DF575C">
            <w:pPr>
              <w:cnfStyle w:val="000000000000" w:firstRow="0" w:lastRow="0" w:firstColumn="0" w:lastColumn="0" w:oddVBand="0" w:evenVBand="0" w:oddHBand="0" w:evenHBand="0" w:firstRowFirstColumn="0" w:firstRowLastColumn="0" w:lastRowFirstColumn="0" w:lastRowLastColumn="0"/>
            </w:pPr>
            <w:r w:rsidRPr="00DF575C">
              <w:t>Ilaina</w:t>
            </w:r>
          </w:p>
        </w:tc>
      </w:tr>
      <w:tr w:rsidR="00DF575C" w:rsidRPr="00DF575C" w14:paraId="63051E44" w14:textId="77777777" w:rsidTr="00E106BA">
        <w:trPr>
          <w:cnfStyle w:val="000000100000" w:firstRow="0" w:lastRow="0" w:firstColumn="0" w:lastColumn="0" w:oddVBand="0" w:evenVBand="0" w:oddHBand="1" w:evenHBand="0" w:firstRowFirstColumn="0" w:firstRowLastColumn="0" w:lastRowFirstColumn="0" w:lastRowLastColumn="0"/>
          <w:trHeight w:val="635"/>
        </w:trPr>
        <w:tc>
          <w:tcPr>
            <w:cnfStyle w:val="001000000000" w:firstRow="0" w:lastRow="0" w:firstColumn="1" w:lastColumn="0" w:oddVBand="0" w:evenVBand="0" w:oddHBand="0" w:evenHBand="0" w:firstRowFirstColumn="0" w:firstRowLastColumn="0" w:lastRowFirstColumn="0" w:lastRowLastColumn="0"/>
            <w:tcW w:w="1134" w:type="dxa"/>
            <w:tcBorders>
              <w:top w:val="single" w:sz="4" w:space="0" w:color="2F5496" w:themeColor="accent1" w:themeShade="BF"/>
              <w:left w:val="single" w:sz="4" w:space="0" w:color="2F5496" w:themeColor="accent1" w:themeShade="BF"/>
              <w:bottom w:val="single" w:sz="4" w:space="0" w:color="2F5496" w:themeColor="accent1" w:themeShade="BF"/>
            </w:tcBorders>
            <w:shd w:val="clear" w:color="auto" w:fill="FFFFFF" w:themeFill="background1"/>
          </w:tcPr>
          <w:p w14:paraId="443889B8" w14:textId="77777777" w:rsidR="00DF575C" w:rsidRPr="00DF575C" w:rsidRDefault="00DF575C" w:rsidP="00DF575C">
            <w:r w:rsidRPr="00DF575C">
              <w:t>FETIS 3</w:t>
            </w:r>
          </w:p>
        </w:tc>
        <w:tc>
          <w:tcPr>
            <w:tcW w:w="284" w:type="dxa"/>
            <w:tcBorders>
              <w:top w:val="single" w:sz="4" w:space="0" w:color="2F5496" w:themeColor="accent1" w:themeShade="BF"/>
              <w:bottom w:val="single" w:sz="4" w:space="0" w:color="2F5496" w:themeColor="accent1" w:themeShade="BF"/>
            </w:tcBorders>
            <w:shd w:val="clear" w:color="auto" w:fill="FFFFFF" w:themeFill="background1"/>
          </w:tcPr>
          <w:p w14:paraId="480820C0" w14:textId="77777777" w:rsidR="00DF575C" w:rsidRPr="00DF575C" w:rsidRDefault="00DF575C" w:rsidP="00DF575C">
            <w:pPr>
              <w:cnfStyle w:val="000000100000" w:firstRow="0" w:lastRow="0" w:firstColumn="0" w:lastColumn="0" w:oddVBand="0" w:evenVBand="0" w:oddHBand="1" w:evenHBand="0" w:firstRowFirstColumn="0" w:firstRowLastColumn="0" w:lastRowFirstColumn="0" w:lastRowLastColumn="0"/>
            </w:pPr>
            <w:r w:rsidRPr="00DF575C">
              <w:t>:</w:t>
            </w:r>
          </w:p>
        </w:tc>
        <w:tc>
          <w:tcPr>
            <w:tcW w:w="6095" w:type="dxa"/>
            <w:tcBorders>
              <w:top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7ADD3578" w14:textId="77777777" w:rsidR="00DF575C" w:rsidRPr="00FD08CC" w:rsidRDefault="00DF575C" w:rsidP="00DF575C">
            <w:pPr>
              <w:cnfStyle w:val="000000100000" w:firstRow="0" w:lastRow="0" w:firstColumn="0" w:lastColumn="0" w:oddVBand="0" w:evenVBand="0" w:oddHBand="1" w:evenHBand="0" w:firstRowFirstColumn="0" w:firstRowLastColumn="0" w:lastRowFirstColumn="0" w:lastRowLastColumn="0"/>
              <w:rPr>
                <w:lang w:val="en-US"/>
              </w:rPr>
            </w:pPr>
            <w:r w:rsidRPr="00FD08CC">
              <w:rPr>
                <w:lang w:val="en-US"/>
              </w:rPr>
              <w:t>Loharanon-karena fahombiazana sy ny fandotoana fisorohana sy ny fitantanana</w:t>
            </w:r>
          </w:p>
        </w:tc>
        <w:tc>
          <w:tcPr>
            <w:tcW w:w="198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135946FD" w14:textId="77777777" w:rsidR="00DF575C" w:rsidRPr="00DF575C" w:rsidRDefault="00DF575C" w:rsidP="00DF575C">
            <w:pPr>
              <w:cnfStyle w:val="000000100000" w:firstRow="0" w:lastRow="0" w:firstColumn="0" w:lastColumn="0" w:oddVBand="0" w:evenVBand="0" w:oddHBand="1" w:evenHBand="0" w:firstRowFirstColumn="0" w:firstRowLastColumn="0" w:lastRowFirstColumn="0" w:lastRowLastColumn="0"/>
            </w:pPr>
            <w:r w:rsidRPr="00DF575C">
              <w:t>Ilaina</w:t>
            </w:r>
          </w:p>
        </w:tc>
      </w:tr>
      <w:tr w:rsidR="00DF575C" w:rsidRPr="00DF575C" w14:paraId="62581027" w14:textId="77777777" w:rsidTr="00E106BA">
        <w:trPr>
          <w:trHeight w:val="335"/>
        </w:trPr>
        <w:tc>
          <w:tcPr>
            <w:cnfStyle w:val="001000000000" w:firstRow="0" w:lastRow="0" w:firstColumn="1" w:lastColumn="0" w:oddVBand="0" w:evenVBand="0" w:oddHBand="0" w:evenHBand="0" w:firstRowFirstColumn="0" w:firstRowLastColumn="0" w:lastRowFirstColumn="0" w:lastRowLastColumn="0"/>
            <w:tcW w:w="1134" w:type="dxa"/>
            <w:tcBorders>
              <w:top w:val="single" w:sz="4" w:space="0" w:color="2F5496" w:themeColor="accent1" w:themeShade="BF"/>
              <w:left w:val="single" w:sz="4" w:space="0" w:color="2F5496" w:themeColor="accent1" w:themeShade="BF"/>
              <w:bottom w:val="single" w:sz="4" w:space="0" w:color="2F5496" w:themeColor="accent1" w:themeShade="BF"/>
              <w:right w:val="nil"/>
            </w:tcBorders>
            <w:shd w:val="clear" w:color="auto" w:fill="FFFFFF" w:themeFill="background1"/>
          </w:tcPr>
          <w:p w14:paraId="5667060C" w14:textId="77777777" w:rsidR="00DF575C" w:rsidRPr="00DF575C" w:rsidRDefault="00DF575C" w:rsidP="00DF575C">
            <w:r w:rsidRPr="00DF575C">
              <w:t>FETIS 4</w:t>
            </w:r>
          </w:p>
        </w:tc>
        <w:tc>
          <w:tcPr>
            <w:tcW w:w="284" w:type="dxa"/>
            <w:tcBorders>
              <w:top w:val="single" w:sz="4" w:space="0" w:color="2F5496" w:themeColor="accent1" w:themeShade="BF"/>
              <w:left w:val="nil"/>
              <w:bottom w:val="single" w:sz="4" w:space="0" w:color="2F5496" w:themeColor="accent1" w:themeShade="BF"/>
              <w:right w:val="nil"/>
            </w:tcBorders>
            <w:shd w:val="clear" w:color="auto" w:fill="FFFFFF" w:themeFill="background1"/>
          </w:tcPr>
          <w:p w14:paraId="495FD10D" w14:textId="77777777" w:rsidR="00DF575C" w:rsidRPr="00DF575C" w:rsidRDefault="00DF575C" w:rsidP="00DF575C">
            <w:pPr>
              <w:cnfStyle w:val="000000000000" w:firstRow="0" w:lastRow="0" w:firstColumn="0" w:lastColumn="0" w:oddVBand="0" w:evenVBand="0" w:oddHBand="0" w:evenHBand="0" w:firstRowFirstColumn="0" w:firstRowLastColumn="0" w:lastRowFirstColumn="0" w:lastRowLastColumn="0"/>
            </w:pPr>
            <w:r w:rsidRPr="00DF575C">
              <w:t>:</w:t>
            </w:r>
          </w:p>
        </w:tc>
        <w:tc>
          <w:tcPr>
            <w:tcW w:w="6095" w:type="dxa"/>
            <w:tcBorders>
              <w:top w:val="single" w:sz="4" w:space="0" w:color="2F5496" w:themeColor="accent1" w:themeShade="BF"/>
              <w:left w:val="nil"/>
              <w:bottom w:val="single" w:sz="4" w:space="0" w:color="2F5496" w:themeColor="accent1" w:themeShade="BF"/>
              <w:right w:val="single" w:sz="4" w:space="0" w:color="2F5496" w:themeColor="accent1" w:themeShade="BF"/>
            </w:tcBorders>
            <w:shd w:val="clear" w:color="auto" w:fill="FFFFFF" w:themeFill="background1"/>
          </w:tcPr>
          <w:p w14:paraId="7BE3BFA1" w14:textId="77777777" w:rsidR="00DF575C" w:rsidRPr="00F66E10" w:rsidRDefault="00DF575C" w:rsidP="00DF575C">
            <w:pPr>
              <w:cnfStyle w:val="000000000000" w:firstRow="0" w:lastRow="0" w:firstColumn="0" w:lastColumn="0" w:oddVBand="0" w:evenVBand="0" w:oddHBand="0" w:evenHBand="0" w:firstRowFirstColumn="0" w:firstRowLastColumn="0" w:lastRowFirstColumn="0" w:lastRowLastColumn="0"/>
              <w:rPr>
                <w:lang w:val="pt-BR"/>
              </w:rPr>
            </w:pPr>
            <w:r w:rsidRPr="00F66E10">
              <w:rPr>
                <w:lang w:val="pt-BR"/>
              </w:rPr>
              <w:t>Fahasalamam-bahoaka sy ny fiarovana</w:t>
            </w:r>
          </w:p>
        </w:tc>
        <w:tc>
          <w:tcPr>
            <w:tcW w:w="198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6B3B7082" w14:textId="77777777" w:rsidR="00DF575C" w:rsidRPr="00DF575C" w:rsidRDefault="00DF575C" w:rsidP="00DF575C">
            <w:pPr>
              <w:cnfStyle w:val="000000000000" w:firstRow="0" w:lastRow="0" w:firstColumn="0" w:lastColumn="0" w:oddVBand="0" w:evenVBand="0" w:oddHBand="0" w:evenHBand="0" w:firstRowFirstColumn="0" w:firstRowLastColumn="0" w:lastRowFirstColumn="0" w:lastRowLastColumn="0"/>
            </w:pPr>
            <w:r w:rsidRPr="00DF575C">
              <w:t>Ilaina</w:t>
            </w:r>
          </w:p>
        </w:tc>
      </w:tr>
      <w:tr w:rsidR="00DF575C" w:rsidRPr="00DF575C" w14:paraId="30DEA744" w14:textId="77777777" w:rsidTr="00E106BA">
        <w:trPr>
          <w:cnfStyle w:val="000000100000" w:firstRow="0" w:lastRow="0" w:firstColumn="0" w:lastColumn="0" w:oddVBand="0" w:evenVBand="0" w:oddHBand="1" w:evenHBand="0" w:firstRowFirstColumn="0" w:firstRowLastColumn="0" w:lastRowFirstColumn="0" w:lastRowLastColumn="0"/>
          <w:trHeight w:val="635"/>
        </w:trPr>
        <w:tc>
          <w:tcPr>
            <w:cnfStyle w:val="001000000000" w:firstRow="0" w:lastRow="0" w:firstColumn="1" w:lastColumn="0" w:oddVBand="0" w:evenVBand="0" w:oddHBand="0" w:evenHBand="0" w:firstRowFirstColumn="0" w:firstRowLastColumn="0" w:lastRowFirstColumn="0" w:lastRowLastColumn="0"/>
            <w:tcW w:w="1134" w:type="dxa"/>
            <w:tcBorders>
              <w:top w:val="single" w:sz="4" w:space="0" w:color="2F5496" w:themeColor="accent1" w:themeShade="BF"/>
              <w:left w:val="single" w:sz="4" w:space="0" w:color="2F5496" w:themeColor="accent1" w:themeShade="BF"/>
              <w:bottom w:val="single" w:sz="4" w:space="0" w:color="2F5496" w:themeColor="accent1" w:themeShade="BF"/>
            </w:tcBorders>
            <w:shd w:val="clear" w:color="auto" w:fill="FFFFFF" w:themeFill="background1"/>
          </w:tcPr>
          <w:p w14:paraId="67709BC8" w14:textId="77777777" w:rsidR="00DF575C" w:rsidRPr="00DF575C" w:rsidRDefault="00DF575C" w:rsidP="00DF575C">
            <w:r w:rsidRPr="00DF575C">
              <w:t>FETIS 5</w:t>
            </w:r>
          </w:p>
        </w:tc>
        <w:tc>
          <w:tcPr>
            <w:tcW w:w="284" w:type="dxa"/>
            <w:tcBorders>
              <w:top w:val="single" w:sz="4" w:space="0" w:color="2F5496" w:themeColor="accent1" w:themeShade="BF"/>
              <w:bottom w:val="single" w:sz="4" w:space="0" w:color="2F5496" w:themeColor="accent1" w:themeShade="BF"/>
            </w:tcBorders>
            <w:shd w:val="clear" w:color="auto" w:fill="FFFFFF" w:themeFill="background1"/>
          </w:tcPr>
          <w:p w14:paraId="66152BE9" w14:textId="77777777" w:rsidR="00DF575C" w:rsidRPr="00DF575C" w:rsidRDefault="00DF575C" w:rsidP="00DF575C">
            <w:pPr>
              <w:cnfStyle w:val="000000100000" w:firstRow="0" w:lastRow="0" w:firstColumn="0" w:lastColumn="0" w:oddVBand="0" w:evenVBand="0" w:oddHBand="1" w:evenHBand="0" w:firstRowFirstColumn="0" w:firstRowLastColumn="0" w:lastRowFirstColumn="0" w:lastRowLastColumn="0"/>
            </w:pPr>
            <w:r w:rsidRPr="00DF575C">
              <w:t>:</w:t>
            </w:r>
          </w:p>
        </w:tc>
        <w:tc>
          <w:tcPr>
            <w:tcW w:w="6095" w:type="dxa"/>
            <w:tcBorders>
              <w:top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554264D5" w14:textId="77777777" w:rsidR="00DF575C" w:rsidRPr="00D42025" w:rsidRDefault="00DF575C" w:rsidP="00DF575C">
            <w:pPr>
              <w:cnfStyle w:val="000000100000" w:firstRow="0" w:lastRow="0" w:firstColumn="0" w:lastColumn="0" w:oddVBand="0" w:evenVBand="0" w:oddHBand="1" w:evenHBand="0" w:firstRowFirstColumn="0" w:firstRowLastColumn="0" w:lastRowFirstColumn="0" w:lastRowLastColumn="0"/>
              <w:rPr>
                <w:lang w:val="en-US"/>
              </w:rPr>
            </w:pPr>
            <w:r w:rsidRPr="00D42025">
              <w:rPr>
                <w:lang w:val="en-US"/>
              </w:rPr>
              <w:t>Ny fahazoana tany, ny famerana ny fampiasana ny tany ary ny fametrahana tsy an-tsitrapo</w:t>
            </w:r>
          </w:p>
        </w:tc>
        <w:tc>
          <w:tcPr>
            <w:tcW w:w="198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6F231B63" w14:textId="77777777" w:rsidR="00DF575C" w:rsidRPr="00DF575C" w:rsidRDefault="00DF575C" w:rsidP="00DF575C">
            <w:pPr>
              <w:cnfStyle w:val="000000100000" w:firstRow="0" w:lastRow="0" w:firstColumn="0" w:lastColumn="0" w:oddVBand="0" w:evenVBand="0" w:oddHBand="1" w:evenHBand="0" w:firstRowFirstColumn="0" w:firstRowLastColumn="0" w:lastRowFirstColumn="0" w:lastRowLastColumn="0"/>
            </w:pPr>
            <w:r w:rsidRPr="00DF575C">
              <w:t>Ilaina</w:t>
            </w:r>
          </w:p>
        </w:tc>
      </w:tr>
      <w:tr w:rsidR="00DF575C" w:rsidRPr="00DF575C" w14:paraId="3CD09A90" w14:textId="77777777" w:rsidTr="00E106BA">
        <w:trPr>
          <w:trHeight w:val="477"/>
        </w:trPr>
        <w:tc>
          <w:tcPr>
            <w:cnfStyle w:val="001000000000" w:firstRow="0" w:lastRow="0" w:firstColumn="1" w:lastColumn="0" w:oddVBand="0" w:evenVBand="0" w:oddHBand="0" w:evenHBand="0" w:firstRowFirstColumn="0" w:firstRowLastColumn="0" w:lastRowFirstColumn="0" w:lastRowLastColumn="0"/>
            <w:tcW w:w="1134" w:type="dxa"/>
            <w:tcBorders>
              <w:top w:val="single" w:sz="4" w:space="0" w:color="2F5496" w:themeColor="accent1" w:themeShade="BF"/>
              <w:left w:val="single" w:sz="4" w:space="0" w:color="2F5496" w:themeColor="accent1" w:themeShade="BF"/>
              <w:bottom w:val="single" w:sz="4" w:space="0" w:color="2F5496" w:themeColor="accent1" w:themeShade="BF"/>
              <w:right w:val="nil"/>
            </w:tcBorders>
            <w:shd w:val="clear" w:color="auto" w:fill="FFFFFF" w:themeFill="background1"/>
          </w:tcPr>
          <w:p w14:paraId="68C3B0BF" w14:textId="77777777" w:rsidR="00DF575C" w:rsidRPr="00DF575C" w:rsidRDefault="00DF575C" w:rsidP="00DF575C">
            <w:r w:rsidRPr="00DF575C">
              <w:lastRenderedPageBreak/>
              <w:t>FETIS 6</w:t>
            </w:r>
          </w:p>
        </w:tc>
        <w:tc>
          <w:tcPr>
            <w:tcW w:w="284" w:type="dxa"/>
            <w:tcBorders>
              <w:top w:val="single" w:sz="4" w:space="0" w:color="2F5496" w:themeColor="accent1" w:themeShade="BF"/>
              <w:left w:val="nil"/>
              <w:bottom w:val="single" w:sz="4" w:space="0" w:color="2F5496" w:themeColor="accent1" w:themeShade="BF"/>
              <w:right w:val="nil"/>
            </w:tcBorders>
            <w:shd w:val="clear" w:color="auto" w:fill="FFFFFF" w:themeFill="background1"/>
          </w:tcPr>
          <w:p w14:paraId="36606F72" w14:textId="77777777" w:rsidR="00DF575C" w:rsidRPr="00DF575C" w:rsidRDefault="00DF575C" w:rsidP="00DF575C">
            <w:pPr>
              <w:cnfStyle w:val="000000000000" w:firstRow="0" w:lastRow="0" w:firstColumn="0" w:lastColumn="0" w:oddVBand="0" w:evenVBand="0" w:oddHBand="0" w:evenHBand="0" w:firstRowFirstColumn="0" w:firstRowLastColumn="0" w:lastRowFirstColumn="0" w:lastRowLastColumn="0"/>
            </w:pPr>
            <w:r w:rsidRPr="00DF575C">
              <w:t>:</w:t>
            </w:r>
          </w:p>
        </w:tc>
        <w:tc>
          <w:tcPr>
            <w:tcW w:w="6095" w:type="dxa"/>
            <w:tcBorders>
              <w:top w:val="single" w:sz="4" w:space="0" w:color="2F5496" w:themeColor="accent1" w:themeShade="BF"/>
              <w:left w:val="nil"/>
              <w:bottom w:val="single" w:sz="4" w:space="0" w:color="2F5496" w:themeColor="accent1" w:themeShade="BF"/>
              <w:right w:val="single" w:sz="4" w:space="0" w:color="2F5496" w:themeColor="accent1" w:themeShade="BF"/>
            </w:tcBorders>
            <w:shd w:val="clear" w:color="auto" w:fill="FFFFFF" w:themeFill="background1"/>
          </w:tcPr>
          <w:p w14:paraId="2CA03D02" w14:textId="77777777" w:rsidR="00DF575C" w:rsidRPr="00D42025" w:rsidRDefault="00DF575C" w:rsidP="00DF575C">
            <w:pPr>
              <w:cnfStyle w:val="000000000000" w:firstRow="0" w:lastRow="0" w:firstColumn="0" w:lastColumn="0" w:oddVBand="0" w:evenVBand="0" w:oddHBand="0" w:evenHBand="0" w:firstRowFirstColumn="0" w:firstRowLastColumn="0" w:lastRowFirstColumn="0" w:lastRowLastColumn="0"/>
            </w:pPr>
            <w:r w:rsidRPr="00D42025">
              <w:t>Fikajiana ny tontolo iainana sy ny fitantanana maharitra ny loharanon-karena voajanahary</w:t>
            </w:r>
          </w:p>
        </w:tc>
        <w:tc>
          <w:tcPr>
            <w:tcW w:w="198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1A515257" w14:textId="77777777" w:rsidR="00DF575C" w:rsidRPr="00DF575C" w:rsidRDefault="00DF575C" w:rsidP="00DF575C">
            <w:pPr>
              <w:cnfStyle w:val="000000000000" w:firstRow="0" w:lastRow="0" w:firstColumn="0" w:lastColumn="0" w:oddVBand="0" w:evenVBand="0" w:oddHBand="0" w:evenHBand="0" w:firstRowFirstColumn="0" w:firstRowLastColumn="0" w:lastRowFirstColumn="0" w:lastRowLastColumn="0"/>
            </w:pPr>
            <w:r w:rsidRPr="00DF575C">
              <w:t>Ilaina</w:t>
            </w:r>
          </w:p>
        </w:tc>
      </w:tr>
      <w:tr w:rsidR="00DF575C" w:rsidRPr="00DF575C" w14:paraId="7ABE631E" w14:textId="77777777" w:rsidTr="00E106BA">
        <w:trPr>
          <w:cnfStyle w:val="000000100000" w:firstRow="0" w:lastRow="0" w:firstColumn="0" w:lastColumn="0" w:oddVBand="0" w:evenVBand="0" w:oddHBand="1" w:evenHBand="0" w:firstRowFirstColumn="0" w:firstRowLastColumn="0" w:lastRowFirstColumn="0" w:lastRowLastColumn="0"/>
          <w:trHeight w:val="635"/>
        </w:trPr>
        <w:tc>
          <w:tcPr>
            <w:cnfStyle w:val="001000000000" w:firstRow="0" w:lastRow="0" w:firstColumn="1" w:lastColumn="0" w:oddVBand="0" w:evenVBand="0" w:oddHBand="0" w:evenHBand="0" w:firstRowFirstColumn="0" w:firstRowLastColumn="0" w:lastRowFirstColumn="0" w:lastRowLastColumn="0"/>
            <w:tcW w:w="1134" w:type="dxa"/>
            <w:tcBorders>
              <w:top w:val="single" w:sz="4" w:space="0" w:color="2F5496" w:themeColor="accent1" w:themeShade="BF"/>
              <w:left w:val="single" w:sz="4" w:space="0" w:color="2F5496" w:themeColor="accent1" w:themeShade="BF"/>
              <w:bottom w:val="single" w:sz="4" w:space="0" w:color="2F5496" w:themeColor="accent1" w:themeShade="BF"/>
            </w:tcBorders>
            <w:shd w:val="clear" w:color="auto" w:fill="FFFFFF" w:themeFill="background1"/>
          </w:tcPr>
          <w:p w14:paraId="29C660AD" w14:textId="77777777" w:rsidR="00DF575C" w:rsidRPr="00DF575C" w:rsidRDefault="00DF575C" w:rsidP="00DF575C">
            <w:r w:rsidRPr="00DF575C">
              <w:t>FETIS 7</w:t>
            </w:r>
          </w:p>
        </w:tc>
        <w:tc>
          <w:tcPr>
            <w:tcW w:w="284" w:type="dxa"/>
            <w:tcBorders>
              <w:top w:val="single" w:sz="4" w:space="0" w:color="2F5496" w:themeColor="accent1" w:themeShade="BF"/>
              <w:bottom w:val="single" w:sz="4" w:space="0" w:color="2F5496" w:themeColor="accent1" w:themeShade="BF"/>
            </w:tcBorders>
            <w:shd w:val="clear" w:color="auto" w:fill="FFFFFF" w:themeFill="background1"/>
          </w:tcPr>
          <w:p w14:paraId="3A77A8EF" w14:textId="77777777" w:rsidR="00DF575C" w:rsidRPr="00DF575C" w:rsidRDefault="00DF575C" w:rsidP="00DF575C">
            <w:pPr>
              <w:cnfStyle w:val="000000100000" w:firstRow="0" w:lastRow="0" w:firstColumn="0" w:lastColumn="0" w:oddVBand="0" w:evenVBand="0" w:oddHBand="1" w:evenHBand="0" w:firstRowFirstColumn="0" w:firstRowLastColumn="0" w:lastRowFirstColumn="0" w:lastRowLastColumn="0"/>
            </w:pPr>
            <w:r w:rsidRPr="00DF575C">
              <w:t>:</w:t>
            </w:r>
          </w:p>
        </w:tc>
        <w:tc>
          <w:tcPr>
            <w:tcW w:w="6095" w:type="dxa"/>
            <w:tcBorders>
              <w:top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1B98BBBB" w14:textId="77777777" w:rsidR="00DF575C" w:rsidRPr="00F66E10" w:rsidRDefault="00DF575C" w:rsidP="00DF575C">
            <w:pPr>
              <w:cnfStyle w:val="000000100000" w:firstRow="0" w:lastRow="0" w:firstColumn="0" w:lastColumn="0" w:oddVBand="0" w:evenVBand="0" w:oddHBand="1" w:evenHBand="0" w:firstRowFirstColumn="0" w:firstRowLastColumn="0" w:lastRowFirstColumn="0" w:lastRowLastColumn="0"/>
              <w:rPr>
                <w:lang w:val="pt-BR"/>
              </w:rPr>
            </w:pPr>
            <w:r w:rsidRPr="00F66E10">
              <w:rPr>
                <w:lang w:val="pt-BR"/>
              </w:rPr>
              <w:t>Ara-tantara, ireo vazimba teratany/vondrom-piarahamonina nentim-paharazana ao Afrika atsimon'i Sahara</w:t>
            </w:r>
          </w:p>
        </w:tc>
        <w:tc>
          <w:tcPr>
            <w:tcW w:w="198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4D66C5C8" w14:textId="77777777" w:rsidR="00DF575C" w:rsidRPr="00DF575C" w:rsidRDefault="00DF575C" w:rsidP="00DF575C">
            <w:pPr>
              <w:cnfStyle w:val="000000100000" w:firstRow="0" w:lastRow="0" w:firstColumn="0" w:lastColumn="0" w:oddVBand="0" w:evenVBand="0" w:oddHBand="1" w:evenHBand="0" w:firstRowFirstColumn="0" w:firstRowLastColumn="0" w:lastRowFirstColumn="0" w:lastRowLastColumn="0"/>
            </w:pPr>
            <w:r w:rsidRPr="00DF575C">
              <w:t>Tsy ilaina</w:t>
            </w:r>
          </w:p>
        </w:tc>
      </w:tr>
      <w:tr w:rsidR="00DF575C" w:rsidRPr="00DF575C" w14:paraId="3794C124" w14:textId="77777777" w:rsidTr="00E106BA">
        <w:trPr>
          <w:trHeight w:val="430"/>
        </w:trPr>
        <w:tc>
          <w:tcPr>
            <w:cnfStyle w:val="001000000000" w:firstRow="0" w:lastRow="0" w:firstColumn="1" w:lastColumn="0" w:oddVBand="0" w:evenVBand="0" w:oddHBand="0" w:evenHBand="0" w:firstRowFirstColumn="0" w:firstRowLastColumn="0" w:lastRowFirstColumn="0" w:lastRowLastColumn="0"/>
            <w:tcW w:w="1134" w:type="dxa"/>
            <w:tcBorders>
              <w:top w:val="single" w:sz="4" w:space="0" w:color="2F5496" w:themeColor="accent1" w:themeShade="BF"/>
              <w:left w:val="single" w:sz="4" w:space="0" w:color="2F5496" w:themeColor="accent1" w:themeShade="BF"/>
              <w:bottom w:val="single" w:sz="4" w:space="0" w:color="2F5496" w:themeColor="accent1" w:themeShade="BF"/>
              <w:right w:val="nil"/>
            </w:tcBorders>
            <w:shd w:val="clear" w:color="auto" w:fill="FFFFFF" w:themeFill="background1"/>
          </w:tcPr>
          <w:p w14:paraId="74ED7174" w14:textId="77777777" w:rsidR="00DF575C" w:rsidRPr="00DF575C" w:rsidRDefault="00DF575C" w:rsidP="00DF575C">
            <w:r w:rsidRPr="00DF575C">
              <w:t>FETIS 8</w:t>
            </w:r>
          </w:p>
        </w:tc>
        <w:tc>
          <w:tcPr>
            <w:tcW w:w="284" w:type="dxa"/>
            <w:tcBorders>
              <w:top w:val="single" w:sz="4" w:space="0" w:color="2F5496" w:themeColor="accent1" w:themeShade="BF"/>
              <w:left w:val="nil"/>
              <w:bottom w:val="single" w:sz="4" w:space="0" w:color="2F5496" w:themeColor="accent1" w:themeShade="BF"/>
              <w:right w:val="nil"/>
            </w:tcBorders>
            <w:shd w:val="clear" w:color="auto" w:fill="FFFFFF" w:themeFill="background1"/>
          </w:tcPr>
          <w:p w14:paraId="54265D36" w14:textId="77777777" w:rsidR="00DF575C" w:rsidRPr="00DF575C" w:rsidRDefault="00DF575C" w:rsidP="00DF575C">
            <w:pPr>
              <w:cnfStyle w:val="000000000000" w:firstRow="0" w:lastRow="0" w:firstColumn="0" w:lastColumn="0" w:oddVBand="0" w:evenVBand="0" w:oddHBand="0" w:evenHBand="0" w:firstRowFirstColumn="0" w:firstRowLastColumn="0" w:lastRowFirstColumn="0" w:lastRowLastColumn="0"/>
            </w:pPr>
            <w:r w:rsidRPr="00DF575C">
              <w:t>:</w:t>
            </w:r>
          </w:p>
        </w:tc>
        <w:tc>
          <w:tcPr>
            <w:tcW w:w="6095" w:type="dxa"/>
            <w:tcBorders>
              <w:top w:val="single" w:sz="4" w:space="0" w:color="2F5496" w:themeColor="accent1" w:themeShade="BF"/>
              <w:left w:val="nil"/>
              <w:bottom w:val="single" w:sz="4" w:space="0" w:color="2F5496" w:themeColor="accent1" w:themeShade="BF"/>
              <w:right w:val="single" w:sz="4" w:space="0" w:color="2F5496" w:themeColor="accent1" w:themeShade="BF"/>
            </w:tcBorders>
            <w:shd w:val="clear" w:color="auto" w:fill="FFFFFF" w:themeFill="background1"/>
          </w:tcPr>
          <w:p w14:paraId="5ED2B403" w14:textId="77777777" w:rsidR="00DF575C" w:rsidRPr="00DF575C" w:rsidRDefault="00DF575C" w:rsidP="00DF575C">
            <w:pPr>
              <w:cnfStyle w:val="000000000000" w:firstRow="0" w:lastRow="0" w:firstColumn="0" w:lastColumn="0" w:oddVBand="0" w:evenVBand="0" w:oddHBand="0" w:evenHBand="0" w:firstRowFirstColumn="0" w:firstRowLastColumn="0" w:lastRowFirstColumn="0" w:lastRowLastColumn="0"/>
            </w:pPr>
            <w:r w:rsidRPr="00DF575C">
              <w:t>Lova ara-kolontsaina</w:t>
            </w:r>
          </w:p>
        </w:tc>
        <w:tc>
          <w:tcPr>
            <w:tcW w:w="198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5450B74C" w14:textId="77777777" w:rsidR="00DF575C" w:rsidRPr="00DF575C" w:rsidRDefault="00DF575C" w:rsidP="00DF575C">
            <w:pPr>
              <w:cnfStyle w:val="000000000000" w:firstRow="0" w:lastRow="0" w:firstColumn="0" w:lastColumn="0" w:oddVBand="0" w:evenVBand="0" w:oddHBand="0" w:evenHBand="0" w:firstRowFirstColumn="0" w:firstRowLastColumn="0" w:lastRowFirstColumn="0" w:lastRowLastColumn="0"/>
            </w:pPr>
            <w:r w:rsidRPr="00DF575C">
              <w:t>Ilaina</w:t>
            </w:r>
          </w:p>
        </w:tc>
      </w:tr>
      <w:tr w:rsidR="00DF575C" w:rsidRPr="00DF575C" w14:paraId="68FF7C9D" w14:textId="77777777" w:rsidTr="00E106BA">
        <w:trPr>
          <w:cnfStyle w:val="000000100000" w:firstRow="0" w:lastRow="0" w:firstColumn="0" w:lastColumn="0" w:oddVBand="0" w:evenVBand="0" w:oddHBand="1" w:evenHBand="0" w:firstRowFirstColumn="0" w:firstRowLastColumn="0" w:lastRowFirstColumn="0" w:lastRowLastColumn="0"/>
          <w:trHeight w:val="372"/>
        </w:trPr>
        <w:tc>
          <w:tcPr>
            <w:cnfStyle w:val="001000000000" w:firstRow="0" w:lastRow="0" w:firstColumn="1" w:lastColumn="0" w:oddVBand="0" w:evenVBand="0" w:oddHBand="0" w:evenHBand="0" w:firstRowFirstColumn="0" w:firstRowLastColumn="0" w:lastRowFirstColumn="0" w:lastRowLastColumn="0"/>
            <w:tcW w:w="1134" w:type="dxa"/>
            <w:tcBorders>
              <w:top w:val="single" w:sz="4" w:space="0" w:color="2F5496" w:themeColor="accent1" w:themeShade="BF"/>
              <w:left w:val="single" w:sz="4" w:space="0" w:color="2F5496" w:themeColor="accent1" w:themeShade="BF"/>
              <w:bottom w:val="single" w:sz="4" w:space="0" w:color="2F5496" w:themeColor="accent1" w:themeShade="BF"/>
            </w:tcBorders>
            <w:shd w:val="clear" w:color="auto" w:fill="FFFFFF" w:themeFill="background1"/>
          </w:tcPr>
          <w:p w14:paraId="60C25672" w14:textId="77777777" w:rsidR="00DF575C" w:rsidRPr="00DF575C" w:rsidRDefault="00DF575C" w:rsidP="00DF575C">
            <w:r w:rsidRPr="00DF575C">
              <w:t>FETIS 9</w:t>
            </w:r>
          </w:p>
        </w:tc>
        <w:tc>
          <w:tcPr>
            <w:tcW w:w="284" w:type="dxa"/>
            <w:tcBorders>
              <w:top w:val="single" w:sz="4" w:space="0" w:color="2F5496" w:themeColor="accent1" w:themeShade="BF"/>
              <w:bottom w:val="single" w:sz="4" w:space="0" w:color="2F5496" w:themeColor="accent1" w:themeShade="BF"/>
            </w:tcBorders>
            <w:shd w:val="clear" w:color="auto" w:fill="FFFFFF" w:themeFill="background1"/>
          </w:tcPr>
          <w:p w14:paraId="1A7B417D" w14:textId="77777777" w:rsidR="00DF575C" w:rsidRPr="00DF575C" w:rsidRDefault="00DF575C" w:rsidP="00DF575C">
            <w:pPr>
              <w:cnfStyle w:val="000000100000" w:firstRow="0" w:lastRow="0" w:firstColumn="0" w:lastColumn="0" w:oddVBand="0" w:evenVBand="0" w:oddHBand="1" w:evenHBand="0" w:firstRowFirstColumn="0" w:firstRowLastColumn="0" w:lastRowFirstColumn="0" w:lastRowLastColumn="0"/>
            </w:pPr>
            <w:r w:rsidRPr="00DF575C">
              <w:t>:</w:t>
            </w:r>
          </w:p>
        </w:tc>
        <w:tc>
          <w:tcPr>
            <w:tcW w:w="6095" w:type="dxa"/>
            <w:tcBorders>
              <w:top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058C055F" w14:textId="77777777" w:rsidR="00DF575C" w:rsidRPr="00DF575C" w:rsidRDefault="00DF575C" w:rsidP="00DF575C">
            <w:pPr>
              <w:cnfStyle w:val="000000100000" w:firstRow="0" w:lastRow="0" w:firstColumn="0" w:lastColumn="0" w:oddVBand="0" w:evenVBand="0" w:oddHBand="1" w:evenHBand="0" w:firstRowFirstColumn="0" w:firstRowLastColumn="0" w:lastRowFirstColumn="0" w:lastRowLastColumn="0"/>
            </w:pPr>
            <w:r w:rsidRPr="00DF575C">
              <w:t>Mpanelanelana ara-bola</w:t>
            </w:r>
          </w:p>
        </w:tc>
        <w:tc>
          <w:tcPr>
            <w:tcW w:w="198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67B6C063" w14:textId="77777777" w:rsidR="00DF575C" w:rsidRPr="00DF575C" w:rsidRDefault="00DF575C" w:rsidP="00DF575C">
            <w:pPr>
              <w:cnfStyle w:val="000000100000" w:firstRow="0" w:lastRow="0" w:firstColumn="0" w:lastColumn="0" w:oddVBand="0" w:evenVBand="0" w:oddHBand="1" w:evenHBand="0" w:firstRowFirstColumn="0" w:firstRowLastColumn="0" w:lastRowFirstColumn="0" w:lastRowLastColumn="0"/>
            </w:pPr>
            <w:r w:rsidRPr="00DF575C">
              <w:t>Tsy ilaina</w:t>
            </w:r>
          </w:p>
        </w:tc>
      </w:tr>
      <w:tr w:rsidR="00DF575C" w:rsidRPr="00DF575C" w14:paraId="50474FA9" w14:textId="77777777" w:rsidTr="00E106BA">
        <w:trPr>
          <w:trHeight w:val="424"/>
        </w:trPr>
        <w:tc>
          <w:tcPr>
            <w:cnfStyle w:val="001000000000" w:firstRow="0" w:lastRow="0" w:firstColumn="1" w:lastColumn="0" w:oddVBand="0" w:evenVBand="0" w:oddHBand="0" w:evenHBand="0" w:firstRowFirstColumn="0" w:firstRowLastColumn="0" w:lastRowFirstColumn="0" w:lastRowLastColumn="0"/>
            <w:tcW w:w="1134" w:type="dxa"/>
            <w:tcBorders>
              <w:top w:val="single" w:sz="4" w:space="0" w:color="2F5496" w:themeColor="accent1" w:themeShade="BF"/>
              <w:left w:val="single" w:sz="4" w:space="0" w:color="2F5496" w:themeColor="accent1" w:themeShade="BF"/>
              <w:bottom w:val="single" w:sz="4" w:space="0" w:color="2F5496" w:themeColor="accent1" w:themeShade="BF"/>
              <w:right w:val="nil"/>
            </w:tcBorders>
            <w:shd w:val="clear" w:color="auto" w:fill="FFFFFF" w:themeFill="background1"/>
          </w:tcPr>
          <w:p w14:paraId="2C5C8D65" w14:textId="77777777" w:rsidR="00DF575C" w:rsidRPr="00DF575C" w:rsidRDefault="00DF575C" w:rsidP="00DF575C">
            <w:r w:rsidRPr="00DF575C">
              <w:t>FETIS 10</w:t>
            </w:r>
          </w:p>
        </w:tc>
        <w:tc>
          <w:tcPr>
            <w:tcW w:w="284" w:type="dxa"/>
            <w:tcBorders>
              <w:top w:val="single" w:sz="4" w:space="0" w:color="2F5496" w:themeColor="accent1" w:themeShade="BF"/>
              <w:left w:val="nil"/>
              <w:bottom w:val="single" w:sz="4" w:space="0" w:color="2F5496" w:themeColor="accent1" w:themeShade="BF"/>
              <w:right w:val="nil"/>
            </w:tcBorders>
            <w:shd w:val="clear" w:color="auto" w:fill="FFFFFF" w:themeFill="background1"/>
          </w:tcPr>
          <w:p w14:paraId="75A926EB" w14:textId="77777777" w:rsidR="00DF575C" w:rsidRPr="00DF575C" w:rsidRDefault="00DF575C" w:rsidP="00DF575C">
            <w:pPr>
              <w:cnfStyle w:val="000000000000" w:firstRow="0" w:lastRow="0" w:firstColumn="0" w:lastColumn="0" w:oddVBand="0" w:evenVBand="0" w:oddHBand="0" w:evenHBand="0" w:firstRowFirstColumn="0" w:firstRowLastColumn="0" w:lastRowFirstColumn="0" w:lastRowLastColumn="0"/>
            </w:pPr>
            <w:r w:rsidRPr="00DF575C">
              <w:t>:</w:t>
            </w:r>
          </w:p>
        </w:tc>
        <w:tc>
          <w:tcPr>
            <w:tcW w:w="6095" w:type="dxa"/>
            <w:tcBorders>
              <w:top w:val="single" w:sz="4" w:space="0" w:color="2F5496" w:themeColor="accent1" w:themeShade="BF"/>
              <w:left w:val="nil"/>
              <w:bottom w:val="single" w:sz="4" w:space="0" w:color="2F5496" w:themeColor="accent1" w:themeShade="BF"/>
              <w:right w:val="single" w:sz="4" w:space="0" w:color="2F5496" w:themeColor="accent1" w:themeShade="BF"/>
            </w:tcBorders>
            <w:shd w:val="clear" w:color="auto" w:fill="FFFFFF" w:themeFill="background1"/>
          </w:tcPr>
          <w:p w14:paraId="7546ED4B" w14:textId="77777777" w:rsidR="00DF575C" w:rsidRPr="00F66E10" w:rsidRDefault="00DF575C" w:rsidP="00DF575C">
            <w:pPr>
              <w:cnfStyle w:val="000000000000" w:firstRow="0" w:lastRow="0" w:firstColumn="0" w:lastColumn="0" w:oddVBand="0" w:evenVBand="0" w:oddHBand="0" w:evenHBand="0" w:firstRowFirstColumn="0" w:firstRowLastColumn="0" w:lastRowFirstColumn="0" w:lastRowLastColumn="0"/>
              <w:rPr>
                <w:lang w:val="pt-BR"/>
              </w:rPr>
            </w:pPr>
            <w:r w:rsidRPr="00F66E10">
              <w:rPr>
                <w:lang w:val="pt-BR"/>
              </w:rPr>
              <w:t>Fandraisana anjara sy fampahalalana momba ny mpandray anjara</w:t>
            </w:r>
          </w:p>
        </w:tc>
        <w:tc>
          <w:tcPr>
            <w:tcW w:w="198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3D0A540D" w14:textId="77777777" w:rsidR="00DF575C" w:rsidRPr="00DF575C" w:rsidRDefault="00DF575C" w:rsidP="00DF575C">
            <w:pPr>
              <w:cnfStyle w:val="000000000000" w:firstRow="0" w:lastRow="0" w:firstColumn="0" w:lastColumn="0" w:oddVBand="0" w:evenVBand="0" w:oddHBand="0" w:evenHBand="0" w:firstRowFirstColumn="0" w:firstRowLastColumn="0" w:lastRowFirstColumn="0" w:lastRowLastColumn="0"/>
            </w:pPr>
            <w:r w:rsidRPr="00DF575C">
              <w:t>Ilaina</w:t>
            </w:r>
          </w:p>
        </w:tc>
      </w:tr>
    </w:tbl>
    <w:p w14:paraId="5AC7F789" w14:textId="77777777" w:rsidR="00DF575C" w:rsidRPr="00F6445B" w:rsidRDefault="00DF575C" w:rsidP="00DF575C">
      <w:pPr>
        <w:rPr>
          <w:b/>
          <w:i/>
        </w:rPr>
      </w:pPr>
      <w:r w:rsidRPr="00F6445B">
        <w:rPr>
          <w:b/>
          <w:i/>
        </w:rPr>
        <w:t>Fampitahana</w:t>
      </w:r>
    </w:p>
    <w:p w14:paraId="44702740" w14:textId="71396A31" w:rsidR="00DF575C" w:rsidRPr="00DF575C" w:rsidRDefault="00DF575C" w:rsidP="00DF575C">
      <w:r w:rsidRPr="00DF575C">
        <w:t xml:space="preserve">Araka ny vokatry ny fampitahana ireo rafitra roa ireo, toa hita fa mazava kokoa ny FETIS-n’ny Banky Iraisam-pirenena. Noho izany dia ny fanasokajiana sy ny fomba fiasa atolotry ny Banky Iraisam-pirenena mikasika ny FETIS no ho ampiasaina amin’ny fanatanterahana ny </w:t>
      </w:r>
      <w:r w:rsidR="001342EC">
        <w:t>PCMCI</w:t>
      </w:r>
      <w:r w:rsidRPr="00DF575C">
        <w:t>.</w:t>
      </w:r>
    </w:p>
    <w:p w14:paraId="1D9E8BFB" w14:textId="77777777" w:rsidR="00DF575C" w:rsidRPr="00563A16" w:rsidRDefault="00DF575C" w:rsidP="00DF575C">
      <w:pPr>
        <w:rPr>
          <w:b/>
          <w:i/>
        </w:rPr>
      </w:pPr>
      <w:r w:rsidRPr="00563A16">
        <w:rPr>
          <w:b/>
          <w:i/>
        </w:rPr>
        <w:t>Fandaminana</w:t>
      </w:r>
    </w:p>
    <w:p w14:paraId="666CEBD5" w14:textId="3B4B4756" w:rsidR="00DF575C" w:rsidRPr="00DF575C" w:rsidRDefault="00DF575C" w:rsidP="00DF575C">
      <w:r w:rsidRPr="00DF575C">
        <w:t xml:space="preserve">Toy izao manaraka izao ny fandaminana isan-tokony mandritra ny fanatanterahana ny </w:t>
      </w:r>
      <w:r w:rsidR="001342EC">
        <w:t>PCMCI</w:t>
      </w:r>
      <w:r w:rsidR="00DC2162">
        <w:t xml:space="preserve"> </w:t>
      </w:r>
    </w:p>
    <w:p w14:paraId="7BA02770" w14:textId="77777777" w:rsidR="00DF575C" w:rsidRPr="00563A16" w:rsidRDefault="00DF575C" w:rsidP="00DF575C">
      <w:pPr>
        <w:rPr>
          <w:b/>
          <w:i/>
        </w:rPr>
      </w:pPr>
      <w:r w:rsidRPr="00563A16">
        <w:rPr>
          <w:b/>
          <w:i/>
        </w:rPr>
        <w:t>Ny tompon’ny asa</w:t>
      </w:r>
    </w:p>
    <w:p w14:paraId="4A15E474" w14:textId="77777777" w:rsidR="00DF575C" w:rsidRPr="00DF575C" w:rsidRDefault="00DF575C" w:rsidP="00DF575C">
      <w:r w:rsidRPr="00DF575C">
        <w:t>Ny fitantanana ny lalana dia andraikitra voa-janaharin’ny minisiteran'ny Asa Vaventy (MTP), izay minisitera tompon'andraikitra amin'ny tetikasa.</w:t>
      </w:r>
    </w:p>
    <w:p w14:paraId="44EA1E37" w14:textId="77777777" w:rsidR="00DF575C" w:rsidRPr="00563A16" w:rsidRDefault="00DF575C" w:rsidP="00DF575C">
      <w:pPr>
        <w:rPr>
          <w:b/>
          <w:i/>
        </w:rPr>
      </w:pPr>
      <w:r w:rsidRPr="00563A16">
        <w:rPr>
          <w:b/>
          <w:i/>
        </w:rPr>
        <w:t xml:space="preserve">Ny « Maître d’ouvrage délégué » (MOD) : </w:t>
      </w:r>
    </w:p>
    <w:p w14:paraId="64960948" w14:textId="501D329E" w:rsidR="00DF575C" w:rsidRPr="00DC2162" w:rsidRDefault="00DC2162" w:rsidP="00DF575C">
      <w:pPr>
        <w:rPr>
          <w:color w:val="auto"/>
        </w:rPr>
      </w:pPr>
      <w:r w:rsidRPr="00B73034">
        <w:t>Ny UCP/</w:t>
      </w:r>
      <w:r w:rsidR="00AA15A7">
        <w:t>CERC-PCMCI</w:t>
      </w:r>
      <w:r w:rsidRPr="00B73034">
        <w:t xml:space="preserve"> no voatendry ho Tompon'ny tetikasa</w:t>
      </w:r>
      <w:r>
        <w:t xml:space="preserve"> </w:t>
      </w:r>
      <w:r w:rsidRPr="00B73034">
        <w:t xml:space="preserve">mahakasika </w:t>
      </w:r>
      <w:r w:rsidRPr="00DC2162">
        <w:rPr>
          <w:color w:val="auto"/>
        </w:rPr>
        <w:t>ny tangoronasa PCMCI/</w:t>
      </w:r>
      <w:r w:rsidR="00AA15A7">
        <w:rPr>
          <w:color w:val="auto"/>
        </w:rPr>
        <w:t>CERC</w:t>
      </w:r>
      <w:r w:rsidR="00DF575C" w:rsidRPr="00DC2162">
        <w:rPr>
          <w:color w:val="auto"/>
        </w:rPr>
        <w:t xml:space="preserve">. </w:t>
      </w:r>
    </w:p>
    <w:p w14:paraId="6AEEFF2C" w14:textId="77777777" w:rsidR="00DF575C" w:rsidRPr="003617DE" w:rsidRDefault="00DF575C" w:rsidP="00DF575C">
      <w:pPr>
        <w:rPr>
          <w:b/>
          <w:i/>
        </w:rPr>
      </w:pPr>
      <w:r w:rsidRPr="003617DE">
        <w:rPr>
          <w:b/>
          <w:i/>
        </w:rPr>
        <w:t xml:space="preserve">Ny talen'ny tetikasa </w:t>
      </w:r>
    </w:p>
    <w:p w14:paraId="6DC02A07" w14:textId="0B2BB942" w:rsidR="00DF575C" w:rsidRPr="003617DE" w:rsidRDefault="00DF575C" w:rsidP="00DF575C">
      <w:r w:rsidRPr="003617DE">
        <w:t xml:space="preserve">Izy dia injeniera avy ao amin'ny </w:t>
      </w:r>
      <w:r w:rsidR="00DC2162" w:rsidRPr="003617DE">
        <w:t>UCP/</w:t>
      </w:r>
      <w:r w:rsidR="00AA15A7" w:rsidRPr="003617DE">
        <w:t>CERC-PCMCI</w:t>
      </w:r>
      <w:r w:rsidRPr="003617DE">
        <w:t xml:space="preserve"> </w:t>
      </w:r>
      <w:r w:rsidR="00DC2162" w:rsidRPr="003617DE">
        <w:t>no</w:t>
      </w:r>
      <w:r w:rsidRPr="003617DE">
        <w:t xml:space="preserve"> hiandraikitra ny fanaraha-maso ny tetikasa.</w:t>
      </w:r>
    </w:p>
    <w:p w14:paraId="00192FE1" w14:textId="77777777" w:rsidR="00DF575C" w:rsidRPr="00563A16" w:rsidRDefault="00DF575C" w:rsidP="00DF575C">
      <w:pPr>
        <w:rPr>
          <w:b/>
          <w:i/>
        </w:rPr>
      </w:pPr>
      <w:r w:rsidRPr="00563A16">
        <w:rPr>
          <w:b/>
          <w:i/>
        </w:rPr>
        <w:t>Ny « Maître d’œuvre » ara-teknika (MOeT)</w:t>
      </w:r>
    </w:p>
    <w:p w14:paraId="614E7C6A" w14:textId="77777777" w:rsidR="00DF575C" w:rsidRPr="00DF575C" w:rsidRDefault="00DF575C" w:rsidP="00DF575C">
      <w:r w:rsidRPr="00DF575C">
        <w:t>Ny « Maître d’œuvre » dia ny orinasa voafidy hanara-maso ny fanatanterahana ny asa, ao anatin’ny fe-potoana voatondro, ny kalitao ary ny vidiny napetraka farany ary mifanaraka amin'ny fifanarahana ara-kasa.</w:t>
      </w:r>
    </w:p>
    <w:p w14:paraId="1B07D8C3" w14:textId="77777777" w:rsidR="00DF575C" w:rsidRPr="003617DE" w:rsidRDefault="00DF575C" w:rsidP="00DF575C">
      <w:pPr>
        <w:rPr>
          <w:b/>
          <w:i/>
        </w:rPr>
      </w:pPr>
      <w:r w:rsidRPr="003617DE">
        <w:rPr>
          <w:b/>
          <w:i/>
        </w:rPr>
        <w:t>Manam-pahefana eny an-toerana</w:t>
      </w:r>
    </w:p>
    <w:p w14:paraId="17136152" w14:textId="276ED4FF" w:rsidR="00DF575C" w:rsidRPr="00F66E10" w:rsidRDefault="00DF575C" w:rsidP="00DF575C">
      <w:pPr>
        <w:rPr>
          <w:lang w:val="pt-BR"/>
        </w:rPr>
      </w:pPr>
      <w:r w:rsidRPr="003617DE">
        <w:t>Manampahefana ao amin'ny Faritra Boeny, Sofia</w:t>
      </w:r>
      <w:r w:rsidR="00AA15A7" w:rsidRPr="003617DE">
        <w:t>,</w:t>
      </w:r>
      <w:r w:rsidRPr="003617DE">
        <w:t>DIANA</w:t>
      </w:r>
      <w:r w:rsidR="00AA15A7" w:rsidRPr="003617DE">
        <w:t>, ALAOTRA MANGORO, ATSINANANA, AMORON’I MANIA, ATSIMO ANDREFANA</w:t>
      </w:r>
      <w:r w:rsidR="00DC2162" w:rsidRPr="003617DE">
        <w:t xml:space="preserve"> no voakasiky ny asa ho tanterahana ao amin’ny tangoron’asa CERC</w:t>
      </w:r>
      <w:r w:rsidR="00AA15A7" w:rsidRPr="003617DE">
        <w:t>, amin’ny fanarenana ny lalana RNP4, RNP6, RNP7, RNS30, RNT34, RNS44 ary ny lalana vita rarivato mandeha Ambila sy ny fanarenana ny seranatsambon’i Mahajanga ary ny “boulevard” Ratsimilaho ao Toamasina</w:t>
      </w:r>
      <w:r w:rsidRPr="003617DE">
        <w:t xml:space="preserve">. Manan-jo hanara-maso ny fanarahan-dalàna sy fitsipika izay ifanarahan'ny tetikasa sy ny orinasa mpanao lalana izy ireo ary hanara-maso ny fampiharana ny Drafitra momba ny Tontolo Iainana sy ny </w:t>
      </w:r>
      <w:r w:rsidRPr="003617DE">
        <w:lastRenderedPageBreak/>
        <w:t xml:space="preserve">Fitantanana ara-tsosialy. </w:t>
      </w:r>
      <w:r w:rsidRPr="00F66E10">
        <w:rPr>
          <w:lang w:val="pt-BR"/>
        </w:rPr>
        <w:t>Izy ireo koa dia mandray anjara amin'ny rafitra fitantanana ny fitarainana.</w:t>
      </w:r>
    </w:p>
    <w:p w14:paraId="5D894E45" w14:textId="2D7AAE1D" w:rsidR="00DF575C" w:rsidRPr="00F66E10" w:rsidRDefault="00DF575C" w:rsidP="00DF575C">
      <w:pPr>
        <w:rPr>
          <w:b/>
          <w:i/>
          <w:lang w:val="pt-BR"/>
        </w:rPr>
      </w:pPr>
      <w:r w:rsidRPr="00F66E10">
        <w:rPr>
          <w:b/>
          <w:i/>
          <w:lang w:val="pt-BR"/>
        </w:rPr>
        <w:t>Ny orinasa mpan</w:t>
      </w:r>
      <w:r w:rsidR="00DC2162" w:rsidRPr="00F66E10">
        <w:rPr>
          <w:b/>
          <w:i/>
          <w:lang w:val="pt-BR"/>
        </w:rPr>
        <w:t>atanteraka</w:t>
      </w:r>
    </w:p>
    <w:p w14:paraId="778C91D8" w14:textId="552BED01" w:rsidR="00DF575C" w:rsidRPr="00F66E10" w:rsidRDefault="00DF575C" w:rsidP="00DF575C">
      <w:pPr>
        <w:rPr>
          <w:lang w:val="pt-BR"/>
        </w:rPr>
      </w:pPr>
      <w:r w:rsidRPr="00F66E10">
        <w:rPr>
          <w:lang w:val="pt-BR"/>
        </w:rPr>
        <w:t xml:space="preserve">Ny fampiharana ny ankamaroan'ireo fepetra ara-tontolo iainana sy ara-tsosialy izay mifandray amin'ny </w:t>
      </w:r>
      <w:r w:rsidR="001342EC" w:rsidRPr="00F66E10">
        <w:rPr>
          <w:lang w:val="pt-BR"/>
        </w:rPr>
        <w:t>PCMCI</w:t>
      </w:r>
      <w:r w:rsidRPr="00F66E10">
        <w:rPr>
          <w:lang w:val="pt-BR"/>
        </w:rPr>
        <w:t xml:space="preserve"> dia andraikitry ny orinasam-panorenana, indrindra amin'ny alalan'ny fampiharana ny fepetra takian'ny antontan-taratasy fiarovana.</w:t>
      </w:r>
    </w:p>
    <w:p w14:paraId="06042512" w14:textId="77777777" w:rsidR="00DF575C" w:rsidRPr="00F66E10" w:rsidRDefault="00DF575C" w:rsidP="00DF575C">
      <w:pPr>
        <w:rPr>
          <w:b/>
          <w:i/>
          <w:lang w:val="pt-BR"/>
        </w:rPr>
      </w:pPr>
      <w:r w:rsidRPr="00F66E10">
        <w:rPr>
          <w:b/>
          <w:i/>
          <w:lang w:val="pt-BR"/>
        </w:rPr>
        <w:t>Ny Orinasa ara-drafitra sy ara-tsosialy (MOIS)</w:t>
      </w:r>
    </w:p>
    <w:p w14:paraId="680EDBBC" w14:textId="77777777" w:rsidR="00DF575C" w:rsidRPr="00F66E10" w:rsidRDefault="00DF575C" w:rsidP="00DF575C">
      <w:pPr>
        <w:rPr>
          <w:lang w:val="pt-BR"/>
        </w:rPr>
      </w:pPr>
      <w:r w:rsidRPr="00F66E10">
        <w:rPr>
          <w:lang w:val="pt-BR"/>
        </w:rPr>
        <w:t>Io dia orinasa mpanolo-tsaina na fikambanana tsy miankina. Ny andraikiny dia ny hanamora ny fandrosoan'ny asa eo amin'ny sehatra izay misy fiantraikany avo eo amin'ny fiaraha-monina, izay mety ho arahan’ny fanelingelenana sy ny famindran-toerana vonjimaika na maharitra ny tokantrano voakitika sy ny hetsika izay mitaky fanomzeam-baovao, fifampiraharahana, fanohanana mandritra ny asa.</w:t>
      </w:r>
    </w:p>
    <w:p w14:paraId="1D109DFB" w14:textId="6601A9A1" w:rsidR="00DF575C" w:rsidRPr="004A20C3" w:rsidRDefault="00DF575C" w:rsidP="00DF575C">
      <w:pPr>
        <w:rPr>
          <w:b/>
          <w:i/>
          <w:lang w:val="pt-BR"/>
        </w:rPr>
      </w:pPr>
      <w:r w:rsidRPr="004A20C3">
        <w:rPr>
          <w:b/>
          <w:i/>
          <w:lang w:val="pt-BR"/>
        </w:rPr>
        <w:t>Ny fikambanana miady amin’ny « </w:t>
      </w:r>
      <w:r w:rsidR="004A20C3" w:rsidRPr="004A20C3">
        <w:rPr>
          <w:b/>
          <w:i/>
          <w:lang w:val="pt-BR"/>
        </w:rPr>
        <w:t>Herisetra Mifototra amin’ny maha-la</w:t>
      </w:r>
      <w:r w:rsidR="004A20C3">
        <w:rPr>
          <w:b/>
          <w:i/>
          <w:lang w:val="pt-BR"/>
        </w:rPr>
        <w:t>hy na maha-vav</w:t>
      </w:r>
      <w:r w:rsidR="00636109">
        <w:rPr>
          <w:b/>
          <w:i/>
          <w:lang w:val="pt-BR"/>
        </w:rPr>
        <w:t>y</w:t>
      </w:r>
      <w:r w:rsidRPr="004A20C3">
        <w:rPr>
          <w:b/>
          <w:i/>
          <w:lang w:val="pt-BR"/>
        </w:rPr>
        <w:t>”</w:t>
      </w:r>
    </w:p>
    <w:p w14:paraId="21896221" w14:textId="184E280F" w:rsidR="00DF575C" w:rsidRPr="00636109" w:rsidRDefault="00DF575C" w:rsidP="00DF575C">
      <w:pPr>
        <w:rPr>
          <w:lang w:val="pt-BR"/>
        </w:rPr>
      </w:pPr>
      <w:r w:rsidRPr="00636109">
        <w:rPr>
          <w:lang w:val="pt-BR"/>
        </w:rPr>
        <w:t>Ny tetikasa dia handray fikambanana iray izay manam-pahaizana manokana amin'ny fisorohana sy ny ady amin’ny « </w:t>
      </w:r>
      <w:r w:rsidR="00636109" w:rsidRPr="004A20C3">
        <w:rPr>
          <w:b/>
          <w:i/>
          <w:lang w:val="pt-BR"/>
        </w:rPr>
        <w:t>Herisetra Mifototra amin’ny maha-la</w:t>
      </w:r>
      <w:r w:rsidR="00636109">
        <w:rPr>
          <w:b/>
          <w:i/>
          <w:lang w:val="pt-BR"/>
        </w:rPr>
        <w:t>hy na maha-vavy</w:t>
      </w:r>
      <w:r w:rsidR="00636109" w:rsidRPr="00636109">
        <w:rPr>
          <w:lang w:val="pt-BR"/>
        </w:rPr>
        <w:t xml:space="preserve"> </w:t>
      </w:r>
      <w:r w:rsidRPr="00636109">
        <w:rPr>
          <w:lang w:val="pt-BR"/>
        </w:rPr>
        <w:t>».</w:t>
      </w:r>
    </w:p>
    <w:p w14:paraId="2E864B74" w14:textId="6BA7A105" w:rsidR="00DF575C" w:rsidRPr="00EB1995" w:rsidRDefault="00563A16" w:rsidP="00DF575C">
      <w:pPr>
        <w:rPr>
          <w:b/>
          <w:lang w:val="pt-BR"/>
        </w:rPr>
      </w:pPr>
      <w:r w:rsidRPr="00EB1995">
        <w:rPr>
          <w:b/>
          <w:lang w:val="pt-BR"/>
        </w:rPr>
        <w:t>NY FIANTRAIKA</w:t>
      </w:r>
    </w:p>
    <w:p w14:paraId="71097535" w14:textId="77777777" w:rsidR="00DF575C" w:rsidRPr="00EB1995" w:rsidRDefault="00DF575C" w:rsidP="00DF575C">
      <w:pPr>
        <w:rPr>
          <w:b/>
          <w:i/>
          <w:lang w:val="pt-BR"/>
        </w:rPr>
      </w:pPr>
      <w:r w:rsidRPr="00EB1995">
        <w:rPr>
          <w:b/>
          <w:i/>
          <w:lang w:val="pt-BR"/>
        </w:rPr>
        <w:t>Ny vokatra azo avy amin'ny tetikasa</w:t>
      </w:r>
    </w:p>
    <w:p w14:paraId="12E26AD1" w14:textId="18D930CF" w:rsidR="00DF575C" w:rsidRPr="00F66E10" w:rsidRDefault="00DF575C" w:rsidP="00DF575C">
      <w:pPr>
        <w:rPr>
          <w:lang w:val="pt-BR"/>
        </w:rPr>
      </w:pPr>
      <w:r w:rsidRPr="00F66E10">
        <w:rPr>
          <w:lang w:val="pt-BR"/>
        </w:rPr>
        <w:t>Ny tombontsoa andrasana amin'ity programa ity dia maro</w:t>
      </w:r>
      <w:r w:rsidR="00563A16" w:rsidRPr="00F66E10">
        <w:rPr>
          <w:lang w:val="pt-BR"/>
        </w:rPr>
        <w:t xml:space="preserve"> </w:t>
      </w:r>
      <w:r w:rsidRPr="00F66E10">
        <w:rPr>
          <w:lang w:val="pt-BR"/>
        </w:rPr>
        <w:t>:</w:t>
      </w:r>
    </w:p>
    <w:p w14:paraId="13289172" w14:textId="77777777" w:rsidR="00DF575C" w:rsidRPr="00F66E10" w:rsidRDefault="00DF575C" w:rsidP="00844538">
      <w:pPr>
        <w:pStyle w:val="ListParagraph"/>
        <w:numPr>
          <w:ilvl w:val="0"/>
          <w:numId w:val="171"/>
        </w:numPr>
        <w:rPr>
          <w:lang w:val="pt-BR"/>
        </w:rPr>
      </w:pPr>
      <w:r w:rsidRPr="00F66E10">
        <w:rPr>
          <w:lang w:val="pt-BR"/>
        </w:rPr>
        <w:t>Famoronana asa fanampiny sy loharanom-bola ho an'ireo tokantranon’ny Mpiasa amin’ny orinasal mpanao lalana</w:t>
      </w:r>
    </w:p>
    <w:p w14:paraId="16607AC3" w14:textId="77777777" w:rsidR="00DF575C" w:rsidRPr="00F66E10" w:rsidRDefault="00DF575C" w:rsidP="00844538">
      <w:pPr>
        <w:pStyle w:val="ListParagraph"/>
        <w:numPr>
          <w:ilvl w:val="0"/>
          <w:numId w:val="171"/>
        </w:numPr>
        <w:rPr>
          <w:lang w:val="pt-BR"/>
        </w:rPr>
      </w:pPr>
      <w:r w:rsidRPr="00F66E10">
        <w:rPr>
          <w:lang w:val="pt-BR"/>
        </w:rPr>
        <w:t>Tsy fitohanan'ny fifamoivoizana any amin'ireo faritra kendrena</w:t>
      </w:r>
    </w:p>
    <w:p w14:paraId="0E525519" w14:textId="77777777" w:rsidR="00DF575C" w:rsidRPr="00D42025" w:rsidRDefault="00DF575C" w:rsidP="00844538">
      <w:pPr>
        <w:pStyle w:val="ListParagraph"/>
        <w:numPr>
          <w:ilvl w:val="0"/>
          <w:numId w:val="171"/>
        </w:numPr>
        <w:rPr>
          <w:lang w:val="en-US"/>
        </w:rPr>
      </w:pPr>
      <w:r w:rsidRPr="00D42025">
        <w:rPr>
          <w:lang w:val="en-US"/>
        </w:rPr>
        <w:t>Fitomboan'ny hatsarana ka hanintona mpizaha tany avy eto an-toerana sy avy any ivelany</w:t>
      </w:r>
    </w:p>
    <w:p w14:paraId="079753C9" w14:textId="77777777" w:rsidR="00DF575C" w:rsidRPr="00D42025" w:rsidRDefault="00DF575C" w:rsidP="00844538">
      <w:pPr>
        <w:pStyle w:val="ListParagraph"/>
        <w:numPr>
          <w:ilvl w:val="0"/>
          <w:numId w:val="171"/>
        </w:numPr>
        <w:rPr>
          <w:lang w:val="en-US"/>
        </w:rPr>
      </w:pPr>
      <w:r w:rsidRPr="00D42025">
        <w:rPr>
          <w:lang w:val="en-US"/>
        </w:rPr>
        <w:t>Fampihenana ny halavan’ny dia sy ny tombontsoa mifanaraka amin’izany</w:t>
      </w:r>
    </w:p>
    <w:p w14:paraId="5376063B" w14:textId="77777777" w:rsidR="00DF575C" w:rsidRPr="00DF575C" w:rsidRDefault="00DF575C" w:rsidP="00844538">
      <w:pPr>
        <w:pStyle w:val="ListParagraph"/>
        <w:numPr>
          <w:ilvl w:val="0"/>
          <w:numId w:val="171"/>
        </w:numPr>
      </w:pPr>
      <w:r w:rsidRPr="00DF575C">
        <w:t>Fihenan’ny vidin'ny fikojakojana ny fiara</w:t>
      </w:r>
    </w:p>
    <w:p w14:paraId="71D9F8D2" w14:textId="77777777" w:rsidR="00DF575C" w:rsidRPr="00FD08CC" w:rsidRDefault="00DF575C" w:rsidP="00844538">
      <w:pPr>
        <w:pStyle w:val="ListParagraph"/>
        <w:numPr>
          <w:ilvl w:val="0"/>
          <w:numId w:val="171"/>
        </w:numPr>
        <w:rPr>
          <w:lang w:val="en-US"/>
        </w:rPr>
      </w:pPr>
      <w:r w:rsidRPr="00FD08CC">
        <w:rPr>
          <w:lang w:val="en-US"/>
        </w:rPr>
        <w:t>Tsy fiovaovan’ny vola lany amin’ny fivezivezena</w:t>
      </w:r>
    </w:p>
    <w:p w14:paraId="522B8600" w14:textId="77777777" w:rsidR="00DF575C" w:rsidRPr="00DF575C" w:rsidRDefault="00DF575C" w:rsidP="00844538">
      <w:pPr>
        <w:pStyle w:val="ListParagraph"/>
        <w:numPr>
          <w:ilvl w:val="0"/>
          <w:numId w:val="171"/>
        </w:numPr>
      </w:pPr>
      <w:r w:rsidRPr="00DF575C">
        <w:t>Fanatsarana ny varotra nasionaly</w:t>
      </w:r>
    </w:p>
    <w:p w14:paraId="6AC095A0" w14:textId="77777777" w:rsidR="00DF575C" w:rsidRPr="00D42025" w:rsidRDefault="00DF575C" w:rsidP="00844538">
      <w:pPr>
        <w:pStyle w:val="ListParagraph"/>
        <w:numPr>
          <w:ilvl w:val="0"/>
          <w:numId w:val="171"/>
        </w:numPr>
      </w:pPr>
      <w:r w:rsidRPr="00D42025">
        <w:t>Fandraisana anjara amin'ny fanatsarana ny fari-piainan'ny mpampiasa ny lalana</w:t>
      </w:r>
    </w:p>
    <w:p w14:paraId="7938FCFA" w14:textId="77777777" w:rsidR="00DF575C" w:rsidRPr="00D42025" w:rsidRDefault="00DF575C" w:rsidP="00844538">
      <w:pPr>
        <w:pStyle w:val="ListParagraph"/>
        <w:numPr>
          <w:ilvl w:val="0"/>
          <w:numId w:val="171"/>
        </w:numPr>
      </w:pPr>
      <w:r w:rsidRPr="00D42025">
        <w:t>Fanatsarana ny fifandraisana eo amin'ny mponina avy amin'ny faritra samihafa satria ny fahafahana mihaona dia ho matetika kokoa</w:t>
      </w:r>
    </w:p>
    <w:p w14:paraId="1A4E0B91" w14:textId="77777777" w:rsidR="00DF575C" w:rsidRPr="00D42025" w:rsidRDefault="00DF575C" w:rsidP="00844538">
      <w:pPr>
        <w:pStyle w:val="ListParagraph"/>
        <w:numPr>
          <w:ilvl w:val="0"/>
          <w:numId w:val="171"/>
        </w:numPr>
      </w:pPr>
      <w:r w:rsidRPr="00D42025">
        <w:t>Ny fanarenana lalam-pirenena dia hanamora ny fidiran'ny mponina any amin'ireo foibe ara-pitantanana, ara-toekarena, ara-pitsaboana ary sekoly, ary hampivelatra ny fifanakalozana ihany koa.</w:t>
      </w:r>
    </w:p>
    <w:p w14:paraId="3F1E802F" w14:textId="77777777" w:rsidR="00DF575C" w:rsidRPr="00FD08CC" w:rsidRDefault="00DF575C" w:rsidP="00844538">
      <w:pPr>
        <w:pStyle w:val="ListParagraph"/>
        <w:numPr>
          <w:ilvl w:val="0"/>
          <w:numId w:val="171"/>
        </w:numPr>
        <w:rPr>
          <w:lang w:val="en-US"/>
        </w:rPr>
      </w:pPr>
      <w:r w:rsidRPr="00FD08CC">
        <w:rPr>
          <w:lang w:val="en-US"/>
        </w:rPr>
        <w:t>Fanatsarana ny fiarovana ny fananana sy ny olona</w:t>
      </w:r>
    </w:p>
    <w:p w14:paraId="102861FF" w14:textId="1E3D00C8" w:rsidR="00DF575C" w:rsidRPr="00F66E10" w:rsidRDefault="00DF575C" w:rsidP="00844538">
      <w:pPr>
        <w:pStyle w:val="ListParagraph"/>
        <w:numPr>
          <w:ilvl w:val="0"/>
          <w:numId w:val="171"/>
        </w:numPr>
        <w:rPr>
          <w:lang w:val="pt-BR"/>
        </w:rPr>
      </w:pPr>
      <w:r w:rsidRPr="00F66E10">
        <w:rPr>
          <w:lang w:val="pt-BR"/>
        </w:rPr>
        <w:t>Fanokafana ireo faritra saro-dalana.</w:t>
      </w:r>
    </w:p>
    <w:p w14:paraId="1A691333" w14:textId="77777777" w:rsidR="00DC2162" w:rsidRPr="00F66E10" w:rsidRDefault="00DC2162" w:rsidP="00844538">
      <w:pPr>
        <w:pStyle w:val="ListParagraph"/>
        <w:numPr>
          <w:ilvl w:val="0"/>
          <w:numId w:val="171"/>
        </w:numPr>
        <w:rPr>
          <w:color w:val="auto"/>
          <w:lang w:val="pt-BR"/>
        </w:rPr>
      </w:pPr>
      <w:r w:rsidRPr="00F66E10">
        <w:rPr>
          <w:color w:val="auto"/>
          <w:lang w:val="pt-BR"/>
        </w:rPr>
        <w:t>Fanaraha-maso ny fepetra fiasan'ny seranan-tsambo amin'ny fenitry ny fampandehanana sy ny fisorohana ny loza mety hitranga amin'ny seranan-tsambo</w:t>
      </w:r>
    </w:p>
    <w:p w14:paraId="78441BB8" w14:textId="77777777" w:rsidR="00DF575C" w:rsidRPr="00F66E10" w:rsidRDefault="00DF575C" w:rsidP="00DF575C">
      <w:pPr>
        <w:rPr>
          <w:lang w:val="pt-BR"/>
        </w:rPr>
      </w:pPr>
      <w:r w:rsidRPr="00F66E10">
        <w:rPr>
          <w:lang w:val="pt-BR"/>
        </w:rPr>
        <w:t>Raha fintinina, hisy fiantraikany tsara eo amin'ny toekarena ao an-toerana, isam-paritra ary amin'ny firenena ny asa natolotra.</w:t>
      </w:r>
    </w:p>
    <w:p w14:paraId="67E868DD" w14:textId="77777777" w:rsidR="00DF575C" w:rsidRPr="00F66E10" w:rsidRDefault="00DF575C" w:rsidP="00DF575C">
      <w:pPr>
        <w:rPr>
          <w:b/>
          <w:i/>
          <w:lang w:val="pt-BR"/>
        </w:rPr>
      </w:pPr>
      <w:r w:rsidRPr="00F66E10">
        <w:rPr>
          <w:b/>
          <w:i/>
          <w:lang w:val="pt-BR"/>
        </w:rPr>
        <w:t>Karazana fiantraika ratsy mety hipoitra</w:t>
      </w:r>
    </w:p>
    <w:p w14:paraId="5A0BCC69" w14:textId="00F7C4AF" w:rsidR="00DF575C" w:rsidRPr="00DF575C" w:rsidRDefault="00DF575C" w:rsidP="00DF575C">
      <w:r w:rsidRPr="00F66E10">
        <w:rPr>
          <w:lang w:val="pt-BR"/>
        </w:rPr>
        <w:lastRenderedPageBreak/>
        <w:t xml:space="preserve">Na dia eo aza ny vokatra tsara rehetra andrasana, dia mety hitranga ihany koa ny fiantraikany ratsy. </w:t>
      </w:r>
      <w:r w:rsidRPr="00DF575C">
        <w:t>Mifandray amin'ireto lafiny manaraka ireto izy ireo</w:t>
      </w:r>
      <w:r w:rsidR="00563A16">
        <w:t xml:space="preserve"> </w:t>
      </w:r>
      <w:r w:rsidRPr="00DF575C">
        <w:t>:</w:t>
      </w:r>
    </w:p>
    <w:p w14:paraId="11ADC817" w14:textId="77777777" w:rsidR="00DF575C" w:rsidRPr="00DF575C" w:rsidRDefault="00DF575C" w:rsidP="00844538">
      <w:pPr>
        <w:pStyle w:val="ListParagraph"/>
        <w:numPr>
          <w:ilvl w:val="0"/>
          <w:numId w:val="172"/>
        </w:numPr>
      </w:pPr>
      <w:r w:rsidRPr="00DF575C">
        <w:t>Mety hisy fatiantoka vonjimaika amin'ny loharanom-bola mifandraika amin'ny fanalana ireo olona miasa na mipetraka làlana.</w:t>
      </w:r>
    </w:p>
    <w:p w14:paraId="52E1DC11" w14:textId="77777777" w:rsidR="00DF575C" w:rsidRPr="00DF575C" w:rsidRDefault="00DF575C" w:rsidP="00844538">
      <w:pPr>
        <w:pStyle w:val="ListParagraph"/>
        <w:numPr>
          <w:ilvl w:val="0"/>
          <w:numId w:val="172"/>
        </w:numPr>
      </w:pPr>
      <w:r w:rsidRPr="00DF575C">
        <w:t>Fanelingelenana mifandraika amin'ny fibodoana vonjimaika ny ampahan-tany sy izay mety ho fikisahana mandritra ny fanamboaran-dalana.</w:t>
      </w:r>
    </w:p>
    <w:p w14:paraId="3DC45D7B" w14:textId="77777777" w:rsidR="00DF575C" w:rsidRPr="00FD08CC" w:rsidRDefault="00DF575C" w:rsidP="00844538">
      <w:pPr>
        <w:pStyle w:val="ListParagraph"/>
        <w:numPr>
          <w:ilvl w:val="0"/>
          <w:numId w:val="172"/>
        </w:numPr>
        <w:rPr>
          <w:lang w:val="en-US"/>
        </w:rPr>
      </w:pPr>
      <w:r w:rsidRPr="00FD08CC">
        <w:rPr>
          <w:lang w:val="en-US"/>
        </w:rPr>
        <w:t>Fandotoana isan-karazany mifandray amin'ny milina sy ny fitaovana ampiasaina.</w:t>
      </w:r>
    </w:p>
    <w:p w14:paraId="31430157" w14:textId="77777777" w:rsidR="00DF575C" w:rsidRPr="00FD08CC" w:rsidRDefault="00DF575C" w:rsidP="00844538">
      <w:pPr>
        <w:pStyle w:val="ListParagraph"/>
        <w:numPr>
          <w:ilvl w:val="0"/>
          <w:numId w:val="172"/>
        </w:numPr>
        <w:rPr>
          <w:lang w:val="en-US"/>
        </w:rPr>
      </w:pPr>
      <w:r w:rsidRPr="00FD08CC">
        <w:rPr>
          <w:lang w:val="en-US"/>
        </w:rPr>
        <w:t>Risika mifandraika amin'ny fitomboan’ny mpiasa avy any ivelan’ny faritra.</w:t>
      </w:r>
    </w:p>
    <w:p w14:paraId="72972F48" w14:textId="77777777" w:rsidR="00DF575C" w:rsidRPr="00F66E10" w:rsidRDefault="00DF575C" w:rsidP="00844538">
      <w:pPr>
        <w:pStyle w:val="ListParagraph"/>
        <w:numPr>
          <w:ilvl w:val="0"/>
          <w:numId w:val="172"/>
        </w:numPr>
        <w:rPr>
          <w:lang w:val="pt-BR"/>
        </w:rPr>
      </w:pPr>
      <w:r w:rsidRPr="00F66E10">
        <w:rPr>
          <w:lang w:val="pt-BR"/>
        </w:rPr>
        <w:t>Loza mety hitranga mandritra ny asa.</w:t>
      </w:r>
    </w:p>
    <w:p w14:paraId="2CFDE4B4" w14:textId="77777777" w:rsidR="00DF575C" w:rsidRPr="00F66E10" w:rsidRDefault="00DF575C" w:rsidP="00844538">
      <w:pPr>
        <w:pStyle w:val="ListParagraph"/>
        <w:numPr>
          <w:ilvl w:val="0"/>
          <w:numId w:val="172"/>
        </w:numPr>
        <w:rPr>
          <w:lang w:val="pt-BR"/>
        </w:rPr>
      </w:pPr>
      <w:r w:rsidRPr="00F66E10">
        <w:rPr>
          <w:lang w:val="pt-BR"/>
        </w:rPr>
        <w:t>Fanelingelenana isan-karazany amin'ny fiainana andavanandron'ny mpampiasa lalana.</w:t>
      </w:r>
    </w:p>
    <w:p w14:paraId="233B977F" w14:textId="77777777" w:rsidR="00DF575C" w:rsidRPr="00D42025" w:rsidRDefault="00DF575C" w:rsidP="00844538">
      <w:pPr>
        <w:pStyle w:val="ListParagraph"/>
        <w:numPr>
          <w:ilvl w:val="0"/>
          <w:numId w:val="172"/>
        </w:numPr>
        <w:rPr>
          <w:lang w:val="en-US"/>
        </w:rPr>
      </w:pPr>
      <w:r w:rsidRPr="00D42025">
        <w:rPr>
          <w:lang w:val="en-US"/>
        </w:rPr>
        <w:t>Mety hisy ny tsy fifankazahoana ara-tsosialy.</w:t>
      </w:r>
    </w:p>
    <w:p w14:paraId="402FAF44" w14:textId="77777777" w:rsidR="00DF575C" w:rsidRPr="00D42025" w:rsidRDefault="00DF575C" w:rsidP="00844538">
      <w:pPr>
        <w:pStyle w:val="ListParagraph"/>
        <w:numPr>
          <w:ilvl w:val="0"/>
          <w:numId w:val="172"/>
        </w:numPr>
        <w:rPr>
          <w:lang w:val="en-US"/>
        </w:rPr>
      </w:pPr>
      <w:r w:rsidRPr="00D42025">
        <w:rPr>
          <w:lang w:val="en-US"/>
        </w:rPr>
        <w:t>Mety hisy koa ny herisetra mifototra amin'ny maha-lahy na maha-vavy vokatry ny firohotry ny mpiasa avy amin'ny faritra hafa.</w:t>
      </w:r>
    </w:p>
    <w:p w14:paraId="00638C2A" w14:textId="77777777" w:rsidR="00DF575C" w:rsidRPr="00DF575C" w:rsidRDefault="00DF575C" w:rsidP="00844538">
      <w:pPr>
        <w:pStyle w:val="ListParagraph"/>
        <w:numPr>
          <w:ilvl w:val="0"/>
          <w:numId w:val="172"/>
        </w:numPr>
      </w:pPr>
      <w:r w:rsidRPr="00DF575C">
        <w:t>Lozam-pifamoivoizana.</w:t>
      </w:r>
    </w:p>
    <w:p w14:paraId="0604CD2D" w14:textId="77777777" w:rsidR="00DF575C" w:rsidRPr="00D42025" w:rsidRDefault="00DF575C" w:rsidP="00844538">
      <w:pPr>
        <w:pStyle w:val="ListParagraph"/>
        <w:numPr>
          <w:ilvl w:val="0"/>
          <w:numId w:val="172"/>
        </w:numPr>
        <w:rPr>
          <w:lang w:val="en-US"/>
        </w:rPr>
      </w:pPr>
      <w:r w:rsidRPr="00D42025">
        <w:rPr>
          <w:lang w:val="en-US"/>
        </w:rPr>
        <w:t>Mety hisy ny areti-mifindra (VIH / SIDA, Covid-19 ...)</w:t>
      </w:r>
    </w:p>
    <w:p w14:paraId="013FE762" w14:textId="77777777" w:rsidR="00DF575C" w:rsidRPr="00DF575C" w:rsidRDefault="00DF575C" w:rsidP="00844538">
      <w:pPr>
        <w:pStyle w:val="ListParagraph"/>
        <w:numPr>
          <w:ilvl w:val="0"/>
          <w:numId w:val="172"/>
        </w:numPr>
      </w:pPr>
      <w:r w:rsidRPr="00DF575C">
        <w:t>Tsy fandriam-pahalemana</w:t>
      </w:r>
    </w:p>
    <w:p w14:paraId="0B9C46A6" w14:textId="77777777" w:rsidR="00DF575C" w:rsidRPr="00D42025" w:rsidRDefault="00DF575C" w:rsidP="00844538">
      <w:pPr>
        <w:pStyle w:val="ListParagraph"/>
        <w:numPr>
          <w:ilvl w:val="0"/>
          <w:numId w:val="172"/>
        </w:numPr>
      </w:pPr>
      <w:r w:rsidRPr="00D42025">
        <w:t>Mety hisy ny fiantraika eo amin'ny sehatra ara-kolontsaina/ara-pivavahana.</w:t>
      </w:r>
    </w:p>
    <w:p w14:paraId="054F09C5" w14:textId="777747F3" w:rsidR="00DF575C" w:rsidRPr="00D42025" w:rsidRDefault="00DF575C" w:rsidP="00844538">
      <w:pPr>
        <w:pStyle w:val="ListParagraph"/>
        <w:numPr>
          <w:ilvl w:val="0"/>
          <w:numId w:val="172"/>
        </w:numPr>
      </w:pPr>
      <w:r w:rsidRPr="00D42025">
        <w:t>Loza mifandraika amin'ny fiovaovan'ny toetr'andro.</w:t>
      </w:r>
    </w:p>
    <w:p w14:paraId="2453FEB7" w14:textId="455F7444" w:rsidR="00DC2162" w:rsidRPr="00D42025" w:rsidRDefault="00DC2162" w:rsidP="00844538">
      <w:pPr>
        <w:pStyle w:val="ListParagraph"/>
        <w:numPr>
          <w:ilvl w:val="0"/>
          <w:numId w:val="172"/>
        </w:numPr>
        <w:rPr>
          <w:color w:val="auto"/>
        </w:rPr>
      </w:pPr>
      <w:r w:rsidRPr="00D42025">
        <w:rPr>
          <w:color w:val="auto"/>
        </w:rPr>
        <w:t>Ny fanelingelenana ny fidiran’ny mpampiasa ireo tolotra ao amin’ny faritry ny seranan-tsambon’i Mahajanga</w:t>
      </w:r>
    </w:p>
    <w:p w14:paraId="4436830B" w14:textId="77777777" w:rsidR="00DF575C" w:rsidRPr="00DF575C" w:rsidRDefault="00DF575C" w:rsidP="00844538">
      <w:pPr>
        <w:pStyle w:val="ListParagraph"/>
        <w:numPr>
          <w:ilvl w:val="0"/>
          <w:numId w:val="172"/>
        </w:numPr>
      </w:pPr>
      <w:r w:rsidRPr="00DF575C">
        <w:t>Hafa.</w:t>
      </w:r>
    </w:p>
    <w:p w14:paraId="7A4E1D08" w14:textId="77777777" w:rsidR="00DF575C" w:rsidRPr="00DF575C" w:rsidRDefault="00DF575C" w:rsidP="00DF575C">
      <w:r w:rsidRPr="00DF575C">
        <w:t>Ankoatra izany, ny loza sy ny fiantraika mifandraika amin'ny fiampitana na ny fandalovana amin'ny sisin'ny faritra voaaro dia tsy maintsy atao ihany koa.</w:t>
      </w:r>
    </w:p>
    <w:p w14:paraId="21BCBEBC" w14:textId="77777777" w:rsidR="00DF575C" w:rsidRPr="00563A16" w:rsidRDefault="00DF575C" w:rsidP="00DF575C">
      <w:pPr>
        <w:rPr>
          <w:b/>
          <w:i/>
        </w:rPr>
      </w:pPr>
      <w:r w:rsidRPr="00563A16">
        <w:rPr>
          <w:b/>
          <w:i/>
        </w:rPr>
        <w:t>Fakan-kevitra</w:t>
      </w:r>
    </w:p>
    <w:p w14:paraId="60EDEB77" w14:textId="7BD981DB" w:rsidR="00DF575C" w:rsidRPr="00DF575C" w:rsidRDefault="00DF575C" w:rsidP="00DF575C">
      <w:r w:rsidRPr="00DF575C">
        <w:t xml:space="preserve">Ny fakan-kevitra dia nokarakaraina tany amin'ireo renivohi-paritra voakasiky ny </w:t>
      </w:r>
      <w:r w:rsidR="001342EC">
        <w:t>PCMCI</w:t>
      </w:r>
      <w:r w:rsidRPr="00DF575C">
        <w:t xml:space="preserve"> ary niarahana tamin'ny fanohanan'ny Talem-paritry ny Asa Vaventy izany. Nandritra ireo fotoana ireo dia ny fandraisana anjaran'ny vehivavy.</w:t>
      </w:r>
    </w:p>
    <w:p w14:paraId="226F24C6" w14:textId="5D557C5A" w:rsidR="00DF575C" w:rsidRDefault="00DF575C" w:rsidP="00DF575C">
      <w:r w:rsidRPr="00DF575C">
        <w:t>Taty aoriana dia nampian'ny fifanakalozan-kevitra manokana tamin'ny manampahefana ireo fakan-kevitra niarahana tamin'ny daholobe ireo, anisan'izany ny manampahefana ao amin'ny faritra, distrika, kaominina ary ny sampandraharam-panjakana.</w:t>
      </w:r>
    </w:p>
    <w:p w14:paraId="485CCE32" w14:textId="2B5F2FF4" w:rsidR="00DC2162" w:rsidRPr="00DC2162" w:rsidRDefault="00DC2162" w:rsidP="00DC2162">
      <w:pPr>
        <w:rPr>
          <w:color w:val="auto"/>
        </w:rPr>
      </w:pPr>
      <w:r w:rsidRPr="00DC2162">
        <w:rPr>
          <w:color w:val="auto"/>
        </w:rPr>
        <w:t>Ny vokatra nandritra ny fifanakalozan-kevitra dia hodinihina ho an'ny fitantanana ny tetikasa PCMCI/CERC</w:t>
      </w:r>
      <w:r>
        <w:rPr>
          <w:color w:val="auto"/>
        </w:rPr>
        <w:t>.</w:t>
      </w:r>
    </w:p>
    <w:p w14:paraId="1CE29307" w14:textId="3D887691" w:rsidR="00DF575C" w:rsidRPr="00F66E10" w:rsidRDefault="00563A16" w:rsidP="00563A16">
      <w:pPr>
        <w:jc w:val="left"/>
        <w:rPr>
          <w:b/>
          <w:lang w:val="pt-BR"/>
        </w:rPr>
      </w:pPr>
      <w:r w:rsidRPr="00F66E10">
        <w:rPr>
          <w:b/>
          <w:lang w:val="pt-BR"/>
        </w:rPr>
        <w:t>DRAFITRA MOMBA NY TONTOLO IAINANA SY NY FITANTANANA ARA-TSOSIALY</w:t>
      </w:r>
    </w:p>
    <w:p w14:paraId="3B2F37E1" w14:textId="77777777" w:rsidR="00DF575C" w:rsidRPr="00F66E10" w:rsidRDefault="00DF575C" w:rsidP="00DF575C">
      <w:pPr>
        <w:rPr>
          <w:b/>
          <w:i/>
          <w:lang w:val="pt-BR"/>
        </w:rPr>
      </w:pPr>
      <w:r w:rsidRPr="00F66E10">
        <w:rPr>
          <w:b/>
          <w:i/>
          <w:lang w:val="pt-BR"/>
        </w:rPr>
        <w:t>Fomba fiasa amin'ny fitantanana ara-tontolo iainana sy ara-tsosialy amin'ny tetikasa</w:t>
      </w:r>
    </w:p>
    <w:p w14:paraId="1D7F7F64" w14:textId="77777777" w:rsidR="00DF575C" w:rsidRPr="00F66E10" w:rsidRDefault="00DF575C" w:rsidP="00DF575C">
      <w:pPr>
        <w:rPr>
          <w:lang w:val="pt-BR"/>
        </w:rPr>
      </w:pPr>
      <w:r w:rsidRPr="00F66E10">
        <w:rPr>
          <w:lang w:val="pt-BR"/>
        </w:rPr>
        <w:t>Araka ny voafaritra ao anatin'ny RFTIFM dia toy izao ny fomba tokony ho arahana :</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5"/>
        <w:gridCol w:w="3472"/>
        <w:gridCol w:w="3757"/>
      </w:tblGrid>
      <w:tr w:rsidR="00DF575C" w:rsidRPr="00DF575C" w14:paraId="190376CE" w14:textId="77777777" w:rsidTr="00E106BA">
        <w:trPr>
          <w:tblHeader/>
        </w:trPr>
        <w:tc>
          <w:tcPr>
            <w:tcW w:w="2235" w:type="dxa"/>
            <w:vMerge w:val="restart"/>
            <w:shd w:val="clear" w:color="auto" w:fill="E2EFD9" w:themeFill="accent6" w:themeFillTint="33"/>
            <w:vAlign w:val="center"/>
          </w:tcPr>
          <w:p w14:paraId="3F46F233" w14:textId="77777777" w:rsidR="00DF575C" w:rsidRPr="00DF575C" w:rsidRDefault="00DF575C" w:rsidP="00DF575C">
            <w:r w:rsidRPr="00DF575C">
              <w:lastRenderedPageBreak/>
              <w:t>DINGANA</w:t>
            </w:r>
          </w:p>
        </w:tc>
        <w:tc>
          <w:tcPr>
            <w:tcW w:w="7229" w:type="dxa"/>
            <w:gridSpan w:val="2"/>
            <w:shd w:val="clear" w:color="auto" w:fill="E2EFD9" w:themeFill="accent6" w:themeFillTint="33"/>
            <w:vAlign w:val="center"/>
          </w:tcPr>
          <w:p w14:paraId="1FC66453" w14:textId="77777777" w:rsidR="00DF575C" w:rsidRPr="00DF575C" w:rsidRDefault="00DF575C" w:rsidP="00DF575C">
            <w:r w:rsidRPr="00DF575C">
              <w:t>ANDRAIKITRA</w:t>
            </w:r>
          </w:p>
        </w:tc>
      </w:tr>
      <w:tr w:rsidR="00DF575C" w:rsidRPr="00DF575C" w14:paraId="05017F16" w14:textId="77777777" w:rsidTr="00E106BA">
        <w:trPr>
          <w:tblHeader/>
        </w:trPr>
        <w:tc>
          <w:tcPr>
            <w:tcW w:w="2235" w:type="dxa"/>
            <w:vMerge/>
            <w:shd w:val="clear" w:color="auto" w:fill="E2EFD9" w:themeFill="accent6" w:themeFillTint="33"/>
            <w:vAlign w:val="center"/>
          </w:tcPr>
          <w:p w14:paraId="34F18E95" w14:textId="77777777" w:rsidR="00DF575C" w:rsidRPr="00DF575C" w:rsidRDefault="00DF575C" w:rsidP="00DF575C"/>
        </w:tc>
        <w:tc>
          <w:tcPr>
            <w:tcW w:w="3472" w:type="dxa"/>
            <w:shd w:val="clear" w:color="auto" w:fill="E2EFD9" w:themeFill="accent6" w:themeFillTint="33"/>
            <w:vAlign w:val="center"/>
          </w:tcPr>
          <w:p w14:paraId="31F7CA7D" w14:textId="77777777" w:rsidR="00DF575C" w:rsidRPr="00F66E10" w:rsidRDefault="00DF575C" w:rsidP="00DF575C">
            <w:pPr>
              <w:rPr>
                <w:lang w:val="pt-BR"/>
              </w:rPr>
            </w:pPr>
            <w:r w:rsidRPr="00F66E10">
              <w:rPr>
                <w:lang w:val="pt-BR"/>
              </w:rPr>
              <w:t>(Vondrona mpandrindra ny tetikasa (« UCP »)</w:t>
            </w:r>
          </w:p>
        </w:tc>
        <w:tc>
          <w:tcPr>
            <w:tcW w:w="3757" w:type="dxa"/>
            <w:shd w:val="clear" w:color="auto" w:fill="E2EFD9" w:themeFill="accent6" w:themeFillTint="33"/>
            <w:vAlign w:val="center"/>
          </w:tcPr>
          <w:p w14:paraId="0A1FE785" w14:textId="77777777" w:rsidR="00DF575C" w:rsidRPr="00DF575C" w:rsidRDefault="00DF575C" w:rsidP="00DF575C">
            <w:r w:rsidRPr="00DF575C">
              <w:t>BANKY IRAISAM-PIRENENA</w:t>
            </w:r>
          </w:p>
        </w:tc>
      </w:tr>
      <w:tr w:rsidR="00DF575C" w:rsidRPr="00EB1995" w14:paraId="59005BCE" w14:textId="77777777" w:rsidTr="00E106BA">
        <w:tc>
          <w:tcPr>
            <w:tcW w:w="2235" w:type="dxa"/>
          </w:tcPr>
          <w:p w14:paraId="25751116" w14:textId="77777777" w:rsidR="00DF575C" w:rsidRPr="00F66E10" w:rsidRDefault="00DF575C" w:rsidP="00DF575C">
            <w:pPr>
              <w:rPr>
                <w:lang w:val="pt-BR"/>
              </w:rPr>
            </w:pPr>
            <w:r w:rsidRPr="00F66E10">
              <w:rPr>
                <w:lang w:val="pt-BR"/>
              </w:rPr>
              <w:t>Fitiliana mialoha ara-tontolo iainana</w:t>
            </w:r>
          </w:p>
        </w:tc>
        <w:tc>
          <w:tcPr>
            <w:tcW w:w="3472" w:type="dxa"/>
          </w:tcPr>
          <w:p w14:paraId="171D4546" w14:textId="77777777" w:rsidR="00DF575C" w:rsidRPr="00F66E10" w:rsidRDefault="00DF575C" w:rsidP="00DF575C">
            <w:pPr>
              <w:rPr>
                <w:lang w:val="pt-BR"/>
              </w:rPr>
            </w:pPr>
            <w:r w:rsidRPr="00F66E10">
              <w:rPr>
                <w:lang w:val="pt-BR"/>
              </w:rPr>
              <w:t>Fiomanana amin'ny firaketana ny fanaraha-maso ny tontolo iainana</w:t>
            </w:r>
          </w:p>
          <w:p w14:paraId="58F73E75" w14:textId="77777777" w:rsidR="00DF575C" w:rsidRPr="00F66E10" w:rsidRDefault="00DF575C" w:rsidP="00DF575C">
            <w:pPr>
              <w:rPr>
                <w:lang w:val="pt-BR"/>
              </w:rPr>
            </w:pPr>
            <w:r w:rsidRPr="00F66E10">
              <w:rPr>
                <w:lang w:val="pt-BR"/>
              </w:rPr>
              <w:t>Fanasokajiana ny zana-tetikasa sy ny famantarana ny antontan-taratasy (s) mba ho vonona araka ny fampiharana FETIS sy ny lalàna nasionaly momba ny tontolo iainana</w:t>
            </w:r>
          </w:p>
        </w:tc>
        <w:tc>
          <w:tcPr>
            <w:tcW w:w="3757" w:type="dxa"/>
          </w:tcPr>
          <w:p w14:paraId="2023F8E8" w14:textId="77777777" w:rsidR="00DF575C" w:rsidRPr="00F66E10" w:rsidRDefault="00DF575C" w:rsidP="00DF575C">
            <w:pPr>
              <w:rPr>
                <w:lang w:val="pt-BR"/>
              </w:rPr>
            </w:pPr>
            <w:r w:rsidRPr="00F66E10">
              <w:rPr>
                <w:lang w:val="pt-BR"/>
              </w:rPr>
              <w:t>Fanamarinana ny sokajy sy ny FETIS azo ampiharina amin’ny zana-tetikasa</w:t>
            </w:r>
          </w:p>
          <w:p w14:paraId="1F108D10" w14:textId="77777777" w:rsidR="00DF575C" w:rsidRPr="00F66E10" w:rsidRDefault="00DF575C" w:rsidP="00DF575C">
            <w:pPr>
              <w:rPr>
                <w:lang w:val="pt-BR"/>
              </w:rPr>
            </w:pPr>
            <w:r w:rsidRPr="00F66E10">
              <w:rPr>
                <w:lang w:val="pt-BR"/>
              </w:rPr>
              <w:t>Atao tovana any anatin’ny fanadihadiana ara-tontolo iainana sy sosialy izay atolotra ny Banky ny valin’ny fanadihadiana mialoha</w:t>
            </w:r>
          </w:p>
        </w:tc>
      </w:tr>
      <w:tr w:rsidR="00DF575C" w:rsidRPr="00DF575C" w14:paraId="12BE1B0D" w14:textId="77777777" w:rsidTr="00E106BA">
        <w:tc>
          <w:tcPr>
            <w:tcW w:w="2235" w:type="dxa"/>
          </w:tcPr>
          <w:p w14:paraId="7DCEC220" w14:textId="77777777" w:rsidR="00DF575C" w:rsidRPr="00F66E10" w:rsidRDefault="00DF575C" w:rsidP="00DF575C">
            <w:pPr>
              <w:rPr>
                <w:lang w:val="pt-BR"/>
              </w:rPr>
            </w:pPr>
            <w:r w:rsidRPr="00F66E10">
              <w:rPr>
                <w:lang w:val="pt-BR"/>
              </w:rPr>
              <w:t>Fanatanterahana ny « PMPP ». Fakan-kevitra ny daholobe</w:t>
            </w:r>
          </w:p>
        </w:tc>
        <w:tc>
          <w:tcPr>
            <w:tcW w:w="3472" w:type="dxa"/>
          </w:tcPr>
          <w:p w14:paraId="7FFA5316" w14:textId="77777777" w:rsidR="00DF575C" w:rsidRPr="00F66E10" w:rsidRDefault="00DF575C" w:rsidP="00DF575C">
            <w:pPr>
              <w:rPr>
                <w:lang w:val="pt-BR"/>
              </w:rPr>
            </w:pPr>
            <w:r w:rsidRPr="00F66E10">
              <w:rPr>
                <w:lang w:val="pt-BR"/>
              </w:rPr>
              <w:t>Fifampidinihana miaraka amin'ireo vondrona voakasika sy liana</w:t>
            </w:r>
          </w:p>
        </w:tc>
        <w:tc>
          <w:tcPr>
            <w:tcW w:w="3757" w:type="dxa"/>
          </w:tcPr>
          <w:p w14:paraId="415270CC" w14:textId="77777777" w:rsidR="00DF575C" w:rsidRPr="00DF575C" w:rsidRDefault="00DF575C" w:rsidP="00DF575C">
            <w:r w:rsidRPr="00DF575C">
              <w:t>Fanamarinana</w:t>
            </w:r>
          </w:p>
        </w:tc>
      </w:tr>
      <w:tr w:rsidR="00DF575C" w:rsidRPr="00EB1995" w14:paraId="5C32C427" w14:textId="77777777" w:rsidTr="00E106BA">
        <w:tc>
          <w:tcPr>
            <w:tcW w:w="2235" w:type="dxa"/>
          </w:tcPr>
          <w:p w14:paraId="22208C81" w14:textId="77777777" w:rsidR="00DF575C" w:rsidRPr="00DF575C" w:rsidRDefault="00DF575C" w:rsidP="00DF575C">
            <w:r w:rsidRPr="00DF575C">
              <w:t>Fifantenana ny « consultant »</w:t>
            </w:r>
          </w:p>
        </w:tc>
        <w:tc>
          <w:tcPr>
            <w:tcW w:w="3472" w:type="dxa"/>
          </w:tcPr>
          <w:p w14:paraId="55BAEEFA" w14:textId="77777777" w:rsidR="00DF575C" w:rsidRPr="00F66E10" w:rsidRDefault="00DF575C" w:rsidP="00DF575C">
            <w:pPr>
              <w:rPr>
                <w:lang w:val="pt-BR"/>
              </w:rPr>
            </w:pPr>
            <w:r w:rsidRPr="00F66E10">
              <w:rPr>
                <w:lang w:val="pt-BR"/>
              </w:rPr>
              <w:t xml:space="preserve">Fanomanana ny « TdR » </w:t>
            </w:r>
          </w:p>
          <w:p w14:paraId="7F6EDCE9" w14:textId="77777777" w:rsidR="00DF575C" w:rsidRPr="00F66E10" w:rsidRDefault="00DF575C" w:rsidP="00DF575C">
            <w:pPr>
              <w:rPr>
                <w:lang w:val="pt-BR"/>
              </w:rPr>
            </w:pPr>
            <w:r w:rsidRPr="00F66E10">
              <w:rPr>
                <w:lang w:val="pt-BR"/>
              </w:rPr>
              <w:t>Fisafidianana ny « consultant” hanatanteraka ny fanadihadiana takiana Drafitra itantanana ny Tontolo iainana, sns.)</w:t>
            </w:r>
          </w:p>
        </w:tc>
        <w:tc>
          <w:tcPr>
            <w:tcW w:w="3757" w:type="dxa"/>
          </w:tcPr>
          <w:p w14:paraId="5B1DCCA8" w14:textId="7DBF6AAB" w:rsidR="00DF575C" w:rsidRPr="00F66E10" w:rsidRDefault="00DF575C" w:rsidP="00DF575C">
            <w:pPr>
              <w:rPr>
                <w:lang w:val="pt-BR"/>
              </w:rPr>
            </w:pPr>
            <w:r w:rsidRPr="00F66E10">
              <w:rPr>
                <w:lang w:val="pt-BR"/>
              </w:rPr>
              <w:t>Miankina amin'ny tetibolan’ny fifanarahana</w:t>
            </w:r>
            <w:r w:rsidR="00DC2162" w:rsidRPr="00F66E10">
              <w:rPr>
                <w:lang w:val="pt-BR"/>
              </w:rPr>
              <w:t xml:space="preserve"> </w:t>
            </w:r>
            <w:r w:rsidRPr="00F66E10">
              <w:rPr>
                <w:lang w:val="pt-BR"/>
              </w:rPr>
              <w:t>:</w:t>
            </w:r>
          </w:p>
          <w:p w14:paraId="2141262B" w14:textId="77777777" w:rsidR="00DF575C" w:rsidRPr="00F66E10" w:rsidRDefault="00DF575C" w:rsidP="00DF575C">
            <w:pPr>
              <w:rPr>
                <w:lang w:val="pt-BR"/>
              </w:rPr>
            </w:pPr>
            <w:r w:rsidRPr="00F66E10">
              <w:rPr>
                <w:lang w:val="pt-BR"/>
              </w:rPr>
              <w:t>Takiana ny « non-objection » raha toa ka mihoatra ny fetra</w:t>
            </w:r>
          </w:p>
          <w:p w14:paraId="5B6210FE" w14:textId="77777777" w:rsidR="00DF575C" w:rsidRPr="00F66E10" w:rsidRDefault="00DF575C" w:rsidP="00DF575C">
            <w:pPr>
              <w:rPr>
                <w:lang w:val="pt-BR"/>
              </w:rPr>
            </w:pPr>
            <w:r w:rsidRPr="00F66E10">
              <w:rPr>
                <w:lang w:val="pt-BR"/>
              </w:rPr>
              <w:t>Tsy takiana izany raha toa ka tsy mihoatra ny fetra</w:t>
            </w:r>
          </w:p>
        </w:tc>
      </w:tr>
      <w:tr w:rsidR="00DF575C" w:rsidRPr="00EB1995" w14:paraId="3B3C9351" w14:textId="77777777" w:rsidTr="00E106BA">
        <w:tc>
          <w:tcPr>
            <w:tcW w:w="2235" w:type="dxa"/>
          </w:tcPr>
          <w:p w14:paraId="229BEAE1" w14:textId="77777777" w:rsidR="00DF575C" w:rsidRPr="00F66E10" w:rsidRDefault="00DF575C" w:rsidP="00DF575C">
            <w:pPr>
              <w:rPr>
                <w:lang w:val="pt-BR"/>
              </w:rPr>
            </w:pPr>
            <w:r w:rsidRPr="00F66E10">
              <w:rPr>
                <w:lang w:val="pt-BR"/>
              </w:rPr>
              <w:t>Famakafakana ara-tontolo iainana sy ara-tsosialy</w:t>
            </w:r>
          </w:p>
        </w:tc>
        <w:tc>
          <w:tcPr>
            <w:tcW w:w="3472" w:type="dxa"/>
          </w:tcPr>
          <w:p w14:paraId="528E83FE" w14:textId="77777777" w:rsidR="00DF575C" w:rsidRPr="00F66E10" w:rsidRDefault="00DF575C" w:rsidP="00DF575C">
            <w:pPr>
              <w:rPr>
                <w:lang w:val="pt-BR"/>
              </w:rPr>
            </w:pPr>
            <w:r w:rsidRPr="00F66E10">
              <w:rPr>
                <w:lang w:val="pt-BR"/>
              </w:rPr>
              <w:t>Fikirakirana ny antontam-baovao</w:t>
            </w:r>
          </w:p>
          <w:p w14:paraId="406A8156" w14:textId="77777777" w:rsidR="00DF575C" w:rsidRPr="00F66E10" w:rsidRDefault="00DF575C" w:rsidP="00DF575C">
            <w:pPr>
              <w:rPr>
                <w:lang w:val="pt-BR"/>
              </w:rPr>
            </w:pPr>
            <w:r w:rsidRPr="00F66E10">
              <w:rPr>
                <w:lang w:val="pt-BR"/>
              </w:rPr>
              <w:t>Fanoratana ny alin’ny fanadihadiana</w:t>
            </w:r>
          </w:p>
        </w:tc>
        <w:tc>
          <w:tcPr>
            <w:tcW w:w="3757" w:type="dxa"/>
          </w:tcPr>
          <w:p w14:paraId="50F0A6D1" w14:textId="77777777" w:rsidR="00DF575C" w:rsidRPr="00F66E10" w:rsidRDefault="00DF575C" w:rsidP="00DF575C">
            <w:pPr>
              <w:rPr>
                <w:lang w:val="pt-BR"/>
              </w:rPr>
            </w:pPr>
          </w:p>
        </w:tc>
      </w:tr>
      <w:tr w:rsidR="00DF575C" w:rsidRPr="00EB1995" w14:paraId="3AB2D1D3" w14:textId="77777777" w:rsidTr="00E106BA">
        <w:tc>
          <w:tcPr>
            <w:tcW w:w="2235" w:type="dxa"/>
          </w:tcPr>
          <w:p w14:paraId="1DEC59C7" w14:textId="77777777" w:rsidR="00DF575C" w:rsidRPr="00DF575C" w:rsidRDefault="00DF575C" w:rsidP="00DF575C">
            <w:r w:rsidRPr="00DF575C">
              <w:t>Fanombanana sy fanomezan-dalana</w:t>
            </w:r>
          </w:p>
        </w:tc>
        <w:tc>
          <w:tcPr>
            <w:tcW w:w="3472" w:type="dxa"/>
          </w:tcPr>
          <w:p w14:paraId="0F3CE87C" w14:textId="77777777" w:rsidR="00DF575C" w:rsidRPr="00F66E10" w:rsidRDefault="00DF575C" w:rsidP="00DF575C">
            <w:pPr>
              <w:rPr>
                <w:lang w:val="pt-BR"/>
              </w:rPr>
            </w:pPr>
            <w:r w:rsidRPr="00F66E10">
              <w:rPr>
                <w:lang w:val="pt-BR"/>
              </w:rPr>
              <w:t>Fanamarinana ny fanarahana ny « TdR »</w:t>
            </w:r>
          </w:p>
          <w:p w14:paraId="2EAF9193" w14:textId="77777777" w:rsidR="00DF575C" w:rsidRPr="00F66E10" w:rsidRDefault="00DF575C" w:rsidP="00DF575C">
            <w:pPr>
              <w:rPr>
                <w:lang w:val="pt-BR"/>
              </w:rPr>
            </w:pPr>
            <w:r w:rsidRPr="00F66E10">
              <w:rPr>
                <w:lang w:val="pt-BR"/>
              </w:rPr>
              <w:t>Fanatsarana ny antontan-taratasy arakaraky ny fanehoan-kevitra avy amin'ny mpanao fanombanana</w:t>
            </w:r>
          </w:p>
          <w:p w14:paraId="2070748B" w14:textId="77777777" w:rsidR="00DF575C" w:rsidRPr="00F66E10" w:rsidRDefault="00DF575C" w:rsidP="00DF575C">
            <w:pPr>
              <w:rPr>
                <w:lang w:val="pt-BR"/>
              </w:rPr>
            </w:pPr>
            <w:r w:rsidRPr="00F66E10">
              <w:rPr>
                <w:lang w:val="pt-BR"/>
              </w:rPr>
              <w:t>Fandefasana ny drafitra momba ny tontolo iainana sy ny sosialy sy ireo antontan-taratasy hafa takian'ny Banky Iraisam-pirenena</w:t>
            </w:r>
          </w:p>
        </w:tc>
        <w:tc>
          <w:tcPr>
            <w:tcW w:w="3757" w:type="dxa"/>
          </w:tcPr>
          <w:p w14:paraId="1533BE8F" w14:textId="77777777" w:rsidR="00DF575C" w:rsidRPr="00F66E10" w:rsidRDefault="00DF575C" w:rsidP="00DF575C">
            <w:pPr>
              <w:rPr>
                <w:lang w:val="pt-BR"/>
              </w:rPr>
            </w:pPr>
            <w:r w:rsidRPr="00F66E10">
              <w:rPr>
                <w:lang w:val="pt-BR"/>
              </w:rPr>
              <w:t>Fanehoan-kevitra momba ny fanadihadiana natao</w:t>
            </w:r>
          </w:p>
          <w:p w14:paraId="7D22210D" w14:textId="77777777" w:rsidR="00DF575C" w:rsidRPr="00F66E10" w:rsidRDefault="00DF575C" w:rsidP="00DF575C">
            <w:pPr>
              <w:rPr>
                <w:lang w:val="pt-BR"/>
              </w:rPr>
            </w:pPr>
            <w:r w:rsidRPr="00F66E10">
              <w:rPr>
                <w:lang w:val="pt-BR"/>
              </w:rPr>
              <w:t>Fankatoavana ara-tontolo iainana sy ara-tsosialy</w:t>
            </w:r>
          </w:p>
          <w:p w14:paraId="215AFD44" w14:textId="77777777" w:rsidR="00DF575C" w:rsidRPr="00F66E10" w:rsidRDefault="00DF575C" w:rsidP="00DF575C">
            <w:pPr>
              <w:rPr>
                <w:lang w:val="pt-BR"/>
              </w:rPr>
            </w:pPr>
          </w:p>
        </w:tc>
      </w:tr>
      <w:tr w:rsidR="00DF575C" w:rsidRPr="00DF575C" w14:paraId="41374B84" w14:textId="77777777" w:rsidTr="00E106BA">
        <w:tc>
          <w:tcPr>
            <w:tcW w:w="2235" w:type="dxa"/>
          </w:tcPr>
          <w:p w14:paraId="7928675D" w14:textId="77777777" w:rsidR="00DF575C" w:rsidRPr="00DF575C" w:rsidRDefault="00DF575C" w:rsidP="00DF575C">
            <w:r w:rsidRPr="00DF575C">
              <w:t>Fanapariahana ireo antontan-taratasy</w:t>
            </w:r>
          </w:p>
        </w:tc>
        <w:tc>
          <w:tcPr>
            <w:tcW w:w="3472" w:type="dxa"/>
          </w:tcPr>
          <w:p w14:paraId="1E124137" w14:textId="77777777" w:rsidR="00DF575C" w:rsidRPr="00D42025" w:rsidRDefault="00DF575C" w:rsidP="00DF575C">
            <w:pPr>
              <w:rPr>
                <w:lang w:val="en-US"/>
              </w:rPr>
            </w:pPr>
            <w:r w:rsidRPr="00D42025">
              <w:rPr>
                <w:lang w:val="en-US"/>
              </w:rPr>
              <w:t>Tranonkalan’ny PACT sy ny MTP</w:t>
            </w:r>
          </w:p>
          <w:p w14:paraId="3D5C9A25" w14:textId="77777777" w:rsidR="00DF575C" w:rsidRPr="00D42025" w:rsidRDefault="00DF575C" w:rsidP="00DF575C">
            <w:pPr>
              <w:rPr>
                <w:lang w:val="en-US"/>
              </w:rPr>
            </w:pPr>
            <w:r w:rsidRPr="00D42025">
              <w:rPr>
                <w:lang w:val="en-US"/>
              </w:rPr>
              <w:lastRenderedPageBreak/>
              <w:t>Eny an-toerana</w:t>
            </w:r>
          </w:p>
        </w:tc>
        <w:tc>
          <w:tcPr>
            <w:tcW w:w="3757" w:type="dxa"/>
          </w:tcPr>
          <w:p w14:paraId="24925C01" w14:textId="77777777" w:rsidR="00DF575C" w:rsidRPr="00DF575C" w:rsidRDefault="00DF575C" w:rsidP="00DF575C">
            <w:r w:rsidRPr="00DF575C">
              <w:lastRenderedPageBreak/>
              <w:t>Tranonkalan’ny Banky iraisam-pirenena</w:t>
            </w:r>
          </w:p>
          <w:p w14:paraId="1DE04EAF" w14:textId="77777777" w:rsidR="00DF575C" w:rsidRPr="00DF575C" w:rsidRDefault="00DF575C" w:rsidP="00DF575C"/>
        </w:tc>
      </w:tr>
      <w:tr w:rsidR="00DF575C" w:rsidRPr="00EB1995" w14:paraId="2973E8AF" w14:textId="77777777" w:rsidTr="00E106BA">
        <w:tc>
          <w:tcPr>
            <w:tcW w:w="2235" w:type="dxa"/>
          </w:tcPr>
          <w:p w14:paraId="0158ECC9" w14:textId="77777777" w:rsidR="00DF575C" w:rsidRPr="00F66E10" w:rsidRDefault="00DF575C" w:rsidP="00DF575C">
            <w:pPr>
              <w:rPr>
                <w:lang w:val="pt-BR"/>
              </w:rPr>
            </w:pPr>
            <w:r w:rsidRPr="00F66E10">
              <w:rPr>
                <w:lang w:val="pt-BR"/>
              </w:rPr>
              <w:t>Fanombanana sy fanaraha-maso ny tontolo iainana sy ny ara-tsosialy</w:t>
            </w:r>
          </w:p>
        </w:tc>
        <w:tc>
          <w:tcPr>
            <w:tcW w:w="3472" w:type="dxa"/>
          </w:tcPr>
          <w:p w14:paraId="4B8088BA" w14:textId="77777777" w:rsidR="00DF575C" w:rsidRPr="00F66E10" w:rsidRDefault="00DF575C" w:rsidP="00DF575C">
            <w:pPr>
              <w:rPr>
                <w:lang w:val="pt-BR"/>
              </w:rPr>
            </w:pPr>
            <w:r w:rsidRPr="00F66E10">
              <w:rPr>
                <w:lang w:val="pt-BR"/>
              </w:rPr>
              <w:t>Fanaraha-maso anatiny ny fampiharana ny drafitra</w:t>
            </w:r>
          </w:p>
          <w:p w14:paraId="1D0A19C5" w14:textId="77777777" w:rsidR="00DF575C" w:rsidRPr="00F66E10" w:rsidRDefault="00DF575C" w:rsidP="00DF575C">
            <w:pPr>
              <w:rPr>
                <w:lang w:val="pt-BR"/>
              </w:rPr>
            </w:pPr>
            <w:r w:rsidRPr="00F66E10">
              <w:rPr>
                <w:lang w:val="pt-BR"/>
              </w:rPr>
              <w:t>Fandefasana tatitra momba ny fanaraha-maso ny tontolo iainana sy ara-tsosialy any amin'ny Banky iraisam-pirenena</w:t>
            </w:r>
          </w:p>
        </w:tc>
        <w:tc>
          <w:tcPr>
            <w:tcW w:w="3757" w:type="dxa"/>
          </w:tcPr>
          <w:p w14:paraId="278B6379" w14:textId="77777777" w:rsidR="00DF575C" w:rsidRPr="00F66E10" w:rsidRDefault="00DF575C" w:rsidP="00DF575C">
            <w:pPr>
              <w:rPr>
                <w:lang w:val="pt-BR"/>
              </w:rPr>
            </w:pPr>
            <w:r w:rsidRPr="00F66E10">
              <w:rPr>
                <w:lang w:val="pt-BR"/>
              </w:rPr>
              <w:t>Fanaraha-maso / fanohanana (isaky ny 6 volana)</w:t>
            </w:r>
          </w:p>
        </w:tc>
      </w:tr>
    </w:tbl>
    <w:p w14:paraId="227AC6E2" w14:textId="77777777" w:rsidR="00E261DB" w:rsidRPr="00F66E10" w:rsidRDefault="00E261DB" w:rsidP="00DF575C">
      <w:pPr>
        <w:rPr>
          <w:b/>
          <w:i/>
          <w:lang w:val="pt-BR"/>
        </w:rPr>
      </w:pPr>
    </w:p>
    <w:p w14:paraId="5EB23F3D" w14:textId="659F11CD" w:rsidR="00DF575C" w:rsidRPr="00F66E10" w:rsidRDefault="00DF575C" w:rsidP="00DF575C">
      <w:pPr>
        <w:rPr>
          <w:b/>
          <w:i/>
          <w:lang w:val="pt-BR"/>
        </w:rPr>
      </w:pPr>
      <w:r w:rsidRPr="00F66E10">
        <w:rPr>
          <w:b/>
          <w:i/>
          <w:lang w:val="pt-BR"/>
        </w:rPr>
        <w:t>Drafitra serasera / fifampidinihana amin'ny daholobe mandritra ny fanatanterahana ny Tetikasa</w:t>
      </w:r>
    </w:p>
    <w:p w14:paraId="7730F3CE" w14:textId="561AE024" w:rsidR="00DF575C" w:rsidRPr="003617DE" w:rsidRDefault="00DF575C" w:rsidP="00DF575C">
      <w:pPr>
        <w:rPr>
          <w:lang w:val="pt-BR"/>
        </w:rPr>
      </w:pPr>
      <w:r w:rsidRPr="003617DE">
        <w:rPr>
          <w:lang w:val="pt-BR"/>
        </w:rPr>
        <w:t xml:space="preserve">Ao anatin'ny fanatanterahana ny </w:t>
      </w:r>
      <w:r w:rsidR="001342EC" w:rsidRPr="003617DE">
        <w:rPr>
          <w:lang w:val="pt-BR"/>
        </w:rPr>
        <w:t>PCMCI</w:t>
      </w:r>
      <w:r w:rsidRPr="003617DE">
        <w:rPr>
          <w:lang w:val="pt-BR"/>
        </w:rPr>
        <w:t>, ilaina ny manamora ny fanatanterahana ny asa sy ny Tetikasa na dia voafetra aza ny fiantraikany amin’ny tontolo iainana sy ara-tsosialy, amin'ny alalan'ny fanentanana maharitra sy ny fanentanana amin'ny fifandraisana. Ho an'ny faharetan'ny fotodrafitrasa dia ilaina ny misarika ny fanohanana sy ny andraikitry ny mponina mpisitraka, ary koa ireo mpandray anjara isan-karazany. Hisy ny paikady momba ny fifandraisana: Tafiditra ao anatin'ny drafitra fifandraisana tahaka izany ny fifampidinihana.</w:t>
      </w:r>
    </w:p>
    <w:p w14:paraId="2C060E36" w14:textId="77777777" w:rsidR="00DF575C" w:rsidRPr="003617DE" w:rsidRDefault="00DF575C" w:rsidP="00DF575C">
      <w:pPr>
        <w:rPr>
          <w:b/>
          <w:i/>
          <w:lang w:val="pt-BR"/>
        </w:rPr>
      </w:pPr>
      <w:r w:rsidRPr="003617DE">
        <w:rPr>
          <w:b/>
          <w:i/>
          <w:lang w:val="pt-BR"/>
        </w:rPr>
        <w:t>Fanamafisana ny fahaiza-manao</w:t>
      </w:r>
    </w:p>
    <w:p w14:paraId="7F5C0880" w14:textId="61EE0111" w:rsidR="00DF575C" w:rsidRPr="003617DE" w:rsidRDefault="00DF575C" w:rsidP="00DF575C">
      <w:pPr>
        <w:rPr>
          <w:lang w:val="pt-BR"/>
        </w:rPr>
      </w:pPr>
      <w:r w:rsidRPr="003617DE">
        <w:rPr>
          <w:lang w:val="pt-BR"/>
        </w:rPr>
        <w:t>Ny fanombanana izay natao dia nahafahana milaza fa efa manana traikefa amin'ny fanomanana sy fampiharana ny antontan-taratasy fiarovana ny tontolo iainana sy ny sosialy ny UCP/</w:t>
      </w:r>
      <w:r w:rsidR="00200D3B">
        <w:rPr>
          <w:lang w:val="pt-BR"/>
        </w:rPr>
        <w:t>CERC-PCMCI</w:t>
      </w:r>
      <w:r w:rsidRPr="003617DE">
        <w:rPr>
          <w:lang w:val="pt-BR"/>
        </w:rPr>
        <w:t xml:space="preserve">. Na izany aza, noho ny mety ho fiovan'ny mpiasa sy ny fandraisana mpiasa fanampiny dia ilaina ny fanofanana. </w:t>
      </w:r>
    </w:p>
    <w:p w14:paraId="08BF235E" w14:textId="77777777" w:rsidR="00DF575C" w:rsidRPr="003617DE" w:rsidRDefault="00DF575C" w:rsidP="00DF575C">
      <w:pPr>
        <w:rPr>
          <w:lang w:val="pt-BR"/>
        </w:rPr>
      </w:pPr>
      <w:r w:rsidRPr="003617DE">
        <w:rPr>
          <w:lang w:val="pt-BR"/>
        </w:rPr>
        <w:t>Toy izany koa, ireo mpandray anjara hafa mifandraika amin'izany : mitaky ny fanofanana tsotra momba ny fahaiza-manao izy ireo mba hanatsarana tsara kokoa ny fandraisan'izy ireo anjara amin'ny fahombiazan'ny tetikasa natolotra.</w:t>
      </w:r>
    </w:p>
    <w:p w14:paraId="08682BBA" w14:textId="77777777" w:rsidR="00DF575C" w:rsidRPr="00F66E10" w:rsidRDefault="00DF575C" w:rsidP="00DF575C">
      <w:pPr>
        <w:rPr>
          <w:b/>
          <w:i/>
          <w:lang w:val="pt-BR"/>
        </w:rPr>
      </w:pPr>
      <w:r w:rsidRPr="00F66E10">
        <w:rPr>
          <w:b/>
          <w:i/>
          <w:lang w:val="pt-BR"/>
        </w:rPr>
        <w:t>Fitarainana sy ny rafitra mikasika izany</w:t>
      </w:r>
    </w:p>
    <w:p w14:paraId="1F623F63" w14:textId="3BC1D6EF" w:rsidR="00DF575C" w:rsidRPr="00F66E10" w:rsidRDefault="00DF575C" w:rsidP="00DF575C">
      <w:pPr>
        <w:rPr>
          <w:lang w:val="pt-BR"/>
        </w:rPr>
      </w:pPr>
      <w:r w:rsidRPr="00F66E10">
        <w:rPr>
          <w:lang w:val="pt-BR"/>
        </w:rPr>
        <w:t>Misy ny rafitra hamahana ny fitarainana sy ny tsy fifankazahoana ary ny fomba fanarenana izany. Io rafitra io dia manome vahana ny fomba famahana ny olana izay manome vahana ny fanelanelanana ataon'ireo Ben'ny tanàna, olo</w:t>
      </w:r>
      <w:r w:rsidR="00770E72" w:rsidRPr="00F66E10">
        <w:rPr>
          <w:lang w:val="pt-BR"/>
        </w:rPr>
        <w:t>be an-tanàna</w:t>
      </w:r>
      <w:r w:rsidRPr="00F66E10">
        <w:rPr>
          <w:lang w:val="pt-BR"/>
        </w:rPr>
        <w:t xml:space="preserve">, filankevitra ary ireo manampahefana ao an-toerana. </w:t>
      </w:r>
    </w:p>
    <w:p w14:paraId="17267104" w14:textId="77777777" w:rsidR="00DF575C" w:rsidRPr="00F66E10" w:rsidRDefault="00DF575C" w:rsidP="00DF575C">
      <w:pPr>
        <w:rPr>
          <w:lang w:val="pt-BR"/>
        </w:rPr>
      </w:pPr>
      <w:r w:rsidRPr="00F66E10">
        <w:rPr>
          <w:lang w:val="pt-BR"/>
        </w:rPr>
        <w:t>Na izany aza, misy ny dingana isan-karazany ahafahana mitantana ara-drariny ny fitarainana, manomboka amin'ny Lehiben'ny Fokontany ka hatramin'ny Fitsarana (antso farany, raha misy), amin'ny alalan'ireo sampana eo amin'ny ambaratonga : Ben'ny tanàna ary avy eo amin'ny alalan'ireo Komity Famahana ny Olana.</w:t>
      </w:r>
    </w:p>
    <w:p w14:paraId="38CA54D6" w14:textId="77777777" w:rsidR="00DF575C" w:rsidRPr="00F66E10" w:rsidRDefault="00DF575C" w:rsidP="00DF575C">
      <w:pPr>
        <w:rPr>
          <w:lang w:val="pt-BR"/>
        </w:rPr>
      </w:pPr>
      <w:r w:rsidRPr="00F66E10">
        <w:rPr>
          <w:lang w:val="pt-BR"/>
        </w:rPr>
        <w:lastRenderedPageBreak/>
        <w:t>Raha fintinina, 4 ny dingana itantanana ny fitarainana :</w:t>
      </w:r>
    </w:p>
    <w:p w14:paraId="452559ED" w14:textId="77777777" w:rsidR="00DF575C" w:rsidRPr="00DF575C" w:rsidRDefault="00DF575C" w:rsidP="00844538">
      <w:pPr>
        <w:pStyle w:val="ListParagraph"/>
        <w:numPr>
          <w:ilvl w:val="0"/>
          <w:numId w:val="173"/>
        </w:numPr>
      </w:pPr>
      <w:r w:rsidRPr="00DF575C">
        <w:t>Dingana 1 : Fokontany</w:t>
      </w:r>
    </w:p>
    <w:p w14:paraId="44F7BE2D" w14:textId="77777777" w:rsidR="00DF575C" w:rsidRPr="00DF575C" w:rsidRDefault="00DF575C" w:rsidP="00844538">
      <w:pPr>
        <w:pStyle w:val="ListParagraph"/>
        <w:numPr>
          <w:ilvl w:val="0"/>
          <w:numId w:val="173"/>
        </w:numPr>
      </w:pPr>
      <w:r w:rsidRPr="00DF575C">
        <w:t>Dingana 2 : Kaominina</w:t>
      </w:r>
    </w:p>
    <w:p w14:paraId="6F479F75" w14:textId="77777777" w:rsidR="00DF575C" w:rsidRPr="00DF575C" w:rsidRDefault="00DF575C" w:rsidP="00844538">
      <w:pPr>
        <w:pStyle w:val="ListParagraph"/>
        <w:numPr>
          <w:ilvl w:val="0"/>
          <w:numId w:val="173"/>
        </w:numPr>
      </w:pPr>
      <w:r w:rsidRPr="00DF575C">
        <w:t>Dignana 3 : ireo komity isan-tsokajiny</w:t>
      </w:r>
    </w:p>
    <w:p w14:paraId="29BD46EA" w14:textId="37B66226" w:rsidR="00DF575C" w:rsidRPr="00F66E10" w:rsidRDefault="00DF575C" w:rsidP="00844538">
      <w:pPr>
        <w:pStyle w:val="ListParagraph"/>
        <w:numPr>
          <w:ilvl w:val="0"/>
          <w:numId w:val="173"/>
        </w:numPr>
        <w:rPr>
          <w:lang w:val="pt-BR"/>
        </w:rPr>
      </w:pPr>
      <w:r w:rsidRPr="00F66E10">
        <w:rPr>
          <w:lang w:val="pt-BR"/>
        </w:rPr>
        <w:t>Dingana farany</w:t>
      </w:r>
      <w:r w:rsidR="004B0D7A" w:rsidRPr="00F66E10">
        <w:rPr>
          <w:lang w:val="pt-BR"/>
        </w:rPr>
        <w:t xml:space="preserve"> </w:t>
      </w:r>
      <w:r w:rsidRPr="00F66E10">
        <w:rPr>
          <w:lang w:val="pt-BR"/>
        </w:rPr>
        <w:t>: Fitsarana (miaraka amin'ny fanohanan'ny UCP)</w:t>
      </w:r>
    </w:p>
    <w:p w14:paraId="5D5638C7" w14:textId="7B7B64CF" w:rsidR="00DF575C" w:rsidRPr="00F66E10" w:rsidRDefault="00E261DB" w:rsidP="00DF575C">
      <w:pPr>
        <w:rPr>
          <w:b/>
          <w:lang w:val="pt-BR"/>
        </w:rPr>
      </w:pPr>
      <w:r w:rsidRPr="00F66E10">
        <w:rPr>
          <w:b/>
          <w:lang w:val="pt-BR"/>
        </w:rPr>
        <w:t>TETIBOLA</w:t>
      </w:r>
    </w:p>
    <w:p w14:paraId="37FFF430" w14:textId="4FCD05DB" w:rsidR="00575CDF" w:rsidRPr="00F66E10" w:rsidRDefault="00DF575C" w:rsidP="00DF575C">
      <w:pPr>
        <w:rPr>
          <w:color w:val="auto"/>
          <w:lang w:val="pt-BR"/>
        </w:rPr>
      </w:pPr>
      <w:r w:rsidRPr="00F66E10">
        <w:rPr>
          <w:lang w:val="pt-BR"/>
        </w:rPr>
        <w:t>Tombanana ho 1 244 269 dolara Amerikana ny vidin'ny fampiharana ity « CGES » ity. 271.975 dolara Amerikana no anjaran’ny Governemanta malagasy, tetibola izay ilaina amin'ny fanatanterahana ny drafitra famindrana olona, ary 972.294 dolara Amerikana kosa no ho afaka amin'ny alaina amin’ny vola indramina.</w:t>
      </w:r>
    </w:p>
    <w:p w14:paraId="63D3AAE8" w14:textId="4A50722D" w:rsidR="00DF575C" w:rsidRPr="00F66E10" w:rsidRDefault="00DF575C" w:rsidP="00575CDF">
      <w:pPr>
        <w:rPr>
          <w:color w:val="auto"/>
          <w:lang w:val="pt-BR"/>
        </w:rPr>
      </w:pPr>
    </w:p>
    <w:p w14:paraId="1EC92D0E" w14:textId="77777777" w:rsidR="00575CDF" w:rsidRPr="00F66E10" w:rsidRDefault="00575CDF" w:rsidP="00575CDF">
      <w:pPr>
        <w:rPr>
          <w:color w:val="auto"/>
          <w:lang w:val="pt-BR"/>
        </w:rPr>
      </w:pPr>
    </w:p>
    <w:p w14:paraId="26D23200" w14:textId="77777777" w:rsidR="00575CDF" w:rsidRPr="00F66E10" w:rsidRDefault="00575CDF" w:rsidP="00575CDF">
      <w:pPr>
        <w:rPr>
          <w:color w:val="auto"/>
          <w:lang w:val="pt-BR"/>
        </w:rPr>
        <w:sectPr w:rsidR="00575CDF" w:rsidRPr="00F66E10" w:rsidSect="009C2364">
          <w:pgSz w:w="11906" w:h="16838"/>
          <w:pgMar w:top="1417" w:right="1417" w:bottom="1276" w:left="1417" w:header="708" w:footer="708" w:gutter="0"/>
          <w:pgNumType w:fmt="lowerRoman"/>
          <w:cols w:space="708"/>
          <w:docGrid w:linePitch="360"/>
        </w:sectPr>
      </w:pPr>
    </w:p>
    <w:p w14:paraId="68D50184" w14:textId="1DC443D7" w:rsidR="00575CDF" w:rsidRPr="00272040" w:rsidRDefault="00D142D6" w:rsidP="00844538">
      <w:pPr>
        <w:pStyle w:val="Heading1"/>
        <w:numPr>
          <w:ilvl w:val="0"/>
          <w:numId w:val="195"/>
        </w:numPr>
      </w:pPr>
      <w:bookmarkStart w:id="13" w:name="_Toc106320256"/>
      <w:bookmarkStart w:id="14" w:name="_Toc230425967"/>
      <w:r w:rsidRPr="00272040">
        <w:lastRenderedPageBreak/>
        <w:t>INTRODUCTION</w:t>
      </w:r>
      <w:bookmarkEnd w:id="13"/>
      <w:bookmarkEnd w:id="14"/>
    </w:p>
    <w:p w14:paraId="51460215" w14:textId="59EAD466" w:rsidR="00333E54" w:rsidRPr="00014BC0" w:rsidRDefault="00333E54" w:rsidP="00014BC0">
      <w:pPr>
        <w:pStyle w:val="Heading2"/>
      </w:pPr>
      <w:bookmarkStart w:id="15" w:name="_Toc230425968"/>
      <w:r w:rsidRPr="00014BC0">
        <w:t>CONTEXTE STRATEGIQUE</w:t>
      </w:r>
      <w:bookmarkEnd w:id="15"/>
    </w:p>
    <w:p w14:paraId="324C4443" w14:textId="6A4DBF15" w:rsidR="00112803" w:rsidRDefault="00112803" w:rsidP="000E76F0">
      <w:pPr>
        <w:autoSpaceDE w:val="0"/>
        <w:autoSpaceDN w:val="0"/>
        <w:adjustRightInd w:val="0"/>
        <w:rPr>
          <w:rFonts w:cs="Times New Roman"/>
          <w:color w:val="auto"/>
          <w:szCs w:val="24"/>
        </w:rPr>
      </w:pPr>
      <w:r w:rsidRPr="00CE25E9">
        <w:t>La</w:t>
      </w:r>
      <w:r w:rsidRPr="00CE25E9">
        <w:rPr>
          <w:spacing w:val="2"/>
        </w:rPr>
        <w:t xml:space="preserve"> </w:t>
      </w:r>
      <w:r w:rsidRPr="00CE25E9">
        <w:rPr>
          <w:spacing w:val="-1"/>
        </w:rPr>
        <w:t>connectivité</w:t>
      </w:r>
      <w:r w:rsidRPr="00CE25E9">
        <w:rPr>
          <w:spacing w:val="2"/>
        </w:rPr>
        <w:t xml:space="preserve"> </w:t>
      </w:r>
      <w:r w:rsidRPr="00CE25E9">
        <w:t>des</w:t>
      </w:r>
      <w:r w:rsidRPr="00CE25E9">
        <w:rPr>
          <w:spacing w:val="3"/>
        </w:rPr>
        <w:t xml:space="preserve"> </w:t>
      </w:r>
      <w:r w:rsidRPr="00CE25E9">
        <w:rPr>
          <w:spacing w:val="-1"/>
        </w:rPr>
        <w:t>transports</w:t>
      </w:r>
      <w:r w:rsidRPr="00CE25E9">
        <w:rPr>
          <w:spacing w:val="2"/>
        </w:rPr>
        <w:t xml:space="preserve"> </w:t>
      </w:r>
      <w:r w:rsidRPr="00CE25E9">
        <w:t>est</w:t>
      </w:r>
      <w:r w:rsidRPr="00CE25E9">
        <w:rPr>
          <w:spacing w:val="2"/>
        </w:rPr>
        <w:t xml:space="preserve"> </w:t>
      </w:r>
      <w:r w:rsidRPr="00CE25E9">
        <w:rPr>
          <w:spacing w:val="-1"/>
        </w:rPr>
        <w:t>un</w:t>
      </w:r>
      <w:r w:rsidRPr="00CE25E9">
        <w:rPr>
          <w:spacing w:val="6"/>
        </w:rPr>
        <w:t xml:space="preserve"> </w:t>
      </w:r>
      <w:r w:rsidRPr="00CE25E9">
        <w:rPr>
          <w:spacing w:val="-1"/>
        </w:rPr>
        <w:t>facteur</w:t>
      </w:r>
      <w:r w:rsidRPr="00CE25E9">
        <w:rPr>
          <w:spacing w:val="2"/>
        </w:rPr>
        <w:t xml:space="preserve"> </w:t>
      </w:r>
      <w:r w:rsidRPr="00CE25E9">
        <w:rPr>
          <w:spacing w:val="-1"/>
        </w:rPr>
        <w:t>essentiel</w:t>
      </w:r>
      <w:r w:rsidRPr="00CE25E9">
        <w:t xml:space="preserve"> </w:t>
      </w:r>
      <w:r w:rsidRPr="00CE25E9">
        <w:rPr>
          <w:spacing w:val="-1"/>
        </w:rPr>
        <w:t>pour</w:t>
      </w:r>
      <w:r w:rsidRPr="00CE25E9">
        <w:rPr>
          <w:spacing w:val="2"/>
        </w:rPr>
        <w:t xml:space="preserve"> </w:t>
      </w:r>
      <w:r w:rsidRPr="00CE25E9">
        <w:rPr>
          <w:spacing w:val="-1"/>
        </w:rPr>
        <w:t>les</w:t>
      </w:r>
      <w:r w:rsidRPr="00CE25E9">
        <w:rPr>
          <w:spacing w:val="2"/>
        </w:rPr>
        <w:t xml:space="preserve"> </w:t>
      </w:r>
      <w:r w:rsidRPr="00CE25E9">
        <w:rPr>
          <w:spacing w:val="-1"/>
        </w:rPr>
        <w:t>activités</w:t>
      </w:r>
      <w:r w:rsidRPr="00CE25E9">
        <w:rPr>
          <w:spacing w:val="3"/>
        </w:rPr>
        <w:t xml:space="preserve"> </w:t>
      </w:r>
      <w:r w:rsidRPr="00CE25E9">
        <w:rPr>
          <w:spacing w:val="-1"/>
        </w:rPr>
        <w:t>économiques</w:t>
      </w:r>
      <w:r w:rsidRPr="00CE25E9">
        <w:rPr>
          <w:spacing w:val="3"/>
        </w:rPr>
        <w:t xml:space="preserve"> </w:t>
      </w:r>
      <w:r w:rsidRPr="00CE25E9">
        <w:rPr>
          <w:spacing w:val="-1"/>
        </w:rPr>
        <w:t>clés.</w:t>
      </w:r>
      <w:r w:rsidRPr="00CE25E9">
        <w:rPr>
          <w:spacing w:val="8"/>
        </w:rPr>
        <w:t xml:space="preserve"> </w:t>
      </w:r>
      <w:r w:rsidRPr="00CE25E9">
        <w:rPr>
          <w:spacing w:val="-1"/>
        </w:rPr>
        <w:t>La</w:t>
      </w:r>
      <w:r w:rsidRPr="00CE25E9">
        <w:rPr>
          <w:spacing w:val="2"/>
        </w:rPr>
        <w:t xml:space="preserve"> </w:t>
      </w:r>
      <w:r w:rsidRPr="00CE25E9">
        <w:rPr>
          <w:spacing w:val="-1"/>
        </w:rPr>
        <w:t>mauvaise</w:t>
      </w:r>
      <w:r w:rsidRPr="00CE25E9">
        <w:rPr>
          <w:spacing w:val="71"/>
        </w:rPr>
        <w:t xml:space="preserve"> </w:t>
      </w:r>
      <w:r w:rsidRPr="00CE25E9">
        <w:rPr>
          <w:spacing w:val="-1"/>
        </w:rPr>
        <w:t>connectivité</w:t>
      </w:r>
      <w:r w:rsidRPr="00CE25E9">
        <w:t xml:space="preserve"> des</w:t>
      </w:r>
      <w:r w:rsidRPr="00CE25E9">
        <w:rPr>
          <w:spacing w:val="1"/>
        </w:rPr>
        <w:t xml:space="preserve"> </w:t>
      </w:r>
      <w:r w:rsidRPr="00CE25E9">
        <w:rPr>
          <w:spacing w:val="-1"/>
        </w:rPr>
        <w:t>transports</w:t>
      </w:r>
      <w:r w:rsidRPr="00CE25E9">
        <w:rPr>
          <w:spacing w:val="2"/>
        </w:rPr>
        <w:t xml:space="preserve"> </w:t>
      </w:r>
      <w:r w:rsidRPr="00CE25E9">
        <w:t>est</w:t>
      </w:r>
      <w:r w:rsidRPr="00CE25E9">
        <w:rPr>
          <w:spacing w:val="-1"/>
        </w:rPr>
        <w:t xml:space="preserve"> un</w:t>
      </w:r>
      <w:r w:rsidRPr="00CE25E9">
        <w:rPr>
          <w:spacing w:val="2"/>
        </w:rPr>
        <w:t xml:space="preserve"> </w:t>
      </w:r>
      <w:r w:rsidRPr="00CE25E9">
        <w:rPr>
          <w:spacing w:val="-1"/>
        </w:rPr>
        <w:t>frein</w:t>
      </w:r>
      <w:r w:rsidRPr="00CE25E9">
        <w:rPr>
          <w:spacing w:val="2"/>
        </w:rPr>
        <w:t xml:space="preserve"> </w:t>
      </w:r>
      <w:r w:rsidRPr="00CE25E9">
        <w:t>à</w:t>
      </w:r>
      <w:r w:rsidRPr="00CE25E9">
        <w:rPr>
          <w:spacing w:val="2"/>
        </w:rPr>
        <w:t xml:space="preserve"> </w:t>
      </w:r>
      <w:r w:rsidRPr="00CE25E9">
        <w:rPr>
          <w:spacing w:val="-1"/>
        </w:rPr>
        <w:t>l'accès</w:t>
      </w:r>
      <w:r w:rsidRPr="00CE25E9">
        <w:rPr>
          <w:spacing w:val="1"/>
        </w:rPr>
        <w:t xml:space="preserve"> </w:t>
      </w:r>
      <w:r w:rsidRPr="00CE25E9">
        <w:t xml:space="preserve">aux </w:t>
      </w:r>
      <w:r w:rsidRPr="00CE25E9">
        <w:rPr>
          <w:spacing w:val="-2"/>
        </w:rPr>
        <w:t>services</w:t>
      </w:r>
      <w:r w:rsidRPr="00CE25E9">
        <w:rPr>
          <w:spacing w:val="2"/>
        </w:rPr>
        <w:t xml:space="preserve"> </w:t>
      </w:r>
      <w:r w:rsidRPr="00CE25E9">
        <w:rPr>
          <w:spacing w:val="-1"/>
        </w:rPr>
        <w:t>de</w:t>
      </w:r>
      <w:r w:rsidRPr="00CE25E9">
        <w:t xml:space="preserve"> </w:t>
      </w:r>
      <w:r w:rsidRPr="00CE25E9">
        <w:rPr>
          <w:spacing w:val="-1"/>
        </w:rPr>
        <w:t>bases</w:t>
      </w:r>
      <w:r w:rsidRPr="00CE25E9">
        <w:rPr>
          <w:spacing w:val="2"/>
        </w:rPr>
        <w:t xml:space="preserve"> </w:t>
      </w:r>
      <w:r w:rsidRPr="00CE25E9">
        <w:rPr>
          <w:spacing w:val="-1"/>
        </w:rPr>
        <w:t>tels</w:t>
      </w:r>
      <w:r w:rsidRPr="00CE25E9">
        <w:t xml:space="preserve"> </w:t>
      </w:r>
      <w:r w:rsidRPr="00CE25E9">
        <w:rPr>
          <w:spacing w:val="-1"/>
        </w:rPr>
        <w:t>que</w:t>
      </w:r>
      <w:r w:rsidRPr="00CE25E9">
        <w:rPr>
          <w:spacing w:val="3"/>
        </w:rPr>
        <w:t xml:space="preserve"> </w:t>
      </w:r>
      <w:r w:rsidRPr="00CE25E9">
        <w:rPr>
          <w:spacing w:val="-1"/>
        </w:rPr>
        <w:t>l'éducation</w:t>
      </w:r>
      <w:r w:rsidRPr="00CE25E9">
        <w:rPr>
          <w:spacing w:val="2"/>
        </w:rPr>
        <w:t xml:space="preserve"> </w:t>
      </w:r>
      <w:r w:rsidRPr="00CE25E9">
        <w:rPr>
          <w:spacing w:val="-1"/>
        </w:rPr>
        <w:t>et</w:t>
      </w:r>
      <w:r w:rsidRPr="00CE25E9">
        <w:rPr>
          <w:spacing w:val="3"/>
        </w:rPr>
        <w:t xml:space="preserve"> </w:t>
      </w:r>
      <w:r w:rsidRPr="00CE25E9">
        <w:rPr>
          <w:spacing w:val="-1"/>
        </w:rPr>
        <w:t>la</w:t>
      </w:r>
      <w:r w:rsidRPr="00CE25E9">
        <w:rPr>
          <w:spacing w:val="2"/>
        </w:rPr>
        <w:t xml:space="preserve"> </w:t>
      </w:r>
      <w:r w:rsidRPr="00CE25E9">
        <w:rPr>
          <w:spacing w:val="-1"/>
        </w:rPr>
        <w:t>santé.</w:t>
      </w:r>
      <w:r w:rsidRPr="00CE25E9">
        <w:t xml:space="preserve"> </w:t>
      </w:r>
      <w:r w:rsidRPr="00CE25E9">
        <w:rPr>
          <w:spacing w:val="-1"/>
        </w:rPr>
        <w:t>Outre</w:t>
      </w:r>
      <w:r w:rsidRPr="00CE25E9">
        <w:rPr>
          <w:spacing w:val="2"/>
        </w:rPr>
        <w:t xml:space="preserve"> </w:t>
      </w:r>
      <w:r w:rsidRPr="00CE25E9">
        <w:rPr>
          <w:spacing w:val="-1"/>
        </w:rPr>
        <w:t>son</w:t>
      </w:r>
      <w:r w:rsidRPr="00CE25E9">
        <w:rPr>
          <w:spacing w:val="81"/>
        </w:rPr>
        <w:t xml:space="preserve"> </w:t>
      </w:r>
      <w:r w:rsidRPr="00CE25E9">
        <w:rPr>
          <w:rFonts w:cs="Arial Narrow"/>
        </w:rPr>
        <w:t xml:space="preserve">rôle dans </w:t>
      </w:r>
      <w:r w:rsidRPr="00CE25E9">
        <w:rPr>
          <w:rFonts w:cs="Arial Narrow"/>
          <w:spacing w:val="-1"/>
        </w:rPr>
        <w:t>l’économie</w:t>
      </w:r>
      <w:r w:rsidRPr="00CE25E9">
        <w:rPr>
          <w:rFonts w:cs="Arial Narrow"/>
        </w:rPr>
        <w:t xml:space="preserve"> </w:t>
      </w:r>
      <w:r w:rsidRPr="00CE25E9">
        <w:rPr>
          <w:rFonts w:cs="Arial Narrow"/>
          <w:spacing w:val="-1"/>
        </w:rPr>
        <w:t>générale,</w:t>
      </w:r>
      <w:r w:rsidRPr="00CE25E9">
        <w:rPr>
          <w:rFonts w:cs="Arial Narrow"/>
        </w:rPr>
        <w:t xml:space="preserve"> le secteur </w:t>
      </w:r>
      <w:r w:rsidRPr="00CE25E9">
        <w:rPr>
          <w:rFonts w:cs="Arial Narrow"/>
          <w:spacing w:val="-1"/>
        </w:rPr>
        <w:t>des</w:t>
      </w:r>
      <w:r w:rsidRPr="00CE25E9">
        <w:rPr>
          <w:rFonts w:cs="Arial Narrow"/>
        </w:rPr>
        <w:t xml:space="preserve"> </w:t>
      </w:r>
      <w:r w:rsidRPr="00CE25E9">
        <w:rPr>
          <w:rFonts w:cs="Arial Narrow"/>
          <w:spacing w:val="-1"/>
        </w:rPr>
        <w:t>transports</w:t>
      </w:r>
      <w:r w:rsidRPr="00CE25E9">
        <w:rPr>
          <w:rFonts w:cs="Arial Narrow"/>
          <w:spacing w:val="3"/>
        </w:rPr>
        <w:t xml:space="preserve"> </w:t>
      </w:r>
      <w:r w:rsidRPr="00CE25E9">
        <w:rPr>
          <w:spacing w:val="-1"/>
        </w:rPr>
        <w:t>crée</w:t>
      </w:r>
      <w:r w:rsidRPr="00CE25E9">
        <w:rPr>
          <w:spacing w:val="1"/>
        </w:rPr>
        <w:t xml:space="preserve"> </w:t>
      </w:r>
      <w:r w:rsidRPr="00CE25E9">
        <w:rPr>
          <w:spacing w:val="-1"/>
        </w:rPr>
        <w:t>également</w:t>
      </w:r>
      <w:r w:rsidRPr="00CE25E9">
        <w:t xml:space="preserve"> </w:t>
      </w:r>
      <w:r w:rsidRPr="00CE25E9">
        <w:rPr>
          <w:spacing w:val="-1"/>
        </w:rPr>
        <w:t>de</w:t>
      </w:r>
      <w:r w:rsidRPr="00CE25E9">
        <w:t xml:space="preserve"> </w:t>
      </w:r>
      <w:r w:rsidRPr="00CE25E9">
        <w:rPr>
          <w:spacing w:val="-1"/>
        </w:rPr>
        <w:t>considérables</w:t>
      </w:r>
      <w:r w:rsidRPr="00CE25E9">
        <w:rPr>
          <w:spacing w:val="-2"/>
        </w:rPr>
        <w:t xml:space="preserve"> </w:t>
      </w:r>
      <w:r w:rsidRPr="00CE25E9">
        <w:t>emplois</w:t>
      </w:r>
    </w:p>
    <w:p w14:paraId="38BA2D4B" w14:textId="514B5ED4" w:rsidR="000E76F0" w:rsidRDefault="000E76F0" w:rsidP="000E76F0">
      <w:pPr>
        <w:autoSpaceDE w:val="0"/>
        <w:autoSpaceDN w:val="0"/>
        <w:adjustRightInd w:val="0"/>
        <w:rPr>
          <w:rFonts w:cs="Times New Roman"/>
          <w:color w:val="auto"/>
          <w:szCs w:val="24"/>
        </w:rPr>
      </w:pPr>
      <w:r w:rsidRPr="000E76F0">
        <w:rPr>
          <w:rFonts w:cs="Times New Roman"/>
          <w:color w:val="auto"/>
          <w:szCs w:val="24"/>
        </w:rPr>
        <w:t xml:space="preserve">La vision du gouvernement </w:t>
      </w:r>
      <w:r w:rsidR="00C576AA">
        <w:rPr>
          <w:rFonts w:cs="Times New Roman"/>
          <w:color w:val="auto"/>
          <w:szCs w:val="24"/>
        </w:rPr>
        <w:t xml:space="preserve">de Madagascar </w:t>
      </w:r>
      <w:r w:rsidRPr="000E76F0">
        <w:rPr>
          <w:rFonts w:cs="Times New Roman"/>
          <w:color w:val="auto"/>
          <w:szCs w:val="24"/>
        </w:rPr>
        <w:t>est de développer le secteur des transports dans le cadre d'une approche intégrée à long terme et multimodale. Pour relier efficacement les producteurs et les consommateurs aux marchés, différents types d'infrastructures et de modes de transport doivent être intégrés de manière transparente.</w:t>
      </w:r>
    </w:p>
    <w:p w14:paraId="28656CD6" w14:textId="2AEBAA90" w:rsidR="00570D0A" w:rsidRDefault="00570D0A" w:rsidP="000E76F0">
      <w:pPr>
        <w:autoSpaceDE w:val="0"/>
        <w:autoSpaceDN w:val="0"/>
        <w:adjustRightInd w:val="0"/>
      </w:pPr>
      <w:r w:rsidRPr="007853ED">
        <w:t xml:space="preserve">L'approche du </w:t>
      </w:r>
      <w:r w:rsidR="00D142D6" w:rsidRPr="007853ED">
        <w:t xml:space="preserve">Gouvernement </w:t>
      </w:r>
      <w:r w:rsidRPr="007853ED">
        <w:t>consiste</w:t>
      </w:r>
      <w:r w:rsidRPr="007853ED">
        <w:rPr>
          <w:spacing w:val="-47"/>
        </w:rPr>
        <w:t xml:space="preserve"> </w:t>
      </w:r>
      <w:r w:rsidRPr="007853ED">
        <w:t>à</w:t>
      </w:r>
      <w:r w:rsidRPr="007853ED">
        <w:rPr>
          <w:spacing w:val="1"/>
        </w:rPr>
        <w:t xml:space="preserve"> </w:t>
      </w:r>
      <w:r w:rsidRPr="007853ED">
        <w:t>utiliser</w:t>
      </w:r>
      <w:r w:rsidRPr="007853ED">
        <w:rPr>
          <w:spacing w:val="1"/>
        </w:rPr>
        <w:t xml:space="preserve"> </w:t>
      </w:r>
      <w:r w:rsidRPr="007853ED">
        <w:t>les</w:t>
      </w:r>
      <w:r w:rsidRPr="007853ED">
        <w:rPr>
          <w:spacing w:val="1"/>
        </w:rPr>
        <w:t xml:space="preserve"> </w:t>
      </w:r>
      <w:r w:rsidRPr="007853ED">
        <w:t>fonds</w:t>
      </w:r>
      <w:r w:rsidRPr="007853ED">
        <w:rPr>
          <w:spacing w:val="1"/>
        </w:rPr>
        <w:t xml:space="preserve"> </w:t>
      </w:r>
      <w:r w:rsidRPr="007853ED">
        <w:t>des</w:t>
      </w:r>
      <w:r w:rsidRPr="007853ED">
        <w:rPr>
          <w:spacing w:val="1"/>
        </w:rPr>
        <w:t xml:space="preserve"> </w:t>
      </w:r>
      <w:r w:rsidRPr="007853ED">
        <w:t>donateurs</w:t>
      </w:r>
      <w:r w:rsidRPr="007853ED">
        <w:rPr>
          <w:spacing w:val="1"/>
        </w:rPr>
        <w:t xml:space="preserve"> </w:t>
      </w:r>
      <w:r w:rsidRPr="007853ED">
        <w:t>et</w:t>
      </w:r>
      <w:r w:rsidRPr="007853ED">
        <w:rPr>
          <w:spacing w:val="1"/>
        </w:rPr>
        <w:t xml:space="preserve"> </w:t>
      </w:r>
      <w:r w:rsidRPr="007853ED">
        <w:t>la</w:t>
      </w:r>
      <w:r w:rsidRPr="007853ED">
        <w:rPr>
          <w:spacing w:val="1"/>
        </w:rPr>
        <w:t xml:space="preserve"> </w:t>
      </w:r>
      <w:r w:rsidRPr="007853ED">
        <w:t>plupart</w:t>
      </w:r>
      <w:r w:rsidRPr="007853ED">
        <w:rPr>
          <w:spacing w:val="1"/>
        </w:rPr>
        <w:t xml:space="preserve"> </w:t>
      </w:r>
      <w:r w:rsidRPr="007853ED">
        <w:t>des</w:t>
      </w:r>
      <w:r w:rsidRPr="007853ED">
        <w:rPr>
          <w:spacing w:val="1"/>
        </w:rPr>
        <w:t xml:space="preserve"> </w:t>
      </w:r>
      <w:r w:rsidRPr="007853ED">
        <w:t>allocations</w:t>
      </w:r>
      <w:r w:rsidRPr="007853ED">
        <w:rPr>
          <w:spacing w:val="1"/>
        </w:rPr>
        <w:t xml:space="preserve"> </w:t>
      </w:r>
      <w:r w:rsidRPr="007853ED">
        <w:t>du</w:t>
      </w:r>
      <w:r w:rsidRPr="007853ED">
        <w:rPr>
          <w:spacing w:val="1"/>
        </w:rPr>
        <w:t xml:space="preserve"> </w:t>
      </w:r>
      <w:r w:rsidRPr="007853ED">
        <w:t>budget</w:t>
      </w:r>
      <w:r w:rsidRPr="007853ED">
        <w:rPr>
          <w:spacing w:val="1"/>
        </w:rPr>
        <w:t xml:space="preserve"> </w:t>
      </w:r>
      <w:r w:rsidRPr="007853ED">
        <w:t>national</w:t>
      </w:r>
      <w:r w:rsidRPr="007853ED">
        <w:rPr>
          <w:spacing w:val="1"/>
        </w:rPr>
        <w:t xml:space="preserve"> </w:t>
      </w:r>
      <w:r w:rsidRPr="007853ED">
        <w:t>pour</w:t>
      </w:r>
      <w:r w:rsidRPr="007853ED">
        <w:rPr>
          <w:spacing w:val="1"/>
        </w:rPr>
        <w:t xml:space="preserve"> </w:t>
      </w:r>
      <w:r w:rsidRPr="007853ED">
        <w:t>les</w:t>
      </w:r>
      <w:r w:rsidRPr="007853ED">
        <w:rPr>
          <w:spacing w:val="1"/>
        </w:rPr>
        <w:t xml:space="preserve"> </w:t>
      </w:r>
      <w:r w:rsidRPr="007853ED">
        <w:t>grands</w:t>
      </w:r>
      <w:r w:rsidRPr="007853ED">
        <w:rPr>
          <w:spacing w:val="1"/>
        </w:rPr>
        <w:t xml:space="preserve"> </w:t>
      </w:r>
      <w:r w:rsidRPr="007853ED">
        <w:t>travaux</w:t>
      </w:r>
      <w:r w:rsidRPr="007853ED">
        <w:rPr>
          <w:spacing w:val="1"/>
        </w:rPr>
        <w:t xml:space="preserve"> </w:t>
      </w:r>
      <w:r w:rsidRPr="007853ED">
        <w:t>de</w:t>
      </w:r>
      <w:r w:rsidRPr="007853ED">
        <w:rPr>
          <w:spacing w:val="1"/>
        </w:rPr>
        <w:t xml:space="preserve"> </w:t>
      </w:r>
      <w:r w:rsidRPr="007853ED">
        <w:t>réhabilitation</w:t>
      </w:r>
      <w:r w:rsidRPr="007853ED">
        <w:rPr>
          <w:spacing w:val="1"/>
        </w:rPr>
        <w:t xml:space="preserve"> </w:t>
      </w:r>
      <w:r w:rsidRPr="007853ED">
        <w:t>et</w:t>
      </w:r>
      <w:r w:rsidRPr="007853ED">
        <w:rPr>
          <w:spacing w:val="1"/>
        </w:rPr>
        <w:t xml:space="preserve"> </w:t>
      </w:r>
      <w:r w:rsidRPr="007853ED">
        <w:t>de</w:t>
      </w:r>
      <w:r w:rsidRPr="007853ED">
        <w:rPr>
          <w:spacing w:val="1"/>
        </w:rPr>
        <w:t xml:space="preserve"> </w:t>
      </w:r>
      <w:r w:rsidRPr="007853ED">
        <w:t>modernisation</w:t>
      </w:r>
      <w:r w:rsidRPr="007853ED">
        <w:rPr>
          <w:spacing w:val="1"/>
        </w:rPr>
        <w:t xml:space="preserve"> </w:t>
      </w:r>
      <w:r w:rsidRPr="007853ED">
        <w:t>des</w:t>
      </w:r>
      <w:r w:rsidRPr="007853ED">
        <w:rPr>
          <w:spacing w:val="1"/>
        </w:rPr>
        <w:t xml:space="preserve"> </w:t>
      </w:r>
      <w:r w:rsidRPr="007853ED">
        <w:t>routes</w:t>
      </w:r>
      <w:r w:rsidRPr="007853ED">
        <w:rPr>
          <w:spacing w:val="1"/>
        </w:rPr>
        <w:t xml:space="preserve"> </w:t>
      </w:r>
      <w:r w:rsidRPr="007853ED">
        <w:t>nationales,</w:t>
      </w:r>
      <w:r w:rsidRPr="007853ED">
        <w:rPr>
          <w:spacing w:val="1"/>
        </w:rPr>
        <w:t xml:space="preserve"> </w:t>
      </w:r>
      <w:r w:rsidRPr="007853ED">
        <w:t>tout</w:t>
      </w:r>
      <w:r w:rsidRPr="007853ED">
        <w:rPr>
          <w:spacing w:val="1"/>
        </w:rPr>
        <w:t xml:space="preserve"> </w:t>
      </w:r>
      <w:r w:rsidRPr="007853ED">
        <w:t>en</w:t>
      </w:r>
      <w:r w:rsidRPr="007853ED">
        <w:rPr>
          <w:spacing w:val="1"/>
        </w:rPr>
        <w:t xml:space="preserve"> </w:t>
      </w:r>
      <w:r w:rsidRPr="007853ED">
        <w:t>utilisant</w:t>
      </w:r>
      <w:r w:rsidRPr="007853ED">
        <w:rPr>
          <w:spacing w:val="1"/>
        </w:rPr>
        <w:t xml:space="preserve"> </w:t>
      </w:r>
      <w:r w:rsidRPr="007853ED">
        <w:t>80</w:t>
      </w:r>
      <w:r w:rsidRPr="007853ED">
        <w:rPr>
          <w:spacing w:val="1"/>
        </w:rPr>
        <w:t xml:space="preserve"> </w:t>
      </w:r>
      <w:r w:rsidRPr="007853ED">
        <w:t>pour</w:t>
      </w:r>
      <w:r w:rsidRPr="007853ED">
        <w:rPr>
          <w:spacing w:val="1"/>
        </w:rPr>
        <w:t xml:space="preserve"> </w:t>
      </w:r>
      <w:r w:rsidRPr="007853ED">
        <w:t>cent</w:t>
      </w:r>
      <w:r w:rsidRPr="007853ED">
        <w:rPr>
          <w:spacing w:val="1"/>
        </w:rPr>
        <w:t xml:space="preserve"> </w:t>
      </w:r>
      <w:r w:rsidRPr="007853ED">
        <w:t>des</w:t>
      </w:r>
      <w:r w:rsidRPr="007853ED">
        <w:rPr>
          <w:spacing w:val="1"/>
        </w:rPr>
        <w:t xml:space="preserve"> </w:t>
      </w:r>
      <w:r w:rsidRPr="007853ED">
        <w:t>ressources</w:t>
      </w:r>
      <w:r w:rsidRPr="007853ED">
        <w:rPr>
          <w:spacing w:val="1"/>
        </w:rPr>
        <w:t xml:space="preserve"> </w:t>
      </w:r>
      <w:r w:rsidRPr="007853ED">
        <w:t>d</w:t>
      </w:r>
      <w:r w:rsidR="00D142D6">
        <w:t>u</w:t>
      </w:r>
      <w:r w:rsidRPr="007853ED">
        <w:rPr>
          <w:spacing w:val="1"/>
        </w:rPr>
        <w:t xml:space="preserve"> </w:t>
      </w:r>
      <w:r w:rsidRPr="007853ED">
        <w:t>F</w:t>
      </w:r>
      <w:r>
        <w:t>ond</w:t>
      </w:r>
      <w:r w:rsidR="00D142D6">
        <w:t>s</w:t>
      </w:r>
      <w:r>
        <w:t xml:space="preserve"> </w:t>
      </w:r>
      <w:r w:rsidR="00D142D6" w:rsidRPr="007853ED">
        <w:t>R</w:t>
      </w:r>
      <w:r w:rsidR="00D142D6">
        <w:t>outier</w:t>
      </w:r>
      <w:r w:rsidR="00D142D6" w:rsidRPr="007853ED">
        <w:rPr>
          <w:spacing w:val="-47"/>
        </w:rPr>
        <w:t xml:space="preserve"> </w:t>
      </w:r>
      <w:r w:rsidRPr="00770E72">
        <w:rPr>
          <w:color w:val="auto"/>
        </w:rPr>
        <w:t>principalement pour l'entretien périodique et de routine du réseau national et les 20 pour cent restants pour l'entretien</w:t>
      </w:r>
      <w:r w:rsidRPr="00770E72">
        <w:rPr>
          <w:color w:val="auto"/>
          <w:spacing w:val="-47"/>
        </w:rPr>
        <w:t xml:space="preserve"> </w:t>
      </w:r>
      <w:r w:rsidRPr="00770E72">
        <w:rPr>
          <w:color w:val="auto"/>
        </w:rPr>
        <w:t xml:space="preserve">des routes locales. </w:t>
      </w:r>
      <w:r w:rsidR="00770E72" w:rsidRPr="00770E72">
        <w:rPr>
          <w:color w:val="auto"/>
        </w:rPr>
        <w:t>Le gouvernement est en train d'autoriser et de mobiliser à partir des ressources de la FR de 2024, pour entreprendre les travaux d’entretien sur les 11900 km de routes nationales, dont</w:t>
      </w:r>
      <w:r w:rsidR="00770E72" w:rsidRPr="00770E72">
        <w:rPr>
          <w:color w:val="auto"/>
          <w:spacing w:val="1"/>
        </w:rPr>
        <w:t xml:space="preserve"> </w:t>
      </w:r>
      <w:r w:rsidR="00770E72" w:rsidRPr="00770E72">
        <w:rPr>
          <w:color w:val="auto"/>
        </w:rPr>
        <w:t xml:space="preserve">les travaux d’entretien courant sur 7041 km.   </w:t>
      </w:r>
      <w:r w:rsidRPr="007853ED">
        <w:t>Parallèlement, le gouvernement s'efforce d'accroître les ressources du FR à</w:t>
      </w:r>
      <w:r w:rsidRPr="007853ED">
        <w:rPr>
          <w:spacing w:val="1"/>
        </w:rPr>
        <w:t xml:space="preserve"> </w:t>
      </w:r>
      <w:r w:rsidRPr="007853ED">
        <w:t>moyen terme en appliquant l'augmentation approuvée mais non mise en œuvre de 10 % de la taxe sur les carburants et</w:t>
      </w:r>
      <w:r w:rsidRPr="007853ED">
        <w:rPr>
          <w:spacing w:val="-47"/>
        </w:rPr>
        <w:t xml:space="preserve"> </w:t>
      </w:r>
      <w:r w:rsidRPr="007853ED">
        <w:t>en</w:t>
      </w:r>
      <w:r w:rsidRPr="007853ED">
        <w:rPr>
          <w:spacing w:val="1"/>
        </w:rPr>
        <w:t xml:space="preserve"> </w:t>
      </w:r>
      <w:r w:rsidRPr="007853ED">
        <w:t>préparant</w:t>
      </w:r>
      <w:r w:rsidRPr="007853ED">
        <w:rPr>
          <w:spacing w:val="1"/>
        </w:rPr>
        <w:t xml:space="preserve"> </w:t>
      </w:r>
      <w:r w:rsidRPr="007853ED">
        <w:t>une</w:t>
      </w:r>
      <w:r w:rsidRPr="007853ED">
        <w:rPr>
          <w:spacing w:val="1"/>
        </w:rPr>
        <w:t xml:space="preserve"> </w:t>
      </w:r>
      <w:r w:rsidRPr="007853ED">
        <w:t>stratégie</w:t>
      </w:r>
      <w:r w:rsidRPr="007853ED">
        <w:rPr>
          <w:spacing w:val="1"/>
        </w:rPr>
        <w:t xml:space="preserve"> </w:t>
      </w:r>
      <w:r w:rsidRPr="007853ED">
        <w:t>visant</w:t>
      </w:r>
      <w:r w:rsidRPr="007853ED">
        <w:rPr>
          <w:spacing w:val="1"/>
        </w:rPr>
        <w:t xml:space="preserve"> </w:t>
      </w:r>
      <w:r w:rsidRPr="007853ED">
        <w:t>à</w:t>
      </w:r>
      <w:r w:rsidRPr="007853ED">
        <w:rPr>
          <w:spacing w:val="1"/>
        </w:rPr>
        <w:t xml:space="preserve"> </w:t>
      </w:r>
      <w:r w:rsidRPr="007853ED">
        <w:t>diversifier</w:t>
      </w:r>
      <w:r w:rsidRPr="007853ED">
        <w:rPr>
          <w:spacing w:val="1"/>
        </w:rPr>
        <w:t xml:space="preserve"> </w:t>
      </w:r>
      <w:r w:rsidRPr="007853ED">
        <w:t>et</w:t>
      </w:r>
      <w:r w:rsidRPr="007853ED">
        <w:rPr>
          <w:spacing w:val="1"/>
        </w:rPr>
        <w:t xml:space="preserve"> </w:t>
      </w:r>
      <w:r w:rsidRPr="007853ED">
        <w:t>à</w:t>
      </w:r>
      <w:r w:rsidRPr="007853ED">
        <w:rPr>
          <w:spacing w:val="1"/>
        </w:rPr>
        <w:t xml:space="preserve"> </w:t>
      </w:r>
      <w:r w:rsidRPr="007853ED">
        <w:t>inclure</w:t>
      </w:r>
      <w:r w:rsidRPr="007853ED">
        <w:rPr>
          <w:spacing w:val="1"/>
        </w:rPr>
        <w:t xml:space="preserve"> </w:t>
      </w:r>
      <w:r w:rsidRPr="007853ED">
        <w:t>d'autres</w:t>
      </w:r>
      <w:r w:rsidRPr="007853ED">
        <w:rPr>
          <w:spacing w:val="1"/>
        </w:rPr>
        <w:t xml:space="preserve"> </w:t>
      </w:r>
      <w:r w:rsidRPr="007853ED">
        <w:t>sources</w:t>
      </w:r>
      <w:r w:rsidRPr="007853ED">
        <w:rPr>
          <w:spacing w:val="1"/>
        </w:rPr>
        <w:t xml:space="preserve"> </w:t>
      </w:r>
      <w:r w:rsidRPr="007853ED">
        <w:t>potentielles</w:t>
      </w:r>
      <w:r w:rsidRPr="007853ED">
        <w:rPr>
          <w:spacing w:val="1"/>
        </w:rPr>
        <w:t xml:space="preserve"> </w:t>
      </w:r>
      <w:r w:rsidRPr="007853ED">
        <w:t>de</w:t>
      </w:r>
      <w:r w:rsidRPr="007853ED">
        <w:rPr>
          <w:spacing w:val="1"/>
        </w:rPr>
        <w:t xml:space="preserve"> </w:t>
      </w:r>
      <w:r w:rsidRPr="007853ED">
        <w:t>taxes</w:t>
      </w:r>
      <w:r w:rsidRPr="007853ED">
        <w:rPr>
          <w:spacing w:val="1"/>
        </w:rPr>
        <w:t xml:space="preserve"> </w:t>
      </w:r>
      <w:r w:rsidRPr="007853ED">
        <w:t>et</w:t>
      </w:r>
      <w:r w:rsidRPr="007853ED">
        <w:rPr>
          <w:spacing w:val="1"/>
        </w:rPr>
        <w:t xml:space="preserve"> </w:t>
      </w:r>
      <w:r w:rsidRPr="007853ED">
        <w:t>de</w:t>
      </w:r>
      <w:r w:rsidRPr="007853ED">
        <w:rPr>
          <w:spacing w:val="1"/>
        </w:rPr>
        <w:t xml:space="preserve"> </w:t>
      </w:r>
      <w:r w:rsidRPr="007853ED">
        <w:t>recettes</w:t>
      </w:r>
      <w:r w:rsidRPr="007853ED">
        <w:rPr>
          <w:spacing w:val="1"/>
        </w:rPr>
        <w:t xml:space="preserve"> </w:t>
      </w:r>
      <w:r w:rsidRPr="007853ED">
        <w:t>spécifiques (telles que les permis de conduire, l'immatriculation des véhicules, les opérateurs de télécommunications</w:t>
      </w:r>
      <w:r w:rsidRPr="007853ED">
        <w:rPr>
          <w:spacing w:val="1"/>
        </w:rPr>
        <w:t xml:space="preserve"> </w:t>
      </w:r>
      <w:r w:rsidRPr="007853ED">
        <w:t>utilisant</w:t>
      </w:r>
      <w:r w:rsidRPr="007853ED">
        <w:rPr>
          <w:spacing w:val="-2"/>
        </w:rPr>
        <w:t xml:space="preserve"> </w:t>
      </w:r>
      <w:r w:rsidRPr="007853ED">
        <w:t>l'infrastructure routière, les</w:t>
      </w:r>
      <w:r w:rsidRPr="007853ED">
        <w:rPr>
          <w:spacing w:val="-1"/>
        </w:rPr>
        <w:t xml:space="preserve"> </w:t>
      </w:r>
      <w:r w:rsidRPr="007853ED">
        <w:t>ventes de</w:t>
      </w:r>
      <w:r w:rsidRPr="007853ED">
        <w:rPr>
          <w:spacing w:val="-2"/>
        </w:rPr>
        <w:t xml:space="preserve"> </w:t>
      </w:r>
      <w:r w:rsidRPr="007853ED">
        <w:t>terrains,</w:t>
      </w:r>
      <w:r w:rsidRPr="007853ED">
        <w:rPr>
          <w:spacing w:val="-1"/>
        </w:rPr>
        <w:t xml:space="preserve"> </w:t>
      </w:r>
      <w:r w:rsidRPr="007853ED">
        <w:t>etc</w:t>
      </w:r>
      <w:r>
        <w:t>…)</w:t>
      </w:r>
    </w:p>
    <w:p w14:paraId="6DC95367" w14:textId="14E94149" w:rsidR="000E76F0" w:rsidRDefault="00570D0A" w:rsidP="000E76F0">
      <w:pPr>
        <w:autoSpaceDE w:val="0"/>
        <w:autoSpaceDN w:val="0"/>
        <w:adjustRightInd w:val="0"/>
        <w:rPr>
          <w:rFonts w:cs="Times New Roman"/>
          <w:color w:val="auto"/>
          <w:szCs w:val="24"/>
        </w:rPr>
      </w:pPr>
      <w:r w:rsidRPr="000E76F0">
        <w:rPr>
          <w:rFonts w:cs="Times New Roman"/>
          <w:color w:val="auto"/>
          <w:szCs w:val="24"/>
        </w:rPr>
        <w:t xml:space="preserve">Jusqu'à présent, les investissements dans les différents sous-secteurs du transport ont été développés selon une approche fragmentée et cloisonnée. </w:t>
      </w:r>
      <w:r w:rsidR="000E76F0" w:rsidRPr="000E76F0">
        <w:rPr>
          <w:rFonts w:cs="Times New Roman"/>
          <w:color w:val="auto"/>
          <w:szCs w:val="24"/>
        </w:rPr>
        <w:t>À Madagascar, il existe des ports, mais la connectivité des routes intérieures reste médiocre et les services ferroviaires sont de mauvaise qualité et limités par un réseau clairsemé : seuls 30 % de la population totale peuvent accéder au port le plus proche en moins de deux heures.</w:t>
      </w:r>
    </w:p>
    <w:p w14:paraId="7B9D0F25" w14:textId="20E60600" w:rsidR="00DF3A08" w:rsidRDefault="00DF3A08" w:rsidP="000E76F0">
      <w:pPr>
        <w:autoSpaceDE w:val="0"/>
        <w:autoSpaceDN w:val="0"/>
        <w:adjustRightInd w:val="0"/>
        <w:rPr>
          <w:rFonts w:cs="Times New Roman"/>
          <w:color w:val="auto"/>
          <w:szCs w:val="24"/>
        </w:rPr>
      </w:pPr>
      <w:r w:rsidRPr="00DF3A08">
        <w:rPr>
          <w:rFonts w:cs="Times New Roman"/>
          <w:color w:val="auto"/>
          <w:szCs w:val="24"/>
        </w:rPr>
        <w:t>Le projet proposé soutiendra la vision du gouvernement pour le développement à long terme des secteurs des routes et des transports, conçu dans une optique stratégique et multimodale. En revanche, la vision globale du gouvernement consiste à adopter une approche à long terme qui s'attaque de manière systématique aux principaux goulets d'étranglement dans le secteur des transports</w:t>
      </w:r>
      <w:r w:rsidR="009F5DA3">
        <w:rPr>
          <w:rFonts w:cs="Times New Roman"/>
          <w:color w:val="auto"/>
          <w:szCs w:val="24"/>
        </w:rPr>
        <w:t>.</w:t>
      </w:r>
    </w:p>
    <w:p w14:paraId="35A1F213" w14:textId="2538CEF2" w:rsidR="00DF3A08" w:rsidRDefault="00DF3A08" w:rsidP="000E76F0">
      <w:pPr>
        <w:autoSpaceDE w:val="0"/>
        <w:autoSpaceDN w:val="0"/>
        <w:adjustRightInd w:val="0"/>
        <w:rPr>
          <w:rFonts w:cs="Times New Roman"/>
          <w:color w:val="auto"/>
          <w:szCs w:val="24"/>
        </w:rPr>
      </w:pPr>
      <w:r w:rsidRPr="00DF3A08">
        <w:rPr>
          <w:rFonts w:cs="Times New Roman"/>
          <w:color w:val="auto"/>
          <w:szCs w:val="24"/>
        </w:rPr>
        <w:t>Le projet soutiendra également la poursuite du dialogue politique et de l'assistance technique par la fourniture de conseils d'experts et d'études analytiques sélectionnées dans les différents modes de transport (port/avion) pour soutenir l'avancement des réformes essentielles pour permettre la vision du gouvernement pour un secteur de transport multimodal intégré.</w:t>
      </w:r>
    </w:p>
    <w:p w14:paraId="4EA804C9" w14:textId="77777777" w:rsidR="00575CDF" w:rsidRPr="00C801A6" w:rsidRDefault="00575CDF" w:rsidP="00014BC0">
      <w:pPr>
        <w:pStyle w:val="Heading2"/>
      </w:pPr>
      <w:bookmarkStart w:id="16" w:name="_Toc106320257"/>
      <w:bookmarkStart w:id="17" w:name="_Toc230425969"/>
      <w:r w:rsidRPr="00C801A6">
        <w:lastRenderedPageBreak/>
        <w:t>CONTEXTE NATIONAL</w:t>
      </w:r>
      <w:bookmarkEnd w:id="16"/>
      <w:bookmarkEnd w:id="17"/>
    </w:p>
    <w:p w14:paraId="1ECC7913" w14:textId="77777777" w:rsidR="00575CDF" w:rsidRPr="00C801A6" w:rsidRDefault="00575CDF" w:rsidP="00575CDF">
      <w:pPr>
        <w:autoSpaceDE w:val="0"/>
        <w:autoSpaceDN w:val="0"/>
        <w:adjustRightInd w:val="0"/>
        <w:rPr>
          <w:rFonts w:cs="Times New Roman"/>
          <w:color w:val="auto"/>
          <w:szCs w:val="24"/>
        </w:rPr>
      </w:pPr>
      <w:r w:rsidRPr="00C801A6">
        <w:rPr>
          <w:rFonts w:cs="Times New Roman"/>
          <w:color w:val="auto"/>
          <w:szCs w:val="24"/>
        </w:rPr>
        <w:t>A Madagascar, environ 90% des transports se font par voie terrestre et, pratiquement, la quasi-totalité des transports terrestres se font par voie routière. Le transport routier est donc le principal moyen de déplacement des biens et des personnes et constitue un vecteur clé du désenclavement national. Il tient donc un rôle primordial dans la vie de la nation et est garant du développement de l’économie du pays.</w:t>
      </w:r>
    </w:p>
    <w:p w14:paraId="254D9084" w14:textId="42B13A09" w:rsidR="00575CDF" w:rsidRPr="00C801A6" w:rsidRDefault="00575CDF" w:rsidP="00575CDF">
      <w:pPr>
        <w:autoSpaceDE w:val="0"/>
        <w:autoSpaceDN w:val="0"/>
        <w:adjustRightInd w:val="0"/>
        <w:rPr>
          <w:rFonts w:cs="Times New Roman"/>
          <w:i/>
          <w:iCs/>
          <w:color w:val="auto"/>
          <w:szCs w:val="24"/>
        </w:rPr>
      </w:pPr>
      <w:r w:rsidRPr="00C801A6">
        <w:rPr>
          <w:rFonts w:cs="Times New Roman"/>
          <w:color w:val="auto"/>
          <w:szCs w:val="24"/>
        </w:rPr>
        <w:t>Toutefois, les infrastructures de transport, en général, et le réseau routier</w:t>
      </w:r>
      <w:r w:rsidR="00B910A0" w:rsidRPr="00C801A6">
        <w:rPr>
          <w:rFonts w:cs="Times New Roman"/>
          <w:color w:val="auto"/>
          <w:szCs w:val="24"/>
        </w:rPr>
        <w:t xml:space="preserve"> (tableau 1)</w:t>
      </w:r>
      <w:r w:rsidRPr="00C801A6">
        <w:rPr>
          <w:rFonts w:cs="Times New Roman"/>
          <w:color w:val="auto"/>
          <w:szCs w:val="24"/>
        </w:rPr>
        <w:t xml:space="preserve">, en particulier, sont en mauvais état. Sur l’ensemble du réseau, seuls 11% sont en bon état avec un indice d’accès rural faible (IAR) estimé à 11,4% </w:t>
      </w:r>
      <w:r w:rsidRPr="00C801A6">
        <w:rPr>
          <w:rFonts w:cs="Times New Roman"/>
          <w:i/>
          <w:iCs/>
          <w:color w:val="auto"/>
          <w:szCs w:val="24"/>
        </w:rPr>
        <w:t>(SPA- DGTP, 2020)</w:t>
      </w:r>
    </w:p>
    <w:p w14:paraId="2BADDDCA" w14:textId="73DE933D" w:rsidR="00575CDF" w:rsidRPr="00C801A6" w:rsidRDefault="004B0D7A" w:rsidP="004B0D7A">
      <w:pPr>
        <w:pStyle w:val="Caption"/>
        <w:rPr>
          <w:rFonts w:cs="Times New Roman"/>
          <w:i/>
          <w:color w:val="auto"/>
          <w:szCs w:val="24"/>
        </w:rPr>
      </w:pPr>
      <w:bookmarkStart w:id="18" w:name="_Toc230427721"/>
      <w:r>
        <w:t xml:space="preserve">Tableau </w:t>
      </w:r>
      <w:r w:rsidR="00E44887">
        <w:fldChar w:fldCharType="begin"/>
      </w:r>
      <w:r w:rsidR="00E44887">
        <w:instrText xml:space="preserve"> SEQ Tableau \* ARABIC </w:instrText>
      </w:r>
      <w:r w:rsidR="00E44887">
        <w:fldChar w:fldCharType="separate"/>
      </w:r>
      <w:r w:rsidR="007E133A">
        <w:rPr>
          <w:noProof/>
        </w:rPr>
        <w:t>1</w:t>
      </w:r>
      <w:r w:rsidR="00E44887">
        <w:rPr>
          <w:noProof/>
        </w:rPr>
        <w:fldChar w:fldCharType="end"/>
      </w:r>
      <w:r w:rsidRPr="00C801A6">
        <w:rPr>
          <w:color w:val="auto"/>
        </w:rPr>
        <w:t> : Etat général du réseau routier</w:t>
      </w:r>
      <w:bookmarkEnd w:id="18"/>
    </w:p>
    <w:p w14:paraId="39CF34FD" w14:textId="468B9D9A" w:rsidR="004572C3" w:rsidRDefault="00575CDF" w:rsidP="00D42025">
      <w:pPr>
        <w:autoSpaceDE w:val="0"/>
        <w:autoSpaceDN w:val="0"/>
        <w:adjustRightInd w:val="0"/>
        <w:ind w:hanging="142"/>
        <w:jc w:val="center"/>
        <w:rPr>
          <w:color w:val="auto"/>
        </w:rPr>
      </w:pPr>
      <w:r w:rsidRPr="00C801A6">
        <w:rPr>
          <w:rFonts w:cs="Times New Roman"/>
          <w:i/>
          <w:iCs/>
          <w:noProof/>
          <w:color w:val="auto"/>
          <w:szCs w:val="24"/>
          <w:lang w:eastAsia="fr-FR"/>
        </w:rPr>
        <w:drawing>
          <wp:inline distT="0" distB="0" distL="0" distR="0" wp14:anchorId="578DF72B" wp14:editId="7C5015BE">
            <wp:extent cx="5867400" cy="2386626"/>
            <wp:effectExtent l="0" t="0" r="0" b="0"/>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3" cstate="email">
                      <a:extLst>
                        <a:ext uri="{28A0092B-C50C-407E-A947-70E740481C1C}">
                          <a14:useLocalDpi xmlns:a14="http://schemas.microsoft.com/office/drawing/2010/main"/>
                        </a:ext>
                      </a:extLst>
                    </a:blip>
                    <a:srcRect l="1544" t="8088" r="1544" b="-836"/>
                    <a:stretch/>
                  </pic:blipFill>
                  <pic:spPr bwMode="auto">
                    <a:xfrm>
                      <a:off x="0" y="0"/>
                      <a:ext cx="5919631" cy="2407872"/>
                    </a:xfrm>
                    <a:prstGeom prst="rect">
                      <a:avLst/>
                    </a:prstGeom>
                    <a:noFill/>
                    <a:ln>
                      <a:noFill/>
                    </a:ln>
                    <a:extLst>
                      <a:ext uri="{53640926-AAD7-44D8-BBD7-CCE9431645EC}">
                        <a14:shadowObscured xmlns:a14="http://schemas.microsoft.com/office/drawing/2010/main"/>
                      </a:ext>
                    </a:extLst>
                  </pic:spPr>
                </pic:pic>
              </a:graphicData>
            </a:graphic>
          </wp:inline>
        </w:drawing>
      </w:r>
      <w:r w:rsidR="0034741E">
        <w:rPr>
          <w:rFonts w:cs="Times New Roman"/>
          <w:i/>
          <w:iCs/>
          <w:color w:val="auto"/>
          <w:szCs w:val="24"/>
        </w:rPr>
        <w:t xml:space="preserve"> </w:t>
      </w:r>
    </w:p>
    <w:p w14:paraId="6B4819EB" w14:textId="77777777" w:rsidR="00575CDF" w:rsidRPr="00C801A6" w:rsidRDefault="00575CDF" w:rsidP="00575CDF">
      <w:pPr>
        <w:autoSpaceDE w:val="0"/>
        <w:autoSpaceDN w:val="0"/>
        <w:adjustRightInd w:val="0"/>
        <w:rPr>
          <w:rFonts w:cs="Times New Roman"/>
          <w:color w:val="auto"/>
          <w:szCs w:val="24"/>
        </w:rPr>
      </w:pPr>
      <w:r w:rsidRPr="00C801A6">
        <w:rPr>
          <w:rFonts w:cs="Times New Roman"/>
          <w:color w:val="auto"/>
          <w:szCs w:val="24"/>
        </w:rPr>
        <w:t xml:space="preserve">La dégradation et le mauvais état actuel du réseau routier sont liés à plusieurs causes, entre autres : </w:t>
      </w:r>
    </w:p>
    <w:p w14:paraId="48172BD5" w14:textId="77777777" w:rsidR="00575CDF" w:rsidRPr="00C801A6" w:rsidRDefault="00575CDF" w:rsidP="00844538">
      <w:pPr>
        <w:pStyle w:val="ListParagraph"/>
        <w:numPr>
          <w:ilvl w:val="0"/>
          <w:numId w:val="4"/>
        </w:numPr>
        <w:autoSpaceDE w:val="0"/>
        <w:autoSpaceDN w:val="0"/>
        <w:adjustRightInd w:val="0"/>
        <w:spacing w:line="276" w:lineRule="auto"/>
        <w:ind w:left="714" w:hanging="357"/>
        <w:contextualSpacing w:val="0"/>
        <w:rPr>
          <w:rFonts w:cs="Times New Roman"/>
          <w:bCs/>
          <w:color w:val="auto"/>
          <w:szCs w:val="24"/>
        </w:rPr>
      </w:pPr>
      <w:r w:rsidRPr="00C801A6">
        <w:rPr>
          <w:rFonts w:cs="Times New Roman"/>
          <w:color w:val="auto"/>
          <w:szCs w:val="24"/>
        </w:rPr>
        <w:t xml:space="preserve">Conditions climatiques : </w:t>
      </w:r>
      <w:r w:rsidRPr="00C801A6">
        <w:rPr>
          <w:rFonts w:cs="Times New Roman"/>
          <w:bCs/>
          <w:color w:val="auto"/>
          <w:szCs w:val="24"/>
        </w:rPr>
        <w:t>Madagascar est vulnérable aux phénomènes climatiques extrêmes, en particulier aux cyclones et aux fortes précipitations, qui nuisent aux performances des routes et nécessitent des infrastructures plus résilientes.</w:t>
      </w:r>
    </w:p>
    <w:p w14:paraId="3BF964AB" w14:textId="77777777" w:rsidR="00575CDF" w:rsidRPr="00C801A6" w:rsidRDefault="00575CDF" w:rsidP="00844538">
      <w:pPr>
        <w:pStyle w:val="ListParagraph"/>
        <w:numPr>
          <w:ilvl w:val="0"/>
          <w:numId w:val="4"/>
        </w:numPr>
        <w:autoSpaceDE w:val="0"/>
        <w:autoSpaceDN w:val="0"/>
        <w:adjustRightInd w:val="0"/>
        <w:spacing w:line="276" w:lineRule="auto"/>
        <w:ind w:left="714" w:hanging="357"/>
        <w:contextualSpacing w:val="0"/>
        <w:rPr>
          <w:rFonts w:eastAsia="Times New Roman" w:cs="Times New Roman"/>
          <w:i/>
          <w:iCs/>
          <w:color w:val="auto"/>
        </w:rPr>
      </w:pPr>
      <w:r w:rsidRPr="00C801A6">
        <w:rPr>
          <w:rFonts w:cs="Times New Roman"/>
          <w:color w:val="auto"/>
        </w:rPr>
        <w:t>S</w:t>
      </w:r>
      <w:r w:rsidRPr="00C801A6">
        <w:rPr>
          <w:rFonts w:eastAsia="Times New Roman" w:cs="Times New Roman"/>
          <w:color w:val="auto"/>
        </w:rPr>
        <w:t>urcharge / insuffisance d’infrastructures de pesage</w:t>
      </w:r>
    </w:p>
    <w:p w14:paraId="6997C93D" w14:textId="77777777" w:rsidR="00575CDF" w:rsidRPr="00C801A6" w:rsidRDefault="64C26F39" w:rsidP="00844538">
      <w:pPr>
        <w:pStyle w:val="ListParagraph"/>
        <w:numPr>
          <w:ilvl w:val="0"/>
          <w:numId w:val="4"/>
        </w:numPr>
        <w:autoSpaceDE w:val="0"/>
        <w:autoSpaceDN w:val="0"/>
        <w:adjustRightInd w:val="0"/>
        <w:spacing w:line="276" w:lineRule="auto"/>
        <w:ind w:left="714" w:hanging="357"/>
        <w:contextualSpacing w:val="0"/>
        <w:rPr>
          <w:rFonts w:eastAsia="Times New Roman" w:cs="Times New Roman"/>
          <w:color w:val="auto"/>
        </w:rPr>
      </w:pPr>
      <w:r w:rsidRPr="00C801A6">
        <w:rPr>
          <w:rFonts w:eastAsia="Times New Roman" w:cs="Times New Roman"/>
          <w:color w:val="auto"/>
        </w:rPr>
        <w:t>Négligence de l’entretien qui entraîne une dégradation rapide du réseau et une escalade des coûts</w:t>
      </w:r>
      <w:r w:rsidR="00575CDF" w:rsidRPr="00C801A6">
        <w:rPr>
          <w:rStyle w:val="FootnoteReference"/>
          <w:rFonts w:eastAsia="Times New Roman" w:cs="Times New Roman"/>
          <w:color w:val="auto"/>
        </w:rPr>
        <w:footnoteReference w:id="2"/>
      </w:r>
      <w:r w:rsidRPr="00C801A6">
        <w:rPr>
          <w:rFonts w:eastAsia="Times New Roman" w:cs="Times New Roman"/>
          <w:color w:val="auto"/>
        </w:rPr>
        <w:t>.</w:t>
      </w:r>
    </w:p>
    <w:p w14:paraId="7F10102F" w14:textId="77777777" w:rsidR="00575CDF" w:rsidRPr="00C801A6" w:rsidRDefault="00575CDF" w:rsidP="00844538">
      <w:pPr>
        <w:pStyle w:val="ListParagraph"/>
        <w:numPr>
          <w:ilvl w:val="0"/>
          <w:numId w:val="4"/>
        </w:numPr>
        <w:autoSpaceDE w:val="0"/>
        <w:autoSpaceDN w:val="0"/>
        <w:adjustRightInd w:val="0"/>
        <w:spacing w:line="276" w:lineRule="auto"/>
        <w:ind w:left="714" w:hanging="357"/>
        <w:contextualSpacing w:val="0"/>
        <w:rPr>
          <w:rFonts w:eastAsia="Times New Roman" w:cs="Times New Roman"/>
          <w:color w:val="auto"/>
        </w:rPr>
      </w:pPr>
      <w:r w:rsidRPr="00C801A6">
        <w:rPr>
          <w:rFonts w:eastAsia="Times New Roman" w:cs="Times New Roman"/>
          <w:color w:val="auto"/>
        </w:rPr>
        <w:t>Vétusté des infrastructures : le réseau routier comporte un grand nombre d’ouvrages de franchissement vétustes dont la majorité est en mauvais état et manque d’entretien.</w:t>
      </w:r>
    </w:p>
    <w:p w14:paraId="2649D1EA" w14:textId="77777777" w:rsidR="00575CDF" w:rsidRPr="00C801A6" w:rsidRDefault="00575CDF" w:rsidP="00844538">
      <w:pPr>
        <w:pStyle w:val="ListParagraph"/>
        <w:numPr>
          <w:ilvl w:val="0"/>
          <w:numId w:val="4"/>
        </w:numPr>
        <w:autoSpaceDE w:val="0"/>
        <w:autoSpaceDN w:val="0"/>
        <w:adjustRightInd w:val="0"/>
        <w:spacing w:line="276" w:lineRule="auto"/>
        <w:ind w:left="714" w:hanging="357"/>
        <w:contextualSpacing w:val="0"/>
        <w:rPr>
          <w:rFonts w:eastAsia="Times New Roman" w:cs="Times New Roman"/>
          <w:color w:val="auto"/>
        </w:rPr>
      </w:pPr>
      <w:r w:rsidRPr="00C801A6">
        <w:rPr>
          <w:rFonts w:eastAsia="Times New Roman" w:cs="Times New Roman"/>
          <w:color w:val="auto"/>
        </w:rPr>
        <w:t>Armatures sous-dimensionnées par rapport aux charges du trafic : il est à noter que le trafic lourd s’est développé rapidement sur les axes stratégiques du pays, augmentant considérablement les risques de dégradation des ouvrages et des routes, souvent non adaptés au type de trafic.</w:t>
      </w:r>
    </w:p>
    <w:p w14:paraId="7906B4C7" w14:textId="77777777" w:rsidR="00575CDF" w:rsidRPr="00C801A6" w:rsidRDefault="00575CDF" w:rsidP="00844538">
      <w:pPr>
        <w:pStyle w:val="ListParagraph"/>
        <w:numPr>
          <w:ilvl w:val="0"/>
          <w:numId w:val="4"/>
        </w:numPr>
        <w:autoSpaceDE w:val="0"/>
        <w:autoSpaceDN w:val="0"/>
        <w:adjustRightInd w:val="0"/>
        <w:spacing w:line="276" w:lineRule="auto"/>
        <w:ind w:left="714" w:hanging="357"/>
        <w:contextualSpacing w:val="0"/>
        <w:rPr>
          <w:rFonts w:eastAsia="Times New Roman" w:cs="Times New Roman"/>
          <w:color w:val="auto"/>
        </w:rPr>
      </w:pPr>
      <w:r w:rsidRPr="00C801A6">
        <w:rPr>
          <w:rFonts w:eastAsia="Times New Roman" w:cs="Times New Roman"/>
          <w:color w:val="auto"/>
        </w:rPr>
        <w:lastRenderedPageBreak/>
        <w:t>Défaut d’assainissement entraînant la dégradation généralisée du corps de la chaussée.</w:t>
      </w:r>
    </w:p>
    <w:p w14:paraId="11522E08" w14:textId="4060A017" w:rsidR="00575CDF" w:rsidRPr="00C801A6" w:rsidRDefault="00575CDF" w:rsidP="00575CDF">
      <w:pPr>
        <w:rPr>
          <w:rFonts w:eastAsia="Calibri"/>
          <w:color w:val="auto"/>
          <w:szCs w:val="24"/>
        </w:rPr>
      </w:pPr>
      <w:bookmarkStart w:id="19" w:name="_Hlk71399448"/>
      <w:r w:rsidRPr="00C801A6">
        <w:rPr>
          <w:rFonts w:eastAsia="Times New Roman" w:cs="Times New Roman"/>
          <w:color w:val="auto"/>
        </w:rPr>
        <w:t xml:space="preserve">En outre, la performance de Madagascar en matière de sécurité routière est </w:t>
      </w:r>
      <w:r w:rsidRPr="00C801A6">
        <w:rPr>
          <w:rFonts w:cs="Times New Roman"/>
          <w:color w:val="auto"/>
        </w:rPr>
        <w:t>relativement</w:t>
      </w:r>
      <w:r w:rsidRPr="00C801A6">
        <w:rPr>
          <w:rFonts w:eastAsia="Times New Roman" w:cs="Times New Roman"/>
          <w:color w:val="auto"/>
        </w:rPr>
        <w:t xml:space="preserve"> faible</w:t>
      </w:r>
      <w:r w:rsidR="00736BC3" w:rsidRPr="00C801A6">
        <w:rPr>
          <w:rFonts w:eastAsia="Times New Roman" w:cs="Times New Roman"/>
          <w:color w:val="auto"/>
        </w:rPr>
        <w:t xml:space="preserve"> </w:t>
      </w:r>
      <w:r w:rsidRPr="00C801A6">
        <w:rPr>
          <w:rFonts w:eastAsia="Times New Roman" w:cs="Times New Roman"/>
          <w:color w:val="auto"/>
        </w:rPr>
        <w:t>avec un rang de 152</w:t>
      </w:r>
      <w:r w:rsidRPr="00C801A6">
        <w:rPr>
          <w:rFonts w:eastAsia="Times New Roman" w:cs="Times New Roman"/>
          <w:color w:val="auto"/>
          <w:vertAlign w:val="superscript"/>
        </w:rPr>
        <w:t>ème</w:t>
      </w:r>
      <w:r w:rsidRPr="00C801A6">
        <w:rPr>
          <w:rFonts w:eastAsia="Times New Roman" w:cs="Times New Roman"/>
          <w:color w:val="auto"/>
        </w:rPr>
        <w:t xml:space="preserve"> sur 175 pays évalués</w:t>
      </w:r>
      <w:bookmarkEnd w:id="19"/>
      <w:r w:rsidRPr="00C801A6">
        <w:rPr>
          <w:rFonts w:eastAsia="Times New Roman" w:cs="Times New Roman"/>
          <w:color w:val="auto"/>
        </w:rPr>
        <w:t>. Madagascar a l’un des taux de mortalité routière les plus élevés au monde (en termes de nombre de tués pour 100 000 d’habitants, Madagascar connait un taux très élevé estimé à plus de 28).</w:t>
      </w:r>
    </w:p>
    <w:p w14:paraId="18BCA693" w14:textId="77777777" w:rsidR="00575CDF" w:rsidRPr="00C801A6" w:rsidRDefault="00575CDF" w:rsidP="00575CDF">
      <w:pPr>
        <w:rPr>
          <w:rFonts w:cs="Times New Roman"/>
          <w:color w:val="auto"/>
        </w:rPr>
      </w:pPr>
      <w:r w:rsidRPr="00C801A6">
        <w:rPr>
          <w:rFonts w:eastAsia="Times New Roman" w:cs="Times New Roman"/>
          <w:color w:val="auto"/>
        </w:rPr>
        <w:t>Ainsi, dans le cadre de la stratégie pour réduction de l</w:t>
      </w:r>
      <w:r w:rsidRPr="00C801A6">
        <w:rPr>
          <w:rFonts w:cs="Times New Roman"/>
          <w:color w:val="auto"/>
        </w:rPr>
        <w:t>a pauvreté et dans la mise en œuvre de la Politique Générale de l’Etat, la réhabilitation et l’Entretien des infrastructures de transport constitue l’une des priorités du Gouvernement de Madagascar.</w:t>
      </w:r>
    </w:p>
    <w:p w14:paraId="69597517" w14:textId="7529FA9A" w:rsidR="00575CDF" w:rsidRPr="00C801A6" w:rsidRDefault="00575CDF" w:rsidP="00575CDF">
      <w:pPr>
        <w:autoSpaceDE w:val="0"/>
        <w:autoSpaceDN w:val="0"/>
        <w:adjustRightInd w:val="0"/>
        <w:rPr>
          <w:rFonts w:cs="Times New Roman"/>
          <w:bCs/>
          <w:color w:val="auto"/>
          <w:szCs w:val="24"/>
        </w:rPr>
      </w:pPr>
      <w:r w:rsidRPr="00C801A6">
        <w:rPr>
          <w:rFonts w:cs="Times New Roman"/>
          <w:color w:val="auto"/>
        </w:rPr>
        <w:t xml:space="preserve">Par ailleurs, conformément à sa vision d’améliorer la qualité du réseau routier existant, le Gouvernement a considérablement augmenté son allocation au secteur routier et prévoit de l’accroître davantage au cours des prochaines années. </w:t>
      </w:r>
    </w:p>
    <w:p w14:paraId="4FB13981" w14:textId="09BC67B6" w:rsidR="00575CDF" w:rsidRDefault="00575CDF" w:rsidP="00014BC0">
      <w:pPr>
        <w:pStyle w:val="Heading2"/>
      </w:pPr>
      <w:bookmarkStart w:id="20" w:name="_Toc106320258"/>
      <w:bookmarkStart w:id="21" w:name="_Toc230425970"/>
      <w:r w:rsidRPr="00C801A6">
        <w:t>CONTEXTE DU PROJET</w:t>
      </w:r>
      <w:bookmarkEnd w:id="20"/>
      <w:bookmarkEnd w:id="21"/>
    </w:p>
    <w:p w14:paraId="2B5146D6" w14:textId="2C311937" w:rsidR="00BA2862" w:rsidRPr="00C801A6" w:rsidRDefault="00BA2862" w:rsidP="00C65572">
      <w:pPr>
        <w:pStyle w:val="Heading3"/>
      </w:pPr>
      <w:bookmarkStart w:id="22" w:name="_Toc106320259"/>
      <w:bookmarkStart w:id="23" w:name="_Toc230425971"/>
      <w:r w:rsidRPr="00C801A6">
        <w:t>Contexte initial</w:t>
      </w:r>
      <w:bookmarkEnd w:id="22"/>
      <w:r w:rsidR="00BB7B59">
        <w:t xml:space="preserve"> du projet PCMCI</w:t>
      </w:r>
      <w:bookmarkEnd w:id="23"/>
    </w:p>
    <w:p w14:paraId="70E9EBFA" w14:textId="29184B1E" w:rsidR="00C576AA" w:rsidRPr="00C576AA" w:rsidRDefault="00C576AA" w:rsidP="00C576AA">
      <w:pPr>
        <w:autoSpaceDE w:val="0"/>
        <w:autoSpaceDN w:val="0"/>
        <w:adjustRightInd w:val="0"/>
        <w:rPr>
          <w:rFonts w:cs="Times New Roman"/>
          <w:color w:val="auto"/>
        </w:rPr>
      </w:pPr>
      <w:r w:rsidRPr="00C576AA">
        <w:rPr>
          <w:rFonts w:cs="Times New Roman"/>
          <w:color w:val="auto"/>
        </w:rPr>
        <w:t>Madagascar recèle d’importants potentiels de croissance, tels que l'agrobusiness, le tourisme, l'industrie légère et l'exploitation minière. Cependant, ils sont fragmentés dans l'espace et mal reliés aux systèmes de transport du pays. En zones rurales plus particulièrement, seuls 11,4 % de la population ont accès au réseau routier. Par ailleurs, de nombreux agriculteurs ruraux et entreprises locales ne sont pas connectés aux marchés nationaux, et encore moins au marché mondial. Fort de ce constat et dans un contexte de financement « Investment Project Financing (IPF) », sur le secteur des transports et des travaux publics, Madagascar veut lancer le Programme de Connectivité pour une Croissance Inclusive pour améliorer la connectivité des transports dans certaines zones prioritaires d’une part  et les réformes institutionnelles pour renforcer la  durabilité  du secteur  des routes  à Madagascar d’autre part .En rappel, l’objectif de développement du programme est de soutenir les efforts sur le long terme du gouvernement pour améliorer la connectivité des transports dans certaines zones prioritaires d’une part et les réformes institutionnelles dans le but de renforcer la durabilité du secteur des routes à Madagascar d’autre part.</w:t>
      </w:r>
    </w:p>
    <w:p w14:paraId="00C147A1" w14:textId="433B6F14" w:rsidR="00C576AA" w:rsidRPr="00C576AA" w:rsidRDefault="00C576AA" w:rsidP="00C576AA">
      <w:pPr>
        <w:autoSpaceDE w:val="0"/>
        <w:autoSpaceDN w:val="0"/>
        <w:adjustRightInd w:val="0"/>
        <w:rPr>
          <w:rFonts w:cs="Times New Roman"/>
          <w:color w:val="auto"/>
        </w:rPr>
      </w:pPr>
      <w:r w:rsidRPr="00C576AA">
        <w:rPr>
          <w:rFonts w:cs="Times New Roman"/>
          <w:color w:val="auto"/>
        </w:rPr>
        <w:t>Dans cet objectif, la première phase du programme « Connecter Madagascar pour une croissance inclusive », vise à améliorer la connectivité rurale le long des routes prioritaires, à renforcer la durabilité et l'efficacité de l'entretien</w:t>
      </w:r>
      <w:r>
        <w:rPr>
          <w:rFonts w:cs="Times New Roman"/>
          <w:color w:val="auto"/>
        </w:rPr>
        <w:t xml:space="preserve"> </w:t>
      </w:r>
      <w:r w:rsidRPr="00CE25E9">
        <w:t>des</w:t>
      </w:r>
      <w:r w:rsidRPr="00CE25E9">
        <w:rPr>
          <w:spacing w:val="14"/>
        </w:rPr>
        <w:t xml:space="preserve"> </w:t>
      </w:r>
      <w:r w:rsidRPr="00CE25E9">
        <w:rPr>
          <w:spacing w:val="-1"/>
        </w:rPr>
        <w:t>routes</w:t>
      </w:r>
      <w:r w:rsidRPr="00CE25E9">
        <w:rPr>
          <w:spacing w:val="14"/>
        </w:rPr>
        <w:t xml:space="preserve"> </w:t>
      </w:r>
      <w:r w:rsidRPr="00CE25E9">
        <w:rPr>
          <w:spacing w:val="-1"/>
        </w:rPr>
        <w:t>et</w:t>
      </w:r>
      <w:r w:rsidRPr="00CE25E9">
        <w:rPr>
          <w:spacing w:val="14"/>
        </w:rPr>
        <w:t xml:space="preserve"> </w:t>
      </w:r>
      <w:r w:rsidRPr="00CE25E9">
        <w:rPr>
          <w:spacing w:val="-1"/>
        </w:rPr>
        <w:t>la</w:t>
      </w:r>
      <w:r w:rsidRPr="00CE25E9">
        <w:rPr>
          <w:spacing w:val="14"/>
        </w:rPr>
        <w:t xml:space="preserve"> </w:t>
      </w:r>
      <w:r w:rsidRPr="00CE25E9">
        <w:rPr>
          <w:spacing w:val="-1"/>
        </w:rPr>
        <w:t>sécurité</w:t>
      </w:r>
      <w:r w:rsidRPr="00CE25E9">
        <w:rPr>
          <w:spacing w:val="15"/>
        </w:rPr>
        <w:t xml:space="preserve"> </w:t>
      </w:r>
      <w:r w:rsidRPr="00CE25E9">
        <w:rPr>
          <w:spacing w:val="-1"/>
        </w:rPr>
        <w:t>routière,</w:t>
      </w:r>
      <w:r w:rsidRPr="00CE25E9">
        <w:rPr>
          <w:spacing w:val="14"/>
        </w:rPr>
        <w:t xml:space="preserve"> </w:t>
      </w:r>
      <w:r w:rsidRPr="00CE25E9">
        <w:rPr>
          <w:spacing w:val="-1"/>
        </w:rPr>
        <w:t>en</w:t>
      </w:r>
      <w:r w:rsidRPr="00CE25E9">
        <w:rPr>
          <w:spacing w:val="14"/>
        </w:rPr>
        <w:t xml:space="preserve"> </w:t>
      </w:r>
      <w:r w:rsidRPr="00CE25E9">
        <w:rPr>
          <w:spacing w:val="-1"/>
        </w:rPr>
        <w:t>utilisant</w:t>
      </w:r>
      <w:r w:rsidRPr="00CE25E9">
        <w:rPr>
          <w:spacing w:val="14"/>
        </w:rPr>
        <w:t xml:space="preserve"> </w:t>
      </w:r>
      <w:r w:rsidRPr="00CE25E9">
        <w:rPr>
          <w:spacing w:val="-1"/>
        </w:rPr>
        <w:t>une</w:t>
      </w:r>
      <w:r w:rsidRPr="00CE25E9">
        <w:rPr>
          <w:spacing w:val="12"/>
        </w:rPr>
        <w:t xml:space="preserve"> </w:t>
      </w:r>
      <w:r w:rsidRPr="00CE25E9">
        <w:t>approche</w:t>
      </w:r>
      <w:r w:rsidRPr="00CE25E9">
        <w:rPr>
          <w:spacing w:val="12"/>
        </w:rPr>
        <w:t xml:space="preserve"> </w:t>
      </w:r>
      <w:r w:rsidRPr="00CE25E9">
        <w:rPr>
          <w:spacing w:val="-1"/>
        </w:rPr>
        <w:t>MFD</w:t>
      </w:r>
      <w:r w:rsidR="00D93B1D">
        <w:rPr>
          <w:spacing w:val="-1"/>
        </w:rPr>
        <w:t xml:space="preserve"> </w:t>
      </w:r>
      <w:r w:rsidR="00D93B1D" w:rsidRPr="00D93B1D">
        <w:rPr>
          <w:spacing w:val="-1"/>
        </w:rPr>
        <w:t>(Maximizing Finance for Development)</w:t>
      </w:r>
      <w:r w:rsidRPr="00CE25E9">
        <w:rPr>
          <w:spacing w:val="-1"/>
        </w:rPr>
        <w:t>.</w:t>
      </w:r>
      <w:r w:rsidRPr="00CE25E9">
        <w:rPr>
          <w:spacing w:val="14"/>
        </w:rPr>
        <w:t xml:space="preserve"> </w:t>
      </w:r>
      <w:r w:rsidRPr="00CE25E9">
        <w:t>A</w:t>
      </w:r>
      <w:r w:rsidRPr="00CE25E9">
        <w:rPr>
          <w:spacing w:val="13"/>
        </w:rPr>
        <w:t xml:space="preserve"> </w:t>
      </w:r>
      <w:r w:rsidRPr="00CE25E9">
        <w:t>ces</w:t>
      </w:r>
      <w:r w:rsidRPr="00CE25E9">
        <w:rPr>
          <w:spacing w:val="14"/>
        </w:rPr>
        <w:t xml:space="preserve"> </w:t>
      </w:r>
      <w:r w:rsidRPr="00CE25E9">
        <w:rPr>
          <w:spacing w:val="-1"/>
        </w:rPr>
        <w:t>égards,</w:t>
      </w:r>
      <w:r w:rsidRPr="00CE25E9">
        <w:rPr>
          <w:spacing w:val="12"/>
        </w:rPr>
        <w:t xml:space="preserve"> </w:t>
      </w:r>
      <w:r w:rsidRPr="00CE25E9">
        <w:rPr>
          <w:spacing w:val="-1"/>
        </w:rPr>
        <w:t>le</w:t>
      </w:r>
      <w:r w:rsidRPr="00CE25E9">
        <w:rPr>
          <w:spacing w:val="14"/>
        </w:rPr>
        <w:t xml:space="preserve"> </w:t>
      </w:r>
      <w:r w:rsidRPr="00CE25E9">
        <w:rPr>
          <w:spacing w:val="-1"/>
        </w:rPr>
        <w:t>projet</w:t>
      </w:r>
      <w:r w:rsidRPr="00CE25E9">
        <w:rPr>
          <w:spacing w:val="12"/>
        </w:rPr>
        <w:t xml:space="preserve"> </w:t>
      </w:r>
      <w:r w:rsidRPr="00CE25E9">
        <w:t>proposé</w:t>
      </w:r>
      <w:r w:rsidRPr="00CE25E9">
        <w:rPr>
          <w:spacing w:val="12"/>
        </w:rPr>
        <w:t xml:space="preserve"> </w:t>
      </w:r>
      <w:r w:rsidRPr="00CE25E9">
        <w:rPr>
          <w:spacing w:val="-1"/>
        </w:rPr>
        <w:t>concerne</w:t>
      </w:r>
      <w:r w:rsidRPr="00CE25E9">
        <w:rPr>
          <w:spacing w:val="14"/>
        </w:rPr>
        <w:t xml:space="preserve"> </w:t>
      </w:r>
      <w:r w:rsidRPr="00CE25E9">
        <w:rPr>
          <w:spacing w:val="-1"/>
        </w:rPr>
        <w:t>les</w:t>
      </w:r>
      <w:r w:rsidRPr="00CE25E9">
        <w:rPr>
          <w:spacing w:val="49"/>
        </w:rPr>
        <w:t xml:space="preserve"> </w:t>
      </w:r>
      <w:r>
        <w:rPr>
          <w:spacing w:val="49"/>
        </w:rPr>
        <w:t xml:space="preserve">3 </w:t>
      </w:r>
      <w:r w:rsidRPr="00CE25E9">
        <w:rPr>
          <w:spacing w:val="-1"/>
        </w:rPr>
        <w:t>composantes</w:t>
      </w:r>
      <w:r w:rsidRPr="00CE25E9">
        <w:t xml:space="preserve"> </w:t>
      </w:r>
      <w:r w:rsidRPr="00CE25E9">
        <w:rPr>
          <w:spacing w:val="-1"/>
        </w:rPr>
        <w:t>et</w:t>
      </w:r>
      <w:r w:rsidRPr="00CE25E9">
        <w:t xml:space="preserve"> </w:t>
      </w:r>
      <w:r w:rsidRPr="00CE25E9">
        <w:rPr>
          <w:spacing w:val="-1"/>
        </w:rPr>
        <w:t>ses</w:t>
      </w:r>
      <w:r w:rsidRPr="00CE25E9">
        <w:t xml:space="preserve"> </w:t>
      </w:r>
      <w:r w:rsidRPr="00CE25E9">
        <w:rPr>
          <w:spacing w:val="-1"/>
        </w:rPr>
        <w:t>sous-composantes</w:t>
      </w:r>
      <w:r w:rsidRPr="00CE25E9">
        <w:t xml:space="preserve"> </w:t>
      </w:r>
      <w:r w:rsidR="00BA2862">
        <w:t>et la quatrième composante qui concerne les int</w:t>
      </w:r>
      <w:r w:rsidR="00D8670E">
        <w:t>er</w:t>
      </w:r>
      <w:r w:rsidR="00BA2862">
        <w:t xml:space="preserve">ventions </w:t>
      </w:r>
      <w:r w:rsidR="00D8670E">
        <w:t>d’urgences</w:t>
      </w:r>
      <w:r w:rsidR="00D8670E" w:rsidRPr="00CE25E9">
        <w:t xml:space="preserve"> :</w:t>
      </w:r>
    </w:p>
    <w:p w14:paraId="03E46AC5" w14:textId="667FE818" w:rsidR="00BA2862" w:rsidRDefault="00C576AA" w:rsidP="00BA2862">
      <w:pPr>
        <w:autoSpaceDE w:val="0"/>
        <w:autoSpaceDN w:val="0"/>
        <w:adjustRightInd w:val="0"/>
        <w:rPr>
          <w:rFonts w:cs="Times New Roman"/>
          <w:color w:val="auto"/>
        </w:rPr>
      </w:pPr>
      <w:r w:rsidRPr="00BA2862">
        <w:rPr>
          <w:rFonts w:cs="Times New Roman"/>
          <w:b/>
          <w:color w:val="auto"/>
        </w:rPr>
        <w:t>Composante 1. Amélioration de l’état et de la résilience des routes principales</w:t>
      </w:r>
      <w:r w:rsidRPr="00BA2862">
        <w:rPr>
          <w:rFonts w:cs="Times New Roman"/>
          <w:color w:val="auto"/>
        </w:rPr>
        <w:t xml:space="preserve"> </w:t>
      </w:r>
    </w:p>
    <w:p w14:paraId="32D946D7" w14:textId="53F7CE30" w:rsidR="00C576AA" w:rsidRPr="00BA2862" w:rsidRDefault="00C576AA" w:rsidP="00BA2862">
      <w:pPr>
        <w:autoSpaceDE w:val="0"/>
        <w:autoSpaceDN w:val="0"/>
        <w:adjustRightInd w:val="0"/>
        <w:ind w:left="284"/>
        <w:rPr>
          <w:rFonts w:cs="Times New Roman"/>
          <w:color w:val="auto"/>
        </w:rPr>
      </w:pPr>
      <w:r w:rsidRPr="00BA2862">
        <w:rPr>
          <w:rFonts w:cs="Times New Roman"/>
          <w:color w:val="auto"/>
        </w:rPr>
        <w:t xml:space="preserve">Sous-composante 1.1. Réhabilitation des routes nationales prioritaires. </w:t>
      </w:r>
    </w:p>
    <w:p w14:paraId="547F87EC" w14:textId="64ADEFBC" w:rsidR="00C576AA" w:rsidRPr="00BA2862" w:rsidRDefault="00C576AA" w:rsidP="00BA2862">
      <w:pPr>
        <w:autoSpaceDE w:val="0"/>
        <w:autoSpaceDN w:val="0"/>
        <w:adjustRightInd w:val="0"/>
        <w:ind w:left="284"/>
        <w:rPr>
          <w:rFonts w:cs="Times New Roman"/>
          <w:color w:val="auto"/>
        </w:rPr>
      </w:pPr>
      <w:r w:rsidRPr="00BA2862">
        <w:rPr>
          <w:rFonts w:cs="Times New Roman"/>
          <w:color w:val="auto"/>
        </w:rPr>
        <w:t xml:space="preserve">Sous-composant 1.2. Acquisition de terrains nécessaires aux travaux de réhabilitation. </w:t>
      </w:r>
    </w:p>
    <w:p w14:paraId="5F3EB946" w14:textId="7FD2F980" w:rsidR="00C576AA" w:rsidRPr="00BA2862" w:rsidRDefault="00C576AA" w:rsidP="00BA2862">
      <w:pPr>
        <w:autoSpaceDE w:val="0"/>
        <w:autoSpaceDN w:val="0"/>
        <w:adjustRightInd w:val="0"/>
        <w:rPr>
          <w:rFonts w:cs="Times New Roman"/>
          <w:color w:val="auto"/>
        </w:rPr>
      </w:pPr>
      <w:r w:rsidRPr="00BA2862">
        <w:rPr>
          <w:rFonts w:cs="Times New Roman"/>
          <w:b/>
          <w:color w:val="auto"/>
        </w:rPr>
        <w:lastRenderedPageBreak/>
        <w:t>Composante 2. Améliorer l’accessibilité et les avantages socio-économiques des routes de desserte</w:t>
      </w:r>
      <w:r w:rsidRPr="00BA2862">
        <w:rPr>
          <w:rFonts w:cs="Times New Roman"/>
          <w:color w:val="auto"/>
        </w:rPr>
        <w:t xml:space="preserve"> </w:t>
      </w:r>
    </w:p>
    <w:p w14:paraId="6E212372" w14:textId="5BBAAD84" w:rsidR="00BA2862" w:rsidRPr="00BA2862" w:rsidRDefault="00C576AA" w:rsidP="00BA2862">
      <w:pPr>
        <w:autoSpaceDE w:val="0"/>
        <w:autoSpaceDN w:val="0"/>
        <w:adjustRightInd w:val="0"/>
        <w:ind w:left="284"/>
        <w:rPr>
          <w:rFonts w:cs="Times New Roman"/>
          <w:color w:val="auto"/>
        </w:rPr>
      </w:pPr>
      <w:r w:rsidRPr="00BA2862">
        <w:rPr>
          <w:rFonts w:cs="Times New Roman"/>
          <w:color w:val="auto"/>
        </w:rPr>
        <w:t xml:space="preserve">Sous-composante 2.1. Réhabilitation des routes régionales et communales de desserte dans les zones prioritaires, et pilotage de l’entretien communautaire des routes de. </w:t>
      </w:r>
    </w:p>
    <w:p w14:paraId="0C678304" w14:textId="239F9146" w:rsidR="00C576AA" w:rsidRPr="00BA2862" w:rsidRDefault="00C576AA" w:rsidP="00BA2862">
      <w:pPr>
        <w:autoSpaceDE w:val="0"/>
        <w:autoSpaceDN w:val="0"/>
        <w:adjustRightInd w:val="0"/>
        <w:ind w:left="284"/>
        <w:rPr>
          <w:rFonts w:cs="Times New Roman"/>
          <w:color w:val="auto"/>
        </w:rPr>
      </w:pPr>
      <w:r w:rsidRPr="00BA2862">
        <w:rPr>
          <w:rFonts w:cs="Times New Roman"/>
          <w:color w:val="auto"/>
        </w:rPr>
        <w:t xml:space="preserve">Sous-composante 2.2. Pilotage de contrats basés sur la performance sur certaines routes non revêtues. </w:t>
      </w:r>
    </w:p>
    <w:p w14:paraId="7A19EC05" w14:textId="3B94E89F" w:rsidR="00C576AA" w:rsidRPr="00BA2862" w:rsidRDefault="00C576AA" w:rsidP="00BA2862">
      <w:pPr>
        <w:autoSpaceDE w:val="0"/>
        <w:autoSpaceDN w:val="0"/>
        <w:adjustRightInd w:val="0"/>
        <w:ind w:left="284"/>
        <w:rPr>
          <w:rFonts w:cs="Times New Roman"/>
          <w:color w:val="auto"/>
        </w:rPr>
      </w:pPr>
      <w:r w:rsidRPr="00BA2862">
        <w:rPr>
          <w:rFonts w:cs="Times New Roman"/>
          <w:color w:val="auto"/>
        </w:rPr>
        <w:t xml:space="preserve">Sous-composante 2.3. Projet pilote d’interventions sociales complémentaires le long des routes primaires et des routes de desserte. </w:t>
      </w:r>
    </w:p>
    <w:p w14:paraId="33CDA843" w14:textId="36F83665" w:rsidR="00BA2862" w:rsidRPr="00BA2862" w:rsidRDefault="00C576AA" w:rsidP="00BA2862">
      <w:pPr>
        <w:autoSpaceDE w:val="0"/>
        <w:autoSpaceDN w:val="0"/>
        <w:adjustRightInd w:val="0"/>
        <w:rPr>
          <w:rFonts w:cs="Times New Roman"/>
          <w:color w:val="auto"/>
        </w:rPr>
      </w:pPr>
      <w:r w:rsidRPr="00BA2862">
        <w:rPr>
          <w:rFonts w:cs="Times New Roman"/>
          <w:b/>
          <w:color w:val="auto"/>
        </w:rPr>
        <w:t>Composante 3. Assistance technique et soutien aux réformes du secteur des transports</w:t>
      </w:r>
      <w:r w:rsidRPr="00BA2862">
        <w:rPr>
          <w:rFonts w:cs="Times New Roman"/>
          <w:color w:val="auto"/>
        </w:rPr>
        <w:t xml:space="preserve">. </w:t>
      </w:r>
    </w:p>
    <w:p w14:paraId="6A186068" w14:textId="6B4B9E20" w:rsidR="00C576AA" w:rsidRPr="00BA2862" w:rsidRDefault="00C576AA" w:rsidP="00BA2862">
      <w:pPr>
        <w:autoSpaceDE w:val="0"/>
        <w:autoSpaceDN w:val="0"/>
        <w:adjustRightInd w:val="0"/>
        <w:rPr>
          <w:rFonts w:cs="Times New Roman"/>
          <w:b/>
          <w:color w:val="auto"/>
        </w:rPr>
      </w:pPr>
      <w:r w:rsidRPr="00BA2862">
        <w:rPr>
          <w:rFonts w:cs="Times New Roman"/>
          <w:b/>
          <w:color w:val="auto"/>
        </w:rPr>
        <w:t>Composante 4. Composante d’inte</w:t>
      </w:r>
      <w:r w:rsidR="00B744BF">
        <w:rPr>
          <w:rFonts w:cs="Times New Roman"/>
          <w:b/>
          <w:color w:val="auto"/>
        </w:rPr>
        <w:t>r</w:t>
      </w:r>
      <w:r w:rsidRPr="00BA2862">
        <w:rPr>
          <w:rFonts w:cs="Times New Roman"/>
          <w:b/>
          <w:color w:val="auto"/>
        </w:rPr>
        <w:t>vention d’Urgence</w:t>
      </w:r>
    </w:p>
    <w:p w14:paraId="4BD8D174" w14:textId="64C23BFA" w:rsidR="009F5DA3" w:rsidRDefault="009F5DA3" w:rsidP="00BA2862">
      <w:pPr>
        <w:autoSpaceDE w:val="0"/>
        <w:autoSpaceDN w:val="0"/>
        <w:adjustRightInd w:val="0"/>
        <w:rPr>
          <w:rFonts w:cs="Times New Roman"/>
          <w:color w:val="auto"/>
        </w:rPr>
      </w:pPr>
      <w:r>
        <w:rPr>
          <w:rFonts w:cs="Times New Roman"/>
          <w:color w:val="auto"/>
        </w:rPr>
        <w:t>La composante CERC 1 a été activée le 24 Avril 2024, à la suite des cyclones tropicaux Alvaro et Gamane, qui ont frappé le nord de Madagascar en janvier et mars 2024. 60millions de dollars ont été réaffectés à la réparation des routes nationales RN4</w:t>
      </w:r>
      <w:r w:rsidR="00F10D72">
        <w:rPr>
          <w:rStyle w:val="FootnoteReference"/>
          <w:rFonts w:cs="Times New Roman"/>
          <w:color w:val="auto"/>
        </w:rPr>
        <w:footnoteReference w:id="3"/>
      </w:r>
      <w:r>
        <w:rPr>
          <w:rFonts w:cs="Times New Roman"/>
          <w:color w:val="auto"/>
        </w:rPr>
        <w:t xml:space="preserve"> et RN6</w:t>
      </w:r>
      <w:r w:rsidR="00F10D72">
        <w:rPr>
          <w:rStyle w:val="FootnoteReference"/>
          <w:rFonts w:cs="Times New Roman"/>
          <w:color w:val="auto"/>
        </w:rPr>
        <w:footnoteReference w:id="4"/>
      </w:r>
      <w:r>
        <w:rPr>
          <w:rFonts w:cs="Times New Roman"/>
          <w:color w:val="auto"/>
        </w:rPr>
        <w:t xml:space="preserve"> et au port de Mahajanga.</w:t>
      </w:r>
    </w:p>
    <w:p w14:paraId="56444088" w14:textId="05F32490" w:rsidR="00D36171" w:rsidRPr="00C13D5B" w:rsidRDefault="00D36171" w:rsidP="00D36171">
      <w:pPr>
        <w:rPr>
          <w:rFonts w:eastAsiaTheme="majorEastAsia"/>
          <w:color w:val="auto"/>
        </w:rPr>
      </w:pPr>
      <w:r w:rsidRPr="00934B06">
        <w:rPr>
          <w:rFonts w:eastAsiaTheme="majorEastAsia"/>
          <w:color w:val="auto"/>
        </w:rPr>
        <w:t>Au début de l’année 2026, Madagascar a été frappé par deux cyclones tropicaux</w:t>
      </w:r>
      <w:r>
        <w:rPr>
          <w:rFonts w:eastAsiaTheme="majorEastAsia"/>
          <w:color w:val="auto"/>
        </w:rPr>
        <w:t xml:space="preserve"> FYTIA et GEZANI.</w:t>
      </w:r>
      <w:r w:rsidR="008255B3">
        <w:rPr>
          <w:rFonts w:eastAsiaTheme="majorEastAsia"/>
          <w:color w:val="auto"/>
        </w:rPr>
        <w:t xml:space="preserve"> </w:t>
      </w:r>
      <w:r w:rsidR="008255B3" w:rsidRPr="00934B06">
        <w:rPr>
          <w:rFonts w:eastAsiaTheme="majorEastAsia"/>
          <w:color w:val="auto"/>
        </w:rPr>
        <w:t xml:space="preserve">Le réseau routier national </w:t>
      </w:r>
      <w:r w:rsidR="008255B3">
        <w:rPr>
          <w:rFonts w:eastAsiaTheme="majorEastAsia"/>
          <w:color w:val="auto"/>
        </w:rPr>
        <w:t>fait partie des infrastructures qui ont</w:t>
      </w:r>
      <w:r w:rsidR="008255B3" w:rsidRPr="00934B06">
        <w:rPr>
          <w:rFonts w:eastAsiaTheme="majorEastAsia"/>
          <w:color w:val="auto"/>
        </w:rPr>
        <w:t xml:space="preserve"> subi des dommages majeurs, en particulier sur les axes stratégiques RNP6, RNP7, RNS30, RNS44, RNT3A ainsi que sur certaines infrastructures routières urbaines à Toamasina. </w:t>
      </w:r>
      <w:r w:rsidRPr="00934B06">
        <w:rPr>
          <w:rFonts w:eastAsiaTheme="majorEastAsia"/>
          <w:color w:val="auto"/>
        </w:rPr>
        <w:t xml:space="preserve"> Face à l’ampleur de la crise, le Gouvernement de Madagascar a déclaré l’état de sinistre national lors du Conseil des ministres du 11 février 2026. Dans ce contexte, et afin de soutenir les efforts de relèvement rapide, une requête a été adressée à la Banque mondiale le 12 mars 2026 afin d’activer la Composante de Contingence et de Réponse d’Urgence (CERC</w:t>
      </w:r>
      <w:r w:rsidR="008255B3">
        <w:rPr>
          <w:rFonts w:eastAsiaTheme="majorEastAsia"/>
          <w:color w:val="auto"/>
        </w:rPr>
        <w:t>2</w:t>
      </w:r>
      <w:r w:rsidRPr="00934B06">
        <w:rPr>
          <w:rFonts w:eastAsiaTheme="majorEastAsia"/>
          <w:color w:val="auto"/>
        </w:rPr>
        <w:t>) du Projet PCMCI, pour un montant total de</w:t>
      </w:r>
      <w:r>
        <w:rPr>
          <w:rFonts w:eastAsiaTheme="majorEastAsia"/>
          <w:color w:val="auto"/>
        </w:rPr>
        <w:t xml:space="preserve"> </w:t>
      </w:r>
      <w:r w:rsidRPr="00934B06">
        <w:rPr>
          <w:rFonts w:eastAsiaTheme="majorEastAsia"/>
          <w:color w:val="auto"/>
        </w:rPr>
        <w:t xml:space="preserve">100 millions de dollars US. </w:t>
      </w:r>
    </w:p>
    <w:p w14:paraId="758EFE21" w14:textId="5BCE49BB" w:rsidR="009F5DA3" w:rsidRDefault="009F5DA3" w:rsidP="00BA2862">
      <w:pPr>
        <w:autoSpaceDE w:val="0"/>
        <w:autoSpaceDN w:val="0"/>
        <w:adjustRightInd w:val="0"/>
        <w:rPr>
          <w:rFonts w:cs="Times New Roman"/>
          <w:color w:val="auto"/>
        </w:rPr>
      </w:pPr>
      <w:r w:rsidRPr="003617DE">
        <w:rPr>
          <w:rFonts w:cs="Times New Roman"/>
          <w:b/>
          <w:bCs/>
          <w:color w:val="auto"/>
        </w:rPr>
        <w:t>Composante 5. Amélioration de la résilience de l’infrastructure des ponts</w:t>
      </w:r>
      <w:r>
        <w:rPr>
          <w:rFonts w:cs="Times New Roman"/>
          <w:color w:val="auto"/>
        </w:rPr>
        <w:t xml:space="preserve"> (</w:t>
      </w:r>
    </w:p>
    <w:p w14:paraId="4E2DB825" w14:textId="68C91574" w:rsidR="009F5DA3" w:rsidRDefault="009F5DA3" w:rsidP="00BA2862">
      <w:pPr>
        <w:autoSpaceDE w:val="0"/>
        <w:autoSpaceDN w:val="0"/>
        <w:adjustRightInd w:val="0"/>
        <w:rPr>
          <w:rFonts w:cs="Times New Roman"/>
          <w:color w:val="auto"/>
        </w:rPr>
      </w:pPr>
      <w:r>
        <w:rPr>
          <w:rFonts w:cs="Times New Roman"/>
          <w:color w:val="auto"/>
        </w:rPr>
        <w:t xml:space="preserve">Cette composante financera des travaux, des biens et des services de conseil liés aux deux activités suivantes : (i) </w:t>
      </w:r>
      <w:r>
        <w:rPr>
          <w:rFonts w:cs="Times New Roman"/>
          <w:b/>
          <w:bCs/>
          <w:color w:val="auto"/>
        </w:rPr>
        <w:t>Acquisition de ponts modulaires :</w:t>
      </w:r>
      <w:r>
        <w:rPr>
          <w:rFonts w:cs="Times New Roman"/>
          <w:color w:val="auto"/>
        </w:rPr>
        <w:t xml:space="preserve"> cette activité porte sur les dommages causés par les récents cyclones tropicaux et anticipe les besoins supplémentaires en matière de résilience en raison de la saison des pluies et (ii) </w:t>
      </w:r>
      <w:r>
        <w:rPr>
          <w:rFonts w:cs="Times New Roman"/>
          <w:b/>
          <w:bCs/>
          <w:color w:val="auto"/>
        </w:rPr>
        <w:t xml:space="preserve">Réhabilitation des ponts/routes endommagés par les cyclones : </w:t>
      </w:r>
      <w:r>
        <w:rPr>
          <w:rFonts w:cs="Times New Roman"/>
          <w:color w:val="auto"/>
        </w:rPr>
        <w:t>Cette activité comprend la réhabilitation du pont de Manambery sur la RN5a, et potentiellement d’autres ponts critiques qui ont été endommagés par les cyclones.</w:t>
      </w:r>
    </w:p>
    <w:p w14:paraId="21FF5394" w14:textId="77777777" w:rsidR="00D36171" w:rsidRDefault="00D36171" w:rsidP="00D36171">
      <w:pPr>
        <w:autoSpaceDE w:val="0"/>
        <w:autoSpaceDN w:val="0"/>
        <w:adjustRightInd w:val="0"/>
        <w:rPr>
          <w:rFonts w:cs="Times New Roman"/>
          <w:color w:val="auto"/>
        </w:rPr>
      </w:pPr>
      <w:r w:rsidRPr="00BA2862">
        <w:rPr>
          <w:rFonts w:cs="Times New Roman"/>
          <w:color w:val="auto"/>
        </w:rPr>
        <w:t>A travers la mise en œuvre des composantes du projet, l’accroissement de l’accès des communautés aux opportunités sociales et économiques est fortement attendu.</w:t>
      </w:r>
    </w:p>
    <w:p w14:paraId="4AFCCD5A" w14:textId="77777777" w:rsidR="00D36171" w:rsidRPr="009F5DA3" w:rsidRDefault="00D36171" w:rsidP="00BA2862">
      <w:pPr>
        <w:autoSpaceDE w:val="0"/>
        <w:autoSpaceDN w:val="0"/>
        <w:adjustRightInd w:val="0"/>
        <w:rPr>
          <w:rFonts w:cs="Times New Roman"/>
          <w:color w:val="auto"/>
        </w:rPr>
      </w:pPr>
    </w:p>
    <w:p w14:paraId="2A40781A" w14:textId="52DCE5FF" w:rsidR="00785C94" w:rsidRPr="00C801A6" w:rsidRDefault="00785C94" w:rsidP="00C65572">
      <w:pPr>
        <w:pStyle w:val="Heading3"/>
        <w:rPr>
          <w:rFonts w:eastAsia="Times New Roman"/>
        </w:rPr>
      </w:pPr>
      <w:bookmarkStart w:id="24" w:name="_Toc106320260"/>
      <w:bookmarkStart w:id="25" w:name="_Toc230425972"/>
      <w:r w:rsidRPr="00C801A6">
        <w:rPr>
          <w:rFonts w:eastAsia="Times New Roman"/>
        </w:rPr>
        <w:lastRenderedPageBreak/>
        <w:t>Contexte après les récentes intempéries</w:t>
      </w:r>
      <w:bookmarkEnd w:id="24"/>
      <w:r w:rsidR="00BB7B59">
        <w:rPr>
          <w:rFonts w:eastAsia="Times New Roman"/>
        </w:rPr>
        <w:t xml:space="preserve"> et déclenchement de la Composante 4</w:t>
      </w:r>
      <w:bookmarkEnd w:id="25"/>
    </w:p>
    <w:p w14:paraId="1280799F" w14:textId="77777777" w:rsidR="007B7494" w:rsidRDefault="007B7494" w:rsidP="007B7494">
      <w:pPr>
        <w:rPr>
          <w:szCs w:val="24"/>
        </w:rPr>
      </w:pPr>
      <w:r>
        <w:t>Au cours de la saison cyclonique 2023/2024, Madagascar a été fortement affecté par une succession d’intempéries, dont quatre cyclones majeurs en 2024 : Alvaro, Belal, Eleanor et Gamane. Ces phénomènes ont provoqué d’importantes précipitations et des vents violents, entraînant de graves dégradations des infrastructures dans plusieurs régions du pays. Face à l’urgence, le Gouvernement de Madagascar a sollicité l’activation de la Composante d’intervention d’urgence et de contingence (CERC1) du Projet Connecter Madagascar pour une Croissance Inclusive (PCMCI). Cette activation a permis la mobilisation rapide de 60 millions de dollars US, destinés à restaurer les infrastructures critiques, notamment sur les axes routiers RNP4, RNP6 et le port de Mahajanga. Le dispositif CERC1 repose sur le Mécanisme de Riposte Immédiate (MRI) de l’IDA, offrant ainsi un financement immédiat en cas de catastrophe. La période de mise en œuvre de cette composante s’étend jusqu’en mai 2026, afin d’assurer une réponse efficace aux besoins urgents du pays.</w:t>
      </w:r>
    </w:p>
    <w:p w14:paraId="65C68993" w14:textId="77777777" w:rsidR="007B7494" w:rsidRDefault="007B7494" w:rsidP="007B7494">
      <w:r>
        <w:t>En début d’année 2026, Madagascar a subi deux cyclones tropicaux dévastateurs, FYTIA et GEZANI, survenus à deux semaines d’intervalle, accentuant la crise humanitaire et infrastructurelle. Le cyclone FYTIA a frappé le nord-ouest le 31 janvier, causant des dégâts considérables aux infrastructures publiques et privées, tandis que GEZANI a touché la côte est le 10 février, générant des rafales dépassant 250 km/h et d’importantes inondations. Ces événements ont aggravé les vulnérabilités existantes et fortement endommagé le réseau routier national, notamment sur les axes stratégiques RNP6, RNP7, RNS30, RNS44, RNT3A et dans la ville de Toamasina. En réaction, le Gouvernement a déclaré l’état de sinistre national et a demandé l’activation de la Composante CERC2 du PCMCI auprès de la Banque mondiale, pour un montant total de 100 millions de dollars US. L’objectif de CERC2 est de garantir un financement rapide pour la réparation des infrastructures endommagées et soutenir le relèvement rapide des populations. Ce mécanisme permet ainsi d’améliorer la résilience du pays face aux catastrophes naturelles et de restaurer la mobilité et l’accès aux services essentiels.</w:t>
      </w:r>
    </w:p>
    <w:p w14:paraId="35EA6ECE" w14:textId="4A112DF0" w:rsidR="00680FB9" w:rsidRDefault="00D93B1D" w:rsidP="00680FB9">
      <w:pPr>
        <w:rPr>
          <w:rFonts w:eastAsia="Times New Roman" w:cs="Times New Roman"/>
          <w:color w:val="auto"/>
        </w:rPr>
      </w:pPr>
      <w:r>
        <w:rPr>
          <w:rFonts w:eastAsia="Times New Roman" w:cs="Times New Roman"/>
          <w:color w:val="auto"/>
        </w:rPr>
        <w:t>Le présent CGES est mis à jour</w:t>
      </w:r>
      <w:r w:rsidR="00680FB9" w:rsidRPr="00C801A6">
        <w:rPr>
          <w:rFonts w:eastAsia="Times New Roman" w:cs="Times New Roman"/>
          <w:color w:val="auto"/>
        </w:rPr>
        <w:t xml:space="preserve"> afin de permettre d’examiner les impacts et risques associés aux différentes interventions pendant la mise en œuvre du </w:t>
      </w:r>
      <w:r w:rsidR="00267DF7" w:rsidRPr="00C801A6">
        <w:rPr>
          <w:rFonts w:eastAsia="Times New Roman" w:cs="Times New Roman"/>
          <w:color w:val="auto"/>
        </w:rPr>
        <w:t>P</w:t>
      </w:r>
      <w:r w:rsidR="00071C48">
        <w:rPr>
          <w:rFonts w:eastAsia="Times New Roman" w:cs="Times New Roman"/>
          <w:color w:val="auto"/>
        </w:rPr>
        <w:t>CMCI</w:t>
      </w:r>
      <w:r w:rsidR="00267DF7" w:rsidRPr="00C801A6">
        <w:rPr>
          <w:rFonts w:eastAsia="Times New Roman" w:cs="Times New Roman"/>
          <w:color w:val="auto"/>
        </w:rPr>
        <w:t xml:space="preserve"> et de sa Composante </w:t>
      </w:r>
      <w:r w:rsidR="00680FB9" w:rsidRPr="00C801A6">
        <w:rPr>
          <w:rFonts w:eastAsia="Times New Roman" w:cs="Times New Roman"/>
          <w:color w:val="auto"/>
        </w:rPr>
        <w:t xml:space="preserve">CERC et de fournir les informations pertinentes sur les effets qui pourraient se produire et les mesures d’atténuation que l’on pourrait s’attendre à voir appliquer, </w:t>
      </w:r>
      <w:r w:rsidR="00267DF7" w:rsidRPr="00C801A6">
        <w:rPr>
          <w:rFonts w:eastAsia="Times New Roman" w:cs="Times New Roman"/>
          <w:color w:val="auto"/>
        </w:rPr>
        <w:t>les</w:t>
      </w:r>
      <w:r w:rsidR="00680FB9" w:rsidRPr="00C801A6">
        <w:rPr>
          <w:rFonts w:eastAsia="Times New Roman" w:cs="Times New Roman"/>
          <w:color w:val="auto"/>
        </w:rPr>
        <w:t xml:space="preserve"> documents cadres du </w:t>
      </w:r>
      <w:r w:rsidR="00267DF7" w:rsidRPr="00C801A6">
        <w:rPr>
          <w:rFonts w:eastAsia="Times New Roman" w:cs="Times New Roman"/>
          <w:color w:val="auto"/>
        </w:rPr>
        <w:t xml:space="preserve">Projet (dont le CGES) </w:t>
      </w:r>
      <w:r w:rsidR="00680FB9" w:rsidRPr="00C801A6">
        <w:rPr>
          <w:rFonts w:eastAsia="Times New Roman" w:cs="Times New Roman"/>
          <w:color w:val="auto"/>
        </w:rPr>
        <w:t xml:space="preserve">seront </w:t>
      </w:r>
      <w:r w:rsidR="00267DF7" w:rsidRPr="00C801A6">
        <w:rPr>
          <w:rFonts w:eastAsia="Times New Roman" w:cs="Times New Roman"/>
          <w:color w:val="auto"/>
        </w:rPr>
        <w:t>mis à jour,</w:t>
      </w:r>
      <w:r w:rsidR="00680FB9" w:rsidRPr="00C801A6">
        <w:rPr>
          <w:rFonts w:eastAsia="Times New Roman" w:cs="Times New Roman"/>
          <w:color w:val="auto"/>
        </w:rPr>
        <w:t xml:space="preserve"> conformément aux dispositions du Cadre environnemental et Social (CES) de la </w:t>
      </w:r>
      <w:r w:rsidR="00B910A0" w:rsidRPr="00C801A6">
        <w:rPr>
          <w:rFonts w:eastAsia="Times New Roman" w:cs="Times New Roman"/>
          <w:color w:val="auto"/>
        </w:rPr>
        <w:t>Banque mondiale</w:t>
      </w:r>
      <w:r w:rsidR="00680FB9" w:rsidRPr="00C801A6">
        <w:rPr>
          <w:rFonts w:eastAsia="Times New Roman" w:cs="Times New Roman"/>
          <w:color w:val="auto"/>
        </w:rPr>
        <w:t>.</w:t>
      </w:r>
    </w:p>
    <w:p w14:paraId="661E2428" w14:textId="5A3E66C0" w:rsidR="00071C48" w:rsidRDefault="00071C48" w:rsidP="00071C48">
      <w:pPr>
        <w:rPr>
          <w:rFonts w:eastAsia="Times New Roman" w:cs="Times New Roman"/>
          <w:color w:val="auto"/>
        </w:rPr>
      </w:pPr>
      <w:r w:rsidRPr="00071C48">
        <w:rPr>
          <w:rFonts w:eastAsia="Times New Roman" w:cs="Times New Roman"/>
          <w:color w:val="auto"/>
        </w:rPr>
        <w:t>Cette composante permet d’accéder rapidement à un financement en réaffectant les fonds non engagés du Projet en cas de catastrophes, soit par une déclaration formelle d’urgence nationale ou suite à une demande formelle du Gouvernement malagasy. La Composante CIUC s’inscrit dans le cadre du Mécanisme de réponse immédiate (MRI), en tant qu’un instrument d’intervention d’urgence de l’IDA, mis à disposition des pays emprunteurs. Le MRI est justement une aide financière au Gouvernement pour appuyer les opérations de redressement, tels que le renforcement des mécanismes de la protection sociale, la remise en état des infrastructures de base, la relance des activités économiques, le maintien des services essentiels de base.</w:t>
      </w:r>
    </w:p>
    <w:p w14:paraId="21B6A5A9" w14:textId="245F95B5" w:rsidR="00D8670E" w:rsidRPr="00D8670E" w:rsidRDefault="00D8670E" w:rsidP="00D8670E">
      <w:pPr>
        <w:rPr>
          <w:rFonts w:eastAsia="Times New Roman" w:cs="Times New Roman"/>
          <w:color w:val="auto"/>
        </w:rPr>
      </w:pPr>
      <w:r w:rsidRPr="00D8670E">
        <w:rPr>
          <w:rFonts w:eastAsia="Times New Roman" w:cs="Times New Roman"/>
          <w:color w:val="auto"/>
        </w:rPr>
        <w:lastRenderedPageBreak/>
        <w:t>Le présent CGES concerne l</w:t>
      </w:r>
      <w:r>
        <w:rPr>
          <w:rFonts w:eastAsia="Times New Roman" w:cs="Times New Roman"/>
          <w:color w:val="auto"/>
        </w:rPr>
        <w:t xml:space="preserve">e déclenchement de la mise en œuvre de la </w:t>
      </w:r>
      <w:r w:rsidRPr="00D8670E">
        <w:rPr>
          <w:rFonts w:eastAsia="Times New Roman" w:cs="Times New Roman"/>
          <w:color w:val="auto"/>
        </w:rPr>
        <w:t>composante</w:t>
      </w:r>
      <w:r>
        <w:rPr>
          <w:rFonts w:eastAsia="Times New Roman" w:cs="Times New Roman"/>
          <w:color w:val="auto"/>
        </w:rPr>
        <w:t xml:space="preserve"> 4</w:t>
      </w:r>
      <w:r w:rsidRPr="00D8670E">
        <w:rPr>
          <w:rFonts w:eastAsia="Times New Roman" w:cs="Times New Roman"/>
          <w:color w:val="auto"/>
        </w:rPr>
        <w:t xml:space="preserve"> du Programme de connectivité pour une croissance inclusive de Madagascar (ou le projet). En effet, à ce stade de préparation, les études techniques et le design des routes </w:t>
      </w:r>
      <w:r>
        <w:rPr>
          <w:rFonts w:eastAsia="Times New Roman" w:cs="Times New Roman"/>
          <w:color w:val="auto"/>
        </w:rPr>
        <w:t>et du Port à réhabiliter sont au stade préliminaire</w:t>
      </w:r>
      <w:r w:rsidRPr="00D8670E">
        <w:rPr>
          <w:rFonts w:eastAsia="Times New Roman" w:cs="Times New Roman"/>
          <w:color w:val="auto"/>
        </w:rPr>
        <w:t>. Dès lors</w:t>
      </w:r>
      <w:r>
        <w:rPr>
          <w:rFonts w:eastAsia="Times New Roman" w:cs="Times New Roman"/>
          <w:color w:val="auto"/>
        </w:rPr>
        <w:t>,</w:t>
      </w:r>
      <w:r w:rsidRPr="00D8670E">
        <w:rPr>
          <w:rFonts w:eastAsia="Times New Roman" w:cs="Times New Roman"/>
          <w:color w:val="auto"/>
        </w:rPr>
        <w:t xml:space="preserve"> la préparation d’un Cadre de gestion environnementale et sociale (CGES) est nécessaire. Il s’agit d’un instrument qui permet d’aborder les risques et les impacts environnementaux et sociaux des travaux routiers lorsque ces risques et impacts ne peuvent être déterminés tant que les détails des sous-projets ne sont pas identifiés.</w:t>
      </w:r>
    </w:p>
    <w:p w14:paraId="76FE0D26" w14:textId="27599856" w:rsidR="00D8670E" w:rsidRPr="00D8670E" w:rsidRDefault="00D8670E" w:rsidP="00D8670E">
      <w:pPr>
        <w:rPr>
          <w:rFonts w:eastAsia="Times New Roman" w:cs="Times New Roman"/>
          <w:color w:val="auto"/>
        </w:rPr>
      </w:pPr>
      <w:bookmarkStart w:id="26" w:name="_Hlk160099502"/>
      <w:r w:rsidRPr="00D8670E">
        <w:rPr>
          <w:rFonts w:eastAsia="Times New Roman" w:cs="Times New Roman"/>
          <w:color w:val="auto"/>
        </w:rPr>
        <w:t>Ce CGES définit ainsi les principes, les règles, les directives et les procédures permettant d’évaluer les risques et les impacts environnementaux et sociaux. Il présente les mesures et les plans visant à réduire, atténuer et / ou compenser les risques et les impacts négatifs, les dispositions permettant d’estimer et de budgétiser le coût de ces mesures, et des informations sur le ou les organismes chargés de traiter des risques et des impacts du projet, y compris leurs capacités à gérer les risques et les impacts environnementaux et sociaux.</w:t>
      </w:r>
    </w:p>
    <w:p w14:paraId="56D746A3" w14:textId="33B829F7" w:rsidR="00D8670E" w:rsidRDefault="00D8670E" w:rsidP="00071C48">
      <w:pPr>
        <w:rPr>
          <w:rFonts w:eastAsia="Times New Roman" w:cs="Times New Roman"/>
          <w:color w:val="auto"/>
        </w:rPr>
      </w:pPr>
      <w:r w:rsidRPr="00D8670E">
        <w:rPr>
          <w:rFonts w:eastAsia="Times New Roman" w:cs="Times New Roman"/>
          <w:color w:val="auto"/>
        </w:rPr>
        <w:t>Ce CGES comprend aussi des informations appropriées sur la zone dans laquelle les sous-projets de la composante route devraient être situés, y compris les éventuelles vulnérabilités environnementales et sociales de la zone ; et sur les impacts potentiels qui pourraient survenir et les mesures d’atténuation qui pourraient être appliquées.</w:t>
      </w:r>
      <w:bookmarkEnd w:id="26"/>
    </w:p>
    <w:p w14:paraId="29079D0C" w14:textId="294D5CCC" w:rsidR="003A79E2" w:rsidRPr="00770E72" w:rsidRDefault="003A79E2" w:rsidP="00770E72">
      <w:pPr>
        <w:rPr>
          <w:rFonts w:eastAsia="Times New Roman" w:cs="Times New Roman"/>
          <w:color w:val="auto"/>
        </w:rPr>
      </w:pPr>
      <w:r>
        <w:rPr>
          <w:rFonts w:eastAsia="Times New Roman" w:cs="Times New Roman"/>
          <w:color w:val="auto"/>
        </w:rPr>
        <w:t xml:space="preserve">Afin de répondre à l’urgence causée par le cyclone GEZANI et ses intempéries, le 12 Mars 2026, le Gouvernement de Madagascar (GoM) a demandé à la Banque mondiale d’activer la Composante d’intervention d’urgence et de contingence (CERC) </w:t>
      </w:r>
      <w:r w:rsidR="007313D3">
        <w:rPr>
          <w:rFonts w:eastAsia="Times New Roman" w:cs="Times New Roman"/>
          <w:color w:val="auto"/>
        </w:rPr>
        <w:t xml:space="preserve">phase 2 </w:t>
      </w:r>
      <w:r>
        <w:rPr>
          <w:rFonts w:eastAsia="Times New Roman" w:cs="Times New Roman"/>
          <w:color w:val="auto"/>
        </w:rPr>
        <w:t xml:space="preserve">du Projet Connecter Madagascar pour une Croissance Inclusive (PCMCI), pour un montant total de 100 millions de dollars US. L’objectif principal est de rétablir la connectivité, de limiter les impacts socio-économiques et de renforcer la résilience des infrastructures face aux aléas climatiques. La mise en œuvre de cette composante est prévue sur une durée de 18 mois à compter de son activation. </w:t>
      </w:r>
    </w:p>
    <w:p w14:paraId="7A92FF77" w14:textId="71FC7A0B" w:rsidR="00770E72" w:rsidRPr="00770E72" w:rsidRDefault="00770E72" w:rsidP="00770E72">
      <w:pPr>
        <w:rPr>
          <w:rFonts w:eastAsia="Times New Roman" w:cs="Times New Roman"/>
          <w:color w:val="auto"/>
        </w:rPr>
      </w:pPr>
      <w:r w:rsidRPr="00770E72">
        <w:rPr>
          <w:rFonts w:eastAsia="Times New Roman" w:cs="Times New Roman"/>
          <w:color w:val="auto"/>
        </w:rPr>
        <w:t xml:space="preserve">La composante CERC facilitera l'accès à un financement rapide en permettant la réaffectation des fonds non engagés d’un projet en cas de catastrophe naturelle, soit par une déclaration officielle d'urgence nationale, soit sur demande officielle du Gouvernement. À la suite d'une crise ou d'une urgence admissible, le Gouvernement peut demander à la Banque mondiale de réaffecter les fonds d’un projet pour soutenir la réponse d'urgence et la reconstruction. Cette composante puisera dans les ressources non engagées des autres composantes du projet pour couvrir les interventions d'urgence. Un Manuel CERC et un Plan d'action d'urgence, acceptables pour la Banque mondiale, seront préparés et constitueront une condition de décaissement pour cette composante. </w:t>
      </w:r>
    </w:p>
    <w:p w14:paraId="419D78D2" w14:textId="3CE10EDB" w:rsidR="006354BC" w:rsidRPr="006354BC" w:rsidRDefault="00770E72" w:rsidP="006354BC">
      <w:r w:rsidRPr="00770E72">
        <w:rPr>
          <w:rFonts w:eastAsia="Times New Roman" w:cs="Times New Roman"/>
          <w:color w:val="auto"/>
        </w:rPr>
        <w:t xml:space="preserve">Cette sous-composante financera des services de consultance, des équipements et des travaux pour répondre aux besoins de reconstruction d'urgence des routes, des ouvrages et des infrastructures associées. Il s'agira principalement de remettre en état les sections du réseau routier qui ont été coupées ou fortement endommagées par le cyclone et les intempéries, ou qui risquent de se détériorer rapidement. Les travaux comprendront la remise en état des structures de drainage et de retenue, la réparation et/ou la remise en état des ouvrages, et l'amélioration des revêtements routiers effondrés ou fortement détériorés. La remise en état de ces </w:t>
      </w:r>
      <w:r w:rsidRPr="00770E72">
        <w:rPr>
          <w:rFonts w:eastAsia="Times New Roman" w:cs="Times New Roman"/>
          <w:color w:val="auto"/>
        </w:rPr>
        <w:lastRenderedPageBreak/>
        <w:t>infrastructures tiendra compte de normes plus élevées de résilience climatique, telles que des murs et des structures de soutènement renforcés et un drainage amélioré, afin de réduire la vulnérabilité aux futurs phénomènes climatiques extrêmes.</w:t>
      </w:r>
      <w:r w:rsidR="006354BC">
        <w:rPr>
          <w:rFonts w:eastAsia="Times New Roman" w:cs="Times New Roman"/>
          <w:color w:val="auto"/>
        </w:rPr>
        <w:t xml:space="preserve"> </w:t>
      </w:r>
    </w:p>
    <w:p w14:paraId="42E5771D" w14:textId="6BE6691C" w:rsidR="00F658C0" w:rsidRPr="00F658C0" w:rsidRDefault="00F658C0" w:rsidP="003617DE">
      <w:pPr>
        <w:spacing w:before="240"/>
        <w:rPr>
          <w:bCs/>
          <w:iCs/>
        </w:rPr>
      </w:pPr>
      <w:r w:rsidRPr="00F658C0">
        <w:rPr>
          <w:bCs/>
          <w:iCs/>
        </w:rPr>
        <w:t>À la suite du passage du cyclone GEZANI, un financement additionnel de 100 millions de dollars US est prévu dans le cadre de CERC 2 afin de poursuivre les efforts de réhabilitation du réseau routier. Ces interventions concerneront notamment les axes RNP6, RNP7, RNS30, RNS44 et RNT3A, ainsi que des infrastructures urbaines et structurantes, incluant l’accès en pavés vers Ambila et le Boulevard Ratsimilaho à Toamasina.</w:t>
      </w:r>
      <w:r w:rsidR="00516326">
        <w:rPr>
          <w:bCs/>
          <w:iCs/>
        </w:rPr>
        <w:t xml:space="preserve"> Une attention particulière est accordée à l’intégration de mesures de résilience climatique, notamment à travers le renforcement des ouvrages, l’amélioration des systèmes de drainage et la reconstruction d’infrastructures adaptées aux conditions climatiques extrêmes.</w:t>
      </w:r>
    </w:p>
    <w:p w14:paraId="0D348FC3" w14:textId="0FA8A2B9" w:rsidR="00575CDF" w:rsidRPr="00C801A6" w:rsidRDefault="00575CDF" w:rsidP="00014BC0">
      <w:pPr>
        <w:pStyle w:val="Heading2"/>
      </w:pPr>
      <w:bookmarkStart w:id="27" w:name="_Toc106320262"/>
      <w:bookmarkStart w:id="28" w:name="_Toc230425973"/>
      <w:r w:rsidRPr="00C801A6">
        <w:t xml:space="preserve">BREVE INTRODUCTION SUR LE NOUVEAU CES DE LA </w:t>
      </w:r>
      <w:r w:rsidR="00B910A0" w:rsidRPr="00C801A6">
        <w:t>BANQUE MONDIALE</w:t>
      </w:r>
      <w:bookmarkEnd w:id="27"/>
      <w:bookmarkEnd w:id="28"/>
    </w:p>
    <w:p w14:paraId="347BD1C1" w14:textId="420B4FA4" w:rsidR="00575CDF" w:rsidRPr="00C801A6" w:rsidRDefault="00575CDF" w:rsidP="00575CDF">
      <w:pPr>
        <w:rPr>
          <w:rFonts w:cs="Times New Roman"/>
          <w:color w:val="auto"/>
        </w:rPr>
      </w:pPr>
      <w:r w:rsidRPr="00C801A6">
        <w:rPr>
          <w:rFonts w:cs="Times New Roman"/>
          <w:color w:val="auto"/>
        </w:rPr>
        <w:t xml:space="preserve">En tant que projet appuyé par la </w:t>
      </w:r>
      <w:r w:rsidR="00B910A0" w:rsidRPr="00C801A6">
        <w:rPr>
          <w:rFonts w:cs="Times New Roman"/>
          <w:color w:val="auto"/>
        </w:rPr>
        <w:t>Banque mondiale</w:t>
      </w:r>
      <w:r w:rsidRPr="00C801A6">
        <w:rPr>
          <w:rFonts w:cs="Times New Roman"/>
          <w:color w:val="auto"/>
        </w:rPr>
        <w:t xml:space="preserve">, la mise en œuvre du </w:t>
      </w:r>
      <w:r w:rsidR="00320974">
        <w:rPr>
          <w:rFonts w:eastAsia="Times New Roman" w:cs="Times New Roman"/>
          <w:color w:val="auto"/>
        </w:rPr>
        <w:t>Projet Connecter Madagascar pour une Croissance Inclusive</w:t>
      </w:r>
      <w:r w:rsidR="00320974" w:rsidRPr="00C801A6" w:rsidDel="00320974">
        <w:rPr>
          <w:rFonts w:cs="Times New Roman"/>
          <w:color w:val="auto"/>
        </w:rPr>
        <w:t xml:space="preserve"> </w:t>
      </w:r>
      <w:r w:rsidRPr="00C801A6">
        <w:rPr>
          <w:rFonts w:cs="Times New Roman"/>
          <w:color w:val="auto"/>
        </w:rPr>
        <w:t xml:space="preserve">doit se conformer à des procédures et des règles spécifiques. Parmi ces premières, on cite le Cadre Environnemental et Social (CES) qui décrit l’engagement de la </w:t>
      </w:r>
      <w:r w:rsidR="00B910A0" w:rsidRPr="00C801A6">
        <w:rPr>
          <w:rFonts w:cs="Times New Roman"/>
          <w:color w:val="auto"/>
        </w:rPr>
        <w:t>Banque mondiale</w:t>
      </w:r>
      <w:r w:rsidRPr="00C801A6">
        <w:rPr>
          <w:rFonts w:cs="Times New Roman"/>
          <w:color w:val="auto"/>
        </w:rPr>
        <w:t xml:space="preserve"> en faveur du développement durabl</w:t>
      </w:r>
      <w:r w:rsidRPr="00C801A6">
        <w:rPr>
          <w:rFonts w:eastAsia="Times New Roman" w:cs="Times New Roman"/>
          <w:color w:val="auto"/>
        </w:rPr>
        <w:t>e, à travers la Politique de la Banque et un ensemble de Normes environnementales et sociales con</w:t>
      </w:r>
      <w:r w:rsidRPr="00C801A6">
        <w:rPr>
          <w:rFonts w:cs="Times New Roman"/>
          <w:color w:val="auto"/>
        </w:rPr>
        <w:t>çues pour appuyer les projets des Emprunteurs, dans le but de mettre fin à l’extrême pauvreté et de promouvoir la prospérité partagée. Le CES comprend :</w:t>
      </w:r>
    </w:p>
    <w:p w14:paraId="0D2AAF82" w14:textId="77777777" w:rsidR="00575CDF" w:rsidRPr="00C801A6" w:rsidRDefault="00575CDF" w:rsidP="00844538">
      <w:pPr>
        <w:pStyle w:val="ListParagraph"/>
        <w:numPr>
          <w:ilvl w:val="0"/>
          <w:numId w:val="1"/>
        </w:numPr>
        <w:spacing w:line="276" w:lineRule="auto"/>
        <w:ind w:left="426" w:hanging="426"/>
        <w:contextualSpacing w:val="0"/>
        <w:rPr>
          <w:rFonts w:cs="Times New Roman"/>
          <w:color w:val="auto"/>
          <w:szCs w:val="24"/>
        </w:rPr>
      </w:pPr>
      <w:r w:rsidRPr="00C801A6">
        <w:rPr>
          <w:rFonts w:cs="Times New Roman"/>
          <w:color w:val="auto"/>
          <w:szCs w:val="24"/>
        </w:rPr>
        <w:t>Une vision pour le développement durable qui décrit les aspirations de la Banque de s’engager en faveur de la durabilité environnementale et sociale, y compris une action collective plus forte pour soutenir l’atténuation et l’adaptation au changement climatique.</w:t>
      </w:r>
    </w:p>
    <w:p w14:paraId="399BD243" w14:textId="60FBEBB0" w:rsidR="00575CDF" w:rsidRPr="00C801A6" w:rsidRDefault="00575CDF" w:rsidP="00844538">
      <w:pPr>
        <w:pStyle w:val="ListParagraph"/>
        <w:numPr>
          <w:ilvl w:val="0"/>
          <w:numId w:val="1"/>
        </w:numPr>
        <w:spacing w:line="276" w:lineRule="auto"/>
        <w:ind w:left="426" w:hanging="426"/>
        <w:contextualSpacing w:val="0"/>
        <w:rPr>
          <w:rFonts w:cs="Times New Roman"/>
          <w:color w:val="auto"/>
          <w:szCs w:val="24"/>
        </w:rPr>
      </w:pPr>
      <w:r w:rsidRPr="00C801A6">
        <w:rPr>
          <w:rFonts w:cs="Times New Roman"/>
          <w:color w:val="auto"/>
          <w:szCs w:val="24"/>
        </w:rPr>
        <w:t xml:space="preserve">La Politique environnementale et sociale de la </w:t>
      </w:r>
      <w:r w:rsidR="00B910A0" w:rsidRPr="00C801A6">
        <w:rPr>
          <w:rFonts w:cs="Times New Roman"/>
          <w:color w:val="auto"/>
          <w:szCs w:val="24"/>
        </w:rPr>
        <w:t>Banque mondiale</w:t>
      </w:r>
      <w:r w:rsidRPr="00C801A6">
        <w:rPr>
          <w:rFonts w:cs="Times New Roman"/>
          <w:color w:val="auto"/>
          <w:szCs w:val="24"/>
        </w:rPr>
        <w:t xml:space="preserve"> pour le financement des projets d’investissement, qui énonce les exigences de la Banque (BIRD et / ou AID) concernant les projets </w:t>
      </w:r>
      <w:r w:rsidR="00D02DFB">
        <w:rPr>
          <w:rFonts w:cs="Times New Roman"/>
          <w:color w:val="auto"/>
          <w:szCs w:val="24"/>
        </w:rPr>
        <w:t>dont elle finance les investissements.</w:t>
      </w:r>
    </w:p>
    <w:p w14:paraId="29DE2B7C" w14:textId="77777777" w:rsidR="00575CDF" w:rsidRPr="00C801A6" w:rsidRDefault="00575CDF" w:rsidP="00844538">
      <w:pPr>
        <w:pStyle w:val="ListParagraph"/>
        <w:numPr>
          <w:ilvl w:val="0"/>
          <w:numId w:val="1"/>
        </w:numPr>
        <w:spacing w:line="276" w:lineRule="auto"/>
        <w:ind w:left="426" w:hanging="426"/>
        <w:contextualSpacing w:val="0"/>
        <w:rPr>
          <w:rFonts w:cs="Times New Roman"/>
          <w:color w:val="auto"/>
        </w:rPr>
      </w:pPr>
      <w:r w:rsidRPr="00C801A6">
        <w:rPr>
          <w:rFonts w:cs="Times New Roman"/>
          <w:color w:val="auto"/>
        </w:rPr>
        <w:t>Les Normes environnementales et sociales et leurs Annexes, qui énoncent les dispositions qui s’appliquent à l’Emprunteur dans le but d’atteindre des résultats environnementaux et sociaux compatibles avec les Normes environnementales et sociales (NES).</w:t>
      </w:r>
    </w:p>
    <w:p w14:paraId="4B36F10A" w14:textId="77777777" w:rsidR="00575CDF" w:rsidRPr="00C801A6" w:rsidRDefault="00575CDF" w:rsidP="00575CDF">
      <w:pPr>
        <w:rPr>
          <w:rFonts w:cs="Times New Roman"/>
          <w:color w:val="auto"/>
          <w:szCs w:val="24"/>
        </w:rPr>
      </w:pPr>
      <w:r w:rsidRPr="00C801A6">
        <w:rPr>
          <w:rFonts w:cs="Times New Roman"/>
          <w:color w:val="auto"/>
          <w:szCs w:val="24"/>
        </w:rPr>
        <w:t>En ce sens, les Normes environnementales et sociales ou NES permettront de (1) aider les Emprunteurs dans l’application des bonnes pratiques internationales en matière de durabilité environnementale et sociale ; (2) aider les Emprunteurs à s’acquitter de leurs obligations environnementales et sociales au niveau national et international ; (3) favoriser la non-discrimination, la transparence, la participation, la responsabilisation et la gouvernance ; et (4) améliorer les résultats des projets en matière de développement durable grâce à l’adhésion permanente des parties prenantes.</w:t>
      </w:r>
    </w:p>
    <w:p w14:paraId="15C9E0EE" w14:textId="58E2B750" w:rsidR="00575CDF" w:rsidRPr="00C801A6" w:rsidRDefault="00575CDF" w:rsidP="00575CDF">
      <w:pPr>
        <w:rPr>
          <w:rFonts w:cs="Times New Roman"/>
          <w:color w:val="auto"/>
          <w:szCs w:val="24"/>
        </w:rPr>
      </w:pPr>
      <w:r w:rsidRPr="00C801A6">
        <w:rPr>
          <w:rFonts w:cs="Times New Roman"/>
          <w:color w:val="auto"/>
          <w:szCs w:val="24"/>
        </w:rPr>
        <w:t xml:space="preserve">La </w:t>
      </w:r>
      <w:r w:rsidR="00B910A0" w:rsidRPr="00C801A6">
        <w:rPr>
          <w:rFonts w:cs="Times New Roman"/>
          <w:color w:val="auto"/>
          <w:szCs w:val="24"/>
        </w:rPr>
        <w:t>Banque mondiale</w:t>
      </w:r>
      <w:r w:rsidRPr="00C801A6">
        <w:rPr>
          <w:rFonts w:cs="Times New Roman"/>
          <w:color w:val="auto"/>
          <w:szCs w:val="24"/>
        </w:rPr>
        <w:t xml:space="preserve"> a établi 10 NES dont </w:t>
      </w:r>
      <w:r w:rsidR="004B0D7A">
        <w:rPr>
          <w:rFonts w:cs="Times New Roman"/>
          <w:color w:val="auto"/>
          <w:szCs w:val="24"/>
        </w:rPr>
        <w:t>7</w:t>
      </w:r>
      <w:r w:rsidRPr="00C801A6">
        <w:rPr>
          <w:rFonts w:cs="Times New Roman"/>
          <w:color w:val="auto"/>
          <w:szCs w:val="24"/>
        </w:rPr>
        <w:t xml:space="preserve"> sont pertinentes pour l</w:t>
      </w:r>
      <w:r w:rsidR="004B0D7A">
        <w:rPr>
          <w:rFonts w:cs="Times New Roman"/>
          <w:color w:val="auto"/>
          <w:szCs w:val="24"/>
        </w:rPr>
        <w:t>a composante CERC</w:t>
      </w:r>
      <w:r w:rsidRPr="00C801A6">
        <w:rPr>
          <w:rFonts w:cs="Times New Roman"/>
          <w:color w:val="auto"/>
          <w:szCs w:val="24"/>
        </w:rPr>
        <w:t> :</w:t>
      </w:r>
    </w:p>
    <w:p w14:paraId="7CC6CB32" w14:textId="53125418" w:rsidR="00575CDF" w:rsidRPr="00C801A6" w:rsidRDefault="004B0D7A" w:rsidP="004B0D7A">
      <w:pPr>
        <w:pStyle w:val="Caption"/>
        <w:rPr>
          <w:rFonts w:cs="Times New Roman"/>
          <w:color w:val="auto"/>
          <w:szCs w:val="24"/>
        </w:rPr>
      </w:pPr>
      <w:bookmarkStart w:id="29" w:name="_Toc230427722"/>
      <w:r>
        <w:t xml:space="preserve">Tableau </w:t>
      </w:r>
      <w:r w:rsidR="00E44887">
        <w:fldChar w:fldCharType="begin"/>
      </w:r>
      <w:r w:rsidR="00E44887">
        <w:instrText xml:space="preserve"> SEQ Tableau \* ARABIC </w:instrText>
      </w:r>
      <w:r w:rsidR="00E44887">
        <w:fldChar w:fldCharType="separate"/>
      </w:r>
      <w:r w:rsidR="007E133A">
        <w:rPr>
          <w:noProof/>
        </w:rPr>
        <w:t>2</w:t>
      </w:r>
      <w:r w:rsidR="00E44887">
        <w:rPr>
          <w:noProof/>
        </w:rPr>
        <w:fldChar w:fldCharType="end"/>
      </w:r>
      <w:r w:rsidRPr="00C801A6">
        <w:rPr>
          <w:color w:val="auto"/>
        </w:rPr>
        <w:t> : Normes Environnementales et Sociales de la Banque mondiale</w:t>
      </w:r>
      <w:bookmarkEnd w:id="29"/>
    </w:p>
    <w:tbl>
      <w:tblPr>
        <w:tblStyle w:val="Trameclaire-Accent51"/>
        <w:tblW w:w="9072" w:type="dxa"/>
        <w:tblInd w:w="108" w:type="dxa"/>
        <w:tblLayout w:type="fixed"/>
        <w:tblLook w:val="04A0" w:firstRow="1" w:lastRow="0" w:firstColumn="1" w:lastColumn="0" w:noHBand="0" w:noVBand="1"/>
      </w:tblPr>
      <w:tblGrid>
        <w:gridCol w:w="1018"/>
        <w:gridCol w:w="6070"/>
        <w:gridCol w:w="1984"/>
      </w:tblGrid>
      <w:tr w:rsidR="00C801A6" w:rsidRPr="00C801A6" w14:paraId="1F08C520" w14:textId="77777777" w:rsidTr="00347FD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088" w:type="dxa"/>
            <w:gridSpan w:val="2"/>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E2EFD9" w:themeFill="accent6" w:themeFillTint="33"/>
          </w:tcPr>
          <w:p w14:paraId="716E3AF7" w14:textId="77777777" w:rsidR="00575CDF" w:rsidRPr="00C801A6" w:rsidRDefault="00575CDF" w:rsidP="00347FDB">
            <w:pPr>
              <w:spacing w:before="40" w:after="40"/>
              <w:ind w:left="88" w:hanging="140"/>
              <w:jc w:val="left"/>
              <w:rPr>
                <w:bCs w:val="0"/>
                <w:color w:val="auto"/>
                <w:szCs w:val="24"/>
              </w:rPr>
            </w:pPr>
            <w:r w:rsidRPr="00C801A6">
              <w:rPr>
                <w:bCs w:val="0"/>
                <w:color w:val="auto"/>
                <w:szCs w:val="24"/>
              </w:rPr>
              <w:lastRenderedPageBreak/>
              <w:t>Normes environnementales et sociales</w:t>
            </w:r>
          </w:p>
        </w:tc>
        <w:tc>
          <w:tcPr>
            <w:tcW w:w="198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E2EFD9" w:themeFill="accent6" w:themeFillTint="33"/>
          </w:tcPr>
          <w:p w14:paraId="2CD91509" w14:textId="20DA70E3" w:rsidR="00575CDF" w:rsidRPr="00C801A6" w:rsidRDefault="00D6045D" w:rsidP="00347FDB">
            <w:pPr>
              <w:spacing w:before="40" w:after="40"/>
              <w:jc w:val="left"/>
              <w:cnfStyle w:val="100000000000" w:firstRow="1" w:lastRow="0" w:firstColumn="0" w:lastColumn="0" w:oddVBand="0" w:evenVBand="0" w:oddHBand="0" w:evenHBand="0" w:firstRowFirstColumn="0" w:firstRowLastColumn="0" w:lastRowFirstColumn="0" w:lastRowLastColumn="0"/>
              <w:rPr>
                <w:bCs w:val="0"/>
                <w:color w:val="auto"/>
                <w:szCs w:val="24"/>
              </w:rPr>
            </w:pPr>
            <w:r w:rsidRPr="00C801A6">
              <w:rPr>
                <w:bCs w:val="0"/>
                <w:color w:val="auto"/>
                <w:szCs w:val="24"/>
              </w:rPr>
              <w:t>Pertinence</w:t>
            </w:r>
          </w:p>
        </w:tc>
      </w:tr>
      <w:tr w:rsidR="00C801A6" w:rsidRPr="00C801A6" w14:paraId="07B87BC3" w14:textId="77777777" w:rsidTr="00D6045D">
        <w:trPr>
          <w:cnfStyle w:val="000000100000" w:firstRow="0" w:lastRow="0" w:firstColumn="0" w:lastColumn="0" w:oddVBand="0" w:evenVBand="0" w:oddHBand="1" w:evenHBand="0" w:firstRowFirstColumn="0" w:firstRowLastColumn="0" w:lastRowFirstColumn="0" w:lastRowLastColumn="0"/>
          <w:trHeight w:val="635"/>
        </w:trPr>
        <w:tc>
          <w:tcPr>
            <w:cnfStyle w:val="001000000000" w:firstRow="0" w:lastRow="0" w:firstColumn="1" w:lastColumn="0" w:oddVBand="0" w:evenVBand="0" w:oddHBand="0" w:evenHBand="0" w:firstRowFirstColumn="0" w:firstRowLastColumn="0" w:lastRowFirstColumn="0" w:lastRowLastColumn="0"/>
            <w:tcW w:w="1018"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2E7F21B6" w14:textId="77777777" w:rsidR="00575CDF" w:rsidRPr="00C801A6" w:rsidRDefault="00575CDF" w:rsidP="00347FDB">
            <w:pPr>
              <w:spacing w:before="40" w:after="40"/>
              <w:jc w:val="left"/>
              <w:rPr>
                <w:color w:val="auto"/>
                <w:szCs w:val="24"/>
              </w:rPr>
            </w:pPr>
            <w:r w:rsidRPr="00C801A6">
              <w:rPr>
                <w:color w:val="auto"/>
                <w:szCs w:val="24"/>
              </w:rPr>
              <w:t>NES 1</w:t>
            </w:r>
          </w:p>
        </w:tc>
        <w:tc>
          <w:tcPr>
            <w:tcW w:w="6070"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5E3D08B9" w14:textId="77777777" w:rsidR="00575CDF" w:rsidRPr="00C801A6" w:rsidRDefault="00575CDF" w:rsidP="00347FDB">
            <w:pPr>
              <w:spacing w:before="40" w:after="40"/>
              <w:ind w:left="88" w:hanging="140"/>
              <w:jc w:val="left"/>
              <w:cnfStyle w:val="000000100000" w:firstRow="0" w:lastRow="0" w:firstColumn="0" w:lastColumn="0" w:oddVBand="0" w:evenVBand="0" w:oddHBand="1" w:evenHBand="0" w:firstRowFirstColumn="0" w:firstRowLastColumn="0" w:lastRowFirstColumn="0" w:lastRowLastColumn="0"/>
              <w:rPr>
                <w:bCs/>
                <w:color w:val="auto"/>
                <w:szCs w:val="24"/>
              </w:rPr>
            </w:pPr>
            <w:r w:rsidRPr="00C801A6">
              <w:rPr>
                <w:bCs/>
                <w:color w:val="auto"/>
                <w:szCs w:val="24"/>
              </w:rPr>
              <w:t>: Evaluation et gestion des risques et des impacts environnementaux et sociaux</w:t>
            </w:r>
          </w:p>
        </w:tc>
        <w:tc>
          <w:tcPr>
            <w:tcW w:w="198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B6F660"/>
          </w:tcPr>
          <w:p w14:paraId="66849797" w14:textId="62549147" w:rsidR="00575CDF" w:rsidRPr="00C801A6" w:rsidRDefault="00D6045D" w:rsidP="00347FDB">
            <w:pPr>
              <w:spacing w:before="40" w:after="40"/>
              <w:jc w:val="left"/>
              <w:cnfStyle w:val="000000100000" w:firstRow="0" w:lastRow="0" w:firstColumn="0" w:lastColumn="0" w:oddVBand="0" w:evenVBand="0" w:oddHBand="1" w:evenHBand="0" w:firstRowFirstColumn="0" w:firstRowLastColumn="0" w:lastRowFirstColumn="0" w:lastRowLastColumn="0"/>
              <w:rPr>
                <w:bCs/>
                <w:color w:val="auto"/>
                <w:szCs w:val="24"/>
              </w:rPr>
            </w:pPr>
            <w:r w:rsidRPr="00C801A6">
              <w:rPr>
                <w:bCs/>
                <w:color w:val="auto"/>
                <w:szCs w:val="24"/>
              </w:rPr>
              <w:t>Oui</w:t>
            </w:r>
          </w:p>
        </w:tc>
      </w:tr>
      <w:tr w:rsidR="00C801A6" w:rsidRPr="00C801A6" w14:paraId="7EB84277" w14:textId="77777777" w:rsidTr="00D6045D">
        <w:trPr>
          <w:trHeight w:val="363"/>
        </w:trPr>
        <w:tc>
          <w:tcPr>
            <w:cnfStyle w:val="001000000000" w:firstRow="0" w:lastRow="0" w:firstColumn="1" w:lastColumn="0" w:oddVBand="0" w:evenVBand="0" w:oddHBand="0" w:evenHBand="0" w:firstRowFirstColumn="0" w:firstRowLastColumn="0" w:lastRowFirstColumn="0" w:lastRowLastColumn="0"/>
            <w:tcW w:w="1018"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4B709DA3" w14:textId="77777777" w:rsidR="00D6045D" w:rsidRPr="00C801A6" w:rsidRDefault="00D6045D" w:rsidP="00D6045D">
            <w:pPr>
              <w:spacing w:before="40" w:after="40"/>
              <w:jc w:val="left"/>
              <w:rPr>
                <w:color w:val="auto"/>
                <w:szCs w:val="24"/>
              </w:rPr>
            </w:pPr>
            <w:r w:rsidRPr="00C801A6">
              <w:rPr>
                <w:color w:val="auto"/>
                <w:szCs w:val="24"/>
              </w:rPr>
              <w:t>NES 2</w:t>
            </w:r>
          </w:p>
        </w:tc>
        <w:tc>
          <w:tcPr>
            <w:tcW w:w="6070"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3A5C6017" w14:textId="77777777" w:rsidR="00D6045D" w:rsidRPr="00C801A6" w:rsidRDefault="00D6045D" w:rsidP="00D6045D">
            <w:pPr>
              <w:spacing w:before="40" w:after="40"/>
              <w:ind w:hanging="54"/>
              <w:jc w:val="left"/>
              <w:cnfStyle w:val="000000000000" w:firstRow="0" w:lastRow="0" w:firstColumn="0" w:lastColumn="0" w:oddVBand="0" w:evenVBand="0" w:oddHBand="0" w:evenHBand="0" w:firstRowFirstColumn="0" w:firstRowLastColumn="0" w:lastRowFirstColumn="0" w:lastRowLastColumn="0"/>
              <w:rPr>
                <w:bCs/>
                <w:color w:val="auto"/>
                <w:szCs w:val="24"/>
              </w:rPr>
            </w:pPr>
            <w:r w:rsidRPr="00C801A6">
              <w:rPr>
                <w:bCs/>
                <w:color w:val="auto"/>
                <w:szCs w:val="24"/>
              </w:rPr>
              <w:t>: Emploi et conditions de travail</w:t>
            </w:r>
          </w:p>
        </w:tc>
        <w:tc>
          <w:tcPr>
            <w:tcW w:w="198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B6F660"/>
          </w:tcPr>
          <w:p w14:paraId="04DF1F16" w14:textId="18BEF275" w:rsidR="00D6045D" w:rsidRPr="00C801A6" w:rsidRDefault="00D6045D" w:rsidP="00D6045D">
            <w:pPr>
              <w:spacing w:before="40" w:after="40"/>
              <w:jc w:val="left"/>
              <w:cnfStyle w:val="000000000000" w:firstRow="0" w:lastRow="0" w:firstColumn="0" w:lastColumn="0" w:oddVBand="0" w:evenVBand="0" w:oddHBand="0" w:evenHBand="0" w:firstRowFirstColumn="0" w:firstRowLastColumn="0" w:lastRowFirstColumn="0" w:lastRowLastColumn="0"/>
              <w:rPr>
                <w:color w:val="auto"/>
                <w:szCs w:val="24"/>
              </w:rPr>
            </w:pPr>
            <w:r w:rsidRPr="00C801A6">
              <w:rPr>
                <w:bCs/>
                <w:color w:val="auto"/>
                <w:szCs w:val="24"/>
              </w:rPr>
              <w:t>Oui</w:t>
            </w:r>
          </w:p>
        </w:tc>
      </w:tr>
      <w:tr w:rsidR="00C801A6" w:rsidRPr="00C801A6" w14:paraId="5F108E51" w14:textId="77777777" w:rsidTr="00D6045D">
        <w:trPr>
          <w:cnfStyle w:val="000000100000" w:firstRow="0" w:lastRow="0" w:firstColumn="0" w:lastColumn="0" w:oddVBand="0" w:evenVBand="0" w:oddHBand="1" w:evenHBand="0" w:firstRowFirstColumn="0" w:firstRowLastColumn="0" w:lastRowFirstColumn="0" w:lastRowLastColumn="0"/>
          <w:trHeight w:val="635"/>
        </w:trPr>
        <w:tc>
          <w:tcPr>
            <w:cnfStyle w:val="001000000000" w:firstRow="0" w:lastRow="0" w:firstColumn="1" w:lastColumn="0" w:oddVBand="0" w:evenVBand="0" w:oddHBand="0" w:evenHBand="0" w:firstRowFirstColumn="0" w:firstRowLastColumn="0" w:lastRowFirstColumn="0" w:lastRowLastColumn="0"/>
            <w:tcW w:w="1018"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7DDAC743" w14:textId="77777777" w:rsidR="00D6045D" w:rsidRPr="00C801A6" w:rsidRDefault="00D6045D" w:rsidP="00D6045D">
            <w:pPr>
              <w:spacing w:before="40" w:after="40"/>
              <w:jc w:val="left"/>
              <w:rPr>
                <w:color w:val="auto"/>
                <w:szCs w:val="24"/>
              </w:rPr>
            </w:pPr>
            <w:r w:rsidRPr="00C801A6">
              <w:rPr>
                <w:color w:val="auto"/>
                <w:szCs w:val="24"/>
              </w:rPr>
              <w:t>NES 3</w:t>
            </w:r>
          </w:p>
        </w:tc>
        <w:tc>
          <w:tcPr>
            <w:tcW w:w="6070"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4D1B553E" w14:textId="77777777" w:rsidR="00D6045D" w:rsidRPr="00C801A6" w:rsidRDefault="00D6045D" w:rsidP="00D6045D">
            <w:pPr>
              <w:spacing w:before="40" w:after="40"/>
              <w:ind w:left="86" w:hanging="140"/>
              <w:jc w:val="left"/>
              <w:cnfStyle w:val="000000100000" w:firstRow="0" w:lastRow="0" w:firstColumn="0" w:lastColumn="0" w:oddVBand="0" w:evenVBand="0" w:oddHBand="1" w:evenHBand="0" w:firstRowFirstColumn="0" w:firstRowLastColumn="0" w:lastRowFirstColumn="0" w:lastRowLastColumn="0"/>
              <w:rPr>
                <w:bCs/>
                <w:color w:val="auto"/>
                <w:szCs w:val="24"/>
              </w:rPr>
            </w:pPr>
            <w:r w:rsidRPr="00C801A6">
              <w:rPr>
                <w:bCs/>
                <w:color w:val="auto"/>
                <w:szCs w:val="24"/>
              </w:rPr>
              <w:t>: Utilisation rationnelle des ressources et prévention et gestion de la pollution</w:t>
            </w:r>
          </w:p>
        </w:tc>
        <w:tc>
          <w:tcPr>
            <w:tcW w:w="198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B6F660"/>
          </w:tcPr>
          <w:p w14:paraId="2CA207C3" w14:textId="6937C0D1" w:rsidR="00D6045D" w:rsidRPr="00C801A6" w:rsidRDefault="00D6045D" w:rsidP="00D6045D">
            <w:pPr>
              <w:spacing w:before="40" w:after="40"/>
              <w:jc w:val="left"/>
              <w:cnfStyle w:val="000000100000" w:firstRow="0" w:lastRow="0" w:firstColumn="0" w:lastColumn="0" w:oddVBand="0" w:evenVBand="0" w:oddHBand="1" w:evenHBand="0" w:firstRowFirstColumn="0" w:firstRowLastColumn="0" w:lastRowFirstColumn="0" w:lastRowLastColumn="0"/>
              <w:rPr>
                <w:color w:val="auto"/>
                <w:szCs w:val="24"/>
              </w:rPr>
            </w:pPr>
            <w:r w:rsidRPr="00C801A6">
              <w:rPr>
                <w:bCs/>
                <w:color w:val="auto"/>
                <w:szCs w:val="24"/>
              </w:rPr>
              <w:t>Oui</w:t>
            </w:r>
          </w:p>
        </w:tc>
      </w:tr>
      <w:tr w:rsidR="00C801A6" w:rsidRPr="00C801A6" w14:paraId="7A49952E" w14:textId="77777777" w:rsidTr="00D6045D">
        <w:trPr>
          <w:trHeight w:val="335"/>
        </w:trPr>
        <w:tc>
          <w:tcPr>
            <w:cnfStyle w:val="001000000000" w:firstRow="0" w:lastRow="0" w:firstColumn="1" w:lastColumn="0" w:oddVBand="0" w:evenVBand="0" w:oddHBand="0" w:evenHBand="0" w:firstRowFirstColumn="0" w:firstRowLastColumn="0" w:lastRowFirstColumn="0" w:lastRowLastColumn="0"/>
            <w:tcW w:w="1018"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1930A866" w14:textId="77777777" w:rsidR="00D6045D" w:rsidRPr="00C801A6" w:rsidRDefault="00D6045D" w:rsidP="00D6045D">
            <w:pPr>
              <w:spacing w:before="40" w:after="40"/>
              <w:jc w:val="left"/>
              <w:rPr>
                <w:color w:val="auto"/>
                <w:szCs w:val="24"/>
              </w:rPr>
            </w:pPr>
            <w:r w:rsidRPr="00C801A6">
              <w:rPr>
                <w:color w:val="auto"/>
                <w:szCs w:val="24"/>
              </w:rPr>
              <w:t>NES 4</w:t>
            </w:r>
          </w:p>
        </w:tc>
        <w:tc>
          <w:tcPr>
            <w:tcW w:w="6070"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7AB904E7" w14:textId="77777777" w:rsidR="00D6045D" w:rsidRPr="00C801A6" w:rsidRDefault="00D6045D" w:rsidP="00D6045D">
            <w:pPr>
              <w:spacing w:before="40" w:after="40"/>
              <w:ind w:hanging="54"/>
              <w:jc w:val="left"/>
              <w:cnfStyle w:val="000000000000" w:firstRow="0" w:lastRow="0" w:firstColumn="0" w:lastColumn="0" w:oddVBand="0" w:evenVBand="0" w:oddHBand="0" w:evenHBand="0" w:firstRowFirstColumn="0" w:firstRowLastColumn="0" w:lastRowFirstColumn="0" w:lastRowLastColumn="0"/>
              <w:rPr>
                <w:bCs/>
                <w:color w:val="auto"/>
                <w:szCs w:val="24"/>
              </w:rPr>
            </w:pPr>
            <w:r w:rsidRPr="00C801A6">
              <w:rPr>
                <w:bCs/>
                <w:color w:val="auto"/>
                <w:szCs w:val="24"/>
              </w:rPr>
              <w:t>: Santé et sécurité des populations</w:t>
            </w:r>
          </w:p>
        </w:tc>
        <w:tc>
          <w:tcPr>
            <w:tcW w:w="198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B6F660"/>
          </w:tcPr>
          <w:p w14:paraId="26FE066F" w14:textId="0F5401E9" w:rsidR="00D6045D" w:rsidRPr="00C801A6" w:rsidRDefault="00D6045D" w:rsidP="00D6045D">
            <w:pPr>
              <w:spacing w:before="40" w:after="40"/>
              <w:jc w:val="left"/>
              <w:cnfStyle w:val="000000000000" w:firstRow="0" w:lastRow="0" w:firstColumn="0" w:lastColumn="0" w:oddVBand="0" w:evenVBand="0" w:oddHBand="0" w:evenHBand="0" w:firstRowFirstColumn="0" w:firstRowLastColumn="0" w:lastRowFirstColumn="0" w:lastRowLastColumn="0"/>
              <w:rPr>
                <w:color w:val="auto"/>
                <w:szCs w:val="24"/>
              </w:rPr>
            </w:pPr>
            <w:r w:rsidRPr="00C801A6">
              <w:rPr>
                <w:bCs/>
                <w:color w:val="auto"/>
                <w:szCs w:val="24"/>
              </w:rPr>
              <w:t>Oui</w:t>
            </w:r>
          </w:p>
        </w:tc>
      </w:tr>
      <w:tr w:rsidR="00C801A6" w:rsidRPr="00C801A6" w14:paraId="00D34553" w14:textId="77777777" w:rsidTr="004B0D7A">
        <w:trPr>
          <w:cnfStyle w:val="000000100000" w:firstRow="0" w:lastRow="0" w:firstColumn="0" w:lastColumn="0" w:oddVBand="0" w:evenVBand="0" w:oddHBand="1" w:evenHBand="0" w:firstRowFirstColumn="0" w:firstRowLastColumn="0" w:lastRowFirstColumn="0" w:lastRowLastColumn="0"/>
          <w:trHeight w:val="635"/>
        </w:trPr>
        <w:tc>
          <w:tcPr>
            <w:cnfStyle w:val="001000000000" w:firstRow="0" w:lastRow="0" w:firstColumn="1" w:lastColumn="0" w:oddVBand="0" w:evenVBand="0" w:oddHBand="0" w:evenHBand="0" w:firstRowFirstColumn="0" w:firstRowLastColumn="0" w:lastRowFirstColumn="0" w:lastRowLastColumn="0"/>
            <w:tcW w:w="1018"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73ED0323" w14:textId="77777777" w:rsidR="00D6045D" w:rsidRPr="00C801A6" w:rsidRDefault="00D6045D" w:rsidP="00D6045D">
            <w:pPr>
              <w:spacing w:before="40" w:after="40"/>
              <w:jc w:val="left"/>
              <w:rPr>
                <w:color w:val="auto"/>
                <w:szCs w:val="24"/>
              </w:rPr>
            </w:pPr>
            <w:r w:rsidRPr="00C801A6">
              <w:rPr>
                <w:color w:val="auto"/>
                <w:szCs w:val="24"/>
              </w:rPr>
              <w:t>NES 5</w:t>
            </w:r>
          </w:p>
        </w:tc>
        <w:tc>
          <w:tcPr>
            <w:tcW w:w="6070"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669E589D" w14:textId="77777777" w:rsidR="00D6045D" w:rsidRPr="00C801A6" w:rsidRDefault="00D6045D" w:rsidP="00D6045D">
            <w:pPr>
              <w:spacing w:before="40" w:after="40"/>
              <w:ind w:left="86" w:hanging="140"/>
              <w:jc w:val="left"/>
              <w:cnfStyle w:val="000000100000" w:firstRow="0" w:lastRow="0" w:firstColumn="0" w:lastColumn="0" w:oddVBand="0" w:evenVBand="0" w:oddHBand="1" w:evenHBand="0" w:firstRowFirstColumn="0" w:firstRowLastColumn="0" w:lastRowFirstColumn="0" w:lastRowLastColumn="0"/>
              <w:rPr>
                <w:bCs/>
                <w:color w:val="auto"/>
                <w:szCs w:val="24"/>
              </w:rPr>
            </w:pPr>
            <w:r w:rsidRPr="00C801A6">
              <w:rPr>
                <w:bCs/>
                <w:color w:val="auto"/>
                <w:szCs w:val="24"/>
              </w:rPr>
              <w:t>: Acquisition des terres, restrictions à l’utilisation des terres et réinstallation involontaire</w:t>
            </w:r>
          </w:p>
        </w:tc>
        <w:tc>
          <w:tcPr>
            <w:tcW w:w="198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auto"/>
          </w:tcPr>
          <w:p w14:paraId="63BA6576" w14:textId="58262498" w:rsidR="00D6045D" w:rsidRPr="00C801A6" w:rsidRDefault="004B0D7A" w:rsidP="00D6045D">
            <w:pPr>
              <w:spacing w:before="40" w:after="40"/>
              <w:jc w:val="left"/>
              <w:cnfStyle w:val="000000100000" w:firstRow="0" w:lastRow="0" w:firstColumn="0" w:lastColumn="0" w:oddVBand="0" w:evenVBand="0" w:oddHBand="1" w:evenHBand="0" w:firstRowFirstColumn="0" w:firstRowLastColumn="0" w:lastRowFirstColumn="0" w:lastRowLastColumn="0"/>
              <w:rPr>
                <w:color w:val="auto"/>
                <w:szCs w:val="24"/>
              </w:rPr>
            </w:pPr>
            <w:r>
              <w:rPr>
                <w:bCs/>
                <w:color w:val="auto"/>
                <w:szCs w:val="24"/>
              </w:rPr>
              <w:t>Non</w:t>
            </w:r>
          </w:p>
        </w:tc>
      </w:tr>
      <w:tr w:rsidR="00C801A6" w:rsidRPr="00C801A6" w14:paraId="573870E0" w14:textId="77777777" w:rsidTr="00D6045D">
        <w:trPr>
          <w:trHeight w:val="477"/>
        </w:trPr>
        <w:tc>
          <w:tcPr>
            <w:cnfStyle w:val="001000000000" w:firstRow="0" w:lastRow="0" w:firstColumn="1" w:lastColumn="0" w:oddVBand="0" w:evenVBand="0" w:oddHBand="0" w:evenHBand="0" w:firstRowFirstColumn="0" w:firstRowLastColumn="0" w:lastRowFirstColumn="0" w:lastRowLastColumn="0"/>
            <w:tcW w:w="1018"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44173261" w14:textId="77777777" w:rsidR="00D6045D" w:rsidRPr="00C801A6" w:rsidRDefault="00D6045D" w:rsidP="00D6045D">
            <w:pPr>
              <w:spacing w:before="40" w:after="40"/>
              <w:jc w:val="left"/>
              <w:rPr>
                <w:color w:val="auto"/>
                <w:szCs w:val="24"/>
              </w:rPr>
            </w:pPr>
            <w:r w:rsidRPr="00C801A6">
              <w:rPr>
                <w:color w:val="auto"/>
                <w:szCs w:val="24"/>
              </w:rPr>
              <w:t>NES 6</w:t>
            </w:r>
          </w:p>
        </w:tc>
        <w:tc>
          <w:tcPr>
            <w:tcW w:w="6070"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48F49A0A" w14:textId="77777777" w:rsidR="00D6045D" w:rsidRPr="00C801A6" w:rsidRDefault="00D6045D" w:rsidP="00D6045D">
            <w:pPr>
              <w:spacing w:before="40" w:after="40"/>
              <w:ind w:left="86" w:hanging="140"/>
              <w:jc w:val="left"/>
              <w:cnfStyle w:val="000000000000" w:firstRow="0" w:lastRow="0" w:firstColumn="0" w:lastColumn="0" w:oddVBand="0" w:evenVBand="0" w:oddHBand="0" w:evenHBand="0" w:firstRowFirstColumn="0" w:firstRowLastColumn="0" w:lastRowFirstColumn="0" w:lastRowLastColumn="0"/>
              <w:rPr>
                <w:bCs/>
                <w:color w:val="auto"/>
                <w:szCs w:val="24"/>
              </w:rPr>
            </w:pPr>
            <w:r w:rsidRPr="00C801A6">
              <w:rPr>
                <w:bCs/>
                <w:color w:val="auto"/>
                <w:szCs w:val="24"/>
              </w:rPr>
              <w:t>: Préservation de la biodiversité et gestion durable des ressources naturelles biologiques</w:t>
            </w:r>
          </w:p>
        </w:tc>
        <w:tc>
          <w:tcPr>
            <w:tcW w:w="198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B6F660"/>
          </w:tcPr>
          <w:p w14:paraId="6AC65F07" w14:textId="5632635A" w:rsidR="00D6045D" w:rsidRPr="00C801A6" w:rsidRDefault="00D6045D" w:rsidP="00D6045D">
            <w:pPr>
              <w:spacing w:before="40" w:after="40"/>
              <w:jc w:val="left"/>
              <w:cnfStyle w:val="000000000000" w:firstRow="0" w:lastRow="0" w:firstColumn="0" w:lastColumn="0" w:oddVBand="0" w:evenVBand="0" w:oddHBand="0" w:evenHBand="0" w:firstRowFirstColumn="0" w:firstRowLastColumn="0" w:lastRowFirstColumn="0" w:lastRowLastColumn="0"/>
              <w:rPr>
                <w:color w:val="auto"/>
                <w:szCs w:val="24"/>
              </w:rPr>
            </w:pPr>
            <w:r w:rsidRPr="00C801A6">
              <w:rPr>
                <w:bCs/>
                <w:color w:val="auto"/>
                <w:szCs w:val="24"/>
              </w:rPr>
              <w:t>Oui</w:t>
            </w:r>
          </w:p>
        </w:tc>
      </w:tr>
      <w:tr w:rsidR="00C801A6" w:rsidRPr="00C801A6" w14:paraId="2F2936CF" w14:textId="77777777" w:rsidTr="004B0D7A">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1018"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2B4F196B" w14:textId="77777777" w:rsidR="00575CDF" w:rsidRPr="00C801A6" w:rsidRDefault="00575CDF" w:rsidP="00347FDB">
            <w:pPr>
              <w:spacing w:before="40" w:after="40"/>
              <w:rPr>
                <w:color w:val="auto"/>
                <w:szCs w:val="24"/>
              </w:rPr>
            </w:pPr>
            <w:r w:rsidRPr="00C801A6">
              <w:rPr>
                <w:color w:val="auto"/>
                <w:szCs w:val="24"/>
              </w:rPr>
              <w:t>NES 7</w:t>
            </w:r>
          </w:p>
        </w:tc>
        <w:tc>
          <w:tcPr>
            <w:tcW w:w="6070"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148EE1C2" w14:textId="77777777" w:rsidR="00575CDF" w:rsidRPr="00C801A6" w:rsidRDefault="00575CDF" w:rsidP="00347FDB">
            <w:pPr>
              <w:spacing w:before="40" w:after="40"/>
              <w:ind w:left="86" w:hanging="140"/>
              <w:cnfStyle w:val="000000100000" w:firstRow="0" w:lastRow="0" w:firstColumn="0" w:lastColumn="0" w:oddVBand="0" w:evenVBand="0" w:oddHBand="1" w:evenHBand="0" w:firstRowFirstColumn="0" w:firstRowLastColumn="0" w:lastRowFirstColumn="0" w:lastRowLastColumn="0"/>
              <w:rPr>
                <w:bCs/>
                <w:color w:val="auto"/>
                <w:szCs w:val="24"/>
              </w:rPr>
            </w:pPr>
            <w:r w:rsidRPr="00C801A6">
              <w:rPr>
                <w:bCs/>
                <w:color w:val="auto"/>
                <w:szCs w:val="24"/>
              </w:rPr>
              <w:t>: Peuples autochtones /Communautés locales traditionnelles d’Afrique subsaharienne historiquement défavorisées</w:t>
            </w:r>
          </w:p>
        </w:tc>
        <w:tc>
          <w:tcPr>
            <w:tcW w:w="198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487798AE" w14:textId="1CC3B3EC" w:rsidR="00575CDF" w:rsidRPr="00C801A6" w:rsidRDefault="00575CDF" w:rsidP="00347FDB">
            <w:pPr>
              <w:spacing w:before="40" w:after="40"/>
              <w:jc w:val="left"/>
              <w:cnfStyle w:val="000000100000" w:firstRow="0" w:lastRow="0" w:firstColumn="0" w:lastColumn="0" w:oddVBand="0" w:evenVBand="0" w:oddHBand="1" w:evenHBand="0" w:firstRowFirstColumn="0" w:firstRowLastColumn="0" w:lastRowFirstColumn="0" w:lastRowLastColumn="0"/>
              <w:rPr>
                <w:color w:val="auto"/>
                <w:szCs w:val="24"/>
              </w:rPr>
            </w:pPr>
            <w:r w:rsidRPr="00C801A6">
              <w:rPr>
                <w:color w:val="auto"/>
                <w:szCs w:val="24"/>
              </w:rPr>
              <w:t>Non</w:t>
            </w:r>
          </w:p>
        </w:tc>
      </w:tr>
      <w:tr w:rsidR="00C801A6" w:rsidRPr="00C801A6" w14:paraId="31DB2BC4" w14:textId="77777777" w:rsidTr="00D6045D">
        <w:trPr>
          <w:trHeight w:val="430"/>
        </w:trPr>
        <w:tc>
          <w:tcPr>
            <w:cnfStyle w:val="001000000000" w:firstRow="0" w:lastRow="0" w:firstColumn="1" w:lastColumn="0" w:oddVBand="0" w:evenVBand="0" w:oddHBand="0" w:evenHBand="0" w:firstRowFirstColumn="0" w:firstRowLastColumn="0" w:lastRowFirstColumn="0" w:lastRowLastColumn="0"/>
            <w:tcW w:w="1018"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5B2876BE" w14:textId="77777777" w:rsidR="00D6045D" w:rsidRPr="00C801A6" w:rsidRDefault="00D6045D" w:rsidP="00D6045D">
            <w:pPr>
              <w:spacing w:before="40" w:after="40"/>
              <w:rPr>
                <w:color w:val="auto"/>
                <w:szCs w:val="24"/>
              </w:rPr>
            </w:pPr>
            <w:r w:rsidRPr="00C801A6">
              <w:rPr>
                <w:color w:val="auto"/>
                <w:szCs w:val="24"/>
              </w:rPr>
              <w:t>NES 8</w:t>
            </w:r>
          </w:p>
        </w:tc>
        <w:tc>
          <w:tcPr>
            <w:tcW w:w="6070"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3A60452B" w14:textId="77777777" w:rsidR="00D6045D" w:rsidRPr="00C801A6" w:rsidRDefault="00D6045D" w:rsidP="00D6045D">
            <w:pPr>
              <w:spacing w:before="40" w:after="40"/>
              <w:ind w:hanging="54"/>
              <w:cnfStyle w:val="000000000000" w:firstRow="0" w:lastRow="0" w:firstColumn="0" w:lastColumn="0" w:oddVBand="0" w:evenVBand="0" w:oddHBand="0" w:evenHBand="0" w:firstRowFirstColumn="0" w:firstRowLastColumn="0" w:lastRowFirstColumn="0" w:lastRowLastColumn="0"/>
              <w:rPr>
                <w:color w:val="auto"/>
                <w:szCs w:val="24"/>
              </w:rPr>
            </w:pPr>
            <w:r w:rsidRPr="00C801A6">
              <w:rPr>
                <w:color w:val="auto"/>
                <w:szCs w:val="24"/>
              </w:rPr>
              <w:t>: Patrimoine culturel</w:t>
            </w:r>
          </w:p>
        </w:tc>
        <w:tc>
          <w:tcPr>
            <w:tcW w:w="198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B6F660"/>
          </w:tcPr>
          <w:p w14:paraId="1A4A5CEA" w14:textId="2724F2F0" w:rsidR="00D6045D" w:rsidRPr="00C801A6" w:rsidRDefault="00D6045D" w:rsidP="00D6045D">
            <w:pPr>
              <w:spacing w:before="40" w:after="40"/>
              <w:jc w:val="left"/>
              <w:cnfStyle w:val="000000000000" w:firstRow="0" w:lastRow="0" w:firstColumn="0" w:lastColumn="0" w:oddVBand="0" w:evenVBand="0" w:oddHBand="0" w:evenHBand="0" w:firstRowFirstColumn="0" w:firstRowLastColumn="0" w:lastRowFirstColumn="0" w:lastRowLastColumn="0"/>
              <w:rPr>
                <w:color w:val="auto"/>
                <w:szCs w:val="24"/>
              </w:rPr>
            </w:pPr>
            <w:r w:rsidRPr="00C801A6">
              <w:rPr>
                <w:bCs/>
                <w:color w:val="auto"/>
                <w:szCs w:val="24"/>
              </w:rPr>
              <w:t>Oui</w:t>
            </w:r>
          </w:p>
        </w:tc>
      </w:tr>
      <w:tr w:rsidR="00C801A6" w:rsidRPr="00C801A6" w14:paraId="50B3C7AF" w14:textId="77777777" w:rsidTr="00347FDB">
        <w:trPr>
          <w:cnfStyle w:val="000000100000" w:firstRow="0" w:lastRow="0" w:firstColumn="0" w:lastColumn="0" w:oddVBand="0" w:evenVBand="0" w:oddHBand="1" w:evenHBand="0" w:firstRowFirstColumn="0" w:firstRowLastColumn="0" w:lastRowFirstColumn="0" w:lastRowLastColumn="0"/>
          <w:trHeight w:val="372"/>
        </w:trPr>
        <w:tc>
          <w:tcPr>
            <w:cnfStyle w:val="001000000000" w:firstRow="0" w:lastRow="0" w:firstColumn="1" w:lastColumn="0" w:oddVBand="0" w:evenVBand="0" w:oddHBand="0" w:evenHBand="0" w:firstRowFirstColumn="0" w:firstRowLastColumn="0" w:lastRowFirstColumn="0" w:lastRowLastColumn="0"/>
            <w:tcW w:w="1018"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402ABEDE" w14:textId="77777777" w:rsidR="00D6045D" w:rsidRPr="00C801A6" w:rsidRDefault="00D6045D" w:rsidP="00D6045D">
            <w:pPr>
              <w:spacing w:before="40" w:after="40"/>
              <w:rPr>
                <w:color w:val="auto"/>
                <w:szCs w:val="24"/>
              </w:rPr>
            </w:pPr>
            <w:r w:rsidRPr="00C801A6">
              <w:rPr>
                <w:color w:val="auto"/>
                <w:szCs w:val="24"/>
              </w:rPr>
              <w:t>NES 9</w:t>
            </w:r>
          </w:p>
        </w:tc>
        <w:tc>
          <w:tcPr>
            <w:tcW w:w="6070"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42E91B1F" w14:textId="77777777" w:rsidR="00D6045D" w:rsidRPr="00C801A6" w:rsidRDefault="00D6045D" w:rsidP="00D6045D">
            <w:pPr>
              <w:spacing w:before="40" w:after="40"/>
              <w:ind w:hanging="54"/>
              <w:cnfStyle w:val="000000100000" w:firstRow="0" w:lastRow="0" w:firstColumn="0" w:lastColumn="0" w:oddVBand="0" w:evenVBand="0" w:oddHBand="1" w:evenHBand="0" w:firstRowFirstColumn="0" w:firstRowLastColumn="0" w:lastRowFirstColumn="0" w:lastRowLastColumn="0"/>
              <w:rPr>
                <w:color w:val="auto"/>
                <w:szCs w:val="24"/>
              </w:rPr>
            </w:pPr>
            <w:r w:rsidRPr="00C801A6">
              <w:rPr>
                <w:color w:val="auto"/>
                <w:szCs w:val="24"/>
              </w:rPr>
              <w:t>: Intermédiaires financiers</w:t>
            </w:r>
          </w:p>
        </w:tc>
        <w:tc>
          <w:tcPr>
            <w:tcW w:w="198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03C25140" w14:textId="3F88B721" w:rsidR="00D6045D" w:rsidRPr="00C801A6" w:rsidRDefault="00D6045D" w:rsidP="00D6045D">
            <w:pPr>
              <w:spacing w:before="40" w:after="40"/>
              <w:jc w:val="left"/>
              <w:cnfStyle w:val="000000100000" w:firstRow="0" w:lastRow="0" w:firstColumn="0" w:lastColumn="0" w:oddVBand="0" w:evenVBand="0" w:oddHBand="1" w:evenHBand="0" w:firstRowFirstColumn="0" w:firstRowLastColumn="0" w:lastRowFirstColumn="0" w:lastRowLastColumn="0"/>
              <w:rPr>
                <w:color w:val="auto"/>
                <w:szCs w:val="24"/>
              </w:rPr>
            </w:pPr>
            <w:r w:rsidRPr="00C801A6">
              <w:rPr>
                <w:color w:val="auto"/>
                <w:szCs w:val="24"/>
              </w:rPr>
              <w:t>Non</w:t>
            </w:r>
          </w:p>
        </w:tc>
      </w:tr>
      <w:tr w:rsidR="00C801A6" w:rsidRPr="00C801A6" w14:paraId="1A0C5526" w14:textId="77777777" w:rsidTr="00D6045D">
        <w:trPr>
          <w:trHeight w:val="424"/>
        </w:trPr>
        <w:tc>
          <w:tcPr>
            <w:cnfStyle w:val="001000000000" w:firstRow="0" w:lastRow="0" w:firstColumn="1" w:lastColumn="0" w:oddVBand="0" w:evenVBand="0" w:oddHBand="0" w:evenHBand="0" w:firstRowFirstColumn="0" w:firstRowLastColumn="0" w:lastRowFirstColumn="0" w:lastRowLastColumn="0"/>
            <w:tcW w:w="1018"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1C0070B3" w14:textId="77777777" w:rsidR="00D6045D" w:rsidRPr="00C801A6" w:rsidRDefault="00D6045D" w:rsidP="00D6045D">
            <w:pPr>
              <w:spacing w:before="40" w:after="40"/>
              <w:rPr>
                <w:color w:val="auto"/>
                <w:szCs w:val="24"/>
              </w:rPr>
            </w:pPr>
            <w:r w:rsidRPr="00C801A6">
              <w:rPr>
                <w:color w:val="auto"/>
                <w:szCs w:val="24"/>
              </w:rPr>
              <w:t>NES 10</w:t>
            </w:r>
          </w:p>
        </w:tc>
        <w:tc>
          <w:tcPr>
            <w:tcW w:w="6070"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57F03A9F" w14:textId="77777777" w:rsidR="00D6045D" w:rsidRPr="00C801A6" w:rsidRDefault="00D6045D" w:rsidP="00D6045D">
            <w:pPr>
              <w:spacing w:before="40" w:after="40"/>
              <w:ind w:hanging="54"/>
              <w:cnfStyle w:val="000000000000" w:firstRow="0" w:lastRow="0" w:firstColumn="0" w:lastColumn="0" w:oddVBand="0" w:evenVBand="0" w:oddHBand="0" w:evenHBand="0" w:firstRowFirstColumn="0" w:firstRowLastColumn="0" w:lastRowFirstColumn="0" w:lastRowLastColumn="0"/>
              <w:rPr>
                <w:color w:val="auto"/>
                <w:szCs w:val="24"/>
              </w:rPr>
            </w:pPr>
            <w:r w:rsidRPr="00C801A6">
              <w:rPr>
                <w:color w:val="auto"/>
                <w:szCs w:val="24"/>
              </w:rPr>
              <w:t>: Mobilisation des parties prenantes et information</w:t>
            </w:r>
          </w:p>
        </w:tc>
        <w:tc>
          <w:tcPr>
            <w:tcW w:w="198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B6F660"/>
          </w:tcPr>
          <w:p w14:paraId="3605DD6C" w14:textId="0A4AA297" w:rsidR="00D6045D" w:rsidRPr="00C801A6" w:rsidRDefault="00D6045D" w:rsidP="00D6045D">
            <w:pPr>
              <w:spacing w:before="40" w:after="40"/>
              <w:jc w:val="left"/>
              <w:cnfStyle w:val="000000000000" w:firstRow="0" w:lastRow="0" w:firstColumn="0" w:lastColumn="0" w:oddVBand="0" w:evenVBand="0" w:oddHBand="0" w:evenHBand="0" w:firstRowFirstColumn="0" w:firstRowLastColumn="0" w:lastRowFirstColumn="0" w:lastRowLastColumn="0"/>
              <w:rPr>
                <w:color w:val="auto"/>
                <w:szCs w:val="24"/>
              </w:rPr>
            </w:pPr>
            <w:r w:rsidRPr="00C801A6">
              <w:rPr>
                <w:bCs/>
                <w:color w:val="auto"/>
                <w:szCs w:val="24"/>
              </w:rPr>
              <w:t>Oui</w:t>
            </w:r>
          </w:p>
        </w:tc>
      </w:tr>
    </w:tbl>
    <w:p w14:paraId="662B4F45" w14:textId="30D756D9" w:rsidR="00575CDF" w:rsidRPr="00C801A6" w:rsidRDefault="00575CDF" w:rsidP="00575CDF">
      <w:pPr>
        <w:spacing w:before="240"/>
        <w:rPr>
          <w:rFonts w:cs="Times New Roman"/>
          <w:color w:val="auto"/>
        </w:rPr>
      </w:pPr>
      <w:r w:rsidRPr="00C801A6">
        <w:rPr>
          <w:rFonts w:cs="Times New Roman"/>
          <w:color w:val="auto"/>
        </w:rPr>
        <w:t xml:space="preserve">A ce titre, afin de s’aligner aux exigences des </w:t>
      </w:r>
      <w:r w:rsidR="004B0D7A">
        <w:rPr>
          <w:rFonts w:cs="Times New Roman"/>
          <w:color w:val="auto"/>
        </w:rPr>
        <w:t>7</w:t>
      </w:r>
      <w:r w:rsidRPr="00C801A6">
        <w:rPr>
          <w:rFonts w:cs="Times New Roman"/>
          <w:color w:val="auto"/>
        </w:rPr>
        <w:t xml:space="preserve"> NES pertinentes pour les activités </w:t>
      </w:r>
      <w:r w:rsidR="004B0D7A">
        <w:rPr>
          <w:rFonts w:cs="Times New Roman"/>
          <w:color w:val="auto"/>
        </w:rPr>
        <w:t xml:space="preserve">de la composante 4 </w:t>
      </w:r>
      <w:r w:rsidRPr="00C801A6">
        <w:rPr>
          <w:rFonts w:cs="Times New Roman"/>
          <w:color w:val="auto"/>
        </w:rPr>
        <w:t xml:space="preserve">du </w:t>
      </w:r>
      <w:r w:rsidR="000D273E" w:rsidRPr="00C801A6">
        <w:rPr>
          <w:rFonts w:cs="Times New Roman"/>
          <w:color w:val="auto"/>
        </w:rPr>
        <w:t xml:space="preserve">Projet de </w:t>
      </w:r>
      <w:r w:rsidR="00A25EB0">
        <w:rPr>
          <w:rFonts w:cs="Times New Roman"/>
          <w:color w:val="auto"/>
        </w:rPr>
        <w:t>Connecter Madagascar pour une Croissance Inclusive</w:t>
      </w:r>
      <w:r w:rsidRPr="00C801A6">
        <w:rPr>
          <w:rFonts w:cs="Times New Roman"/>
          <w:color w:val="auto"/>
        </w:rPr>
        <w:t xml:space="preserve"> et aux dispositions de la législation nationale, les instruments ci-après doivent être préparés pour la préparation de la mise en œuvre dudit Projet :</w:t>
      </w:r>
    </w:p>
    <w:p w14:paraId="268CFA50" w14:textId="77777777" w:rsidR="00575CDF" w:rsidRPr="00C801A6" w:rsidRDefault="00575CDF" w:rsidP="00844538">
      <w:pPr>
        <w:pStyle w:val="ListParagraph"/>
        <w:numPr>
          <w:ilvl w:val="0"/>
          <w:numId w:val="1"/>
        </w:numPr>
        <w:spacing w:after="80" w:line="276" w:lineRule="auto"/>
        <w:ind w:left="851" w:hanging="425"/>
        <w:contextualSpacing w:val="0"/>
        <w:rPr>
          <w:rFonts w:cs="Times New Roman"/>
          <w:color w:val="auto"/>
          <w:szCs w:val="24"/>
        </w:rPr>
      </w:pPr>
      <w:r w:rsidRPr="00C801A6">
        <w:rPr>
          <w:rFonts w:cs="Times New Roman"/>
          <w:color w:val="auto"/>
          <w:szCs w:val="24"/>
        </w:rPr>
        <w:t>Plan d’Engagement Environnemental et Social (PEES)</w:t>
      </w:r>
    </w:p>
    <w:p w14:paraId="096B864A" w14:textId="77777777" w:rsidR="00575CDF" w:rsidRPr="00C801A6" w:rsidRDefault="00575CDF" w:rsidP="00844538">
      <w:pPr>
        <w:pStyle w:val="ListParagraph"/>
        <w:numPr>
          <w:ilvl w:val="0"/>
          <w:numId w:val="2"/>
        </w:numPr>
        <w:spacing w:after="80" w:line="276" w:lineRule="auto"/>
        <w:ind w:left="850" w:hanging="425"/>
        <w:contextualSpacing w:val="0"/>
        <w:rPr>
          <w:rFonts w:cs="Times New Roman"/>
          <w:color w:val="auto"/>
          <w:szCs w:val="24"/>
        </w:rPr>
      </w:pPr>
      <w:r w:rsidRPr="00C801A6">
        <w:rPr>
          <w:rFonts w:cs="Times New Roman"/>
          <w:color w:val="auto"/>
          <w:szCs w:val="24"/>
        </w:rPr>
        <w:t>Plan de Mobilisation des Parties Prenantes (PMPP)</w:t>
      </w:r>
    </w:p>
    <w:p w14:paraId="7D0B7356" w14:textId="77777777" w:rsidR="00575CDF" w:rsidRPr="00C801A6" w:rsidRDefault="00575CDF" w:rsidP="00844538">
      <w:pPr>
        <w:pStyle w:val="ListParagraph"/>
        <w:numPr>
          <w:ilvl w:val="0"/>
          <w:numId w:val="2"/>
        </w:numPr>
        <w:spacing w:after="80" w:line="276" w:lineRule="auto"/>
        <w:ind w:left="850" w:hanging="425"/>
        <w:contextualSpacing w:val="0"/>
        <w:rPr>
          <w:rFonts w:cs="Times New Roman"/>
          <w:color w:val="auto"/>
          <w:szCs w:val="24"/>
        </w:rPr>
      </w:pPr>
      <w:r w:rsidRPr="00C801A6">
        <w:rPr>
          <w:rFonts w:cs="Times New Roman"/>
          <w:color w:val="auto"/>
          <w:szCs w:val="24"/>
        </w:rPr>
        <w:t>Procédures de Gestion de la Main d’œuvre (PGMO)</w:t>
      </w:r>
    </w:p>
    <w:p w14:paraId="37E84282" w14:textId="0DB6EEDB" w:rsidR="00575CDF" w:rsidRPr="00C801A6" w:rsidRDefault="00575CDF" w:rsidP="00844538">
      <w:pPr>
        <w:pStyle w:val="ListParagraph"/>
        <w:numPr>
          <w:ilvl w:val="0"/>
          <w:numId w:val="2"/>
        </w:numPr>
        <w:spacing w:line="276" w:lineRule="auto"/>
        <w:ind w:left="850" w:hanging="425"/>
        <w:contextualSpacing w:val="0"/>
        <w:rPr>
          <w:rFonts w:cs="Times New Roman"/>
          <w:color w:val="auto"/>
          <w:szCs w:val="24"/>
        </w:rPr>
      </w:pPr>
      <w:r w:rsidRPr="00C801A6">
        <w:rPr>
          <w:rFonts w:cs="Times New Roman"/>
          <w:color w:val="auto"/>
          <w:szCs w:val="24"/>
        </w:rPr>
        <w:t xml:space="preserve">Cadre de gestion environnementale et sociale (CGES) qui inclut un Plan d'action contre les </w:t>
      </w:r>
      <w:r w:rsidR="006F38A3">
        <w:rPr>
          <w:rFonts w:cs="Times New Roman"/>
          <w:color w:val="auto"/>
          <w:szCs w:val="24"/>
        </w:rPr>
        <w:t xml:space="preserve">EAS-HS </w:t>
      </w:r>
      <w:r w:rsidRPr="00C801A6">
        <w:rPr>
          <w:rFonts w:cs="Times New Roman"/>
          <w:color w:val="auto"/>
          <w:szCs w:val="24"/>
        </w:rPr>
        <w:t xml:space="preserve"> qui constitue l’objet de la présente étude.</w:t>
      </w:r>
    </w:p>
    <w:p w14:paraId="644C57AE" w14:textId="61FEB728" w:rsidR="00575CDF" w:rsidRPr="00C801A6" w:rsidRDefault="00575CDF" w:rsidP="00575CDF">
      <w:pPr>
        <w:rPr>
          <w:rFonts w:cs="Times New Roman"/>
          <w:color w:val="auto"/>
          <w:szCs w:val="24"/>
        </w:rPr>
      </w:pPr>
      <w:r w:rsidRPr="00C801A6">
        <w:rPr>
          <w:rFonts w:cs="Times New Roman"/>
          <w:color w:val="auto"/>
          <w:szCs w:val="24"/>
        </w:rPr>
        <w:t xml:space="preserve">Par ailleurs, compte tenu de la nature, de l’étendue et de l’envergure des impacts liés aux futures activités, le Projet est classé dans la Catégorie de niveau de risque « Substantielle » en vertu dudit Cadre Environnemental et Social de la </w:t>
      </w:r>
      <w:r w:rsidR="00B910A0" w:rsidRPr="00C801A6">
        <w:rPr>
          <w:rFonts w:cs="Times New Roman"/>
          <w:color w:val="auto"/>
          <w:szCs w:val="24"/>
        </w:rPr>
        <w:t>Banque mondiale</w:t>
      </w:r>
      <w:r w:rsidRPr="00C801A6">
        <w:rPr>
          <w:rFonts w:cs="Times New Roman"/>
          <w:color w:val="auto"/>
          <w:szCs w:val="24"/>
        </w:rPr>
        <w:t>.</w:t>
      </w:r>
    </w:p>
    <w:p w14:paraId="03C2C98D" w14:textId="44F78238" w:rsidR="00455107" w:rsidRPr="00C801A6" w:rsidRDefault="00455107" w:rsidP="00455107">
      <w:pPr>
        <w:pBdr>
          <w:top w:val="single" w:sz="4" w:space="1" w:color="auto"/>
          <w:left w:val="single" w:sz="4" w:space="4" w:color="auto"/>
          <w:bottom w:val="single" w:sz="4" w:space="1" w:color="auto"/>
          <w:right w:val="single" w:sz="4" w:space="4" w:color="auto"/>
        </w:pBdr>
        <w:shd w:val="clear" w:color="auto" w:fill="FBE4D5" w:themeFill="accent2" w:themeFillTint="33"/>
        <w:rPr>
          <w:rFonts w:cs="Times New Roman"/>
          <w:color w:val="auto"/>
          <w:szCs w:val="24"/>
        </w:rPr>
      </w:pPr>
      <w:r w:rsidRPr="00C801A6">
        <w:rPr>
          <w:rFonts w:cs="Times New Roman"/>
          <w:b/>
          <w:bCs/>
          <w:color w:val="auto"/>
          <w:szCs w:val="24"/>
          <w:u w:val="single"/>
        </w:rPr>
        <w:t>Remarque importante :</w:t>
      </w:r>
      <w:r w:rsidRPr="00C801A6">
        <w:rPr>
          <w:rFonts w:cs="Times New Roman"/>
          <w:color w:val="auto"/>
          <w:szCs w:val="24"/>
        </w:rPr>
        <w:t xml:space="preserve"> La NES 5 ne sera pas </w:t>
      </w:r>
      <w:r w:rsidR="0088414A">
        <w:rPr>
          <w:rFonts w:cs="Times New Roman"/>
          <w:color w:val="auto"/>
          <w:szCs w:val="24"/>
        </w:rPr>
        <w:t>pertinent</w:t>
      </w:r>
      <w:r w:rsidR="0088414A" w:rsidRPr="00C801A6">
        <w:rPr>
          <w:rFonts w:cs="Times New Roman"/>
          <w:color w:val="auto"/>
          <w:szCs w:val="24"/>
        </w:rPr>
        <w:t xml:space="preserve">e </w:t>
      </w:r>
      <w:r w:rsidRPr="00C801A6">
        <w:rPr>
          <w:rFonts w:cs="Times New Roman"/>
          <w:color w:val="auto"/>
          <w:szCs w:val="24"/>
        </w:rPr>
        <w:t>aux activités CERC et constituera un critère éliminatoire. En effet, les délais d’exécution des travaux ne permettront pas la préparation et la mise en œuvre d’un Plan de réinstallation.</w:t>
      </w:r>
    </w:p>
    <w:p w14:paraId="5FCCA1F9" w14:textId="25642B8D" w:rsidR="00575CDF" w:rsidRPr="00C801A6" w:rsidRDefault="00575CDF" w:rsidP="00014BC0">
      <w:pPr>
        <w:pStyle w:val="Heading2"/>
      </w:pPr>
      <w:bookmarkStart w:id="30" w:name="_Toc106320263"/>
      <w:bookmarkStart w:id="31" w:name="_Toc230425974"/>
      <w:r w:rsidRPr="00C801A6">
        <w:t>OBJECTIFS</w:t>
      </w:r>
      <w:r w:rsidR="00267DF7" w:rsidRPr="00C801A6">
        <w:t xml:space="preserve"> du</w:t>
      </w:r>
      <w:r w:rsidRPr="00C801A6">
        <w:t xml:space="preserve"> CGES</w:t>
      </w:r>
      <w:bookmarkEnd w:id="30"/>
      <w:bookmarkEnd w:id="31"/>
    </w:p>
    <w:p w14:paraId="3A70CFDF" w14:textId="42F750FA" w:rsidR="0088414A" w:rsidRDefault="0088414A" w:rsidP="0088414A">
      <w:pPr>
        <w:rPr>
          <w:rFonts w:cs="Times New Roman"/>
          <w:color w:val="000000"/>
        </w:rPr>
      </w:pPr>
      <w:r w:rsidRPr="00D42025">
        <w:rPr>
          <w:rFonts w:cs="Times New Roman"/>
          <w:color w:val="000000"/>
        </w:rPr>
        <w:t xml:space="preserve">Comme les sous-projets à financer dans le cadre de la Composante CERC ne sont pas encore entièrement définis, il est nécessaire de mettre à jour le Cadre de </w:t>
      </w:r>
      <w:r w:rsidR="00DA318E" w:rsidRPr="00DA318E">
        <w:rPr>
          <w:rFonts w:cs="Times New Roman"/>
          <w:color w:val="000000"/>
        </w:rPr>
        <w:t xml:space="preserve">Gestion Environnementale </w:t>
      </w:r>
      <w:r w:rsidRPr="00D42025">
        <w:rPr>
          <w:rFonts w:cs="Times New Roman"/>
          <w:color w:val="000000"/>
        </w:rPr>
        <w:t xml:space="preserve">et </w:t>
      </w:r>
      <w:r w:rsidR="00DA318E" w:rsidRPr="00DA318E">
        <w:rPr>
          <w:rFonts w:cs="Times New Roman"/>
          <w:color w:val="000000"/>
        </w:rPr>
        <w:lastRenderedPageBreak/>
        <w:t xml:space="preserve">Sociale </w:t>
      </w:r>
      <w:r w:rsidRPr="00D42025">
        <w:rPr>
          <w:rFonts w:cs="Times New Roman"/>
          <w:color w:val="000000"/>
        </w:rPr>
        <w:t>(CGES)</w:t>
      </w:r>
      <w:r w:rsidR="00DA318E">
        <w:rPr>
          <w:rFonts w:cs="Times New Roman"/>
          <w:color w:val="000000"/>
        </w:rPr>
        <w:t xml:space="preserve"> afin d’élargir les analyses des risques et impacts aux nouvelles activités prévues dans le cadre de ce CERC2</w:t>
      </w:r>
      <w:r w:rsidRPr="00D42025">
        <w:rPr>
          <w:rFonts w:cs="Times New Roman"/>
          <w:color w:val="000000"/>
        </w:rPr>
        <w:t xml:space="preserve">. </w:t>
      </w:r>
    </w:p>
    <w:p w14:paraId="0701AE02" w14:textId="77777777" w:rsidR="0088414A" w:rsidRDefault="0088414A" w:rsidP="0088414A">
      <w:pPr>
        <w:rPr>
          <w:rFonts w:cs="Times New Roman"/>
          <w:color w:val="000000"/>
        </w:rPr>
      </w:pPr>
      <w:r w:rsidRPr="00D42025">
        <w:rPr>
          <w:rFonts w:cs="Times New Roman"/>
          <w:color w:val="000000"/>
        </w:rPr>
        <w:t>Le CGES énonce les principes, règles, procédures et mesures pour évaluer et atténuer lesdits risques et impacts, y compris l’estimation de leur coût et la désignation des organismes responsables de leur gestion.</w:t>
      </w:r>
    </w:p>
    <w:p w14:paraId="1A53A026" w14:textId="77777777" w:rsidR="0088414A" w:rsidRDefault="0088414A" w:rsidP="0088414A">
      <w:pPr>
        <w:rPr>
          <w:rFonts w:cs="Times New Roman"/>
          <w:color w:val="000000"/>
        </w:rPr>
      </w:pPr>
      <w:r w:rsidRPr="00D42025">
        <w:rPr>
          <w:rFonts w:cs="Times New Roman"/>
          <w:color w:val="000000"/>
        </w:rPr>
        <w:t>Il contient également des informations sur les zones concernées, leurs sensibilités environnementales et sociales potentielles, les impacts possibles ainsi que les stratégies d’évitement ou d’atténuation à envisager.</w:t>
      </w:r>
    </w:p>
    <w:p w14:paraId="4CA302C5" w14:textId="4DA6FD63" w:rsidR="0088414A" w:rsidRPr="00D42025" w:rsidRDefault="0088414A" w:rsidP="0088414A">
      <w:pPr>
        <w:rPr>
          <w:rFonts w:cs="Times New Roman"/>
          <w:color w:val="000000"/>
        </w:rPr>
      </w:pPr>
      <w:r w:rsidRPr="00D42025">
        <w:rPr>
          <w:rFonts w:cs="Times New Roman"/>
          <w:color w:val="000000"/>
        </w:rPr>
        <w:t>Dans le contexte du lancement de la deuxième phase de la composante 4 du Programme de connectivité pour une croissance inclusive à Madagascar, la préparation du CGES se justifie car les études techniques des routes sont encore préliminaires. Le CGES assure donc l’encadrement de la gestion environnementale et sociale des travaux routiers à venir, jusqu’à ce que les détails des sous-projets soient connus.</w:t>
      </w:r>
    </w:p>
    <w:p w14:paraId="1C643A96" w14:textId="77777777" w:rsidR="0088414A" w:rsidRPr="00C801A6" w:rsidRDefault="0088414A" w:rsidP="00575CDF">
      <w:pPr>
        <w:rPr>
          <w:color w:val="auto"/>
        </w:rPr>
      </w:pPr>
    </w:p>
    <w:p w14:paraId="568FB1FC" w14:textId="18D3827E" w:rsidR="00575CDF" w:rsidRPr="00C801A6" w:rsidRDefault="00575CDF" w:rsidP="00014BC0">
      <w:pPr>
        <w:pStyle w:val="Heading2"/>
      </w:pPr>
      <w:bookmarkStart w:id="32" w:name="_Toc106320264"/>
      <w:bookmarkStart w:id="33" w:name="_Toc230425975"/>
      <w:r w:rsidRPr="00C801A6">
        <w:t>APPROCHE METHODOLOGIQUE ADOPTEE</w:t>
      </w:r>
      <w:r w:rsidR="001252F8" w:rsidRPr="00C801A6">
        <w:t xml:space="preserve"> pour l</w:t>
      </w:r>
      <w:r w:rsidR="00D54F37">
        <w:t>’ELABORATION</w:t>
      </w:r>
      <w:r w:rsidR="001252F8" w:rsidRPr="00C801A6">
        <w:t xml:space="preserve"> du CGES</w:t>
      </w:r>
      <w:bookmarkEnd w:id="32"/>
      <w:bookmarkEnd w:id="33"/>
    </w:p>
    <w:p w14:paraId="4E7CBA84" w14:textId="684EA481" w:rsidR="004252AA" w:rsidRPr="00C801A6" w:rsidRDefault="004252AA" w:rsidP="004252AA">
      <w:pPr>
        <w:rPr>
          <w:color w:val="auto"/>
        </w:rPr>
      </w:pPr>
      <w:r w:rsidRPr="00C801A6">
        <w:rPr>
          <w:color w:val="auto"/>
        </w:rPr>
        <w:t>L</w:t>
      </w:r>
      <w:r w:rsidR="00D54F37">
        <w:rPr>
          <w:color w:val="auto"/>
        </w:rPr>
        <w:t>’élaboration</w:t>
      </w:r>
      <w:r w:rsidR="0084162E" w:rsidRPr="00C801A6">
        <w:rPr>
          <w:color w:val="auto"/>
        </w:rPr>
        <w:t xml:space="preserve"> du CGES</w:t>
      </w:r>
      <w:r w:rsidRPr="00C801A6">
        <w:rPr>
          <w:color w:val="auto"/>
        </w:rPr>
        <w:t xml:space="preserve"> fait suite à l’urgence des travaux liés </w:t>
      </w:r>
      <w:r w:rsidR="00D54F37">
        <w:rPr>
          <w:color w:val="auto"/>
        </w:rPr>
        <w:t xml:space="preserve">aux aléas climatiques que </w:t>
      </w:r>
      <w:r w:rsidR="00853CFE">
        <w:rPr>
          <w:color w:val="auto"/>
        </w:rPr>
        <w:t>Madagascar</w:t>
      </w:r>
      <w:r w:rsidR="00D54F37">
        <w:rPr>
          <w:color w:val="auto"/>
        </w:rPr>
        <w:t xml:space="preserve"> a subi durant les cinq dernières années</w:t>
      </w:r>
      <w:r w:rsidRPr="00C801A6">
        <w:rPr>
          <w:color w:val="auto"/>
        </w:rPr>
        <w:t>. Dans ce cadre, l’approche globale ci-après a été adoptée :</w:t>
      </w:r>
    </w:p>
    <w:p w14:paraId="220C29AE" w14:textId="77777777" w:rsidR="004252AA" w:rsidRPr="00C801A6" w:rsidRDefault="004252AA" w:rsidP="00844538">
      <w:pPr>
        <w:pStyle w:val="ListParagraph"/>
        <w:numPr>
          <w:ilvl w:val="0"/>
          <w:numId w:val="3"/>
        </w:numPr>
        <w:spacing w:after="120" w:line="276" w:lineRule="auto"/>
        <w:ind w:left="850" w:hanging="493"/>
        <w:contextualSpacing w:val="0"/>
        <w:rPr>
          <w:b/>
          <w:bCs/>
          <w:color w:val="auto"/>
        </w:rPr>
      </w:pPr>
      <w:r w:rsidRPr="00C801A6">
        <w:rPr>
          <w:b/>
          <w:bCs/>
          <w:color w:val="auto"/>
        </w:rPr>
        <w:t>Analyse et revue des sources documentaires existantes</w:t>
      </w:r>
    </w:p>
    <w:p w14:paraId="47A7B5E0" w14:textId="408CC6D8" w:rsidR="004252AA" w:rsidRPr="00C801A6" w:rsidRDefault="004252AA" w:rsidP="004252AA">
      <w:pPr>
        <w:spacing w:after="120"/>
        <w:ind w:left="851"/>
        <w:rPr>
          <w:color w:val="auto"/>
        </w:rPr>
      </w:pPr>
      <w:r w:rsidRPr="00C801A6">
        <w:rPr>
          <w:color w:val="auto"/>
        </w:rPr>
        <w:t xml:space="preserve">Avec l’appui du Ministère en charge des Travaux Publics, de l’Autorité routière, </w:t>
      </w:r>
      <w:r w:rsidR="00D54F37">
        <w:rPr>
          <w:color w:val="auto"/>
        </w:rPr>
        <w:t xml:space="preserve">de l’Agence Portuaire Maritime et Fluvial, </w:t>
      </w:r>
      <w:r w:rsidRPr="00C801A6">
        <w:rPr>
          <w:color w:val="auto"/>
        </w:rPr>
        <w:t>du Projet P</w:t>
      </w:r>
      <w:r w:rsidR="00D54F37">
        <w:rPr>
          <w:color w:val="auto"/>
        </w:rPr>
        <w:t>CMCI</w:t>
      </w:r>
      <w:r w:rsidRPr="00C801A6">
        <w:rPr>
          <w:color w:val="auto"/>
        </w:rPr>
        <w:t xml:space="preserve"> et d’autres parties prenantes, une documentation très fournie a été mise à la disposition d</w:t>
      </w:r>
      <w:r w:rsidR="00D54F37">
        <w:rPr>
          <w:color w:val="auto"/>
        </w:rPr>
        <w:t>e l’équipe sauvegar</w:t>
      </w:r>
      <w:r w:rsidR="00C86C38">
        <w:rPr>
          <w:color w:val="auto"/>
        </w:rPr>
        <w:t>de</w:t>
      </w:r>
      <w:r w:rsidR="00D54F37">
        <w:rPr>
          <w:color w:val="auto"/>
        </w:rPr>
        <w:t xml:space="preserve"> de l’UCP</w:t>
      </w:r>
      <w:r w:rsidR="00B50710">
        <w:rPr>
          <w:color w:val="auto"/>
        </w:rPr>
        <w:t>/</w:t>
      </w:r>
      <w:r w:rsidR="00C86C38">
        <w:rPr>
          <w:color w:val="auto"/>
        </w:rPr>
        <w:t>CERC-PCMCI</w:t>
      </w:r>
      <w:r w:rsidRPr="00C801A6">
        <w:rPr>
          <w:color w:val="auto"/>
        </w:rPr>
        <w:t>.</w:t>
      </w:r>
    </w:p>
    <w:p w14:paraId="07F93F06" w14:textId="2C09D01E" w:rsidR="004252AA" w:rsidRPr="00C801A6" w:rsidRDefault="004252AA" w:rsidP="004252AA">
      <w:pPr>
        <w:ind w:left="851"/>
        <w:rPr>
          <w:color w:val="auto"/>
        </w:rPr>
      </w:pPr>
      <w:r w:rsidRPr="00C801A6">
        <w:rPr>
          <w:color w:val="auto"/>
        </w:rPr>
        <w:t xml:space="preserve">En outre, des documents en rapport avec le </w:t>
      </w:r>
      <w:r w:rsidR="00DA318E">
        <w:rPr>
          <w:color w:val="auto"/>
        </w:rPr>
        <w:t>CES</w:t>
      </w:r>
      <w:r w:rsidRPr="00C801A6">
        <w:rPr>
          <w:color w:val="auto"/>
        </w:rPr>
        <w:t xml:space="preserve"> de la </w:t>
      </w:r>
      <w:r w:rsidR="00B910A0" w:rsidRPr="00C801A6">
        <w:rPr>
          <w:color w:val="auto"/>
        </w:rPr>
        <w:t>Banque mondiale</w:t>
      </w:r>
      <w:r w:rsidRPr="00C801A6">
        <w:rPr>
          <w:color w:val="auto"/>
        </w:rPr>
        <w:t xml:space="preserve">, les Régions de Madagascar, des documents cadres d’autres projets financés par la </w:t>
      </w:r>
      <w:r w:rsidR="00B910A0" w:rsidRPr="00C801A6">
        <w:rPr>
          <w:color w:val="auto"/>
        </w:rPr>
        <w:t>Banque mondiale</w:t>
      </w:r>
      <w:r w:rsidRPr="00C801A6">
        <w:rPr>
          <w:color w:val="auto"/>
        </w:rPr>
        <w:t>, des textes juridiques en rapport avec le Projet ont été consultés.</w:t>
      </w:r>
    </w:p>
    <w:p w14:paraId="7FF38B30" w14:textId="77777777" w:rsidR="004252AA" w:rsidRPr="00C801A6" w:rsidRDefault="004252AA" w:rsidP="00844538">
      <w:pPr>
        <w:pStyle w:val="ListParagraph"/>
        <w:numPr>
          <w:ilvl w:val="0"/>
          <w:numId w:val="3"/>
        </w:numPr>
        <w:spacing w:after="120" w:line="276" w:lineRule="auto"/>
        <w:ind w:left="850" w:hanging="493"/>
        <w:contextualSpacing w:val="0"/>
        <w:rPr>
          <w:b/>
          <w:bCs/>
          <w:color w:val="auto"/>
        </w:rPr>
      </w:pPr>
      <w:r w:rsidRPr="00C801A6">
        <w:rPr>
          <w:b/>
          <w:bCs/>
          <w:color w:val="auto"/>
        </w:rPr>
        <w:t>Préparation d’un Plan de mobilisation des parties prenantes (PMPP)</w:t>
      </w:r>
    </w:p>
    <w:p w14:paraId="3D2FB19D" w14:textId="77777777" w:rsidR="004252AA" w:rsidRPr="00C801A6" w:rsidRDefault="004252AA" w:rsidP="004252AA">
      <w:pPr>
        <w:ind w:left="851"/>
        <w:rPr>
          <w:rFonts w:eastAsia="Times New Roman" w:cs="Times New Roman"/>
          <w:color w:val="auto"/>
        </w:rPr>
      </w:pPr>
      <w:r w:rsidRPr="00C801A6">
        <w:rPr>
          <w:color w:val="auto"/>
        </w:rPr>
        <w:t>Afin de mieux assurer des relations transactionnelles, transitionnelles et transformationnelles, l’implication des parties prenantes est essentielle. Pour ce faire, en conformité avec la NES1 et la NES10, un Plan de mobilisation des parties prenantes a été élaboré. Cette démarche a permis d’identifier l’ensemble des individus, groupes d’individus et institutio</w:t>
      </w:r>
      <w:r w:rsidRPr="00C801A6">
        <w:rPr>
          <w:rFonts w:eastAsia="Times New Roman" w:cs="Times New Roman"/>
          <w:color w:val="auto"/>
        </w:rPr>
        <w:t xml:space="preserve">ns concernés par le projet afin de les mobiliser et d’obtenir leurs engagements. Le PMPP constitue un document à part produit en parallèle avec ce CGES. </w:t>
      </w:r>
    </w:p>
    <w:p w14:paraId="68E4529D" w14:textId="77777777" w:rsidR="004252AA" w:rsidRPr="00C801A6" w:rsidRDefault="004252AA" w:rsidP="00844538">
      <w:pPr>
        <w:pStyle w:val="ListParagraph"/>
        <w:numPr>
          <w:ilvl w:val="0"/>
          <w:numId w:val="3"/>
        </w:numPr>
        <w:spacing w:after="120" w:line="276" w:lineRule="auto"/>
        <w:ind w:left="850" w:hanging="493"/>
        <w:contextualSpacing w:val="0"/>
        <w:rPr>
          <w:b/>
          <w:bCs/>
          <w:color w:val="auto"/>
        </w:rPr>
      </w:pPr>
      <w:r w:rsidRPr="00C801A6">
        <w:rPr>
          <w:b/>
          <w:bCs/>
          <w:color w:val="auto"/>
        </w:rPr>
        <w:t>Analyse des informations et rédaction du CGES.</w:t>
      </w:r>
    </w:p>
    <w:p w14:paraId="1A424A46" w14:textId="0F81CDEB" w:rsidR="004252AA" w:rsidRPr="00C801A6" w:rsidRDefault="004252AA" w:rsidP="004252AA">
      <w:pPr>
        <w:ind w:left="851"/>
        <w:rPr>
          <w:color w:val="auto"/>
        </w:rPr>
      </w:pPr>
      <w:r w:rsidRPr="00C801A6">
        <w:rPr>
          <w:color w:val="auto"/>
        </w:rPr>
        <w:t xml:space="preserve">Après obtention de données </w:t>
      </w:r>
      <w:r w:rsidR="00DA318E" w:rsidRPr="00C801A6">
        <w:rPr>
          <w:color w:val="auto"/>
        </w:rPr>
        <w:t>co</w:t>
      </w:r>
      <w:r w:rsidR="00DA318E">
        <w:rPr>
          <w:color w:val="auto"/>
        </w:rPr>
        <w:t>rr</w:t>
      </w:r>
      <w:r w:rsidR="00DA318E" w:rsidRPr="00C801A6">
        <w:rPr>
          <w:color w:val="auto"/>
        </w:rPr>
        <w:t xml:space="preserve">igées </w:t>
      </w:r>
      <w:r w:rsidRPr="00C801A6">
        <w:rPr>
          <w:color w:val="auto"/>
        </w:rPr>
        <w:t>et leur interprétation, il a été possible de rédiger le CGES.</w:t>
      </w:r>
    </w:p>
    <w:p w14:paraId="6C1DB2B1" w14:textId="51F20534" w:rsidR="00575CDF" w:rsidRPr="00C801A6" w:rsidRDefault="00014BC0" w:rsidP="00014BC0">
      <w:pPr>
        <w:pStyle w:val="Heading2"/>
      </w:pPr>
      <w:bookmarkStart w:id="34" w:name="_Toc106320265"/>
      <w:bookmarkStart w:id="35" w:name="_Toc230425976"/>
      <w:r w:rsidRPr="00C801A6">
        <w:lastRenderedPageBreak/>
        <w:t>STRUCTURATION DU CGES</w:t>
      </w:r>
      <w:bookmarkEnd w:id="34"/>
      <w:bookmarkEnd w:id="35"/>
    </w:p>
    <w:p w14:paraId="4A5D25B7" w14:textId="77777777" w:rsidR="00575CDF" w:rsidRPr="00C801A6" w:rsidRDefault="00575CDF" w:rsidP="00575CDF">
      <w:pPr>
        <w:rPr>
          <w:color w:val="auto"/>
        </w:rPr>
      </w:pPr>
      <w:r w:rsidRPr="00C801A6">
        <w:rPr>
          <w:color w:val="auto"/>
        </w:rPr>
        <w:t>En référence à la NES1, le Cadre de gestion environnementale et sociale comporte, entre autres, les sections ci-après :</w:t>
      </w:r>
    </w:p>
    <w:p w14:paraId="727CA93B" w14:textId="77777777" w:rsidR="00575CDF" w:rsidRPr="00C801A6" w:rsidRDefault="00575CDF" w:rsidP="00844538">
      <w:pPr>
        <w:pStyle w:val="ListParagraph"/>
        <w:numPr>
          <w:ilvl w:val="0"/>
          <w:numId w:val="28"/>
        </w:numPr>
        <w:spacing w:after="120" w:line="276" w:lineRule="auto"/>
        <w:ind w:left="709" w:hanging="425"/>
        <w:contextualSpacing w:val="0"/>
        <w:rPr>
          <w:rFonts w:cs="Arial"/>
          <w:color w:val="auto"/>
          <w:szCs w:val="20"/>
        </w:rPr>
      </w:pPr>
      <w:r w:rsidRPr="00C801A6">
        <w:rPr>
          <w:rFonts w:cs="Arial"/>
          <w:color w:val="auto"/>
          <w:szCs w:val="20"/>
        </w:rPr>
        <w:t>La description générale de l’environnement biophysique et humain des milieux récepteurs :</w:t>
      </w:r>
    </w:p>
    <w:p w14:paraId="33752EC6" w14:textId="33294F8A" w:rsidR="00575CDF" w:rsidRPr="00C801A6" w:rsidRDefault="004B0D7A" w:rsidP="00844538">
      <w:pPr>
        <w:pStyle w:val="ListParagraph"/>
        <w:numPr>
          <w:ilvl w:val="1"/>
          <w:numId w:val="28"/>
        </w:numPr>
        <w:spacing w:after="120" w:line="276" w:lineRule="auto"/>
        <w:ind w:left="1134" w:hanging="425"/>
        <w:contextualSpacing w:val="0"/>
        <w:rPr>
          <w:rFonts w:cs="Arial"/>
          <w:color w:val="auto"/>
          <w:szCs w:val="20"/>
        </w:rPr>
      </w:pPr>
      <w:r>
        <w:rPr>
          <w:rFonts w:cs="Arial"/>
          <w:color w:val="auto"/>
          <w:szCs w:val="20"/>
        </w:rPr>
        <w:t>D</w:t>
      </w:r>
      <w:r w:rsidR="00575CDF" w:rsidRPr="00C801A6">
        <w:rPr>
          <w:rFonts w:cs="Arial"/>
          <w:color w:val="auto"/>
          <w:szCs w:val="20"/>
        </w:rPr>
        <w:t>onnées physiques comme le climat, la géologie, la topographie, l’hydrographie et autres ;</w:t>
      </w:r>
    </w:p>
    <w:p w14:paraId="319042F7" w14:textId="08F6191F" w:rsidR="00575CDF" w:rsidRPr="00C801A6" w:rsidRDefault="004B0D7A" w:rsidP="00844538">
      <w:pPr>
        <w:pStyle w:val="ListParagraph"/>
        <w:numPr>
          <w:ilvl w:val="1"/>
          <w:numId w:val="28"/>
        </w:numPr>
        <w:spacing w:after="120" w:line="276" w:lineRule="auto"/>
        <w:ind w:left="1134" w:hanging="425"/>
        <w:contextualSpacing w:val="0"/>
        <w:rPr>
          <w:rFonts w:cs="Arial"/>
          <w:color w:val="auto"/>
          <w:szCs w:val="20"/>
        </w:rPr>
      </w:pPr>
      <w:r>
        <w:rPr>
          <w:rFonts w:cs="Arial"/>
          <w:color w:val="auto"/>
          <w:szCs w:val="20"/>
        </w:rPr>
        <w:t>D</w:t>
      </w:r>
      <w:r w:rsidR="00575CDF" w:rsidRPr="00C801A6">
        <w:rPr>
          <w:rFonts w:cs="Arial"/>
          <w:color w:val="auto"/>
          <w:szCs w:val="20"/>
        </w:rPr>
        <w:t>onnées biologiques comme la faune et la flore, les espèces phares et les espèces en danger, les zones sensibles, les aires protégées existantes … ;</w:t>
      </w:r>
    </w:p>
    <w:p w14:paraId="0665B9D4" w14:textId="628B5078" w:rsidR="00575CDF" w:rsidRPr="00C801A6" w:rsidRDefault="004B0D7A" w:rsidP="00844538">
      <w:pPr>
        <w:pStyle w:val="ListParagraph"/>
        <w:numPr>
          <w:ilvl w:val="1"/>
          <w:numId w:val="28"/>
        </w:numPr>
        <w:spacing w:after="120" w:line="276" w:lineRule="auto"/>
        <w:ind w:left="1134" w:hanging="425"/>
        <w:contextualSpacing w:val="0"/>
        <w:rPr>
          <w:rFonts w:cs="Arial"/>
          <w:color w:val="auto"/>
          <w:szCs w:val="20"/>
        </w:rPr>
      </w:pPr>
      <w:r>
        <w:rPr>
          <w:rFonts w:cs="Arial"/>
          <w:color w:val="auto"/>
          <w:szCs w:val="20"/>
        </w:rPr>
        <w:t>D</w:t>
      </w:r>
      <w:r w:rsidR="00575CDF" w:rsidRPr="00C801A6">
        <w:rPr>
          <w:rFonts w:cs="Arial"/>
          <w:color w:val="auto"/>
          <w:szCs w:val="20"/>
        </w:rPr>
        <w:t>onnées sociales et culturelles comme la population, l’occupation des sols, l’aspect foncier, les moyens de subsistance …</w:t>
      </w:r>
    </w:p>
    <w:p w14:paraId="0796A10F" w14:textId="0ECA1324" w:rsidR="00575CDF" w:rsidRPr="00C801A6" w:rsidRDefault="00575CDF" w:rsidP="00844538">
      <w:pPr>
        <w:pStyle w:val="ListParagraph"/>
        <w:numPr>
          <w:ilvl w:val="0"/>
          <w:numId w:val="28"/>
        </w:numPr>
        <w:spacing w:after="120" w:line="276" w:lineRule="auto"/>
        <w:ind w:left="709" w:hanging="425"/>
        <w:contextualSpacing w:val="0"/>
        <w:rPr>
          <w:rFonts w:cs="Arial"/>
          <w:color w:val="auto"/>
        </w:rPr>
      </w:pPr>
      <w:r w:rsidRPr="00C801A6">
        <w:rPr>
          <w:rFonts w:cs="Arial"/>
          <w:color w:val="auto"/>
        </w:rPr>
        <w:t xml:space="preserve">Les cadres légaux et réglementaires : les textes et lois en vigueur en matière de gestion environnementale et sociale, les politiques sectorielles, ainsi que les guides et pratiques usités en termes de recasement de population, avec une analyse croisée avec les exigences du CES de la </w:t>
      </w:r>
      <w:r w:rsidR="00B910A0" w:rsidRPr="00C801A6">
        <w:rPr>
          <w:rFonts w:cs="Arial"/>
          <w:color w:val="auto"/>
        </w:rPr>
        <w:t>Banque mondiale</w:t>
      </w:r>
      <w:r w:rsidRPr="00C801A6">
        <w:rPr>
          <w:rFonts w:cs="Arial"/>
          <w:color w:val="auto"/>
        </w:rPr>
        <w:t xml:space="preserve"> en vue de proposer de recommandations.</w:t>
      </w:r>
    </w:p>
    <w:p w14:paraId="38AD61EA" w14:textId="77777777" w:rsidR="00575CDF" w:rsidRPr="00C801A6" w:rsidRDefault="00575CDF" w:rsidP="00844538">
      <w:pPr>
        <w:pStyle w:val="ListParagraph"/>
        <w:numPr>
          <w:ilvl w:val="0"/>
          <w:numId w:val="28"/>
        </w:numPr>
        <w:spacing w:after="120" w:line="276" w:lineRule="auto"/>
        <w:ind w:left="709" w:hanging="425"/>
        <w:contextualSpacing w:val="0"/>
        <w:rPr>
          <w:rFonts w:cs="Arial"/>
          <w:color w:val="auto"/>
          <w:szCs w:val="20"/>
        </w:rPr>
      </w:pPr>
      <w:r w:rsidRPr="00C801A6">
        <w:rPr>
          <w:rFonts w:cs="Arial"/>
          <w:color w:val="auto"/>
          <w:szCs w:val="20"/>
        </w:rPr>
        <w:t>L’analyse des enjeux environnementaux et sociaux, relatives aux différentes composantes du projet. Ces enjeux traitent et les impacts positifs et les impacts négatifs nécessitant des mesures d’intégrations adéquates.</w:t>
      </w:r>
    </w:p>
    <w:p w14:paraId="6E9220F3" w14:textId="77777777" w:rsidR="00575CDF" w:rsidRPr="00C801A6" w:rsidRDefault="00575CDF" w:rsidP="00844538">
      <w:pPr>
        <w:pStyle w:val="ListParagraph"/>
        <w:numPr>
          <w:ilvl w:val="0"/>
          <w:numId w:val="28"/>
        </w:numPr>
        <w:spacing w:after="120" w:line="276" w:lineRule="auto"/>
        <w:ind w:left="709" w:hanging="425"/>
        <w:contextualSpacing w:val="0"/>
        <w:rPr>
          <w:rFonts w:cs="Arial"/>
          <w:color w:val="auto"/>
          <w:szCs w:val="20"/>
        </w:rPr>
      </w:pPr>
      <w:r w:rsidRPr="00C801A6">
        <w:rPr>
          <w:rFonts w:cs="Arial"/>
          <w:color w:val="auto"/>
          <w:szCs w:val="20"/>
        </w:rPr>
        <w:t>Le mécanisme d’examen E&amp;S préliminaire des sous-projets.</w:t>
      </w:r>
    </w:p>
    <w:p w14:paraId="77070D66" w14:textId="77777777" w:rsidR="00575CDF" w:rsidRPr="00C801A6" w:rsidRDefault="00575CDF" w:rsidP="00844538">
      <w:pPr>
        <w:pStyle w:val="ListParagraph"/>
        <w:numPr>
          <w:ilvl w:val="0"/>
          <w:numId w:val="28"/>
        </w:numPr>
        <w:spacing w:after="120" w:line="276" w:lineRule="auto"/>
        <w:ind w:left="709" w:hanging="425"/>
        <w:contextualSpacing w:val="0"/>
        <w:rPr>
          <w:rFonts w:cs="Arial"/>
          <w:color w:val="auto"/>
          <w:szCs w:val="20"/>
        </w:rPr>
      </w:pPr>
      <w:r w:rsidRPr="00C801A6">
        <w:rPr>
          <w:rFonts w:cs="Arial"/>
          <w:color w:val="auto"/>
          <w:szCs w:val="20"/>
        </w:rPr>
        <w:t>L’analyse des impacts potentiels des sous-projets à mettre en œuvre dans le cadre du projet.</w:t>
      </w:r>
    </w:p>
    <w:p w14:paraId="6499FD76" w14:textId="77777777" w:rsidR="00575CDF" w:rsidRPr="00C801A6" w:rsidRDefault="00575CDF" w:rsidP="00844538">
      <w:pPr>
        <w:pStyle w:val="ListParagraph"/>
        <w:numPr>
          <w:ilvl w:val="0"/>
          <w:numId w:val="28"/>
        </w:numPr>
        <w:spacing w:after="120" w:line="276" w:lineRule="auto"/>
        <w:ind w:left="709" w:hanging="425"/>
        <w:contextualSpacing w:val="0"/>
        <w:rPr>
          <w:rFonts w:cs="Arial"/>
          <w:color w:val="auto"/>
          <w:szCs w:val="20"/>
        </w:rPr>
      </w:pPr>
      <w:r w:rsidRPr="00C801A6">
        <w:rPr>
          <w:rFonts w:cs="Arial"/>
          <w:color w:val="auto"/>
          <w:szCs w:val="20"/>
        </w:rPr>
        <w:t xml:space="preserve">L’analyse des alternatives. Ces alternatives peuvent toucher les politiques sectorielles, l’utilisation des ressources naturelles, l’approche et les méthodes d’entretien routier. </w:t>
      </w:r>
    </w:p>
    <w:p w14:paraId="029D7801" w14:textId="77777777" w:rsidR="00575CDF" w:rsidRPr="00C801A6" w:rsidRDefault="00575CDF" w:rsidP="00844538">
      <w:pPr>
        <w:pStyle w:val="ListParagraph"/>
        <w:numPr>
          <w:ilvl w:val="0"/>
          <w:numId w:val="28"/>
        </w:numPr>
        <w:spacing w:after="120" w:line="276" w:lineRule="auto"/>
        <w:ind w:left="709" w:hanging="425"/>
        <w:contextualSpacing w:val="0"/>
        <w:rPr>
          <w:rFonts w:cs="Arial"/>
          <w:color w:val="auto"/>
        </w:rPr>
      </w:pPr>
      <w:r w:rsidRPr="00C801A6">
        <w:rPr>
          <w:rFonts w:cs="Arial"/>
          <w:color w:val="auto"/>
        </w:rPr>
        <w:t>L’élaboration de Plan cadre de gestion et de mitigation des impacts négatifs. Il s’agit d’une proposition de méthodologie pratique, faisable techniquement et financièrement pour la prévention et la réduction des impacts négatifs des sous-projets ;</w:t>
      </w:r>
    </w:p>
    <w:p w14:paraId="6E11738F" w14:textId="77777777" w:rsidR="00575CDF" w:rsidRPr="00C801A6" w:rsidRDefault="00575CDF" w:rsidP="00844538">
      <w:pPr>
        <w:pStyle w:val="ListParagraph"/>
        <w:numPr>
          <w:ilvl w:val="0"/>
          <w:numId w:val="28"/>
        </w:numPr>
        <w:spacing w:after="120" w:line="276" w:lineRule="auto"/>
        <w:ind w:left="709" w:hanging="425"/>
        <w:contextualSpacing w:val="0"/>
        <w:rPr>
          <w:rFonts w:cs="Arial"/>
          <w:color w:val="auto"/>
        </w:rPr>
      </w:pPr>
      <w:r w:rsidRPr="00C801A6">
        <w:rPr>
          <w:rFonts w:cs="Arial"/>
          <w:color w:val="auto"/>
        </w:rPr>
        <w:t xml:space="preserve">Le cadre institutionnel : l’arrangement institutionnel prévu pour la mise en œuvre du projet en général et pour la mise en œuvre du CGES, en particulier, avec analyse des compétences des parties prenantes en vue d’une proposition de Plan de renforcement des capacités adapté ; </w:t>
      </w:r>
    </w:p>
    <w:p w14:paraId="2E8B33CE" w14:textId="77777777" w:rsidR="00575CDF" w:rsidRPr="00C801A6" w:rsidRDefault="00575CDF" w:rsidP="00844538">
      <w:pPr>
        <w:pStyle w:val="ListParagraph"/>
        <w:numPr>
          <w:ilvl w:val="0"/>
          <w:numId w:val="28"/>
        </w:numPr>
        <w:spacing w:after="120" w:line="276" w:lineRule="auto"/>
        <w:ind w:left="709" w:hanging="425"/>
        <w:contextualSpacing w:val="0"/>
        <w:rPr>
          <w:rFonts w:cs="Arial"/>
          <w:color w:val="auto"/>
          <w:szCs w:val="20"/>
        </w:rPr>
      </w:pPr>
      <w:r w:rsidRPr="00C801A6">
        <w:rPr>
          <w:rFonts w:cs="Arial"/>
          <w:color w:val="auto"/>
          <w:szCs w:val="20"/>
        </w:rPr>
        <w:t xml:space="preserve">La proposition de budget pour ces mesures d’intégration et pour le Plan de renforcement des capacités des parties prenantes ; </w:t>
      </w:r>
    </w:p>
    <w:p w14:paraId="2D4F442C" w14:textId="77777777" w:rsidR="00575CDF" w:rsidRPr="00C801A6" w:rsidRDefault="00575CDF" w:rsidP="00844538">
      <w:pPr>
        <w:pStyle w:val="ListParagraph"/>
        <w:numPr>
          <w:ilvl w:val="0"/>
          <w:numId w:val="28"/>
        </w:numPr>
        <w:spacing w:after="120" w:line="276" w:lineRule="auto"/>
        <w:ind w:left="709" w:hanging="425"/>
        <w:contextualSpacing w:val="0"/>
        <w:rPr>
          <w:rFonts w:cs="Arial"/>
          <w:color w:val="auto"/>
          <w:szCs w:val="20"/>
        </w:rPr>
      </w:pPr>
      <w:r w:rsidRPr="00C801A6">
        <w:rPr>
          <w:rFonts w:cs="Arial"/>
          <w:color w:val="auto"/>
          <w:szCs w:val="20"/>
        </w:rPr>
        <w:t xml:space="preserve">La proposition d’un mécanisme participatif de suivi environnemental et social adapté aux Plans de gestion environnementale et sociale types (PGES) selon les sous-projets ; </w:t>
      </w:r>
    </w:p>
    <w:p w14:paraId="54F719C2" w14:textId="77777777" w:rsidR="00575CDF" w:rsidRPr="00C801A6" w:rsidRDefault="00575CDF" w:rsidP="00844538">
      <w:pPr>
        <w:pStyle w:val="ListParagraph"/>
        <w:numPr>
          <w:ilvl w:val="0"/>
          <w:numId w:val="28"/>
        </w:numPr>
        <w:spacing w:after="120" w:line="276" w:lineRule="auto"/>
        <w:ind w:left="709" w:hanging="425"/>
        <w:contextualSpacing w:val="0"/>
        <w:rPr>
          <w:rFonts w:cs="Arial"/>
          <w:color w:val="auto"/>
          <w:szCs w:val="20"/>
        </w:rPr>
      </w:pPr>
      <w:r w:rsidRPr="00C801A6">
        <w:rPr>
          <w:rFonts w:cs="Arial"/>
          <w:color w:val="auto"/>
          <w:szCs w:val="20"/>
        </w:rPr>
        <w:t>La clarification des attributions des entités engagées dans la mise en œuvre des Plans de gestion environnementale et sociale.</w:t>
      </w:r>
    </w:p>
    <w:p w14:paraId="26A41626" w14:textId="4D4E1E7E" w:rsidR="00575CDF" w:rsidRPr="00C801A6" w:rsidRDefault="00B910A0" w:rsidP="00844538">
      <w:pPr>
        <w:pStyle w:val="ListParagraph"/>
        <w:numPr>
          <w:ilvl w:val="0"/>
          <w:numId w:val="28"/>
        </w:numPr>
        <w:spacing w:after="120" w:line="276" w:lineRule="auto"/>
        <w:ind w:left="709" w:hanging="425"/>
        <w:contextualSpacing w:val="0"/>
        <w:rPr>
          <w:rFonts w:cs="Arial"/>
          <w:color w:val="auto"/>
          <w:szCs w:val="20"/>
        </w:rPr>
      </w:pPr>
      <w:r w:rsidRPr="00C801A6">
        <w:rPr>
          <w:rFonts w:cs="Arial"/>
          <w:color w:val="auto"/>
          <w:szCs w:val="20"/>
        </w:rPr>
        <w:lastRenderedPageBreak/>
        <w:t>La participation publique : cet aspect est très important dans tout instrument de sauvegarde. La consultation publique dès la conception et l’élaboration des documents de planification permet de mieux responsabiliser les parties prenantes lors de la mise en œuvre subséquente des activités. Aussi bien dans les documents cadres comme le CGES, que dans les documents spécifiques comme les PGES, la participation publique fera l’objet d’un chapitre particulier.</w:t>
      </w:r>
    </w:p>
    <w:p w14:paraId="7FF26E24" w14:textId="77777777" w:rsidR="00575CDF" w:rsidRPr="00C801A6" w:rsidRDefault="00575CDF" w:rsidP="00844538">
      <w:pPr>
        <w:pStyle w:val="ListParagraph"/>
        <w:numPr>
          <w:ilvl w:val="0"/>
          <w:numId w:val="28"/>
        </w:numPr>
        <w:spacing w:after="120" w:line="276" w:lineRule="auto"/>
        <w:ind w:left="709" w:hanging="425"/>
        <w:contextualSpacing w:val="0"/>
        <w:rPr>
          <w:rFonts w:cs="Arial"/>
          <w:color w:val="auto"/>
        </w:rPr>
      </w:pPr>
      <w:r w:rsidRPr="00C801A6">
        <w:rPr>
          <w:rFonts w:cs="Arial"/>
          <w:color w:val="auto"/>
        </w:rPr>
        <w:t>La démarche à suivre dans le cas d’intervention dans une zone d’intérêt culturel ou cultuel.</w:t>
      </w:r>
    </w:p>
    <w:p w14:paraId="12786014" w14:textId="77777777" w:rsidR="00575CDF" w:rsidRPr="00C801A6" w:rsidRDefault="00575CDF" w:rsidP="00575CDF">
      <w:pPr>
        <w:pStyle w:val="ListParagraph"/>
        <w:ind w:left="850"/>
        <w:contextualSpacing w:val="0"/>
        <w:rPr>
          <w:color w:val="auto"/>
        </w:rPr>
      </w:pPr>
    </w:p>
    <w:p w14:paraId="2F0AA2A1" w14:textId="77777777" w:rsidR="00575CDF" w:rsidRPr="00C801A6" w:rsidRDefault="00575CDF" w:rsidP="00575CDF">
      <w:pPr>
        <w:pStyle w:val="ListParagraph"/>
        <w:ind w:left="850"/>
        <w:contextualSpacing w:val="0"/>
        <w:rPr>
          <w:color w:val="auto"/>
        </w:rPr>
        <w:sectPr w:rsidR="00575CDF" w:rsidRPr="00C801A6" w:rsidSect="007055EF">
          <w:headerReference w:type="default" r:id="rId24"/>
          <w:pgSz w:w="11906" w:h="16838"/>
          <w:pgMar w:top="1418" w:right="1418" w:bottom="1418" w:left="1418" w:header="709" w:footer="709" w:gutter="0"/>
          <w:pgNumType w:start="1"/>
          <w:cols w:space="708"/>
          <w:docGrid w:linePitch="360"/>
        </w:sectPr>
      </w:pPr>
    </w:p>
    <w:p w14:paraId="460DB947" w14:textId="77777777" w:rsidR="00575CDF" w:rsidRPr="00C801A6" w:rsidRDefault="00575CDF" w:rsidP="00014BC0">
      <w:pPr>
        <w:pStyle w:val="Heading1"/>
      </w:pPr>
      <w:bookmarkStart w:id="36" w:name="_Toc106320266"/>
      <w:bookmarkStart w:id="37" w:name="_Toc230425977"/>
      <w:r w:rsidRPr="00C801A6">
        <w:lastRenderedPageBreak/>
        <w:t>DESCRIPTION DU PROJET</w:t>
      </w:r>
      <w:bookmarkEnd w:id="36"/>
      <w:bookmarkEnd w:id="37"/>
    </w:p>
    <w:p w14:paraId="1789BAE0" w14:textId="48E9BD6B" w:rsidR="00575CDF" w:rsidRPr="00C801A6" w:rsidRDefault="00575CDF" w:rsidP="00014BC0">
      <w:pPr>
        <w:pStyle w:val="Heading2"/>
      </w:pPr>
      <w:bookmarkStart w:id="38" w:name="_Toc106320267"/>
      <w:bookmarkStart w:id="39" w:name="_Toc230425978"/>
      <w:r w:rsidRPr="00C801A6">
        <w:t>GENERALITES SUR LE PROJET</w:t>
      </w:r>
      <w:bookmarkEnd w:id="38"/>
      <w:bookmarkEnd w:id="39"/>
      <w:r w:rsidR="00FE2D32">
        <w:t> </w:t>
      </w:r>
    </w:p>
    <w:p w14:paraId="19D2F44D" w14:textId="1171C3CC" w:rsidR="00575CDF" w:rsidRDefault="00575CDF" w:rsidP="00575CDF">
      <w:pPr>
        <w:rPr>
          <w:rFonts w:cs="Times New Roman"/>
          <w:color w:val="auto"/>
        </w:rPr>
      </w:pPr>
      <w:r w:rsidRPr="00C801A6">
        <w:rPr>
          <w:rFonts w:cs="Times New Roman"/>
          <w:color w:val="auto"/>
        </w:rPr>
        <w:t xml:space="preserve">Le </w:t>
      </w:r>
      <w:r w:rsidR="009C4F72" w:rsidRPr="00C801A6">
        <w:rPr>
          <w:rFonts w:cs="Times New Roman"/>
          <w:color w:val="auto"/>
        </w:rPr>
        <w:t>P</w:t>
      </w:r>
      <w:r w:rsidR="00A8662B">
        <w:rPr>
          <w:rFonts w:cs="Times New Roman"/>
          <w:color w:val="auto"/>
        </w:rPr>
        <w:t>CMCI</w:t>
      </w:r>
      <w:r w:rsidR="009C4F72" w:rsidRPr="00C801A6">
        <w:rPr>
          <w:rFonts w:cs="Times New Roman"/>
          <w:color w:val="auto"/>
        </w:rPr>
        <w:t xml:space="preserve"> </w:t>
      </w:r>
      <w:r w:rsidRPr="00C801A6">
        <w:rPr>
          <w:rFonts w:cs="Times New Roman"/>
          <w:color w:val="auto"/>
        </w:rPr>
        <w:t xml:space="preserve">est financé par la </w:t>
      </w:r>
      <w:r w:rsidR="00B910A0" w:rsidRPr="00C801A6">
        <w:rPr>
          <w:rFonts w:cs="Times New Roman"/>
          <w:color w:val="auto"/>
        </w:rPr>
        <w:t>Banque mondiale</w:t>
      </w:r>
      <w:r w:rsidRPr="00C801A6">
        <w:rPr>
          <w:rFonts w:cs="Times New Roman"/>
          <w:color w:val="auto"/>
        </w:rPr>
        <w:t xml:space="preserve"> pour soutenir le Gouvernement de Madagascar</w:t>
      </w:r>
      <w:r w:rsidR="009C4F72" w:rsidRPr="00C801A6">
        <w:rPr>
          <w:rFonts w:cs="Times New Roman"/>
          <w:color w:val="auto"/>
        </w:rPr>
        <w:t>. Il est sous la</w:t>
      </w:r>
      <w:r w:rsidRPr="00C801A6">
        <w:rPr>
          <w:rFonts w:cs="Times New Roman"/>
          <w:color w:val="auto"/>
        </w:rPr>
        <w:t xml:space="preserve"> sous-tutelle </w:t>
      </w:r>
      <w:r w:rsidR="009C4F72" w:rsidRPr="00C801A6">
        <w:rPr>
          <w:rFonts w:cs="Times New Roman"/>
          <w:color w:val="auto"/>
        </w:rPr>
        <w:t xml:space="preserve">technique </w:t>
      </w:r>
      <w:r w:rsidRPr="00C801A6">
        <w:rPr>
          <w:rFonts w:cs="Times New Roman"/>
          <w:color w:val="auto"/>
        </w:rPr>
        <w:t xml:space="preserve">du </w:t>
      </w:r>
      <w:r w:rsidR="001F446C" w:rsidRPr="00C801A6">
        <w:rPr>
          <w:rFonts w:cs="Times New Roman"/>
          <w:color w:val="auto"/>
        </w:rPr>
        <w:t>Ministère des Travaux Publics</w:t>
      </w:r>
      <w:r w:rsidRPr="00C801A6">
        <w:rPr>
          <w:rFonts w:cs="Times New Roman"/>
          <w:color w:val="auto"/>
        </w:rPr>
        <w:t xml:space="preserve"> (</w:t>
      </w:r>
      <w:r w:rsidR="001F446C" w:rsidRPr="00C801A6">
        <w:rPr>
          <w:rFonts w:cs="Times New Roman"/>
          <w:color w:val="auto"/>
        </w:rPr>
        <w:t>MTP</w:t>
      </w:r>
      <w:r w:rsidRPr="00C801A6">
        <w:rPr>
          <w:rFonts w:cs="Times New Roman"/>
          <w:color w:val="auto"/>
        </w:rPr>
        <w:t>) et du Ministère des Transports et de la Météorologie (</w:t>
      </w:r>
      <w:r w:rsidR="001F446C" w:rsidRPr="00C801A6">
        <w:rPr>
          <w:rFonts w:cs="Times New Roman"/>
          <w:color w:val="auto"/>
        </w:rPr>
        <w:t>MTM</w:t>
      </w:r>
      <w:r w:rsidRPr="00C801A6">
        <w:rPr>
          <w:rFonts w:cs="Times New Roman"/>
          <w:color w:val="auto"/>
        </w:rPr>
        <w:t>)</w:t>
      </w:r>
      <w:r w:rsidR="009C4F72" w:rsidRPr="00C801A6">
        <w:rPr>
          <w:rFonts w:cs="Times New Roman"/>
          <w:color w:val="auto"/>
        </w:rPr>
        <w:t xml:space="preserve"> avec la participation de </w:t>
      </w:r>
      <w:r w:rsidR="00853CFE" w:rsidRPr="00C801A6">
        <w:rPr>
          <w:rFonts w:cs="Times New Roman"/>
          <w:color w:val="auto"/>
        </w:rPr>
        <w:t>l’A</w:t>
      </w:r>
      <w:r w:rsidR="00853CFE">
        <w:rPr>
          <w:rFonts w:cs="Times New Roman"/>
          <w:color w:val="auto"/>
        </w:rPr>
        <w:t>gence</w:t>
      </w:r>
      <w:r w:rsidR="00853CFE" w:rsidRPr="00C801A6">
        <w:rPr>
          <w:rFonts w:cs="Times New Roman"/>
          <w:color w:val="auto"/>
        </w:rPr>
        <w:t xml:space="preserve"> </w:t>
      </w:r>
      <w:r w:rsidR="009C4F72" w:rsidRPr="00C801A6">
        <w:rPr>
          <w:rFonts w:cs="Times New Roman"/>
          <w:color w:val="auto"/>
        </w:rPr>
        <w:t>Routière (AR) et du Fonds Routier (FR) et d</w:t>
      </w:r>
      <w:r w:rsidR="00200D3B">
        <w:rPr>
          <w:rFonts w:cs="Times New Roman"/>
          <w:color w:val="auto"/>
        </w:rPr>
        <w:t>e l’Unité de Coordination du Projet CERC-PCMCI du</w:t>
      </w:r>
      <w:r w:rsidR="009C4F72" w:rsidRPr="00C801A6">
        <w:rPr>
          <w:rFonts w:cs="Times New Roman"/>
          <w:color w:val="auto"/>
        </w:rPr>
        <w:t xml:space="preserve"> et sous la tutelle financière</w:t>
      </w:r>
      <w:r w:rsidRPr="00C801A6">
        <w:rPr>
          <w:rFonts w:cs="Times New Roman"/>
          <w:color w:val="auto"/>
        </w:rPr>
        <w:t xml:space="preserve"> du Ministère de l’Économie et des Finances (MEF).</w:t>
      </w:r>
    </w:p>
    <w:p w14:paraId="1B69D68A" w14:textId="3F932065" w:rsidR="00D8670E" w:rsidRPr="00C576AA" w:rsidRDefault="00D8670E" w:rsidP="00D8670E">
      <w:pPr>
        <w:autoSpaceDE w:val="0"/>
        <w:autoSpaceDN w:val="0"/>
        <w:adjustRightInd w:val="0"/>
        <w:rPr>
          <w:rFonts w:cs="Times New Roman"/>
          <w:color w:val="auto"/>
        </w:rPr>
      </w:pPr>
      <w:r>
        <w:rPr>
          <w:rFonts w:cs="Times New Roman"/>
          <w:color w:val="auto"/>
        </w:rPr>
        <w:t>L</w:t>
      </w:r>
      <w:r w:rsidRPr="00C576AA">
        <w:rPr>
          <w:rFonts w:cs="Times New Roman"/>
          <w:color w:val="auto"/>
        </w:rPr>
        <w:t>’objectif de développement du programme est de soutenir les efforts sur le long terme du gouvernement pour améliorer la connectivité des transports dans certaines zones prioritaires d’une part et les réformes institutionnelles dans le but de renforcer la durabilité du secteur des routes à Madagascar d’autre part.</w:t>
      </w:r>
    </w:p>
    <w:p w14:paraId="1DBCBF12" w14:textId="547126A0" w:rsidR="00575CDF" w:rsidRPr="00C801A6" w:rsidRDefault="00575CDF" w:rsidP="00575CDF">
      <w:pPr>
        <w:rPr>
          <w:rFonts w:cs="Times New Roman"/>
          <w:color w:val="auto"/>
          <w:szCs w:val="24"/>
        </w:rPr>
      </w:pPr>
      <w:r w:rsidRPr="0030610F">
        <w:rPr>
          <w:rFonts w:cs="Times New Roman"/>
          <w:color w:val="auto"/>
          <w:szCs w:val="24"/>
        </w:rPr>
        <w:t xml:space="preserve">Les avantages directs du </w:t>
      </w:r>
      <w:r w:rsidR="0030610F">
        <w:rPr>
          <w:rFonts w:cs="Times New Roman"/>
          <w:color w:val="auto"/>
          <w:szCs w:val="24"/>
        </w:rPr>
        <w:t xml:space="preserve">déclenchement de la </w:t>
      </w:r>
      <w:r w:rsidR="00853CFE">
        <w:rPr>
          <w:rFonts w:cs="Times New Roman"/>
          <w:color w:val="auto"/>
          <w:szCs w:val="24"/>
        </w:rPr>
        <w:t>CERC2</w:t>
      </w:r>
      <w:r w:rsidRPr="0030610F">
        <w:rPr>
          <w:rFonts w:cs="Times New Roman"/>
          <w:color w:val="auto"/>
          <w:szCs w:val="24"/>
        </w:rPr>
        <w:t xml:space="preserve"> seront </w:t>
      </w:r>
      <w:r w:rsidR="00DA318E">
        <w:rPr>
          <w:rFonts w:cs="Times New Roman"/>
          <w:color w:val="auto"/>
          <w:szCs w:val="24"/>
        </w:rPr>
        <w:t xml:space="preserve">le maintien de la mobilité par </w:t>
      </w:r>
      <w:r w:rsidRPr="0030610F">
        <w:rPr>
          <w:rFonts w:cs="Times New Roman"/>
          <w:color w:val="auto"/>
          <w:szCs w:val="24"/>
        </w:rPr>
        <w:t>l’amélioration des conditions routières</w:t>
      </w:r>
      <w:r w:rsidR="00DA318E">
        <w:rPr>
          <w:rFonts w:cs="Times New Roman"/>
          <w:color w:val="auto"/>
          <w:szCs w:val="24"/>
        </w:rPr>
        <w:t xml:space="preserve"> des sections concernées</w:t>
      </w:r>
      <w:r w:rsidRPr="0030610F">
        <w:rPr>
          <w:rFonts w:cs="Times New Roman"/>
          <w:color w:val="auto"/>
          <w:szCs w:val="24"/>
        </w:rPr>
        <w:t xml:space="preserve">, la réduction des coûts de déplacement, l’accessibilité accrue et une infrastructure routière plus fiable. Ces avantages résulteront d’investissements dans les </w:t>
      </w:r>
      <w:r w:rsidR="0030610F">
        <w:rPr>
          <w:rFonts w:cs="Times New Roman"/>
          <w:color w:val="auto"/>
          <w:szCs w:val="24"/>
        </w:rPr>
        <w:t>sous-</w:t>
      </w:r>
      <w:r w:rsidRPr="0030610F">
        <w:rPr>
          <w:rFonts w:cs="Times New Roman"/>
          <w:color w:val="auto"/>
          <w:szCs w:val="24"/>
        </w:rPr>
        <w:t>projets d’infrastructure routière mettant l’accent, en particulier, sur la résilience au changement climatique et la sécurité routière.</w:t>
      </w:r>
      <w:r w:rsidR="009974C7" w:rsidRPr="0030610F">
        <w:rPr>
          <w:rFonts w:cs="Times New Roman"/>
          <w:color w:val="auto"/>
          <w:szCs w:val="24"/>
        </w:rPr>
        <w:t xml:space="preserve"> Relatif au </w:t>
      </w:r>
      <w:r w:rsidR="0030610F">
        <w:rPr>
          <w:rFonts w:cs="Times New Roman"/>
          <w:color w:val="auto"/>
          <w:szCs w:val="24"/>
        </w:rPr>
        <w:t>sous-</w:t>
      </w:r>
      <w:r w:rsidR="009974C7" w:rsidRPr="0030610F">
        <w:rPr>
          <w:rFonts w:cs="Times New Roman"/>
          <w:color w:val="auto"/>
          <w:szCs w:val="24"/>
        </w:rPr>
        <w:t xml:space="preserve">projet </w:t>
      </w:r>
      <w:r w:rsidR="0030610F" w:rsidRPr="0030610F">
        <w:rPr>
          <w:rFonts w:cs="Times New Roman"/>
          <w:color w:val="auto"/>
          <w:szCs w:val="24"/>
        </w:rPr>
        <w:t>de Réhabilitation du Port de Mahajanga, on peut citer comme avantage la conformité des conditions d’exploitation du port par rapport aux standards d’exploitation et l’évitement de tout risque d’opération portuaire.</w:t>
      </w:r>
    </w:p>
    <w:p w14:paraId="6CFADD8B" w14:textId="6C47A583" w:rsidR="00575CDF" w:rsidRPr="00C801A6" w:rsidRDefault="00575CDF" w:rsidP="00575CDF">
      <w:pPr>
        <w:rPr>
          <w:rFonts w:cs="Times New Roman"/>
          <w:color w:val="auto"/>
          <w:szCs w:val="24"/>
        </w:rPr>
      </w:pPr>
      <w:r w:rsidRPr="00C801A6">
        <w:rPr>
          <w:rFonts w:cs="Times New Roman"/>
          <w:color w:val="auto"/>
          <w:szCs w:val="24"/>
        </w:rPr>
        <w:t xml:space="preserve">En outre, les activités </w:t>
      </w:r>
      <w:r w:rsidR="0030610F">
        <w:rPr>
          <w:rFonts w:cs="Times New Roman"/>
          <w:color w:val="auto"/>
          <w:szCs w:val="24"/>
        </w:rPr>
        <w:t>entreprises dans le cadre de la composante 4</w:t>
      </w:r>
      <w:r w:rsidRPr="00C801A6">
        <w:rPr>
          <w:rFonts w:cs="Times New Roman"/>
          <w:color w:val="auto"/>
          <w:szCs w:val="24"/>
        </w:rPr>
        <w:t xml:space="preserve"> amélioreront les capacités de mise en œuvre et l’efficacité des organismes publics, ce qui contribuera indirectement à la durabilité et à la résilience des infrastructures routières</w:t>
      </w:r>
      <w:r w:rsidR="0030610F">
        <w:rPr>
          <w:rFonts w:cs="Times New Roman"/>
          <w:color w:val="auto"/>
          <w:szCs w:val="24"/>
        </w:rPr>
        <w:t xml:space="preserve"> et portuaires</w:t>
      </w:r>
      <w:r w:rsidRPr="00C801A6">
        <w:rPr>
          <w:rFonts w:cs="Times New Roman"/>
          <w:color w:val="auto"/>
          <w:szCs w:val="24"/>
        </w:rPr>
        <w:t>.</w:t>
      </w:r>
    </w:p>
    <w:p w14:paraId="6F120CB0" w14:textId="0947FFA4" w:rsidR="00575CDF" w:rsidRPr="00C801A6" w:rsidRDefault="00575CDF" w:rsidP="00575CDF">
      <w:pPr>
        <w:rPr>
          <w:rFonts w:cs="Times New Roman"/>
          <w:color w:val="auto"/>
          <w:szCs w:val="24"/>
        </w:rPr>
      </w:pPr>
      <w:r w:rsidRPr="00C801A6">
        <w:rPr>
          <w:rFonts w:cs="Times New Roman"/>
          <w:color w:val="auto"/>
          <w:szCs w:val="24"/>
        </w:rPr>
        <w:t>Les bénéficiaires de ce</w:t>
      </w:r>
      <w:r w:rsidR="0030610F">
        <w:rPr>
          <w:rFonts w:cs="Times New Roman"/>
          <w:color w:val="auto"/>
          <w:szCs w:val="24"/>
        </w:rPr>
        <w:t>s</w:t>
      </w:r>
      <w:r w:rsidRPr="00C801A6">
        <w:rPr>
          <w:rFonts w:cs="Times New Roman"/>
          <w:color w:val="auto"/>
          <w:szCs w:val="24"/>
        </w:rPr>
        <w:t xml:space="preserve"> </w:t>
      </w:r>
      <w:r w:rsidR="0030610F">
        <w:rPr>
          <w:rFonts w:cs="Times New Roman"/>
          <w:color w:val="auto"/>
          <w:szCs w:val="24"/>
        </w:rPr>
        <w:t>sous-</w:t>
      </w:r>
      <w:r w:rsidRPr="00C801A6">
        <w:rPr>
          <w:rFonts w:cs="Times New Roman"/>
          <w:color w:val="auto"/>
          <w:szCs w:val="24"/>
        </w:rPr>
        <w:t>projet sont les usagers de la route, les habitants des villes reliées par les routes entretenues et une grande partie du trafic national de marchandises et de passagers par l’amélioration de l’état des routes. Quoique les sections exactes qui feront l’objet de travaux d’entretien dans le cadre de ce</w:t>
      </w:r>
      <w:r w:rsidR="0030610F">
        <w:rPr>
          <w:rFonts w:cs="Times New Roman"/>
          <w:color w:val="auto"/>
          <w:szCs w:val="24"/>
        </w:rPr>
        <w:t>tte composante</w:t>
      </w:r>
      <w:r w:rsidRPr="00C801A6">
        <w:rPr>
          <w:rFonts w:cs="Times New Roman"/>
          <w:color w:val="auto"/>
          <w:szCs w:val="24"/>
        </w:rPr>
        <w:t xml:space="preserve"> ne seront définies que lors de la mise en œuvre, l’on peut déjà affirmer sans ambiguïté que son impact sera national.</w:t>
      </w:r>
    </w:p>
    <w:p w14:paraId="227DAB0F" w14:textId="4D63D7DC" w:rsidR="00575CDF" w:rsidRDefault="00575CDF" w:rsidP="00575CDF">
      <w:pPr>
        <w:rPr>
          <w:rFonts w:cs="Times New Roman"/>
          <w:color w:val="auto"/>
          <w:szCs w:val="24"/>
        </w:rPr>
      </w:pPr>
      <w:r w:rsidRPr="00C801A6">
        <w:rPr>
          <w:rFonts w:cs="Times New Roman"/>
          <w:color w:val="auto"/>
          <w:szCs w:val="24"/>
        </w:rPr>
        <w:t xml:space="preserve">Parmi les autres bénéficiaires directs figurent les entrepreneurs et les travailleurs du secteur </w:t>
      </w:r>
      <w:r w:rsidR="0030610F">
        <w:rPr>
          <w:rFonts w:cs="Times New Roman"/>
          <w:color w:val="auto"/>
          <w:szCs w:val="24"/>
        </w:rPr>
        <w:t>maritime</w:t>
      </w:r>
      <w:r w:rsidRPr="00C801A6">
        <w:rPr>
          <w:rFonts w:cs="Times New Roman"/>
          <w:color w:val="auto"/>
          <w:szCs w:val="24"/>
        </w:rPr>
        <w:t xml:space="preserve"> et de la chaîne d’approvisionnement associée. Les secteurs des transports et de la construction sont des secteurs importants de l’économie malgache et ont été un moteur majeur de la croissance au cours des dernières années. Cependant, ces secteurs ont été largement touchés par la pandémie de Covid-19 qui a entraîné un chômage élevé. Le projet créera ainsi d’importants emplois dans le secteur de la construction et d’importants emplois temporaires au cours de la période de mise en œuvre du projet de 5 ans.</w:t>
      </w:r>
    </w:p>
    <w:p w14:paraId="2D43C05D" w14:textId="77777777" w:rsidR="008D41D6" w:rsidRDefault="008D41D6" w:rsidP="008D41D6">
      <w:pPr>
        <w:rPr>
          <w:rFonts w:cs="Times New Roman"/>
          <w:szCs w:val="24"/>
        </w:rPr>
      </w:pPr>
      <w:r w:rsidRPr="00B73034">
        <w:rPr>
          <w:rFonts w:cs="Times New Roman"/>
          <w:szCs w:val="24"/>
        </w:rPr>
        <w:t>Le Projet PCMCI s’articule autour de quatre (4) composantes qui sont résumées ci-après :</w:t>
      </w:r>
    </w:p>
    <w:p w14:paraId="319B0A57" w14:textId="469CB8B1" w:rsidR="00FE2D32" w:rsidRPr="00B73034" w:rsidRDefault="00FE2D32" w:rsidP="00C65572">
      <w:pPr>
        <w:pStyle w:val="Heading3"/>
      </w:pPr>
      <w:bookmarkStart w:id="40" w:name="_Toc230425979"/>
      <w:r w:rsidRPr="00FE2D32">
        <w:lastRenderedPageBreak/>
        <w:t>Composante 1 : Amélioration de l’état et de la résilience des routes principales</w:t>
      </w:r>
      <w:bookmarkEnd w:id="40"/>
    </w:p>
    <w:tbl>
      <w:tblPr>
        <w:tblStyle w:val="TableGrid"/>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8647"/>
      </w:tblGrid>
      <w:tr w:rsidR="008D41D6" w:rsidRPr="00B73034" w14:paraId="5EAC3CC0" w14:textId="77777777" w:rsidTr="425F8B71">
        <w:tc>
          <w:tcPr>
            <w:tcW w:w="9322" w:type="dxa"/>
            <w:gridSpan w:val="2"/>
            <w:shd w:val="clear" w:color="auto" w:fill="DEEAF6" w:themeFill="accent5" w:themeFillTint="33"/>
          </w:tcPr>
          <w:p w14:paraId="389F9F3A" w14:textId="77777777" w:rsidR="008D41D6" w:rsidRPr="00B73034" w:rsidRDefault="008D41D6" w:rsidP="00E87A90">
            <w:pPr>
              <w:spacing w:before="120" w:after="120"/>
              <w:ind w:left="284"/>
              <w:rPr>
                <w:rFonts w:cs="Arial"/>
                <w:b/>
                <w:bCs/>
                <w:lang w:val="fr"/>
              </w:rPr>
            </w:pPr>
            <w:r w:rsidRPr="00B73034">
              <w:rPr>
                <w:rFonts w:cs="Arial"/>
                <w:lang w:val="fr"/>
              </w:rPr>
              <w:t>Cette composante financera des travaux et des services de conseil pour soutenir la réhabilitation et le pavage des routes nationales dans les zones rurales suivantes :</w:t>
            </w:r>
          </w:p>
        </w:tc>
      </w:tr>
      <w:tr w:rsidR="008D41D6" w:rsidRPr="00B73034" w14:paraId="5A18016B" w14:textId="77777777" w:rsidTr="425F8B71">
        <w:tc>
          <w:tcPr>
            <w:tcW w:w="675" w:type="dxa"/>
          </w:tcPr>
          <w:p w14:paraId="10A372EF" w14:textId="77777777" w:rsidR="008D41D6" w:rsidRPr="00B73034" w:rsidRDefault="008D41D6" w:rsidP="00E87A90">
            <w:pPr>
              <w:pStyle w:val="ListParagraph"/>
              <w:widowControl w:val="0"/>
              <w:autoSpaceDE w:val="0"/>
              <w:autoSpaceDN w:val="0"/>
              <w:adjustRightInd w:val="0"/>
              <w:spacing w:before="60" w:after="60"/>
              <w:ind w:left="0"/>
              <w:contextualSpacing w:val="0"/>
              <w:rPr>
                <w:rFonts w:cs="Arial"/>
                <w:lang w:val="fr"/>
              </w:rPr>
            </w:pPr>
          </w:p>
        </w:tc>
        <w:tc>
          <w:tcPr>
            <w:tcW w:w="8647" w:type="dxa"/>
          </w:tcPr>
          <w:p w14:paraId="697D04DA" w14:textId="77777777" w:rsidR="008D41D6" w:rsidRPr="00B73034" w:rsidRDefault="008D41D6" w:rsidP="00844538">
            <w:pPr>
              <w:pStyle w:val="ListParagraph"/>
              <w:widowControl w:val="0"/>
              <w:numPr>
                <w:ilvl w:val="0"/>
                <w:numId w:val="180"/>
              </w:numPr>
              <w:autoSpaceDE w:val="0"/>
              <w:autoSpaceDN w:val="0"/>
              <w:adjustRightInd w:val="0"/>
              <w:spacing w:before="60" w:after="60" w:line="276" w:lineRule="auto"/>
              <w:contextualSpacing w:val="0"/>
              <w:rPr>
                <w:rFonts w:cs="Arial"/>
                <w:b/>
                <w:bCs/>
              </w:rPr>
            </w:pPr>
            <w:r w:rsidRPr="00B73034">
              <w:rPr>
                <w:rFonts w:cs="Arial"/>
                <w:lang w:val="fr"/>
              </w:rPr>
              <w:t>203 km de tronçon de route en terre de la RN31 entre Bealanana et Andapa</w:t>
            </w:r>
          </w:p>
          <w:p w14:paraId="7C300AB7" w14:textId="77777777" w:rsidR="008D41D6" w:rsidRPr="008D41D6" w:rsidRDefault="008D41D6" w:rsidP="00844538">
            <w:pPr>
              <w:pStyle w:val="ListParagraph"/>
              <w:widowControl w:val="0"/>
              <w:numPr>
                <w:ilvl w:val="0"/>
                <w:numId w:val="180"/>
              </w:numPr>
              <w:autoSpaceDE w:val="0"/>
              <w:autoSpaceDN w:val="0"/>
              <w:adjustRightInd w:val="0"/>
              <w:spacing w:before="60" w:after="60"/>
              <w:rPr>
                <w:rFonts w:cs="Arial"/>
              </w:rPr>
            </w:pPr>
            <w:r w:rsidRPr="008D41D6">
              <w:rPr>
                <w:rFonts w:cs="Arial"/>
              </w:rPr>
              <w:t>Cette RN passe par la partie septentrionale de la Région Analanjirofo, mais cette dernière ne fait pas partie des Régions ciblées par le PCMCI.</w:t>
            </w:r>
          </w:p>
        </w:tc>
      </w:tr>
      <w:tr w:rsidR="008D41D6" w:rsidRPr="00B73034" w14:paraId="47249CE9" w14:textId="77777777" w:rsidTr="425F8B71">
        <w:tc>
          <w:tcPr>
            <w:tcW w:w="675" w:type="dxa"/>
          </w:tcPr>
          <w:p w14:paraId="65FB5849" w14:textId="77777777" w:rsidR="008D41D6" w:rsidRPr="00B73034" w:rsidRDefault="008D41D6" w:rsidP="00E87A90">
            <w:pPr>
              <w:pStyle w:val="ListParagraph"/>
              <w:widowControl w:val="0"/>
              <w:autoSpaceDE w:val="0"/>
              <w:autoSpaceDN w:val="0"/>
              <w:adjustRightInd w:val="0"/>
              <w:spacing w:before="60" w:after="60"/>
              <w:ind w:left="0"/>
              <w:contextualSpacing w:val="0"/>
              <w:rPr>
                <w:rFonts w:cs="Arial"/>
                <w:lang w:val="fr"/>
              </w:rPr>
            </w:pPr>
          </w:p>
        </w:tc>
        <w:tc>
          <w:tcPr>
            <w:tcW w:w="8647" w:type="dxa"/>
            <w:tcBorders>
              <w:left w:val="nil"/>
            </w:tcBorders>
          </w:tcPr>
          <w:p w14:paraId="7676D05E" w14:textId="77777777" w:rsidR="008D41D6" w:rsidRPr="00B73034" w:rsidRDefault="008D41D6" w:rsidP="00844538">
            <w:pPr>
              <w:pStyle w:val="ListParagraph"/>
              <w:widowControl w:val="0"/>
              <w:numPr>
                <w:ilvl w:val="0"/>
                <w:numId w:val="180"/>
              </w:numPr>
              <w:autoSpaceDE w:val="0"/>
              <w:autoSpaceDN w:val="0"/>
              <w:adjustRightInd w:val="0"/>
              <w:spacing w:before="60" w:after="60" w:line="276" w:lineRule="auto"/>
              <w:contextualSpacing w:val="0"/>
              <w:rPr>
                <w:rFonts w:cs="Arial"/>
                <w:b/>
                <w:bCs/>
              </w:rPr>
            </w:pPr>
            <w:r w:rsidRPr="00B73034">
              <w:rPr>
                <w:rFonts w:cs="Arial"/>
                <w:lang w:val="fr"/>
              </w:rPr>
              <w:t>389 km de route en terre de la RN13 entre Ambovombe et Ihosy (carrefour RN7)</w:t>
            </w:r>
          </w:p>
        </w:tc>
      </w:tr>
      <w:tr w:rsidR="008D41D6" w:rsidRPr="00B73034" w14:paraId="7EBFBBB2" w14:textId="77777777" w:rsidTr="425F8B71">
        <w:tc>
          <w:tcPr>
            <w:tcW w:w="675" w:type="dxa"/>
          </w:tcPr>
          <w:p w14:paraId="62A46CBC" w14:textId="77777777" w:rsidR="008D41D6" w:rsidRPr="00B73034" w:rsidRDefault="008D41D6" w:rsidP="00E87A90">
            <w:pPr>
              <w:pStyle w:val="ListParagraph"/>
              <w:widowControl w:val="0"/>
              <w:autoSpaceDE w:val="0"/>
              <w:autoSpaceDN w:val="0"/>
              <w:adjustRightInd w:val="0"/>
              <w:spacing w:before="60" w:after="60"/>
              <w:ind w:left="0"/>
              <w:contextualSpacing w:val="0"/>
              <w:rPr>
                <w:rFonts w:cs="Arial"/>
                <w:lang w:val="fr"/>
              </w:rPr>
            </w:pPr>
          </w:p>
        </w:tc>
        <w:tc>
          <w:tcPr>
            <w:tcW w:w="8647" w:type="dxa"/>
            <w:tcBorders>
              <w:left w:val="nil"/>
            </w:tcBorders>
          </w:tcPr>
          <w:p w14:paraId="58EC5D2F" w14:textId="77777777" w:rsidR="008D41D6" w:rsidRPr="00B73034" w:rsidRDefault="008D41D6" w:rsidP="00844538">
            <w:pPr>
              <w:pStyle w:val="ListParagraph"/>
              <w:widowControl w:val="0"/>
              <w:numPr>
                <w:ilvl w:val="0"/>
                <w:numId w:val="180"/>
              </w:numPr>
              <w:autoSpaceDE w:val="0"/>
              <w:autoSpaceDN w:val="0"/>
              <w:adjustRightInd w:val="0"/>
              <w:spacing w:before="60" w:after="60"/>
              <w:contextualSpacing w:val="0"/>
              <w:rPr>
                <w:rFonts w:cs="Arial"/>
                <w:lang w:val="fr"/>
              </w:rPr>
            </w:pPr>
            <w:r w:rsidRPr="00B73034">
              <w:rPr>
                <w:rFonts w:cs="Arial"/>
                <w:lang w:val="fr"/>
              </w:rPr>
              <w:t xml:space="preserve">La conception et les travaux comprendront des besoins d’infrastructures auxiliaires le long de ces routes principales telles que des conduites pour simplifier la fourniture future de services publics et de câbles à fibre optique si nécessaire. </w:t>
            </w:r>
          </w:p>
        </w:tc>
      </w:tr>
      <w:tr w:rsidR="008D41D6" w:rsidRPr="00B73034" w14:paraId="3E87D639" w14:textId="77777777" w:rsidTr="425F8B71">
        <w:tc>
          <w:tcPr>
            <w:tcW w:w="675" w:type="dxa"/>
          </w:tcPr>
          <w:p w14:paraId="1C90A3E3" w14:textId="77777777" w:rsidR="008D41D6" w:rsidRPr="00B73034" w:rsidRDefault="008D41D6" w:rsidP="00E87A90">
            <w:pPr>
              <w:pStyle w:val="ListParagraph"/>
              <w:widowControl w:val="0"/>
              <w:autoSpaceDE w:val="0"/>
              <w:autoSpaceDN w:val="0"/>
              <w:adjustRightInd w:val="0"/>
              <w:spacing w:before="60" w:after="60"/>
              <w:ind w:left="0"/>
              <w:contextualSpacing w:val="0"/>
              <w:rPr>
                <w:rFonts w:cs="Arial"/>
                <w:lang w:val="fr"/>
              </w:rPr>
            </w:pPr>
          </w:p>
        </w:tc>
        <w:tc>
          <w:tcPr>
            <w:tcW w:w="8647" w:type="dxa"/>
            <w:tcBorders>
              <w:left w:val="nil"/>
            </w:tcBorders>
          </w:tcPr>
          <w:p w14:paraId="73EBF7A1" w14:textId="77777777" w:rsidR="008D41D6" w:rsidRPr="00B73034" w:rsidRDefault="008D41D6" w:rsidP="00844538">
            <w:pPr>
              <w:pStyle w:val="ListParagraph"/>
              <w:widowControl w:val="0"/>
              <w:numPr>
                <w:ilvl w:val="0"/>
                <w:numId w:val="180"/>
              </w:numPr>
              <w:autoSpaceDE w:val="0"/>
              <w:autoSpaceDN w:val="0"/>
              <w:adjustRightInd w:val="0"/>
              <w:spacing w:before="60" w:after="60"/>
              <w:contextualSpacing w:val="0"/>
              <w:rPr>
                <w:rFonts w:cs="Arial"/>
                <w:lang w:val="fr"/>
              </w:rPr>
            </w:pPr>
            <w:r w:rsidRPr="00B73034">
              <w:rPr>
                <w:rFonts w:cs="Arial"/>
                <w:lang w:val="fr"/>
              </w:rPr>
              <w:t xml:space="preserve">À la demande du gouvernement, le Projet envisage également le financement des </w:t>
            </w:r>
            <w:bookmarkStart w:id="41" w:name="_Hlk133222365"/>
            <w:r w:rsidRPr="00B73034">
              <w:rPr>
                <w:rFonts w:cs="Arial"/>
                <w:b/>
                <w:bCs/>
                <w:lang w:val="fr"/>
              </w:rPr>
              <w:t>études préparatoires</w:t>
            </w:r>
            <w:r w:rsidRPr="00B73034">
              <w:rPr>
                <w:rFonts w:cs="Arial"/>
                <w:lang w:val="fr"/>
              </w:rPr>
              <w:t xml:space="preserve"> requises des RNT3B et RN6 </w:t>
            </w:r>
            <w:bookmarkEnd w:id="41"/>
            <w:r w:rsidRPr="00B73034">
              <w:rPr>
                <w:rFonts w:cs="Arial"/>
                <w:lang w:val="fr"/>
              </w:rPr>
              <w:t>qui permettront de les inclure dans la phase 2 du Programme</w:t>
            </w:r>
            <w:r w:rsidRPr="00B73034">
              <w:rPr>
                <w:rStyle w:val="FootnoteReference"/>
                <w:rFonts w:cs="Arial"/>
                <w:lang w:val="fr"/>
              </w:rPr>
              <w:footnoteReference w:id="5"/>
            </w:r>
            <w:r w:rsidRPr="00B73034">
              <w:rPr>
                <w:rFonts w:cs="Arial"/>
                <w:lang w:val="fr"/>
              </w:rPr>
              <w:t> :</w:t>
            </w:r>
          </w:p>
        </w:tc>
      </w:tr>
      <w:tr w:rsidR="008D41D6" w:rsidRPr="00B73034" w14:paraId="7D23C32F" w14:textId="77777777" w:rsidTr="425F8B71">
        <w:tc>
          <w:tcPr>
            <w:tcW w:w="675" w:type="dxa"/>
          </w:tcPr>
          <w:p w14:paraId="7C32108F" w14:textId="77777777" w:rsidR="008D41D6" w:rsidRPr="00B73034" w:rsidRDefault="008D41D6" w:rsidP="00E87A90">
            <w:pPr>
              <w:pStyle w:val="ListParagraph"/>
              <w:widowControl w:val="0"/>
              <w:autoSpaceDE w:val="0"/>
              <w:autoSpaceDN w:val="0"/>
              <w:adjustRightInd w:val="0"/>
              <w:spacing w:before="60" w:after="60"/>
              <w:ind w:left="0"/>
              <w:contextualSpacing w:val="0"/>
              <w:rPr>
                <w:rFonts w:cs="Arial"/>
                <w:lang w:val="fr"/>
              </w:rPr>
            </w:pPr>
          </w:p>
        </w:tc>
        <w:tc>
          <w:tcPr>
            <w:tcW w:w="8647" w:type="dxa"/>
            <w:tcBorders>
              <w:left w:val="nil"/>
            </w:tcBorders>
          </w:tcPr>
          <w:p w14:paraId="27B24592" w14:textId="77777777" w:rsidR="008D41D6" w:rsidRPr="00B73034" w:rsidRDefault="008D41D6" w:rsidP="00844538">
            <w:pPr>
              <w:pStyle w:val="ListParagraph"/>
              <w:widowControl w:val="0"/>
              <w:numPr>
                <w:ilvl w:val="0"/>
                <w:numId w:val="180"/>
              </w:numPr>
              <w:autoSpaceDE w:val="0"/>
              <w:autoSpaceDN w:val="0"/>
              <w:adjustRightInd w:val="0"/>
              <w:spacing w:before="60" w:after="60" w:line="276" w:lineRule="auto"/>
              <w:contextualSpacing w:val="0"/>
              <w:rPr>
                <w:rFonts w:cs="Arial"/>
              </w:rPr>
            </w:pPr>
            <w:r w:rsidRPr="425F8B71">
              <w:rPr>
                <w:rFonts w:cs="Arial"/>
              </w:rPr>
              <w:t xml:space="preserve">100 km de tronçon de route bitumée de la RNT3B entre </w:t>
            </w:r>
            <w:bookmarkStart w:id="42" w:name="_Hlk133153327"/>
            <w:r w:rsidRPr="425F8B71">
              <w:rPr>
                <w:rFonts w:cs="Arial"/>
              </w:rPr>
              <w:t xml:space="preserve">Ambarihomiambina </w:t>
            </w:r>
            <w:bookmarkEnd w:id="42"/>
            <w:r w:rsidRPr="425F8B71">
              <w:rPr>
                <w:rFonts w:cs="Arial"/>
              </w:rPr>
              <w:t>(croisement RNS5a ) et Andapa</w:t>
            </w:r>
          </w:p>
        </w:tc>
      </w:tr>
      <w:tr w:rsidR="008D41D6" w:rsidRPr="00B73034" w14:paraId="570C6737" w14:textId="77777777" w:rsidTr="425F8B71">
        <w:tc>
          <w:tcPr>
            <w:tcW w:w="675" w:type="dxa"/>
          </w:tcPr>
          <w:p w14:paraId="6003D769" w14:textId="77777777" w:rsidR="008D41D6" w:rsidRPr="00B73034" w:rsidRDefault="008D41D6" w:rsidP="00E87A90">
            <w:pPr>
              <w:pStyle w:val="ListParagraph"/>
              <w:widowControl w:val="0"/>
              <w:autoSpaceDE w:val="0"/>
              <w:autoSpaceDN w:val="0"/>
              <w:adjustRightInd w:val="0"/>
              <w:spacing w:before="60" w:after="60"/>
              <w:ind w:left="0"/>
              <w:contextualSpacing w:val="0"/>
              <w:rPr>
                <w:rFonts w:cs="Arial"/>
                <w:lang w:val="fr"/>
              </w:rPr>
            </w:pPr>
          </w:p>
        </w:tc>
        <w:tc>
          <w:tcPr>
            <w:tcW w:w="8647" w:type="dxa"/>
          </w:tcPr>
          <w:p w14:paraId="0E6BC25F" w14:textId="77777777" w:rsidR="008D41D6" w:rsidRPr="00B73034" w:rsidRDefault="008D41D6" w:rsidP="00844538">
            <w:pPr>
              <w:pStyle w:val="ListParagraph"/>
              <w:widowControl w:val="0"/>
              <w:numPr>
                <w:ilvl w:val="0"/>
                <w:numId w:val="180"/>
              </w:numPr>
              <w:autoSpaceDE w:val="0"/>
              <w:autoSpaceDN w:val="0"/>
              <w:adjustRightInd w:val="0"/>
              <w:spacing w:before="60" w:after="60" w:line="276" w:lineRule="auto"/>
              <w:contextualSpacing w:val="0"/>
              <w:rPr>
                <w:rFonts w:cs="Arial"/>
              </w:rPr>
            </w:pPr>
            <w:r w:rsidRPr="425F8B71">
              <w:rPr>
                <w:rFonts w:cs="Arial"/>
              </w:rPr>
              <w:t>476 km de tronçon de route bitumée de la RN 6 entre Ambondromamy et Ambanja.</w:t>
            </w:r>
          </w:p>
        </w:tc>
      </w:tr>
    </w:tbl>
    <w:p w14:paraId="001FFF23" w14:textId="59FA8DCB" w:rsidR="00FE2D32" w:rsidRDefault="00FE2D32" w:rsidP="00C65572">
      <w:pPr>
        <w:pStyle w:val="Heading3"/>
      </w:pPr>
      <w:bookmarkStart w:id="43" w:name="_Toc230425980"/>
      <w:r w:rsidRPr="00FE2D32">
        <w:t>Composante 2 : Amélioration de l’accessibilité et des avantages socio-économiques des routes de desserte</w:t>
      </w:r>
      <w:bookmarkEnd w:id="43"/>
    </w:p>
    <w:tbl>
      <w:tblPr>
        <w:tblStyle w:val="TableGrid"/>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8647"/>
      </w:tblGrid>
      <w:tr w:rsidR="008D41D6" w:rsidRPr="00B73034" w14:paraId="61E114A2" w14:textId="77777777" w:rsidTr="00E87A90">
        <w:tc>
          <w:tcPr>
            <w:tcW w:w="675" w:type="dxa"/>
          </w:tcPr>
          <w:p w14:paraId="79B85E09" w14:textId="77777777" w:rsidR="008D41D6" w:rsidRPr="00B73034" w:rsidRDefault="008D41D6" w:rsidP="00E87A90">
            <w:pPr>
              <w:pStyle w:val="ListParagraph"/>
              <w:widowControl w:val="0"/>
              <w:autoSpaceDE w:val="0"/>
              <w:autoSpaceDN w:val="0"/>
              <w:adjustRightInd w:val="0"/>
              <w:spacing w:before="120" w:after="120"/>
              <w:ind w:left="0"/>
              <w:contextualSpacing w:val="0"/>
              <w:rPr>
                <w:rFonts w:cs="Arial"/>
                <w:i/>
                <w:iCs/>
                <w:u w:val="single"/>
                <w:lang w:val="fr"/>
              </w:rPr>
            </w:pPr>
          </w:p>
        </w:tc>
        <w:tc>
          <w:tcPr>
            <w:tcW w:w="8647" w:type="dxa"/>
          </w:tcPr>
          <w:p w14:paraId="30FC80AC" w14:textId="77777777" w:rsidR="008D41D6" w:rsidRPr="00B73034" w:rsidRDefault="008D41D6" w:rsidP="00844538">
            <w:pPr>
              <w:pStyle w:val="ListParagraph"/>
              <w:widowControl w:val="0"/>
              <w:numPr>
                <w:ilvl w:val="0"/>
                <w:numId w:val="178"/>
              </w:numPr>
              <w:autoSpaceDE w:val="0"/>
              <w:autoSpaceDN w:val="0"/>
              <w:adjustRightInd w:val="0"/>
              <w:spacing w:before="120" w:after="120" w:line="276" w:lineRule="auto"/>
              <w:ind w:left="284" w:hanging="284"/>
              <w:contextualSpacing w:val="0"/>
              <w:rPr>
                <w:rFonts w:cs="Arial"/>
                <w:i/>
                <w:iCs/>
                <w:lang w:val="fr"/>
              </w:rPr>
            </w:pPr>
            <w:r w:rsidRPr="00B73034">
              <w:rPr>
                <w:rFonts w:cs="Arial"/>
                <w:i/>
                <w:iCs/>
                <w:u w:val="single"/>
                <w:lang w:val="fr"/>
              </w:rPr>
              <w:t>Sous-composante 2.1</w:t>
            </w:r>
            <w:r w:rsidRPr="00B73034">
              <w:rPr>
                <w:rFonts w:cs="Arial"/>
                <w:i/>
                <w:iCs/>
                <w:lang w:val="fr"/>
              </w:rPr>
              <w:t xml:space="preserve">. </w:t>
            </w:r>
            <w:bookmarkStart w:id="44" w:name="_Hlk133222020"/>
            <w:r w:rsidRPr="00B73034">
              <w:rPr>
                <w:rFonts w:cs="Arial"/>
                <w:i/>
                <w:iCs/>
                <w:lang w:val="fr"/>
              </w:rPr>
              <w:t xml:space="preserve">Réhabilitation de routes régionales et communales </w:t>
            </w:r>
            <w:bookmarkEnd w:id="44"/>
            <w:r w:rsidRPr="00B73034">
              <w:rPr>
                <w:rFonts w:cs="Arial"/>
                <w:i/>
                <w:iCs/>
                <w:lang w:val="fr"/>
              </w:rPr>
              <w:t xml:space="preserve">sélectionnées dans les zones prioritaires et déploiement de l’entretien communautaire pilote des routes de desserte. </w:t>
            </w:r>
          </w:p>
        </w:tc>
      </w:tr>
      <w:tr w:rsidR="008D41D6" w:rsidRPr="00B73034" w14:paraId="26BBD597" w14:textId="77777777" w:rsidTr="00E87A90">
        <w:tc>
          <w:tcPr>
            <w:tcW w:w="675" w:type="dxa"/>
          </w:tcPr>
          <w:p w14:paraId="12E17601" w14:textId="77777777" w:rsidR="008D41D6" w:rsidRPr="00B73034" w:rsidRDefault="008D41D6" w:rsidP="00E87A90">
            <w:pPr>
              <w:spacing w:before="60" w:after="60"/>
              <w:rPr>
                <w:lang w:val="fr"/>
              </w:rPr>
            </w:pPr>
          </w:p>
        </w:tc>
        <w:tc>
          <w:tcPr>
            <w:tcW w:w="8647" w:type="dxa"/>
            <w:tcBorders>
              <w:left w:val="nil"/>
            </w:tcBorders>
          </w:tcPr>
          <w:p w14:paraId="6E78AE19" w14:textId="77777777" w:rsidR="008D41D6" w:rsidRPr="00B73034" w:rsidRDefault="008D41D6" w:rsidP="00E87A90">
            <w:pPr>
              <w:pStyle w:val="ListParagraph"/>
              <w:widowControl w:val="0"/>
              <w:autoSpaceDE w:val="0"/>
              <w:autoSpaceDN w:val="0"/>
              <w:adjustRightInd w:val="0"/>
              <w:spacing w:before="60" w:after="60"/>
              <w:ind w:left="284"/>
              <w:contextualSpacing w:val="0"/>
              <w:rPr>
                <w:lang w:val="fr"/>
              </w:rPr>
            </w:pPr>
            <w:r w:rsidRPr="00B73034">
              <w:rPr>
                <w:lang w:val="fr"/>
              </w:rPr>
              <w:t xml:space="preserve">Cette sous-composante financera des travaux et des services de conseil pour soutenir la réhabilitation et l’entretien d’environ 500 km de routes de desserte sélectionnées et reliées aux routes nationales RN13 et RN31 qui seront </w:t>
            </w:r>
            <w:r w:rsidRPr="00B73034">
              <w:rPr>
                <w:rFonts w:cs="Arial"/>
                <w:lang w:val="fr"/>
              </w:rPr>
              <w:t>réhabilitées</w:t>
            </w:r>
            <w:r w:rsidRPr="00B73034">
              <w:rPr>
                <w:lang w:val="fr"/>
              </w:rPr>
              <w:t xml:space="preserve"> dans le cadre de la composante 1 et d’autres routes rurales importantes. Ces routes de desserte sont, pour la plupart, des chemins de terre non classés, qui seront réparés ou améliorés en routes de gravier, ce qui les rendra plus résistants aux impacts climatiques. </w:t>
            </w:r>
          </w:p>
        </w:tc>
      </w:tr>
      <w:tr w:rsidR="008D41D6" w:rsidRPr="00B73034" w14:paraId="138C8842" w14:textId="77777777" w:rsidTr="00E87A90">
        <w:tc>
          <w:tcPr>
            <w:tcW w:w="675" w:type="dxa"/>
          </w:tcPr>
          <w:p w14:paraId="0EFDD9E6" w14:textId="77777777" w:rsidR="008D41D6" w:rsidRPr="00B73034" w:rsidRDefault="008D41D6" w:rsidP="00E87A90">
            <w:pPr>
              <w:spacing w:before="60" w:after="60"/>
              <w:rPr>
                <w:lang w:val="fr"/>
              </w:rPr>
            </w:pPr>
          </w:p>
        </w:tc>
        <w:tc>
          <w:tcPr>
            <w:tcW w:w="8647" w:type="dxa"/>
            <w:tcBorders>
              <w:left w:val="nil"/>
            </w:tcBorders>
          </w:tcPr>
          <w:p w14:paraId="3B9D1071" w14:textId="77777777" w:rsidR="008D41D6" w:rsidRPr="00B73034" w:rsidRDefault="008D41D6" w:rsidP="00E87A90">
            <w:pPr>
              <w:pStyle w:val="ListParagraph"/>
              <w:widowControl w:val="0"/>
              <w:autoSpaceDE w:val="0"/>
              <w:autoSpaceDN w:val="0"/>
              <w:adjustRightInd w:val="0"/>
              <w:spacing w:before="60" w:after="60"/>
              <w:ind w:left="284"/>
              <w:contextualSpacing w:val="0"/>
              <w:rPr>
                <w:lang w:val="fr"/>
              </w:rPr>
            </w:pPr>
            <w:r w:rsidRPr="00B73034">
              <w:rPr>
                <w:lang w:val="fr"/>
              </w:rPr>
              <w:t xml:space="preserve">La sélection des routes de desserte prioritaires sera entreprise à l’aide d’un cadre de priorisation multicritère mis à l’essai dans le cadre du Projet PACT qui examine de multiples indicateurs socioéconomiques (population, pauvreté, accès rural, risques climatiques, proximité des écoles et des établissements de soins de santé). </w:t>
            </w:r>
          </w:p>
        </w:tc>
      </w:tr>
      <w:tr w:rsidR="008D41D6" w:rsidRPr="00B73034" w14:paraId="671CCB09" w14:textId="77777777" w:rsidTr="00E87A90">
        <w:tc>
          <w:tcPr>
            <w:tcW w:w="675" w:type="dxa"/>
          </w:tcPr>
          <w:p w14:paraId="11541137" w14:textId="77777777" w:rsidR="008D41D6" w:rsidRPr="00B73034" w:rsidRDefault="008D41D6" w:rsidP="00E87A90">
            <w:pPr>
              <w:spacing w:before="60" w:after="60"/>
              <w:rPr>
                <w:lang w:val="fr"/>
              </w:rPr>
            </w:pPr>
          </w:p>
        </w:tc>
        <w:tc>
          <w:tcPr>
            <w:tcW w:w="8647" w:type="dxa"/>
          </w:tcPr>
          <w:p w14:paraId="61251829" w14:textId="77777777" w:rsidR="008D41D6" w:rsidRPr="00B73034" w:rsidRDefault="008D41D6" w:rsidP="00E87A90">
            <w:pPr>
              <w:pStyle w:val="ListParagraph"/>
              <w:widowControl w:val="0"/>
              <w:autoSpaceDE w:val="0"/>
              <w:autoSpaceDN w:val="0"/>
              <w:adjustRightInd w:val="0"/>
              <w:spacing w:before="60" w:after="60"/>
              <w:ind w:left="284"/>
              <w:contextualSpacing w:val="0"/>
              <w:rPr>
                <w:lang w:val="fr"/>
              </w:rPr>
            </w:pPr>
            <w:r w:rsidRPr="00B73034">
              <w:rPr>
                <w:lang w:val="fr"/>
              </w:rPr>
              <w:t>Cette sous-composante appuiera également les travaux et les services de conseil visant à déployer des microentreprises et d’autres programmes d’entretien communautaires.</w:t>
            </w:r>
          </w:p>
        </w:tc>
      </w:tr>
      <w:tr w:rsidR="008D41D6" w:rsidRPr="00B73034" w14:paraId="333C9439" w14:textId="77777777" w:rsidTr="00E87A90">
        <w:tc>
          <w:tcPr>
            <w:tcW w:w="675" w:type="dxa"/>
          </w:tcPr>
          <w:p w14:paraId="56A618EC" w14:textId="77777777" w:rsidR="008D41D6" w:rsidRPr="00B73034" w:rsidRDefault="008D41D6" w:rsidP="00E87A90">
            <w:pPr>
              <w:spacing w:before="60" w:after="60"/>
              <w:rPr>
                <w:lang w:val="fr"/>
              </w:rPr>
            </w:pPr>
          </w:p>
        </w:tc>
        <w:tc>
          <w:tcPr>
            <w:tcW w:w="8647" w:type="dxa"/>
          </w:tcPr>
          <w:p w14:paraId="3D16EADA" w14:textId="77777777" w:rsidR="008D41D6" w:rsidRPr="00B73034" w:rsidRDefault="008D41D6" w:rsidP="00E87A90">
            <w:pPr>
              <w:pStyle w:val="ListParagraph"/>
              <w:widowControl w:val="0"/>
              <w:autoSpaceDE w:val="0"/>
              <w:autoSpaceDN w:val="0"/>
              <w:adjustRightInd w:val="0"/>
              <w:spacing w:before="60" w:after="60"/>
              <w:ind w:left="284"/>
              <w:contextualSpacing w:val="0"/>
              <w:rPr>
                <w:lang w:val="fr"/>
              </w:rPr>
            </w:pPr>
            <w:r w:rsidRPr="00B73034">
              <w:rPr>
                <w:lang w:val="fr"/>
              </w:rPr>
              <w:t xml:space="preserve">Différentes modalités de supervision et contractuelles peuvent être testées. Par exemple, de petits contrats avec des organismes communautaires, un contrat-cadre à un entrepreneur local avec une période de maintenance prolongée ou une nouvelle </w:t>
            </w:r>
            <w:r w:rsidRPr="00B73034">
              <w:rPr>
                <w:lang w:val="fr"/>
              </w:rPr>
              <w:lastRenderedPageBreak/>
              <w:t xml:space="preserve">norme technique basée sur les matériaux et les compétences locaux. </w:t>
            </w:r>
          </w:p>
        </w:tc>
      </w:tr>
      <w:tr w:rsidR="008D41D6" w:rsidRPr="00B73034" w14:paraId="1CBD0A77" w14:textId="77777777" w:rsidTr="00E87A90">
        <w:tc>
          <w:tcPr>
            <w:tcW w:w="675" w:type="dxa"/>
          </w:tcPr>
          <w:p w14:paraId="360F1F2E" w14:textId="77777777" w:rsidR="008D41D6" w:rsidRPr="00B73034" w:rsidRDefault="008D41D6" w:rsidP="00E87A90">
            <w:pPr>
              <w:pStyle w:val="ListParagraph"/>
              <w:widowControl w:val="0"/>
              <w:autoSpaceDE w:val="0"/>
              <w:autoSpaceDN w:val="0"/>
              <w:adjustRightInd w:val="0"/>
              <w:spacing w:before="120" w:after="120"/>
              <w:ind w:left="0"/>
              <w:contextualSpacing w:val="0"/>
              <w:rPr>
                <w:rFonts w:cs="Arial"/>
                <w:i/>
                <w:iCs/>
                <w:u w:val="single"/>
                <w:lang w:val="fr"/>
              </w:rPr>
            </w:pPr>
          </w:p>
        </w:tc>
        <w:tc>
          <w:tcPr>
            <w:tcW w:w="8647" w:type="dxa"/>
          </w:tcPr>
          <w:p w14:paraId="7D2C04B2" w14:textId="77777777" w:rsidR="008D41D6" w:rsidRPr="00B73034" w:rsidRDefault="008D41D6" w:rsidP="00844538">
            <w:pPr>
              <w:pStyle w:val="ListParagraph"/>
              <w:widowControl w:val="0"/>
              <w:numPr>
                <w:ilvl w:val="0"/>
                <w:numId w:val="178"/>
              </w:numPr>
              <w:autoSpaceDE w:val="0"/>
              <w:autoSpaceDN w:val="0"/>
              <w:adjustRightInd w:val="0"/>
              <w:spacing w:before="120" w:after="120" w:line="276" w:lineRule="auto"/>
              <w:ind w:left="284" w:hanging="284"/>
              <w:contextualSpacing w:val="0"/>
              <w:rPr>
                <w:rFonts w:cs="Arial"/>
                <w:i/>
                <w:iCs/>
                <w:lang w:val="fr"/>
              </w:rPr>
            </w:pPr>
            <w:r w:rsidRPr="00B73034">
              <w:rPr>
                <w:rFonts w:cs="Arial"/>
                <w:i/>
                <w:iCs/>
                <w:u w:val="single"/>
                <w:lang w:val="fr"/>
              </w:rPr>
              <w:t>Sous-composante 2.2</w:t>
            </w:r>
            <w:r w:rsidRPr="00B73034">
              <w:rPr>
                <w:rFonts w:cs="Arial"/>
                <w:i/>
                <w:iCs/>
                <w:lang w:val="fr"/>
              </w:rPr>
              <w:t xml:space="preserve"> : Déploiement de contrats basés sur la performance sur certaines routes non revêtues. </w:t>
            </w:r>
          </w:p>
        </w:tc>
      </w:tr>
      <w:tr w:rsidR="008D41D6" w:rsidRPr="00B73034" w14:paraId="4C64A34F" w14:textId="77777777" w:rsidTr="00E87A90">
        <w:tc>
          <w:tcPr>
            <w:tcW w:w="675" w:type="dxa"/>
          </w:tcPr>
          <w:p w14:paraId="1B473CFE" w14:textId="77777777" w:rsidR="008D41D6" w:rsidRPr="00B73034" w:rsidRDefault="008D41D6" w:rsidP="00E87A90">
            <w:pPr>
              <w:spacing w:before="60" w:after="60"/>
              <w:rPr>
                <w:lang w:val="fr"/>
              </w:rPr>
            </w:pPr>
          </w:p>
        </w:tc>
        <w:tc>
          <w:tcPr>
            <w:tcW w:w="8647" w:type="dxa"/>
            <w:tcBorders>
              <w:left w:val="nil"/>
            </w:tcBorders>
          </w:tcPr>
          <w:p w14:paraId="16FB93E0" w14:textId="77777777" w:rsidR="008D41D6" w:rsidRPr="00B73034" w:rsidRDefault="008D41D6" w:rsidP="00E87A90">
            <w:pPr>
              <w:pStyle w:val="ListParagraph"/>
              <w:widowControl w:val="0"/>
              <w:autoSpaceDE w:val="0"/>
              <w:autoSpaceDN w:val="0"/>
              <w:adjustRightInd w:val="0"/>
              <w:spacing w:before="60" w:after="60"/>
              <w:ind w:left="284"/>
              <w:contextualSpacing w:val="0"/>
              <w:rPr>
                <w:lang w:val="fr"/>
              </w:rPr>
            </w:pPr>
            <w:r w:rsidRPr="00B73034">
              <w:rPr>
                <w:lang w:val="fr"/>
              </w:rPr>
              <w:t xml:space="preserve">Les Contrats Basés sur la Performance (CBP) assurent généralement une </w:t>
            </w:r>
            <w:bookmarkStart w:id="45" w:name="_Hlk133222144"/>
            <w:r w:rsidRPr="00B73034">
              <w:rPr>
                <w:lang w:val="fr"/>
              </w:rPr>
              <w:t>remise en état et un entretien plus efficace des routes</w:t>
            </w:r>
            <w:bookmarkEnd w:id="45"/>
            <w:r w:rsidRPr="00B73034">
              <w:rPr>
                <w:lang w:val="fr"/>
              </w:rPr>
              <w:t xml:space="preserve"> parce qu’ils engagent les entrepreneurs sur une période plus longue pour assurer l’état et la qualité des routes réhabilitées et fournissent des paiements liés à la performance et à l’état des routes plutôt qu’aux quantités et aux intrants, ce qui permet d’autres optimisations contractuelles. </w:t>
            </w:r>
          </w:p>
        </w:tc>
      </w:tr>
      <w:tr w:rsidR="008D41D6" w:rsidRPr="00B73034" w14:paraId="5F192FBE" w14:textId="77777777" w:rsidTr="00E87A90">
        <w:tc>
          <w:tcPr>
            <w:tcW w:w="675" w:type="dxa"/>
          </w:tcPr>
          <w:p w14:paraId="4BD9EA9C" w14:textId="77777777" w:rsidR="008D41D6" w:rsidRPr="00B73034" w:rsidRDefault="008D41D6" w:rsidP="00E87A90">
            <w:pPr>
              <w:pStyle w:val="ListParagraph"/>
              <w:widowControl w:val="0"/>
              <w:autoSpaceDE w:val="0"/>
              <w:autoSpaceDN w:val="0"/>
              <w:adjustRightInd w:val="0"/>
              <w:spacing w:before="120" w:after="120"/>
              <w:ind w:left="0"/>
              <w:contextualSpacing w:val="0"/>
              <w:rPr>
                <w:rFonts w:cs="Arial"/>
                <w:i/>
                <w:iCs/>
                <w:u w:val="single"/>
                <w:lang w:val="fr"/>
              </w:rPr>
            </w:pPr>
          </w:p>
        </w:tc>
        <w:tc>
          <w:tcPr>
            <w:tcW w:w="8647" w:type="dxa"/>
            <w:tcBorders>
              <w:left w:val="nil"/>
            </w:tcBorders>
          </w:tcPr>
          <w:p w14:paraId="020A4582" w14:textId="77777777" w:rsidR="008D41D6" w:rsidRPr="00B73034" w:rsidRDefault="008D41D6" w:rsidP="00844538">
            <w:pPr>
              <w:pStyle w:val="ListParagraph"/>
              <w:widowControl w:val="0"/>
              <w:numPr>
                <w:ilvl w:val="0"/>
                <w:numId w:val="178"/>
              </w:numPr>
              <w:autoSpaceDE w:val="0"/>
              <w:autoSpaceDN w:val="0"/>
              <w:adjustRightInd w:val="0"/>
              <w:spacing w:before="120" w:after="120" w:line="276" w:lineRule="auto"/>
              <w:ind w:left="284" w:hanging="284"/>
              <w:contextualSpacing w:val="0"/>
              <w:rPr>
                <w:rFonts w:cs="Arial"/>
                <w:i/>
                <w:iCs/>
                <w:lang w:val="fr"/>
              </w:rPr>
            </w:pPr>
            <w:r w:rsidRPr="00B73034">
              <w:rPr>
                <w:rFonts w:cs="Arial"/>
                <w:i/>
                <w:iCs/>
                <w:u w:val="single"/>
                <w:lang w:val="fr"/>
              </w:rPr>
              <w:t>Sous-composante 2.3 :</w:t>
            </w:r>
            <w:r w:rsidRPr="00B73034">
              <w:rPr>
                <w:rFonts w:cs="Arial"/>
                <w:i/>
                <w:iCs/>
                <w:lang w:val="fr"/>
              </w:rPr>
              <w:t xml:space="preserve"> Expérimentation d’interventions sociales complémentaires le long de routes primaires et de desserte sélectionnées. </w:t>
            </w:r>
          </w:p>
        </w:tc>
      </w:tr>
      <w:tr w:rsidR="008D41D6" w:rsidRPr="00B73034" w14:paraId="21BFD73A" w14:textId="77777777" w:rsidTr="00E87A90">
        <w:tc>
          <w:tcPr>
            <w:tcW w:w="675" w:type="dxa"/>
          </w:tcPr>
          <w:p w14:paraId="6449699C" w14:textId="77777777" w:rsidR="008D41D6" w:rsidRPr="00B73034" w:rsidRDefault="008D41D6" w:rsidP="00E87A90">
            <w:pPr>
              <w:spacing w:before="60" w:after="60"/>
              <w:rPr>
                <w:lang w:val="fr"/>
              </w:rPr>
            </w:pPr>
          </w:p>
        </w:tc>
        <w:tc>
          <w:tcPr>
            <w:tcW w:w="8647" w:type="dxa"/>
            <w:tcBorders>
              <w:left w:val="nil"/>
            </w:tcBorders>
          </w:tcPr>
          <w:p w14:paraId="6F65717E" w14:textId="77777777" w:rsidR="008D41D6" w:rsidRPr="00B73034" w:rsidRDefault="008D41D6" w:rsidP="00E87A90">
            <w:pPr>
              <w:pStyle w:val="ListParagraph"/>
              <w:widowControl w:val="0"/>
              <w:autoSpaceDE w:val="0"/>
              <w:autoSpaceDN w:val="0"/>
              <w:adjustRightInd w:val="0"/>
              <w:spacing w:before="60" w:after="60"/>
              <w:ind w:left="284"/>
              <w:contextualSpacing w:val="0"/>
              <w:rPr>
                <w:lang w:val="fr"/>
              </w:rPr>
            </w:pPr>
            <w:r w:rsidRPr="00B73034">
              <w:rPr>
                <w:lang w:val="fr"/>
              </w:rPr>
              <w:t>Afin de maximiser les avantages socio-économiques des investissements routiers (routes primaires et de desserte), des interventions complémentaires seront incluses pour améliorer l’utilisation et les avantages des routes dans ces zones rurales, en particulier pour les différents groupes sociaux en situation de vulnérabilité.</w:t>
            </w:r>
          </w:p>
        </w:tc>
      </w:tr>
      <w:tr w:rsidR="008D41D6" w:rsidRPr="00B73034" w14:paraId="68BBB9FC" w14:textId="77777777" w:rsidTr="00E87A90">
        <w:tc>
          <w:tcPr>
            <w:tcW w:w="675" w:type="dxa"/>
          </w:tcPr>
          <w:p w14:paraId="57B087A3" w14:textId="77777777" w:rsidR="008D41D6" w:rsidRPr="00B73034" w:rsidRDefault="008D41D6" w:rsidP="00E87A90">
            <w:pPr>
              <w:spacing w:before="60" w:after="60"/>
              <w:rPr>
                <w:lang w:val="fr"/>
              </w:rPr>
            </w:pPr>
          </w:p>
        </w:tc>
        <w:tc>
          <w:tcPr>
            <w:tcW w:w="8647" w:type="dxa"/>
            <w:tcBorders>
              <w:left w:val="nil"/>
            </w:tcBorders>
          </w:tcPr>
          <w:p w14:paraId="2A506191" w14:textId="77777777" w:rsidR="008D41D6" w:rsidRPr="00B73034" w:rsidRDefault="008D41D6" w:rsidP="00E87A90">
            <w:pPr>
              <w:pStyle w:val="ListParagraph"/>
              <w:widowControl w:val="0"/>
              <w:autoSpaceDE w:val="0"/>
              <w:autoSpaceDN w:val="0"/>
              <w:adjustRightInd w:val="0"/>
              <w:spacing w:before="60" w:after="60"/>
              <w:ind w:left="284"/>
              <w:contextualSpacing w:val="0"/>
              <w:rPr>
                <w:lang w:val="fr"/>
              </w:rPr>
            </w:pPr>
            <w:r w:rsidRPr="00B73034">
              <w:rPr>
                <w:lang w:val="fr"/>
              </w:rPr>
              <w:t>Cette composante financera des travaux, des équipements et des services de conseil à l’appui des activités suivantes :</w:t>
            </w:r>
          </w:p>
        </w:tc>
      </w:tr>
      <w:tr w:rsidR="008D41D6" w:rsidRPr="00B73034" w14:paraId="71B91382" w14:textId="77777777" w:rsidTr="00E87A90">
        <w:tc>
          <w:tcPr>
            <w:tcW w:w="675" w:type="dxa"/>
          </w:tcPr>
          <w:p w14:paraId="04DAEF3D" w14:textId="77777777" w:rsidR="008D41D6" w:rsidRPr="00B73034" w:rsidRDefault="008D41D6" w:rsidP="00E87A90">
            <w:pPr>
              <w:spacing w:before="60" w:after="60"/>
              <w:rPr>
                <w:lang w:val="fr"/>
              </w:rPr>
            </w:pPr>
          </w:p>
        </w:tc>
        <w:tc>
          <w:tcPr>
            <w:tcW w:w="8647" w:type="dxa"/>
            <w:tcBorders>
              <w:left w:val="nil"/>
            </w:tcBorders>
          </w:tcPr>
          <w:p w14:paraId="5E189FD8" w14:textId="77777777" w:rsidR="008D41D6" w:rsidRPr="00B73034" w:rsidRDefault="008D41D6" w:rsidP="00844538">
            <w:pPr>
              <w:pStyle w:val="ListParagraph"/>
              <w:widowControl w:val="0"/>
              <w:numPr>
                <w:ilvl w:val="0"/>
                <w:numId w:val="181"/>
              </w:numPr>
              <w:autoSpaceDE w:val="0"/>
              <w:autoSpaceDN w:val="0"/>
              <w:adjustRightInd w:val="0"/>
              <w:spacing w:before="60" w:after="60" w:line="276" w:lineRule="auto"/>
              <w:contextualSpacing w:val="0"/>
              <w:rPr>
                <w:rFonts w:cs="Arial"/>
                <w:lang w:val="fr"/>
              </w:rPr>
            </w:pPr>
            <w:r w:rsidRPr="00B73034">
              <w:rPr>
                <w:lang w:val="fr"/>
              </w:rPr>
              <w:t xml:space="preserve">Installation des kiosques </w:t>
            </w:r>
            <w:r w:rsidRPr="00B73034">
              <w:rPr>
                <w:rFonts w:cs="Arial"/>
                <w:lang w:val="fr"/>
              </w:rPr>
              <w:t>d’information reliés à des réseaux dans les grands centres de population de la région du Projet.</w:t>
            </w:r>
          </w:p>
        </w:tc>
      </w:tr>
      <w:tr w:rsidR="008D41D6" w:rsidRPr="00B73034" w14:paraId="1288ED83" w14:textId="77777777" w:rsidTr="00E87A90">
        <w:tc>
          <w:tcPr>
            <w:tcW w:w="675" w:type="dxa"/>
          </w:tcPr>
          <w:p w14:paraId="642E4D99" w14:textId="77777777" w:rsidR="008D41D6" w:rsidRPr="00B73034" w:rsidRDefault="008D41D6" w:rsidP="00E87A90">
            <w:pPr>
              <w:pStyle w:val="ListParagraph"/>
              <w:widowControl w:val="0"/>
              <w:autoSpaceDE w:val="0"/>
              <w:autoSpaceDN w:val="0"/>
              <w:adjustRightInd w:val="0"/>
              <w:spacing w:before="60" w:after="60"/>
              <w:ind w:left="0"/>
              <w:contextualSpacing w:val="0"/>
              <w:rPr>
                <w:rFonts w:cs="Arial"/>
                <w:lang w:val="fr"/>
              </w:rPr>
            </w:pPr>
          </w:p>
        </w:tc>
        <w:tc>
          <w:tcPr>
            <w:tcW w:w="8647" w:type="dxa"/>
            <w:tcBorders>
              <w:left w:val="nil"/>
            </w:tcBorders>
          </w:tcPr>
          <w:p w14:paraId="5F63CBA9" w14:textId="77777777" w:rsidR="008D41D6" w:rsidRPr="00B73034" w:rsidRDefault="008D41D6" w:rsidP="00844538">
            <w:pPr>
              <w:pStyle w:val="ListParagraph"/>
              <w:widowControl w:val="0"/>
              <w:numPr>
                <w:ilvl w:val="0"/>
                <w:numId w:val="181"/>
              </w:numPr>
              <w:autoSpaceDE w:val="0"/>
              <w:autoSpaceDN w:val="0"/>
              <w:adjustRightInd w:val="0"/>
              <w:spacing w:before="60" w:after="60" w:line="276" w:lineRule="auto"/>
              <w:contextualSpacing w:val="0"/>
              <w:rPr>
                <w:lang w:val="fr"/>
              </w:rPr>
            </w:pPr>
            <w:r w:rsidRPr="00B73034">
              <w:rPr>
                <w:lang w:val="fr"/>
              </w:rPr>
              <w:t xml:space="preserve">Travaux communautaires pour l’amélioration d’autres infrastructures rurales sélectionnées, y compris des allées pavées, des </w:t>
            </w:r>
            <w:r w:rsidRPr="00B73034">
              <w:rPr>
                <w:rFonts w:cs="Arial"/>
                <w:lang w:val="fr"/>
              </w:rPr>
              <w:t>pistes</w:t>
            </w:r>
            <w:r w:rsidRPr="00B73034">
              <w:rPr>
                <w:lang w:val="fr"/>
              </w:rPr>
              <w:t xml:space="preserve"> cyclables et des ponts piétonniers (et de bétail)</w:t>
            </w:r>
          </w:p>
        </w:tc>
      </w:tr>
      <w:tr w:rsidR="008D41D6" w:rsidRPr="00B73034" w14:paraId="68EE0C38" w14:textId="77777777" w:rsidTr="00E87A90">
        <w:tc>
          <w:tcPr>
            <w:tcW w:w="675" w:type="dxa"/>
          </w:tcPr>
          <w:p w14:paraId="2A0C6946" w14:textId="77777777" w:rsidR="008D41D6" w:rsidRPr="00B73034" w:rsidRDefault="008D41D6" w:rsidP="00E87A90">
            <w:pPr>
              <w:pStyle w:val="ListParagraph"/>
              <w:widowControl w:val="0"/>
              <w:autoSpaceDE w:val="0"/>
              <w:autoSpaceDN w:val="0"/>
              <w:adjustRightInd w:val="0"/>
              <w:spacing w:before="60" w:after="60"/>
              <w:ind w:left="0"/>
              <w:contextualSpacing w:val="0"/>
              <w:rPr>
                <w:rFonts w:cs="Arial"/>
                <w:lang w:val="fr"/>
              </w:rPr>
            </w:pPr>
          </w:p>
        </w:tc>
        <w:tc>
          <w:tcPr>
            <w:tcW w:w="8647" w:type="dxa"/>
            <w:tcBorders>
              <w:left w:val="nil"/>
            </w:tcBorders>
          </w:tcPr>
          <w:p w14:paraId="392F5C20" w14:textId="77777777" w:rsidR="008D41D6" w:rsidRPr="00B73034" w:rsidRDefault="008D41D6" w:rsidP="00844538">
            <w:pPr>
              <w:pStyle w:val="ListParagraph"/>
              <w:widowControl w:val="0"/>
              <w:numPr>
                <w:ilvl w:val="0"/>
                <w:numId w:val="181"/>
              </w:numPr>
              <w:autoSpaceDE w:val="0"/>
              <w:autoSpaceDN w:val="0"/>
              <w:adjustRightInd w:val="0"/>
              <w:spacing w:before="60" w:after="60" w:line="276" w:lineRule="auto"/>
              <w:contextualSpacing w:val="0"/>
              <w:rPr>
                <w:rFonts w:cs="Arial"/>
                <w:lang w:val="fr"/>
              </w:rPr>
            </w:pPr>
            <w:r w:rsidRPr="00B73034">
              <w:rPr>
                <w:lang w:val="fr"/>
              </w:rPr>
              <w:t>Aménagement de petites installations de stockage à des points clés qui peuvent faciliter le commerce et améliorer les prix.</w:t>
            </w:r>
            <w:r w:rsidRPr="00B73034">
              <w:rPr>
                <w:rFonts w:cs="Arial"/>
                <w:lang w:val="fr"/>
              </w:rPr>
              <w:t xml:space="preserve"> </w:t>
            </w:r>
          </w:p>
        </w:tc>
      </w:tr>
      <w:tr w:rsidR="008D41D6" w:rsidRPr="00B73034" w14:paraId="72AF9CBA" w14:textId="77777777" w:rsidTr="00E87A90">
        <w:tc>
          <w:tcPr>
            <w:tcW w:w="675" w:type="dxa"/>
          </w:tcPr>
          <w:p w14:paraId="0F579CF5" w14:textId="77777777" w:rsidR="008D41D6" w:rsidRPr="00B73034" w:rsidRDefault="008D41D6" w:rsidP="00E87A90">
            <w:pPr>
              <w:pStyle w:val="ListParagraph"/>
              <w:widowControl w:val="0"/>
              <w:autoSpaceDE w:val="0"/>
              <w:autoSpaceDN w:val="0"/>
              <w:adjustRightInd w:val="0"/>
              <w:spacing w:before="60" w:after="60"/>
              <w:ind w:left="0"/>
              <w:contextualSpacing w:val="0"/>
              <w:rPr>
                <w:rFonts w:cs="Arial"/>
                <w:lang w:val="fr"/>
              </w:rPr>
            </w:pPr>
          </w:p>
        </w:tc>
        <w:tc>
          <w:tcPr>
            <w:tcW w:w="8647" w:type="dxa"/>
            <w:tcBorders>
              <w:left w:val="nil"/>
            </w:tcBorders>
          </w:tcPr>
          <w:p w14:paraId="2F2D29F6" w14:textId="77777777" w:rsidR="008D41D6" w:rsidRPr="00B73034" w:rsidRDefault="008D41D6" w:rsidP="00844538">
            <w:pPr>
              <w:pStyle w:val="ListParagraph"/>
              <w:widowControl w:val="0"/>
              <w:numPr>
                <w:ilvl w:val="0"/>
                <w:numId w:val="181"/>
              </w:numPr>
              <w:autoSpaceDE w:val="0"/>
              <w:autoSpaceDN w:val="0"/>
              <w:adjustRightInd w:val="0"/>
              <w:spacing w:before="60" w:after="60" w:line="276" w:lineRule="auto"/>
              <w:contextualSpacing w:val="0"/>
              <w:rPr>
                <w:lang w:val="fr"/>
              </w:rPr>
            </w:pPr>
            <w:r w:rsidRPr="00B73034">
              <w:rPr>
                <w:lang w:val="fr"/>
              </w:rPr>
              <w:t xml:space="preserve">Prise en compte des questions de sécurité pour intégrer une approche de conception environnementale fondée sur la violence basée sur le genre. </w:t>
            </w:r>
          </w:p>
        </w:tc>
      </w:tr>
      <w:tr w:rsidR="008D41D6" w:rsidRPr="00B73034" w14:paraId="186CC1EE" w14:textId="77777777" w:rsidTr="00E87A90">
        <w:tc>
          <w:tcPr>
            <w:tcW w:w="675" w:type="dxa"/>
          </w:tcPr>
          <w:p w14:paraId="561C8E05" w14:textId="77777777" w:rsidR="008D41D6" w:rsidRPr="00B73034" w:rsidRDefault="008D41D6" w:rsidP="00E87A90">
            <w:pPr>
              <w:pStyle w:val="ListParagraph"/>
              <w:widowControl w:val="0"/>
              <w:autoSpaceDE w:val="0"/>
              <w:autoSpaceDN w:val="0"/>
              <w:adjustRightInd w:val="0"/>
              <w:spacing w:before="60" w:after="60"/>
              <w:ind w:left="0"/>
              <w:contextualSpacing w:val="0"/>
              <w:rPr>
                <w:rFonts w:cs="Arial"/>
                <w:lang w:val="fr"/>
              </w:rPr>
            </w:pPr>
          </w:p>
        </w:tc>
        <w:tc>
          <w:tcPr>
            <w:tcW w:w="8647" w:type="dxa"/>
          </w:tcPr>
          <w:p w14:paraId="208138CD" w14:textId="77777777" w:rsidR="008D41D6" w:rsidRPr="00B73034" w:rsidRDefault="008D41D6" w:rsidP="00844538">
            <w:pPr>
              <w:pStyle w:val="ListParagraph"/>
              <w:widowControl w:val="0"/>
              <w:numPr>
                <w:ilvl w:val="0"/>
                <w:numId w:val="181"/>
              </w:numPr>
              <w:autoSpaceDE w:val="0"/>
              <w:autoSpaceDN w:val="0"/>
              <w:adjustRightInd w:val="0"/>
              <w:spacing w:before="60" w:after="60" w:line="276" w:lineRule="auto"/>
              <w:contextualSpacing w:val="0"/>
              <w:rPr>
                <w:lang w:val="fr"/>
              </w:rPr>
            </w:pPr>
            <w:r w:rsidRPr="00B73034">
              <w:rPr>
                <w:lang w:val="fr"/>
              </w:rPr>
              <w:t xml:space="preserve">La signature et la prestation de programmes de formation </w:t>
            </w:r>
            <w:r w:rsidRPr="00B73034">
              <w:rPr>
                <w:rFonts w:cs="Arial"/>
                <w:lang w:val="fr"/>
              </w:rPr>
              <w:t>spécifiques</w:t>
            </w:r>
            <w:r w:rsidRPr="00B73034">
              <w:rPr>
                <w:lang w:val="fr"/>
              </w:rPr>
              <w:t xml:space="preserve"> pour les emplois peu qualifiés (entretien) et moyennes/hautes (réadaptation)</w:t>
            </w:r>
          </w:p>
        </w:tc>
      </w:tr>
    </w:tbl>
    <w:p w14:paraId="21A8247D" w14:textId="6AFCE173" w:rsidR="00FE2D32" w:rsidRDefault="00FE2D32" w:rsidP="00C65572">
      <w:pPr>
        <w:pStyle w:val="Heading3"/>
      </w:pPr>
      <w:bookmarkStart w:id="46" w:name="_Toc230425981"/>
      <w:r w:rsidRPr="00B73034">
        <w:rPr>
          <w:u w:val="single"/>
        </w:rPr>
        <w:t>Composante 3 :</w:t>
      </w:r>
      <w:r w:rsidRPr="00B73034">
        <w:t xml:space="preserve"> Assistance technique et appui aux réformes du secteur routier et des transports</w:t>
      </w:r>
      <w:bookmarkEnd w:id="46"/>
    </w:p>
    <w:tbl>
      <w:tblPr>
        <w:tblStyle w:val="TableGrid"/>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8647"/>
      </w:tblGrid>
      <w:tr w:rsidR="008D41D6" w:rsidRPr="00B73034" w14:paraId="1954C280" w14:textId="77777777" w:rsidTr="425F8B71">
        <w:tc>
          <w:tcPr>
            <w:tcW w:w="675" w:type="dxa"/>
          </w:tcPr>
          <w:p w14:paraId="559F71DF" w14:textId="77777777" w:rsidR="008D41D6" w:rsidRPr="00B73034" w:rsidRDefault="008D41D6" w:rsidP="00E87A90">
            <w:pPr>
              <w:spacing w:before="60" w:after="60"/>
              <w:rPr>
                <w:lang w:val="fr"/>
              </w:rPr>
            </w:pPr>
          </w:p>
        </w:tc>
        <w:tc>
          <w:tcPr>
            <w:tcW w:w="8647" w:type="dxa"/>
          </w:tcPr>
          <w:p w14:paraId="60E0561F" w14:textId="77777777" w:rsidR="008D41D6" w:rsidRPr="00B73034" w:rsidRDefault="008D41D6" w:rsidP="00E87A90">
            <w:pPr>
              <w:pStyle w:val="ListParagraph"/>
              <w:widowControl w:val="0"/>
              <w:autoSpaceDE w:val="0"/>
              <w:autoSpaceDN w:val="0"/>
              <w:adjustRightInd w:val="0"/>
              <w:spacing w:before="60" w:after="60"/>
              <w:ind w:left="284"/>
              <w:contextualSpacing w:val="0"/>
              <w:rPr>
                <w:lang w:val="fr"/>
              </w:rPr>
            </w:pPr>
            <w:r w:rsidRPr="00B73034">
              <w:rPr>
                <w:lang w:val="fr"/>
              </w:rPr>
              <w:t xml:space="preserve">La composante appuiera les activités de renforcement des capacités et des institutions </w:t>
            </w:r>
            <w:r w:rsidRPr="00B73034">
              <w:rPr>
                <w:rFonts w:cs="Arial"/>
                <w:lang w:val="fr"/>
              </w:rPr>
              <w:t>dans</w:t>
            </w:r>
            <w:r w:rsidRPr="00B73034">
              <w:rPr>
                <w:lang w:val="fr"/>
              </w:rPr>
              <w:t xml:space="preserve"> le secteur des transports dans les domaines suivants : </w:t>
            </w:r>
          </w:p>
        </w:tc>
      </w:tr>
      <w:tr w:rsidR="008D41D6" w:rsidRPr="00B73034" w14:paraId="0A75CBB6" w14:textId="77777777" w:rsidTr="425F8B71">
        <w:tc>
          <w:tcPr>
            <w:tcW w:w="675" w:type="dxa"/>
          </w:tcPr>
          <w:p w14:paraId="63B656CE" w14:textId="77777777" w:rsidR="008D41D6" w:rsidRPr="00B73034" w:rsidRDefault="008D41D6" w:rsidP="00E87A90">
            <w:pPr>
              <w:pStyle w:val="ListParagraph"/>
              <w:widowControl w:val="0"/>
              <w:autoSpaceDE w:val="0"/>
              <w:autoSpaceDN w:val="0"/>
              <w:adjustRightInd w:val="0"/>
              <w:spacing w:before="60" w:after="60"/>
              <w:ind w:left="0"/>
              <w:contextualSpacing w:val="0"/>
              <w:rPr>
                <w:rFonts w:cs="Arial"/>
                <w:lang w:val="fr"/>
              </w:rPr>
            </w:pPr>
          </w:p>
        </w:tc>
        <w:tc>
          <w:tcPr>
            <w:tcW w:w="8647" w:type="dxa"/>
            <w:tcBorders>
              <w:left w:val="nil"/>
            </w:tcBorders>
          </w:tcPr>
          <w:p w14:paraId="652D006A" w14:textId="77777777" w:rsidR="008D41D6" w:rsidRPr="00B73034" w:rsidRDefault="008D41D6" w:rsidP="00844538">
            <w:pPr>
              <w:pStyle w:val="ListParagraph"/>
              <w:widowControl w:val="0"/>
              <w:numPr>
                <w:ilvl w:val="2"/>
                <w:numId w:val="179"/>
              </w:numPr>
              <w:autoSpaceDE w:val="0"/>
              <w:autoSpaceDN w:val="0"/>
              <w:adjustRightInd w:val="0"/>
              <w:spacing w:before="60" w:after="60" w:line="276" w:lineRule="auto"/>
              <w:ind w:left="709" w:hanging="425"/>
              <w:contextualSpacing w:val="0"/>
              <w:rPr>
                <w:rFonts w:cs="Arial"/>
              </w:rPr>
            </w:pPr>
            <w:r w:rsidRPr="425F8B71">
              <w:rPr>
                <w:rFonts w:cs="Arial"/>
              </w:rPr>
              <w:t xml:space="preserve">le renforcement des capacités institutionnelles, réglementaires et de planification du Ministère des Travaux Publics (MTP), de l’Agence Routière (AR) et du Fonds Routier (FR) ; </w:t>
            </w:r>
          </w:p>
        </w:tc>
      </w:tr>
      <w:tr w:rsidR="008D41D6" w:rsidRPr="00B73034" w14:paraId="1316AAE9" w14:textId="77777777" w:rsidTr="425F8B71">
        <w:tc>
          <w:tcPr>
            <w:tcW w:w="675" w:type="dxa"/>
          </w:tcPr>
          <w:p w14:paraId="6414B97D" w14:textId="77777777" w:rsidR="008D41D6" w:rsidRPr="00B73034" w:rsidRDefault="008D41D6" w:rsidP="00E87A90">
            <w:pPr>
              <w:pStyle w:val="ListParagraph"/>
              <w:widowControl w:val="0"/>
              <w:autoSpaceDE w:val="0"/>
              <w:autoSpaceDN w:val="0"/>
              <w:adjustRightInd w:val="0"/>
              <w:spacing w:before="60" w:after="60"/>
              <w:ind w:left="0"/>
              <w:contextualSpacing w:val="0"/>
              <w:rPr>
                <w:rFonts w:cs="Arial"/>
                <w:lang w:val="fr"/>
              </w:rPr>
            </w:pPr>
          </w:p>
        </w:tc>
        <w:tc>
          <w:tcPr>
            <w:tcW w:w="8647" w:type="dxa"/>
            <w:tcBorders>
              <w:left w:val="nil"/>
            </w:tcBorders>
          </w:tcPr>
          <w:p w14:paraId="0A1CEF58" w14:textId="77777777" w:rsidR="008D41D6" w:rsidRPr="00B73034" w:rsidRDefault="008D41D6" w:rsidP="00844538">
            <w:pPr>
              <w:pStyle w:val="ListParagraph"/>
              <w:widowControl w:val="0"/>
              <w:numPr>
                <w:ilvl w:val="2"/>
                <w:numId w:val="179"/>
              </w:numPr>
              <w:autoSpaceDE w:val="0"/>
              <w:autoSpaceDN w:val="0"/>
              <w:adjustRightInd w:val="0"/>
              <w:spacing w:before="60" w:after="60" w:line="276" w:lineRule="auto"/>
              <w:ind w:left="709" w:hanging="425"/>
              <w:contextualSpacing w:val="0"/>
              <w:rPr>
                <w:rFonts w:cs="Arial"/>
              </w:rPr>
            </w:pPr>
            <w:r w:rsidRPr="425F8B71">
              <w:rPr>
                <w:rFonts w:cs="Arial"/>
              </w:rPr>
              <w:t xml:space="preserve">le renforcement des capacités en matière d’évaluation de la vulnérabilité climatique et de pratiques de résilience ; </w:t>
            </w:r>
          </w:p>
        </w:tc>
      </w:tr>
      <w:tr w:rsidR="008D41D6" w:rsidRPr="00B73034" w14:paraId="30359C9A" w14:textId="77777777" w:rsidTr="425F8B71">
        <w:tc>
          <w:tcPr>
            <w:tcW w:w="675" w:type="dxa"/>
          </w:tcPr>
          <w:p w14:paraId="67A75900" w14:textId="77777777" w:rsidR="008D41D6" w:rsidRPr="00B73034" w:rsidRDefault="008D41D6" w:rsidP="00E87A90">
            <w:pPr>
              <w:pStyle w:val="ListParagraph"/>
              <w:widowControl w:val="0"/>
              <w:autoSpaceDE w:val="0"/>
              <w:autoSpaceDN w:val="0"/>
              <w:adjustRightInd w:val="0"/>
              <w:spacing w:before="60" w:after="60"/>
              <w:ind w:left="0"/>
              <w:contextualSpacing w:val="0"/>
              <w:rPr>
                <w:rFonts w:cs="Arial"/>
                <w:lang w:val="fr"/>
              </w:rPr>
            </w:pPr>
          </w:p>
        </w:tc>
        <w:tc>
          <w:tcPr>
            <w:tcW w:w="8647" w:type="dxa"/>
            <w:tcBorders>
              <w:left w:val="nil"/>
            </w:tcBorders>
          </w:tcPr>
          <w:p w14:paraId="1A0E4339" w14:textId="77777777" w:rsidR="008D41D6" w:rsidRPr="00B73034" w:rsidRDefault="008D41D6" w:rsidP="00844538">
            <w:pPr>
              <w:pStyle w:val="ListParagraph"/>
              <w:widowControl w:val="0"/>
              <w:numPr>
                <w:ilvl w:val="2"/>
                <w:numId w:val="179"/>
              </w:numPr>
              <w:autoSpaceDE w:val="0"/>
              <w:autoSpaceDN w:val="0"/>
              <w:adjustRightInd w:val="0"/>
              <w:spacing w:before="60" w:after="60" w:line="276" w:lineRule="auto"/>
              <w:ind w:left="709" w:hanging="425"/>
              <w:contextualSpacing w:val="0"/>
              <w:rPr>
                <w:rFonts w:cs="Arial"/>
              </w:rPr>
            </w:pPr>
            <w:r w:rsidRPr="425F8B71">
              <w:rPr>
                <w:rFonts w:cs="Arial"/>
              </w:rPr>
              <w:t>la poursuite de la mise en œuvre du plan d’action pour la sécurité routière ;</w:t>
            </w:r>
          </w:p>
        </w:tc>
      </w:tr>
      <w:tr w:rsidR="008D41D6" w:rsidRPr="00B73034" w14:paraId="1405E198" w14:textId="77777777" w:rsidTr="425F8B71">
        <w:tc>
          <w:tcPr>
            <w:tcW w:w="675" w:type="dxa"/>
          </w:tcPr>
          <w:p w14:paraId="13C590F2" w14:textId="77777777" w:rsidR="008D41D6" w:rsidRPr="00B73034" w:rsidRDefault="008D41D6" w:rsidP="00E87A90">
            <w:pPr>
              <w:pStyle w:val="ListParagraph"/>
              <w:widowControl w:val="0"/>
              <w:autoSpaceDE w:val="0"/>
              <w:autoSpaceDN w:val="0"/>
              <w:adjustRightInd w:val="0"/>
              <w:spacing w:before="60" w:after="60"/>
              <w:ind w:left="0"/>
              <w:contextualSpacing w:val="0"/>
              <w:rPr>
                <w:rFonts w:cs="Arial"/>
                <w:lang w:val="fr"/>
              </w:rPr>
            </w:pPr>
          </w:p>
        </w:tc>
        <w:tc>
          <w:tcPr>
            <w:tcW w:w="8647" w:type="dxa"/>
            <w:tcBorders>
              <w:left w:val="nil"/>
            </w:tcBorders>
          </w:tcPr>
          <w:p w14:paraId="1D5654F4" w14:textId="77777777" w:rsidR="008D41D6" w:rsidRPr="00B73034" w:rsidRDefault="008D41D6" w:rsidP="00844538">
            <w:pPr>
              <w:pStyle w:val="ListParagraph"/>
              <w:widowControl w:val="0"/>
              <w:numPr>
                <w:ilvl w:val="2"/>
                <w:numId w:val="179"/>
              </w:numPr>
              <w:autoSpaceDE w:val="0"/>
              <w:autoSpaceDN w:val="0"/>
              <w:adjustRightInd w:val="0"/>
              <w:spacing w:before="60" w:after="60" w:line="276" w:lineRule="auto"/>
              <w:ind w:left="709" w:hanging="425"/>
              <w:contextualSpacing w:val="0"/>
              <w:rPr>
                <w:rFonts w:cs="Arial"/>
              </w:rPr>
            </w:pPr>
            <w:r w:rsidRPr="425F8B71">
              <w:rPr>
                <w:rFonts w:cs="Arial"/>
              </w:rPr>
              <w:t xml:space="preserve">le renforcement des capacités institutionnelles, réglementaires et de planification </w:t>
            </w:r>
            <w:r w:rsidRPr="425F8B71">
              <w:rPr>
                <w:rFonts w:cs="Arial"/>
              </w:rPr>
              <w:lastRenderedPageBreak/>
              <w:t xml:space="preserve">du Ministère en charge des transports et des organismes publics associés ; </w:t>
            </w:r>
          </w:p>
        </w:tc>
      </w:tr>
      <w:tr w:rsidR="008D41D6" w:rsidRPr="00B73034" w14:paraId="78B61920" w14:textId="77777777" w:rsidTr="425F8B71">
        <w:tc>
          <w:tcPr>
            <w:tcW w:w="675" w:type="dxa"/>
          </w:tcPr>
          <w:p w14:paraId="40AC4C9A" w14:textId="77777777" w:rsidR="008D41D6" w:rsidRPr="00B73034" w:rsidRDefault="008D41D6" w:rsidP="00E87A90">
            <w:pPr>
              <w:pStyle w:val="ListParagraph"/>
              <w:widowControl w:val="0"/>
              <w:autoSpaceDE w:val="0"/>
              <w:autoSpaceDN w:val="0"/>
              <w:adjustRightInd w:val="0"/>
              <w:spacing w:before="60" w:after="60"/>
              <w:ind w:left="0"/>
              <w:contextualSpacing w:val="0"/>
              <w:rPr>
                <w:rFonts w:cs="Arial"/>
                <w:lang w:val="fr"/>
              </w:rPr>
            </w:pPr>
          </w:p>
        </w:tc>
        <w:tc>
          <w:tcPr>
            <w:tcW w:w="8647" w:type="dxa"/>
            <w:tcBorders>
              <w:left w:val="nil"/>
            </w:tcBorders>
          </w:tcPr>
          <w:p w14:paraId="2D037541" w14:textId="77777777" w:rsidR="008D41D6" w:rsidRPr="00B73034" w:rsidRDefault="008D41D6" w:rsidP="00844538">
            <w:pPr>
              <w:pStyle w:val="ListParagraph"/>
              <w:widowControl w:val="0"/>
              <w:numPr>
                <w:ilvl w:val="2"/>
                <w:numId w:val="179"/>
              </w:numPr>
              <w:autoSpaceDE w:val="0"/>
              <w:autoSpaceDN w:val="0"/>
              <w:adjustRightInd w:val="0"/>
              <w:spacing w:before="60" w:after="60" w:line="276" w:lineRule="auto"/>
              <w:ind w:left="709" w:hanging="425"/>
              <w:contextualSpacing w:val="0"/>
              <w:rPr>
                <w:rFonts w:cs="Arial"/>
              </w:rPr>
            </w:pPr>
            <w:r w:rsidRPr="425F8B71">
              <w:rPr>
                <w:rFonts w:cs="Arial"/>
              </w:rPr>
              <w:t xml:space="preserve">l’amélioration de la durabilité des investissements routiers grâce à la mise en œuvre des recommandations issues d’une étude sur le financement du secteur routier financée au titre du PDDR. </w:t>
            </w:r>
          </w:p>
        </w:tc>
      </w:tr>
    </w:tbl>
    <w:p w14:paraId="4A182050" w14:textId="1703A0CE" w:rsidR="00575CDF" w:rsidRPr="00C801A6" w:rsidRDefault="00575CDF" w:rsidP="00C65572">
      <w:pPr>
        <w:pStyle w:val="Heading3"/>
      </w:pPr>
      <w:bookmarkStart w:id="47" w:name="_Toc106320268"/>
      <w:bookmarkStart w:id="48" w:name="_Toc230425982"/>
      <w:r w:rsidRPr="00C801A6">
        <w:t>C</w:t>
      </w:r>
      <w:r w:rsidR="00014BC0" w:rsidRPr="00C801A6">
        <w:t>omposante</w:t>
      </w:r>
      <w:bookmarkEnd w:id="47"/>
      <w:r w:rsidR="00014BC0">
        <w:t xml:space="preserve"> </w:t>
      </w:r>
      <w:r w:rsidR="0058277A">
        <w:t>4</w:t>
      </w:r>
      <w:r w:rsidR="00FE2D32">
        <w:t> : CERC</w:t>
      </w:r>
      <w:bookmarkEnd w:id="48"/>
    </w:p>
    <w:p w14:paraId="5AF2F51C" w14:textId="1C9898AC" w:rsidR="00C6724E" w:rsidRPr="003617DE" w:rsidRDefault="00C6724E" w:rsidP="00D42025">
      <w:pPr>
        <w:pStyle w:val="Heading4"/>
      </w:pPr>
      <w:bookmarkStart w:id="49" w:name="_Toc230298729"/>
      <w:r w:rsidRPr="003617DE">
        <w:t>CERC 1</w:t>
      </w:r>
      <w:bookmarkEnd w:id="49"/>
    </w:p>
    <w:p w14:paraId="1A9C69F1" w14:textId="02C50239" w:rsidR="00575CDF" w:rsidRPr="00C801A6" w:rsidRDefault="00575CDF" w:rsidP="00575CDF">
      <w:pPr>
        <w:rPr>
          <w:rFonts w:cs="Times New Roman"/>
          <w:color w:val="auto"/>
          <w:szCs w:val="24"/>
        </w:rPr>
      </w:pPr>
      <w:r w:rsidRPr="00C801A6">
        <w:rPr>
          <w:rFonts w:cs="Times New Roman"/>
          <w:color w:val="auto"/>
          <w:szCs w:val="24"/>
        </w:rPr>
        <w:t>L</w:t>
      </w:r>
      <w:r w:rsidR="0058277A">
        <w:rPr>
          <w:rFonts w:cs="Times New Roman"/>
          <w:color w:val="auto"/>
          <w:szCs w:val="24"/>
        </w:rPr>
        <w:t>a composante 4</w:t>
      </w:r>
      <w:r w:rsidRPr="00C801A6">
        <w:rPr>
          <w:rFonts w:cs="Times New Roman"/>
          <w:color w:val="auto"/>
          <w:szCs w:val="24"/>
        </w:rPr>
        <w:t xml:space="preserve"> est </w:t>
      </w:r>
      <w:r w:rsidR="00A21BA5">
        <w:rPr>
          <w:rFonts w:cs="Times New Roman"/>
          <w:color w:val="auto"/>
          <w:szCs w:val="24"/>
        </w:rPr>
        <w:t xml:space="preserve">structuré en deux phases distinctes correspondant aux différents événements climatiques ayant affecté le pays. La première phase CERC1 a été </w:t>
      </w:r>
      <w:r w:rsidRPr="00C801A6">
        <w:rPr>
          <w:rFonts w:cs="Times New Roman"/>
          <w:color w:val="auto"/>
          <w:szCs w:val="24"/>
        </w:rPr>
        <w:t xml:space="preserve">articulé autour de </w:t>
      </w:r>
      <w:r w:rsidR="0058277A">
        <w:rPr>
          <w:rFonts w:cs="Times New Roman"/>
          <w:color w:val="auto"/>
          <w:szCs w:val="24"/>
        </w:rPr>
        <w:t>2 sous-projet</w:t>
      </w:r>
      <w:r w:rsidRPr="00C801A6">
        <w:rPr>
          <w:rFonts w:cs="Times New Roman"/>
          <w:color w:val="auto"/>
          <w:szCs w:val="24"/>
        </w:rPr>
        <w:t>, à savoir :</w:t>
      </w:r>
    </w:p>
    <w:p w14:paraId="7D9903F6" w14:textId="185E8E98" w:rsidR="00575CDF" w:rsidRPr="003617DE" w:rsidRDefault="0058277A" w:rsidP="00844538">
      <w:pPr>
        <w:pStyle w:val="ListParagraph"/>
        <w:numPr>
          <w:ilvl w:val="0"/>
          <w:numId w:val="186"/>
        </w:numPr>
        <w:rPr>
          <w:rFonts w:cs="Times New Roman"/>
          <w:color w:val="auto"/>
          <w:szCs w:val="24"/>
        </w:rPr>
      </w:pPr>
      <w:r w:rsidRPr="003617DE">
        <w:rPr>
          <w:rFonts w:cs="Times New Roman"/>
          <w:color w:val="auto"/>
          <w:szCs w:val="24"/>
        </w:rPr>
        <w:t>Sous-projet</w:t>
      </w:r>
      <w:r w:rsidR="00575CDF" w:rsidRPr="003617DE">
        <w:rPr>
          <w:rFonts w:cs="Times New Roman"/>
          <w:color w:val="auto"/>
          <w:szCs w:val="24"/>
        </w:rPr>
        <w:t xml:space="preserve"> 1 : Améliorer l’état et la résilience des routes</w:t>
      </w:r>
    </w:p>
    <w:p w14:paraId="7239E428" w14:textId="15BAE5E7" w:rsidR="00575CDF" w:rsidRPr="003617DE" w:rsidRDefault="0058277A" w:rsidP="00844538">
      <w:pPr>
        <w:pStyle w:val="ListParagraph"/>
        <w:numPr>
          <w:ilvl w:val="0"/>
          <w:numId w:val="186"/>
        </w:numPr>
        <w:rPr>
          <w:rFonts w:cs="Times New Roman"/>
          <w:color w:val="auto"/>
          <w:szCs w:val="24"/>
        </w:rPr>
      </w:pPr>
      <w:r w:rsidRPr="003617DE">
        <w:rPr>
          <w:rFonts w:cs="Times New Roman"/>
          <w:color w:val="auto"/>
          <w:szCs w:val="24"/>
        </w:rPr>
        <w:t xml:space="preserve">Sous-Projet </w:t>
      </w:r>
      <w:r w:rsidR="00575CDF" w:rsidRPr="003617DE">
        <w:rPr>
          <w:rFonts w:cs="Times New Roman"/>
          <w:color w:val="auto"/>
          <w:szCs w:val="24"/>
        </w:rPr>
        <w:t xml:space="preserve">2 : </w:t>
      </w:r>
      <w:r w:rsidRPr="003617DE">
        <w:rPr>
          <w:rFonts w:cs="Times New Roman"/>
          <w:color w:val="auto"/>
          <w:szCs w:val="24"/>
        </w:rPr>
        <w:t>Assurer le bon fonctionnement du port de Mahajanga</w:t>
      </w:r>
      <w:r w:rsidR="00575CDF" w:rsidRPr="003617DE">
        <w:rPr>
          <w:rFonts w:cs="Times New Roman"/>
          <w:color w:val="auto"/>
          <w:szCs w:val="24"/>
        </w:rPr>
        <w:t xml:space="preserve"> </w:t>
      </w:r>
    </w:p>
    <w:p w14:paraId="3E1289BD" w14:textId="6B36FCD3" w:rsidR="008C6AE8" w:rsidRDefault="00BF1EA9" w:rsidP="008C6AE8">
      <w:pPr>
        <w:rPr>
          <w:rFonts w:cs="Times New Roman"/>
          <w:color w:val="auto"/>
          <w:szCs w:val="24"/>
        </w:rPr>
      </w:pPr>
      <w:r>
        <w:rPr>
          <w:rFonts w:cs="Times New Roman"/>
          <w:color w:val="auto"/>
          <w:szCs w:val="24"/>
        </w:rPr>
        <w:t>Après consultations entre le GoM et la Banque mondiale, les types d’activités à financer peuvent être résumés dans le tableau ci-après</w:t>
      </w:r>
      <w:r w:rsidR="008D41D6">
        <w:rPr>
          <w:rFonts w:cs="Times New Roman"/>
          <w:color w:val="auto"/>
          <w:szCs w:val="24"/>
        </w:rPr>
        <w:t> :</w:t>
      </w:r>
    </w:p>
    <w:p w14:paraId="378E27C9" w14:textId="300759A1" w:rsidR="008D41D6" w:rsidRDefault="008D41D6" w:rsidP="008D41D6">
      <w:pPr>
        <w:pStyle w:val="Caption"/>
        <w:rPr>
          <w:rFonts w:cs="Times New Roman"/>
          <w:color w:val="auto"/>
          <w:szCs w:val="24"/>
        </w:rPr>
      </w:pPr>
      <w:bookmarkStart w:id="50" w:name="_Toc230427723"/>
      <w:r>
        <w:t xml:space="preserve">Tableau </w:t>
      </w:r>
      <w:r w:rsidR="00E44887">
        <w:fldChar w:fldCharType="begin"/>
      </w:r>
      <w:r w:rsidR="00E44887">
        <w:instrText xml:space="preserve"> SEQ Tableau \* ARABIC </w:instrText>
      </w:r>
      <w:r w:rsidR="00E44887">
        <w:fldChar w:fldCharType="separate"/>
      </w:r>
      <w:r w:rsidR="007E133A">
        <w:rPr>
          <w:noProof/>
        </w:rPr>
        <w:t>3</w:t>
      </w:r>
      <w:r w:rsidR="00E44887">
        <w:rPr>
          <w:noProof/>
        </w:rPr>
        <w:fldChar w:fldCharType="end"/>
      </w:r>
      <w:r>
        <w:t> : TYPES D’ACTIVITES DE LA COMPOSANTE 4</w:t>
      </w:r>
      <w:bookmarkEnd w:id="50"/>
    </w:p>
    <w:tbl>
      <w:tblPr>
        <w:tblStyle w:val="TableGrid"/>
        <w:tblW w:w="9356" w:type="dxa"/>
        <w:tblInd w:w="-147" w:type="dxa"/>
        <w:tblLook w:val="04A0" w:firstRow="1" w:lastRow="0" w:firstColumn="1" w:lastColumn="0" w:noHBand="0" w:noVBand="1"/>
      </w:tblPr>
      <w:tblGrid>
        <w:gridCol w:w="1843"/>
        <w:gridCol w:w="7513"/>
      </w:tblGrid>
      <w:tr w:rsidR="00BF1EA9" w:rsidRPr="00C801A6" w14:paraId="6475FB6D" w14:textId="77777777" w:rsidTr="008D41D6">
        <w:trPr>
          <w:tblHeader/>
        </w:trPr>
        <w:tc>
          <w:tcPr>
            <w:tcW w:w="1843" w:type="dxa"/>
            <w:shd w:val="clear" w:color="auto" w:fill="E2EFD9" w:themeFill="accent6" w:themeFillTint="33"/>
          </w:tcPr>
          <w:p w14:paraId="57CF239F" w14:textId="77777777" w:rsidR="00BF1EA9" w:rsidRPr="00C801A6" w:rsidRDefault="00BF1EA9" w:rsidP="00365B4F">
            <w:pPr>
              <w:pStyle w:val="ListParagraph"/>
              <w:tabs>
                <w:tab w:val="left" w:pos="284"/>
              </w:tabs>
              <w:spacing w:before="40" w:after="40" w:line="276" w:lineRule="auto"/>
              <w:ind w:left="0"/>
              <w:contextualSpacing w:val="0"/>
              <w:jc w:val="left"/>
              <w:rPr>
                <w:rFonts w:cs="Times New Roman"/>
                <w:b/>
                <w:color w:val="auto"/>
                <w:szCs w:val="24"/>
              </w:rPr>
            </w:pPr>
            <w:r w:rsidRPr="00C801A6">
              <w:rPr>
                <w:rFonts w:cs="Times New Roman"/>
                <w:b/>
                <w:color w:val="auto"/>
                <w:szCs w:val="24"/>
              </w:rPr>
              <w:t>Composante</w:t>
            </w:r>
          </w:p>
        </w:tc>
        <w:tc>
          <w:tcPr>
            <w:tcW w:w="7513" w:type="dxa"/>
            <w:shd w:val="clear" w:color="auto" w:fill="E2EFD9" w:themeFill="accent6" w:themeFillTint="33"/>
          </w:tcPr>
          <w:p w14:paraId="4096638D" w14:textId="77777777" w:rsidR="00BF1EA9" w:rsidRPr="00C801A6" w:rsidRDefault="00BF1EA9" w:rsidP="00365B4F">
            <w:pPr>
              <w:pStyle w:val="ListParagraph"/>
              <w:tabs>
                <w:tab w:val="left" w:pos="284"/>
              </w:tabs>
              <w:spacing w:before="40" w:after="40" w:line="276" w:lineRule="auto"/>
              <w:ind w:left="0"/>
              <w:contextualSpacing w:val="0"/>
              <w:jc w:val="left"/>
              <w:rPr>
                <w:rFonts w:cs="Times New Roman"/>
                <w:b/>
                <w:color w:val="auto"/>
                <w:szCs w:val="24"/>
              </w:rPr>
            </w:pPr>
            <w:r w:rsidRPr="00C801A6">
              <w:rPr>
                <w:rFonts w:cs="Times New Roman"/>
                <w:b/>
                <w:color w:val="auto"/>
                <w:szCs w:val="24"/>
              </w:rPr>
              <w:t>Types d’activités</w:t>
            </w:r>
          </w:p>
        </w:tc>
      </w:tr>
      <w:tr w:rsidR="00BF1EA9" w:rsidRPr="00C801A6" w14:paraId="6B767F1D" w14:textId="77777777" w:rsidTr="008D41D6">
        <w:tc>
          <w:tcPr>
            <w:tcW w:w="1843" w:type="dxa"/>
          </w:tcPr>
          <w:p w14:paraId="1D3B7152" w14:textId="65B583F1" w:rsidR="00BF1EA9" w:rsidRPr="00C801A6" w:rsidRDefault="00BF1EA9" w:rsidP="00365B4F">
            <w:pPr>
              <w:pStyle w:val="ListParagraph"/>
              <w:tabs>
                <w:tab w:val="left" w:pos="284"/>
              </w:tabs>
              <w:spacing w:before="120" w:after="120" w:line="276" w:lineRule="auto"/>
              <w:ind w:left="0"/>
              <w:contextualSpacing w:val="0"/>
              <w:jc w:val="left"/>
              <w:rPr>
                <w:rFonts w:cs="Times New Roman"/>
                <w:bCs/>
                <w:color w:val="auto"/>
                <w:szCs w:val="24"/>
              </w:rPr>
            </w:pPr>
            <w:r w:rsidRPr="00C801A6">
              <w:rPr>
                <w:rFonts w:cs="Times New Roman"/>
                <w:bCs/>
                <w:color w:val="auto"/>
                <w:szCs w:val="24"/>
              </w:rPr>
              <w:t xml:space="preserve">Routes </w:t>
            </w:r>
          </w:p>
        </w:tc>
        <w:tc>
          <w:tcPr>
            <w:tcW w:w="7513" w:type="dxa"/>
          </w:tcPr>
          <w:p w14:paraId="0C771FC6" w14:textId="77777777" w:rsidR="00BF1EA9" w:rsidRPr="00C801A6" w:rsidRDefault="00BF1EA9" w:rsidP="00844538">
            <w:pPr>
              <w:pStyle w:val="ListParagraph"/>
              <w:numPr>
                <w:ilvl w:val="0"/>
                <w:numId w:val="4"/>
              </w:numPr>
              <w:tabs>
                <w:tab w:val="left" w:pos="144"/>
              </w:tabs>
              <w:spacing w:before="120" w:line="276" w:lineRule="auto"/>
              <w:ind w:left="170" w:hanging="170"/>
              <w:contextualSpacing w:val="0"/>
              <w:jc w:val="left"/>
              <w:rPr>
                <w:rFonts w:cs="Times New Roman"/>
                <w:bCs/>
                <w:color w:val="auto"/>
                <w:szCs w:val="24"/>
              </w:rPr>
            </w:pPr>
            <w:r w:rsidRPr="00C801A6">
              <w:rPr>
                <w:rFonts w:cs="Times New Roman"/>
                <w:bCs/>
                <w:color w:val="auto"/>
                <w:szCs w:val="24"/>
              </w:rPr>
              <w:t>Comblement de brèches et remise en état de la portion de chaussée concernée</w:t>
            </w:r>
          </w:p>
          <w:p w14:paraId="510A9F42" w14:textId="7F93B400" w:rsidR="00BF1EA9" w:rsidRDefault="00BF1EA9" w:rsidP="00844538">
            <w:pPr>
              <w:pStyle w:val="ListParagraph"/>
              <w:numPr>
                <w:ilvl w:val="0"/>
                <w:numId w:val="4"/>
              </w:numPr>
              <w:tabs>
                <w:tab w:val="left" w:pos="144"/>
              </w:tabs>
              <w:spacing w:before="120" w:after="120" w:line="276" w:lineRule="auto"/>
              <w:ind w:left="170" w:hanging="170"/>
              <w:jc w:val="left"/>
              <w:rPr>
                <w:rFonts w:cs="Times New Roman"/>
                <w:bCs/>
                <w:color w:val="auto"/>
                <w:szCs w:val="24"/>
              </w:rPr>
            </w:pPr>
            <w:r w:rsidRPr="00C801A6">
              <w:rPr>
                <w:rFonts w:cs="Times New Roman"/>
                <w:bCs/>
                <w:color w:val="auto"/>
                <w:szCs w:val="24"/>
              </w:rPr>
              <w:t>Reconstruction de ponts et/ou d’autres ouvrages</w:t>
            </w:r>
          </w:p>
          <w:p w14:paraId="606D6314" w14:textId="5AE5D803" w:rsidR="00BF1EA9" w:rsidRPr="00C801A6" w:rsidRDefault="00BF1EA9" w:rsidP="00844538">
            <w:pPr>
              <w:pStyle w:val="ListParagraph"/>
              <w:numPr>
                <w:ilvl w:val="0"/>
                <w:numId w:val="4"/>
              </w:numPr>
              <w:tabs>
                <w:tab w:val="left" w:pos="144"/>
              </w:tabs>
              <w:spacing w:before="120" w:after="120" w:line="276" w:lineRule="auto"/>
              <w:ind w:left="170" w:hanging="170"/>
              <w:jc w:val="left"/>
              <w:rPr>
                <w:rFonts w:cs="Times New Roman"/>
                <w:bCs/>
                <w:color w:val="auto"/>
                <w:szCs w:val="24"/>
              </w:rPr>
            </w:pPr>
            <w:r>
              <w:rPr>
                <w:rFonts w:cs="Times New Roman"/>
                <w:bCs/>
                <w:color w:val="auto"/>
                <w:szCs w:val="24"/>
              </w:rPr>
              <w:t>Réfection du corps de la chaussée</w:t>
            </w:r>
          </w:p>
          <w:p w14:paraId="1F8C86E3" w14:textId="15F78AF3" w:rsidR="00BF1EA9" w:rsidRPr="00C801A6" w:rsidRDefault="00BF1EA9" w:rsidP="00844538">
            <w:pPr>
              <w:pStyle w:val="ListParagraph"/>
              <w:numPr>
                <w:ilvl w:val="0"/>
                <w:numId w:val="4"/>
              </w:numPr>
              <w:tabs>
                <w:tab w:val="left" w:pos="144"/>
              </w:tabs>
              <w:spacing w:before="120" w:after="120" w:line="276" w:lineRule="auto"/>
              <w:ind w:left="170" w:hanging="170"/>
              <w:jc w:val="left"/>
              <w:rPr>
                <w:rFonts w:cs="Times New Roman"/>
                <w:bCs/>
                <w:color w:val="auto"/>
                <w:szCs w:val="24"/>
              </w:rPr>
            </w:pPr>
            <w:r>
              <w:rPr>
                <w:rFonts w:cs="Times New Roman"/>
                <w:bCs/>
                <w:color w:val="auto"/>
                <w:szCs w:val="24"/>
              </w:rPr>
              <w:t>Couche de roulement en BBSG ou en Béton</w:t>
            </w:r>
          </w:p>
          <w:p w14:paraId="6D1F791F" w14:textId="77777777" w:rsidR="00BF1EA9" w:rsidRPr="00C801A6" w:rsidRDefault="00BF1EA9" w:rsidP="00844538">
            <w:pPr>
              <w:pStyle w:val="ListParagraph"/>
              <w:numPr>
                <w:ilvl w:val="0"/>
                <w:numId w:val="4"/>
              </w:numPr>
              <w:tabs>
                <w:tab w:val="left" w:pos="144"/>
              </w:tabs>
              <w:spacing w:before="120" w:after="120" w:line="276" w:lineRule="auto"/>
              <w:ind w:left="170" w:hanging="170"/>
              <w:jc w:val="left"/>
              <w:rPr>
                <w:rFonts w:cs="Times New Roman"/>
                <w:bCs/>
                <w:color w:val="auto"/>
                <w:szCs w:val="24"/>
              </w:rPr>
            </w:pPr>
            <w:r w:rsidRPr="00C801A6">
              <w:rPr>
                <w:rFonts w:cs="Times New Roman"/>
                <w:bCs/>
                <w:color w:val="auto"/>
                <w:szCs w:val="24"/>
              </w:rPr>
              <w:t>Autres</w:t>
            </w:r>
          </w:p>
        </w:tc>
      </w:tr>
      <w:tr w:rsidR="00BF1EA9" w:rsidRPr="00C801A6" w14:paraId="4DEDF68B" w14:textId="77777777" w:rsidTr="008D41D6">
        <w:tc>
          <w:tcPr>
            <w:tcW w:w="1843" w:type="dxa"/>
          </w:tcPr>
          <w:p w14:paraId="2B02BB4A" w14:textId="3D7C6C8B" w:rsidR="00BF1EA9" w:rsidRPr="00C801A6" w:rsidRDefault="00BF1EA9" w:rsidP="00365B4F">
            <w:pPr>
              <w:pStyle w:val="ListParagraph"/>
              <w:tabs>
                <w:tab w:val="left" w:pos="284"/>
              </w:tabs>
              <w:spacing w:before="120" w:after="120" w:line="276" w:lineRule="auto"/>
              <w:ind w:left="0"/>
              <w:contextualSpacing w:val="0"/>
              <w:jc w:val="left"/>
              <w:rPr>
                <w:rFonts w:cs="Times New Roman"/>
                <w:bCs/>
                <w:color w:val="auto"/>
                <w:szCs w:val="24"/>
              </w:rPr>
            </w:pPr>
            <w:r>
              <w:rPr>
                <w:rFonts w:cs="Times New Roman"/>
                <w:bCs/>
                <w:color w:val="auto"/>
                <w:szCs w:val="24"/>
              </w:rPr>
              <w:t>Port</w:t>
            </w:r>
          </w:p>
        </w:tc>
        <w:tc>
          <w:tcPr>
            <w:tcW w:w="7513" w:type="dxa"/>
          </w:tcPr>
          <w:p w14:paraId="1FBFD320" w14:textId="56BD2962" w:rsidR="00BF1EA9" w:rsidRDefault="00BF1EA9" w:rsidP="00844538">
            <w:pPr>
              <w:pStyle w:val="ListParagraph"/>
              <w:numPr>
                <w:ilvl w:val="0"/>
                <w:numId w:val="4"/>
              </w:numPr>
              <w:tabs>
                <w:tab w:val="left" w:pos="144"/>
              </w:tabs>
              <w:spacing w:before="120" w:line="276" w:lineRule="auto"/>
              <w:ind w:left="170" w:hanging="170"/>
              <w:contextualSpacing w:val="0"/>
              <w:jc w:val="left"/>
              <w:rPr>
                <w:rFonts w:cs="Times New Roman"/>
                <w:bCs/>
                <w:color w:val="auto"/>
                <w:szCs w:val="24"/>
              </w:rPr>
            </w:pPr>
            <w:r>
              <w:rPr>
                <w:rFonts w:cs="Times New Roman"/>
                <w:bCs/>
                <w:color w:val="auto"/>
                <w:szCs w:val="24"/>
              </w:rPr>
              <w:t>Reco</w:t>
            </w:r>
            <w:r w:rsidR="00235075">
              <w:rPr>
                <w:rFonts w:cs="Times New Roman"/>
                <w:bCs/>
                <w:color w:val="auto"/>
                <w:szCs w:val="24"/>
              </w:rPr>
              <w:t>n</w:t>
            </w:r>
            <w:r>
              <w:rPr>
                <w:rFonts w:cs="Times New Roman"/>
                <w:bCs/>
                <w:color w:val="auto"/>
                <w:szCs w:val="24"/>
              </w:rPr>
              <w:t>struction du quai Coste</w:t>
            </w:r>
          </w:p>
          <w:p w14:paraId="32691664" w14:textId="77777777" w:rsidR="00BF1EA9" w:rsidRDefault="00BF1EA9" w:rsidP="00844538">
            <w:pPr>
              <w:pStyle w:val="ListParagraph"/>
              <w:numPr>
                <w:ilvl w:val="0"/>
                <w:numId w:val="4"/>
              </w:numPr>
              <w:tabs>
                <w:tab w:val="left" w:pos="144"/>
              </w:tabs>
              <w:spacing w:before="120" w:line="276" w:lineRule="auto"/>
              <w:ind w:left="170" w:hanging="170"/>
              <w:contextualSpacing w:val="0"/>
              <w:jc w:val="left"/>
              <w:rPr>
                <w:rFonts w:cs="Times New Roman"/>
                <w:bCs/>
                <w:color w:val="auto"/>
                <w:szCs w:val="24"/>
              </w:rPr>
            </w:pPr>
            <w:r>
              <w:rPr>
                <w:rFonts w:cs="Times New Roman"/>
                <w:bCs/>
                <w:color w:val="auto"/>
                <w:szCs w:val="24"/>
              </w:rPr>
              <w:t>Réhabilitation du quai Vuillemin</w:t>
            </w:r>
          </w:p>
          <w:p w14:paraId="22D7DAB4" w14:textId="643DB6BB" w:rsidR="00BF1EA9" w:rsidRPr="00C801A6" w:rsidRDefault="00BF1EA9" w:rsidP="00844538">
            <w:pPr>
              <w:pStyle w:val="ListParagraph"/>
              <w:numPr>
                <w:ilvl w:val="0"/>
                <w:numId w:val="4"/>
              </w:numPr>
              <w:tabs>
                <w:tab w:val="left" w:pos="144"/>
              </w:tabs>
              <w:spacing w:before="120" w:line="276" w:lineRule="auto"/>
              <w:ind w:left="170" w:hanging="170"/>
              <w:contextualSpacing w:val="0"/>
              <w:jc w:val="left"/>
              <w:rPr>
                <w:rFonts w:cs="Times New Roman"/>
                <w:bCs/>
                <w:color w:val="auto"/>
                <w:szCs w:val="24"/>
              </w:rPr>
            </w:pPr>
            <w:r>
              <w:rPr>
                <w:rFonts w:cs="Times New Roman"/>
                <w:bCs/>
                <w:color w:val="auto"/>
                <w:szCs w:val="24"/>
              </w:rPr>
              <w:t>Réhabilitation/renforcement de tous les terres-pleins en pavé de béton en bord à quai et derrière les quais avec structure lourde et VRD</w:t>
            </w:r>
          </w:p>
        </w:tc>
      </w:tr>
    </w:tbl>
    <w:p w14:paraId="00F1607E" w14:textId="77777777" w:rsidR="00BF1EA9" w:rsidRDefault="00BF1EA9" w:rsidP="00BF1EA9">
      <w:pPr>
        <w:spacing w:after="0"/>
        <w:rPr>
          <w:color w:val="auto"/>
        </w:rPr>
      </w:pPr>
    </w:p>
    <w:tbl>
      <w:tblPr>
        <w:tblStyle w:val="TableGrid"/>
        <w:tblW w:w="8952" w:type="dxa"/>
        <w:tblInd w:w="108" w:type="dxa"/>
        <w:tblLook w:val="04A0" w:firstRow="1" w:lastRow="0" w:firstColumn="1" w:lastColumn="0" w:noHBand="0" w:noVBand="1"/>
      </w:tblPr>
      <w:tblGrid>
        <w:gridCol w:w="2042"/>
        <w:gridCol w:w="3873"/>
        <w:gridCol w:w="3037"/>
      </w:tblGrid>
      <w:tr w:rsidR="00853CFE" w:rsidRPr="00C801A6" w14:paraId="6EA14B45" w14:textId="77777777" w:rsidTr="00E379C3">
        <w:trPr>
          <w:tblHeader/>
        </w:trPr>
        <w:tc>
          <w:tcPr>
            <w:tcW w:w="2042" w:type="dxa"/>
            <w:shd w:val="clear" w:color="auto" w:fill="E2EFD9" w:themeFill="accent6" w:themeFillTint="33"/>
          </w:tcPr>
          <w:p w14:paraId="62EFCBEE" w14:textId="77777777" w:rsidR="00853CFE" w:rsidRPr="00C801A6" w:rsidRDefault="00853CFE" w:rsidP="00E379C3">
            <w:pPr>
              <w:pStyle w:val="ListParagraph"/>
              <w:tabs>
                <w:tab w:val="left" w:pos="284"/>
              </w:tabs>
              <w:spacing w:before="40" w:after="40" w:line="276" w:lineRule="auto"/>
              <w:ind w:left="0"/>
              <w:contextualSpacing w:val="0"/>
              <w:jc w:val="left"/>
              <w:rPr>
                <w:rFonts w:cs="Times New Roman"/>
                <w:b/>
                <w:color w:val="auto"/>
                <w:szCs w:val="24"/>
              </w:rPr>
            </w:pPr>
            <w:r>
              <w:rPr>
                <w:rFonts w:cs="Times New Roman"/>
                <w:b/>
                <w:color w:val="auto"/>
                <w:szCs w:val="24"/>
              </w:rPr>
              <w:t>Sous-projet</w:t>
            </w:r>
          </w:p>
        </w:tc>
        <w:tc>
          <w:tcPr>
            <w:tcW w:w="3873" w:type="dxa"/>
            <w:shd w:val="clear" w:color="auto" w:fill="E2EFD9" w:themeFill="accent6" w:themeFillTint="33"/>
          </w:tcPr>
          <w:p w14:paraId="246F4A32" w14:textId="77777777" w:rsidR="00853CFE" w:rsidRPr="00C801A6" w:rsidRDefault="00853CFE" w:rsidP="00E379C3">
            <w:pPr>
              <w:pStyle w:val="ListParagraph"/>
              <w:tabs>
                <w:tab w:val="left" w:pos="284"/>
              </w:tabs>
              <w:spacing w:before="40" w:after="40" w:line="276" w:lineRule="auto"/>
              <w:ind w:left="0"/>
              <w:contextualSpacing w:val="0"/>
              <w:jc w:val="left"/>
              <w:rPr>
                <w:rFonts w:cs="Times New Roman"/>
                <w:b/>
                <w:color w:val="auto"/>
                <w:szCs w:val="24"/>
              </w:rPr>
            </w:pPr>
            <w:r w:rsidRPr="00C801A6">
              <w:rPr>
                <w:rFonts w:cs="Times New Roman"/>
                <w:b/>
                <w:color w:val="auto"/>
                <w:szCs w:val="24"/>
              </w:rPr>
              <w:t>Activités</w:t>
            </w:r>
          </w:p>
        </w:tc>
        <w:tc>
          <w:tcPr>
            <w:tcW w:w="3037" w:type="dxa"/>
            <w:shd w:val="clear" w:color="auto" w:fill="E2EFD9" w:themeFill="accent6" w:themeFillTint="33"/>
          </w:tcPr>
          <w:p w14:paraId="5C7E26BF" w14:textId="77777777" w:rsidR="00853CFE" w:rsidRPr="00C801A6" w:rsidRDefault="00853CFE" w:rsidP="00E379C3">
            <w:pPr>
              <w:pStyle w:val="ListParagraph"/>
              <w:tabs>
                <w:tab w:val="left" w:pos="284"/>
              </w:tabs>
              <w:spacing w:before="40" w:after="40" w:line="276" w:lineRule="auto"/>
              <w:ind w:left="0"/>
              <w:contextualSpacing w:val="0"/>
              <w:jc w:val="left"/>
              <w:rPr>
                <w:rFonts w:cs="Times New Roman"/>
                <w:b/>
                <w:color w:val="auto"/>
                <w:szCs w:val="24"/>
              </w:rPr>
            </w:pPr>
            <w:r>
              <w:rPr>
                <w:rFonts w:cs="Times New Roman"/>
                <w:b/>
                <w:color w:val="auto"/>
                <w:szCs w:val="24"/>
              </w:rPr>
              <w:t>RESUME</w:t>
            </w:r>
          </w:p>
        </w:tc>
      </w:tr>
      <w:tr w:rsidR="00853CFE" w:rsidRPr="003617DE" w14:paraId="4D2BA182" w14:textId="77777777" w:rsidTr="00E379C3">
        <w:tc>
          <w:tcPr>
            <w:tcW w:w="8952" w:type="dxa"/>
            <w:gridSpan w:val="3"/>
            <w:shd w:val="clear" w:color="auto" w:fill="E2EFD9" w:themeFill="accent6" w:themeFillTint="33"/>
          </w:tcPr>
          <w:p w14:paraId="3CD186C2" w14:textId="77777777" w:rsidR="00853CFE" w:rsidRPr="003617DE" w:rsidRDefault="00853CFE" w:rsidP="00E379C3">
            <w:pPr>
              <w:tabs>
                <w:tab w:val="left" w:pos="144"/>
              </w:tabs>
              <w:spacing w:before="40" w:after="40" w:line="264" w:lineRule="auto"/>
              <w:jc w:val="left"/>
              <w:rPr>
                <w:rFonts w:cs="Times New Roman"/>
                <w:bCs/>
                <w:color w:val="auto"/>
                <w:szCs w:val="24"/>
              </w:rPr>
            </w:pPr>
            <w:r>
              <w:rPr>
                <w:rFonts w:cs="Times New Roman"/>
                <w:bCs/>
                <w:color w:val="auto"/>
                <w:szCs w:val="24"/>
              </w:rPr>
              <w:t>CERC 1</w:t>
            </w:r>
          </w:p>
        </w:tc>
      </w:tr>
      <w:tr w:rsidR="00853CFE" w:rsidRPr="00C801A6" w14:paraId="2818A226" w14:textId="77777777" w:rsidTr="00E379C3">
        <w:tc>
          <w:tcPr>
            <w:tcW w:w="2042" w:type="dxa"/>
          </w:tcPr>
          <w:p w14:paraId="1DDFDAAF" w14:textId="77777777" w:rsidR="00853CFE" w:rsidRPr="00C801A6" w:rsidRDefault="00853CFE" w:rsidP="00E379C3">
            <w:pPr>
              <w:pStyle w:val="ListParagraph"/>
              <w:tabs>
                <w:tab w:val="left" w:pos="284"/>
              </w:tabs>
              <w:spacing w:before="40" w:after="40" w:line="264" w:lineRule="auto"/>
              <w:ind w:left="0"/>
              <w:contextualSpacing w:val="0"/>
              <w:jc w:val="left"/>
              <w:rPr>
                <w:rFonts w:cs="Times New Roman"/>
                <w:bCs/>
                <w:color w:val="auto"/>
                <w:szCs w:val="24"/>
              </w:rPr>
            </w:pPr>
            <w:r>
              <w:rPr>
                <w:rFonts w:cs="Times New Roman"/>
                <w:bCs/>
                <w:color w:val="auto"/>
                <w:szCs w:val="24"/>
                <w:u w:val="single"/>
              </w:rPr>
              <w:t>Sous-Projet</w:t>
            </w:r>
            <w:r w:rsidRPr="00C801A6">
              <w:rPr>
                <w:rFonts w:cs="Times New Roman"/>
                <w:bCs/>
                <w:color w:val="auto"/>
                <w:szCs w:val="24"/>
                <w:u w:val="single"/>
              </w:rPr>
              <w:t xml:space="preserve"> 1</w:t>
            </w:r>
            <w:r w:rsidRPr="00C801A6">
              <w:rPr>
                <w:rFonts w:cs="Times New Roman"/>
                <w:bCs/>
                <w:color w:val="auto"/>
                <w:szCs w:val="24"/>
              </w:rPr>
              <w:t xml:space="preserve"> : </w:t>
            </w:r>
            <w:r w:rsidRPr="00C801A6">
              <w:rPr>
                <w:rFonts w:cs="Times New Roman"/>
                <w:color w:val="auto"/>
                <w:szCs w:val="24"/>
              </w:rPr>
              <w:t>Améliorer l’état et la résilience de</w:t>
            </w:r>
            <w:r>
              <w:rPr>
                <w:rFonts w:cs="Times New Roman"/>
                <w:color w:val="auto"/>
                <w:szCs w:val="24"/>
              </w:rPr>
              <w:t xml:space="preserve"> la RNP 4 et RNP 6</w:t>
            </w:r>
          </w:p>
        </w:tc>
        <w:tc>
          <w:tcPr>
            <w:tcW w:w="3873" w:type="dxa"/>
          </w:tcPr>
          <w:p w14:paraId="2FD538FA" w14:textId="77777777" w:rsidR="00853CFE" w:rsidRPr="00C801A6" w:rsidRDefault="00853CFE" w:rsidP="00844538">
            <w:pPr>
              <w:pStyle w:val="ListParagraph"/>
              <w:numPr>
                <w:ilvl w:val="0"/>
                <w:numId w:val="4"/>
              </w:numPr>
              <w:tabs>
                <w:tab w:val="left" w:pos="144"/>
              </w:tabs>
              <w:spacing w:before="120" w:line="276" w:lineRule="auto"/>
              <w:ind w:left="170" w:hanging="170"/>
              <w:contextualSpacing w:val="0"/>
              <w:jc w:val="left"/>
              <w:rPr>
                <w:rFonts w:cs="Times New Roman"/>
                <w:bCs/>
                <w:color w:val="auto"/>
                <w:szCs w:val="24"/>
              </w:rPr>
            </w:pPr>
            <w:r w:rsidRPr="00C801A6">
              <w:rPr>
                <w:rFonts w:cs="Times New Roman"/>
                <w:bCs/>
                <w:color w:val="auto"/>
                <w:szCs w:val="24"/>
              </w:rPr>
              <w:t>Comblement de brèches et remise en état de la portion de chaussée concernée</w:t>
            </w:r>
          </w:p>
          <w:p w14:paraId="21F79AA6" w14:textId="77777777" w:rsidR="00853CFE" w:rsidRDefault="00853CFE" w:rsidP="00844538">
            <w:pPr>
              <w:pStyle w:val="ListParagraph"/>
              <w:numPr>
                <w:ilvl w:val="0"/>
                <w:numId w:val="4"/>
              </w:numPr>
              <w:tabs>
                <w:tab w:val="left" w:pos="144"/>
              </w:tabs>
              <w:spacing w:before="120" w:line="276" w:lineRule="auto"/>
              <w:ind w:left="170" w:hanging="170"/>
              <w:contextualSpacing w:val="0"/>
              <w:jc w:val="left"/>
              <w:rPr>
                <w:rFonts w:cs="Times New Roman"/>
                <w:bCs/>
                <w:color w:val="auto"/>
                <w:szCs w:val="24"/>
              </w:rPr>
            </w:pPr>
            <w:r>
              <w:rPr>
                <w:rFonts w:cs="Times New Roman"/>
                <w:bCs/>
                <w:color w:val="auto"/>
                <w:szCs w:val="24"/>
              </w:rPr>
              <w:t>C</w:t>
            </w:r>
            <w:r w:rsidRPr="00C801A6">
              <w:rPr>
                <w:rFonts w:cs="Times New Roman"/>
                <w:bCs/>
                <w:color w:val="auto"/>
                <w:szCs w:val="24"/>
              </w:rPr>
              <w:t>onstruction d</w:t>
            </w:r>
            <w:r>
              <w:rPr>
                <w:rFonts w:cs="Times New Roman"/>
                <w:bCs/>
                <w:color w:val="auto"/>
                <w:szCs w:val="24"/>
              </w:rPr>
              <w:t>’</w:t>
            </w:r>
            <w:r w:rsidRPr="00C801A6">
              <w:rPr>
                <w:rFonts w:cs="Times New Roman"/>
                <w:bCs/>
                <w:color w:val="auto"/>
                <w:szCs w:val="24"/>
              </w:rPr>
              <w:t>ouvrages</w:t>
            </w:r>
            <w:r>
              <w:rPr>
                <w:rFonts w:cs="Times New Roman"/>
                <w:bCs/>
                <w:color w:val="auto"/>
                <w:szCs w:val="24"/>
              </w:rPr>
              <w:t xml:space="preserve"> de franchissement</w:t>
            </w:r>
          </w:p>
          <w:p w14:paraId="32F4A540" w14:textId="77777777" w:rsidR="00853CFE" w:rsidRDefault="00853CFE" w:rsidP="00844538">
            <w:pPr>
              <w:pStyle w:val="ListParagraph"/>
              <w:numPr>
                <w:ilvl w:val="0"/>
                <w:numId w:val="4"/>
              </w:numPr>
              <w:tabs>
                <w:tab w:val="left" w:pos="144"/>
              </w:tabs>
              <w:spacing w:before="120" w:line="276" w:lineRule="auto"/>
              <w:ind w:left="170" w:hanging="170"/>
              <w:contextualSpacing w:val="0"/>
              <w:jc w:val="left"/>
              <w:rPr>
                <w:rFonts w:cs="Times New Roman"/>
                <w:bCs/>
                <w:color w:val="auto"/>
                <w:szCs w:val="24"/>
              </w:rPr>
            </w:pPr>
            <w:r>
              <w:rPr>
                <w:rFonts w:cs="Times New Roman"/>
                <w:bCs/>
                <w:color w:val="auto"/>
                <w:szCs w:val="24"/>
              </w:rPr>
              <w:t>Purge de décaissement</w:t>
            </w:r>
          </w:p>
          <w:p w14:paraId="6E746502" w14:textId="77777777" w:rsidR="00853CFE" w:rsidRPr="00C801A6" w:rsidRDefault="00853CFE" w:rsidP="00844538">
            <w:pPr>
              <w:pStyle w:val="ListParagraph"/>
              <w:numPr>
                <w:ilvl w:val="0"/>
                <w:numId w:val="4"/>
              </w:numPr>
              <w:tabs>
                <w:tab w:val="left" w:pos="144"/>
              </w:tabs>
              <w:spacing w:before="120" w:line="276" w:lineRule="auto"/>
              <w:ind w:left="170" w:hanging="170"/>
              <w:contextualSpacing w:val="0"/>
              <w:jc w:val="left"/>
              <w:rPr>
                <w:rFonts w:cs="Times New Roman"/>
                <w:bCs/>
                <w:color w:val="auto"/>
                <w:szCs w:val="24"/>
              </w:rPr>
            </w:pPr>
            <w:r>
              <w:rPr>
                <w:rFonts w:cs="Times New Roman"/>
                <w:bCs/>
                <w:color w:val="auto"/>
                <w:szCs w:val="24"/>
              </w:rPr>
              <w:t>Réfection du corps de la chaussée</w:t>
            </w:r>
          </w:p>
          <w:p w14:paraId="0253F8FD" w14:textId="77777777" w:rsidR="00853CFE" w:rsidRPr="00C801A6" w:rsidRDefault="00853CFE" w:rsidP="00844538">
            <w:pPr>
              <w:pStyle w:val="ListParagraph"/>
              <w:numPr>
                <w:ilvl w:val="0"/>
                <w:numId w:val="4"/>
              </w:numPr>
              <w:tabs>
                <w:tab w:val="left" w:pos="144"/>
              </w:tabs>
              <w:spacing w:before="120" w:line="276" w:lineRule="auto"/>
              <w:ind w:left="170" w:hanging="170"/>
              <w:contextualSpacing w:val="0"/>
              <w:jc w:val="left"/>
              <w:rPr>
                <w:rFonts w:cs="Times New Roman"/>
                <w:bCs/>
                <w:color w:val="auto"/>
                <w:szCs w:val="24"/>
              </w:rPr>
            </w:pPr>
            <w:r>
              <w:rPr>
                <w:rFonts w:cs="Times New Roman"/>
                <w:bCs/>
                <w:color w:val="auto"/>
                <w:szCs w:val="24"/>
              </w:rPr>
              <w:lastRenderedPageBreak/>
              <w:t>Couche de roulement en BBSG ou en Béton</w:t>
            </w:r>
          </w:p>
          <w:p w14:paraId="6A83ADBE" w14:textId="77777777" w:rsidR="00853CFE" w:rsidRPr="00C801A6" w:rsidRDefault="00853CFE" w:rsidP="00844538">
            <w:pPr>
              <w:pStyle w:val="ListParagraph"/>
              <w:numPr>
                <w:ilvl w:val="0"/>
                <w:numId w:val="4"/>
              </w:numPr>
              <w:tabs>
                <w:tab w:val="left" w:pos="144"/>
              </w:tabs>
              <w:spacing w:before="120" w:line="276" w:lineRule="auto"/>
              <w:ind w:left="170" w:hanging="170"/>
              <w:contextualSpacing w:val="0"/>
              <w:jc w:val="left"/>
              <w:rPr>
                <w:rFonts w:cs="Times New Roman"/>
                <w:bCs/>
                <w:color w:val="auto"/>
                <w:szCs w:val="24"/>
              </w:rPr>
            </w:pPr>
            <w:r w:rsidRPr="00C801A6">
              <w:rPr>
                <w:rFonts w:cs="Times New Roman"/>
                <w:bCs/>
                <w:color w:val="auto"/>
                <w:szCs w:val="24"/>
              </w:rPr>
              <w:t>Autres</w:t>
            </w:r>
          </w:p>
        </w:tc>
        <w:tc>
          <w:tcPr>
            <w:tcW w:w="3037" w:type="dxa"/>
          </w:tcPr>
          <w:p w14:paraId="58AD35D4" w14:textId="77777777" w:rsidR="00853CFE" w:rsidRDefault="00853CFE" w:rsidP="00844538">
            <w:pPr>
              <w:pStyle w:val="ListParagraph"/>
              <w:numPr>
                <w:ilvl w:val="0"/>
                <w:numId w:val="4"/>
              </w:numPr>
              <w:tabs>
                <w:tab w:val="left" w:pos="144"/>
              </w:tabs>
              <w:spacing w:before="40" w:after="40" w:line="264" w:lineRule="auto"/>
              <w:ind w:left="172" w:hanging="172"/>
              <w:contextualSpacing w:val="0"/>
              <w:jc w:val="left"/>
              <w:rPr>
                <w:rFonts w:cs="Times New Roman"/>
                <w:bCs/>
                <w:color w:val="auto"/>
                <w:szCs w:val="24"/>
              </w:rPr>
            </w:pPr>
            <w:r>
              <w:rPr>
                <w:rFonts w:cs="Times New Roman"/>
                <w:bCs/>
                <w:color w:val="auto"/>
                <w:szCs w:val="24"/>
              </w:rPr>
              <w:lastRenderedPageBreak/>
              <w:t>28 points à traiter pour la RNP 4 avec une longueur totale de 25,946 km</w:t>
            </w:r>
          </w:p>
          <w:p w14:paraId="07F6F4C3" w14:textId="77777777" w:rsidR="00853CFE" w:rsidRPr="00C801A6" w:rsidRDefault="00853CFE" w:rsidP="00844538">
            <w:pPr>
              <w:pStyle w:val="ListParagraph"/>
              <w:numPr>
                <w:ilvl w:val="0"/>
                <w:numId w:val="4"/>
              </w:numPr>
              <w:tabs>
                <w:tab w:val="left" w:pos="144"/>
              </w:tabs>
              <w:spacing w:before="40" w:after="40" w:line="264" w:lineRule="auto"/>
              <w:ind w:left="172" w:hanging="172"/>
              <w:contextualSpacing w:val="0"/>
              <w:jc w:val="left"/>
              <w:rPr>
                <w:rFonts w:cs="Times New Roman"/>
                <w:bCs/>
                <w:color w:val="auto"/>
                <w:szCs w:val="24"/>
              </w:rPr>
            </w:pPr>
            <w:r>
              <w:rPr>
                <w:rFonts w:cs="Times New Roman"/>
                <w:bCs/>
                <w:color w:val="auto"/>
                <w:szCs w:val="24"/>
              </w:rPr>
              <w:t>107 points à traiter pour la RNP 6 avec une longueur totale de 52,595 km</w:t>
            </w:r>
          </w:p>
        </w:tc>
      </w:tr>
      <w:tr w:rsidR="00853CFE" w:rsidRPr="00C801A6" w14:paraId="00CB6333" w14:textId="77777777" w:rsidTr="00E379C3">
        <w:tc>
          <w:tcPr>
            <w:tcW w:w="2042" w:type="dxa"/>
          </w:tcPr>
          <w:p w14:paraId="54116651" w14:textId="77777777" w:rsidR="00853CFE" w:rsidRPr="00C801A6" w:rsidRDefault="00853CFE" w:rsidP="00E379C3">
            <w:pPr>
              <w:pStyle w:val="ListParagraph"/>
              <w:tabs>
                <w:tab w:val="left" w:pos="284"/>
              </w:tabs>
              <w:spacing w:before="40" w:after="40" w:line="264" w:lineRule="auto"/>
              <w:ind w:left="0"/>
              <w:contextualSpacing w:val="0"/>
              <w:jc w:val="left"/>
              <w:rPr>
                <w:rFonts w:cs="Times New Roman"/>
                <w:bCs/>
                <w:color w:val="auto"/>
                <w:szCs w:val="24"/>
              </w:rPr>
            </w:pPr>
            <w:r>
              <w:rPr>
                <w:rFonts w:cs="Times New Roman"/>
                <w:bCs/>
                <w:color w:val="auto"/>
                <w:szCs w:val="24"/>
                <w:u w:val="single"/>
              </w:rPr>
              <w:t xml:space="preserve">Sous-projet </w:t>
            </w:r>
            <w:r w:rsidRPr="00C801A6">
              <w:rPr>
                <w:rFonts w:cs="Times New Roman"/>
                <w:bCs/>
                <w:color w:val="auto"/>
                <w:szCs w:val="24"/>
                <w:u w:val="single"/>
              </w:rPr>
              <w:t>2</w:t>
            </w:r>
            <w:r w:rsidRPr="00C801A6">
              <w:rPr>
                <w:rFonts w:cs="Times New Roman"/>
                <w:bCs/>
                <w:color w:val="auto"/>
                <w:szCs w:val="24"/>
              </w:rPr>
              <w:t xml:space="preserve"> : </w:t>
            </w:r>
            <w:r>
              <w:rPr>
                <w:rFonts w:cs="Times New Roman"/>
                <w:bCs/>
                <w:color w:val="auto"/>
                <w:szCs w:val="24"/>
              </w:rPr>
              <w:t>Assurer le bon fonctionnement du port de Mahajanga</w:t>
            </w:r>
          </w:p>
        </w:tc>
        <w:tc>
          <w:tcPr>
            <w:tcW w:w="3873" w:type="dxa"/>
          </w:tcPr>
          <w:p w14:paraId="3A8F1B73" w14:textId="77777777" w:rsidR="00853CFE" w:rsidRDefault="00853CFE" w:rsidP="00844538">
            <w:pPr>
              <w:pStyle w:val="ListParagraph"/>
              <w:numPr>
                <w:ilvl w:val="0"/>
                <w:numId w:val="4"/>
              </w:numPr>
              <w:tabs>
                <w:tab w:val="left" w:pos="144"/>
              </w:tabs>
              <w:spacing w:before="120" w:line="276" w:lineRule="auto"/>
              <w:ind w:left="170" w:hanging="170"/>
              <w:contextualSpacing w:val="0"/>
              <w:jc w:val="left"/>
              <w:rPr>
                <w:rFonts w:cs="Times New Roman"/>
                <w:bCs/>
                <w:color w:val="auto"/>
                <w:szCs w:val="24"/>
              </w:rPr>
            </w:pPr>
            <w:r>
              <w:rPr>
                <w:rFonts w:cs="Times New Roman"/>
                <w:bCs/>
                <w:color w:val="auto"/>
                <w:szCs w:val="24"/>
              </w:rPr>
              <w:t xml:space="preserve">Reconstruction du quai Coste </w:t>
            </w:r>
          </w:p>
          <w:p w14:paraId="1F1CE571" w14:textId="77777777" w:rsidR="00853CFE" w:rsidRDefault="00853CFE" w:rsidP="00844538">
            <w:pPr>
              <w:pStyle w:val="ListParagraph"/>
              <w:numPr>
                <w:ilvl w:val="0"/>
                <w:numId w:val="4"/>
              </w:numPr>
              <w:tabs>
                <w:tab w:val="left" w:pos="144"/>
              </w:tabs>
              <w:spacing w:before="120" w:line="276" w:lineRule="auto"/>
              <w:ind w:left="170" w:hanging="170"/>
              <w:contextualSpacing w:val="0"/>
              <w:jc w:val="left"/>
              <w:rPr>
                <w:rFonts w:cs="Times New Roman"/>
                <w:bCs/>
                <w:color w:val="auto"/>
                <w:szCs w:val="24"/>
              </w:rPr>
            </w:pPr>
            <w:r>
              <w:rPr>
                <w:rFonts w:cs="Times New Roman"/>
                <w:bCs/>
                <w:color w:val="auto"/>
                <w:szCs w:val="24"/>
              </w:rPr>
              <w:t>Réhabilitation du quai Vuillemin</w:t>
            </w:r>
          </w:p>
          <w:p w14:paraId="329AF1A6" w14:textId="77777777" w:rsidR="00853CFE" w:rsidRPr="00C801A6" w:rsidRDefault="00853CFE" w:rsidP="00844538">
            <w:pPr>
              <w:pStyle w:val="ListParagraph"/>
              <w:numPr>
                <w:ilvl w:val="0"/>
                <w:numId w:val="4"/>
              </w:numPr>
              <w:tabs>
                <w:tab w:val="left" w:pos="144"/>
              </w:tabs>
              <w:spacing w:before="40" w:after="40" w:line="264" w:lineRule="auto"/>
              <w:ind w:left="172" w:hanging="172"/>
              <w:contextualSpacing w:val="0"/>
              <w:jc w:val="left"/>
              <w:rPr>
                <w:rFonts w:cs="Times New Roman"/>
                <w:bCs/>
                <w:color w:val="auto"/>
                <w:szCs w:val="24"/>
              </w:rPr>
            </w:pPr>
            <w:r>
              <w:rPr>
                <w:rFonts w:cs="Times New Roman"/>
                <w:bCs/>
                <w:color w:val="auto"/>
                <w:szCs w:val="24"/>
              </w:rPr>
              <w:t>Réhabilitation/renforcement de tous les terres-pleins en pavé de béton en bord à quai et derrière les quais avec structure lourde et VRD</w:t>
            </w:r>
          </w:p>
        </w:tc>
        <w:tc>
          <w:tcPr>
            <w:tcW w:w="3037" w:type="dxa"/>
          </w:tcPr>
          <w:p w14:paraId="7D353FB9" w14:textId="77777777" w:rsidR="00853CFE" w:rsidRDefault="00853CFE" w:rsidP="00844538">
            <w:pPr>
              <w:pStyle w:val="ListParagraph"/>
              <w:numPr>
                <w:ilvl w:val="0"/>
                <w:numId w:val="4"/>
              </w:numPr>
              <w:tabs>
                <w:tab w:val="left" w:pos="144"/>
              </w:tabs>
              <w:spacing w:before="40" w:after="40" w:line="264" w:lineRule="auto"/>
              <w:ind w:left="172" w:hanging="172"/>
              <w:contextualSpacing w:val="0"/>
              <w:jc w:val="left"/>
              <w:rPr>
                <w:rFonts w:cs="Times New Roman"/>
                <w:bCs/>
                <w:color w:val="auto"/>
                <w:szCs w:val="24"/>
              </w:rPr>
            </w:pPr>
            <w:r>
              <w:rPr>
                <w:rFonts w:cs="Times New Roman"/>
                <w:bCs/>
                <w:color w:val="auto"/>
                <w:szCs w:val="24"/>
              </w:rPr>
              <w:t>Linéaire du quai Coste : 96 mètres</w:t>
            </w:r>
          </w:p>
          <w:p w14:paraId="7EDA94EA" w14:textId="77777777" w:rsidR="00853CFE" w:rsidRDefault="00853CFE" w:rsidP="00844538">
            <w:pPr>
              <w:pStyle w:val="ListParagraph"/>
              <w:numPr>
                <w:ilvl w:val="0"/>
                <w:numId w:val="4"/>
              </w:numPr>
              <w:tabs>
                <w:tab w:val="left" w:pos="144"/>
              </w:tabs>
              <w:spacing w:before="40" w:after="40" w:line="264" w:lineRule="auto"/>
              <w:ind w:left="172" w:hanging="172"/>
              <w:contextualSpacing w:val="0"/>
              <w:jc w:val="left"/>
              <w:rPr>
                <w:rFonts w:cs="Times New Roman"/>
                <w:bCs/>
                <w:color w:val="auto"/>
                <w:szCs w:val="24"/>
              </w:rPr>
            </w:pPr>
            <w:r>
              <w:rPr>
                <w:rFonts w:cs="Times New Roman"/>
                <w:bCs/>
                <w:color w:val="auto"/>
                <w:szCs w:val="24"/>
              </w:rPr>
              <w:t>Linéaire du Quai Vuillemin : 154 mètres</w:t>
            </w:r>
          </w:p>
          <w:p w14:paraId="228FC6D3" w14:textId="77777777" w:rsidR="00853CFE" w:rsidRPr="00C801A6" w:rsidRDefault="00853CFE" w:rsidP="00844538">
            <w:pPr>
              <w:pStyle w:val="ListParagraph"/>
              <w:numPr>
                <w:ilvl w:val="0"/>
                <w:numId w:val="4"/>
              </w:numPr>
              <w:tabs>
                <w:tab w:val="left" w:pos="144"/>
              </w:tabs>
              <w:spacing w:before="40" w:after="40" w:line="264" w:lineRule="auto"/>
              <w:ind w:left="172" w:hanging="172"/>
              <w:contextualSpacing w:val="0"/>
              <w:jc w:val="left"/>
              <w:rPr>
                <w:rFonts w:cs="Times New Roman"/>
                <w:bCs/>
                <w:color w:val="auto"/>
                <w:szCs w:val="24"/>
              </w:rPr>
            </w:pPr>
            <w:r>
              <w:rPr>
                <w:rFonts w:cs="Times New Roman"/>
                <w:bCs/>
                <w:color w:val="auto"/>
                <w:szCs w:val="24"/>
              </w:rPr>
              <w:t>Superficie terre-pleins à réhabiliter : 6 500 m</w:t>
            </w:r>
            <w:r w:rsidRPr="00A134EB">
              <w:rPr>
                <w:rFonts w:cs="Times New Roman"/>
                <w:bCs/>
                <w:color w:val="auto"/>
                <w:szCs w:val="24"/>
                <w:vertAlign w:val="superscript"/>
              </w:rPr>
              <w:t>2</w:t>
            </w:r>
          </w:p>
        </w:tc>
      </w:tr>
    </w:tbl>
    <w:p w14:paraId="12F7F0DD" w14:textId="77777777" w:rsidR="00853CFE" w:rsidRPr="00C801A6" w:rsidRDefault="00853CFE" w:rsidP="00BF1EA9">
      <w:pPr>
        <w:spacing w:after="0"/>
        <w:rPr>
          <w:color w:val="auto"/>
        </w:rPr>
      </w:pPr>
    </w:p>
    <w:p w14:paraId="470F74CD" w14:textId="2A2AF685" w:rsidR="00BF1EA9" w:rsidRPr="00C801A6" w:rsidRDefault="00BF1EA9" w:rsidP="00BF1EA9">
      <w:pPr>
        <w:pBdr>
          <w:top w:val="single" w:sz="4" w:space="1" w:color="auto"/>
          <w:left w:val="single" w:sz="4" w:space="4" w:color="auto"/>
          <w:bottom w:val="single" w:sz="4" w:space="1" w:color="auto"/>
          <w:right w:val="single" w:sz="4" w:space="4" w:color="auto"/>
        </w:pBdr>
        <w:shd w:val="clear" w:color="auto" w:fill="FFFFFF" w:themeFill="background1"/>
        <w:rPr>
          <w:color w:val="auto"/>
        </w:rPr>
      </w:pPr>
      <w:r w:rsidRPr="00C801A6">
        <w:rPr>
          <w:b/>
          <w:bCs/>
          <w:color w:val="auto"/>
          <w:u w:val="single"/>
        </w:rPr>
        <w:t>Exclusions :</w:t>
      </w:r>
      <w:r w:rsidRPr="00C801A6">
        <w:rPr>
          <w:color w:val="auto"/>
        </w:rPr>
        <w:t xml:space="preserve"> Ne seront pas éligibles dans le cadre du P</w:t>
      </w:r>
      <w:r>
        <w:rPr>
          <w:color w:val="auto"/>
        </w:rPr>
        <w:t>CMCI</w:t>
      </w:r>
      <w:r w:rsidRPr="00C801A6">
        <w:rPr>
          <w:color w:val="auto"/>
        </w:rPr>
        <w:t>/CERC (</w:t>
      </w:r>
      <w:r w:rsidRPr="00C801A6">
        <w:rPr>
          <w:b/>
          <w:bCs/>
          <w:color w:val="auto"/>
        </w:rPr>
        <w:t>a</w:t>
      </w:r>
      <w:r w:rsidRPr="00C801A6">
        <w:rPr>
          <w:color w:val="auto"/>
        </w:rPr>
        <w:t>) les sous-projets qui sont classés « à risques élevés », (</w:t>
      </w:r>
      <w:r w:rsidRPr="00C801A6">
        <w:rPr>
          <w:b/>
          <w:bCs/>
          <w:color w:val="auto"/>
        </w:rPr>
        <w:t>b</w:t>
      </w:r>
      <w:r w:rsidRPr="00C801A6">
        <w:rPr>
          <w:color w:val="auto"/>
        </w:rPr>
        <w:t>) ceux qui nécessitent une réinstallation ou (</w:t>
      </w:r>
      <w:r w:rsidRPr="00C801A6">
        <w:rPr>
          <w:b/>
          <w:bCs/>
          <w:color w:val="auto"/>
        </w:rPr>
        <w:t>c</w:t>
      </w:r>
      <w:r w:rsidRPr="00C801A6">
        <w:rPr>
          <w:color w:val="auto"/>
        </w:rPr>
        <w:t>) qui ne font pas partie des dégâts cycloniques.</w:t>
      </w:r>
    </w:p>
    <w:p w14:paraId="4B96C787" w14:textId="7F55A2F6" w:rsidR="00575CDF" w:rsidRPr="00C801A6" w:rsidRDefault="0058277A" w:rsidP="00844538">
      <w:pPr>
        <w:pStyle w:val="Heading3"/>
      </w:pPr>
      <w:bookmarkStart w:id="51" w:name="_Toc106320269"/>
      <w:bookmarkStart w:id="52" w:name="_Toc230425983"/>
      <w:r>
        <w:t>Sous-projet</w:t>
      </w:r>
      <w:r w:rsidR="00575CDF" w:rsidRPr="00C801A6">
        <w:t xml:space="preserve"> 1 : </w:t>
      </w:r>
      <w:r w:rsidR="00E54D34" w:rsidRPr="00C801A6">
        <w:t>A</w:t>
      </w:r>
      <w:r w:rsidR="00575CDF" w:rsidRPr="00C801A6">
        <w:t>méliorer l’état et la résilience des routes</w:t>
      </w:r>
      <w:bookmarkEnd w:id="51"/>
      <w:bookmarkEnd w:id="52"/>
      <w:r w:rsidR="00575CDF" w:rsidRPr="00C801A6">
        <w:t xml:space="preserve"> </w:t>
      </w:r>
    </w:p>
    <w:p w14:paraId="00F9E3FA" w14:textId="77777777" w:rsidR="00575CDF" w:rsidRPr="00C801A6" w:rsidRDefault="00575CDF" w:rsidP="00575CDF">
      <w:pPr>
        <w:tabs>
          <w:tab w:val="left" w:pos="284"/>
        </w:tabs>
        <w:rPr>
          <w:rFonts w:cs="Times New Roman"/>
          <w:color w:val="auto"/>
        </w:rPr>
      </w:pPr>
      <w:r w:rsidRPr="00C801A6">
        <w:rPr>
          <w:rFonts w:cs="Times New Roman"/>
          <w:color w:val="auto"/>
        </w:rPr>
        <w:t xml:space="preserve">Madagascar dispose actuellement d’environ 6 000 km de routes nationales revêtues sur un total de 11 000 km, et poursuit une politique visant à moderniser la plupart de son réseau routier primaire en un réseau asphalté, tout en assurant un entretien et une durabilité adéquats des routes revêtues en augmentant les dépenses d’entretien périodique et courant. </w:t>
      </w:r>
    </w:p>
    <w:p w14:paraId="0DABABF0" w14:textId="43B9F19D" w:rsidR="00575CDF" w:rsidRDefault="00575CDF" w:rsidP="00575CDF">
      <w:pPr>
        <w:tabs>
          <w:tab w:val="left" w:pos="284"/>
        </w:tabs>
        <w:rPr>
          <w:rFonts w:cs="Times New Roman"/>
          <w:bCs/>
          <w:color w:val="auto"/>
          <w:szCs w:val="24"/>
        </w:rPr>
      </w:pPr>
      <w:r w:rsidRPr="00C801A6">
        <w:rPr>
          <w:rFonts w:cs="Times New Roman"/>
          <w:bCs/>
          <w:color w:val="auto"/>
          <w:szCs w:val="24"/>
        </w:rPr>
        <w:t xml:space="preserve">On estime qu’environ 1 200 km de routes asphaltées en mauvais état bénéficieront d’un entretien périodique, ce qui représente un entretien d’environ 20% du réseau asphalté dans le cadre de ce projet. Bien qu’une longue liste de routes revêtues ait été identifiée comme une priorité, </w:t>
      </w:r>
      <w:r w:rsidR="00C47A29">
        <w:rPr>
          <w:rFonts w:cs="Times New Roman"/>
          <w:bCs/>
          <w:color w:val="auto"/>
          <w:szCs w:val="24"/>
        </w:rPr>
        <w:t>ce sous-projet</w:t>
      </w:r>
      <w:r w:rsidR="00C47A29" w:rsidRPr="00C801A6">
        <w:rPr>
          <w:rFonts w:cs="Times New Roman"/>
          <w:bCs/>
          <w:color w:val="auto"/>
          <w:szCs w:val="24"/>
        </w:rPr>
        <w:t xml:space="preserve"> </w:t>
      </w:r>
      <w:r w:rsidR="00B3145D">
        <w:rPr>
          <w:rFonts w:cs="Times New Roman"/>
          <w:bCs/>
          <w:color w:val="auto"/>
          <w:szCs w:val="24"/>
        </w:rPr>
        <w:t>a financé</w:t>
      </w:r>
      <w:r w:rsidR="00C47A29" w:rsidRPr="00C801A6">
        <w:rPr>
          <w:rFonts w:cs="Times New Roman"/>
          <w:bCs/>
          <w:color w:val="auto"/>
          <w:szCs w:val="24"/>
        </w:rPr>
        <w:t xml:space="preserve"> des travaux et des services de consultance pour soutenir l’entretien périodique et l’entretien courant de</w:t>
      </w:r>
      <w:r w:rsidR="00C47A29">
        <w:rPr>
          <w:rFonts w:cs="Times New Roman"/>
          <w:bCs/>
          <w:color w:val="auto"/>
          <w:szCs w:val="24"/>
        </w:rPr>
        <w:t xml:space="preserve"> deux</w:t>
      </w:r>
      <w:r w:rsidR="00C47A29" w:rsidRPr="00C801A6">
        <w:rPr>
          <w:rFonts w:cs="Times New Roman"/>
          <w:bCs/>
          <w:color w:val="auto"/>
          <w:szCs w:val="24"/>
        </w:rPr>
        <w:t xml:space="preserve"> routes nationales asphaltées </w:t>
      </w:r>
      <w:r w:rsidR="00C47A29">
        <w:rPr>
          <w:rFonts w:cs="Times New Roman"/>
          <w:bCs/>
          <w:color w:val="auto"/>
          <w:szCs w:val="24"/>
        </w:rPr>
        <w:t>à savoir la RNP 4 et la RNP 6</w:t>
      </w:r>
      <w:r w:rsidR="00B3145D">
        <w:rPr>
          <w:rFonts w:cs="Times New Roman"/>
          <w:bCs/>
          <w:color w:val="auto"/>
          <w:szCs w:val="24"/>
        </w:rPr>
        <w:t xml:space="preserve"> dans sa première phase. Dans la deuxième phase, ce sous-projet financera principalement sur la réalisation des travaux d’</w:t>
      </w:r>
      <w:r w:rsidR="00C33A12">
        <w:rPr>
          <w:rFonts w:cs="Times New Roman"/>
          <w:bCs/>
          <w:color w:val="auto"/>
          <w:szCs w:val="24"/>
        </w:rPr>
        <w:t xml:space="preserve">urgence sur les infrastructures routières, la supervision et le contrôle des travaux, ainsi que l’acquisition d’équipements nécessaires à la mise en œuvre des activités. </w:t>
      </w:r>
    </w:p>
    <w:p w14:paraId="4F2C6FA6" w14:textId="77777777" w:rsidR="003C56E8" w:rsidRPr="00C65572" w:rsidRDefault="003C56E8" w:rsidP="00844538">
      <w:pPr>
        <w:pStyle w:val="Heading3"/>
      </w:pPr>
      <w:bookmarkStart w:id="53" w:name="_Ref102481229"/>
      <w:bookmarkStart w:id="54" w:name="_Toc106320271"/>
      <w:bookmarkStart w:id="55" w:name="_Toc230425984"/>
      <w:r w:rsidRPr="00C65572">
        <w:t xml:space="preserve">Sous-projet 2 : </w:t>
      </w:r>
      <w:bookmarkEnd w:id="53"/>
      <w:bookmarkEnd w:id="54"/>
      <w:r w:rsidRPr="00C65572">
        <w:t>Assurer le bon fonctionnement du port de Mahajanga</w:t>
      </w:r>
      <w:bookmarkEnd w:id="55"/>
    </w:p>
    <w:p w14:paraId="76C41A2E" w14:textId="77777777" w:rsidR="003C56E8" w:rsidRPr="00407DB4" w:rsidRDefault="003C56E8" w:rsidP="003C56E8">
      <w:pPr>
        <w:pStyle w:val="ListParagraph"/>
        <w:tabs>
          <w:tab w:val="left" w:pos="284"/>
        </w:tabs>
        <w:spacing w:line="276" w:lineRule="auto"/>
        <w:ind w:left="0"/>
        <w:contextualSpacing w:val="0"/>
        <w:rPr>
          <w:rFonts w:cs="Times New Roman"/>
          <w:color w:val="auto"/>
        </w:rPr>
      </w:pPr>
      <w:r w:rsidRPr="00407DB4">
        <w:rPr>
          <w:rFonts w:cs="Times New Roman"/>
          <w:color w:val="auto"/>
        </w:rPr>
        <w:t xml:space="preserve">Le Port de Mahajanga a été construit depuis les années 30 : Quai Orsini (154 m – 1934) ; Quai Coste (96 m – prolongement du quai Orsini) ; Quai Vuillemin (154 m – 1950) ; Quai Barriquand construit en 2 phase (Ouest 120 m en 1950 – Est 60 m en 1972) et nouveau quai (172 m – 2001). </w:t>
      </w:r>
    </w:p>
    <w:p w14:paraId="5C2D3F9C" w14:textId="77777777" w:rsidR="003C56E8" w:rsidRPr="00407DB4" w:rsidRDefault="003C56E8" w:rsidP="003C56E8">
      <w:pPr>
        <w:pStyle w:val="ListParagraph"/>
        <w:tabs>
          <w:tab w:val="left" w:pos="284"/>
        </w:tabs>
        <w:spacing w:line="276" w:lineRule="auto"/>
        <w:ind w:left="0"/>
        <w:contextualSpacing w:val="0"/>
        <w:rPr>
          <w:rFonts w:cs="Times New Roman"/>
          <w:color w:val="auto"/>
        </w:rPr>
      </w:pPr>
      <w:r w:rsidRPr="00407DB4">
        <w:rPr>
          <w:rFonts w:cs="Times New Roman"/>
          <w:color w:val="auto"/>
        </w:rPr>
        <w:t>Le port de batelage se compose de l’ancien port aux boutres (133 m) et de 755 mètres de quais construits au fil du temps, accostables pour les chalands, les petits caboteurs et les unités de faible tirant d’eau.</w:t>
      </w:r>
    </w:p>
    <w:p w14:paraId="5A30E31D" w14:textId="4C6E4413" w:rsidR="003C56E8" w:rsidRDefault="003C56E8" w:rsidP="00673065">
      <w:pPr>
        <w:pStyle w:val="ListParagraph"/>
        <w:tabs>
          <w:tab w:val="left" w:pos="284"/>
        </w:tabs>
        <w:spacing w:line="276" w:lineRule="auto"/>
        <w:ind w:left="0"/>
        <w:contextualSpacing w:val="0"/>
        <w:rPr>
          <w:rFonts w:cs="Times New Roman"/>
          <w:bCs/>
          <w:color w:val="auto"/>
          <w:szCs w:val="24"/>
        </w:rPr>
      </w:pPr>
      <w:r w:rsidRPr="00861C05">
        <w:rPr>
          <w:rFonts w:cs="Times New Roman"/>
          <w:color w:val="auto"/>
        </w:rPr>
        <w:t>En 1990, des travaux de réhabilitation ont été effectués dans le cadre du premier projet portuaire financé par la Banque Mondiale</w:t>
      </w:r>
      <w:r>
        <w:rPr>
          <w:rFonts w:cs="Times New Roman"/>
          <w:color w:val="auto"/>
        </w:rPr>
        <w:t xml:space="preserve">. </w:t>
      </w:r>
      <w:r w:rsidRPr="00861C05">
        <w:rPr>
          <w:rFonts w:cs="Times New Roman"/>
          <w:color w:val="auto"/>
        </w:rPr>
        <w:t xml:space="preserve">En 2001, le Port a connu une forte croissance de conteneurisation. Un nouveau quai de 172 ml et un terre-plein en arrière du quai de 12.000 m² </w:t>
      </w:r>
      <w:r w:rsidRPr="00861C05">
        <w:rPr>
          <w:rFonts w:cs="Times New Roman"/>
          <w:color w:val="auto"/>
        </w:rPr>
        <w:lastRenderedPageBreak/>
        <w:t>ont été réalisés sur financement Banque Mondiale (APL1) afin de permettre au port de s’adapter au trafic conteneurs</w:t>
      </w:r>
      <w:r>
        <w:rPr>
          <w:rFonts w:cs="Times New Roman"/>
          <w:color w:val="auto"/>
        </w:rPr>
        <w:t xml:space="preserve">. </w:t>
      </w:r>
    </w:p>
    <w:p w14:paraId="44D283D5" w14:textId="3858B90E" w:rsidR="00407DB4" w:rsidRPr="00861C05" w:rsidRDefault="00407DB4" w:rsidP="00407DB4">
      <w:pPr>
        <w:pStyle w:val="ListParagraph"/>
        <w:tabs>
          <w:tab w:val="left" w:pos="284"/>
        </w:tabs>
        <w:spacing w:line="276" w:lineRule="auto"/>
        <w:ind w:left="0"/>
        <w:contextualSpacing w:val="0"/>
        <w:rPr>
          <w:rFonts w:cs="Times New Roman"/>
          <w:color w:val="auto"/>
        </w:rPr>
      </w:pPr>
      <w:r w:rsidRPr="00861C05">
        <w:rPr>
          <w:rFonts w:cs="Times New Roman"/>
          <w:color w:val="auto"/>
        </w:rPr>
        <w:t>Les quais (autre que le quai de 2001) très dégradés ont été programmées pour être réhabilités dans le cadre de l’APL3 de la Banque Mondiale en 2004. Mais par insuffisance de crédit, le programme a été ajourné</w:t>
      </w:r>
    </w:p>
    <w:p w14:paraId="137D9FE9" w14:textId="0C535984" w:rsidR="00861C05" w:rsidRPr="00861C05" w:rsidRDefault="00861C05" w:rsidP="00861C05">
      <w:pPr>
        <w:pStyle w:val="ListParagraph"/>
        <w:tabs>
          <w:tab w:val="left" w:pos="284"/>
        </w:tabs>
        <w:spacing w:line="276" w:lineRule="auto"/>
        <w:ind w:left="0"/>
        <w:contextualSpacing w:val="0"/>
        <w:rPr>
          <w:rFonts w:cs="Times New Roman"/>
          <w:color w:val="auto"/>
        </w:rPr>
      </w:pPr>
      <w:r w:rsidRPr="00861C05">
        <w:rPr>
          <w:rFonts w:cs="Times New Roman"/>
          <w:color w:val="auto"/>
        </w:rPr>
        <w:t>Le nouveau quai construit en 2001 nécessite actuellement des travaux de réparation.</w:t>
      </w:r>
      <w:r>
        <w:rPr>
          <w:rFonts w:cs="Times New Roman"/>
          <w:color w:val="auto"/>
        </w:rPr>
        <w:t xml:space="preserve"> </w:t>
      </w:r>
      <w:r w:rsidRPr="00861C05">
        <w:rPr>
          <w:rFonts w:cs="Times New Roman"/>
          <w:color w:val="auto"/>
        </w:rPr>
        <w:t>La structure des terre-pleins confortée auparavant ne supporte plus le trafic et les engins répondant au traitement des trafics et conditionnement actuel.</w:t>
      </w:r>
    </w:p>
    <w:p w14:paraId="3EC02CF2" w14:textId="773B4743" w:rsidR="00861C05" w:rsidRDefault="00861C05" w:rsidP="00861C05">
      <w:pPr>
        <w:pStyle w:val="ListParagraph"/>
        <w:tabs>
          <w:tab w:val="left" w:pos="284"/>
        </w:tabs>
        <w:spacing w:line="276" w:lineRule="auto"/>
        <w:ind w:left="0"/>
        <w:contextualSpacing w:val="0"/>
        <w:rPr>
          <w:rFonts w:cs="Times New Roman"/>
          <w:color w:val="auto"/>
        </w:rPr>
      </w:pPr>
      <w:r w:rsidRPr="00861C05">
        <w:rPr>
          <w:rFonts w:cs="Times New Roman"/>
          <w:color w:val="auto"/>
        </w:rPr>
        <w:t>Les passages de cyclones ont accentué, de beaucoup, la dégradation très avancée des quais et des terre-pleins, de telle sorte qu’une intervention urgente est nécessaire pour qu’il n’y ait pas d’effondrement des ouvrages.</w:t>
      </w:r>
    </w:p>
    <w:p w14:paraId="1A8178EB" w14:textId="18A2205D" w:rsidR="00A134EB" w:rsidRDefault="00451067" w:rsidP="00881B38">
      <w:pPr>
        <w:pStyle w:val="ListParagraph"/>
        <w:tabs>
          <w:tab w:val="left" w:pos="284"/>
        </w:tabs>
        <w:spacing w:line="276" w:lineRule="auto"/>
        <w:ind w:left="0"/>
        <w:contextualSpacing w:val="0"/>
        <w:rPr>
          <w:rFonts w:cs="Times New Roman"/>
          <w:color w:val="auto"/>
        </w:rPr>
      </w:pPr>
      <w:r w:rsidRPr="00861C05">
        <w:rPr>
          <w:rFonts w:cs="Times New Roman"/>
          <w:color w:val="auto"/>
        </w:rPr>
        <w:t xml:space="preserve">L’état du quai Coste est extrêmement préoccupant : Les palplanches et les réparations de fortunes faites dessus au début des années 1990 sont totalement corrodées / dégradées ; ce quai menace de s’effondrer à tout moment. </w:t>
      </w:r>
    </w:p>
    <w:p w14:paraId="36EBACE5" w14:textId="10B8BEEE" w:rsidR="00451067" w:rsidRDefault="00451067" w:rsidP="00861C05">
      <w:pPr>
        <w:pStyle w:val="ListParagraph"/>
        <w:tabs>
          <w:tab w:val="left" w:pos="284"/>
        </w:tabs>
        <w:spacing w:line="276" w:lineRule="auto"/>
        <w:ind w:left="0"/>
        <w:contextualSpacing w:val="0"/>
        <w:rPr>
          <w:rFonts w:cs="Times New Roman"/>
          <w:color w:val="auto"/>
        </w:rPr>
      </w:pPr>
      <w:r>
        <w:rPr>
          <w:noProof/>
        </w:rPr>
        <w:drawing>
          <wp:anchor distT="0" distB="0" distL="114300" distR="114300" simplePos="0" relativeHeight="251658240" behindDoc="0" locked="0" layoutInCell="1" allowOverlap="1" wp14:anchorId="01213CF5" wp14:editId="684A273B">
            <wp:simplePos x="0" y="0"/>
            <wp:positionH relativeFrom="margin">
              <wp:posOffset>214399</wp:posOffset>
            </wp:positionH>
            <wp:positionV relativeFrom="paragraph">
              <wp:posOffset>60556</wp:posOffset>
            </wp:positionV>
            <wp:extent cx="2369127" cy="1689610"/>
            <wp:effectExtent l="0" t="0" r="0" b="6350"/>
            <wp:wrapNone/>
            <wp:docPr id="26854" name="Image 26854" descr="190827_Quai Cost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90827_Quai Coste_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69127" cy="16896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1" behindDoc="0" locked="0" layoutInCell="1" allowOverlap="1" wp14:anchorId="259C9783" wp14:editId="64067F2F">
            <wp:simplePos x="0" y="0"/>
            <wp:positionH relativeFrom="column">
              <wp:posOffset>3221124</wp:posOffset>
            </wp:positionH>
            <wp:positionV relativeFrom="paragraph">
              <wp:posOffset>32847</wp:posOffset>
            </wp:positionV>
            <wp:extent cx="2376343" cy="1683994"/>
            <wp:effectExtent l="0" t="0" r="5080" b="0"/>
            <wp:wrapNone/>
            <wp:docPr id="26855" name="Image 26855" descr="190827_Quai Cost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90827_Quai Coste_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76343" cy="168399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77832B" w14:textId="5E279DA4" w:rsidR="00861C05" w:rsidRDefault="00861C05" w:rsidP="00861C05">
      <w:pPr>
        <w:pStyle w:val="ListParagraph"/>
        <w:tabs>
          <w:tab w:val="left" w:pos="284"/>
        </w:tabs>
        <w:spacing w:line="276" w:lineRule="auto"/>
        <w:ind w:left="0"/>
        <w:contextualSpacing w:val="0"/>
        <w:rPr>
          <w:rFonts w:cs="Times New Roman"/>
          <w:color w:val="auto"/>
        </w:rPr>
      </w:pPr>
    </w:p>
    <w:p w14:paraId="1D762788" w14:textId="3C83F82A" w:rsidR="00861C05" w:rsidRDefault="00861C05" w:rsidP="00861C05">
      <w:pPr>
        <w:pStyle w:val="ListParagraph"/>
        <w:tabs>
          <w:tab w:val="left" w:pos="284"/>
        </w:tabs>
        <w:spacing w:line="276" w:lineRule="auto"/>
        <w:ind w:left="0"/>
        <w:contextualSpacing w:val="0"/>
        <w:rPr>
          <w:rFonts w:cs="Times New Roman"/>
          <w:color w:val="auto"/>
        </w:rPr>
      </w:pPr>
    </w:p>
    <w:p w14:paraId="55DCE5B6" w14:textId="1498278B" w:rsidR="00861C05" w:rsidRDefault="00861C05" w:rsidP="00861C05">
      <w:pPr>
        <w:pStyle w:val="ListParagraph"/>
        <w:tabs>
          <w:tab w:val="left" w:pos="284"/>
        </w:tabs>
        <w:spacing w:line="276" w:lineRule="auto"/>
        <w:ind w:left="0"/>
        <w:contextualSpacing w:val="0"/>
        <w:rPr>
          <w:rFonts w:cs="Times New Roman"/>
          <w:color w:val="auto"/>
        </w:rPr>
      </w:pPr>
    </w:p>
    <w:p w14:paraId="48ABAF7E" w14:textId="68FDDC49" w:rsidR="00861C05" w:rsidRDefault="00861C05" w:rsidP="00861C05">
      <w:pPr>
        <w:pStyle w:val="ListParagraph"/>
        <w:tabs>
          <w:tab w:val="left" w:pos="284"/>
        </w:tabs>
        <w:spacing w:line="276" w:lineRule="auto"/>
        <w:ind w:left="0"/>
        <w:contextualSpacing w:val="0"/>
        <w:rPr>
          <w:rFonts w:cs="Times New Roman"/>
          <w:color w:val="auto"/>
        </w:rPr>
      </w:pPr>
    </w:p>
    <w:p w14:paraId="0D8076C9" w14:textId="6875AF3C" w:rsidR="00861C05" w:rsidRDefault="00861C05" w:rsidP="00861C05">
      <w:pPr>
        <w:pStyle w:val="ListParagraph"/>
        <w:tabs>
          <w:tab w:val="left" w:pos="284"/>
        </w:tabs>
        <w:spacing w:line="276" w:lineRule="auto"/>
        <w:ind w:left="0"/>
        <w:contextualSpacing w:val="0"/>
        <w:rPr>
          <w:rFonts w:cs="Times New Roman"/>
          <w:color w:val="auto"/>
        </w:rPr>
      </w:pPr>
    </w:p>
    <w:p w14:paraId="5081420C" w14:textId="223E05F5" w:rsidR="00861C05" w:rsidRPr="004B0D7A" w:rsidRDefault="004B0D7A" w:rsidP="004B0D7A">
      <w:pPr>
        <w:pStyle w:val="Caption"/>
        <w:rPr>
          <w:rFonts w:cs="Times New Roman"/>
          <w:color w:val="auto"/>
        </w:rPr>
      </w:pPr>
      <w:bookmarkStart w:id="56" w:name="_Toc230426696"/>
      <w:r>
        <w:t xml:space="preserve">Figure </w:t>
      </w:r>
      <w:r w:rsidR="004233C4">
        <w:fldChar w:fldCharType="begin"/>
      </w:r>
      <w:r w:rsidR="004233C4">
        <w:instrText xml:space="preserve"> SEQ Figure \* ARABIC </w:instrText>
      </w:r>
      <w:r w:rsidR="004233C4">
        <w:fldChar w:fldCharType="separate"/>
      </w:r>
      <w:r w:rsidR="00D13682">
        <w:rPr>
          <w:noProof/>
        </w:rPr>
        <w:t>1</w:t>
      </w:r>
      <w:r w:rsidR="004233C4">
        <w:rPr>
          <w:noProof/>
        </w:rPr>
        <w:fldChar w:fldCharType="end"/>
      </w:r>
      <w:r>
        <w:t xml:space="preserve"> : </w:t>
      </w:r>
      <w:r w:rsidR="00451067" w:rsidRPr="004B0D7A">
        <w:rPr>
          <w:rFonts w:cs="Times New Roman"/>
          <w:color w:val="auto"/>
        </w:rPr>
        <w:t>Photo du Quai Coste</w:t>
      </w:r>
      <w:bookmarkEnd w:id="56"/>
    </w:p>
    <w:p w14:paraId="0BB932E6" w14:textId="35689F12" w:rsidR="00861C05" w:rsidRPr="00861C05" w:rsidRDefault="00861C05" w:rsidP="00861C05">
      <w:pPr>
        <w:pStyle w:val="ListParagraph"/>
        <w:tabs>
          <w:tab w:val="left" w:pos="284"/>
        </w:tabs>
        <w:spacing w:line="276" w:lineRule="auto"/>
        <w:ind w:left="0"/>
        <w:contextualSpacing w:val="0"/>
        <w:rPr>
          <w:rFonts w:cs="Times New Roman"/>
          <w:color w:val="auto"/>
        </w:rPr>
      </w:pPr>
      <w:r w:rsidRPr="00861C05">
        <w:rPr>
          <w:rFonts w:cs="Times New Roman"/>
          <w:color w:val="auto"/>
        </w:rPr>
        <w:t>Le quai Vuillemin, formant un angle saillant avec le quai Coste</w:t>
      </w:r>
      <w:r>
        <w:rPr>
          <w:rFonts w:cs="Times New Roman"/>
          <w:color w:val="auto"/>
        </w:rPr>
        <w:t xml:space="preserve"> </w:t>
      </w:r>
      <w:r w:rsidRPr="00861C05">
        <w:rPr>
          <w:rFonts w:cs="Times New Roman"/>
          <w:color w:val="auto"/>
        </w:rPr>
        <w:t>et ayant une profondeur d’eau à quai de 1,00 m (marée basse de vive eau), est un quai sur pieux en béton armé surmonté d’une dalle en béton armé. À l’exception de l’escalier et des deux pieux effondrés, la structure maritime ne semble pas en péril bien qu’elle nécessite des réparations urgentes (parement en béton armé éclaté avec corrosion de certains aciers) ainsi que la mise en place d’équipements de quais appropriées.</w:t>
      </w:r>
    </w:p>
    <w:p w14:paraId="2A254BDC" w14:textId="77777777" w:rsidR="00861C05" w:rsidRPr="00861C05" w:rsidRDefault="00861C05" w:rsidP="00861C05">
      <w:pPr>
        <w:pStyle w:val="ListParagraph"/>
        <w:tabs>
          <w:tab w:val="left" w:pos="284"/>
        </w:tabs>
        <w:spacing w:line="276" w:lineRule="auto"/>
        <w:ind w:left="0"/>
        <w:contextualSpacing w:val="0"/>
        <w:rPr>
          <w:rFonts w:cs="Times New Roman"/>
          <w:color w:val="auto"/>
        </w:rPr>
      </w:pPr>
      <w:r w:rsidRPr="00861C05">
        <w:rPr>
          <w:rFonts w:cs="Times New Roman"/>
          <w:color w:val="auto"/>
        </w:rPr>
        <w:t xml:space="preserve">Les principaux problèmes rencontrés au niveau du quai Vuillemin sont les suivants : </w:t>
      </w:r>
    </w:p>
    <w:p w14:paraId="73DBFCFA" w14:textId="77777777" w:rsidR="00861C05" w:rsidRPr="00861C05" w:rsidRDefault="00861C05" w:rsidP="00844538">
      <w:pPr>
        <w:pStyle w:val="ListParagraph"/>
        <w:numPr>
          <w:ilvl w:val="0"/>
          <w:numId w:val="163"/>
        </w:numPr>
        <w:tabs>
          <w:tab w:val="left" w:pos="284"/>
        </w:tabs>
        <w:spacing w:line="276" w:lineRule="auto"/>
        <w:contextualSpacing w:val="0"/>
        <w:rPr>
          <w:rFonts w:cs="Times New Roman"/>
          <w:color w:val="auto"/>
        </w:rPr>
      </w:pPr>
      <w:r w:rsidRPr="00861C05">
        <w:rPr>
          <w:rFonts w:cs="Times New Roman"/>
          <w:color w:val="auto"/>
        </w:rPr>
        <w:t>La structure du quai (et notamment de la dalle qui le surmonte) n’a pas été conçue pour supporter du trafic lourd et notamment de conteneurs ; ceci est la raison pour laquelle, lors d’étude précédente (2004), la Société SOGREAH-SOMEAH a préconisé son rempiètement (reconstruction totale) de façon à ce qu’il puisse être utilisé pour la manutention des conteneurs ;</w:t>
      </w:r>
    </w:p>
    <w:p w14:paraId="49C08017" w14:textId="099394C9" w:rsidR="007E133A" w:rsidRDefault="00861C05" w:rsidP="00844538">
      <w:pPr>
        <w:pStyle w:val="ListParagraph"/>
        <w:numPr>
          <w:ilvl w:val="0"/>
          <w:numId w:val="163"/>
        </w:numPr>
        <w:tabs>
          <w:tab w:val="left" w:pos="284"/>
        </w:tabs>
        <w:spacing w:line="276" w:lineRule="auto"/>
        <w:contextualSpacing w:val="0"/>
        <w:rPr>
          <w:rFonts w:cs="Times New Roman"/>
          <w:color w:val="auto"/>
        </w:rPr>
      </w:pPr>
      <w:r w:rsidRPr="00861C05">
        <w:rPr>
          <w:rFonts w:cs="Times New Roman"/>
          <w:color w:val="auto"/>
        </w:rPr>
        <w:t xml:space="preserve">Il y a également un problème structurel au niveau de l’arrière de la dalle de quai sous laquelle se trouve un talus en enrochement. Cette protection en enrochement en désordre et qui a besoin de rechargement a pour conséquence une fuite importante des matériaux </w:t>
      </w:r>
    </w:p>
    <w:p w14:paraId="5DDD79FE" w14:textId="78FEDED9" w:rsidR="00861C05" w:rsidRDefault="00861C05" w:rsidP="00844538">
      <w:pPr>
        <w:pStyle w:val="ListParagraph"/>
        <w:numPr>
          <w:ilvl w:val="0"/>
          <w:numId w:val="163"/>
        </w:numPr>
        <w:tabs>
          <w:tab w:val="left" w:pos="284"/>
        </w:tabs>
        <w:spacing w:line="276" w:lineRule="auto"/>
        <w:contextualSpacing w:val="0"/>
        <w:rPr>
          <w:rFonts w:cs="Times New Roman"/>
          <w:color w:val="auto"/>
        </w:rPr>
      </w:pPr>
      <w:r w:rsidRPr="00861C05">
        <w:rPr>
          <w:rFonts w:cs="Times New Roman"/>
          <w:color w:val="auto"/>
        </w:rPr>
        <w:lastRenderedPageBreak/>
        <w:t>du terre-plein et un très fort affaissement de celui-ci derrière la dalle dépasse une vingtaine de centimètres.</w:t>
      </w:r>
    </w:p>
    <w:p w14:paraId="34839FB0" w14:textId="2CF4EE83" w:rsidR="00451067" w:rsidRDefault="007E133A" w:rsidP="00451067">
      <w:pPr>
        <w:tabs>
          <w:tab w:val="left" w:pos="284"/>
        </w:tabs>
        <w:rPr>
          <w:rFonts w:cs="Times New Roman"/>
          <w:color w:val="auto"/>
        </w:rPr>
      </w:pPr>
      <w:r>
        <w:rPr>
          <w:noProof/>
        </w:rPr>
        <w:drawing>
          <wp:anchor distT="0" distB="0" distL="114300" distR="114300" simplePos="0" relativeHeight="251660337" behindDoc="0" locked="0" layoutInCell="1" allowOverlap="1" wp14:anchorId="4B6ED8C7" wp14:editId="1C8C1B0B">
            <wp:simplePos x="0" y="0"/>
            <wp:positionH relativeFrom="margin">
              <wp:posOffset>795020</wp:posOffset>
            </wp:positionH>
            <wp:positionV relativeFrom="paragraph">
              <wp:posOffset>318</wp:posOffset>
            </wp:positionV>
            <wp:extent cx="4046538" cy="1693974"/>
            <wp:effectExtent l="0" t="0" r="0" b="1905"/>
            <wp:wrapNone/>
            <wp:docPr id="26857" name="Image 26857" descr="190827_Quai Wuille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90827_Quai Wuillemin"/>
                    <pic:cNvPicPr>
                      <a:picLocks noChangeAspect="1" noChangeArrowheads="1"/>
                    </pic:cNvPicPr>
                  </pic:nvPicPr>
                  <pic:blipFill>
                    <a:blip r:embed="rId27" cstate="print">
                      <a:extLst>
                        <a:ext uri="{28A0092B-C50C-407E-A947-70E740481C1C}">
                          <a14:useLocalDpi xmlns:a14="http://schemas.microsoft.com/office/drawing/2010/main" val="0"/>
                        </a:ext>
                      </a:extLst>
                    </a:blip>
                    <a:srcRect r="5341" b="9058"/>
                    <a:stretch>
                      <a:fillRect/>
                    </a:stretch>
                  </pic:blipFill>
                  <pic:spPr bwMode="auto">
                    <a:xfrm>
                      <a:off x="0" y="0"/>
                      <a:ext cx="4049061" cy="16950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29F2C6" w14:textId="755380ED" w:rsidR="00451067" w:rsidRDefault="00451067" w:rsidP="00451067">
      <w:pPr>
        <w:tabs>
          <w:tab w:val="left" w:pos="284"/>
        </w:tabs>
        <w:rPr>
          <w:rFonts w:cs="Times New Roman"/>
          <w:color w:val="auto"/>
        </w:rPr>
      </w:pPr>
    </w:p>
    <w:p w14:paraId="1F85ECA0" w14:textId="6FD37895" w:rsidR="00451067" w:rsidRDefault="00451067" w:rsidP="00451067">
      <w:pPr>
        <w:tabs>
          <w:tab w:val="left" w:pos="284"/>
        </w:tabs>
        <w:rPr>
          <w:rFonts w:cs="Times New Roman"/>
          <w:color w:val="auto"/>
        </w:rPr>
      </w:pPr>
    </w:p>
    <w:p w14:paraId="1CCAB645" w14:textId="27BF45EA" w:rsidR="00451067" w:rsidRDefault="00451067" w:rsidP="00451067">
      <w:pPr>
        <w:tabs>
          <w:tab w:val="left" w:pos="284"/>
        </w:tabs>
        <w:rPr>
          <w:rFonts w:cs="Times New Roman"/>
          <w:color w:val="auto"/>
        </w:rPr>
      </w:pPr>
    </w:p>
    <w:p w14:paraId="518584E2" w14:textId="77777777" w:rsidR="007E133A" w:rsidRDefault="007E133A" w:rsidP="00451067">
      <w:pPr>
        <w:tabs>
          <w:tab w:val="left" w:pos="284"/>
        </w:tabs>
        <w:rPr>
          <w:rFonts w:cs="Times New Roman"/>
          <w:color w:val="auto"/>
        </w:rPr>
      </w:pPr>
    </w:p>
    <w:p w14:paraId="7A8ACEFF" w14:textId="77777777" w:rsidR="007E133A" w:rsidRDefault="007E133A" w:rsidP="00451067">
      <w:pPr>
        <w:tabs>
          <w:tab w:val="left" w:pos="284"/>
        </w:tabs>
        <w:rPr>
          <w:rFonts w:cs="Times New Roman"/>
          <w:color w:val="auto"/>
        </w:rPr>
      </w:pPr>
    </w:p>
    <w:p w14:paraId="2134E160" w14:textId="522EB5D6" w:rsidR="00451067" w:rsidRPr="00451067" w:rsidRDefault="004B0D7A" w:rsidP="004B0D7A">
      <w:pPr>
        <w:pStyle w:val="Caption"/>
        <w:rPr>
          <w:rFonts w:cs="Times New Roman"/>
          <w:i/>
          <w:color w:val="auto"/>
        </w:rPr>
      </w:pPr>
      <w:bookmarkStart w:id="57" w:name="_Toc230426697"/>
      <w:r>
        <w:t xml:space="preserve">Figure </w:t>
      </w:r>
      <w:r w:rsidR="004233C4">
        <w:fldChar w:fldCharType="begin"/>
      </w:r>
      <w:r w:rsidR="004233C4">
        <w:instrText xml:space="preserve"> SEQ Figure \* ARABIC </w:instrText>
      </w:r>
      <w:r w:rsidR="004233C4">
        <w:fldChar w:fldCharType="separate"/>
      </w:r>
      <w:r w:rsidR="00132821">
        <w:rPr>
          <w:noProof/>
        </w:rPr>
        <w:t>2</w:t>
      </w:r>
      <w:r w:rsidR="004233C4">
        <w:rPr>
          <w:noProof/>
        </w:rPr>
        <w:fldChar w:fldCharType="end"/>
      </w:r>
      <w:r>
        <w:t xml:space="preserve"> : </w:t>
      </w:r>
      <w:r w:rsidR="00451067" w:rsidRPr="004B0D7A">
        <w:rPr>
          <w:rFonts w:cs="Times New Roman"/>
          <w:color w:val="auto"/>
        </w:rPr>
        <w:t>Photo du quai Vuillemin</w:t>
      </w:r>
      <w:bookmarkEnd w:id="57"/>
    </w:p>
    <w:p w14:paraId="74A99E28" w14:textId="092D9771" w:rsidR="00861C05" w:rsidRDefault="00861C05" w:rsidP="00861C05">
      <w:pPr>
        <w:pStyle w:val="ListParagraph"/>
        <w:tabs>
          <w:tab w:val="left" w:pos="284"/>
        </w:tabs>
        <w:spacing w:line="276" w:lineRule="auto"/>
        <w:ind w:left="0"/>
        <w:contextualSpacing w:val="0"/>
        <w:rPr>
          <w:rFonts w:cs="Times New Roman"/>
          <w:color w:val="auto"/>
        </w:rPr>
      </w:pPr>
      <w:r w:rsidRPr="00861C05">
        <w:rPr>
          <w:rFonts w:cs="Times New Roman"/>
          <w:color w:val="auto"/>
        </w:rPr>
        <w:t xml:space="preserve">L’état catastrophique d’une grande partie des terre-pleins, notamment bord à quai et qui présentent de très fortes déformations, complique les conditions d’exploitation ; conduisant à dégrader les engins de manutention. </w:t>
      </w:r>
      <w:r>
        <w:rPr>
          <w:rFonts w:cs="Times New Roman"/>
          <w:color w:val="auto"/>
        </w:rPr>
        <w:t>Aussi, l</w:t>
      </w:r>
      <w:r w:rsidRPr="00861C05">
        <w:rPr>
          <w:rFonts w:cs="Times New Roman"/>
          <w:color w:val="auto"/>
        </w:rPr>
        <w:t>es opérations portuaires sont handicapées par la limitation des profondeurs due à la sédimentation</w:t>
      </w:r>
    </w:p>
    <w:p w14:paraId="6DE62B8A" w14:textId="385587CE" w:rsidR="00407DB4" w:rsidRPr="00407DB4" w:rsidRDefault="00407DB4" w:rsidP="00407DB4">
      <w:pPr>
        <w:pStyle w:val="ListParagraph"/>
        <w:tabs>
          <w:tab w:val="left" w:pos="284"/>
        </w:tabs>
        <w:spacing w:line="276" w:lineRule="auto"/>
        <w:ind w:left="0"/>
        <w:contextualSpacing w:val="0"/>
        <w:rPr>
          <w:rFonts w:cs="Times New Roman"/>
          <w:color w:val="auto"/>
        </w:rPr>
      </w:pPr>
      <w:r w:rsidRPr="00407DB4">
        <w:rPr>
          <w:rFonts w:cs="Times New Roman"/>
          <w:color w:val="auto"/>
        </w:rPr>
        <w:t>Le Projet comprendrait les travaux à réaliser pour éviter tout risque d’interruption des opérations portuaires (reconstruction du quai Coste et quai Vuillemin) tout en offrant des conditions d’exploitation qui soient conformes aux standards internationaux (réhabilitation / renforcement des terre-pleins) aux opérations terrestres :</w:t>
      </w:r>
    </w:p>
    <w:p w14:paraId="4592E094" w14:textId="1C9A9D2D" w:rsidR="00407DB4" w:rsidRDefault="00407DB4" w:rsidP="007E133A">
      <w:pPr>
        <w:pStyle w:val="ListParagraph"/>
        <w:numPr>
          <w:ilvl w:val="0"/>
          <w:numId w:val="162"/>
        </w:numPr>
        <w:tabs>
          <w:tab w:val="left" w:pos="284"/>
        </w:tabs>
        <w:spacing w:before="120" w:after="120"/>
        <w:ind w:left="644"/>
        <w:contextualSpacing w:val="0"/>
        <w:rPr>
          <w:rFonts w:cs="Times New Roman"/>
          <w:color w:val="auto"/>
        </w:rPr>
      </w:pPr>
      <w:r w:rsidRPr="00407DB4">
        <w:rPr>
          <w:rFonts w:cs="Times New Roman"/>
          <w:color w:val="auto"/>
        </w:rPr>
        <w:t xml:space="preserve">La reconstruction du quai Coste est urgentissime du fait des risques réels d’effondrement à court terme ; </w:t>
      </w:r>
    </w:p>
    <w:p w14:paraId="4D4B8126" w14:textId="69784243" w:rsidR="00407DB4" w:rsidRPr="00407DB4" w:rsidRDefault="00407DB4" w:rsidP="007E133A">
      <w:pPr>
        <w:pStyle w:val="ListParagraph"/>
        <w:numPr>
          <w:ilvl w:val="0"/>
          <w:numId w:val="162"/>
        </w:numPr>
        <w:tabs>
          <w:tab w:val="left" w:pos="284"/>
        </w:tabs>
        <w:spacing w:before="120" w:after="120"/>
        <w:ind w:left="644"/>
        <w:contextualSpacing w:val="0"/>
        <w:rPr>
          <w:rFonts w:cs="Times New Roman"/>
          <w:color w:val="auto"/>
        </w:rPr>
      </w:pPr>
      <w:r w:rsidRPr="00407DB4">
        <w:rPr>
          <w:rFonts w:cs="Times New Roman"/>
          <w:color w:val="auto"/>
        </w:rPr>
        <w:t>Au quai Vuillemin :</w:t>
      </w:r>
    </w:p>
    <w:p w14:paraId="64A67BF9" w14:textId="77777777" w:rsidR="00407DB4" w:rsidRPr="00407DB4" w:rsidRDefault="00407DB4" w:rsidP="007E133A">
      <w:pPr>
        <w:pStyle w:val="ListParagraph"/>
        <w:tabs>
          <w:tab w:val="left" w:pos="284"/>
        </w:tabs>
        <w:spacing w:before="120" w:after="120"/>
        <w:ind w:left="633"/>
        <w:contextualSpacing w:val="0"/>
        <w:rPr>
          <w:rFonts w:cs="Times New Roman"/>
          <w:color w:val="auto"/>
        </w:rPr>
      </w:pPr>
      <w:r w:rsidRPr="00407DB4">
        <w:rPr>
          <w:rFonts w:cs="Times New Roman"/>
          <w:color w:val="auto"/>
        </w:rPr>
        <w:t>Reprise de la zone en arrière de la dalle du quai avec construction d’un mur de soutènement (en béton ou en palplanches) destiné à éviter les fuites de matériaux au niveau du talus situé sous le quai ;</w:t>
      </w:r>
    </w:p>
    <w:p w14:paraId="61EEF23F" w14:textId="77777777" w:rsidR="00407DB4" w:rsidRPr="00407DB4" w:rsidRDefault="00407DB4" w:rsidP="007E133A">
      <w:pPr>
        <w:pStyle w:val="ListParagraph"/>
        <w:tabs>
          <w:tab w:val="left" w:pos="284"/>
        </w:tabs>
        <w:spacing w:before="120" w:after="120"/>
        <w:ind w:left="633"/>
        <w:contextualSpacing w:val="0"/>
        <w:rPr>
          <w:rFonts w:cs="Times New Roman"/>
          <w:color w:val="auto"/>
        </w:rPr>
      </w:pPr>
      <w:r w:rsidRPr="00407DB4">
        <w:rPr>
          <w:rFonts w:cs="Times New Roman"/>
          <w:color w:val="auto"/>
        </w:rPr>
        <w:t>Réparations du quai (poutre de couronnement, pieux) avec reconstruction des deux pieux effondrés ;</w:t>
      </w:r>
    </w:p>
    <w:p w14:paraId="26D03F38" w14:textId="77777777" w:rsidR="00407DB4" w:rsidRPr="00407DB4" w:rsidRDefault="00407DB4" w:rsidP="007E133A">
      <w:pPr>
        <w:pStyle w:val="ListParagraph"/>
        <w:tabs>
          <w:tab w:val="left" w:pos="284"/>
        </w:tabs>
        <w:spacing w:before="120" w:after="120"/>
        <w:ind w:left="633"/>
        <w:contextualSpacing w:val="0"/>
        <w:rPr>
          <w:rFonts w:cs="Times New Roman"/>
          <w:color w:val="auto"/>
        </w:rPr>
      </w:pPr>
      <w:r w:rsidRPr="00407DB4">
        <w:rPr>
          <w:rFonts w:cs="Times New Roman"/>
          <w:color w:val="auto"/>
        </w:rPr>
        <w:t>Equipements appropriés du quai.</w:t>
      </w:r>
    </w:p>
    <w:p w14:paraId="3097631E" w14:textId="6EB2275C" w:rsidR="00A134EB" w:rsidRDefault="00407DB4" w:rsidP="007E133A">
      <w:pPr>
        <w:pStyle w:val="ListParagraph"/>
        <w:numPr>
          <w:ilvl w:val="0"/>
          <w:numId w:val="162"/>
        </w:numPr>
        <w:tabs>
          <w:tab w:val="left" w:pos="284"/>
        </w:tabs>
        <w:spacing w:before="120" w:after="120"/>
        <w:ind w:left="644"/>
        <w:contextualSpacing w:val="0"/>
        <w:rPr>
          <w:rFonts w:cs="Times New Roman"/>
          <w:color w:val="auto"/>
        </w:rPr>
      </w:pPr>
      <w:r w:rsidRPr="00407DB4">
        <w:rPr>
          <w:rFonts w:cs="Times New Roman"/>
          <w:color w:val="auto"/>
        </w:rPr>
        <w:t>La réhabilitation / renforcement de tous les terre-pleins en pavé de béton bord à quai et derrière les quais avec une structure lourde adaptée au trafic et aux engins utilisés (pavés de béton sur couche de base épaisse en grave ciment et couche de fondation épaisse en graves non traitées) </w:t>
      </w:r>
    </w:p>
    <w:p w14:paraId="0727BAC2" w14:textId="0F429422" w:rsidR="006A73FC" w:rsidRDefault="006A73FC" w:rsidP="00D42025">
      <w:pPr>
        <w:pStyle w:val="Heading4"/>
      </w:pPr>
      <w:bookmarkStart w:id="58" w:name="_Toc230298730"/>
      <w:r>
        <w:t>CERC 2</w:t>
      </w:r>
      <w:bookmarkEnd w:id="58"/>
    </w:p>
    <w:p w14:paraId="08957AFC" w14:textId="77777777" w:rsidR="006A73FC" w:rsidRDefault="006A73FC" w:rsidP="006A73FC">
      <w:r>
        <w:t>Le CERC 2 consiste à la réalisation des travaux d’urgence sur les infrastructures routières sur la RNP6, RNP7, RNS30, RNS44, RNT3A, la route en pavés vers Ambila et la réhabilitation du boulevard Ratsimilaho à Toamasina.</w:t>
      </w:r>
    </w:p>
    <w:p w14:paraId="699BB889" w14:textId="77777777" w:rsidR="006A73FC" w:rsidRPr="00E44887" w:rsidRDefault="006A73FC" w:rsidP="006A73FC">
      <w:r>
        <w:t>Le tableau ci-dessous présentent les travaux prévus être réalisés durant la deuxième phase.</w:t>
      </w:r>
    </w:p>
    <w:p w14:paraId="3FC990CC" w14:textId="77777777" w:rsidR="007E133A" w:rsidRDefault="007E133A" w:rsidP="006630C7">
      <w:pPr>
        <w:spacing w:before="20" w:after="20" w:line="240" w:lineRule="auto"/>
        <w:jc w:val="center"/>
        <w:rPr>
          <w:b/>
          <w:bCs/>
          <w:color w:val="auto"/>
          <w:sz w:val="22"/>
          <w:lang w:eastAsia="fr-FR"/>
        </w:rPr>
        <w:sectPr w:rsidR="007E133A" w:rsidSect="003C56E8">
          <w:pgSz w:w="11907" w:h="16840" w:code="9"/>
          <w:pgMar w:top="1418" w:right="1418" w:bottom="1418" w:left="1418" w:header="709" w:footer="0" w:gutter="0"/>
          <w:cols w:space="708"/>
          <w:docGrid w:linePitch="360"/>
        </w:sectPr>
      </w:pPr>
    </w:p>
    <w:p w14:paraId="1E0DDF4B" w14:textId="77777777" w:rsidR="00A57A21" w:rsidRDefault="00A57A21" w:rsidP="00A57A21">
      <w:pPr>
        <w:pStyle w:val="Caption"/>
      </w:pPr>
      <w:bookmarkStart w:id="59" w:name="_Toc230427724"/>
      <w:r>
        <w:lastRenderedPageBreak/>
        <w:t xml:space="preserve">Tableau </w:t>
      </w:r>
      <w:r>
        <w:fldChar w:fldCharType="begin"/>
      </w:r>
      <w:r>
        <w:instrText xml:space="preserve"> SEQ Tableau \* ARABIC </w:instrText>
      </w:r>
      <w:r>
        <w:fldChar w:fldCharType="separate"/>
      </w:r>
      <w:r>
        <w:rPr>
          <w:noProof/>
        </w:rPr>
        <w:t>4</w:t>
      </w:r>
      <w:r>
        <w:fldChar w:fldCharType="end"/>
      </w:r>
      <w:r>
        <w:t> : activites envisagees pour cerc2</w:t>
      </w:r>
      <w:bookmarkEnd w:id="59"/>
    </w:p>
    <w:p w14:paraId="0939CCB0" w14:textId="77777777" w:rsidR="00A57A21" w:rsidRPr="00A57A21" w:rsidRDefault="00A57A21" w:rsidP="00A57A21">
      <w:pPr>
        <w:keepNext/>
        <w:keepLines/>
        <w:spacing w:after="0" w:line="240" w:lineRule="auto"/>
      </w:pPr>
    </w:p>
    <w:tbl>
      <w:tblPr>
        <w:tblStyle w:val="Grilledutableau11"/>
        <w:tblW w:w="5000" w:type="pct"/>
        <w:tblLook w:val="04A0" w:firstRow="1" w:lastRow="0" w:firstColumn="1" w:lastColumn="0" w:noHBand="0" w:noVBand="1"/>
      </w:tblPr>
      <w:tblGrid>
        <w:gridCol w:w="1256"/>
        <w:gridCol w:w="3868"/>
        <w:gridCol w:w="2869"/>
        <w:gridCol w:w="6001"/>
      </w:tblGrid>
      <w:tr w:rsidR="00A57A21" w:rsidRPr="00C801A6" w14:paraId="20C75E2B" w14:textId="77777777" w:rsidTr="00253F1A">
        <w:trPr>
          <w:tblHeader/>
        </w:trPr>
        <w:tc>
          <w:tcPr>
            <w:tcW w:w="448" w:type="pct"/>
            <w:shd w:val="clear" w:color="auto" w:fill="A8D08D" w:themeFill="accent6" w:themeFillTint="99"/>
          </w:tcPr>
          <w:p w14:paraId="54B712BF" w14:textId="77777777" w:rsidR="00A57A21" w:rsidRDefault="00A57A21" w:rsidP="00CB7225">
            <w:pPr>
              <w:spacing w:before="20" w:after="20" w:line="240" w:lineRule="auto"/>
              <w:jc w:val="center"/>
              <w:rPr>
                <w:b/>
                <w:bCs/>
                <w:color w:val="auto"/>
                <w:sz w:val="22"/>
              </w:rPr>
            </w:pPr>
            <w:r>
              <w:rPr>
                <w:b/>
                <w:bCs/>
                <w:color w:val="auto"/>
                <w:sz w:val="22"/>
              </w:rPr>
              <w:t>RN</w:t>
            </w:r>
          </w:p>
        </w:tc>
        <w:tc>
          <w:tcPr>
            <w:tcW w:w="1382" w:type="pct"/>
            <w:shd w:val="clear" w:color="auto" w:fill="A8D08D" w:themeFill="accent6" w:themeFillTint="99"/>
            <w:hideMark/>
          </w:tcPr>
          <w:p w14:paraId="0E570421" w14:textId="77777777" w:rsidR="00A57A21" w:rsidRPr="00C801A6" w:rsidRDefault="00A57A21" w:rsidP="00CB7225">
            <w:pPr>
              <w:spacing w:before="20" w:after="20" w:line="240" w:lineRule="auto"/>
              <w:jc w:val="center"/>
              <w:rPr>
                <w:b/>
                <w:bCs/>
                <w:color w:val="auto"/>
                <w:sz w:val="22"/>
              </w:rPr>
            </w:pPr>
            <w:r>
              <w:rPr>
                <w:b/>
                <w:bCs/>
                <w:color w:val="auto"/>
                <w:sz w:val="22"/>
              </w:rPr>
              <w:t>PK</w:t>
            </w:r>
          </w:p>
        </w:tc>
        <w:tc>
          <w:tcPr>
            <w:tcW w:w="1025" w:type="pct"/>
            <w:shd w:val="clear" w:color="auto" w:fill="A8D08D" w:themeFill="accent6" w:themeFillTint="99"/>
            <w:hideMark/>
          </w:tcPr>
          <w:p w14:paraId="3B461831" w14:textId="77777777" w:rsidR="00A57A21" w:rsidRPr="00C801A6" w:rsidRDefault="00A57A21" w:rsidP="00CB7225">
            <w:pPr>
              <w:spacing w:before="20" w:after="20" w:line="240" w:lineRule="auto"/>
              <w:jc w:val="center"/>
              <w:rPr>
                <w:b/>
                <w:bCs/>
                <w:color w:val="auto"/>
                <w:sz w:val="22"/>
              </w:rPr>
            </w:pPr>
            <w:r w:rsidRPr="00C801A6">
              <w:rPr>
                <w:b/>
                <w:bCs/>
                <w:color w:val="auto"/>
                <w:sz w:val="22"/>
              </w:rPr>
              <w:t xml:space="preserve">Dégâts constatés </w:t>
            </w:r>
          </w:p>
        </w:tc>
        <w:tc>
          <w:tcPr>
            <w:tcW w:w="2144" w:type="pct"/>
            <w:shd w:val="clear" w:color="auto" w:fill="A8D08D" w:themeFill="accent6" w:themeFillTint="99"/>
            <w:hideMark/>
          </w:tcPr>
          <w:p w14:paraId="0B1ADE1B" w14:textId="77777777" w:rsidR="00A57A21" w:rsidRPr="00C801A6" w:rsidRDefault="00A57A21" w:rsidP="00CB7225">
            <w:pPr>
              <w:spacing w:before="20" w:after="20" w:line="240" w:lineRule="auto"/>
              <w:jc w:val="center"/>
              <w:rPr>
                <w:b/>
                <w:bCs/>
                <w:color w:val="auto"/>
                <w:sz w:val="22"/>
              </w:rPr>
            </w:pPr>
            <w:r w:rsidRPr="00C801A6">
              <w:rPr>
                <w:b/>
                <w:bCs/>
                <w:color w:val="auto"/>
                <w:sz w:val="22"/>
              </w:rPr>
              <w:t>Activités envisagées</w:t>
            </w:r>
          </w:p>
        </w:tc>
      </w:tr>
      <w:tr w:rsidR="00A57A21" w:rsidRPr="003617DE" w14:paraId="56F32007" w14:textId="77777777" w:rsidTr="00A57A21">
        <w:tc>
          <w:tcPr>
            <w:tcW w:w="448" w:type="pct"/>
            <w:vMerge w:val="restart"/>
          </w:tcPr>
          <w:p w14:paraId="1B745F7B" w14:textId="77777777" w:rsidR="00A57A21" w:rsidRDefault="00A57A21" w:rsidP="00CB7225">
            <w:pPr>
              <w:spacing w:before="20" w:after="20" w:line="240" w:lineRule="auto"/>
              <w:rPr>
                <w:b/>
                <w:bCs/>
                <w:color w:val="auto"/>
                <w:sz w:val="22"/>
              </w:rPr>
            </w:pPr>
            <w:r>
              <w:rPr>
                <w:b/>
                <w:bCs/>
                <w:color w:val="auto"/>
                <w:sz w:val="22"/>
              </w:rPr>
              <w:t>RNP6</w:t>
            </w:r>
          </w:p>
        </w:tc>
        <w:tc>
          <w:tcPr>
            <w:tcW w:w="1382" w:type="pct"/>
          </w:tcPr>
          <w:p w14:paraId="5A7FAC93" w14:textId="77777777" w:rsidR="00A57A21" w:rsidRDefault="00A57A21" w:rsidP="00CB7225">
            <w:pPr>
              <w:spacing w:before="20" w:after="20" w:line="240" w:lineRule="auto"/>
              <w:rPr>
                <w:b/>
                <w:bCs/>
                <w:color w:val="auto"/>
                <w:sz w:val="22"/>
              </w:rPr>
            </w:pPr>
            <w:r>
              <w:rPr>
                <w:b/>
                <w:bCs/>
                <w:color w:val="auto"/>
                <w:sz w:val="22"/>
              </w:rPr>
              <w:t>PK 15+900</w:t>
            </w:r>
          </w:p>
        </w:tc>
        <w:tc>
          <w:tcPr>
            <w:tcW w:w="1025" w:type="pct"/>
          </w:tcPr>
          <w:p w14:paraId="6F0C7AC3" w14:textId="77777777" w:rsidR="00A57A21" w:rsidRDefault="00A57A21" w:rsidP="00CB7225">
            <w:pPr>
              <w:pStyle w:val="ListParagraph"/>
              <w:numPr>
                <w:ilvl w:val="0"/>
                <w:numId w:val="162"/>
              </w:numPr>
              <w:spacing w:before="20" w:after="20"/>
              <w:ind w:left="365"/>
              <w:jc w:val="left"/>
              <w:rPr>
                <w:color w:val="auto"/>
                <w:sz w:val="22"/>
                <w:lang w:eastAsia="fr-FR"/>
              </w:rPr>
            </w:pPr>
            <w:r w:rsidRPr="003617DE">
              <w:rPr>
                <w:color w:val="auto"/>
                <w:sz w:val="22"/>
                <w:lang w:eastAsia="fr-FR"/>
              </w:rPr>
              <w:t>Brèche</w:t>
            </w:r>
          </w:p>
          <w:p w14:paraId="4CCE723E" w14:textId="77777777" w:rsidR="00A57A21" w:rsidRDefault="00A57A21" w:rsidP="00CB7225">
            <w:pPr>
              <w:pStyle w:val="ListParagraph"/>
              <w:numPr>
                <w:ilvl w:val="0"/>
                <w:numId w:val="162"/>
              </w:numPr>
              <w:spacing w:before="20" w:after="20"/>
              <w:ind w:left="365"/>
              <w:jc w:val="left"/>
              <w:rPr>
                <w:color w:val="auto"/>
                <w:sz w:val="22"/>
                <w:lang w:eastAsia="fr-FR"/>
              </w:rPr>
            </w:pPr>
            <w:r>
              <w:rPr>
                <w:color w:val="auto"/>
                <w:sz w:val="22"/>
                <w:lang w:eastAsia="fr-FR"/>
              </w:rPr>
              <w:t>Chaussée en porte faux</w:t>
            </w:r>
          </w:p>
          <w:p w14:paraId="2701817A" w14:textId="77777777" w:rsidR="00A57A21" w:rsidRPr="003617DE" w:rsidRDefault="00A57A21" w:rsidP="00CB7225">
            <w:pPr>
              <w:pStyle w:val="ListParagraph"/>
              <w:numPr>
                <w:ilvl w:val="0"/>
                <w:numId w:val="162"/>
              </w:numPr>
              <w:spacing w:before="20" w:after="20"/>
              <w:ind w:left="365"/>
              <w:jc w:val="left"/>
              <w:rPr>
                <w:color w:val="auto"/>
                <w:sz w:val="22"/>
                <w:lang w:eastAsia="fr-FR"/>
              </w:rPr>
            </w:pPr>
            <w:r>
              <w:rPr>
                <w:color w:val="auto"/>
                <w:sz w:val="22"/>
                <w:lang w:eastAsia="fr-FR"/>
              </w:rPr>
              <w:t>Forte pluie ; départ des matériaux de remblai</w:t>
            </w:r>
          </w:p>
        </w:tc>
        <w:tc>
          <w:tcPr>
            <w:tcW w:w="2144" w:type="pct"/>
          </w:tcPr>
          <w:p w14:paraId="7FD0EDB3" w14:textId="77777777" w:rsidR="00A57A21" w:rsidRPr="003617DE" w:rsidRDefault="00A57A21" w:rsidP="00CB7225">
            <w:pPr>
              <w:pStyle w:val="ListParagraph"/>
              <w:numPr>
                <w:ilvl w:val="0"/>
                <w:numId w:val="162"/>
              </w:numPr>
              <w:spacing w:before="20" w:after="20"/>
              <w:ind w:left="356"/>
              <w:jc w:val="left"/>
              <w:rPr>
                <w:b/>
                <w:bCs/>
                <w:color w:val="auto"/>
                <w:sz w:val="22"/>
                <w:lang w:eastAsia="fr-FR"/>
              </w:rPr>
            </w:pPr>
            <w:r>
              <w:rPr>
                <w:color w:val="auto"/>
                <w:sz w:val="22"/>
                <w:lang w:eastAsia="fr-FR"/>
              </w:rPr>
              <w:t>Construction ouvrage de protection ;</w:t>
            </w:r>
          </w:p>
          <w:p w14:paraId="0D3BD7B4" w14:textId="77777777" w:rsidR="00A57A21" w:rsidRPr="003617DE" w:rsidRDefault="00A57A21" w:rsidP="00CB7225">
            <w:pPr>
              <w:pStyle w:val="ListParagraph"/>
              <w:numPr>
                <w:ilvl w:val="0"/>
                <w:numId w:val="162"/>
              </w:numPr>
              <w:spacing w:before="20" w:after="20"/>
              <w:ind w:left="356"/>
              <w:jc w:val="left"/>
              <w:rPr>
                <w:b/>
                <w:bCs/>
                <w:color w:val="auto"/>
                <w:sz w:val="22"/>
                <w:lang w:eastAsia="fr-FR"/>
              </w:rPr>
            </w:pPr>
            <w:r w:rsidRPr="00863C41">
              <w:rPr>
                <w:color w:val="auto"/>
                <w:sz w:val="22"/>
                <w:lang w:eastAsia="fr-FR"/>
              </w:rPr>
              <w:t>100ml de mur de s</w:t>
            </w:r>
            <w:r w:rsidRPr="003617DE">
              <w:rPr>
                <w:color w:val="auto"/>
                <w:sz w:val="22"/>
                <w:lang w:eastAsia="fr-FR"/>
              </w:rPr>
              <w:t>out</w:t>
            </w:r>
            <w:r>
              <w:rPr>
                <w:color w:val="auto"/>
                <w:sz w:val="22"/>
                <w:lang w:eastAsia="fr-FR"/>
              </w:rPr>
              <w:t>ènement,</w:t>
            </w:r>
          </w:p>
          <w:p w14:paraId="4BCEC89E" w14:textId="77777777" w:rsidR="00A57A21" w:rsidRPr="003617DE" w:rsidRDefault="00A57A21" w:rsidP="00CB7225">
            <w:pPr>
              <w:pStyle w:val="ListParagraph"/>
              <w:numPr>
                <w:ilvl w:val="0"/>
                <w:numId w:val="162"/>
              </w:numPr>
              <w:spacing w:before="20" w:after="20"/>
              <w:ind w:left="356"/>
              <w:jc w:val="left"/>
              <w:rPr>
                <w:b/>
                <w:bCs/>
                <w:color w:val="auto"/>
                <w:sz w:val="22"/>
                <w:lang w:eastAsia="fr-FR"/>
              </w:rPr>
            </w:pPr>
            <w:r>
              <w:rPr>
                <w:color w:val="auto"/>
                <w:sz w:val="22"/>
                <w:lang w:eastAsia="fr-FR"/>
              </w:rPr>
              <w:t>100ml de chaussée</w:t>
            </w:r>
          </w:p>
        </w:tc>
      </w:tr>
      <w:tr w:rsidR="00A57A21" w14:paraId="354C65AB" w14:textId="77777777" w:rsidTr="00A57A21">
        <w:tc>
          <w:tcPr>
            <w:tcW w:w="448" w:type="pct"/>
            <w:vMerge/>
          </w:tcPr>
          <w:p w14:paraId="48208316" w14:textId="77777777" w:rsidR="00A57A21" w:rsidRDefault="00A57A21" w:rsidP="00CB7225">
            <w:pPr>
              <w:spacing w:before="20" w:after="20" w:line="240" w:lineRule="auto"/>
              <w:rPr>
                <w:b/>
                <w:bCs/>
                <w:color w:val="auto"/>
                <w:sz w:val="22"/>
              </w:rPr>
            </w:pPr>
          </w:p>
        </w:tc>
        <w:tc>
          <w:tcPr>
            <w:tcW w:w="1382" w:type="pct"/>
          </w:tcPr>
          <w:p w14:paraId="2251B4F7" w14:textId="77777777" w:rsidR="00A57A21" w:rsidRDefault="00A57A21" w:rsidP="00CB7225">
            <w:pPr>
              <w:spacing w:before="20" w:after="20" w:line="240" w:lineRule="auto"/>
              <w:rPr>
                <w:b/>
                <w:bCs/>
                <w:color w:val="auto"/>
                <w:sz w:val="22"/>
              </w:rPr>
            </w:pPr>
            <w:r>
              <w:rPr>
                <w:b/>
                <w:bCs/>
                <w:color w:val="auto"/>
                <w:sz w:val="22"/>
              </w:rPr>
              <w:t>PK 144+800 – PK 467+000 accès pont Sambirano</w:t>
            </w:r>
          </w:p>
        </w:tc>
        <w:tc>
          <w:tcPr>
            <w:tcW w:w="1025" w:type="pct"/>
          </w:tcPr>
          <w:p w14:paraId="339836A2" w14:textId="77777777" w:rsidR="00A57A21" w:rsidRDefault="00A57A21" w:rsidP="00CB7225">
            <w:pPr>
              <w:pStyle w:val="ListParagraph"/>
              <w:numPr>
                <w:ilvl w:val="0"/>
                <w:numId w:val="162"/>
              </w:numPr>
              <w:spacing w:before="20" w:after="20"/>
              <w:ind w:left="365"/>
              <w:rPr>
                <w:color w:val="auto"/>
                <w:sz w:val="22"/>
                <w:lang w:eastAsia="fr-FR"/>
              </w:rPr>
            </w:pPr>
            <w:r>
              <w:rPr>
                <w:color w:val="auto"/>
                <w:sz w:val="22"/>
                <w:lang w:eastAsia="fr-FR"/>
              </w:rPr>
              <w:t>Formation de brèche au droit des ouvrages existants ;</w:t>
            </w:r>
          </w:p>
          <w:p w14:paraId="7174A297" w14:textId="77777777" w:rsidR="00A57A21" w:rsidRDefault="00A57A21" w:rsidP="00CB7225">
            <w:pPr>
              <w:pStyle w:val="ListParagraph"/>
              <w:numPr>
                <w:ilvl w:val="0"/>
                <w:numId w:val="162"/>
              </w:numPr>
              <w:spacing w:before="20" w:after="20"/>
              <w:ind w:left="365"/>
              <w:rPr>
                <w:color w:val="auto"/>
                <w:sz w:val="22"/>
                <w:lang w:eastAsia="fr-FR"/>
              </w:rPr>
            </w:pPr>
            <w:r>
              <w:rPr>
                <w:color w:val="auto"/>
                <w:sz w:val="22"/>
                <w:lang w:eastAsia="fr-FR"/>
              </w:rPr>
              <w:t>Coupure de route</w:t>
            </w:r>
          </w:p>
          <w:p w14:paraId="228E6E79" w14:textId="77777777" w:rsidR="00A57A21" w:rsidRDefault="00A57A21" w:rsidP="00CB7225">
            <w:pPr>
              <w:pStyle w:val="ListParagraph"/>
              <w:numPr>
                <w:ilvl w:val="0"/>
                <w:numId w:val="162"/>
              </w:numPr>
              <w:spacing w:before="20" w:after="20"/>
              <w:ind w:left="365"/>
              <w:rPr>
                <w:color w:val="auto"/>
                <w:sz w:val="22"/>
                <w:lang w:eastAsia="fr-FR"/>
              </w:rPr>
            </w:pPr>
            <w:r>
              <w:rPr>
                <w:color w:val="auto"/>
                <w:sz w:val="22"/>
                <w:lang w:eastAsia="fr-FR"/>
              </w:rPr>
              <w:t>Chaussée en porte-à-faux ;</w:t>
            </w:r>
          </w:p>
          <w:p w14:paraId="4D30D5EC" w14:textId="77777777" w:rsidR="00A57A21" w:rsidRPr="00863C41" w:rsidRDefault="00A57A21" w:rsidP="00CB7225">
            <w:pPr>
              <w:pStyle w:val="ListParagraph"/>
              <w:numPr>
                <w:ilvl w:val="0"/>
                <w:numId w:val="162"/>
              </w:numPr>
              <w:spacing w:before="20" w:after="20"/>
              <w:ind w:left="365"/>
              <w:rPr>
                <w:color w:val="auto"/>
                <w:sz w:val="22"/>
                <w:lang w:eastAsia="fr-FR"/>
              </w:rPr>
            </w:pPr>
            <w:r>
              <w:rPr>
                <w:color w:val="auto"/>
                <w:sz w:val="22"/>
                <w:lang w:eastAsia="fr-FR"/>
              </w:rPr>
              <w:t>Dégradations généralisées de la chaussée dûe aux inondations et érosions</w:t>
            </w:r>
          </w:p>
        </w:tc>
        <w:tc>
          <w:tcPr>
            <w:tcW w:w="2144" w:type="pct"/>
          </w:tcPr>
          <w:p w14:paraId="658BA0E3" w14:textId="77777777" w:rsidR="00A57A21" w:rsidRPr="00863C41" w:rsidRDefault="00A57A21" w:rsidP="00CB7225">
            <w:pPr>
              <w:pStyle w:val="ListParagraph"/>
              <w:numPr>
                <w:ilvl w:val="0"/>
                <w:numId w:val="162"/>
              </w:numPr>
              <w:spacing w:before="20" w:after="20"/>
              <w:ind w:left="356"/>
              <w:jc w:val="left"/>
              <w:rPr>
                <w:color w:val="auto"/>
                <w:sz w:val="22"/>
                <w:lang w:eastAsia="fr-FR"/>
              </w:rPr>
            </w:pPr>
            <w:r w:rsidRPr="00863C41">
              <w:rPr>
                <w:color w:val="auto"/>
                <w:sz w:val="22"/>
                <w:lang w:eastAsia="fr-FR"/>
              </w:rPr>
              <w:t>Construction d'ouvrage hydraulique</w:t>
            </w:r>
          </w:p>
          <w:p w14:paraId="38A822B8" w14:textId="77777777" w:rsidR="00A57A21" w:rsidRPr="00863C41" w:rsidRDefault="00A57A21" w:rsidP="00CB7225">
            <w:pPr>
              <w:pStyle w:val="ListParagraph"/>
              <w:numPr>
                <w:ilvl w:val="0"/>
                <w:numId w:val="162"/>
              </w:numPr>
              <w:spacing w:before="20" w:after="20"/>
              <w:ind w:left="356"/>
              <w:jc w:val="left"/>
              <w:rPr>
                <w:color w:val="auto"/>
                <w:sz w:val="22"/>
                <w:lang w:eastAsia="fr-FR"/>
              </w:rPr>
            </w:pPr>
            <w:r w:rsidRPr="00863C41">
              <w:rPr>
                <w:color w:val="auto"/>
                <w:sz w:val="22"/>
                <w:lang w:eastAsia="fr-FR"/>
              </w:rPr>
              <w:t>Construction d'ouvrage de protection et soutènement</w:t>
            </w:r>
          </w:p>
          <w:p w14:paraId="2548C928" w14:textId="77777777" w:rsidR="00A57A21" w:rsidRPr="00863C41" w:rsidRDefault="00A57A21" w:rsidP="00CB7225">
            <w:pPr>
              <w:pStyle w:val="ListParagraph"/>
              <w:numPr>
                <w:ilvl w:val="0"/>
                <w:numId w:val="162"/>
              </w:numPr>
              <w:spacing w:before="20" w:after="20"/>
              <w:ind w:left="356"/>
              <w:jc w:val="left"/>
              <w:rPr>
                <w:color w:val="auto"/>
                <w:sz w:val="22"/>
                <w:lang w:eastAsia="fr-FR"/>
              </w:rPr>
            </w:pPr>
            <w:r w:rsidRPr="00863C41">
              <w:rPr>
                <w:color w:val="auto"/>
                <w:sz w:val="22"/>
                <w:lang w:eastAsia="fr-FR"/>
              </w:rPr>
              <w:t>Construction d'ouvrage de franchissement</w:t>
            </w:r>
          </w:p>
          <w:p w14:paraId="7459D4FA" w14:textId="77777777" w:rsidR="00A57A21" w:rsidRDefault="00A57A21" w:rsidP="00CB7225">
            <w:pPr>
              <w:pStyle w:val="ListParagraph"/>
              <w:numPr>
                <w:ilvl w:val="0"/>
                <w:numId w:val="162"/>
              </w:numPr>
              <w:spacing w:before="20" w:after="20"/>
              <w:ind w:left="356"/>
              <w:jc w:val="left"/>
              <w:rPr>
                <w:color w:val="auto"/>
                <w:sz w:val="22"/>
                <w:lang w:eastAsia="fr-FR"/>
              </w:rPr>
            </w:pPr>
            <w:r w:rsidRPr="00863C41">
              <w:rPr>
                <w:color w:val="auto"/>
                <w:sz w:val="22"/>
                <w:lang w:eastAsia="fr-FR"/>
              </w:rPr>
              <w:t>Réparation de la chaussée</w:t>
            </w:r>
          </w:p>
        </w:tc>
      </w:tr>
      <w:tr w:rsidR="00A57A21" w14:paraId="63C56302" w14:textId="77777777" w:rsidTr="00A57A21">
        <w:tc>
          <w:tcPr>
            <w:tcW w:w="448" w:type="pct"/>
            <w:vMerge w:val="restart"/>
          </w:tcPr>
          <w:p w14:paraId="4EE52BDC" w14:textId="77777777" w:rsidR="00A57A21" w:rsidRDefault="00A57A21" w:rsidP="00CB7225">
            <w:pPr>
              <w:spacing w:before="20" w:after="20" w:line="240" w:lineRule="auto"/>
              <w:rPr>
                <w:b/>
                <w:bCs/>
                <w:color w:val="auto"/>
                <w:sz w:val="22"/>
              </w:rPr>
            </w:pPr>
            <w:r>
              <w:rPr>
                <w:b/>
                <w:bCs/>
                <w:color w:val="auto"/>
                <w:sz w:val="22"/>
              </w:rPr>
              <w:t>RNP7</w:t>
            </w:r>
          </w:p>
        </w:tc>
        <w:tc>
          <w:tcPr>
            <w:tcW w:w="1382" w:type="pct"/>
          </w:tcPr>
          <w:p w14:paraId="48D06F7D" w14:textId="77777777" w:rsidR="00A57A21" w:rsidRPr="00EA6601" w:rsidRDefault="00A57A21" w:rsidP="00CB7225">
            <w:pPr>
              <w:spacing w:before="20" w:after="20" w:line="240" w:lineRule="auto"/>
              <w:rPr>
                <w:b/>
                <w:bCs/>
                <w:color w:val="auto"/>
                <w:sz w:val="22"/>
              </w:rPr>
            </w:pPr>
          </w:p>
          <w:p w14:paraId="7F51DCB5" w14:textId="77777777" w:rsidR="00A57A21" w:rsidRDefault="00A57A21" w:rsidP="00CB7225">
            <w:pPr>
              <w:pStyle w:val="ListParagraph"/>
              <w:numPr>
                <w:ilvl w:val="0"/>
                <w:numId w:val="162"/>
              </w:numPr>
              <w:spacing w:before="20" w:after="20"/>
              <w:ind w:left="7" w:hanging="113"/>
              <w:rPr>
                <w:b/>
                <w:bCs/>
                <w:color w:val="auto"/>
                <w:sz w:val="22"/>
                <w:lang w:eastAsia="fr-FR"/>
              </w:rPr>
            </w:pPr>
            <w:r w:rsidRPr="003617DE">
              <w:rPr>
                <w:b/>
                <w:bCs/>
                <w:color w:val="auto"/>
                <w:sz w:val="22"/>
                <w:lang w:eastAsia="fr-FR"/>
              </w:rPr>
              <w:t>PK 236+700 Pont Tsarasaotra</w:t>
            </w:r>
          </w:p>
          <w:p w14:paraId="028D04D8" w14:textId="77777777" w:rsidR="00A57A21" w:rsidRDefault="00A57A21" w:rsidP="00CB7225">
            <w:pPr>
              <w:pStyle w:val="ListParagraph"/>
              <w:numPr>
                <w:ilvl w:val="0"/>
                <w:numId w:val="162"/>
              </w:numPr>
              <w:spacing w:before="20" w:after="20"/>
              <w:ind w:left="7" w:hanging="113"/>
              <w:rPr>
                <w:b/>
                <w:bCs/>
                <w:color w:val="auto"/>
                <w:sz w:val="22"/>
                <w:lang w:eastAsia="fr-FR"/>
              </w:rPr>
            </w:pPr>
            <w:r w:rsidRPr="003617DE">
              <w:rPr>
                <w:b/>
                <w:bCs/>
                <w:color w:val="auto"/>
                <w:sz w:val="22"/>
                <w:lang w:eastAsia="fr-FR"/>
              </w:rPr>
              <w:t>PK 246+500 Pont Andraisivy 10m</w:t>
            </w:r>
          </w:p>
          <w:p w14:paraId="76FF73F5" w14:textId="77777777" w:rsidR="00A57A21" w:rsidRDefault="00A57A21" w:rsidP="00CB7225">
            <w:pPr>
              <w:pStyle w:val="ListParagraph"/>
              <w:numPr>
                <w:ilvl w:val="0"/>
                <w:numId w:val="162"/>
              </w:numPr>
              <w:spacing w:before="20" w:after="20"/>
              <w:ind w:left="7" w:hanging="113"/>
              <w:rPr>
                <w:b/>
                <w:bCs/>
                <w:color w:val="auto"/>
                <w:sz w:val="22"/>
                <w:lang w:eastAsia="fr-FR"/>
              </w:rPr>
            </w:pPr>
            <w:r w:rsidRPr="003617DE">
              <w:rPr>
                <w:b/>
                <w:bCs/>
                <w:color w:val="auto"/>
                <w:sz w:val="22"/>
                <w:lang w:eastAsia="fr-FR"/>
              </w:rPr>
              <w:t>PK 248+700 Pont Sompirana 10ml</w:t>
            </w:r>
          </w:p>
          <w:p w14:paraId="411085A0" w14:textId="77777777" w:rsidR="00A57A21" w:rsidRDefault="00A57A21" w:rsidP="00CB7225">
            <w:pPr>
              <w:pStyle w:val="ListParagraph"/>
              <w:numPr>
                <w:ilvl w:val="0"/>
                <w:numId w:val="162"/>
              </w:numPr>
              <w:spacing w:before="20" w:after="20"/>
              <w:ind w:left="7" w:hanging="113"/>
              <w:rPr>
                <w:b/>
                <w:bCs/>
                <w:color w:val="auto"/>
                <w:sz w:val="22"/>
                <w:lang w:eastAsia="fr-FR"/>
              </w:rPr>
            </w:pPr>
            <w:r w:rsidRPr="003617DE">
              <w:rPr>
                <w:b/>
                <w:bCs/>
                <w:color w:val="auto"/>
                <w:sz w:val="22"/>
                <w:lang w:eastAsia="fr-FR"/>
              </w:rPr>
              <w:t>PK 250+100 Pont Ambositra 14ml</w:t>
            </w:r>
          </w:p>
          <w:p w14:paraId="31E33334" w14:textId="77777777" w:rsidR="00A57A21" w:rsidRDefault="00A57A21" w:rsidP="00CB7225">
            <w:pPr>
              <w:pStyle w:val="ListParagraph"/>
              <w:numPr>
                <w:ilvl w:val="0"/>
                <w:numId w:val="162"/>
              </w:numPr>
              <w:spacing w:before="20" w:after="20"/>
              <w:ind w:left="7" w:hanging="113"/>
              <w:rPr>
                <w:b/>
                <w:bCs/>
                <w:color w:val="auto"/>
                <w:sz w:val="22"/>
                <w:lang w:eastAsia="fr-FR"/>
              </w:rPr>
            </w:pPr>
            <w:r w:rsidRPr="003617DE">
              <w:rPr>
                <w:b/>
                <w:bCs/>
                <w:color w:val="auto"/>
                <w:sz w:val="22"/>
                <w:lang w:eastAsia="fr-FR"/>
              </w:rPr>
              <w:t>PK 266+400 Pont Itsengy 16ml</w:t>
            </w:r>
          </w:p>
          <w:p w14:paraId="743010D4" w14:textId="77777777" w:rsidR="00A57A21" w:rsidRDefault="00A57A21" w:rsidP="00CB7225">
            <w:pPr>
              <w:pStyle w:val="ListParagraph"/>
              <w:numPr>
                <w:ilvl w:val="0"/>
                <w:numId w:val="162"/>
              </w:numPr>
              <w:spacing w:before="20" w:after="20"/>
              <w:ind w:left="7" w:hanging="113"/>
              <w:rPr>
                <w:b/>
                <w:bCs/>
                <w:color w:val="auto"/>
                <w:sz w:val="22"/>
                <w:lang w:eastAsia="fr-FR"/>
              </w:rPr>
            </w:pPr>
            <w:r>
              <w:rPr>
                <w:b/>
                <w:bCs/>
                <w:color w:val="auto"/>
                <w:sz w:val="22"/>
                <w:lang w:eastAsia="fr-FR"/>
              </w:rPr>
              <w:t>E</w:t>
            </w:r>
            <w:r w:rsidRPr="003617DE">
              <w:rPr>
                <w:b/>
                <w:bCs/>
                <w:color w:val="auto"/>
                <w:sz w:val="22"/>
                <w:lang w:eastAsia="fr-FR"/>
              </w:rPr>
              <w:t xml:space="preserve">ntre </w:t>
            </w:r>
            <w:r>
              <w:rPr>
                <w:b/>
                <w:bCs/>
                <w:color w:val="auto"/>
                <w:sz w:val="22"/>
                <w:lang w:eastAsia="fr-FR"/>
              </w:rPr>
              <w:t xml:space="preserve">PK </w:t>
            </w:r>
            <w:r w:rsidRPr="003617DE">
              <w:rPr>
                <w:b/>
                <w:bCs/>
                <w:color w:val="auto"/>
                <w:sz w:val="22"/>
                <w:lang w:eastAsia="fr-FR"/>
              </w:rPr>
              <w:t xml:space="preserve">360 et </w:t>
            </w:r>
            <w:r>
              <w:rPr>
                <w:b/>
                <w:bCs/>
                <w:color w:val="auto"/>
                <w:sz w:val="22"/>
                <w:lang w:eastAsia="fr-FR"/>
              </w:rPr>
              <w:t>PK</w:t>
            </w:r>
            <w:r w:rsidRPr="003617DE">
              <w:rPr>
                <w:b/>
                <w:bCs/>
                <w:color w:val="auto"/>
                <w:sz w:val="22"/>
                <w:lang w:eastAsia="fr-FR"/>
              </w:rPr>
              <w:t xml:space="preserve"> 380</w:t>
            </w:r>
          </w:p>
          <w:p w14:paraId="73028508" w14:textId="77777777" w:rsidR="00A57A21" w:rsidRPr="003617DE" w:rsidRDefault="00A57A21" w:rsidP="00CB7225">
            <w:pPr>
              <w:pStyle w:val="ListParagraph"/>
              <w:numPr>
                <w:ilvl w:val="0"/>
                <w:numId w:val="162"/>
              </w:numPr>
              <w:spacing w:before="20" w:after="20"/>
              <w:ind w:left="7" w:hanging="113"/>
              <w:rPr>
                <w:b/>
                <w:bCs/>
                <w:color w:val="auto"/>
                <w:sz w:val="22"/>
                <w:lang w:eastAsia="fr-FR"/>
              </w:rPr>
            </w:pPr>
            <w:r w:rsidRPr="003617DE">
              <w:rPr>
                <w:b/>
                <w:bCs/>
                <w:color w:val="auto"/>
                <w:sz w:val="22"/>
                <w:lang w:eastAsia="fr-FR"/>
              </w:rPr>
              <w:t>PK 382+150</w:t>
            </w:r>
          </w:p>
          <w:p w14:paraId="42B67306" w14:textId="77777777" w:rsidR="00A57A21" w:rsidRDefault="00A57A21" w:rsidP="00CB7225">
            <w:pPr>
              <w:spacing w:before="20" w:after="20" w:line="240" w:lineRule="auto"/>
              <w:rPr>
                <w:b/>
                <w:bCs/>
                <w:color w:val="auto"/>
                <w:sz w:val="22"/>
              </w:rPr>
            </w:pPr>
            <w:r w:rsidRPr="00EA6601">
              <w:rPr>
                <w:b/>
                <w:bCs/>
                <w:color w:val="auto"/>
                <w:sz w:val="22"/>
              </w:rPr>
              <w:t>(Pont en voute Alakamisy Ambohimaha)</w:t>
            </w:r>
          </w:p>
        </w:tc>
        <w:tc>
          <w:tcPr>
            <w:tcW w:w="1025" w:type="pct"/>
          </w:tcPr>
          <w:p w14:paraId="6C679567" w14:textId="77777777" w:rsidR="00A57A21" w:rsidRPr="00406745" w:rsidRDefault="00A57A21" w:rsidP="00CB7225">
            <w:pPr>
              <w:pStyle w:val="ListParagraph"/>
              <w:numPr>
                <w:ilvl w:val="0"/>
                <w:numId w:val="162"/>
              </w:numPr>
              <w:spacing w:before="20" w:after="20"/>
              <w:ind w:left="365"/>
              <w:rPr>
                <w:color w:val="auto"/>
                <w:sz w:val="22"/>
                <w:lang w:eastAsia="fr-FR"/>
              </w:rPr>
            </w:pPr>
            <w:r w:rsidRPr="00406745">
              <w:rPr>
                <w:color w:val="auto"/>
                <w:sz w:val="22"/>
                <w:lang w:eastAsia="fr-FR"/>
              </w:rPr>
              <w:t>Fissure sur la voûte de maçonnerie,</w:t>
            </w:r>
          </w:p>
          <w:p w14:paraId="5CDB83A8" w14:textId="77777777" w:rsidR="00A57A21" w:rsidRPr="00406745" w:rsidRDefault="00A57A21" w:rsidP="00CB7225">
            <w:pPr>
              <w:pStyle w:val="ListParagraph"/>
              <w:numPr>
                <w:ilvl w:val="0"/>
                <w:numId w:val="162"/>
              </w:numPr>
              <w:spacing w:before="20" w:after="20"/>
              <w:ind w:left="365"/>
              <w:rPr>
                <w:color w:val="auto"/>
                <w:sz w:val="22"/>
                <w:lang w:eastAsia="fr-FR"/>
              </w:rPr>
            </w:pPr>
            <w:r w:rsidRPr="00406745">
              <w:rPr>
                <w:color w:val="auto"/>
                <w:sz w:val="22"/>
                <w:lang w:eastAsia="fr-FR"/>
              </w:rPr>
              <w:t>Basculement du butage latéral de la chaussée,</w:t>
            </w:r>
          </w:p>
          <w:p w14:paraId="6C56ABF4" w14:textId="77777777" w:rsidR="00A57A21" w:rsidRPr="00406745" w:rsidRDefault="00A57A21" w:rsidP="00CB7225">
            <w:pPr>
              <w:pStyle w:val="ListParagraph"/>
              <w:numPr>
                <w:ilvl w:val="0"/>
                <w:numId w:val="162"/>
              </w:numPr>
              <w:spacing w:before="20" w:after="20"/>
              <w:ind w:left="365"/>
              <w:rPr>
                <w:color w:val="auto"/>
                <w:sz w:val="22"/>
                <w:lang w:eastAsia="fr-FR"/>
              </w:rPr>
            </w:pPr>
            <w:r w:rsidRPr="00406745">
              <w:rPr>
                <w:color w:val="auto"/>
                <w:sz w:val="22"/>
                <w:lang w:eastAsia="fr-FR"/>
              </w:rPr>
              <w:t>Affaissement de la chaussée.</w:t>
            </w:r>
          </w:p>
          <w:p w14:paraId="540FAD5F" w14:textId="77777777" w:rsidR="00A57A21" w:rsidRPr="00863C41" w:rsidRDefault="00A57A21" w:rsidP="00CB7225">
            <w:pPr>
              <w:pStyle w:val="ListParagraph"/>
              <w:numPr>
                <w:ilvl w:val="0"/>
                <w:numId w:val="162"/>
              </w:numPr>
              <w:spacing w:before="20" w:after="20"/>
              <w:ind w:left="365"/>
              <w:rPr>
                <w:color w:val="auto"/>
                <w:sz w:val="22"/>
                <w:lang w:eastAsia="fr-FR"/>
              </w:rPr>
            </w:pPr>
            <w:r w:rsidRPr="00406745">
              <w:rPr>
                <w:color w:val="auto"/>
                <w:sz w:val="22"/>
                <w:lang w:eastAsia="fr-FR"/>
              </w:rPr>
              <w:t>Dégradations généralisées de la chaussée dûe aux inondations et érosions</w:t>
            </w:r>
          </w:p>
        </w:tc>
        <w:tc>
          <w:tcPr>
            <w:tcW w:w="2144" w:type="pct"/>
          </w:tcPr>
          <w:p w14:paraId="787AE78E" w14:textId="77777777" w:rsidR="00A57A21" w:rsidRPr="005B338A" w:rsidRDefault="00A57A21" w:rsidP="00CB7225">
            <w:pPr>
              <w:pStyle w:val="ListParagraph"/>
              <w:numPr>
                <w:ilvl w:val="0"/>
                <w:numId w:val="162"/>
              </w:numPr>
              <w:spacing w:before="20" w:after="20"/>
              <w:ind w:left="356"/>
              <w:jc w:val="left"/>
              <w:rPr>
                <w:color w:val="auto"/>
                <w:sz w:val="22"/>
                <w:lang w:eastAsia="fr-FR"/>
              </w:rPr>
            </w:pPr>
            <w:r w:rsidRPr="005B338A">
              <w:rPr>
                <w:color w:val="auto"/>
                <w:sz w:val="22"/>
                <w:lang w:eastAsia="fr-FR"/>
              </w:rPr>
              <w:t>Reconstruction de ponts</w:t>
            </w:r>
          </w:p>
          <w:p w14:paraId="1E122ED2" w14:textId="77777777" w:rsidR="00A57A21" w:rsidRPr="005B338A" w:rsidRDefault="00A57A21" w:rsidP="00CB7225">
            <w:pPr>
              <w:pStyle w:val="ListParagraph"/>
              <w:numPr>
                <w:ilvl w:val="0"/>
                <w:numId w:val="162"/>
              </w:numPr>
              <w:spacing w:before="20" w:after="20"/>
              <w:ind w:left="356"/>
              <w:jc w:val="left"/>
              <w:rPr>
                <w:color w:val="auto"/>
                <w:sz w:val="22"/>
                <w:lang w:eastAsia="fr-FR"/>
              </w:rPr>
            </w:pPr>
            <w:r w:rsidRPr="005B338A">
              <w:rPr>
                <w:color w:val="auto"/>
                <w:sz w:val="22"/>
                <w:lang w:eastAsia="fr-FR"/>
              </w:rPr>
              <w:t>Construction d'ouvrages de protection</w:t>
            </w:r>
          </w:p>
          <w:p w14:paraId="3A9AE80F" w14:textId="77777777" w:rsidR="00A57A21" w:rsidRDefault="00A57A21" w:rsidP="00CB7225">
            <w:pPr>
              <w:pStyle w:val="ListParagraph"/>
              <w:numPr>
                <w:ilvl w:val="0"/>
                <w:numId w:val="162"/>
              </w:numPr>
              <w:spacing w:before="20" w:after="20"/>
              <w:ind w:left="356"/>
              <w:jc w:val="left"/>
              <w:rPr>
                <w:color w:val="auto"/>
                <w:sz w:val="22"/>
                <w:lang w:eastAsia="fr-FR"/>
              </w:rPr>
            </w:pPr>
            <w:r w:rsidRPr="005B338A">
              <w:rPr>
                <w:color w:val="auto"/>
                <w:sz w:val="22"/>
                <w:lang w:eastAsia="fr-FR"/>
              </w:rPr>
              <w:t>Réparation de chaussée</w:t>
            </w:r>
          </w:p>
        </w:tc>
      </w:tr>
      <w:tr w:rsidR="00A57A21" w14:paraId="0C1C5B7E" w14:textId="77777777" w:rsidTr="00A57A21">
        <w:tc>
          <w:tcPr>
            <w:tcW w:w="448" w:type="pct"/>
            <w:vMerge/>
          </w:tcPr>
          <w:p w14:paraId="26744295" w14:textId="77777777" w:rsidR="00A57A21" w:rsidRDefault="00A57A21" w:rsidP="00CB7225">
            <w:pPr>
              <w:spacing w:before="20" w:after="20" w:line="240" w:lineRule="auto"/>
              <w:rPr>
                <w:b/>
                <w:bCs/>
                <w:color w:val="auto"/>
                <w:sz w:val="22"/>
              </w:rPr>
            </w:pPr>
          </w:p>
        </w:tc>
        <w:tc>
          <w:tcPr>
            <w:tcW w:w="1382" w:type="pct"/>
          </w:tcPr>
          <w:p w14:paraId="552B1576" w14:textId="77777777" w:rsidR="00A57A21" w:rsidRPr="00F33CFC" w:rsidRDefault="00A57A21" w:rsidP="00CB7225">
            <w:pPr>
              <w:spacing w:before="20" w:after="20" w:line="240" w:lineRule="auto"/>
              <w:rPr>
                <w:b/>
                <w:bCs/>
                <w:color w:val="auto"/>
                <w:sz w:val="22"/>
              </w:rPr>
            </w:pPr>
            <w:r>
              <w:rPr>
                <w:b/>
                <w:bCs/>
                <w:color w:val="auto"/>
                <w:sz w:val="22"/>
              </w:rPr>
              <w:t>- E</w:t>
            </w:r>
            <w:r w:rsidRPr="00F33CFC">
              <w:rPr>
                <w:b/>
                <w:bCs/>
                <w:color w:val="auto"/>
                <w:sz w:val="22"/>
              </w:rPr>
              <w:t>ntre les PK 740+800 (Limite Province) et PK 799 (Sakaraha)</w:t>
            </w:r>
          </w:p>
          <w:p w14:paraId="70E326B5" w14:textId="77777777" w:rsidR="00A57A21" w:rsidRPr="00F33CFC" w:rsidRDefault="00A57A21" w:rsidP="00CB7225">
            <w:pPr>
              <w:spacing w:before="20" w:after="20" w:line="240" w:lineRule="auto"/>
              <w:rPr>
                <w:b/>
                <w:bCs/>
                <w:color w:val="auto"/>
                <w:sz w:val="22"/>
              </w:rPr>
            </w:pPr>
            <w:r w:rsidRPr="00F33CFC">
              <w:rPr>
                <w:b/>
                <w:bCs/>
                <w:color w:val="auto"/>
                <w:sz w:val="22"/>
              </w:rPr>
              <w:t xml:space="preserve">- </w:t>
            </w:r>
            <w:r>
              <w:rPr>
                <w:b/>
                <w:bCs/>
                <w:color w:val="auto"/>
                <w:sz w:val="22"/>
              </w:rPr>
              <w:t>E</w:t>
            </w:r>
            <w:r w:rsidRPr="00F33CFC">
              <w:rPr>
                <w:b/>
                <w:bCs/>
                <w:color w:val="auto"/>
                <w:sz w:val="22"/>
              </w:rPr>
              <w:t>ntre les PK 799+000 (Sakaraha) et PK 820 (Mahaboboka)</w:t>
            </w:r>
          </w:p>
          <w:p w14:paraId="5550DB99" w14:textId="77777777" w:rsidR="00A57A21" w:rsidRDefault="00A57A21" w:rsidP="00CB7225">
            <w:pPr>
              <w:spacing w:before="20" w:after="20" w:line="240" w:lineRule="auto"/>
              <w:rPr>
                <w:b/>
                <w:bCs/>
                <w:color w:val="auto"/>
                <w:sz w:val="22"/>
              </w:rPr>
            </w:pPr>
            <w:r w:rsidRPr="00F33CFC">
              <w:rPr>
                <w:b/>
                <w:bCs/>
                <w:color w:val="auto"/>
                <w:sz w:val="22"/>
              </w:rPr>
              <w:t xml:space="preserve">- </w:t>
            </w:r>
            <w:r>
              <w:rPr>
                <w:b/>
                <w:bCs/>
                <w:color w:val="auto"/>
                <w:sz w:val="22"/>
              </w:rPr>
              <w:t>E</w:t>
            </w:r>
            <w:r w:rsidRPr="00F33CFC">
              <w:rPr>
                <w:b/>
                <w:bCs/>
                <w:color w:val="auto"/>
                <w:sz w:val="22"/>
              </w:rPr>
              <w:t>ntre les PK 846 (Vineta) et PK 918 (Entrée Toliara)</w:t>
            </w:r>
          </w:p>
        </w:tc>
        <w:tc>
          <w:tcPr>
            <w:tcW w:w="1025" w:type="pct"/>
          </w:tcPr>
          <w:p w14:paraId="1A056183" w14:textId="77777777" w:rsidR="00A57A21" w:rsidRPr="00863C41" w:rsidRDefault="00A57A21" w:rsidP="00CB7225">
            <w:pPr>
              <w:pStyle w:val="ListParagraph"/>
              <w:numPr>
                <w:ilvl w:val="0"/>
                <w:numId w:val="162"/>
              </w:numPr>
              <w:spacing w:before="20" w:after="20"/>
              <w:ind w:left="365"/>
              <w:rPr>
                <w:color w:val="auto"/>
                <w:sz w:val="22"/>
                <w:lang w:eastAsia="fr-FR"/>
              </w:rPr>
            </w:pPr>
            <w:r w:rsidRPr="00F33CFC">
              <w:rPr>
                <w:color w:val="auto"/>
                <w:sz w:val="22"/>
                <w:lang w:eastAsia="fr-FR"/>
              </w:rPr>
              <w:t>Dégradations généralisées de la chaussée dûe aux inondations et érosions</w:t>
            </w:r>
          </w:p>
        </w:tc>
        <w:tc>
          <w:tcPr>
            <w:tcW w:w="2144" w:type="pct"/>
          </w:tcPr>
          <w:p w14:paraId="5B7AABC4" w14:textId="77777777" w:rsidR="00A57A21" w:rsidRDefault="00A57A21" w:rsidP="00CB7225">
            <w:pPr>
              <w:pStyle w:val="ListParagraph"/>
              <w:numPr>
                <w:ilvl w:val="0"/>
                <w:numId w:val="162"/>
              </w:numPr>
              <w:spacing w:before="20" w:after="20"/>
              <w:ind w:left="356"/>
              <w:jc w:val="left"/>
              <w:rPr>
                <w:color w:val="auto"/>
                <w:sz w:val="22"/>
                <w:lang w:eastAsia="fr-FR"/>
              </w:rPr>
            </w:pPr>
            <w:r w:rsidRPr="00A85D23">
              <w:rPr>
                <w:color w:val="auto"/>
                <w:sz w:val="22"/>
                <w:lang w:eastAsia="fr-FR"/>
              </w:rPr>
              <w:t>Travaux de réparation de chaussée et construction d'ouvrage</w:t>
            </w:r>
          </w:p>
        </w:tc>
      </w:tr>
      <w:tr w:rsidR="00A57A21" w14:paraId="63587E2D" w14:textId="77777777" w:rsidTr="00A57A21">
        <w:tc>
          <w:tcPr>
            <w:tcW w:w="448" w:type="pct"/>
          </w:tcPr>
          <w:p w14:paraId="36EEA9B8" w14:textId="77777777" w:rsidR="00A57A21" w:rsidRDefault="00A57A21" w:rsidP="00CB7225">
            <w:pPr>
              <w:spacing w:before="20" w:after="20" w:line="240" w:lineRule="auto"/>
              <w:rPr>
                <w:b/>
                <w:bCs/>
                <w:color w:val="auto"/>
                <w:sz w:val="22"/>
              </w:rPr>
            </w:pPr>
            <w:r>
              <w:rPr>
                <w:b/>
                <w:bCs/>
                <w:color w:val="auto"/>
                <w:sz w:val="22"/>
              </w:rPr>
              <w:lastRenderedPageBreak/>
              <w:t>RNS30</w:t>
            </w:r>
          </w:p>
        </w:tc>
        <w:tc>
          <w:tcPr>
            <w:tcW w:w="1382" w:type="pct"/>
          </w:tcPr>
          <w:p w14:paraId="7CF1D37A" w14:textId="77777777" w:rsidR="00A57A21" w:rsidRDefault="00A57A21" w:rsidP="00CB7225">
            <w:pPr>
              <w:spacing w:before="20" w:after="20" w:line="240" w:lineRule="auto"/>
              <w:rPr>
                <w:b/>
                <w:bCs/>
                <w:color w:val="auto"/>
                <w:sz w:val="22"/>
              </w:rPr>
            </w:pPr>
            <w:r w:rsidRPr="00AB2622">
              <w:rPr>
                <w:b/>
                <w:bCs/>
                <w:color w:val="auto"/>
                <w:sz w:val="22"/>
              </w:rPr>
              <w:t>Entre Ambalavelona et Ankify (Zomba)</w:t>
            </w:r>
          </w:p>
        </w:tc>
        <w:tc>
          <w:tcPr>
            <w:tcW w:w="1025" w:type="pct"/>
          </w:tcPr>
          <w:p w14:paraId="644AF524" w14:textId="77777777" w:rsidR="00A57A21" w:rsidRPr="00863C41" w:rsidRDefault="00A57A21" w:rsidP="00CB7225">
            <w:pPr>
              <w:pStyle w:val="ListParagraph"/>
              <w:numPr>
                <w:ilvl w:val="0"/>
                <w:numId w:val="162"/>
              </w:numPr>
              <w:spacing w:before="20" w:after="20"/>
              <w:ind w:left="365"/>
              <w:rPr>
                <w:color w:val="auto"/>
                <w:sz w:val="22"/>
                <w:lang w:eastAsia="fr-FR"/>
              </w:rPr>
            </w:pPr>
            <w:r w:rsidRPr="00AB2622">
              <w:rPr>
                <w:color w:val="auto"/>
                <w:sz w:val="22"/>
                <w:lang w:eastAsia="fr-FR"/>
              </w:rPr>
              <w:t>Dégradations généralisées de la chaussée dûe aux fortes pluies et érosions</w:t>
            </w:r>
          </w:p>
        </w:tc>
        <w:tc>
          <w:tcPr>
            <w:tcW w:w="2144" w:type="pct"/>
          </w:tcPr>
          <w:p w14:paraId="2AAB4FCE" w14:textId="77777777" w:rsidR="00A57A21" w:rsidRPr="00116654" w:rsidRDefault="00A57A21" w:rsidP="00CB7225">
            <w:pPr>
              <w:pStyle w:val="ListParagraph"/>
              <w:numPr>
                <w:ilvl w:val="0"/>
                <w:numId w:val="162"/>
              </w:numPr>
              <w:spacing w:before="20" w:after="20"/>
              <w:ind w:left="356"/>
              <w:jc w:val="left"/>
              <w:rPr>
                <w:color w:val="auto"/>
                <w:sz w:val="22"/>
                <w:lang w:eastAsia="fr-FR"/>
              </w:rPr>
            </w:pPr>
            <w:r w:rsidRPr="00116654">
              <w:rPr>
                <w:color w:val="auto"/>
                <w:sz w:val="22"/>
                <w:lang w:eastAsia="fr-FR"/>
              </w:rPr>
              <w:t>Construction d'ouvrage hydraulique</w:t>
            </w:r>
          </w:p>
          <w:p w14:paraId="092150A1" w14:textId="77777777" w:rsidR="00A57A21" w:rsidRPr="00116654" w:rsidRDefault="00A57A21" w:rsidP="00CB7225">
            <w:pPr>
              <w:pStyle w:val="ListParagraph"/>
              <w:numPr>
                <w:ilvl w:val="0"/>
                <w:numId w:val="162"/>
              </w:numPr>
              <w:spacing w:before="20" w:after="20"/>
              <w:ind w:left="356"/>
              <w:jc w:val="left"/>
              <w:rPr>
                <w:color w:val="auto"/>
                <w:sz w:val="22"/>
                <w:lang w:eastAsia="fr-FR"/>
              </w:rPr>
            </w:pPr>
            <w:r w:rsidRPr="00116654">
              <w:rPr>
                <w:color w:val="auto"/>
                <w:sz w:val="22"/>
                <w:lang w:eastAsia="fr-FR"/>
              </w:rPr>
              <w:t>Construction de chaussée en béton sur 3500ml</w:t>
            </w:r>
          </w:p>
          <w:p w14:paraId="5E1EEC34" w14:textId="77777777" w:rsidR="00A57A21" w:rsidRDefault="00A57A21" w:rsidP="00CB7225">
            <w:pPr>
              <w:pStyle w:val="ListParagraph"/>
              <w:numPr>
                <w:ilvl w:val="0"/>
                <w:numId w:val="162"/>
              </w:numPr>
              <w:spacing w:before="20" w:after="20"/>
              <w:ind w:left="356"/>
              <w:jc w:val="left"/>
              <w:rPr>
                <w:color w:val="auto"/>
                <w:sz w:val="22"/>
                <w:lang w:eastAsia="fr-FR"/>
              </w:rPr>
            </w:pPr>
            <w:r w:rsidRPr="00116654">
              <w:rPr>
                <w:color w:val="auto"/>
                <w:sz w:val="22"/>
                <w:lang w:eastAsia="fr-FR"/>
              </w:rPr>
              <w:t>Réparation de chaussée sur 14500ml</w:t>
            </w:r>
          </w:p>
        </w:tc>
      </w:tr>
      <w:tr w:rsidR="00A57A21" w:rsidRPr="00116654" w14:paraId="15239278" w14:textId="77777777" w:rsidTr="00A57A21">
        <w:tc>
          <w:tcPr>
            <w:tcW w:w="448" w:type="pct"/>
          </w:tcPr>
          <w:p w14:paraId="54ED64C8" w14:textId="77777777" w:rsidR="00A57A21" w:rsidRDefault="00A57A21" w:rsidP="00CB7225">
            <w:pPr>
              <w:spacing w:before="20" w:after="20" w:line="240" w:lineRule="auto"/>
              <w:rPr>
                <w:b/>
                <w:bCs/>
                <w:color w:val="auto"/>
                <w:sz w:val="22"/>
              </w:rPr>
            </w:pPr>
            <w:r>
              <w:rPr>
                <w:b/>
                <w:bCs/>
                <w:color w:val="auto"/>
                <w:sz w:val="22"/>
              </w:rPr>
              <w:t>RNS44</w:t>
            </w:r>
          </w:p>
        </w:tc>
        <w:tc>
          <w:tcPr>
            <w:tcW w:w="1382" w:type="pct"/>
          </w:tcPr>
          <w:p w14:paraId="32401DBB" w14:textId="77777777" w:rsidR="00A57A21" w:rsidRPr="00AB2622" w:rsidRDefault="00A57A21" w:rsidP="00CB7225">
            <w:pPr>
              <w:spacing w:before="20" w:after="20" w:line="240" w:lineRule="auto"/>
              <w:rPr>
                <w:b/>
                <w:bCs/>
                <w:color w:val="auto"/>
                <w:sz w:val="22"/>
              </w:rPr>
            </w:pPr>
            <w:r w:rsidRPr="00A10ABC">
              <w:rPr>
                <w:b/>
                <w:bCs/>
                <w:color w:val="auto"/>
                <w:sz w:val="22"/>
              </w:rPr>
              <w:t>PK 141+320 AMBALAVATO</w:t>
            </w:r>
          </w:p>
        </w:tc>
        <w:tc>
          <w:tcPr>
            <w:tcW w:w="1025" w:type="pct"/>
          </w:tcPr>
          <w:p w14:paraId="60C156F0" w14:textId="77777777" w:rsidR="00A57A21" w:rsidRDefault="00A57A21" w:rsidP="00CB7225">
            <w:pPr>
              <w:pStyle w:val="ListParagraph"/>
              <w:numPr>
                <w:ilvl w:val="0"/>
                <w:numId w:val="162"/>
              </w:numPr>
              <w:spacing w:before="20" w:after="20"/>
              <w:ind w:left="365"/>
              <w:rPr>
                <w:color w:val="auto"/>
                <w:sz w:val="22"/>
                <w:lang w:eastAsia="fr-FR"/>
              </w:rPr>
            </w:pPr>
            <w:r>
              <w:rPr>
                <w:color w:val="auto"/>
                <w:sz w:val="22"/>
                <w:lang w:eastAsia="fr-FR"/>
              </w:rPr>
              <w:t>I</w:t>
            </w:r>
            <w:r w:rsidRPr="00A10ABC">
              <w:rPr>
                <w:color w:val="auto"/>
                <w:sz w:val="22"/>
                <w:lang w:eastAsia="fr-FR"/>
              </w:rPr>
              <w:t>nondation</w:t>
            </w:r>
          </w:p>
          <w:p w14:paraId="74312461" w14:textId="77777777" w:rsidR="00A57A21" w:rsidRPr="003617DE" w:rsidRDefault="00A57A21" w:rsidP="00CB7225">
            <w:pPr>
              <w:pStyle w:val="ListParagraph"/>
              <w:numPr>
                <w:ilvl w:val="0"/>
                <w:numId w:val="162"/>
              </w:numPr>
              <w:spacing w:before="20" w:after="20"/>
              <w:ind w:left="365"/>
              <w:rPr>
                <w:color w:val="auto"/>
                <w:sz w:val="22"/>
                <w:lang w:eastAsia="fr-FR"/>
              </w:rPr>
            </w:pPr>
            <w:r w:rsidRPr="00A10ABC">
              <w:rPr>
                <w:color w:val="auto"/>
                <w:sz w:val="22"/>
                <w:lang w:eastAsia="fr-FR"/>
              </w:rPr>
              <w:t>Dégradations généralisées de la chaussée dûe aux inondations et érosions</w:t>
            </w:r>
            <w:r>
              <w:rPr>
                <w:color w:val="auto"/>
                <w:sz w:val="22"/>
                <w:lang w:eastAsia="fr-FR"/>
              </w:rPr>
              <w:t xml:space="preserve"> a</w:t>
            </w:r>
            <w:r w:rsidRPr="003617DE">
              <w:rPr>
                <w:color w:val="auto"/>
                <w:sz w:val="22"/>
                <w:lang w:eastAsia="fr-FR"/>
              </w:rPr>
              <w:t>ccès ouvrages</w:t>
            </w:r>
          </w:p>
        </w:tc>
        <w:tc>
          <w:tcPr>
            <w:tcW w:w="2144" w:type="pct"/>
          </w:tcPr>
          <w:p w14:paraId="1C4D8C5C" w14:textId="77777777" w:rsidR="00A57A21" w:rsidRPr="0025356F" w:rsidRDefault="00A57A21" w:rsidP="00CB7225">
            <w:pPr>
              <w:pStyle w:val="ListParagraph"/>
              <w:numPr>
                <w:ilvl w:val="0"/>
                <w:numId w:val="162"/>
              </w:numPr>
              <w:spacing w:before="20" w:after="20"/>
              <w:ind w:left="356"/>
              <w:jc w:val="left"/>
              <w:rPr>
                <w:color w:val="auto"/>
                <w:sz w:val="22"/>
                <w:lang w:eastAsia="fr-FR"/>
              </w:rPr>
            </w:pPr>
            <w:r w:rsidRPr="0025356F">
              <w:rPr>
                <w:color w:val="auto"/>
                <w:sz w:val="22"/>
                <w:lang w:eastAsia="fr-FR"/>
              </w:rPr>
              <w:t>Construction de radiers alvéolé de 200ml</w:t>
            </w:r>
          </w:p>
          <w:p w14:paraId="660E6748" w14:textId="77777777" w:rsidR="00A57A21" w:rsidRPr="0025356F" w:rsidRDefault="00A57A21" w:rsidP="00CB7225">
            <w:pPr>
              <w:pStyle w:val="ListParagraph"/>
              <w:numPr>
                <w:ilvl w:val="0"/>
                <w:numId w:val="162"/>
              </w:numPr>
              <w:spacing w:before="20" w:after="20"/>
              <w:ind w:left="356"/>
              <w:jc w:val="left"/>
              <w:rPr>
                <w:color w:val="auto"/>
                <w:sz w:val="22"/>
                <w:lang w:eastAsia="fr-FR"/>
              </w:rPr>
            </w:pPr>
            <w:r w:rsidRPr="0025356F">
              <w:rPr>
                <w:color w:val="auto"/>
                <w:sz w:val="22"/>
                <w:lang w:eastAsia="fr-FR"/>
              </w:rPr>
              <w:t>Chaussée béton sur 600ml</w:t>
            </w:r>
          </w:p>
          <w:p w14:paraId="519D2865" w14:textId="77777777" w:rsidR="00A57A21" w:rsidRPr="00116654" w:rsidRDefault="00A57A21" w:rsidP="00CB7225">
            <w:pPr>
              <w:pStyle w:val="ListParagraph"/>
              <w:numPr>
                <w:ilvl w:val="0"/>
                <w:numId w:val="162"/>
              </w:numPr>
              <w:spacing w:before="20" w:after="20"/>
              <w:ind w:left="356"/>
              <w:jc w:val="left"/>
              <w:rPr>
                <w:color w:val="auto"/>
                <w:sz w:val="22"/>
                <w:lang w:eastAsia="fr-FR"/>
              </w:rPr>
            </w:pPr>
            <w:r w:rsidRPr="0025356F">
              <w:rPr>
                <w:color w:val="auto"/>
                <w:sz w:val="22"/>
                <w:lang w:eastAsia="fr-FR"/>
              </w:rPr>
              <w:t>Réparation Chaussée sur 2000ml</w:t>
            </w:r>
          </w:p>
        </w:tc>
      </w:tr>
      <w:tr w:rsidR="00A57A21" w14:paraId="0F34C282" w14:textId="77777777" w:rsidTr="00A57A21">
        <w:tc>
          <w:tcPr>
            <w:tcW w:w="448" w:type="pct"/>
          </w:tcPr>
          <w:p w14:paraId="10B6CF07" w14:textId="77777777" w:rsidR="00A57A21" w:rsidRDefault="00A57A21" w:rsidP="00CB7225">
            <w:pPr>
              <w:spacing w:before="20" w:after="20" w:line="240" w:lineRule="auto"/>
              <w:rPr>
                <w:b/>
                <w:bCs/>
                <w:color w:val="auto"/>
                <w:sz w:val="22"/>
              </w:rPr>
            </w:pPr>
            <w:r>
              <w:rPr>
                <w:b/>
                <w:bCs/>
                <w:color w:val="auto"/>
                <w:sz w:val="22"/>
              </w:rPr>
              <w:t>RNT3A</w:t>
            </w:r>
          </w:p>
        </w:tc>
        <w:tc>
          <w:tcPr>
            <w:tcW w:w="1382" w:type="pct"/>
          </w:tcPr>
          <w:p w14:paraId="5030F351" w14:textId="77777777" w:rsidR="00A57A21" w:rsidRDefault="00A57A21" w:rsidP="00CB7225">
            <w:pPr>
              <w:spacing w:before="20" w:after="20" w:line="240" w:lineRule="auto"/>
              <w:rPr>
                <w:b/>
                <w:bCs/>
                <w:color w:val="auto"/>
                <w:sz w:val="22"/>
              </w:rPr>
            </w:pPr>
            <w:r>
              <w:rPr>
                <w:b/>
                <w:bCs/>
                <w:color w:val="auto"/>
                <w:sz w:val="22"/>
              </w:rPr>
              <w:t>PK55+400 et PK55+700</w:t>
            </w:r>
          </w:p>
        </w:tc>
        <w:tc>
          <w:tcPr>
            <w:tcW w:w="1025" w:type="pct"/>
          </w:tcPr>
          <w:p w14:paraId="00F357FA" w14:textId="77777777" w:rsidR="00A57A21" w:rsidRPr="00926D82" w:rsidRDefault="00A57A21" w:rsidP="00CB7225">
            <w:pPr>
              <w:pStyle w:val="ListParagraph"/>
              <w:numPr>
                <w:ilvl w:val="0"/>
                <w:numId w:val="162"/>
              </w:numPr>
              <w:spacing w:before="20" w:after="20"/>
              <w:ind w:left="365"/>
              <w:rPr>
                <w:color w:val="auto"/>
                <w:sz w:val="22"/>
                <w:lang w:eastAsia="fr-FR"/>
              </w:rPr>
            </w:pPr>
            <w:r w:rsidRPr="00926D82">
              <w:rPr>
                <w:color w:val="auto"/>
                <w:sz w:val="22"/>
                <w:lang w:eastAsia="fr-FR"/>
              </w:rPr>
              <w:t>Formation de brèche</w:t>
            </w:r>
          </w:p>
          <w:p w14:paraId="1282B45E" w14:textId="77777777" w:rsidR="00A57A21" w:rsidRPr="00863C41" w:rsidRDefault="00A57A21" w:rsidP="00CB7225">
            <w:pPr>
              <w:pStyle w:val="ListParagraph"/>
              <w:numPr>
                <w:ilvl w:val="0"/>
                <w:numId w:val="162"/>
              </w:numPr>
              <w:spacing w:before="20" w:after="20"/>
              <w:ind w:left="365"/>
              <w:rPr>
                <w:color w:val="auto"/>
                <w:sz w:val="22"/>
                <w:lang w:eastAsia="fr-FR"/>
              </w:rPr>
            </w:pPr>
            <w:r w:rsidRPr="00926D82">
              <w:rPr>
                <w:color w:val="auto"/>
                <w:sz w:val="22"/>
                <w:lang w:eastAsia="fr-FR"/>
              </w:rPr>
              <w:t>Dégradations généralisées de la chaussée dûe aux inondations et érosions</w:t>
            </w:r>
          </w:p>
        </w:tc>
        <w:tc>
          <w:tcPr>
            <w:tcW w:w="2144" w:type="pct"/>
          </w:tcPr>
          <w:p w14:paraId="3B4E2383" w14:textId="77777777" w:rsidR="00A57A21" w:rsidRPr="00926D82" w:rsidRDefault="00A57A21" w:rsidP="00CB7225">
            <w:pPr>
              <w:pStyle w:val="ListParagraph"/>
              <w:numPr>
                <w:ilvl w:val="0"/>
                <w:numId w:val="162"/>
              </w:numPr>
              <w:spacing w:before="20" w:after="20"/>
              <w:ind w:left="356"/>
              <w:jc w:val="left"/>
              <w:rPr>
                <w:color w:val="auto"/>
                <w:sz w:val="22"/>
                <w:lang w:eastAsia="fr-FR"/>
              </w:rPr>
            </w:pPr>
            <w:r w:rsidRPr="00926D82">
              <w:rPr>
                <w:color w:val="auto"/>
                <w:sz w:val="22"/>
                <w:lang w:eastAsia="fr-FR"/>
              </w:rPr>
              <w:t>Construction d'ouvrage hydraulique</w:t>
            </w:r>
          </w:p>
          <w:p w14:paraId="3FB521C2" w14:textId="77777777" w:rsidR="00A57A21" w:rsidRPr="00926D82" w:rsidRDefault="00A57A21" w:rsidP="00CB7225">
            <w:pPr>
              <w:pStyle w:val="ListParagraph"/>
              <w:numPr>
                <w:ilvl w:val="0"/>
                <w:numId w:val="162"/>
              </w:numPr>
              <w:spacing w:before="20" w:after="20"/>
              <w:ind w:left="356"/>
              <w:jc w:val="left"/>
              <w:rPr>
                <w:color w:val="auto"/>
                <w:sz w:val="22"/>
                <w:lang w:eastAsia="fr-FR"/>
              </w:rPr>
            </w:pPr>
            <w:r>
              <w:rPr>
                <w:color w:val="auto"/>
                <w:sz w:val="22"/>
                <w:lang w:eastAsia="fr-FR"/>
              </w:rPr>
              <w:t>C</w:t>
            </w:r>
            <w:r w:rsidRPr="00926D82">
              <w:rPr>
                <w:color w:val="auto"/>
                <w:sz w:val="22"/>
                <w:lang w:eastAsia="fr-FR"/>
              </w:rPr>
              <w:t>onstruction de chaussée en béton sur 1000ml</w:t>
            </w:r>
          </w:p>
          <w:p w14:paraId="22DCE473" w14:textId="77777777" w:rsidR="00A57A21" w:rsidRDefault="00A57A21" w:rsidP="00CB7225">
            <w:pPr>
              <w:pStyle w:val="ListParagraph"/>
              <w:numPr>
                <w:ilvl w:val="0"/>
                <w:numId w:val="162"/>
              </w:numPr>
              <w:spacing w:before="20" w:after="20"/>
              <w:ind w:left="356"/>
              <w:jc w:val="left"/>
              <w:rPr>
                <w:color w:val="auto"/>
                <w:sz w:val="22"/>
                <w:lang w:eastAsia="fr-FR"/>
              </w:rPr>
            </w:pPr>
            <w:r>
              <w:rPr>
                <w:color w:val="auto"/>
                <w:sz w:val="22"/>
                <w:lang w:eastAsia="fr-FR"/>
              </w:rPr>
              <w:t>R</w:t>
            </w:r>
            <w:r w:rsidRPr="00926D82">
              <w:rPr>
                <w:color w:val="auto"/>
                <w:sz w:val="22"/>
                <w:lang w:eastAsia="fr-FR"/>
              </w:rPr>
              <w:t>éparation de la chaussée sur 2000ml</w:t>
            </w:r>
          </w:p>
        </w:tc>
      </w:tr>
      <w:tr w:rsidR="00A57A21" w:rsidRPr="003617DE" w14:paraId="6942ADEA" w14:textId="77777777" w:rsidTr="00A57A21">
        <w:tc>
          <w:tcPr>
            <w:tcW w:w="448" w:type="pct"/>
          </w:tcPr>
          <w:p w14:paraId="7616A793" w14:textId="77777777" w:rsidR="00A57A21" w:rsidRDefault="00A57A21" w:rsidP="00CB7225">
            <w:pPr>
              <w:spacing w:before="20" w:after="20" w:line="240" w:lineRule="auto"/>
              <w:rPr>
                <w:b/>
                <w:bCs/>
                <w:color w:val="auto"/>
                <w:sz w:val="22"/>
              </w:rPr>
            </w:pPr>
            <w:r>
              <w:rPr>
                <w:b/>
                <w:bCs/>
                <w:color w:val="auto"/>
                <w:sz w:val="22"/>
              </w:rPr>
              <w:t>Toamasina</w:t>
            </w:r>
          </w:p>
        </w:tc>
        <w:tc>
          <w:tcPr>
            <w:tcW w:w="1382" w:type="pct"/>
          </w:tcPr>
          <w:p w14:paraId="5E27B500" w14:textId="77777777" w:rsidR="00A57A21" w:rsidRDefault="00A57A21" w:rsidP="00CB7225">
            <w:pPr>
              <w:spacing w:before="20" w:after="20" w:line="240" w:lineRule="auto"/>
              <w:rPr>
                <w:b/>
                <w:bCs/>
                <w:color w:val="auto"/>
                <w:sz w:val="22"/>
              </w:rPr>
            </w:pPr>
            <w:r>
              <w:rPr>
                <w:b/>
                <w:bCs/>
                <w:color w:val="auto"/>
                <w:sz w:val="22"/>
              </w:rPr>
              <w:t>Boulevard RATSIMILAHO et route en pavé vers Ambila</w:t>
            </w:r>
          </w:p>
        </w:tc>
        <w:tc>
          <w:tcPr>
            <w:tcW w:w="1025" w:type="pct"/>
          </w:tcPr>
          <w:p w14:paraId="3457B1EB" w14:textId="77777777" w:rsidR="00A57A21" w:rsidRDefault="00A57A21" w:rsidP="00CB7225">
            <w:pPr>
              <w:pStyle w:val="ListParagraph"/>
              <w:numPr>
                <w:ilvl w:val="0"/>
                <w:numId w:val="162"/>
              </w:numPr>
              <w:spacing w:before="20" w:after="20"/>
              <w:ind w:left="365"/>
              <w:rPr>
                <w:color w:val="auto"/>
                <w:sz w:val="22"/>
                <w:lang w:eastAsia="fr-FR"/>
              </w:rPr>
            </w:pPr>
            <w:r w:rsidRPr="00883050">
              <w:rPr>
                <w:color w:val="auto"/>
                <w:sz w:val="22"/>
                <w:lang w:eastAsia="fr-FR"/>
              </w:rPr>
              <w:t>Attaque par les vagues du pied de remblai.</w:t>
            </w:r>
          </w:p>
          <w:p w14:paraId="235153F2" w14:textId="77777777" w:rsidR="00A57A21" w:rsidRDefault="00A57A21" w:rsidP="00CB7225">
            <w:pPr>
              <w:pStyle w:val="ListParagraph"/>
              <w:numPr>
                <w:ilvl w:val="0"/>
                <w:numId w:val="162"/>
              </w:numPr>
              <w:spacing w:before="20" w:after="20"/>
              <w:ind w:left="365"/>
              <w:rPr>
                <w:color w:val="auto"/>
                <w:sz w:val="22"/>
                <w:lang w:eastAsia="fr-FR"/>
              </w:rPr>
            </w:pPr>
            <w:r>
              <w:rPr>
                <w:color w:val="auto"/>
                <w:sz w:val="22"/>
                <w:lang w:eastAsia="fr-FR"/>
              </w:rPr>
              <w:t>Ornière profonde</w:t>
            </w:r>
          </w:p>
          <w:p w14:paraId="020E4103" w14:textId="77777777" w:rsidR="00A57A21" w:rsidRPr="00926D82" w:rsidRDefault="00A57A21" w:rsidP="00CB7225">
            <w:pPr>
              <w:pStyle w:val="ListParagraph"/>
              <w:numPr>
                <w:ilvl w:val="0"/>
                <w:numId w:val="162"/>
              </w:numPr>
              <w:spacing w:before="20" w:after="20"/>
              <w:ind w:left="365"/>
              <w:rPr>
                <w:color w:val="auto"/>
                <w:sz w:val="22"/>
                <w:lang w:eastAsia="fr-FR"/>
              </w:rPr>
            </w:pPr>
            <w:r>
              <w:rPr>
                <w:color w:val="auto"/>
                <w:sz w:val="22"/>
                <w:lang w:eastAsia="fr-FR"/>
              </w:rPr>
              <w:t>Présence de stagnation d’eau</w:t>
            </w:r>
          </w:p>
        </w:tc>
        <w:tc>
          <w:tcPr>
            <w:tcW w:w="2144" w:type="pct"/>
          </w:tcPr>
          <w:p w14:paraId="77E0B840" w14:textId="77777777" w:rsidR="00A57A21" w:rsidRPr="005C3E12" w:rsidRDefault="00A57A21" w:rsidP="00CB7225">
            <w:pPr>
              <w:pStyle w:val="ListParagraph"/>
              <w:numPr>
                <w:ilvl w:val="0"/>
                <w:numId w:val="162"/>
              </w:numPr>
              <w:spacing w:before="20" w:after="20"/>
              <w:ind w:left="356"/>
              <w:jc w:val="left"/>
              <w:rPr>
                <w:color w:val="auto"/>
                <w:sz w:val="22"/>
                <w:lang w:eastAsia="fr-FR"/>
              </w:rPr>
            </w:pPr>
            <w:r w:rsidRPr="005C3E12">
              <w:rPr>
                <w:color w:val="auto"/>
                <w:sz w:val="22"/>
                <w:lang w:eastAsia="fr-FR"/>
              </w:rPr>
              <w:t>Construction d'ouvrage de soutènement</w:t>
            </w:r>
          </w:p>
          <w:p w14:paraId="030956E2" w14:textId="77777777" w:rsidR="00A57A21" w:rsidRPr="005C3E12" w:rsidRDefault="00A57A21" w:rsidP="00CB7225">
            <w:pPr>
              <w:pStyle w:val="ListParagraph"/>
              <w:numPr>
                <w:ilvl w:val="0"/>
                <w:numId w:val="162"/>
              </w:numPr>
              <w:spacing w:before="20" w:after="20"/>
              <w:ind w:left="356"/>
              <w:jc w:val="left"/>
              <w:rPr>
                <w:color w:val="auto"/>
                <w:sz w:val="22"/>
                <w:lang w:eastAsia="fr-FR"/>
              </w:rPr>
            </w:pPr>
            <w:r w:rsidRPr="005C3E12">
              <w:rPr>
                <w:color w:val="auto"/>
                <w:sz w:val="22"/>
                <w:lang w:eastAsia="fr-FR"/>
              </w:rPr>
              <w:t>Enrochements</w:t>
            </w:r>
          </w:p>
          <w:p w14:paraId="1856C83D" w14:textId="77777777" w:rsidR="00A57A21" w:rsidRDefault="00A57A21" w:rsidP="00CB7225">
            <w:pPr>
              <w:pStyle w:val="ListParagraph"/>
              <w:numPr>
                <w:ilvl w:val="0"/>
                <w:numId w:val="162"/>
              </w:numPr>
              <w:spacing w:before="20" w:after="20"/>
              <w:ind w:left="356"/>
              <w:jc w:val="left"/>
              <w:rPr>
                <w:color w:val="auto"/>
                <w:sz w:val="22"/>
                <w:lang w:eastAsia="fr-FR"/>
              </w:rPr>
            </w:pPr>
            <w:r w:rsidRPr="005C3E12">
              <w:rPr>
                <w:color w:val="auto"/>
                <w:sz w:val="22"/>
                <w:lang w:eastAsia="fr-FR"/>
              </w:rPr>
              <w:t>Réparation de chaussée</w:t>
            </w:r>
          </w:p>
          <w:p w14:paraId="544C7F1D" w14:textId="77777777" w:rsidR="00A57A21" w:rsidRDefault="00A57A21" w:rsidP="00CB7225">
            <w:pPr>
              <w:pStyle w:val="ListParagraph"/>
              <w:numPr>
                <w:ilvl w:val="0"/>
                <w:numId w:val="162"/>
              </w:numPr>
              <w:spacing w:before="20" w:after="20"/>
              <w:ind w:left="356"/>
              <w:jc w:val="left"/>
              <w:rPr>
                <w:color w:val="auto"/>
                <w:sz w:val="22"/>
                <w:lang w:eastAsia="fr-FR"/>
              </w:rPr>
            </w:pPr>
            <w:r>
              <w:rPr>
                <w:color w:val="auto"/>
                <w:sz w:val="22"/>
                <w:lang w:eastAsia="fr-FR"/>
              </w:rPr>
              <w:t>Restructuration du système d’assainissement</w:t>
            </w:r>
          </w:p>
          <w:p w14:paraId="15B559CC" w14:textId="77777777" w:rsidR="00A57A21" w:rsidRPr="003617DE" w:rsidRDefault="00A57A21" w:rsidP="00CB7225">
            <w:pPr>
              <w:pStyle w:val="ListParagraph"/>
              <w:numPr>
                <w:ilvl w:val="0"/>
                <w:numId w:val="162"/>
              </w:numPr>
              <w:spacing w:before="20" w:after="20"/>
              <w:ind w:left="356"/>
              <w:jc w:val="left"/>
              <w:rPr>
                <w:color w:val="auto"/>
                <w:sz w:val="22"/>
                <w:lang w:eastAsia="fr-FR"/>
              </w:rPr>
            </w:pPr>
            <w:r>
              <w:rPr>
                <w:color w:val="auto"/>
                <w:sz w:val="22"/>
                <w:lang w:eastAsia="fr-FR"/>
              </w:rPr>
              <w:t>Réhabilitation par revêtement de la route</w:t>
            </w:r>
          </w:p>
        </w:tc>
      </w:tr>
    </w:tbl>
    <w:p w14:paraId="32C4C95D" w14:textId="77777777" w:rsidR="00A57A21" w:rsidRDefault="00A57A21" w:rsidP="006A73FC">
      <w:pPr>
        <w:sectPr w:rsidR="00A57A21" w:rsidSect="003617DE">
          <w:pgSz w:w="16840" w:h="11907" w:orient="landscape" w:code="9"/>
          <w:pgMar w:top="1418" w:right="1418" w:bottom="1418" w:left="1418" w:header="709" w:footer="709" w:gutter="0"/>
          <w:cols w:space="708"/>
          <w:docGrid w:linePitch="360"/>
        </w:sectPr>
      </w:pPr>
    </w:p>
    <w:p w14:paraId="124B0F80" w14:textId="3F03F53D" w:rsidR="00575CDF" w:rsidRPr="00C801A6" w:rsidRDefault="00575CDF" w:rsidP="00014BC0">
      <w:pPr>
        <w:pStyle w:val="Heading2"/>
      </w:pPr>
      <w:bookmarkStart w:id="60" w:name="_Toc106320273"/>
      <w:bookmarkStart w:id="61" w:name="_Toc230425985"/>
      <w:r w:rsidRPr="00C801A6">
        <w:lastRenderedPageBreak/>
        <w:t>DESCRIPTION SOMMAIRE DES TRAVAU</w:t>
      </w:r>
      <w:r w:rsidR="00F32D1B" w:rsidRPr="00C801A6">
        <w:t>x</w:t>
      </w:r>
      <w:bookmarkEnd w:id="60"/>
      <w:bookmarkEnd w:id="61"/>
    </w:p>
    <w:p w14:paraId="77C28495" w14:textId="2F2390D4" w:rsidR="005745FE" w:rsidRPr="00C801A6" w:rsidRDefault="005745FE" w:rsidP="00C65572">
      <w:pPr>
        <w:pStyle w:val="Heading3"/>
      </w:pPr>
      <w:bookmarkStart w:id="62" w:name="_Toc230425986"/>
      <w:r>
        <w:t>Description technique des travaux</w:t>
      </w:r>
      <w:bookmarkEnd w:id="62"/>
    </w:p>
    <w:p w14:paraId="513F3D00" w14:textId="7C7CDD0D" w:rsidR="000F1A0F" w:rsidRDefault="000F1A0F" w:rsidP="009C4F72">
      <w:pPr>
        <w:rPr>
          <w:color w:val="auto"/>
        </w:rPr>
      </w:pPr>
      <w:r w:rsidRPr="00C801A6">
        <w:rPr>
          <w:color w:val="auto"/>
        </w:rPr>
        <w:t>L</w:t>
      </w:r>
      <w:r>
        <w:rPr>
          <w:color w:val="auto"/>
        </w:rPr>
        <w:t>es travaux</w:t>
      </w:r>
      <w:r w:rsidRPr="00C801A6">
        <w:rPr>
          <w:color w:val="auto"/>
        </w:rPr>
        <w:t xml:space="preserve"> d’urgence concerne</w:t>
      </w:r>
      <w:r>
        <w:rPr>
          <w:color w:val="auto"/>
        </w:rPr>
        <w:t>nt</w:t>
      </w:r>
      <w:r w:rsidRPr="00C801A6">
        <w:rPr>
          <w:color w:val="auto"/>
        </w:rPr>
        <w:t xml:space="preserve"> les réparations que l’on ne peut anticiper mais qui exigent une intervention immédiate. Les cas les plus fréquents sont les effondrements de buse, les dégradations dues à des inondations et les glissements de terrains qui empêchent toute circulation</w:t>
      </w:r>
    </w:p>
    <w:p w14:paraId="5B8FCD8B" w14:textId="2EBE00F8" w:rsidR="009C4F72" w:rsidRPr="00C801A6" w:rsidRDefault="009C4F72" w:rsidP="009C4F72">
      <w:pPr>
        <w:rPr>
          <w:color w:val="auto"/>
        </w:rPr>
      </w:pPr>
      <w:r w:rsidRPr="00C801A6">
        <w:rPr>
          <w:color w:val="auto"/>
        </w:rPr>
        <w:t xml:space="preserve">Globalement, les types de travaux sont brièvement décrits </w:t>
      </w:r>
      <w:r w:rsidR="008139F0" w:rsidRPr="00C801A6">
        <w:rPr>
          <w:color w:val="auto"/>
        </w:rPr>
        <w:t xml:space="preserve">dans le tableau </w:t>
      </w:r>
      <w:r w:rsidRPr="00C801A6">
        <w:rPr>
          <w:color w:val="auto"/>
        </w:rPr>
        <w:t>ci-après :</w:t>
      </w:r>
    </w:p>
    <w:p w14:paraId="36CD3978" w14:textId="138D3216" w:rsidR="009C4F72" w:rsidRPr="00C801A6" w:rsidRDefault="004B0D7A" w:rsidP="004B0D7A">
      <w:pPr>
        <w:pStyle w:val="Caption"/>
        <w:rPr>
          <w:color w:val="auto"/>
        </w:rPr>
      </w:pPr>
      <w:bookmarkStart w:id="63" w:name="_Toc102451431"/>
      <w:bookmarkStart w:id="64" w:name="_Toc230427725"/>
      <w:r>
        <w:t xml:space="preserve">Tableau </w:t>
      </w:r>
      <w:r w:rsidR="00E44887">
        <w:fldChar w:fldCharType="begin"/>
      </w:r>
      <w:r w:rsidR="00E44887">
        <w:instrText xml:space="preserve"> SEQ Tableau \* ARABIC </w:instrText>
      </w:r>
      <w:r w:rsidR="00E44887">
        <w:fldChar w:fldCharType="separate"/>
      </w:r>
      <w:r w:rsidR="00253F1A">
        <w:rPr>
          <w:noProof/>
        </w:rPr>
        <w:t>5</w:t>
      </w:r>
      <w:r w:rsidR="00E44887">
        <w:rPr>
          <w:noProof/>
        </w:rPr>
        <w:fldChar w:fldCharType="end"/>
      </w:r>
      <w:r w:rsidR="009C4F72" w:rsidRPr="00C801A6">
        <w:rPr>
          <w:rFonts w:hint="eastAsia"/>
          <w:color w:val="auto"/>
        </w:rPr>
        <w:t> </w:t>
      </w:r>
      <w:r w:rsidR="009C4F72" w:rsidRPr="00C801A6">
        <w:rPr>
          <w:color w:val="auto"/>
        </w:rPr>
        <w:t>: Br</w:t>
      </w:r>
      <w:r w:rsidR="009C4F72" w:rsidRPr="00C801A6">
        <w:rPr>
          <w:rFonts w:hint="eastAsia"/>
          <w:color w:val="auto"/>
        </w:rPr>
        <w:t>è</w:t>
      </w:r>
      <w:r w:rsidR="009C4F72" w:rsidRPr="00C801A6">
        <w:rPr>
          <w:color w:val="auto"/>
        </w:rPr>
        <w:t>ve description technique des types de travaux recens</w:t>
      </w:r>
      <w:r w:rsidR="009C4F72" w:rsidRPr="00C801A6">
        <w:rPr>
          <w:rFonts w:hint="eastAsia"/>
          <w:color w:val="auto"/>
        </w:rPr>
        <w:t>é</w:t>
      </w:r>
      <w:r w:rsidR="009C4F72" w:rsidRPr="00C801A6">
        <w:rPr>
          <w:color w:val="auto"/>
        </w:rPr>
        <w:t>s</w:t>
      </w:r>
      <w:bookmarkEnd w:id="63"/>
      <w:bookmarkEnd w:id="64"/>
    </w:p>
    <w:tbl>
      <w:tblPr>
        <w:tblW w:w="9431" w:type="dxa"/>
        <w:tblInd w:w="-147" w:type="dxa"/>
        <w:tblCellMar>
          <w:left w:w="70" w:type="dxa"/>
          <w:right w:w="70" w:type="dxa"/>
        </w:tblCellMar>
        <w:tblLook w:val="04A0" w:firstRow="1" w:lastRow="0" w:firstColumn="1" w:lastColumn="0" w:noHBand="0" w:noVBand="1"/>
      </w:tblPr>
      <w:tblGrid>
        <w:gridCol w:w="3473"/>
        <w:gridCol w:w="5958"/>
      </w:tblGrid>
      <w:tr w:rsidR="00C801A6" w:rsidRPr="00C801A6" w14:paraId="40F0016D" w14:textId="77777777" w:rsidTr="00D35A01">
        <w:trPr>
          <w:trHeight w:val="389"/>
          <w:tblHeader/>
        </w:trPr>
        <w:tc>
          <w:tcPr>
            <w:tcW w:w="3473"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A22809D" w14:textId="77777777" w:rsidR="009C4F72" w:rsidRPr="00C801A6" w:rsidRDefault="009C4F72" w:rsidP="00347FDB">
            <w:pPr>
              <w:spacing w:before="60" w:after="60" w:line="240" w:lineRule="auto"/>
              <w:jc w:val="center"/>
              <w:rPr>
                <w:rFonts w:eastAsia="Times New Roman" w:cs="Times New Roman"/>
                <w:b/>
                <w:bCs/>
                <w:color w:val="auto"/>
                <w:sz w:val="22"/>
                <w:lang w:eastAsia="fr-FR"/>
              </w:rPr>
            </w:pPr>
            <w:r w:rsidRPr="00C801A6">
              <w:rPr>
                <w:rFonts w:eastAsia="Times New Roman" w:cs="Times New Roman"/>
                <w:b/>
                <w:bCs/>
                <w:color w:val="auto"/>
                <w:sz w:val="22"/>
                <w:lang w:eastAsia="fr-FR"/>
              </w:rPr>
              <w:t>Types de travaux</w:t>
            </w:r>
          </w:p>
        </w:tc>
        <w:tc>
          <w:tcPr>
            <w:tcW w:w="5958"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8AD06F1" w14:textId="77777777" w:rsidR="009C4F72" w:rsidRPr="00C801A6" w:rsidRDefault="009C4F72" w:rsidP="00347FDB">
            <w:pPr>
              <w:spacing w:before="60" w:after="60" w:line="240" w:lineRule="auto"/>
              <w:jc w:val="center"/>
              <w:rPr>
                <w:rFonts w:eastAsia="Times New Roman" w:cs="Times New Roman"/>
                <w:b/>
                <w:bCs/>
                <w:color w:val="auto"/>
                <w:sz w:val="22"/>
                <w:lang w:eastAsia="fr-FR"/>
              </w:rPr>
            </w:pPr>
            <w:r w:rsidRPr="00C801A6">
              <w:rPr>
                <w:rFonts w:eastAsia="Times New Roman" w:cs="Times New Roman"/>
                <w:b/>
                <w:bCs/>
                <w:color w:val="auto"/>
                <w:sz w:val="22"/>
                <w:lang w:eastAsia="fr-FR"/>
              </w:rPr>
              <w:t>Opérations</w:t>
            </w:r>
          </w:p>
        </w:tc>
      </w:tr>
      <w:tr w:rsidR="00C801A6" w:rsidRPr="00C801A6" w14:paraId="27C0924F" w14:textId="77777777" w:rsidTr="00D35A01">
        <w:trPr>
          <w:trHeight w:val="2678"/>
        </w:trPr>
        <w:tc>
          <w:tcPr>
            <w:tcW w:w="3473" w:type="dxa"/>
            <w:tcBorders>
              <w:top w:val="single" w:sz="4" w:space="0" w:color="auto"/>
              <w:left w:val="single" w:sz="4" w:space="0" w:color="auto"/>
              <w:bottom w:val="single" w:sz="4" w:space="0" w:color="auto"/>
              <w:right w:val="single" w:sz="4" w:space="0" w:color="auto"/>
            </w:tcBorders>
            <w:shd w:val="clear" w:color="000000" w:fill="FFFFFF"/>
          </w:tcPr>
          <w:p w14:paraId="339230DF" w14:textId="4A37EC41" w:rsidR="009C4F72" w:rsidRPr="00C801A6" w:rsidRDefault="009C4F72" w:rsidP="00347FDB">
            <w:pPr>
              <w:spacing w:before="80" w:after="0" w:line="240" w:lineRule="auto"/>
              <w:jc w:val="left"/>
              <w:rPr>
                <w:rFonts w:eastAsia="Times New Roman" w:cs="Times New Roman"/>
                <w:b/>
                <w:bCs/>
                <w:color w:val="auto"/>
                <w:sz w:val="22"/>
                <w:lang w:eastAsia="fr-FR"/>
              </w:rPr>
            </w:pPr>
            <w:r w:rsidRPr="00C801A6">
              <w:rPr>
                <w:rFonts w:eastAsia="Times New Roman" w:cs="Times New Roman"/>
                <w:b/>
                <w:bCs/>
                <w:color w:val="auto"/>
                <w:sz w:val="22"/>
                <w:lang w:eastAsia="fr-FR"/>
              </w:rPr>
              <w:t>Protection par Gabion</w:t>
            </w:r>
          </w:p>
        </w:tc>
        <w:tc>
          <w:tcPr>
            <w:tcW w:w="5958" w:type="dxa"/>
            <w:tcBorders>
              <w:top w:val="single" w:sz="4" w:space="0" w:color="auto"/>
              <w:left w:val="single" w:sz="4" w:space="0" w:color="auto"/>
              <w:bottom w:val="single" w:sz="4" w:space="0" w:color="auto"/>
              <w:right w:val="single" w:sz="4" w:space="0" w:color="auto"/>
            </w:tcBorders>
            <w:shd w:val="clear" w:color="000000" w:fill="FFFFFF"/>
            <w:hideMark/>
          </w:tcPr>
          <w:p w14:paraId="0A69B53B" w14:textId="77777777" w:rsidR="009C4F72" w:rsidRPr="00C801A6" w:rsidRDefault="009C4F72" w:rsidP="00844538">
            <w:pPr>
              <w:pStyle w:val="ListParagraph"/>
              <w:numPr>
                <w:ilvl w:val="0"/>
                <w:numId w:val="149"/>
              </w:numPr>
              <w:spacing w:before="80" w:after="0"/>
              <w:ind w:left="284" w:hanging="284"/>
              <w:contextualSpacing w:val="0"/>
              <w:jc w:val="left"/>
              <w:rPr>
                <w:rFonts w:eastAsia="Times New Roman" w:cs="Times New Roman"/>
                <w:color w:val="auto"/>
                <w:sz w:val="22"/>
                <w:lang w:eastAsia="fr-FR"/>
              </w:rPr>
            </w:pPr>
            <w:r w:rsidRPr="00C801A6">
              <w:rPr>
                <w:rFonts w:eastAsia="Times New Roman" w:cs="Times New Roman"/>
                <w:color w:val="auto"/>
                <w:sz w:val="22"/>
                <w:lang w:eastAsia="fr-FR"/>
              </w:rPr>
              <w:t>Nettoyage et enlèvement des matériaux non adaptés sur l'ensemble de la zone à traiter</w:t>
            </w:r>
          </w:p>
          <w:p w14:paraId="145A4039" w14:textId="77777777" w:rsidR="009C4F72" w:rsidRPr="00C801A6" w:rsidRDefault="009C4F72" w:rsidP="00844538">
            <w:pPr>
              <w:pStyle w:val="ListParagraph"/>
              <w:numPr>
                <w:ilvl w:val="0"/>
                <w:numId w:val="149"/>
              </w:numPr>
              <w:spacing w:before="80" w:after="0"/>
              <w:ind w:left="284" w:hanging="284"/>
              <w:contextualSpacing w:val="0"/>
              <w:jc w:val="left"/>
              <w:rPr>
                <w:rFonts w:eastAsia="Times New Roman" w:cs="Times New Roman"/>
                <w:color w:val="auto"/>
                <w:sz w:val="22"/>
                <w:lang w:eastAsia="fr-FR"/>
              </w:rPr>
            </w:pPr>
            <w:r w:rsidRPr="00C801A6">
              <w:rPr>
                <w:rFonts w:eastAsia="Times New Roman" w:cs="Times New Roman"/>
                <w:color w:val="auto"/>
                <w:sz w:val="22"/>
                <w:lang w:eastAsia="fr-FR"/>
              </w:rPr>
              <w:t>Exécution de fouille pour fondation (évacuation vers un lieu agréé des produits de fouille non réutilisables)</w:t>
            </w:r>
          </w:p>
          <w:p w14:paraId="655E8F7D" w14:textId="77777777" w:rsidR="009C4F72" w:rsidRPr="00C801A6" w:rsidRDefault="009C4F72" w:rsidP="00844538">
            <w:pPr>
              <w:pStyle w:val="ListParagraph"/>
              <w:numPr>
                <w:ilvl w:val="0"/>
                <w:numId w:val="149"/>
              </w:numPr>
              <w:spacing w:before="80" w:after="0"/>
              <w:ind w:left="284" w:hanging="284"/>
              <w:contextualSpacing w:val="0"/>
              <w:jc w:val="left"/>
              <w:rPr>
                <w:rFonts w:eastAsia="Times New Roman" w:cs="Times New Roman"/>
                <w:color w:val="auto"/>
                <w:sz w:val="22"/>
                <w:lang w:eastAsia="fr-FR"/>
              </w:rPr>
            </w:pPr>
            <w:r w:rsidRPr="00C801A6">
              <w:rPr>
                <w:rFonts w:eastAsia="Times New Roman" w:cs="Times New Roman"/>
                <w:color w:val="auto"/>
                <w:sz w:val="22"/>
                <w:lang w:eastAsia="fr-FR"/>
              </w:rPr>
              <w:t>Préparation du fond de fouille avec compactage</w:t>
            </w:r>
          </w:p>
          <w:p w14:paraId="77B3A4DE" w14:textId="77777777" w:rsidR="009C4F72" w:rsidRPr="00C801A6" w:rsidRDefault="009C4F72" w:rsidP="00844538">
            <w:pPr>
              <w:pStyle w:val="ListParagraph"/>
              <w:numPr>
                <w:ilvl w:val="0"/>
                <w:numId w:val="149"/>
              </w:numPr>
              <w:spacing w:before="80" w:after="0"/>
              <w:ind w:left="284" w:hanging="284"/>
              <w:contextualSpacing w:val="0"/>
              <w:jc w:val="left"/>
              <w:rPr>
                <w:rFonts w:eastAsia="Times New Roman" w:cs="Times New Roman"/>
                <w:color w:val="auto"/>
                <w:sz w:val="22"/>
                <w:lang w:eastAsia="fr-FR"/>
              </w:rPr>
            </w:pPr>
            <w:r w:rsidRPr="00C801A6">
              <w:rPr>
                <w:rFonts w:eastAsia="Times New Roman" w:cs="Times New Roman"/>
                <w:color w:val="auto"/>
                <w:sz w:val="22"/>
                <w:lang w:eastAsia="fr-FR"/>
              </w:rPr>
              <w:t>Mise en place des paniers puis remplissage à la main avec des pierres dures de dimensions variant entre 125 et 250 mm</w:t>
            </w:r>
          </w:p>
          <w:p w14:paraId="41C8DF85" w14:textId="77777777" w:rsidR="009C4F72" w:rsidRPr="00C801A6" w:rsidRDefault="009C4F72" w:rsidP="00844538">
            <w:pPr>
              <w:pStyle w:val="ListParagraph"/>
              <w:numPr>
                <w:ilvl w:val="0"/>
                <w:numId w:val="149"/>
              </w:numPr>
              <w:spacing w:before="80" w:after="0"/>
              <w:ind w:left="284" w:hanging="284"/>
              <w:contextualSpacing w:val="0"/>
              <w:jc w:val="left"/>
              <w:rPr>
                <w:rFonts w:eastAsia="Times New Roman" w:cs="Times New Roman"/>
                <w:color w:val="auto"/>
                <w:sz w:val="22"/>
                <w:lang w:eastAsia="fr-FR"/>
              </w:rPr>
            </w:pPr>
            <w:r w:rsidRPr="00C801A6">
              <w:rPr>
                <w:rFonts w:eastAsia="Times New Roman" w:cs="Times New Roman"/>
                <w:color w:val="auto"/>
                <w:sz w:val="22"/>
                <w:lang w:eastAsia="fr-FR"/>
              </w:rPr>
              <w:t>Mise en place de géotextile entre le gabion et le remblai</w:t>
            </w:r>
          </w:p>
          <w:p w14:paraId="5233C95B" w14:textId="77777777" w:rsidR="009C4F72" w:rsidRPr="00C801A6" w:rsidRDefault="009C4F72" w:rsidP="00844538">
            <w:pPr>
              <w:pStyle w:val="ListParagraph"/>
              <w:numPr>
                <w:ilvl w:val="0"/>
                <w:numId w:val="149"/>
              </w:numPr>
              <w:spacing w:before="80" w:after="0"/>
              <w:ind w:left="284" w:hanging="284"/>
              <w:contextualSpacing w:val="0"/>
              <w:jc w:val="left"/>
              <w:rPr>
                <w:rFonts w:eastAsia="Times New Roman" w:cs="Times New Roman"/>
                <w:color w:val="auto"/>
                <w:sz w:val="22"/>
                <w:lang w:eastAsia="fr-FR"/>
              </w:rPr>
            </w:pPr>
            <w:r w:rsidRPr="00C801A6">
              <w:rPr>
                <w:rFonts w:eastAsia="Times New Roman" w:cs="Times New Roman"/>
                <w:color w:val="auto"/>
                <w:sz w:val="22"/>
                <w:lang w:eastAsia="fr-FR"/>
              </w:rPr>
              <w:t>Mise en place de béton ordinaire sur la surface supérieure</w:t>
            </w:r>
          </w:p>
        </w:tc>
      </w:tr>
      <w:tr w:rsidR="00C801A6" w:rsidRPr="00C801A6" w14:paraId="4BF48E4C" w14:textId="77777777" w:rsidTr="00D35A01">
        <w:trPr>
          <w:trHeight w:val="3385"/>
        </w:trPr>
        <w:tc>
          <w:tcPr>
            <w:tcW w:w="3473" w:type="dxa"/>
            <w:tcBorders>
              <w:top w:val="single" w:sz="4" w:space="0" w:color="auto"/>
              <w:left w:val="single" w:sz="4" w:space="0" w:color="auto"/>
              <w:bottom w:val="single" w:sz="4" w:space="0" w:color="auto"/>
              <w:right w:val="single" w:sz="4" w:space="0" w:color="auto"/>
            </w:tcBorders>
            <w:shd w:val="clear" w:color="000000" w:fill="FFFFFF"/>
          </w:tcPr>
          <w:p w14:paraId="6AB7EE83" w14:textId="5E6F625D" w:rsidR="009C4F72" w:rsidRPr="000F1A0F" w:rsidRDefault="009C4F72" w:rsidP="00347FDB">
            <w:pPr>
              <w:spacing w:before="80" w:after="0" w:line="240" w:lineRule="auto"/>
              <w:jc w:val="left"/>
              <w:rPr>
                <w:rFonts w:eastAsia="Times New Roman" w:cs="Times New Roman"/>
                <w:color w:val="auto"/>
                <w:sz w:val="22"/>
                <w:lang w:eastAsia="fr-FR"/>
              </w:rPr>
            </w:pPr>
            <w:r w:rsidRPr="00C801A6">
              <w:rPr>
                <w:rFonts w:eastAsia="Times New Roman" w:cs="Times New Roman"/>
                <w:b/>
                <w:bCs/>
                <w:color w:val="auto"/>
                <w:sz w:val="22"/>
                <w:lang w:eastAsia="fr-FR"/>
              </w:rPr>
              <w:t>Comblement d’une brèche</w:t>
            </w:r>
          </w:p>
        </w:tc>
        <w:tc>
          <w:tcPr>
            <w:tcW w:w="5958" w:type="dxa"/>
            <w:tcBorders>
              <w:top w:val="single" w:sz="4" w:space="0" w:color="auto"/>
              <w:left w:val="single" w:sz="4" w:space="0" w:color="auto"/>
              <w:bottom w:val="single" w:sz="4" w:space="0" w:color="auto"/>
              <w:right w:val="single" w:sz="4" w:space="0" w:color="auto"/>
            </w:tcBorders>
            <w:shd w:val="clear" w:color="000000" w:fill="FFFFFF"/>
          </w:tcPr>
          <w:p w14:paraId="2D461180" w14:textId="77777777" w:rsidR="009C4F72" w:rsidRPr="00C801A6" w:rsidRDefault="009C4F72" w:rsidP="00844538">
            <w:pPr>
              <w:pStyle w:val="ListParagraph"/>
              <w:numPr>
                <w:ilvl w:val="0"/>
                <w:numId w:val="148"/>
              </w:numPr>
              <w:spacing w:before="80" w:after="0"/>
              <w:ind w:left="284" w:hanging="284"/>
              <w:contextualSpacing w:val="0"/>
              <w:jc w:val="left"/>
              <w:rPr>
                <w:rFonts w:eastAsia="Times New Roman" w:cs="Times New Roman"/>
                <w:color w:val="auto"/>
                <w:sz w:val="22"/>
                <w:lang w:eastAsia="fr-FR"/>
              </w:rPr>
            </w:pPr>
            <w:r w:rsidRPr="00C801A6">
              <w:rPr>
                <w:rFonts w:eastAsia="Times New Roman" w:cs="Times New Roman"/>
                <w:color w:val="auto"/>
                <w:sz w:val="22"/>
                <w:lang w:eastAsia="fr-FR"/>
              </w:rPr>
              <w:t>Mise en place de géotextile, pour empêcher le départ des matériaux fins</w:t>
            </w:r>
          </w:p>
          <w:p w14:paraId="741A2347" w14:textId="77777777" w:rsidR="009C4F72" w:rsidRPr="00C801A6" w:rsidRDefault="009C4F72" w:rsidP="00844538">
            <w:pPr>
              <w:pStyle w:val="ListParagraph"/>
              <w:numPr>
                <w:ilvl w:val="0"/>
                <w:numId w:val="148"/>
              </w:numPr>
              <w:spacing w:before="80" w:after="0"/>
              <w:ind w:left="284" w:hanging="284"/>
              <w:contextualSpacing w:val="0"/>
              <w:jc w:val="left"/>
              <w:rPr>
                <w:rFonts w:eastAsia="Times New Roman" w:cs="Times New Roman"/>
                <w:color w:val="auto"/>
                <w:sz w:val="22"/>
                <w:lang w:eastAsia="fr-FR"/>
              </w:rPr>
            </w:pPr>
            <w:r w:rsidRPr="00C801A6">
              <w:rPr>
                <w:rFonts w:eastAsia="Times New Roman" w:cs="Times New Roman"/>
                <w:color w:val="auto"/>
                <w:sz w:val="22"/>
                <w:lang w:eastAsia="fr-FR"/>
              </w:rPr>
              <w:t>Mise en place d'un système de drain pour évacuer les eaux infiltrées.</w:t>
            </w:r>
          </w:p>
          <w:p w14:paraId="29C85B72" w14:textId="77777777" w:rsidR="009C4F72" w:rsidRPr="00C801A6" w:rsidRDefault="009C4F72" w:rsidP="00844538">
            <w:pPr>
              <w:pStyle w:val="ListParagraph"/>
              <w:numPr>
                <w:ilvl w:val="0"/>
                <w:numId w:val="148"/>
              </w:numPr>
              <w:spacing w:before="80" w:after="0"/>
              <w:ind w:left="284" w:hanging="284"/>
              <w:contextualSpacing w:val="0"/>
              <w:jc w:val="left"/>
              <w:rPr>
                <w:rFonts w:eastAsia="Times New Roman" w:cs="Times New Roman"/>
                <w:color w:val="auto"/>
                <w:sz w:val="22"/>
                <w:lang w:eastAsia="fr-FR"/>
              </w:rPr>
            </w:pPr>
            <w:r w:rsidRPr="00C801A6">
              <w:rPr>
                <w:rFonts w:eastAsia="Times New Roman" w:cs="Times New Roman"/>
                <w:color w:val="auto"/>
                <w:sz w:val="22"/>
                <w:lang w:eastAsia="fr-FR"/>
              </w:rPr>
              <w:t>Remblai et compactage des matériaux par couche de 20cm en respectant le taux de compacité prescrit (Essais Proctor) par les spécifications</w:t>
            </w:r>
          </w:p>
          <w:p w14:paraId="0668F99D" w14:textId="77777777" w:rsidR="009C4F72" w:rsidRPr="00C801A6" w:rsidRDefault="009C4F72" w:rsidP="00844538">
            <w:pPr>
              <w:pStyle w:val="ListParagraph"/>
              <w:numPr>
                <w:ilvl w:val="0"/>
                <w:numId w:val="148"/>
              </w:numPr>
              <w:spacing w:before="80" w:after="0"/>
              <w:ind w:left="284" w:hanging="284"/>
              <w:contextualSpacing w:val="0"/>
              <w:jc w:val="left"/>
              <w:rPr>
                <w:rFonts w:eastAsia="Times New Roman" w:cs="Times New Roman"/>
                <w:color w:val="auto"/>
                <w:sz w:val="22"/>
                <w:lang w:eastAsia="fr-FR"/>
              </w:rPr>
            </w:pPr>
            <w:r w:rsidRPr="00C801A6">
              <w:rPr>
                <w:rFonts w:eastAsia="Times New Roman" w:cs="Times New Roman"/>
                <w:color w:val="auto"/>
                <w:sz w:val="22"/>
                <w:lang w:eastAsia="fr-FR"/>
              </w:rPr>
              <w:t>Mise en œuvre d’une couche de base en GNT 0/31,5 avec compactage</w:t>
            </w:r>
          </w:p>
          <w:p w14:paraId="043C9D4F" w14:textId="77777777" w:rsidR="009C4F72" w:rsidRPr="00C801A6" w:rsidRDefault="009C4F72" w:rsidP="00844538">
            <w:pPr>
              <w:pStyle w:val="ListParagraph"/>
              <w:numPr>
                <w:ilvl w:val="0"/>
                <w:numId w:val="148"/>
              </w:numPr>
              <w:spacing w:before="80" w:after="0"/>
              <w:ind w:left="284" w:hanging="284"/>
              <w:contextualSpacing w:val="0"/>
              <w:jc w:val="left"/>
              <w:rPr>
                <w:rFonts w:eastAsia="Times New Roman" w:cs="Times New Roman"/>
                <w:b/>
                <w:bCs/>
                <w:color w:val="auto"/>
                <w:sz w:val="22"/>
                <w:lang w:eastAsia="fr-FR"/>
              </w:rPr>
            </w:pPr>
            <w:r w:rsidRPr="00C801A6">
              <w:rPr>
                <w:rFonts w:eastAsia="Times New Roman" w:cs="Times New Roman"/>
                <w:color w:val="auto"/>
                <w:sz w:val="22"/>
                <w:lang w:eastAsia="fr-FR"/>
              </w:rPr>
              <w:t>Mise en œuvre de la couche de revêtement (ES, BBSG)</w:t>
            </w:r>
          </w:p>
          <w:p w14:paraId="246B85B1" w14:textId="77777777" w:rsidR="009C4F72" w:rsidRPr="00C801A6" w:rsidRDefault="009C4F72" w:rsidP="00844538">
            <w:pPr>
              <w:pStyle w:val="ListParagraph"/>
              <w:numPr>
                <w:ilvl w:val="0"/>
                <w:numId w:val="148"/>
              </w:numPr>
              <w:spacing w:before="80" w:after="0"/>
              <w:ind w:left="284" w:hanging="284"/>
              <w:contextualSpacing w:val="0"/>
              <w:jc w:val="left"/>
              <w:rPr>
                <w:rFonts w:eastAsia="Times New Roman" w:cs="Times New Roman"/>
                <w:b/>
                <w:bCs/>
                <w:color w:val="auto"/>
                <w:sz w:val="22"/>
                <w:lang w:eastAsia="fr-FR"/>
              </w:rPr>
            </w:pPr>
            <w:r w:rsidRPr="00C801A6">
              <w:rPr>
                <w:rFonts w:eastAsia="Times New Roman" w:cs="Times New Roman"/>
                <w:color w:val="auto"/>
                <w:sz w:val="22"/>
                <w:lang w:eastAsia="fr-FR"/>
              </w:rPr>
              <w:t>Stabilisation des talus (si nécessaire) par des méthodes biologiques (engazonnement et/ou vétiver, autres) et/ou mécaniques (fascines, banquettes, autres) ou mixtes (ex : caissons végétalisés)</w:t>
            </w:r>
          </w:p>
        </w:tc>
      </w:tr>
      <w:tr w:rsidR="00C801A6" w:rsidRPr="00C801A6" w14:paraId="201AAB76" w14:textId="77777777" w:rsidTr="00D35A01">
        <w:trPr>
          <w:trHeight w:val="302"/>
        </w:trPr>
        <w:tc>
          <w:tcPr>
            <w:tcW w:w="3473" w:type="dxa"/>
            <w:tcBorders>
              <w:top w:val="single" w:sz="4" w:space="0" w:color="auto"/>
              <w:left w:val="single" w:sz="4" w:space="0" w:color="auto"/>
              <w:bottom w:val="single" w:sz="4" w:space="0" w:color="auto"/>
              <w:right w:val="single" w:sz="4" w:space="0" w:color="auto"/>
            </w:tcBorders>
            <w:shd w:val="clear" w:color="000000" w:fill="FFFFFF"/>
          </w:tcPr>
          <w:p w14:paraId="0003DFE4" w14:textId="77777777" w:rsidR="009C4F72" w:rsidRPr="00C801A6" w:rsidRDefault="009C4F72" w:rsidP="00347FDB">
            <w:pPr>
              <w:spacing w:before="80" w:after="0" w:line="240" w:lineRule="auto"/>
              <w:jc w:val="left"/>
              <w:rPr>
                <w:rFonts w:eastAsia="Times New Roman" w:cs="Times New Roman"/>
                <w:b/>
                <w:bCs/>
                <w:color w:val="auto"/>
                <w:sz w:val="22"/>
                <w:lang w:eastAsia="fr-FR"/>
              </w:rPr>
            </w:pPr>
            <w:r w:rsidRPr="00C801A6">
              <w:rPr>
                <w:rFonts w:eastAsia="Times New Roman" w:cs="Times New Roman"/>
                <w:b/>
                <w:bCs/>
                <w:color w:val="auto"/>
                <w:sz w:val="22"/>
                <w:lang w:eastAsia="fr-FR"/>
              </w:rPr>
              <w:t>Protection par mur de soutènement</w:t>
            </w:r>
          </w:p>
        </w:tc>
        <w:tc>
          <w:tcPr>
            <w:tcW w:w="5958" w:type="dxa"/>
            <w:tcBorders>
              <w:top w:val="single" w:sz="4" w:space="0" w:color="auto"/>
              <w:left w:val="single" w:sz="4" w:space="0" w:color="auto"/>
              <w:bottom w:val="single" w:sz="4" w:space="0" w:color="auto"/>
              <w:right w:val="single" w:sz="4" w:space="0" w:color="auto"/>
            </w:tcBorders>
            <w:shd w:val="clear" w:color="000000" w:fill="FFFFFF"/>
            <w:hideMark/>
          </w:tcPr>
          <w:p w14:paraId="2FB0DEFB" w14:textId="77777777" w:rsidR="009C4F72" w:rsidRPr="00C801A6" w:rsidRDefault="009C4F72" w:rsidP="00844538">
            <w:pPr>
              <w:pStyle w:val="ListParagraph"/>
              <w:numPr>
                <w:ilvl w:val="0"/>
                <w:numId w:val="147"/>
              </w:numPr>
              <w:spacing w:before="80" w:after="0"/>
              <w:ind w:left="284" w:hanging="284"/>
              <w:contextualSpacing w:val="0"/>
              <w:jc w:val="left"/>
              <w:rPr>
                <w:rFonts w:eastAsia="Times New Roman" w:cs="Times New Roman"/>
                <w:b/>
                <w:bCs/>
                <w:color w:val="auto"/>
                <w:sz w:val="22"/>
                <w:lang w:eastAsia="fr-FR"/>
              </w:rPr>
            </w:pPr>
            <w:r w:rsidRPr="00C801A6">
              <w:rPr>
                <w:rFonts w:eastAsia="Times New Roman" w:cs="Times New Roman"/>
                <w:color w:val="auto"/>
                <w:sz w:val="22"/>
                <w:lang w:eastAsia="fr-FR"/>
              </w:rPr>
              <w:t>Nettoyage et enlèvement des matériaux non adaptés sur l'ensemble de zone à traiter</w:t>
            </w:r>
          </w:p>
          <w:p w14:paraId="2F672305" w14:textId="77777777" w:rsidR="009C4F72" w:rsidRPr="00C801A6" w:rsidRDefault="009C4F72" w:rsidP="00844538">
            <w:pPr>
              <w:pStyle w:val="ListParagraph"/>
              <w:numPr>
                <w:ilvl w:val="0"/>
                <w:numId w:val="147"/>
              </w:numPr>
              <w:spacing w:before="80" w:after="0"/>
              <w:ind w:left="284" w:hanging="284"/>
              <w:contextualSpacing w:val="0"/>
              <w:jc w:val="left"/>
              <w:rPr>
                <w:rFonts w:eastAsia="Times New Roman" w:cs="Times New Roman"/>
                <w:b/>
                <w:bCs/>
                <w:color w:val="auto"/>
                <w:sz w:val="22"/>
                <w:lang w:eastAsia="fr-FR"/>
              </w:rPr>
            </w:pPr>
            <w:r w:rsidRPr="00C801A6">
              <w:rPr>
                <w:rFonts w:eastAsia="Times New Roman" w:cs="Times New Roman"/>
                <w:color w:val="auto"/>
                <w:sz w:val="22"/>
                <w:lang w:eastAsia="fr-FR"/>
              </w:rPr>
              <w:t>Exécution de fouille pour fondation des murs de soutènement (nécessairement évacuation, dans un lieu agrée, des produits de fouille non réutilisables dans les remblais aux abords de l'ouvrage)</w:t>
            </w:r>
          </w:p>
          <w:p w14:paraId="22B74455" w14:textId="77777777" w:rsidR="009C4F72" w:rsidRPr="00C801A6" w:rsidRDefault="009C4F72" w:rsidP="00844538">
            <w:pPr>
              <w:pStyle w:val="ListParagraph"/>
              <w:numPr>
                <w:ilvl w:val="0"/>
                <w:numId w:val="147"/>
              </w:numPr>
              <w:spacing w:before="80" w:after="0"/>
              <w:ind w:left="284" w:hanging="284"/>
              <w:contextualSpacing w:val="0"/>
              <w:jc w:val="left"/>
              <w:rPr>
                <w:rFonts w:eastAsia="Times New Roman" w:cs="Times New Roman"/>
                <w:b/>
                <w:bCs/>
                <w:color w:val="auto"/>
                <w:sz w:val="22"/>
                <w:lang w:eastAsia="fr-FR"/>
              </w:rPr>
            </w:pPr>
            <w:r w:rsidRPr="00C801A6">
              <w:rPr>
                <w:rFonts w:eastAsia="Times New Roman" w:cs="Times New Roman"/>
                <w:color w:val="auto"/>
                <w:sz w:val="22"/>
                <w:lang w:eastAsia="fr-FR"/>
              </w:rPr>
              <w:t>Préparation du fond de fouille (compactage)</w:t>
            </w:r>
          </w:p>
          <w:p w14:paraId="6BC533FA" w14:textId="77777777" w:rsidR="009C4F72" w:rsidRPr="00C801A6" w:rsidRDefault="009C4F72" w:rsidP="00844538">
            <w:pPr>
              <w:pStyle w:val="ListParagraph"/>
              <w:numPr>
                <w:ilvl w:val="0"/>
                <w:numId w:val="147"/>
              </w:numPr>
              <w:spacing w:before="80" w:after="0"/>
              <w:ind w:left="284" w:hanging="284"/>
              <w:contextualSpacing w:val="0"/>
              <w:jc w:val="left"/>
              <w:rPr>
                <w:rFonts w:eastAsia="Times New Roman" w:cs="Times New Roman"/>
                <w:b/>
                <w:bCs/>
                <w:color w:val="auto"/>
                <w:sz w:val="22"/>
                <w:lang w:eastAsia="fr-FR"/>
              </w:rPr>
            </w:pPr>
            <w:r w:rsidRPr="00C801A6">
              <w:rPr>
                <w:rFonts w:eastAsia="Times New Roman" w:cs="Times New Roman"/>
                <w:color w:val="auto"/>
                <w:sz w:val="22"/>
                <w:lang w:eastAsia="fr-FR"/>
              </w:rPr>
              <w:t>Mise en œuvre de la fondation en béton armé de dimension suivant les études</w:t>
            </w:r>
          </w:p>
          <w:p w14:paraId="0767DDC5" w14:textId="77777777" w:rsidR="009C4F72" w:rsidRPr="00C801A6" w:rsidRDefault="009C4F72" w:rsidP="00844538">
            <w:pPr>
              <w:pStyle w:val="ListParagraph"/>
              <w:numPr>
                <w:ilvl w:val="0"/>
                <w:numId w:val="147"/>
              </w:numPr>
              <w:spacing w:before="80" w:after="0"/>
              <w:ind w:left="284" w:hanging="284"/>
              <w:contextualSpacing w:val="0"/>
              <w:jc w:val="left"/>
              <w:rPr>
                <w:rFonts w:eastAsia="Times New Roman" w:cs="Times New Roman"/>
                <w:b/>
                <w:bCs/>
                <w:color w:val="auto"/>
                <w:sz w:val="22"/>
                <w:lang w:eastAsia="fr-FR"/>
              </w:rPr>
            </w:pPr>
            <w:r w:rsidRPr="00C801A6">
              <w:rPr>
                <w:rFonts w:eastAsia="Times New Roman" w:cs="Times New Roman"/>
                <w:color w:val="auto"/>
                <w:sz w:val="22"/>
                <w:lang w:eastAsia="fr-FR"/>
              </w:rPr>
              <w:lastRenderedPageBreak/>
              <w:t>Mise en œuvre de mur de soutènement en maçonnerie de moellons 20x20x20 cm, hourdée au mortier de ciment ou en béton armé</w:t>
            </w:r>
          </w:p>
          <w:p w14:paraId="36B385A4" w14:textId="77777777" w:rsidR="009C4F72" w:rsidRPr="00C801A6" w:rsidRDefault="009C4F72" w:rsidP="00844538">
            <w:pPr>
              <w:pStyle w:val="ListParagraph"/>
              <w:numPr>
                <w:ilvl w:val="0"/>
                <w:numId w:val="147"/>
              </w:numPr>
              <w:spacing w:before="80" w:after="0"/>
              <w:ind w:left="284" w:hanging="284"/>
              <w:contextualSpacing w:val="0"/>
              <w:jc w:val="left"/>
              <w:rPr>
                <w:rFonts w:eastAsia="Times New Roman" w:cs="Times New Roman"/>
                <w:b/>
                <w:bCs/>
                <w:color w:val="auto"/>
                <w:sz w:val="22"/>
                <w:lang w:eastAsia="fr-FR"/>
              </w:rPr>
            </w:pPr>
            <w:r w:rsidRPr="00C801A6">
              <w:rPr>
                <w:rFonts w:eastAsia="Times New Roman" w:cs="Times New Roman"/>
                <w:color w:val="auto"/>
                <w:sz w:val="22"/>
                <w:lang w:eastAsia="fr-FR"/>
              </w:rPr>
              <w:t>Protection par enrochement du pieds du mur de soutènement.</w:t>
            </w:r>
          </w:p>
        </w:tc>
      </w:tr>
      <w:tr w:rsidR="00C801A6" w:rsidRPr="00C801A6" w14:paraId="6A333BD7" w14:textId="77777777" w:rsidTr="00D35A01">
        <w:trPr>
          <w:trHeight w:val="1606"/>
        </w:trPr>
        <w:tc>
          <w:tcPr>
            <w:tcW w:w="3473" w:type="dxa"/>
            <w:tcBorders>
              <w:top w:val="single" w:sz="4" w:space="0" w:color="auto"/>
              <w:left w:val="single" w:sz="4" w:space="0" w:color="auto"/>
              <w:bottom w:val="single" w:sz="4" w:space="0" w:color="auto"/>
              <w:right w:val="single" w:sz="4" w:space="0" w:color="auto"/>
            </w:tcBorders>
            <w:shd w:val="clear" w:color="000000" w:fill="FFFFFF"/>
          </w:tcPr>
          <w:p w14:paraId="3A30A143" w14:textId="77777777" w:rsidR="009C4F72" w:rsidRPr="00C801A6" w:rsidRDefault="009C4F72" w:rsidP="00347FDB">
            <w:pPr>
              <w:spacing w:before="80" w:after="0" w:line="240" w:lineRule="auto"/>
              <w:jc w:val="left"/>
              <w:rPr>
                <w:rFonts w:eastAsia="Times New Roman" w:cs="Times New Roman"/>
                <w:b/>
                <w:bCs/>
                <w:color w:val="auto"/>
                <w:sz w:val="22"/>
                <w:lang w:eastAsia="fr-FR"/>
              </w:rPr>
            </w:pPr>
            <w:r w:rsidRPr="00C801A6">
              <w:rPr>
                <w:rFonts w:eastAsia="Times New Roman" w:cs="Times New Roman"/>
                <w:b/>
                <w:bCs/>
                <w:color w:val="auto"/>
                <w:sz w:val="22"/>
                <w:lang w:eastAsia="fr-FR"/>
              </w:rPr>
              <w:lastRenderedPageBreak/>
              <w:t>Ouvrage</w:t>
            </w:r>
          </w:p>
        </w:tc>
        <w:tc>
          <w:tcPr>
            <w:tcW w:w="5958" w:type="dxa"/>
            <w:tcBorders>
              <w:top w:val="single" w:sz="4" w:space="0" w:color="auto"/>
              <w:left w:val="single" w:sz="4" w:space="0" w:color="auto"/>
              <w:bottom w:val="single" w:sz="4" w:space="0" w:color="auto"/>
              <w:right w:val="single" w:sz="4" w:space="0" w:color="auto"/>
            </w:tcBorders>
            <w:shd w:val="clear" w:color="000000" w:fill="FFFFFF"/>
            <w:hideMark/>
          </w:tcPr>
          <w:p w14:paraId="76A7678B" w14:textId="77777777" w:rsidR="009C4F72" w:rsidRPr="00C801A6" w:rsidRDefault="009C4F72" w:rsidP="00844538">
            <w:pPr>
              <w:pStyle w:val="ListParagraph"/>
              <w:numPr>
                <w:ilvl w:val="0"/>
                <w:numId w:val="150"/>
              </w:numPr>
              <w:spacing w:before="80" w:after="0"/>
              <w:ind w:left="284" w:hanging="284"/>
              <w:contextualSpacing w:val="0"/>
              <w:jc w:val="left"/>
              <w:rPr>
                <w:rFonts w:eastAsia="Times New Roman" w:cs="Times New Roman"/>
                <w:color w:val="auto"/>
                <w:sz w:val="22"/>
                <w:lang w:eastAsia="fr-FR"/>
              </w:rPr>
            </w:pPr>
            <w:r w:rsidRPr="00C801A6">
              <w:rPr>
                <w:rFonts w:eastAsia="Times New Roman" w:cs="Times New Roman"/>
                <w:color w:val="auto"/>
                <w:sz w:val="22"/>
                <w:lang w:eastAsia="fr-FR"/>
              </w:rPr>
              <w:t>Fouille pour fondation d'ouvrage</w:t>
            </w:r>
          </w:p>
          <w:p w14:paraId="0F3C4865" w14:textId="77777777" w:rsidR="009C4F72" w:rsidRPr="00C801A6" w:rsidRDefault="009C4F72" w:rsidP="00844538">
            <w:pPr>
              <w:pStyle w:val="ListParagraph"/>
              <w:numPr>
                <w:ilvl w:val="0"/>
                <w:numId w:val="150"/>
              </w:numPr>
              <w:spacing w:before="80" w:after="0"/>
              <w:ind w:left="284" w:hanging="284"/>
              <w:contextualSpacing w:val="0"/>
              <w:jc w:val="left"/>
              <w:rPr>
                <w:rFonts w:eastAsia="Times New Roman" w:cs="Times New Roman"/>
                <w:color w:val="auto"/>
                <w:sz w:val="22"/>
                <w:lang w:eastAsia="fr-FR"/>
              </w:rPr>
            </w:pPr>
            <w:r w:rsidRPr="00C801A6">
              <w:rPr>
                <w:rFonts w:eastAsia="Times New Roman" w:cs="Times New Roman"/>
                <w:color w:val="auto"/>
                <w:sz w:val="22"/>
                <w:lang w:eastAsia="fr-FR"/>
              </w:rPr>
              <w:t>Exécution des fondations en béton armé (en fonction du type d'ouvrages et du sol de fondation)</w:t>
            </w:r>
          </w:p>
          <w:p w14:paraId="16B1F8C6" w14:textId="77777777" w:rsidR="009C4F72" w:rsidRPr="00C801A6" w:rsidRDefault="009C4F72" w:rsidP="00844538">
            <w:pPr>
              <w:pStyle w:val="ListParagraph"/>
              <w:numPr>
                <w:ilvl w:val="0"/>
                <w:numId w:val="150"/>
              </w:numPr>
              <w:spacing w:before="80" w:after="0"/>
              <w:ind w:left="284" w:hanging="284"/>
              <w:contextualSpacing w:val="0"/>
              <w:jc w:val="left"/>
              <w:rPr>
                <w:rFonts w:eastAsia="Times New Roman" w:cs="Times New Roman"/>
                <w:color w:val="auto"/>
                <w:sz w:val="22"/>
                <w:lang w:eastAsia="fr-FR"/>
              </w:rPr>
            </w:pPr>
            <w:r w:rsidRPr="00C801A6">
              <w:rPr>
                <w:rFonts w:eastAsia="Times New Roman" w:cs="Times New Roman"/>
                <w:color w:val="auto"/>
                <w:sz w:val="22"/>
                <w:lang w:eastAsia="fr-FR"/>
              </w:rPr>
              <w:t>Exécution de la superstructure</w:t>
            </w:r>
          </w:p>
          <w:p w14:paraId="44A1929B" w14:textId="77777777" w:rsidR="009C4F72" w:rsidRPr="00C801A6" w:rsidRDefault="009C4F72" w:rsidP="00844538">
            <w:pPr>
              <w:pStyle w:val="ListParagraph"/>
              <w:numPr>
                <w:ilvl w:val="0"/>
                <w:numId w:val="150"/>
              </w:numPr>
              <w:spacing w:before="80" w:after="0"/>
              <w:ind w:left="284" w:hanging="284"/>
              <w:contextualSpacing w:val="0"/>
              <w:jc w:val="left"/>
              <w:rPr>
                <w:rFonts w:eastAsia="Times New Roman" w:cs="Times New Roman"/>
                <w:color w:val="auto"/>
                <w:sz w:val="22"/>
                <w:lang w:eastAsia="fr-FR"/>
              </w:rPr>
            </w:pPr>
            <w:r w:rsidRPr="00C801A6">
              <w:rPr>
                <w:rFonts w:eastAsia="Times New Roman" w:cs="Times New Roman"/>
                <w:color w:val="auto"/>
                <w:sz w:val="22"/>
                <w:lang w:eastAsia="fr-FR"/>
              </w:rPr>
              <w:t>Mise en œuvre des remblais aux abords</w:t>
            </w:r>
          </w:p>
          <w:p w14:paraId="05821383" w14:textId="77777777" w:rsidR="009C4F72" w:rsidRPr="00C801A6" w:rsidRDefault="009C4F72" w:rsidP="00844538">
            <w:pPr>
              <w:pStyle w:val="ListParagraph"/>
              <w:numPr>
                <w:ilvl w:val="0"/>
                <w:numId w:val="150"/>
              </w:numPr>
              <w:spacing w:before="80" w:after="0"/>
              <w:ind w:left="284" w:hanging="284"/>
              <w:contextualSpacing w:val="0"/>
              <w:jc w:val="left"/>
              <w:rPr>
                <w:rFonts w:eastAsia="Times New Roman" w:cs="Times New Roman"/>
                <w:color w:val="auto"/>
                <w:sz w:val="22"/>
                <w:lang w:eastAsia="fr-FR"/>
              </w:rPr>
            </w:pPr>
            <w:r w:rsidRPr="00C801A6">
              <w:rPr>
                <w:rFonts w:eastAsia="Times New Roman" w:cs="Times New Roman"/>
                <w:color w:val="auto"/>
                <w:sz w:val="22"/>
                <w:lang w:eastAsia="fr-FR"/>
              </w:rPr>
              <w:t>Stabilisation des talus par engazonnement</w:t>
            </w:r>
          </w:p>
        </w:tc>
      </w:tr>
      <w:tr w:rsidR="00C801A6" w:rsidRPr="00C801A6" w14:paraId="3FFE60B0" w14:textId="77777777" w:rsidTr="00D35A01">
        <w:trPr>
          <w:trHeight w:val="835"/>
        </w:trPr>
        <w:tc>
          <w:tcPr>
            <w:tcW w:w="3473" w:type="dxa"/>
            <w:tcBorders>
              <w:top w:val="single" w:sz="4" w:space="0" w:color="auto"/>
              <w:left w:val="single" w:sz="4" w:space="0" w:color="auto"/>
              <w:bottom w:val="single" w:sz="4" w:space="0" w:color="auto"/>
              <w:right w:val="single" w:sz="4" w:space="0" w:color="auto"/>
            </w:tcBorders>
            <w:shd w:val="clear" w:color="000000" w:fill="FFFFFF"/>
          </w:tcPr>
          <w:p w14:paraId="4A8B8A3C" w14:textId="77777777" w:rsidR="009C4F72" w:rsidRPr="00C801A6" w:rsidRDefault="009C4F72" w:rsidP="00347FDB">
            <w:pPr>
              <w:spacing w:before="80" w:after="0" w:line="240" w:lineRule="auto"/>
              <w:jc w:val="left"/>
              <w:rPr>
                <w:rFonts w:eastAsia="Times New Roman" w:cs="Times New Roman"/>
                <w:b/>
                <w:bCs/>
                <w:color w:val="auto"/>
                <w:sz w:val="22"/>
                <w:lang w:eastAsia="fr-FR"/>
              </w:rPr>
            </w:pPr>
            <w:r w:rsidRPr="00C801A6">
              <w:rPr>
                <w:rFonts w:eastAsia="Times New Roman" w:cs="Times New Roman"/>
                <w:b/>
                <w:bCs/>
                <w:color w:val="auto"/>
                <w:sz w:val="22"/>
                <w:lang w:eastAsia="fr-FR"/>
              </w:rPr>
              <w:t>Mise en place d’un nouveau corps de chaussée</w:t>
            </w:r>
          </w:p>
        </w:tc>
        <w:tc>
          <w:tcPr>
            <w:tcW w:w="5958" w:type="dxa"/>
            <w:tcBorders>
              <w:top w:val="single" w:sz="4" w:space="0" w:color="auto"/>
              <w:left w:val="single" w:sz="4" w:space="0" w:color="auto"/>
              <w:bottom w:val="single" w:sz="4" w:space="0" w:color="auto"/>
              <w:right w:val="single" w:sz="4" w:space="0" w:color="auto"/>
            </w:tcBorders>
            <w:shd w:val="clear" w:color="000000" w:fill="FFFFFF"/>
          </w:tcPr>
          <w:p w14:paraId="6643058C" w14:textId="77777777" w:rsidR="009C4F72" w:rsidRPr="00C801A6" w:rsidRDefault="009C4F72" w:rsidP="00844538">
            <w:pPr>
              <w:pStyle w:val="ListParagraph"/>
              <w:numPr>
                <w:ilvl w:val="0"/>
                <w:numId w:val="153"/>
              </w:numPr>
              <w:spacing w:before="80" w:after="0"/>
              <w:ind w:left="284" w:hanging="284"/>
              <w:contextualSpacing w:val="0"/>
              <w:jc w:val="left"/>
              <w:rPr>
                <w:rFonts w:eastAsia="Times New Roman" w:cs="Times New Roman"/>
                <w:color w:val="auto"/>
                <w:sz w:val="22"/>
                <w:lang w:eastAsia="fr-FR"/>
              </w:rPr>
            </w:pPr>
            <w:r w:rsidRPr="00C801A6">
              <w:rPr>
                <w:rFonts w:eastAsia="Times New Roman" w:cs="Times New Roman"/>
                <w:color w:val="auto"/>
                <w:sz w:val="22"/>
                <w:lang w:eastAsia="fr-FR"/>
              </w:rPr>
              <w:t>Décaissement de l'ancien corps de chaussée (si nécessaire)</w:t>
            </w:r>
          </w:p>
          <w:p w14:paraId="3438BF53" w14:textId="77777777" w:rsidR="009C4F72" w:rsidRPr="00C801A6" w:rsidRDefault="009C4F72" w:rsidP="00844538">
            <w:pPr>
              <w:pStyle w:val="ListParagraph"/>
              <w:numPr>
                <w:ilvl w:val="0"/>
                <w:numId w:val="153"/>
              </w:numPr>
              <w:spacing w:before="80" w:after="0"/>
              <w:ind w:left="284" w:hanging="284"/>
              <w:contextualSpacing w:val="0"/>
              <w:jc w:val="left"/>
              <w:rPr>
                <w:rFonts w:eastAsia="Times New Roman" w:cs="Times New Roman"/>
                <w:color w:val="auto"/>
                <w:sz w:val="22"/>
                <w:lang w:eastAsia="fr-FR"/>
              </w:rPr>
            </w:pPr>
            <w:r w:rsidRPr="00C801A6">
              <w:rPr>
                <w:rFonts w:eastAsia="Times New Roman" w:cs="Times New Roman"/>
                <w:color w:val="auto"/>
                <w:sz w:val="22"/>
                <w:lang w:eastAsia="fr-FR"/>
              </w:rPr>
              <w:t>Mise en place de couche de fondation en matériaux sélectionnés, avec arrosage et compactage)</w:t>
            </w:r>
          </w:p>
          <w:p w14:paraId="0010A979" w14:textId="34D86813" w:rsidR="009C4F72" w:rsidRPr="00C801A6" w:rsidRDefault="009C4F72" w:rsidP="00844538">
            <w:pPr>
              <w:pStyle w:val="ListParagraph"/>
              <w:numPr>
                <w:ilvl w:val="0"/>
                <w:numId w:val="153"/>
              </w:numPr>
              <w:spacing w:before="80" w:after="0"/>
              <w:ind w:left="284" w:hanging="284"/>
              <w:contextualSpacing w:val="0"/>
              <w:jc w:val="left"/>
              <w:rPr>
                <w:rFonts w:eastAsia="Times New Roman" w:cs="Times New Roman"/>
                <w:color w:val="auto"/>
                <w:sz w:val="22"/>
                <w:lang w:eastAsia="fr-FR"/>
              </w:rPr>
            </w:pPr>
            <w:r w:rsidRPr="00C801A6">
              <w:rPr>
                <w:rFonts w:eastAsia="Times New Roman" w:cs="Times New Roman"/>
                <w:color w:val="auto"/>
                <w:sz w:val="22"/>
                <w:lang w:eastAsia="fr-FR"/>
              </w:rPr>
              <w:t>Mise</w:t>
            </w:r>
            <w:r w:rsidR="008139F0" w:rsidRPr="00C801A6">
              <w:rPr>
                <w:rFonts w:eastAsia="Times New Roman" w:cs="Times New Roman"/>
                <w:color w:val="auto"/>
                <w:sz w:val="22"/>
                <w:lang w:eastAsia="fr-FR"/>
              </w:rPr>
              <w:t xml:space="preserve"> en</w:t>
            </w:r>
            <w:r w:rsidRPr="00C801A6">
              <w:rPr>
                <w:rFonts w:eastAsia="Times New Roman" w:cs="Times New Roman"/>
                <w:color w:val="auto"/>
                <w:sz w:val="22"/>
                <w:lang w:eastAsia="fr-FR"/>
              </w:rPr>
              <w:t xml:space="preserve"> place de couche de base en GNT avec arrosage et compactage</w:t>
            </w:r>
          </w:p>
          <w:p w14:paraId="1A424407" w14:textId="77777777" w:rsidR="009C4F72" w:rsidRPr="00C801A6" w:rsidRDefault="009C4F72" w:rsidP="00844538">
            <w:pPr>
              <w:pStyle w:val="ListParagraph"/>
              <w:numPr>
                <w:ilvl w:val="0"/>
                <w:numId w:val="153"/>
              </w:numPr>
              <w:spacing w:before="80" w:after="0"/>
              <w:ind w:left="284" w:hanging="284"/>
              <w:contextualSpacing w:val="0"/>
              <w:jc w:val="left"/>
              <w:rPr>
                <w:rFonts w:eastAsia="Times New Roman" w:cs="Times New Roman"/>
                <w:color w:val="auto"/>
                <w:sz w:val="22"/>
                <w:lang w:eastAsia="fr-FR"/>
              </w:rPr>
            </w:pPr>
            <w:r w:rsidRPr="00C801A6">
              <w:rPr>
                <w:rFonts w:eastAsia="Times New Roman" w:cs="Times New Roman"/>
                <w:color w:val="auto"/>
                <w:sz w:val="22"/>
                <w:lang w:eastAsia="fr-FR"/>
              </w:rPr>
              <w:t xml:space="preserve">Mise en place de couche d'imprégnation en émulsion de bitume ou bitume fluidifié </w:t>
            </w:r>
          </w:p>
          <w:p w14:paraId="7B387571" w14:textId="2BA6AD5D" w:rsidR="009C4F72" w:rsidRPr="00C801A6" w:rsidRDefault="009C4F72" w:rsidP="00844538">
            <w:pPr>
              <w:pStyle w:val="ListParagraph"/>
              <w:numPr>
                <w:ilvl w:val="0"/>
                <w:numId w:val="153"/>
              </w:numPr>
              <w:spacing w:before="80" w:after="0"/>
              <w:ind w:left="284" w:hanging="284"/>
              <w:contextualSpacing w:val="0"/>
              <w:jc w:val="left"/>
              <w:rPr>
                <w:rFonts w:eastAsia="Times New Roman" w:cs="Times New Roman"/>
                <w:color w:val="auto"/>
                <w:sz w:val="22"/>
                <w:lang w:eastAsia="fr-FR"/>
              </w:rPr>
            </w:pPr>
            <w:r w:rsidRPr="00C801A6">
              <w:rPr>
                <w:rFonts w:eastAsia="Times New Roman" w:cs="Times New Roman"/>
                <w:color w:val="auto"/>
                <w:sz w:val="22"/>
                <w:lang w:eastAsia="fr-FR"/>
              </w:rPr>
              <w:t>Mise en place des couche</w:t>
            </w:r>
            <w:r w:rsidR="008139F0" w:rsidRPr="00C801A6">
              <w:rPr>
                <w:rFonts w:eastAsia="Times New Roman" w:cs="Times New Roman"/>
                <w:color w:val="auto"/>
                <w:sz w:val="22"/>
                <w:lang w:eastAsia="fr-FR"/>
              </w:rPr>
              <w:t>s</w:t>
            </w:r>
            <w:r w:rsidRPr="00C801A6">
              <w:rPr>
                <w:rFonts w:eastAsia="Times New Roman" w:cs="Times New Roman"/>
                <w:color w:val="auto"/>
                <w:sz w:val="22"/>
                <w:lang w:eastAsia="fr-FR"/>
              </w:rPr>
              <w:t xml:space="preserve"> de revêtement (ES, EDC, BBSG)</w:t>
            </w:r>
          </w:p>
        </w:tc>
      </w:tr>
      <w:tr w:rsidR="00C801A6" w:rsidRPr="00C801A6" w14:paraId="78AB7D6F" w14:textId="77777777" w:rsidTr="00D35A01">
        <w:trPr>
          <w:trHeight w:val="1687"/>
        </w:trPr>
        <w:tc>
          <w:tcPr>
            <w:tcW w:w="3473" w:type="dxa"/>
            <w:tcBorders>
              <w:top w:val="single" w:sz="4" w:space="0" w:color="auto"/>
              <w:left w:val="single" w:sz="4" w:space="0" w:color="auto"/>
              <w:bottom w:val="single" w:sz="4" w:space="0" w:color="auto"/>
              <w:right w:val="single" w:sz="4" w:space="0" w:color="auto"/>
            </w:tcBorders>
            <w:shd w:val="clear" w:color="000000" w:fill="FFFFFF"/>
          </w:tcPr>
          <w:p w14:paraId="1CD01249" w14:textId="77777777" w:rsidR="009C4F72" w:rsidRPr="00C801A6" w:rsidRDefault="009C4F72" w:rsidP="00347FDB">
            <w:pPr>
              <w:spacing w:before="80" w:after="0" w:line="240" w:lineRule="auto"/>
              <w:jc w:val="left"/>
              <w:rPr>
                <w:rFonts w:eastAsia="Times New Roman" w:cs="Times New Roman"/>
                <w:b/>
                <w:bCs/>
                <w:color w:val="auto"/>
                <w:sz w:val="22"/>
                <w:lang w:eastAsia="fr-FR"/>
              </w:rPr>
            </w:pPr>
            <w:r w:rsidRPr="00C801A6">
              <w:rPr>
                <w:rFonts w:eastAsia="Times New Roman" w:cs="Times New Roman"/>
                <w:b/>
                <w:bCs/>
                <w:color w:val="auto"/>
                <w:sz w:val="22"/>
                <w:lang w:eastAsia="fr-FR"/>
              </w:rPr>
              <w:t>Traitement d’un point critique</w:t>
            </w:r>
          </w:p>
        </w:tc>
        <w:tc>
          <w:tcPr>
            <w:tcW w:w="5958" w:type="dxa"/>
            <w:tcBorders>
              <w:top w:val="single" w:sz="4" w:space="0" w:color="auto"/>
              <w:left w:val="single" w:sz="4" w:space="0" w:color="auto"/>
              <w:bottom w:val="single" w:sz="4" w:space="0" w:color="auto"/>
              <w:right w:val="single" w:sz="4" w:space="0" w:color="auto"/>
            </w:tcBorders>
            <w:shd w:val="clear" w:color="000000" w:fill="FFFFFF"/>
          </w:tcPr>
          <w:p w14:paraId="755A45E5" w14:textId="77777777" w:rsidR="009C4F72" w:rsidRPr="00C801A6" w:rsidRDefault="009C4F72" w:rsidP="00844538">
            <w:pPr>
              <w:pStyle w:val="ListParagraph"/>
              <w:numPr>
                <w:ilvl w:val="0"/>
                <w:numId w:val="151"/>
              </w:numPr>
              <w:spacing w:before="80" w:after="0"/>
              <w:ind w:left="284" w:hanging="284"/>
              <w:contextualSpacing w:val="0"/>
              <w:jc w:val="left"/>
              <w:rPr>
                <w:rFonts w:eastAsia="Times New Roman" w:cs="Times New Roman"/>
                <w:color w:val="auto"/>
                <w:sz w:val="22"/>
                <w:lang w:eastAsia="fr-FR"/>
              </w:rPr>
            </w:pPr>
            <w:r w:rsidRPr="00C801A6">
              <w:rPr>
                <w:rFonts w:eastAsia="Times New Roman" w:cs="Times New Roman"/>
                <w:color w:val="auto"/>
                <w:sz w:val="22"/>
                <w:lang w:eastAsia="fr-FR"/>
              </w:rPr>
              <w:t>Décaissement de l'ancienne structure de chaussée</w:t>
            </w:r>
          </w:p>
          <w:p w14:paraId="2338580E" w14:textId="5E9DBA4E" w:rsidR="009C4F72" w:rsidRPr="00C801A6" w:rsidRDefault="009C4F72" w:rsidP="00844538">
            <w:pPr>
              <w:pStyle w:val="ListParagraph"/>
              <w:numPr>
                <w:ilvl w:val="0"/>
                <w:numId w:val="151"/>
              </w:numPr>
              <w:spacing w:before="80" w:after="0"/>
              <w:ind w:left="284" w:hanging="284"/>
              <w:contextualSpacing w:val="0"/>
              <w:jc w:val="left"/>
              <w:rPr>
                <w:rFonts w:eastAsia="Times New Roman" w:cs="Times New Roman"/>
                <w:color w:val="auto"/>
                <w:sz w:val="22"/>
                <w:lang w:eastAsia="fr-FR"/>
              </w:rPr>
            </w:pPr>
            <w:r w:rsidRPr="00C801A6">
              <w:rPr>
                <w:rFonts w:eastAsia="Times New Roman" w:cs="Times New Roman"/>
                <w:color w:val="auto"/>
                <w:sz w:val="22"/>
                <w:lang w:eastAsia="fr-FR"/>
              </w:rPr>
              <w:t>Mise en place des matériaux adaptés (géotextile, sable-ciment, grave non traité</w:t>
            </w:r>
            <w:r w:rsidR="008139F0" w:rsidRPr="00C801A6">
              <w:rPr>
                <w:rFonts w:eastAsia="Times New Roman" w:cs="Times New Roman"/>
                <w:color w:val="auto"/>
                <w:sz w:val="22"/>
                <w:lang w:eastAsia="fr-FR"/>
              </w:rPr>
              <w:t>e</w:t>
            </w:r>
            <w:r w:rsidRPr="00C801A6">
              <w:rPr>
                <w:rFonts w:eastAsia="Times New Roman" w:cs="Times New Roman"/>
                <w:color w:val="auto"/>
                <w:sz w:val="22"/>
                <w:lang w:eastAsia="fr-FR"/>
              </w:rPr>
              <w:t>)</w:t>
            </w:r>
          </w:p>
          <w:p w14:paraId="4396E049" w14:textId="77777777" w:rsidR="009C4F72" w:rsidRPr="00C801A6" w:rsidRDefault="009C4F72" w:rsidP="00844538">
            <w:pPr>
              <w:pStyle w:val="ListParagraph"/>
              <w:numPr>
                <w:ilvl w:val="0"/>
                <w:numId w:val="151"/>
              </w:numPr>
              <w:spacing w:before="80" w:after="0"/>
              <w:ind w:left="284" w:hanging="284"/>
              <w:contextualSpacing w:val="0"/>
              <w:jc w:val="left"/>
              <w:rPr>
                <w:rFonts w:eastAsia="Times New Roman" w:cs="Times New Roman"/>
                <w:color w:val="auto"/>
                <w:sz w:val="22"/>
                <w:lang w:eastAsia="fr-FR"/>
              </w:rPr>
            </w:pPr>
            <w:r w:rsidRPr="00C801A6">
              <w:rPr>
                <w:rFonts w:eastAsia="Times New Roman" w:cs="Times New Roman"/>
                <w:color w:val="auto"/>
                <w:sz w:val="22"/>
                <w:lang w:eastAsia="fr-FR"/>
              </w:rPr>
              <w:t>Aménagement du système d'assainissement</w:t>
            </w:r>
          </w:p>
          <w:p w14:paraId="0E272A23" w14:textId="77777777" w:rsidR="009C4F72" w:rsidRPr="00C801A6" w:rsidRDefault="009C4F72" w:rsidP="00844538">
            <w:pPr>
              <w:pStyle w:val="ListParagraph"/>
              <w:numPr>
                <w:ilvl w:val="0"/>
                <w:numId w:val="151"/>
              </w:numPr>
              <w:spacing w:before="80" w:after="0"/>
              <w:ind w:left="284" w:hanging="284"/>
              <w:contextualSpacing w:val="0"/>
              <w:jc w:val="left"/>
              <w:rPr>
                <w:rFonts w:eastAsia="Times New Roman" w:cs="Times New Roman"/>
                <w:color w:val="auto"/>
                <w:sz w:val="22"/>
                <w:lang w:eastAsia="fr-FR"/>
              </w:rPr>
            </w:pPr>
            <w:r w:rsidRPr="00C801A6">
              <w:rPr>
                <w:rFonts w:eastAsia="Times New Roman" w:cs="Times New Roman"/>
                <w:color w:val="auto"/>
                <w:sz w:val="22"/>
                <w:lang w:eastAsia="fr-FR"/>
              </w:rPr>
              <w:t>Mise en place de la couche de base</w:t>
            </w:r>
          </w:p>
          <w:p w14:paraId="0F883D7C" w14:textId="77777777" w:rsidR="009C4F72" w:rsidRPr="00C801A6" w:rsidRDefault="009C4F72" w:rsidP="00844538">
            <w:pPr>
              <w:pStyle w:val="ListParagraph"/>
              <w:numPr>
                <w:ilvl w:val="0"/>
                <w:numId w:val="151"/>
              </w:numPr>
              <w:spacing w:before="80" w:after="0"/>
              <w:ind w:left="284" w:hanging="284"/>
              <w:contextualSpacing w:val="0"/>
              <w:jc w:val="left"/>
              <w:rPr>
                <w:rFonts w:eastAsia="Times New Roman" w:cs="Times New Roman"/>
                <w:b/>
                <w:bCs/>
                <w:color w:val="auto"/>
                <w:sz w:val="22"/>
                <w:lang w:eastAsia="fr-FR"/>
              </w:rPr>
            </w:pPr>
            <w:r w:rsidRPr="00C801A6">
              <w:rPr>
                <w:rFonts w:eastAsia="Times New Roman" w:cs="Times New Roman"/>
                <w:color w:val="auto"/>
                <w:sz w:val="22"/>
                <w:lang w:eastAsia="fr-FR"/>
              </w:rPr>
              <w:t>Mise en place de la couche de revêtement</w:t>
            </w:r>
          </w:p>
        </w:tc>
      </w:tr>
      <w:tr w:rsidR="00C801A6" w:rsidRPr="00C801A6" w14:paraId="6B2C14C1" w14:textId="77777777" w:rsidTr="00D35A01">
        <w:trPr>
          <w:trHeight w:val="1972"/>
        </w:trPr>
        <w:tc>
          <w:tcPr>
            <w:tcW w:w="3473" w:type="dxa"/>
            <w:tcBorders>
              <w:top w:val="single" w:sz="4" w:space="0" w:color="auto"/>
              <w:left w:val="single" w:sz="4" w:space="0" w:color="auto"/>
              <w:bottom w:val="single" w:sz="4" w:space="0" w:color="auto"/>
              <w:right w:val="single" w:sz="4" w:space="0" w:color="auto"/>
            </w:tcBorders>
            <w:shd w:val="clear" w:color="000000" w:fill="FFFFFF"/>
          </w:tcPr>
          <w:p w14:paraId="0E087A9F" w14:textId="77777777" w:rsidR="009C4F72" w:rsidRPr="00C801A6" w:rsidRDefault="009C4F72" w:rsidP="00347FDB">
            <w:pPr>
              <w:spacing w:before="80" w:after="0" w:line="240" w:lineRule="auto"/>
              <w:jc w:val="left"/>
              <w:rPr>
                <w:rFonts w:eastAsia="Times New Roman" w:cs="Times New Roman"/>
                <w:b/>
                <w:bCs/>
                <w:color w:val="auto"/>
                <w:sz w:val="22"/>
                <w:lang w:eastAsia="fr-FR"/>
              </w:rPr>
            </w:pPr>
            <w:r w:rsidRPr="00C801A6">
              <w:rPr>
                <w:rFonts w:eastAsia="Times New Roman" w:cs="Times New Roman"/>
                <w:b/>
                <w:bCs/>
                <w:color w:val="auto"/>
                <w:sz w:val="22"/>
                <w:lang w:eastAsia="fr-FR"/>
              </w:rPr>
              <w:t>Construction d’un radier</w:t>
            </w:r>
          </w:p>
        </w:tc>
        <w:tc>
          <w:tcPr>
            <w:tcW w:w="5958" w:type="dxa"/>
            <w:tcBorders>
              <w:top w:val="single" w:sz="4" w:space="0" w:color="auto"/>
              <w:left w:val="single" w:sz="4" w:space="0" w:color="auto"/>
              <w:bottom w:val="single" w:sz="4" w:space="0" w:color="auto"/>
              <w:right w:val="single" w:sz="4" w:space="0" w:color="auto"/>
            </w:tcBorders>
            <w:shd w:val="clear" w:color="000000" w:fill="FFFFFF"/>
            <w:hideMark/>
          </w:tcPr>
          <w:p w14:paraId="7654EFA3" w14:textId="77777777" w:rsidR="009C4F72" w:rsidRPr="00C801A6" w:rsidRDefault="009C4F72" w:rsidP="00844538">
            <w:pPr>
              <w:pStyle w:val="ListParagraph"/>
              <w:numPr>
                <w:ilvl w:val="0"/>
                <w:numId w:val="152"/>
              </w:numPr>
              <w:spacing w:before="80" w:after="0"/>
              <w:ind w:left="284" w:hanging="284"/>
              <w:contextualSpacing w:val="0"/>
              <w:jc w:val="left"/>
              <w:rPr>
                <w:rFonts w:eastAsia="Times New Roman" w:cs="Times New Roman"/>
                <w:b/>
                <w:bCs/>
                <w:color w:val="auto"/>
                <w:sz w:val="22"/>
                <w:lang w:eastAsia="fr-FR"/>
              </w:rPr>
            </w:pPr>
            <w:r w:rsidRPr="00C801A6">
              <w:rPr>
                <w:rFonts w:eastAsia="Times New Roman" w:cs="Times New Roman"/>
                <w:color w:val="auto"/>
                <w:sz w:val="22"/>
                <w:lang w:eastAsia="fr-FR"/>
              </w:rPr>
              <w:t>Fouille pour fondation de l'ouvrage</w:t>
            </w:r>
          </w:p>
          <w:p w14:paraId="337A442A" w14:textId="77777777" w:rsidR="009C4F72" w:rsidRPr="00C801A6" w:rsidRDefault="009C4F72" w:rsidP="00844538">
            <w:pPr>
              <w:pStyle w:val="ListParagraph"/>
              <w:numPr>
                <w:ilvl w:val="0"/>
                <w:numId w:val="152"/>
              </w:numPr>
              <w:spacing w:before="80" w:after="0"/>
              <w:ind w:left="284" w:hanging="284"/>
              <w:contextualSpacing w:val="0"/>
              <w:jc w:val="left"/>
              <w:rPr>
                <w:rFonts w:eastAsia="Times New Roman" w:cs="Times New Roman"/>
                <w:b/>
                <w:bCs/>
                <w:color w:val="auto"/>
                <w:sz w:val="22"/>
                <w:lang w:eastAsia="fr-FR"/>
              </w:rPr>
            </w:pPr>
            <w:r w:rsidRPr="00C801A6">
              <w:rPr>
                <w:rFonts w:eastAsia="Times New Roman" w:cs="Times New Roman"/>
                <w:color w:val="auto"/>
                <w:sz w:val="22"/>
                <w:lang w:eastAsia="fr-FR"/>
              </w:rPr>
              <w:t>Exécution des fondations en béton armé en fonction du type d'ouvrages et du sol de fondation : semelles, puits et pieux</w:t>
            </w:r>
          </w:p>
          <w:p w14:paraId="7495D426" w14:textId="77777777" w:rsidR="009C4F72" w:rsidRPr="00C801A6" w:rsidRDefault="009C4F72" w:rsidP="00844538">
            <w:pPr>
              <w:pStyle w:val="ListParagraph"/>
              <w:numPr>
                <w:ilvl w:val="0"/>
                <w:numId w:val="152"/>
              </w:numPr>
              <w:spacing w:before="80" w:after="0"/>
              <w:ind w:left="284" w:hanging="284"/>
              <w:contextualSpacing w:val="0"/>
              <w:jc w:val="left"/>
              <w:rPr>
                <w:rFonts w:eastAsia="Times New Roman" w:cs="Times New Roman"/>
                <w:b/>
                <w:bCs/>
                <w:color w:val="auto"/>
                <w:sz w:val="22"/>
                <w:lang w:eastAsia="fr-FR"/>
              </w:rPr>
            </w:pPr>
            <w:r w:rsidRPr="00C801A6">
              <w:rPr>
                <w:rFonts w:eastAsia="Times New Roman" w:cs="Times New Roman"/>
                <w:color w:val="auto"/>
                <w:sz w:val="22"/>
                <w:lang w:eastAsia="fr-FR"/>
              </w:rPr>
              <w:t>Exécution de la superstructure</w:t>
            </w:r>
          </w:p>
          <w:p w14:paraId="32F8AE4A" w14:textId="77777777" w:rsidR="009C4F72" w:rsidRPr="00C801A6" w:rsidRDefault="009C4F72" w:rsidP="00844538">
            <w:pPr>
              <w:pStyle w:val="ListParagraph"/>
              <w:numPr>
                <w:ilvl w:val="0"/>
                <w:numId w:val="152"/>
              </w:numPr>
              <w:spacing w:before="80" w:after="0"/>
              <w:ind w:left="284" w:hanging="284"/>
              <w:contextualSpacing w:val="0"/>
              <w:jc w:val="left"/>
              <w:rPr>
                <w:rFonts w:eastAsia="Times New Roman" w:cs="Times New Roman"/>
                <w:b/>
                <w:bCs/>
                <w:color w:val="auto"/>
                <w:sz w:val="22"/>
                <w:lang w:eastAsia="fr-FR"/>
              </w:rPr>
            </w:pPr>
            <w:r w:rsidRPr="00C801A6">
              <w:rPr>
                <w:rFonts w:eastAsia="Times New Roman" w:cs="Times New Roman"/>
                <w:color w:val="auto"/>
                <w:sz w:val="22"/>
                <w:lang w:eastAsia="fr-FR"/>
              </w:rPr>
              <w:t>Mise en œuvre de remblais aux abords</w:t>
            </w:r>
          </w:p>
          <w:p w14:paraId="094329B9" w14:textId="77777777" w:rsidR="009C4F72" w:rsidRPr="00C801A6" w:rsidRDefault="009C4F72" w:rsidP="00844538">
            <w:pPr>
              <w:pStyle w:val="ListParagraph"/>
              <w:numPr>
                <w:ilvl w:val="0"/>
                <w:numId w:val="152"/>
              </w:numPr>
              <w:spacing w:before="80" w:after="0"/>
              <w:ind w:left="284" w:hanging="284"/>
              <w:contextualSpacing w:val="0"/>
              <w:jc w:val="left"/>
              <w:rPr>
                <w:rFonts w:eastAsia="Times New Roman" w:cs="Times New Roman"/>
                <w:b/>
                <w:bCs/>
                <w:color w:val="auto"/>
                <w:sz w:val="22"/>
                <w:lang w:eastAsia="fr-FR"/>
              </w:rPr>
            </w:pPr>
            <w:r w:rsidRPr="00C801A6">
              <w:rPr>
                <w:rFonts w:eastAsia="Times New Roman" w:cs="Times New Roman"/>
                <w:color w:val="auto"/>
                <w:sz w:val="22"/>
                <w:lang w:eastAsia="fr-FR"/>
              </w:rPr>
              <w:t>Stabilisation des talus par engazonnement</w:t>
            </w:r>
          </w:p>
          <w:p w14:paraId="70A453B4" w14:textId="5C3296AA" w:rsidR="009C4F72" w:rsidRPr="00C801A6" w:rsidRDefault="009C4F72" w:rsidP="00844538">
            <w:pPr>
              <w:pStyle w:val="ListParagraph"/>
              <w:numPr>
                <w:ilvl w:val="0"/>
                <w:numId w:val="152"/>
              </w:numPr>
              <w:spacing w:before="80" w:after="0"/>
              <w:ind w:left="284" w:hanging="284"/>
              <w:contextualSpacing w:val="0"/>
              <w:jc w:val="left"/>
              <w:rPr>
                <w:rFonts w:eastAsia="Times New Roman" w:cs="Times New Roman"/>
                <w:b/>
                <w:bCs/>
                <w:color w:val="auto"/>
                <w:sz w:val="22"/>
                <w:lang w:eastAsia="fr-FR"/>
              </w:rPr>
            </w:pPr>
            <w:r w:rsidRPr="00C801A6">
              <w:rPr>
                <w:rFonts w:eastAsia="Times New Roman" w:cs="Times New Roman"/>
                <w:color w:val="auto"/>
                <w:sz w:val="22"/>
                <w:lang w:eastAsia="fr-FR"/>
              </w:rPr>
              <w:t xml:space="preserve">Enrochement en </w:t>
            </w:r>
            <w:r w:rsidR="008139F0" w:rsidRPr="00C801A6">
              <w:rPr>
                <w:rFonts w:eastAsia="Times New Roman" w:cs="Times New Roman"/>
                <w:color w:val="auto"/>
                <w:sz w:val="22"/>
                <w:lang w:eastAsia="fr-FR"/>
              </w:rPr>
              <w:t>a</w:t>
            </w:r>
            <w:r w:rsidRPr="00C801A6">
              <w:rPr>
                <w:rFonts w:eastAsia="Times New Roman" w:cs="Times New Roman"/>
                <w:color w:val="auto"/>
                <w:sz w:val="22"/>
                <w:lang w:eastAsia="fr-FR"/>
              </w:rPr>
              <w:t>mont et en aval</w:t>
            </w:r>
          </w:p>
        </w:tc>
      </w:tr>
      <w:tr w:rsidR="00C801A6" w:rsidRPr="00C801A6" w14:paraId="09F21D0B" w14:textId="77777777" w:rsidTr="00D35A01">
        <w:trPr>
          <w:trHeight w:val="541"/>
        </w:trPr>
        <w:tc>
          <w:tcPr>
            <w:tcW w:w="3473" w:type="dxa"/>
            <w:tcBorders>
              <w:top w:val="single" w:sz="4" w:space="0" w:color="auto"/>
              <w:left w:val="single" w:sz="4" w:space="0" w:color="auto"/>
              <w:bottom w:val="single" w:sz="4" w:space="0" w:color="auto"/>
              <w:right w:val="single" w:sz="4" w:space="0" w:color="auto"/>
            </w:tcBorders>
            <w:shd w:val="clear" w:color="000000" w:fill="FFFFFF"/>
          </w:tcPr>
          <w:p w14:paraId="15250D67" w14:textId="77777777" w:rsidR="009C4F72" w:rsidRPr="00C801A6" w:rsidRDefault="009C4F72" w:rsidP="00347FDB">
            <w:pPr>
              <w:spacing w:before="80" w:after="0" w:line="240" w:lineRule="auto"/>
              <w:jc w:val="left"/>
              <w:rPr>
                <w:rFonts w:eastAsia="Times New Roman" w:cs="Times New Roman"/>
                <w:b/>
                <w:bCs/>
                <w:color w:val="auto"/>
                <w:sz w:val="22"/>
                <w:lang w:eastAsia="fr-FR"/>
              </w:rPr>
            </w:pPr>
            <w:r w:rsidRPr="00C801A6">
              <w:rPr>
                <w:rFonts w:eastAsia="Times New Roman" w:cs="Times New Roman"/>
                <w:b/>
                <w:bCs/>
                <w:color w:val="auto"/>
                <w:sz w:val="22"/>
                <w:lang w:eastAsia="fr-FR"/>
              </w:rPr>
              <w:t>Travaux de construction d’un ouvrage : dalot simple, dalots multiples, autres</w:t>
            </w:r>
          </w:p>
        </w:tc>
        <w:tc>
          <w:tcPr>
            <w:tcW w:w="5958" w:type="dxa"/>
            <w:tcBorders>
              <w:top w:val="single" w:sz="4" w:space="0" w:color="auto"/>
              <w:left w:val="single" w:sz="4" w:space="0" w:color="auto"/>
              <w:bottom w:val="single" w:sz="4" w:space="0" w:color="auto"/>
              <w:right w:val="single" w:sz="4" w:space="0" w:color="auto"/>
            </w:tcBorders>
            <w:shd w:val="clear" w:color="000000" w:fill="FFFFFF"/>
            <w:hideMark/>
          </w:tcPr>
          <w:p w14:paraId="497FE170" w14:textId="77777777" w:rsidR="009C4F72" w:rsidRPr="00C801A6" w:rsidRDefault="009C4F72" w:rsidP="00844538">
            <w:pPr>
              <w:pStyle w:val="ListParagraph"/>
              <w:numPr>
                <w:ilvl w:val="0"/>
                <w:numId w:val="154"/>
              </w:numPr>
              <w:spacing w:before="80" w:after="0"/>
              <w:ind w:left="284" w:hanging="284"/>
              <w:contextualSpacing w:val="0"/>
              <w:jc w:val="left"/>
              <w:rPr>
                <w:rFonts w:eastAsia="Times New Roman" w:cs="Times New Roman"/>
                <w:b/>
                <w:bCs/>
                <w:color w:val="auto"/>
                <w:sz w:val="22"/>
                <w:lang w:eastAsia="fr-FR"/>
              </w:rPr>
            </w:pPr>
            <w:r w:rsidRPr="00C801A6">
              <w:rPr>
                <w:rFonts w:eastAsia="Times New Roman" w:cs="Times New Roman"/>
                <w:color w:val="auto"/>
                <w:sz w:val="22"/>
                <w:lang w:eastAsia="fr-FR"/>
              </w:rPr>
              <w:t xml:space="preserve">Fouille pour fondation de l'ouvrage </w:t>
            </w:r>
          </w:p>
          <w:p w14:paraId="49F8684B" w14:textId="77777777" w:rsidR="009C4F72" w:rsidRPr="00C801A6" w:rsidRDefault="009C4F72" w:rsidP="00844538">
            <w:pPr>
              <w:pStyle w:val="ListParagraph"/>
              <w:numPr>
                <w:ilvl w:val="0"/>
                <w:numId w:val="154"/>
              </w:numPr>
              <w:spacing w:before="80" w:after="0"/>
              <w:ind w:left="284" w:hanging="284"/>
              <w:contextualSpacing w:val="0"/>
              <w:jc w:val="left"/>
              <w:rPr>
                <w:rFonts w:eastAsia="Times New Roman" w:cs="Times New Roman"/>
                <w:b/>
                <w:bCs/>
                <w:color w:val="auto"/>
                <w:sz w:val="22"/>
                <w:lang w:eastAsia="fr-FR"/>
              </w:rPr>
            </w:pPr>
            <w:r w:rsidRPr="00C801A6">
              <w:rPr>
                <w:rFonts w:eastAsia="Times New Roman" w:cs="Times New Roman"/>
                <w:color w:val="auto"/>
                <w:sz w:val="22"/>
                <w:lang w:eastAsia="fr-FR"/>
              </w:rPr>
              <w:t xml:space="preserve">Exécution des fondations en béton armé en fonction du type d'ouvrages et du sol de fondation : semelles, puits et pieux </w:t>
            </w:r>
          </w:p>
          <w:p w14:paraId="59C5E095" w14:textId="77777777" w:rsidR="009C4F72" w:rsidRPr="00C801A6" w:rsidRDefault="009C4F72" w:rsidP="00844538">
            <w:pPr>
              <w:pStyle w:val="ListParagraph"/>
              <w:numPr>
                <w:ilvl w:val="0"/>
                <w:numId w:val="154"/>
              </w:numPr>
              <w:spacing w:before="80" w:after="0"/>
              <w:ind w:left="284" w:hanging="284"/>
              <w:contextualSpacing w:val="0"/>
              <w:jc w:val="left"/>
              <w:rPr>
                <w:rFonts w:eastAsia="Times New Roman" w:cs="Times New Roman"/>
                <w:b/>
                <w:bCs/>
                <w:color w:val="auto"/>
                <w:sz w:val="22"/>
                <w:lang w:eastAsia="fr-FR"/>
              </w:rPr>
            </w:pPr>
            <w:r w:rsidRPr="00C801A6">
              <w:rPr>
                <w:rFonts w:eastAsia="Times New Roman" w:cs="Times New Roman"/>
                <w:color w:val="auto"/>
                <w:sz w:val="22"/>
                <w:lang w:eastAsia="fr-FR"/>
              </w:rPr>
              <w:t xml:space="preserve">Exécution des superstructures </w:t>
            </w:r>
          </w:p>
          <w:p w14:paraId="17459E15" w14:textId="77777777" w:rsidR="009C4F72" w:rsidRPr="00C801A6" w:rsidRDefault="009C4F72" w:rsidP="00844538">
            <w:pPr>
              <w:pStyle w:val="ListParagraph"/>
              <w:numPr>
                <w:ilvl w:val="0"/>
                <w:numId w:val="154"/>
              </w:numPr>
              <w:spacing w:before="80" w:after="0"/>
              <w:ind w:left="284" w:hanging="284"/>
              <w:contextualSpacing w:val="0"/>
              <w:jc w:val="left"/>
              <w:rPr>
                <w:rFonts w:eastAsia="Times New Roman" w:cs="Times New Roman"/>
                <w:b/>
                <w:bCs/>
                <w:color w:val="auto"/>
                <w:sz w:val="22"/>
                <w:lang w:eastAsia="fr-FR"/>
              </w:rPr>
            </w:pPr>
            <w:r w:rsidRPr="00C801A6">
              <w:rPr>
                <w:rFonts w:eastAsia="Times New Roman" w:cs="Times New Roman"/>
                <w:color w:val="auto"/>
                <w:sz w:val="22"/>
                <w:lang w:eastAsia="fr-FR"/>
              </w:rPr>
              <w:t xml:space="preserve">Mise en œuvre de remblais aux abords </w:t>
            </w:r>
          </w:p>
          <w:p w14:paraId="64CE38F5" w14:textId="77777777" w:rsidR="009C4F72" w:rsidRPr="00C801A6" w:rsidRDefault="009C4F72" w:rsidP="00844538">
            <w:pPr>
              <w:pStyle w:val="ListParagraph"/>
              <w:numPr>
                <w:ilvl w:val="0"/>
                <w:numId w:val="154"/>
              </w:numPr>
              <w:spacing w:before="80" w:after="0"/>
              <w:ind w:left="284" w:hanging="284"/>
              <w:contextualSpacing w:val="0"/>
              <w:jc w:val="left"/>
              <w:rPr>
                <w:rFonts w:eastAsia="Times New Roman" w:cs="Times New Roman"/>
                <w:b/>
                <w:bCs/>
                <w:color w:val="auto"/>
                <w:sz w:val="22"/>
                <w:lang w:eastAsia="fr-FR"/>
              </w:rPr>
            </w:pPr>
            <w:r w:rsidRPr="00C801A6">
              <w:rPr>
                <w:rFonts w:eastAsia="Times New Roman" w:cs="Times New Roman"/>
                <w:color w:val="auto"/>
                <w:sz w:val="22"/>
                <w:lang w:eastAsia="fr-FR"/>
              </w:rPr>
              <w:t xml:space="preserve">Stabilisation des talus par engazonnement (1/4 de cône) </w:t>
            </w:r>
          </w:p>
          <w:p w14:paraId="566C0B16" w14:textId="77777777" w:rsidR="009C4F72" w:rsidRPr="00C801A6" w:rsidRDefault="009C4F72" w:rsidP="00844538">
            <w:pPr>
              <w:pStyle w:val="ListParagraph"/>
              <w:numPr>
                <w:ilvl w:val="0"/>
                <w:numId w:val="154"/>
              </w:numPr>
              <w:spacing w:before="80" w:after="0"/>
              <w:ind w:left="284" w:hanging="284"/>
              <w:contextualSpacing w:val="0"/>
              <w:jc w:val="left"/>
              <w:rPr>
                <w:rFonts w:eastAsia="Times New Roman" w:cs="Times New Roman"/>
                <w:b/>
                <w:bCs/>
                <w:color w:val="auto"/>
                <w:sz w:val="22"/>
                <w:lang w:eastAsia="fr-FR"/>
              </w:rPr>
            </w:pPr>
            <w:r w:rsidRPr="00C801A6">
              <w:rPr>
                <w:rFonts w:eastAsia="Times New Roman" w:cs="Times New Roman"/>
                <w:color w:val="auto"/>
                <w:sz w:val="22"/>
                <w:lang w:eastAsia="fr-FR"/>
              </w:rPr>
              <w:t>Enrochement</w:t>
            </w:r>
          </w:p>
        </w:tc>
      </w:tr>
      <w:tr w:rsidR="00C801A6" w:rsidRPr="00C801A6" w14:paraId="1199C829" w14:textId="77777777" w:rsidTr="000F1A0F">
        <w:trPr>
          <w:trHeight w:val="544"/>
        </w:trPr>
        <w:tc>
          <w:tcPr>
            <w:tcW w:w="3473" w:type="dxa"/>
            <w:tcBorders>
              <w:top w:val="single" w:sz="4" w:space="0" w:color="auto"/>
              <w:left w:val="single" w:sz="4" w:space="0" w:color="auto"/>
              <w:bottom w:val="single" w:sz="4" w:space="0" w:color="auto"/>
              <w:right w:val="single" w:sz="4" w:space="0" w:color="auto"/>
            </w:tcBorders>
            <w:shd w:val="clear" w:color="000000" w:fill="FFFFFF"/>
          </w:tcPr>
          <w:p w14:paraId="2850DE81" w14:textId="77777777" w:rsidR="009C4F72" w:rsidRPr="00C801A6" w:rsidRDefault="009C4F72" w:rsidP="00347FDB">
            <w:pPr>
              <w:spacing w:before="80" w:after="0" w:line="240" w:lineRule="auto"/>
              <w:jc w:val="left"/>
              <w:rPr>
                <w:rFonts w:eastAsia="Times New Roman" w:cs="Times New Roman"/>
                <w:b/>
                <w:bCs/>
                <w:color w:val="auto"/>
                <w:sz w:val="22"/>
                <w:lang w:eastAsia="fr-FR"/>
              </w:rPr>
            </w:pPr>
            <w:r w:rsidRPr="00C801A6">
              <w:rPr>
                <w:rFonts w:eastAsia="Times New Roman" w:cs="Times New Roman"/>
                <w:b/>
                <w:bCs/>
                <w:color w:val="auto"/>
                <w:sz w:val="22"/>
                <w:lang w:eastAsia="fr-FR"/>
              </w:rPr>
              <w:t>Remise en état d’une portion de chaussée</w:t>
            </w:r>
          </w:p>
        </w:tc>
        <w:tc>
          <w:tcPr>
            <w:tcW w:w="5958" w:type="dxa"/>
            <w:tcBorders>
              <w:top w:val="single" w:sz="4" w:space="0" w:color="auto"/>
              <w:left w:val="single" w:sz="4" w:space="0" w:color="auto"/>
              <w:bottom w:val="single" w:sz="4" w:space="0" w:color="auto"/>
              <w:right w:val="single" w:sz="4" w:space="0" w:color="auto"/>
            </w:tcBorders>
            <w:shd w:val="clear" w:color="000000" w:fill="FFFFFF"/>
          </w:tcPr>
          <w:p w14:paraId="4174B47C" w14:textId="77777777" w:rsidR="009C4F72" w:rsidRPr="00C801A6" w:rsidRDefault="009C4F72" w:rsidP="00347FDB">
            <w:pPr>
              <w:spacing w:before="80" w:after="0" w:line="240" w:lineRule="auto"/>
              <w:jc w:val="left"/>
              <w:rPr>
                <w:rFonts w:eastAsia="Times New Roman" w:cs="Times New Roman"/>
                <w:b/>
                <w:bCs/>
                <w:color w:val="auto"/>
                <w:sz w:val="22"/>
                <w:lang w:eastAsia="fr-FR"/>
              </w:rPr>
            </w:pPr>
            <w:r w:rsidRPr="00C801A6">
              <w:rPr>
                <w:rFonts w:eastAsia="Times New Roman" w:cs="Times New Roman"/>
                <w:b/>
                <w:bCs/>
                <w:color w:val="auto"/>
                <w:sz w:val="22"/>
                <w:lang w:eastAsia="fr-FR"/>
              </w:rPr>
              <w:t>I. Remise en état de la chaussée</w:t>
            </w:r>
          </w:p>
          <w:p w14:paraId="353CC6AC" w14:textId="77777777" w:rsidR="009C4F72" w:rsidRPr="00C801A6" w:rsidRDefault="009C4F72" w:rsidP="00844538">
            <w:pPr>
              <w:pStyle w:val="ListParagraph"/>
              <w:numPr>
                <w:ilvl w:val="0"/>
                <w:numId w:val="155"/>
              </w:numPr>
              <w:spacing w:before="80" w:after="0"/>
              <w:contextualSpacing w:val="0"/>
              <w:jc w:val="left"/>
              <w:rPr>
                <w:rFonts w:eastAsia="Times New Roman" w:cs="Times New Roman"/>
                <w:color w:val="auto"/>
                <w:sz w:val="22"/>
                <w:lang w:eastAsia="fr-FR"/>
              </w:rPr>
            </w:pPr>
            <w:r w:rsidRPr="00C801A6">
              <w:rPr>
                <w:rFonts w:eastAsia="Times New Roman" w:cs="Times New Roman"/>
                <w:color w:val="auto"/>
                <w:sz w:val="22"/>
                <w:lang w:eastAsia="fr-FR"/>
              </w:rPr>
              <w:t>Reprofilage (légers, lourds)</w:t>
            </w:r>
          </w:p>
          <w:p w14:paraId="779E9537" w14:textId="77777777" w:rsidR="009C4F72" w:rsidRPr="00C801A6" w:rsidRDefault="009C4F72" w:rsidP="00844538">
            <w:pPr>
              <w:pStyle w:val="ListParagraph"/>
              <w:numPr>
                <w:ilvl w:val="0"/>
                <w:numId w:val="155"/>
              </w:numPr>
              <w:spacing w:before="80" w:after="0"/>
              <w:contextualSpacing w:val="0"/>
              <w:jc w:val="left"/>
              <w:rPr>
                <w:rFonts w:eastAsia="Times New Roman" w:cs="Times New Roman"/>
                <w:color w:val="auto"/>
                <w:sz w:val="22"/>
                <w:lang w:eastAsia="fr-FR"/>
              </w:rPr>
            </w:pPr>
            <w:r w:rsidRPr="00C801A6">
              <w:rPr>
                <w:rFonts w:eastAsia="Times New Roman" w:cs="Times New Roman"/>
                <w:color w:val="auto"/>
                <w:sz w:val="22"/>
                <w:lang w:eastAsia="fr-FR"/>
              </w:rPr>
              <w:t>Mise en place de couche de fondation en matériaux sélectionnés si besoin</w:t>
            </w:r>
          </w:p>
          <w:p w14:paraId="19CF4BEE" w14:textId="0743622A" w:rsidR="009C4F72" w:rsidRPr="00C801A6" w:rsidRDefault="009C4F72" w:rsidP="00844538">
            <w:pPr>
              <w:pStyle w:val="ListParagraph"/>
              <w:numPr>
                <w:ilvl w:val="0"/>
                <w:numId w:val="155"/>
              </w:numPr>
              <w:spacing w:before="80" w:after="0"/>
              <w:contextualSpacing w:val="0"/>
              <w:jc w:val="left"/>
              <w:rPr>
                <w:rFonts w:eastAsia="Times New Roman" w:cs="Times New Roman"/>
                <w:color w:val="auto"/>
                <w:sz w:val="22"/>
                <w:lang w:eastAsia="fr-FR"/>
              </w:rPr>
            </w:pPr>
            <w:r w:rsidRPr="00C801A6">
              <w:rPr>
                <w:rFonts w:eastAsia="Times New Roman" w:cs="Times New Roman"/>
                <w:color w:val="auto"/>
                <w:sz w:val="22"/>
                <w:lang w:eastAsia="fr-FR"/>
              </w:rPr>
              <w:lastRenderedPageBreak/>
              <w:t xml:space="preserve">Mise </w:t>
            </w:r>
            <w:r w:rsidR="008139F0" w:rsidRPr="00C801A6">
              <w:rPr>
                <w:rFonts w:eastAsia="Times New Roman" w:cs="Times New Roman"/>
                <w:color w:val="auto"/>
                <w:sz w:val="22"/>
                <w:lang w:eastAsia="fr-FR"/>
              </w:rPr>
              <w:t xml:space="preserve">en </w:t>
            </w:r>
            <w:r w:rsidRPr="00C801A6">
              <w:rPr>
                <w:rFonts w:eastAsia="Times New Roman" w:cs="Times New Roman"/>
                <w:color w:val="auto"/>
                <w:sz w:val="22"/>
                <w:lang w:eastAsia="fr-FR"/>
              </w:rPr>
              <w:t>place de couche de base en GNT0/31,5 avec arrosage et compactage</w:t>
            </w:r>
          </w:p>
          <w:p w14:paraId="40A0A122" w14:textId="77777777" w:rsidR="009C4F72" w:rsidRPr="00C801A6" w:rsidRDefault="009C4F72" w:rsidP="00844538">
            <w:pPr>
              <w:pStyle w:val="ListParagraph"/>
              <w:numPr>
                <w:ilvl w:val="0"/>
                <w:numId w:val="155"/>
              </w:numPr>
              <w:spacing w:before="80" w:after="0"/>
              <w:contextualSpacing w:val="0"/>
              <w:jc w:val="left"/>
              <w:rPr>
                <w:rFonts w:eastAsia="Times New Roman" w:cs="Times New Roman"/>
                <w:color w:val="auto"/>
                <w:sz w:val="22"/>
                <w:lang w:eastAsia="fr-FR"/>
              </w:rPr>
            </w:pPr>
            <w:r w:rsidRPr="00C801A6">
              <w:rPr>
                <w:rFonts w:eastAsia="Times New Roman" w:cs="Times New Roman"/>
                <w:color w:val="auto"/>
                <w:sz w:val="22"/>
                <w:lang w:eastAsia="fr-FR"/>
              </w:rPr>
              <w:t>Mise en place de couche d'imprégnation en émulsion de bitume ou bitume fluidifié</w:t>
            </w:r>
          </w:p>
          <w:p w14:paraId="0E441F31" w14:textId="6BBFE8E7" w:rsidR="009C4F72" w:rsidRPr="000F1A0F" w:rsidRDefault="009C4F72" w:rsidP="00844538">
            <w:pPr>
              <w:pStyle w:val="ListParagraph"/>
              <w:numPr>
                <w:ilvl w:val="0"/>
                <w:numId w:val="155"/>
              </w:numPr>
              <w:spacing w:before="80" w:after="0"/>
              <w:contextualSpacing w:val="0"/>
              <w:jc w:val="left"/>
              <w:rPr>
                <w:rFonts w:eastAsia="Times New Roman" w:cs="Times New Roman"/>
                <w:color w:val="auto"/>
                <w:sz w:val="22"/>
                <w:lang w:eastAsia="fr-FR"/>
              </w:rPr>
            </w:pPr>
            <w:r w:rsidRPr="00C801A6">
              <w:rPr>
                <w:rFonts w:eastAsia="Times New Roman" w:cs="Times New Roman"/>
                <w:color w:val="auto"/>
                <w:sz w:val="22"/>
                <w:lang w:eastAsia="fr-FR"/>
              </w:rPr>
              <w:t>Mise en place de la couche de revêtement (ES, EDC, BBSG)</w:t>
            </w:r>
          </w:p>
          <w:p w14:paraId="666D57B7" w14:textId="77777777" w:rsidR="009C4F72" w:rsidRPr="00C801A6" w:rsidRDefault="009C4F72" w:rsidP="00347FDB">
            <w:pPr>
              <w:spacing w:before="80" w:after="0" w:line="240" w:lineRule="auto"/>
              <w:jc w:val="left"/>
              <w:rPr>
                <w:rFonts w:eastAsia="Times New Roman" w:cs="Times New Roman"/>
                <w:b/>
                <w:bCs/>
                <w:color w:val="auto"/>
                <w:sz w:val="22"/>
                <w:lang w:eastAsia="fr-FR"/>
              </w:rPr>
            </w:pPr>
            <w:r w:rsidRPr="00C801A6">
              <w:rPr>
                <w:rFonts w:eastAsia="Times New Roman" w:cs="Times New Roman"/>
                <w:b/>
                <w:bCs/>
                <w:color w:val="auto"/>
                <w:sz w:val="22"/>
                <w:lang w:eastAsia="fr-FR"/>
              </w:rPr>
              <w:t>II. Assainissement</w:t>
            </w:r>
          </w:p>
          <w:p w14:paraId="0BCAFB2C" w14:textId="77777777" w:rsidR="009C4F72" w:rsidRPr="00C801A6" w:rsidRDefault="009C4F72" w:rsidP="00844538">
            <w:pPr>
              <w:pStyle w:val="ListParagraph"/>
              <w:numPr>
                <w:ilvl w:val="0"/>
                <w:numId w:val="156"/>
              </w:numPr>
              <w:spacing w:before="80" w:after="0"/>
              <w:contextualSpacing w:val="0"/>
              <w:jc w:val="left"/>
              <w:rPr>
                <w:rFonts w:eastAsia="Times New Roman" w:cs="Times New Roman"/>
                <w:color w:val="auto"/>
                <w:sz w:val="22"/>
                <w:lang w:eastAsia="fr-FR"/>
              </w:rPr>
            </w:pPr>
            <w:r w:rsidRPr="00C801A6">
              <w:rPr>
                <w:rFonts w:eastAsia="Times New Roman" w:cs="Times New Roman"/>
                <w:color w:val="auto"/>
                <w:sz w:val="22"/>
                <w:lang w:eastAsia="fr-FR"/>
              </w:rPr>
              <w:t>Aménagement de fossé maçonné,</w:t>
            </w:r>
          </w:p>
          <w:p w14:paraId="05128BD9" w14:textId="77777777" w:rsidR="009C4F72" w:rsidRPr="00C801A6" w:rsidRDefault="009C4F72" w:rsidP="00844538">
            <w:pPr>
              <w:pStyle w:val="ListParagraph"/>
              <w:numPr>
                <w:ilvl w:val="0"/>
                <w:numId w:val="156"/>
              </w:numPr>
              <w:spacing w:before="80" w:after="0"/>
              <w:contextualSpacing w:val="0"/>
              <w:jc w:val="left"/>
              <w:rPr>
                <w:rFonts w:eastAsia="Times New Roman" w:cs="Times New Roman"/>
                <w:color w:val="auto"/>
                <w:sz w:val="22"/>
                <w:lang w:eastAsia="fr-FR"/>
              </w:rPr>
            </w:pPr>
            <w:r w:rsidRPr="00C801A6">
              <w:rPr>
                <w:rFonts w:eastAsia="Times New Roman" w:cs="Times New Roman"/>
                <w:color w:val="auto"/>
                <w:sz w:val="22"/>
                <w:lang w:eastAsia="fr-FR"/>
              </w:rPr>
              <w:t>Aménagement de fossé en terre,</w:t>
            </w:r>
          </w:p>
          <w:p w14:paraId="338BB489" w14:textId="6DCCA1A1" w:rsidR="009C4F72" w:rsidRPr="00C801A6" w:rsidRDefault="009C4F72" w:rsidP="00844538">
            <w:pPr>
              <w:pStyle w:val="ListParagraph"/>
              <w:numPr>
                <w:ilvl w:val="0"/>
                <w:numId w:val="156"/>
              </w:numPr>
              <w:spacing w:before="80" w:after="0"/>
              <w:contextualSpacing w:val="0"/>
              <w:jc w:val="left"/>
              <w:rPr>
                <w:rFonts w:eastAsia="Times New Roman" w:cs="Times New Roman"/>
                <w:b/>
                <w:bCs/>
                <w:color w:val="auto"/>
                <w:sz w:val="22"/>
                <w:lang w:eastAsia="fr-FR"/>
              </w:rPr>
            </w:pPr>
            <w:r w:rsidRPr="00C801A6">
              <w:rPr>
                <w:rFonts w:eastAsia="Times New Roman" w:cs="Times New Roman"/>
                <w:color w:val="auto"/>
                <w:sz w:val="22"/>
                <w:lang w:eastAsia="fr-FR"/>
              </w:rPr>
              <w:t>Aménagement de dalot</w:t>
            </w:r>
            <w:r w:rsidR="008139F0" w:rsidRPr="00C801A6">
              <w:rPr>
                <w:rFonts w:eastAsia="Times New Roman" w:cs="Times New Roman"/>
                <w:color w:val="auto"/>
                <w:sz w:val="22"/>
                <w:lang w:eastAsia="fr-FR"/>
              </w:rPr>
              <w:t>s</w:t>
            </w:r>
            <w:r w:rsidRPr="00C801A6">
              <w:rPr>
                <w:rFonts w:eastAsia="Times New Roman" w:cs="Times New Roman"/>
                <w:color w:val="auto"/>
                <w:sz w:val="22"/>
                <w:lang w:eastAsia="fr-FR"/>
              </w:rPr>
              <w:t xml:space="preserve"> et buse</w:t>
            </w:r>
            <w:r w:rsidR="008139F0" w:rsidRPr="00C801A6">
              <w:rPr>
                <w:rFonts w:eastAsia="Times New Roman" w:cs="Times New Roman"/>
                <w:color w:val="auto"/>
                <w:sz w:val="22"/>
                <w:lang w:eastAsia="fr-FR"/>
              </w:rPr>
              <w:t>s</w:t>
            </w:r>
            <w:r w:rsidRPr="00C801A6">
              <w:rPr>
                <w:rFonts w:eastAsia="Times New Roman" w:cs="Times New Roman"/>
                <w:color w:val="auto"/>
                <w:sz w:val="22"/>
                <w:lang w:eastAsia="fr-FR"/>
              </w:rPr>
              <w:t xml:space="preserve"> d'assainissement</w:t>
            </w:r>
          </w:p>
        </w:tc>
      </w:tr>
      <w:tr w:rsidR="00C801A6" w:rsidRPr="007616B0" w14:paraId="572F385A" w14:textId="77777777" w:rsidTr="000F1A0F">
        <w:trPr>
          <w:trHeight w:val="685"/>
        </w:trPr>
        <w:tc>
          <w:tcPr>
            <w:tcW w:w="3473" w:type="dxa"/>
            <w:tcBorders>
              <w:top w:val="single" w:sz="4" w:space="0" w:color="auto"/>
              <w:left w:val="single" w:sz="4" w:space="0" w:color="auto"/>
              <w:bottom w:val="single" w:sz="4" w:space="0" w:color="auto"/>
              <w:right w:val="single" w:sz="4" w:space="0" w:color="auto"/>
            </w:tcBorders>
            <w:shd w:val="clear" w:color="000000" w:fill="FFFFFF"/>
          </w:tcPr>
          <w:p w14:paraId="53A07EF2" w14:textId="35628A96" w:rsidR="009C4F72" w:rsidRPr="007616B0" w:rsidRDefault="000F1A0F" w:rsidP="00347FDB">
            <w:pPr>
              <w:spacing w:before="80" w:after="0" w:line="240" w:lineRule="auto"/>
              <w:jc w:val="left"/>
              <w:rPr>
                <w:rFonts w:eastAsia="Times New Roman" w:cs="Times New Roman"/>
                <w:b/>
                <w:bCs/>
                <w:color w:val="auto"/>
                <w:sz w:val="22"/>
                <w:lang w:eastAsia="fr-FR"/>
              </w:rPr>
            </w:pPr>
            <w:r w:rsidRPr="007616B0">
              <w:rPr>
                <w:rFonts w:eastAsia="Times New Roman" w:cs="Times New Roman"/>
                <w:b/>
                <w:bCs/>
                <w:color w:val="auto"/>
                <w:sz w:val="22"/>
                <w:lang w:eastAsia="fr-FR"/>
              </w:rPr>
              <w:lastRenderedPageBreak/>
              <w:t>Reconstruction de quai</w:t>
            </w:r>
          </w:p>
        </w:tc>
        <w:tc>
          <w:tcPr>
            <w:tcW w:w="5958" w:type="dxa"/>
            <w:tcBorders>
              <w:top w:val="single" w:sz="4" w:space="0" w:color="auto"/>
              <w:left w:val="single" w:sz="4" w:space="0" w:color="auto"/>
              <w:bottom w:val="single" w:sz="4" w:space="0" w:color="auto"/>
              <w:right w:val="single" w:sz="4" w:space="0" w:color="auto"/>
            </w:tcBorders>
            <w:shd w:val="clear" w:color="000000" w:fill="FFFFFF"/>
          </w:tcPr>
          <w:p w14:paraId="36AB1B02" w14:textId="77777777" w:rsidR="009C4F72" w:rsidRDefault="00483D54" w:rsidP="00844538">
            <w:pPr>
              <w:pStyle w:val="ListParagraph"/>
              <w:numPr>
                <w:ilvl w:val="0"/>
                <w:numId w:val="157"/>
              </w:numPr>
              <w:spacing w:before="80" w:after="0"/>
              <w:ind w:left="284" w:hanging="284"/>
              <w:contextualSpacing w:val="0"/>
              <w:jc w:val="left"/>
              <w:rPr>
                <w:rFonts w:eastAsia="Times New Roman" w:cs="Times New Roman"/>
                <w:bCs/>
                <w:color w:val="auto"/>
                <w:sz w:val="22"/>
                <w:lang w:eastAsia="fr-FR"/>
              </w:rPr>
            </w:pPr>
            <w:r>
              <w:rPr>
                <w:rFonts w:eastAsia="Times New Roman" w:cs="Times New Roman"/>
                <w:bCs/>
                <w:color w:val="auto"/>
                <w:sz w:val="22"/>
                <w:lang w:eastAsia="fr-FR"/>
              </w:rPr>
              <w:t>Battage du rideau de palplanches depuis le quai existant</w:t>
            </w:r>
          </w:p>
          <w:p w14:paraId="23C2BFF7" w14:textId="4170D728" w:rsidR="00483D54" w:rsidRDefault="00483D54" w:rsidP="00844538">
            <w:pPr>
              <w:pStyle w:val="ListParagraph"/>
              <w:numPr>
                <w:ilvl w:val="0"/>
                <w:numId w:val="157"/>
              </w:numPr>
              <w:spacing w:before="80" w:after="0"/>
              <w:ind w:left="284" w:hanging="284"/>
              <w:contextualSpacing w:val="0"/>
              <w:jc w:val="left"/>
              <w:rPr>
                <w:rFonts w:eastAsia="Times New Roman" w:cs="Times New Roman"/>
                <w:bCs/>
                <w:color w:val="auto"/>
                <w:sz w:val="22"/>
                <w:lang w:eastAsia="fr-FR"/>
              </w:rPr>
            </w:pPr>
            <w:r>
              <w:rPr>
                <w:rFonts w:eastAsia="Times New Roman" w:cs="Times New Roman"/>
                <w:bCs/>
                <w:color w:val="auto"/>
                <w:sz w:val="22"/>
                <w:lang w:eastAsia="fr-FR"/>
              </w:rPr>
              <w:t>Mise en</w:t>
            </w:r>
            <w:r w:rsidR="00D55B14">
              <w:rPr>
                <w:rFonts w:eastAsia="Times New Roman" w:cs="Times New Roman"/>
                <w:bCs/>
                <w:color w:val="auto"/>
                <w:sz w:val="22"/>
                <w:lang w:eastAsia="fr-FR"/>
              </w:rPr>
              <w:t xml:space="preserve"> </w:t>
            </w:r>
            <w:r>
              <w:rPr>
                <w:rFonts w:eastAsia="Times New Roman" w:cs="Times New Roman"/>
                <w:bCs/>
                <w:color w:val="auto"/>
                <w:sz w:val="22"/>
                <w:lang w:eastAsia="fr-FR"/>
              </w:rPr>
              <w:t>place de talus de retour</w:t>
            </w:r>
          </w:p>
          <w:p w14:paraId="588118BC" w14:textId="77777777" w:rsidR="00483D54" w:rsidRDefault="00483D54" w:rsidP="00844538">
            <w:pPr>
              <w:pStyle w:val="ListParagraph"/>
              <w:numPr>
                <w:ilvl w:val="0"/>
                <w:numId w:val="157"/>
              </w:numPr>
              <w:spacing w:before="80" w:after="0"/>
              <w:ind w:left="284" w:hanging="284"/>
              <w:contextualSpacing w:val="0"/>
              <w:jc w:val="left"/>
              <w:rPr>
                <w:rFonts w:eastAsia="Times New Roman" w:cs="Times New Roman"/>
                <w:bCs/>
                <w:color w:val="auto"/>
                <w:sz w:val="22"/>
                <w:lang w:eastAsia="fr-FR"/>
              </w:rPr>
            </w:pPr>
            <w:r>
              <w:rPr>
                <w:rFonts w:eastAsia="Times New Roman" w:cs="Times New Roman"/>
                <w:bCs/>
                <w:color w:val="auto"/>
                <w:sz w:val="22"/>
                <w:lang w:eastAsia="fr-FR"/>
              </w:rPr>
              <w:t>Démolition et évacuation des structures existantes</w:t>
            </w:r>
          </w:p>
          <w:p w14:paraId="7AD45441" w14:textId="3606E44B" w:rsidR="00483D54" w:rsidRDefault="00C63123" w:rsidP="00844538">
            <w:pPr>
              <w:pStyle w:val="ListParagraph"/>
              <w:numPr>
                <w:ilvl w:val="0"/>
                <w:numId w:val="157"/>
              </w:numPr>
              <w:spacing w:before="80" w:after="0"/>
              <w:ind w:left="284" w:hanging="284"/>
              <w:contextualSpacing w:val="0"/>
              <w:jc w:val="left"/>
              <w:rPr>
                <w:rFonts w:eastAsia="Times New Roman" w:cs="Times New Roman"/>
                <w:bCs/>
                <w:color w:val="auto"/>
                <w:sz w:val="22"/>
                <w:lang w:eastAsia="fr-FR"/>
              </w:rPr>
            </w:pPr>
            <w:r>
              <w:rPr>
                <w:rFonts w:eastAsia="Times New Roman" w:cs="Times New Roman"/>
                <w:bCs/>
                <w:color w:val="auto"/>
                <w:sz w:val="22"/>
                <w:lang w:eastAsia="fr-FR"/>
              </w:rPr>
              <w:t>Remblaiement à l’intérieur de la zone délimitée par le rideau de palplanche et le talus de retour</w:t>
            </w:r>
          </w:p>
          <w:p w14:paraId="4EF7CB64" w14:textId="77777777" w:rsidR="00C63123" w:rsidRDefault="00C63123" w:rsidP="00844538">
            <w:pPr>
              <w:pStyle w:val="ListParagraph"/>
              <w:numPr>
                <w:ilvl w:val="0"/>
                <w:numId w:val="157"/>
              </w:numPr>
              <w:spacing w:before="80" w:after="0"/>
              <w:ind w:left="284" w:hanging="284"/>
              <w:contextualSpacing w:val="0"/>
              <w:jc w:val="left"/>
              <w:rPr>
                <w:rFonts w:eastAsia="Times New Roman" w:cs="Times New Roman"/>
                <w:bCs/>
                <w:color w:val="auto"/>
                <w:sz w:val="22"/>
                <w:lang w:eastAsia="fr-FR"/>
              </w:rPr>
            </w:pPr>
            <w:r>
              <w:rPr>
                <w:rFonts w:eastAsia="Times New Roman" w:cs="Times New Roman"/>
                <w:bCs/>
                <w:color w:val="auto"/>
                <w:sz w:val="22"/>
                <w:lang w:eastAsia="fr-FR"/>
              </w:rPr>
              <w:t>Déblai des matériaux du terre-plein en arrière de l’ancien quai</w:t>
            </w:r>
          </w:p>
          <w:p w14:paraId="00730263" w14:textId="27F41938" w:rsidR="00C63123" w:rsidRPr="007616B0" w:rsidRDefault="00C63123" w:rsidP="00844538">
            <w:pPr>
              <w:pStyle w:val="ListParagraph"/>
              <w:numPr>
                <w:ilvl w:val="0"/>
                <w:numId w:val="157"/>
              </w:numPr>
              <w:spacing w:before="80" w:after="0"/>
              <w:ind w:left="284" w:hanging="284"/>
              <w:contextualSpacing w:val="0"/>
              <w:jc w:val="left"/>
              <w:rPr>
                <w:rFonts w:eastAsia="Times New Roman" w:cs="Times New Roman"/>
                <w:bCs/>
                <w:color w:val="auto"/>
                <w:sz w:val="22"/>
                <w:lang w:eastAsia="fr-FR"/>
              </w:rPr>
            </w:pPr>
            <w:r>
              <w:rPr>
                <w:rFonts w:eastAsia="Times New Roman" w:cs="Times New Roman"/>
                <w:bCs/>
                <w:color w:val="auto"/>
                <w:sz w:val="22"/>
                <w:lang w:eastAsia="fr-FR"/>
              </w:rPr>
              <w:t>Finalisation du quai et du terre-plein</w:t>
            </w:r>
          </w:p>
        </w:tc>
      </w:tr>
      <w:tr w:rsidR="00C801A6" w:rsidRPr="00C801A6" w14:paraId="685C58A3" w14:textId="77777777" w:rsidTr="00D35A01">
        <w:trPr>
          <w:trHeight w:val="904"/>
        </w:trPr>
        <w:tc>
          <w:tcPr>
            <w:tcW w:w="3473" w:type="dxa"/>
            <w:tcBorders>
              <w:top w:val="single" w:sz="4" w:space="0" w:color="auto"/>
              <w:left w:val="single" w:sz="4" w:space="0" w:color="auto"/>
              <w:bottom w:val="single" w:sz="4" w:space="0" w:color="auto"/>
              <w:right w:val="single" w:sz="4" w:space="0" w:color="auto"/>
            </w:tcBorders>
            <w:shd w:val="clear" w:color="000000" w:fill="FFFFFF"/>
          </w:tcPr>
          <w:p w14:paraId="4991AADD" w14:textId="398E1F94" w:rsidR="009C4F72" w:rsidRPr="00C801A6" w:rsidRDefault="000F1A0F" w:rsidP="00347FDB">
            <w:pPr>
              <w:spacing w:before="80" w:after="0" w:line="240" w:lineRule="auto"/>
              <w:jc w:val="left"/>
              <w:rPr>
                <w:rFonts w:eastAsia="Times New Roman" w:cs="Times New Roman"/>
                <w:b/>
                <w:bCs/>
                <w:color w:val="auto"/>
                <w:sz w:val="22"/>
                <w:lang w:eastAsia="fr-FR"/>
              </w:rPr>
            </w:pPr>
            <w:r>
              <w:rPr>
                <w:rFonts w:eastAsia="Times New Roman" w:cs="Times New Roman"/>
                <w:b/>
                <w:bCs/>
                <w:color w:val="auto"/>
                <w:sz w:val="22"/>
                <w:lang w:eastAsia="fr-FR"/>
              </w:rPr>
              <w:t xml:space="preserve">Travaux de </w:t>
            </w:r>
            <w:r w:rsidR="00542DF2">
              <w:rPr>
                <w:rFonts w:eastAsia="Times New Roman" w:cs="Times New Roman"/>
                <w:b/>
                <w:bCs/>
                <w:color w:val="auto"/>
                <w:sz w:val="22"/>
                <w:lang w:eastAsia="fr-FR"/>
              </w:rPr>
              <w:t>fouille</w:t>
            </w:r>
          </w:p>
        </w:tc>
        <w:tc>
          <w:tcPr>
            <w:tcW w:w="5958" w:type="dxa"/>
            <w:tcBorders>
              <w:top w:val="single" w:sz="4" w:space="0" w:color="auto"/>
              <w:left w:val="single" w:sz="4" w:space="0" w:color="auto"/>
              <w:bottom w:val="single" w:sz="4" w:space="0" w:color="auto"/>
              <w:right w:val="single" w:sz="4" w:space="0" w:color="auto"/>
            </w:tcBorders>
            <w:shd w:val="clear" w:color="000000" w:fill="FFFFFF"/>
          </w:tcPr>
          <w:p w14:paraId="4505CBBA" w14:textId="2A982C8A" w:rsidR="00C63123" w:rsidRDefault="00C63123" w:rsidP="00844538">
            <w:pPr>
              <w:pStyle w:val="ListParagraph"/>
              <w:numPr>
                <w:ilvl w:val="0"/>
                <w:numId w:val="164"/>
              </w:numPr>
              <w:spacing w:before="80" w:after="0"/>
              <w:ind w:left="290" w:hanging="284"/>
              <w:jc w:val="left"/>
              <w:rPr>
                <w:rFonts w:eastAsia="Times New Roman" w:cs="Times New Roman"/>
                <w:color w:val="auto"/>
                <w:sz w:val="22"/>
                <w:lang w:eastAsia="fr-FR"/>
              </w:rPr>
            </w:pPr>
            <w:r>
              <w:rPr>
                <w:rFonts w:eastAsia="Times New Roman" w:cs="Times New Roman"/>
                <w:color w:val="auto"/>
                <w:sz w:val="22"/>
                <w:lang w:eastAsia="fr-FR"/>
              </w:rPr>
              <w:t>Délimitation de la surface à d</w:t>
            </w:r>
            <w:r w:rsidR="00542DF2">
              <w:rPr>
                <w:rFonts w:eastAsia="Times New Roman" w:cs="Times New Roman"/>
                <w:color w:val="auto"/>
                <w:sz w:val="22"/>
                <w:lang w:eastAsia="fr-FR"/>
              </w:rPr>
              <w:t>émolir</w:t>
            </w:r>
          </w:p>
          <w:p w14:paraId="598E209D" w14:textId="31283AD7" w:rsidR="00C63123" w:rsidRDefault="00542DF2" w:rsidP="00844538">
            <w:pPr>
              <w:pStyle w:val="ListParagraph"/>
              <w:numPr>
                <w:ilvl w:val="0"/>
                <w:numId w:val="164"/>
              </w:numPr>
              <w:spacing w:before="80" w:after="0"/>
              <w:ind w:left="290" w:hanging="284"/>
              <w:jc w:val="left"/>
              <w:rPr>
                <w:rFonts w:eastAsia="Times New Roman" w:cs="Times New Roman"/>
                <w:color w:val="auto"/>
                <w:sz w:val="22"/>
                <w:lang w:eastAsia="fr-FR"/>
              </w:rPr>
            </w:pPr>
            <w:r>
              <w:rPr>
                <w:rFonts w:eastAsia="Times New Roman" w:cs="Times New Roman"/>
                <w:color w:val="auto"/>
                <w:sz w:val="22"/>
                <w:lang w:eastAsia="fr-FR"/>
              </w:rPr>
              <w:t>Fouille avec l’aide d’une excavatrice</w:t>
            </w:r>
          </w:p>
          <w:p w14:paraId="6195F012" w14:textId="77777777" w:rsidR="00C63123" w:rsidRDefault="00C63123" w:rsidP="00844538">
            <w:pPr>
              <w:pStyle w:val="ListParagraph"/>
              <w:numPr>
                <w:ilvl w:val="0"/>
                <w:numId w:val="164"/>
              </w:numPr>
              <w:spacing w:before="80" w:after="0"/>
              <w:ind w:left="290" w:hanging="284"/>
              <w:jc w:val="left"/>
              <w:rPr>
                <w:rFonts w:eastAsia="Times New Roman" w:cs="Times New Roman"/>
                <w:color w:val="auto"/>
                <w:sz w:val="22"/>
                <w:lang w:eastAsia="fr-FR"/>
              </w:rPr>
            </w:pPr>
            <w:r>
              <w:rPr>
                <w:rFonts w:eastAsia="Times New Roman" w:cs="Times New Roman"/>
                <w:color w:val="auto"/>
                <w:sz w:val="22"/>
                <w:lang w:eastAsia="fr-FR"/>
              </w:rPr>
              <w:t xml:space="preserve">Transport des produits de </w:t>
            </w:r>
            <w:r w:rsidR="00542DF2">
              <w:rPr>
                <w:rFonts w:eastAsia="Times New Roman" w:cs="Times New Roman"/>
                <w:color w:val="auto"/>
                <w:sz w:val="22"/>
                <w:lang w:eastAsia="fr-FR"/>
              </w:rPr>
              <w:t>fouille</w:t>
            </w:r>
            <w:r>
              <w:rPr>
                <w:rFonts w:eastAsia="Times New Roman" w:cs="Times New Roman"/>
                <w:color w:val="auto"/>
                <w:sz w:val="22"/>
                <w:lang w:eastAsia="fr-FR"/>
              </w:rPr>
              <w:t xml:space="preserve"> vers l</w:t>
            </w:r>
            <w:r w:rsidR="00542DF2">
              <w:rPr>
                <w:rFonts w:eastAsia="Times New Roman" w:cs="Times New Roman"/>
                <w:color w:val="auto"/>
                <w:sz w:val="22"/>
                <w:lang w:eastAsia="fr-FR"/>
              </w:rPr>
              <w:t xml:space="preserve">a chambre de fouille au niveau du quai barriquand </w:t>
            </w:r>
          </w:p>
          <w:p w14:paraId="6EF2816E" w14:textId="1DF01C73" w:rsidR="00542DF2" w:rsidRPr="00C63123" w:rsidRDefault="00542DF2" w:rsidP="00844538">
            <w:pPr>
              <w:pStyle w:val="ListParagraph"/>
              <w:numPr>
                <w:ilvl w:val="0"/>
                <w:numId w:val="164"/>
              </w:numPr>
              <w:spacing w:before="80" w:after="0"/>
              <w:ind w:left="290" w:hanging="284"/>
              <w:jc w:val="left"/>
              <w:rPr>
                <w:rFonts w:eastAsia="Times New Roman" w:cs="Times New Roman"/>
                <w:color w:val="auto"/>
                <w:sz w:val="22"/>
                <w:lang w:eastAsia="fr-FR"/>
              </w:rPr>
            </w:pPr>
            <w:r>
              <w:rPr>
                <w:rFonts w:eastAsia="Times New Roman" w:cs="Times New Roman"/>
                <w:color w:val="auto"/>
                <w:sz w:val="22"/>
                <w:lang w:eastAsia="fr-FR"/>
              </w:rPr>
              <w:t>Réinstallation des produits de fouille comme matériel de rembl</w:t>
            </w:r>
            <w:r w:rsidR="0034756C">
              <w:rPr>
                <w:rFonts w:eastAsia="Times New Roman" w:cs="Times New Roman"/>
                <w:color w:val="auto"/>
                <w:sz w:val="22"/>
                <w:lang w:eastAsia="fr-FR"/>
              </w:rPr>
              <w:t>a</w:t>
            </w:r>
            <w:r>
              <w:rPr>
                <w:rFonts w:eastAsia="Times New Roman" w:cs="Times New Roman"/>
                <w:color w:val="auto"/>
                <w:sz w:val="22"/>
                <w:lang w:eastAsia="fr-FR"/>
              </w:rPr>
              <w:t>i du terre-plein</w:t>
            </w:r>
          </w:p>
        </w:tc>
      </w:tr>
      <w:tr w:rsidR="00C801A6" w:rsidRPr="00C801A6" w14:paraId="54B06925" w14:textId="77777777" w:rsidTr="00D35A01">
        <w:trPr>
          <w:trHeight w:val="444"/>
        </w:trPr>
        <w:tc>
          <w:tcPr>
            <w:tcW w:w="3473" w:type="dxa"/>
            <w:tcBorders>
              <w:top w:val="single" w:sz="4" w:space="0" w:color="auto"/>
              <w:left w:val="single" w:sz="4" w:space="0" w:color="auto"/>
              <w:bottom w:val="single" w:sz="4" w:space="0" w:color="auto"/>
              <w:right w:val="single" w:sz="4" w:space="0" w:color="auto"/>
            </w:tcBorders>
            <w:shd w:val="clear" w:color="000000" w:fill="FFFFFF"/>
          </w:tcPr>
          <w:p w14:paraId="39C152D6" w14:textId="7FB723B3" w:rsidR="009C4F72" w:rsidRPr="00C801A6" w:rsidRDefault="000F1A0F" w:rsidP="00347FDB">
            <w:pPr>
              <w:spacing w:before="80" w:after="0" w:line="240" w:lineRule="auto"/>
              <w:jc w:val="left"/>
              <w:rPr>
                <w:rFonts w:eastAsia="Times New Roman" w:cs="Times New Roman"/>
                <w:b/>
                <w:bCs/>
                <w:color w:val="auto"/>
                <w:sz w:val="22"/>
                <w:lang w:eastAsia="fr-FR"/>
              </w:rPr>
            </w:pPr>
            <w:r>
              <w:rPr>
                <w:rFonts w:eastAsia="Times New Roman" w:cs="Times New Roman"/>
                <w:b/>
                <w:bCs/>
                <w:color w:val="auto"/>
                <w:sz w:val="22"/>
                <w:lang w:eastAsia="fr-FR"/>
              </w:rPr>
              <w:t>Réhabilitation/renforcement de terres-plains</w:t>
            </w:r>
          </w:p>
        </w:tc>
        <w:tc>
          <w:tcPr>
            <w:tcW w:w="5958" w:type="dxa"/>
            <w:tcBorders>
              <w:top w:val="single" w:sz="4" w:space="0" w:color="auto"/>
              <w:left w:val="single" w:sz="4" w:space="0" w:color="auto"/>
              <w:bottom w:val="single" w:sz="4" w:space="0" w:color="auto"/>
              <w:right w:val="single" w:sz="4" w:space="0" w:color="auto"/>
            </w:tcBorders>
            <w:shd w:val="clear" w:color="000000" w:fill="FFFFFF"/>
          </w:tcPr>
          <w:p w14:paraId="06E2CFF3" w14:textId="77777777" w:rsidR="009C4F72" w:rsidRDefault="00C63123" w:rsidP="00844538">
            <w:pPr>
              <w:pStyle w:val="ListParagraph"/>
              <w:numPr>
                <w:ilvl w:val="0"/>
                <w:numId w:val="158"/>
              </w:numPr>
              <w:spacing w:before="80" w:after="0"/>
              <w:ind w:left="284" w:hanging="284"/>
              <w:contextualSpacing w:val="0"/>
              <w:jc w:val="left"/>
              <w:rPr>
                <w:rFonts w:eastAsia="Times New Roman" w:cs="Times New Roman"/>
                <w:color w:val="auto"/>
                <w:sz w:val="22"/>
                <w:lang w:eastAsia="fr-FR"/>
              </w:rPr>
            </w:pPr>
            <w:r>
              <w:rPr>
                <w:rFonts w:eastAsia="Times New Roman" w:cs="Times New Roman"/>
                <w:color w:val="auto"/>
                <w:sz w:val="22"/>
                <w:lang w:eastAsia="fr-FR"/>
              </w:rPr>
              <w:t>Réalisation de talus périphérique</w:t>
            </w:r>
          </w:p>
          <w:p w14:paraId="28667333" w14:textId="3586BC4E" w:rsidR="00C63123" w:rsidRDefault="00C63123" w:rsidP="00844538">
            <w:pPr>
              <w:pStyle w:val="ListParagraph"/>
              <w:numPr>
                <w:ilvl w:val="0"/>
                <w:numId w:val="158"/>
              </w:numPr>
              <w:spacing w:before="80" w:after="0"/>
              <w:ind w:left="284" w:hanging="284"/>
              <w:contextualSpacing w:val="0"/>
              <w:jc w:val="left"/>
              <w:rPr>
                <w:rFonts w:eastAsia="Times New Roman" w:cs="Times New Roman"/>
                <w:color w:val="auto"/>
                <w:sz w:val="22"/>
                <w:lang w:eastAsia="fr-FR"/>
              </w:rPr>
            </w:pPr>
            <w:r>
              <w:rPr>
                <w:rFonts w:eastAsia="Times New Roman" w:cs="Times New Roman"/>
                <w:color w:val="auto"/>
                <w:sz w:val="22"/>
                <w:lang w:eastAsia="fr-FR"/>
              </w:rPr>
              <w:t>Remblaiement de la zone</w:t>
            </w:r>
          </w:p>
          <w:p w14:paraId="2A9C9943" w14:textId="4F48C3A7" w:rsidR="00C63123" w:rsidRPr="00C801A6" w:rsidRDefault="00C63123" w:rsidP="00844538">
            <w:pPr>
              <w:pStyle w:val="ListParagraph"/>
              <w:numPr>
                <w:ilvl w:val="0"/>
                <w:numId w:val="158"/>
              </w:numPr>
              <w:spacing w:before="80" w:after="0"/>
              <w:ind w:left="284" w:hanging="284"/>
              <w:contextualSpacing w:val="0"/>
              <w:jc w:val="left"/>
              <w:rPr>
                <w:rFonts w:eastAsia="Times New Roman" w:cs="Times New Roman"/>
                <w:color w:val="auto"/>
                <w:sz w:val="22"/>
                <w:lang w:eastAsia="fr-FR"/>
              </w:rPr>
            </w:pPr>
            <w:r>
              <w:rPr>
                <w:rFonts w:eastAsia="Times New Roman" w:cs="Times New Roman"/>
                <w:color w:val="auto"/>
                <w:sz w:val="22"/>
                <w:lang w:eastAsia="fr-FR"/>
              </w:rPr>
              <w:t>Mise en place de revêtement de surface</w:t>
            </w:r>
          </w:p>
        </w:tc>
      </w:tr>
    </w:tbl>
    <w:p w14:paraId="0EBE8710" w14:textId="28C079D6" w:rsidR="009C4F72" w:rsidRPr="00C801A6" w:rsidRDefault="009C4F72" w:rsidP="00FE56C9">
      <w:pPr>
        <w:spacing w:after="0"/>
        <w:rPr>
          <w:color w:val="auto"/>
        </w:rPr>
      </w:pPr>
    </w:p>
    <w:p w14:paraId="7B0EDABC" w14:textId="5556E8B2" w:rsidR="00D35A01" w:rsidRPr="00C801A6" w:rsidRDefault="00D35A01" w:rsidP="00D35A01">
      <w:pPr>
        <w:pBdr>
          <w:top w:val="single" w:sz="4" w:space="1" w:color="auto"/>
          <w:left w:val="single" w:sz="4" w:space="4" w:color="auto"/>
          <w:bottom w:val="single" w:sz="4" w:space="1" w:color="auto"/>
          <w:right w:val="single" w:sz="4" w:space="4" w:color="auto"/>
        </w:pBdr>
        <w:shd w:val="clear" w:color="auto" w:fill="FBE4D5" w:themeFill="accent2" w:themeFillTint="33"/>
        <w:spacing w:after="0"/>
        <w:rPr>
          <w:color w:val="auto"/>
        </w:rPr>
      </w:pPr>
      <w:r w:rsidRPr="00C801A6">
        <w:rPr>
          <w:b/>
          <w:bCs/>
          <w:color w:val="auto"/>
          <w:u w:val="single"/>
        </w:rPr>
        <w:t>Calendrier :</w:t>
      </w:r>
      <w:r w:rsidRPr="00C801A6">
        <w:rPr>
          <w:color w:val="auto"/>
        </w:rPr>
        <w:t xml:space="preserve"> Pour toutes les activités CERC, les travaux s’étaleront sur une période ne pouvant dépasser 12 mois.</w:t>
      </w:r>
    </w:p>
    <w:p w14:paraId="16B8274B" w14:textId="77777777" w:rsidR="00575CDF" w:rsidRPr="00C801A6" w:rsidRDefault="00575CDF" w:rsidP="00C65572">
      <w:pPr>
        <w:pStyle w:val="Heading3"/>
      </w:pPr>
      <w:bookmarkStart w:id="65" w:name="_Toc106320276"/>
      <w:bookmarkStart w:id="66" w:name="_Toc230425987"/>
      <w:r w:rsidRPr="00C801A6">
        <w:t>Activités connexes</w:t>
      </w:r>
      <w:bookmarkEnd w:id="65"/>
      <w:bookmarkEnd w:id="66"/>
    </w:p>
    <w:p w14:paraId="31C81940" w14:textId="422CC29F" w:rsidR="00575CDF" w:rsidRPr="00C801A6" w:rsidRDefault="00575CDF" w:rsidP="003042DB">
      <w:pPr>
        <w:pStyle w:val="Heading4"/>
        <w:rPr>
          <w:color w:val="auto"/>
        </w:rPr>
      </w:pPr>
      <w:bookmarkStart w:id="67" w:name="_Toc230298731"/>
      <w:r w:rsidRPr="00C801A6">
        <w:rPr>
          <w:color w:val="auto"/>
        </w:rPr>
        <w:t>Base-vie</w:t>
      </w:r>
      <w:bookmarkEnd w:id="67"/>
    </w:p>
    <w:p w14:paraId="647D7E25" w14:textId="1F19EC0D" w:rsidR="00575CDF" w:rsidRPr="00C801A6" w:rsidRDefault="00575CDF" w:rsidP="00575CDF">
      <w:pPr>
        <w:autoSpaceDE w:val="0"/>
        <w:autoSpaceDN w:val="0"/>
        <w:adjustRightInd w:val="0"/>
        <w:rPr>
          <w:rFonts w:cs="Arial"/>
          <w:color w:val="auto"/>
        </w:rPr>
      </w:pPr>
      <w:r w:rsidRPr="00C801A6">
        <w:rPr>
          <w:rFonts w:cs="Arial"/>
          <w:color w:val="auto"/>
        </w:rPr>
        <w:t xml:space="preserve">En fonction du </w:t>
      </w:r>
      <w:r w:rsidR="00FE56C9" w:rsidRPr="00C801A6">
        <w:rPr>
          <w:rFonts w:cs="Arial"/>
          <w:color w:val="auto"/>
        </w:rPr>
        <w:t>type de</w:t>
      </w:r>
      <w:r w:rsidRPr="00C801A6">
        <w:rPr>
          <w:rFonts w:cs="Arial"/>
          <w:color w:val="auto"/>
        </w:rPr>
        <w:t xml:space="preserve"> travaux</w:t>
      </w:r>
      <w:r w:rsidR="00FE56C9" w:rsidRPr="00C801A6">
        <w:rPr>
          <w:rFonts w:cs="Arial"/>
          <w:color w:val="auto"/>
        </w:rPr>
        <w:t xml:space="preserve"> et de</w:t>
      </w:r>
      <w:r w:rsidR="00AD76CC">
        <w:rPr>
          <w:rFonts w:cs="Arial"/>
          <w:color w:val="auto"/>
        </w:rPr>
        <w:t xml:space="preserve"> </w:t>
      </w:r>
      <w:r w:rsidR="00FE56C9" w:rsidRPr="00C801A6">
        <w:rPr>
          <w:rFonts w:cs="Arial"/>
          <w:color w:val="auto"/>
        </w:rPr>
        <w:t>leur envergure</w:t>
      </w:r>
      <w:r w:rsidRPr="00C801A6">
        <w:rPr>
          <w:rFonts w:cs="Arial"/>
          <w:color w:val="auto"/>
        </w:rPr>
        <w:t>, une ou des bases-vies seront aménagées pendant les travaux d’entretien des routes nationales asphaltées</w:t>
      </w:r>
      <w:r w:rsidR="00FE56C9" w:rsidRPr="00C801A6">
        <w:rPr>
          <w:rFonts w:cs="Arial"/>
          <w:color w:val="auto"/>
        </w:rPr>
        <w:t xml:space="preserve"> et durant la mise en œuvre de la Composante CERC</w:t>
      </w:r>
      <w:r w:rsidRPr="00C801A6">
        <w:rPr>
          <w:rFonts w:cs="Arial"/>
          <w:color w:val="auto"/>
        </w:rPr>
        <w:t xml:space="preserve">. Elles seront construites dans des sites suffisamment éloignés des zones habitées afin d’éviter les risques de </w:t>
      </w:r>
      <w:r w:rsidR="006F38A3">
        <w:rPr>
          <w:rFonts w:cs="Arial"/>
          <w:color w:val="auto"/>
        </w:rPr>
        <w:t xml:space="preserve">EAS-HS </w:t>
      </w:r>
      <w:r w:rsidRPr="00C801A6">
        <w:rPr>
          <w:rFonts w:cs="Arial"/>
          <w:color w:val="auto"/>
        </w:rPr>
        <w:t xml:space="preserve"> et tout risque d’influence socioéconomique. </w:t>
      </w:r>
    </w:p>
    <w:p w14:paraId="3D5D3FBD" w14:textId="571CC8CA" w:rsidR="00575CDF" w:rsidRPr="00C801A6" w:rsidRDefault="00FE56C9" w:rsidP="00575CDF">
      <w:pPr>
        <w:autoSpaceDE w:val="0"/>
        <w:autoSpaceDN w:val="0"/>
        <w:adjustRightInd w:val="0"/>
        <w:rPr>
          <w:rFonts w:eastAsia="MS Mincho" w:cs="Arial"/>
          <w:color w:val="auto"/>
          <w:lang w:eastAsia="ja-JP"/>
        </w:rPr>
      </w:pPr>
      <w:r w:rsidRPr="00C801A6">
        <w:rPr>
          <w:rFonts w:cs="Arial"/>
          <w:color w:val="auto"/>
        </w:rPr>
        <w:t>Chaque</w:t>
      </w:r>
      <w:r w:rsidR="00575CDF" w:rsidRPr="00C801A6">
        <w:rPr>
          <w:rFonts w:cs="Arial"/>
          <w:color w:val="auto"/>
        </w:rPr>
        <w:t xml:space="preserve"> base-vie sera dotée au moins, d’équipements sanitaires</w:t>
      </w:r>
      <w:r w:rsidR="001E4C47">
        <w:rPr>
          <w:rFonts w:cs="Arial"/>
          <w:color w:val="auto"/>
        </w:rPr>
        <w:t xml:space="preserve"> genrés</w:t>
      </w:r>
      <w:r w:rsidR="00575CDF" w:rsidRPr="00C801A6">
        <w:rPr>
          <w:rFonts w:cs="Arial"/>
          <w:color w:val="auto"/>
        </w:rPr>
        <w:t xml:space="preserve"> </w:t>
      </w:r>
      <w:r w:rsidR="00575CDF" w:rsidRPr="00C801A6">
        <w:rPr>
          <w:rFonts w:eastAsia="MS Mincho" w:cs="Arial"/>
          <w:color w:val="auto"/>
          <w:lang w:eastAsia="ja-JP"/>
        </w:rPr>
        <w:t>(latrines et douches)</w:t>
      </w:r>
      <w:r w:rsidR="00575CDF" w:rsidRPr="00C801A6">
        <w:rPr>
          <w:rFonts w:cs="Arial"/>
          <w:color w:val="auto"/>
        </w:rPr>
        <w:t xml:space="preserve">, </w:t>
      </w:r>
      <w:r w:rsidR="00575CDF" w:rsidRPr="00C801A6">
        <w:rPr>
          <w:rFonts w:eastAsia="MS Mincho" w:cs="Arial"/>
          <w:color w:val="auto"/>
          <w:lang w:eastAsia="ja-JP"/>
        </w:rPr>
        <w:t xml:space="preserve">d’équipements de sécurité (extincteurs), </w:t>
      </w:r>
      <w:r w:rsidR="00575CDF" w:rsidRPr="00C801A6">
        <w:rPr>
          <w:rFonts w:cs="Arial"/>
          <w:color w:val="auto"/>
        </w:rPr>
        <w:t xml:space="preserve">d’une trousse médicale de premiers secours et au cas où il y aura des cas de blessures graves, une voiture assurera le transport de la victime vers des établissements hospitaliers les plus proches, de sites de stockage des matériels et équipements, d’un stockage du groupe électrogène et, éventuellement, de carburants, d’une aire de </w:t>
      </w:r>
      <w:r w:rsidR="00575CDF" w:rsidRPr="00C801A6">
        <w:rPr>
          <w:rFonts w:cs="Arial"/>
          <w:color w:val="auto"/>
        </w:rPr>
        <w:lastRenderedPageBreak/>
        <w:t>stationnement des véhicules.</w:t>
      </w:r>
      <w:r w:rsidR="00575CDF" w:rsidRPr="00C801A6">
        <w:rPr>
          <w:rFonts w:eastAsia="MS Mincho" w:cs="Arial"/>
          <w:color w:val="auto"/>
          <w:lang w:eastAsia="ja-JP"/>
        </w:rPr>
        <w:t xml:space="preserve"> En outre, ces campements seront aussi balisés pour en assurer la sécurité.</w:t>
      </w:r>
    </w:p>
    <w:p w14:paraId="3D62F786" w14:textId="1CA50C4D" w:rsidR="00575CDF" w:rsidRPr="00C801A6" w:rsidRDefault="00575CDF" w:rsidP="003042DB">
      <w:pPr>
        <w:pStyle w:val="Heading4"/>
        <w:rPr>
          <w:color w:val="auto"/>
        </w:rPr>
      </w:pPr>
      <w:bookmarkStart w:id="68" w:name="_Toc230298732"/>
      <w:r w:rsidRPr="00C801A6">
        <w:rPr>
          <w:color w:val="auto"/>
        </w:rPr>
        <w:t xml:space="preserve">Exploitation de sites </w:t>
      </w:r>
      <w:r w:rsidR="00C63123">
        <w:rPr>
          <w:color w:val="auto"/>
        </w:rPr>
        <w:t>CONNEXES</w:t>
      </w:r>
      <w:bookmarkEnd w:id="68"/>
    </w:p>
    <w:p w14:paraId="18BE9C8F" w14:textId="781C5077" w:rsidR="00575CDF" w:rsidRPr="00C801A6" w:rsidRDefault="00575CDF" w:rsidP="00575CDF">
      <w:pPr>
        <w:rPr>
          <w:color w:val="auto"/>
        </w:rPr>
      </w:pPr>
      <w:r w:rsidRPr="00C801A6">
        <w:rPr>
          <w:color w:val="auto"/>
        </w:rPr>
        <w:t xml:space="preserve">Les sites </w:t>
      </w:r>
      <w:r w:rsidR="00C63123">
        <w:rPr>
          <w:color w:val="auto"/>
        </w:rPr>
        <w:t>connexes</w:t>
      </w:r>
      <w:r w:rsidRPr="00C801A6">
        <w:rPr>
          <w:color w:val="auto"/>
        </w:rPr>
        <w:t xml:space="preserve"> comprennent :</w:t>
      </w:r>
    </w:p>
    <w:p w14:paraId="6388DB5C" w14:textId="77777777" w:rsidR="00575CDF" w:rsidRPr="00C801A6" w:rsidRDefault="00575CDF" w:rsidP="00844538">
      <w:pPr>
        <w:pStyle w:val="ListParagraph"/>
        <w:numPr>
          <w:ilvl w:val="0"/>
          <w:numId w:val="2"/>
        </w:numPr>
        <w:ind w:left="851" w:hanging="425"/>
        <w:rPr>
          <w:color w:val="auto"/>
        </w:rPr>
      </w:pPr>
      <w:r w:rsidRPr="00C801A6">
        <w:rPr>
          <w:color w:val="auto"/>
        </w:rPr>
        <w:t>Les carrières pour produits rocheux</w:t>
      </w:r>
    </w:p>
    <w:p w14:paraId="14544838" w14:textId="77777777" w:rsidR="00575CDF" w:rsidRPr="00C801A6" w:rsidRDefault="00575CDF" w:rsidP="00844538">
      <w:pPr>
        <w:pStyle w:val="ListParagraph"/>
        <w:numPr>
          <w:ilvl w:val="0"/>
          <w:numId w:val="2"/>
        </w:numPr>
        <w:ind w:left="851" w:hanging="425"/>
        <w:rPr>
          <w:color w:val="auto"/>
        </w:rPr>
      </w:pPr>
      <w:r w:rsidRPr="00C801A6">
        <w:rPr>
          <w:color w:val="auto"/>
        </w:rPr>
        <w:t>Les gîtes pour matériaux sélectionnés (MS)</w:t>
      </w:r>
    </w:p>
    <w:p w14:paraId="00634020" w14:textId="41A2D71B" w:rsidR="00575CDF" w:rsidRDefault="00575CDF" w:rsidP="00844538">
      <w:pPr>
        <w:pStyle w:val="ListParagraph"/>
        <w:numPr>
          <w:ilvl w:val="0"/>
          <w:numId w:val="2"/>
        </w:numPr>
        <w:ind w:left="850" w:hanging="425"/>
        <w:rPr>
          <w:color w:val="auto"/>
        </w:rPr>
      </w:pPr>
      <w:r w:rsidRPr="00C801A6">
        <w:rPr>
          <w:color w:val="auto"/>
        </w:rPr>
        <w:t>Les zones d’emprunt pour terre de remblai.</w:t>
      </w:r>
    </w:p>
    <w:p w14:paraId="1F22F257" w14:textId="65D6D5F6" w:rsidR="00C63123" w:rsidRDefault="00C63123" w:rsidP="00844538">
      <w:pPr>
        <w:pStyle w:val="ListParagraph"/>
        <w:numPr>
          <w:ilvl w:val="0"/>
          <w:numId w:val="2"/>
        </w:numPr>
        <w:ind w:left="850" w:hanging="425"/>
        <w:rPr>
          <w:color w:val="auto"/>
        </w:rPr>
      </w:pPr>
      <w:r>
        <w:rPr>
          <w:color w:val="auto"/>
        </w:rPr>
        <w:t>Les déviations temporaires</w:t>
      </w:r>
    </w:p>
    <w:p w14:paraId="7DDB1F52" w14:textId="5A1DE5DC" w:rsidR="00C63123" w:rsidRPr="00C801A6" w:rsidRDefault="00C63123" w:rsidP="00844538">
      <w:pPr>
        <w:pStyle w:val="ListParagraph"/>
        <w:numPr>
          <w:ilvl w:val="0"/>
          <w:numId w:val="2"/>
        </w:numPr>
        <w:ind w:left="850" w:hanging="425"/>
        <w:rPr>
          <w:color w:val="auto"/>
        </w:rPr>
      </w:pPr>
      <w:r>
        <w:rPr>
          <w:color w:val="auto"/>
        </w:rPr>
        <w:t>Les sites de dépôt</w:t>
      </w:r>
    </w:p>
    <w:p w14:paraId="5AA75A52" w14:textId="561AA86F" w:rsidR="00575CDF" w:rsidRPr="00C801A6" w:rsidRDefault="00575CDF" w:rsidP="00575CDF">
      <w:pPr>
        <w:rPr>
          <w:color w:val="auto"/>
        </w:rPr>
      </w:pPr>
      <w:r w:rsidRPr="00C801A6">
        <w:rPr>
          <w:color w:val="auto"/>
        </w:rPr>
        <w:t xml:space="preserve">Pour les besoins des travaux antérieurs, de multiples sites </w:t>
      </w:r>
      <w:r w:rsidR="00C63123">
        <w:rPr>
          <w:color w:val="auto"/>
        </w:rPr>
        <w:t xml:space="preserve">d’extraction de matériaux </w:t>
      </w:r>
      <w:r w:rsidRPr="00C801A6">
        <w:rPr>
          <w:color w:val="auto"/>
        </w:rPr>
        <w:t xml:space="preserve">ont déjà été ouverts mais, comme </w:t>
      </w:r>
      <w:r w:rsidR="00C63123">
        <w:rPr>
          <w:color w:val="auto"/>
        </w:rPr>
        <w:t>la consistance des travaux à entreprendre</w:t>
      </w:r>
      <w:r w:rsidRPr="00C801A6">
        <w:rPr>
          <w:color w:val="auto"/>
        </w:rPr>
        <w:t xml:space="preserve"> n’ont pas encore été clairement </w:t>
      </w:r>
      <w:r w:rsidR="00C63123">
        <w:rPr>
          <w:color w:val="auto"/>
        </w:rPr>
        <w:t>définies</w:t>
      </w:r>
      <w:r w:rsidRPr="00C801A6">
        <w:rPr>
          <w:color w:val="auto"/>
        </w:rPr>
        <w:t>, des visites sur site y afférentes ont été jugées inopportunes pour l’instant.</w:t>
      </w:r>
      <w:r w:rsidR="005745FE">
        <w:rPr>
          <w:color w:val="auto"/>
        </w:rPr>
        <w:t xml:space="preserve"> </w:t>
      </w:r>
      <w:r w:rsidRPr="00C801A6">
        <w:rPr>
          <w:color w:val="auto"/>
        </w:rPr>
        <w:t>Habituellement, l’abattage de rochers se fait à l’explosif. De ce fait, les textes édictent une zone de sécurité d’un rayon d’au moins 80m. Des biens privés sont donc susceptibles d’être affectés par l’exploitation desdits sites.</w:t>
      </w:r>
    </w:p>
    <w:p w14:paraId="6140D9F9" w14:textId="77777777" w:rsidR="00575CDF" w:rsidRPr="00C801A6" w:rsidRDefault="00575CDF" w:rsidP="00575CDF">
      <w:pPr>
        <w:rPr>
          <w:color w:val="auto"/>
        </w:rPr>
      </w:pPr>
      <w:r w:rsidRPr="00C801A6">
        <w:rPr>
          <w:color w:val="auto"/>
        </w:rPr>
        <w:t>Pour les gîtes et les zones d’emprunt, il n’y a pas de zone de sécurité mais, toujours est-il que des biens privés peuvent, également, être impactés.</w:t>
      </w:r>
    </w:p>
    <w:p w14:paraId="1739759D" w14:textId="57BC9C70" w:rsidR="005745FE" w:rsidRDefault="00575CDF" w:rsidP="00575CDF">
      <w:pPr>
        <w:rPr>
          <w:color w:val="auto"/>
        </w:rPr>
      </w:pPr>
      <w:r w:rsidRPr="00C801A6">
        <w:rPr>
          <w:color w:val="auto"/>
        </w:rPr>
        <w:t>La situation est la même si des voies d’accès devront être améliorées ou ouvertes.</w:t>
      </w:r>
      <w:r w:rsidR="00AF5EBA" w:rsidRPr="00C801A6">
        <w:rPr>
          <w:color w:val="auto"/>
        </w:rPr>
        <w:t xml:space="preserve"> Aussi</w:t>
      </w:r>
      <w:r w:rsidRPr="00C801A6">
        <w:rPr>
          <w:color w:val="auto"/>
        </w:rPr>
        <w:t>, l’exploitation de carrières déjà ouvertes est</w:t>
      </w:r>
      <w:r w:rsidR="00AF5EBA" w:rsidRPr="00C801A6">
        <w:rPr>
          <w:color w:val="auto"/>
        </w:rPr>
        <w:t>-elle</w:t>
      </w:r>
      <w:r w:rsidRPr="00C801A6">
        <w:rPr>
          <w:color w:val="auto"/>
        </w:rPr>
        <w:t xml:space="preserve"> fortement recommandée.</w:t>
      </w:r>
    </w:p>
    <w:p w14:paraId="79CA6706" w14:textId="02DE8C3D" w:rsidR="00C63123" w:rsidRDefault="00C63123" w:rsidP="00575CDF">
      <w:pPr>
        <w:rPr>
          <w:color w:val="auto"/>
        </w:rPr>
      </w:pPr>
      <w:r>
        <w:rPr>
          <w:color w:val="auto"/>
        </w:rPr>
        <w:t xml:space="preserve">Les déviations temporaires </w:t>
      </w:r>
      <w:r w:rsidR="007A637B">
        <w:rPr>
          <w:color w:val="auto"/>
        </w:rPr>
        <w:t>sont</w:t>
      </w:r>
      <w:r w:rsidR="004B0D7A">
        <w:rPr>
          <w:color w:val="auto"/>
        </w:rPr>
        <w:t xml:space="preserve"> utilisées en cas d’impossibilité de travailler en démi-chaussée et au niveau des constructions des ouvrages de franchissements (radier alvéolé, dalot, etc…). Un contrat d’occupation temporaire avec les propriétaires des terrains concernés doit être élaboré par l’entreprise. Les travaux de réhabilitation du site selon les recommandations des propriétaires avec re</w:t>
      </w:r>
      <w:r w:rsidR="00F95AEC">
        <w:rPr>
          <w:color w:val="auto"/>
        </w:rPr>
        <w:t>s</w:t>
      </w:r>
      <w:r w:rsidR="004B0D7A">
        <w:rPr>
          <w:color w:val="auto"/>
        </w:rPr>
        <w:t xml:space="preserve">pect du milieu environnant devraient être mentionnés dans ce contrat. Enfin, l’entreprise est tenue d’assurer la sécurisation des usagers et la sécurisation du chantier au niveau de ces déviations temporaires. D’où la nécessité de l’élaboration et de la mise en œuvre d’un Plan de Gestion de Traffic au niveau de ces déviations, et </w:t>
      </w:r>
      <w:r w:rsidR="00B820EF">
        <w:rPr>
          <w:color w:val="auto"/>
        </w:rPr>
        <w:t>au niveau de chaque chantier en cours.</w:t>
      </w:r>
    </w:p>
    <w:p w14:paraId="333FA4CB" w14:textId="6ECB9AE4" w:rsidR="005745FE" w:rsidRDefault="005745FE">
      <w:pPr>
        <w:spacing w:line="259" w:lineRule="auto"/>
        <w:jc w:val="left"/>
        <w:rPr>
          <w:color w:val="auto"/>
        </w:rPr>
      </w:pPr>
    </w:p>
    <w:p w14:paraId="5A800641" w14:textId="77777777" w:rsidR="005745FE" w:rsidRPr="00C801A6" w:rsidRDefault="005745FE" w:rsidP="00C65572">
      <w:pPr>
        <w:pStyle w:val="Heading3"/>
      </w:pPr>
      <w:bookmarkStart w:id="69" w:name="_Toc230425988"/>
      <w:r w:rsidRPr="00C801A6">
        <w:t>Localisation des activités</w:t>
      </w:r>
      <w:bookmarkEnd w:id="69"/>
    </w:p>
    <w:p w14:paraId="763636D5" w14:textId="3D96AA68" w:rsidR="005745FE" w:rsidDel="00026415" w:rsidRDefault="005745FE" w:rsidP="00575CDF">
      <w:r w:rsidRPr="18390EC0">
        <w:rPr>
          <w:color w:val="auto"/>
        </w:rPr>
        <w:t>Les cartes suivantes montrent l’emplacement des zones d’interventions à entreprendre dans le cadre de la mise en œuvre de la composante CERC/PCMCI</w:t>
      </w:r>
      <w:r w:rsidR="004233C4" w:rsidRPr="18390EC0">
        <w:rPr>
          <w:color w:val="auto"/>
        </w:rPr>
        <w:t>, phase 1.</w:t>
      </w:r>
    </w:p>
    <w:p w14:paraId="5C082B47" w14:textId="7AB76E45" w:rsidR="005745FE" w:rsidDel="00026415" w:rsidRDefault="18E8CAF8" w:rsidP="498694C6">
      <w:r>
        <w:rPr>
          <w:noProof/>
        </w:rPr>
        <w:lastRenderedPageBreak/>
        <w:drawing>
          <wp:inline distT="0" distB="0" distL="0" distR="0" wp14:anchorId="106B849B" wp14:editId="12EEF875">
            <wp:extent cx="5761219" cy="3840813"/>
            <wp:effectExtent l="0" t="0" r="0" b="0"/>
            <wp:docPr id="202944026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440267" name="Picture 2029440267"/>
                    <pic:cNvPicPr/>
                  </pic:nvPicPr>
                  <pic:blipFill>
                    <a:blip r:embed="rId28">
                      <a:extLst>
                        <a:ext uri="{28A0092B-C50C-407E-A947-70E740481C1C}">
                          <a14:useLocalDpi xmlns:a14="http://schemas.microsoft.com/office/drawing/2010/main"/>
                        </a:ext>
                      </a:extLst>
                    </a:blip>
                    <a:stretch>
                      <a:fillRect/>
                    </a:stretch>
                  </pic:blipFill>
                  <pic:spPr>
                    <a:xfrm>
                      <a:off x="0" y="0"/>
                      <a:ext cx="5761219" cy="3840813"/>
                    </a:xfrm>
                    <a:prstGeom prst="rect">
                      <a:avLst/>
                    </a:prstGeom>
                  </pic:spPr>
                </pic:pic>
              </a:graphicData>
            </a:graphic>
          </wp:inline>
        </w:drawing>
      </w:r>
    </w:p>
    <w:p w14:paraId="257276C5" w14:textId="0CCCCC84" w:rsidR="005745FE" w:rsidDel="00026415" w:rsidRDefault="00B820EF" w:rsidP="00B820EF">
      <w:pPr>
        <w:pStyle w:val="Caption"/>
        <w:rPr>
          <w:color w:val="auto"/>
        </w:rPr>
      </w:pPr>
      <w:bookmarkStart w:id="70" w:name="_Toc230426698"/>
      <w:r>
        <w:t xml:space="preserve">Figure </w:t>
      </w:r>
      <w:r>
        <w:rPr>
          <w:b w:val="0"/>
          <w:caps w:val="0"/>
        </w:rPr>
        <w:fldChar w:fldCharType="begin"/>
      </w:r>
      <w:r>
        <w:instrText xml:space="preserve"> SEQ Figure \* ARABIC </w:instrText>
      </w:r>
      <w:r>
        <w:rPr>
          <w:b w:val="0"/>
          <w:caps w:val="0"/>
        </w:rPr>
        <w:fldChar w:fldCharType="separate"/>
      </w:r>
      <w:r w:rsidR="00132821">
        <w:rPr>
          <w:noProof/>
        </w:rPr>
        <w:t>3</w:t>
      </w:r>
      <w:r>
        <w:rPr>
          <w:b w:val="0"/>
          <w:caps w:val="0"/>
        </w:rPr>
        <w:fldChar w:fldCharType="end"/>
      </w:r>
      <w:r>
        <w:t xml:space="preserve"> : </w:t>
      </w:r>
      <w:r w:rsidR="005745FE" w:rsidRPr="693AD768">
        <w:rPr>
          <w:color w:val="auto"/>
        </w:rPr>
        <w:t>Localisation de la RNP 6</w:t>
      </w:r>
      <w:r w:rsidR="1BFF6192" w:rsidRPr="693AD768">
        <w:rPr>
          <w:color w:val="auto"/>
        </w:rPr>
        <w:t xml:space="preserve"> (SECTION 2 &amp; 3)</w:t>
      </w:r>
      <w:bookmarkEnd w:id="70"/>
    </w:p>
    <w:p w14:paraId="4E64409B" w14:textId="140208F4" w:rsidR="005745FE" w:rsidDel="00026415" w:rsidRDefault="5929A314" w:rsidP="498694C6">
      <w:r>
        <w:rPr>
          <w:noProof/>
        </w:rPr>
        <w:lastRenderedPageBreak/>
        <w:drawing>
          <wp:inline distT="0" distB="0" distL="0" distR="0" wp14:anchorId="2717DB49" wp14:editId="7DD65894">
            <wp:extent cx="5761219" cy="3840813"/>
            <wp:effectExtent l="0" t="0" r="0" b="0"/>
            <wp:docPr id="181363808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638086" name="Picture 1813638086"/>
                    <pic:cNvPicPr/>
                  </pic:nvPicPr>
                  <pic:blipFill>
                    <a:blip r:embed="rId29">
                      <a:extLst>
                        <a:ext uri="{28A0092B-C50C-407E-A947-70E740481C1C}">
                          <a14:useLocalDpi xmlns:a14="http://schemas.microsoft.com/office/drawing/2010/main"/>
                        </a:ext>
                      </a:extLst>
                    </a:blip>
                    <a:stretch>
                      <a:fillRect/>
                    </a:stretch>
                  </pic:blipFill>
                  <pic:spPr>
                    <a:xfrm>
                      <a:off x="0" y="0"/>
                      <a:ext cx="5761219" cy="3840813"/>
                    </a:xfrm>
                    <a:prstGeom prst="rect">
                      <a:avLst/>
                    </a:prstGeom>
                  </pic:spPr>
                </pic:pic>
              </a:graphicData>
            </a:graphic>
          </wp:inline>
        </w:drawing>
      </w:r>
      <w:r w:rsidR="005745FE">
        <w:rPr>
          <w:noProof/>
        </w:rPr>
        <w:lastRenderedPageBreak/>
        <mc:AlternateContent>
          <mc:Choice Requires="wpg">
            <w:drawing>
              <wp:inline distT="0" distB="0" distL="114300" distR="114300" wp14:anchorId="5B05098E" wp14:editId="4FC10BBC">
                <wp:extent cx="5295900" cy="7486650"/>
                <wp:effectExtent l="0" t="0" r="0" b="0"/>
                <wp:docPr id="387999506" name="Groupe 24"/>
                <wp:cNvGraphicFramePr/>
                <a:graphic xmlns:a="http://schemas.openxmlformats.org/drawingml/2006/main">
                  <a:graphicData uri="http://schemas.microsoft.com/office/word/2010/wordprocessingGroup">
                    <wpg:wgp>
                      <wpg:cNvGrpSpPr/>
                      <wpg:grpSpPr>
                        <a:xfrm>
                          <a:off x="0" y="0"/>
                          <a:ext cx="5295900" cy="7486650"/>
                          <a:chOff x="0" y="0"/>
                          <a:chExt cx="5295900" cy="7486650"/>
                        </a:xfrm>
                      </wpg:grpSpPr>
                      <pic:pic xmlns:pic="http://schemas.openxmlformats.org/drawingml/2006/picture">
                        <pic:nvPicPr>
                          <pic:cNvPr id="1637462545" name="Image 25"/>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95900" cy="7486650"/>
                          </a:xfrm>
                          <a:prstGeom prst="rect">
                            <a:avLst/>
                          </a:prstGeom>
                          <a:noFill/>
                          <a:ln>
                            <a:noFill/>
                          </a:ln>
                        </pic:spPr>
                      </pic:pic>
                    </wpg:wgp>
                  </a:graphicData>
                </a:graphic>
              </wp:inline>
            </w:drawing>
          </mc:Choice>
          <mc:Fallback xmlns:a="http://schemas.openxmlformats.org/drawingml/2006/main" xmlns:pic="http://schemas.openxmlformats.org/drawingml/2006/picture" xmlns:a14="http://schemas.microsoft.com/office/drawing/2010/main">
            <w:pict w14:anchorId="130B9363">
              <v:group id="Groupe 24" style="width:417pt;height:589.5pt;mso-position-horizontal-relative:char;mso-position-vertical-relative:line" coordsize="52959,74866" o:spid="_x0000_s1026" w14:anchorId="1C41634F"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2m1FAgAAMAUAAA4AAABkcnMvZTJvRG9jLnhtbKRUXW/aMBR9n7T/&#10;YPm9hDJC2wioprGiSt2G1u0HGMdJrPpL1w6Bf79rk9IBlTp1D5hr+/r6nONzM73dakU2Ary0ZkYv&#10;B0NKhOG2lKae0d+/7i6uKfGBmZIpa8SM7oSnt/OPH6adK8TINlaVAggWMb7o3Iw2IbgiyzxvhGZ+&#10;YJ0wuFlZ0CzgFOqsBNZhda2y0XA4yToLpQPLhfe4uthv0nmqX1WChx9V5UUgakYRW0gjpHEdx2w+&#10;ZUUNzDWS9zDYO1BoJg1eeii1YIGRFuRZKS05WG+rMOBWZ7aqJBeJA7K5HJ6wWYJtXeJSF13tDjKh&#10;tCc6vbss/75Zgnt0K0AlOlejFmkWuWwr0PEfUZJtkmx3kExsA+G4mI9u8pshKstx72p8PZnkvai8&#10;QeXPzvHm6xsns+eLsyM4TvICf70GGJ1p8LZX8FRoQdC+iP6nGprBU+su8LkcC3ItlQy7ZD18mAjK&#10;bFaSr2A/QTlXQGSJrTD5dDWejPJxTolhGq1/r1ktyCiPnosHY+7+JIvMHix/8sTYLw0ztfjsHXoX&#10;y8Ts7Dg9TY+uXSvp7qRS8bVi3BNEn5/45BWN9h5cWN5qYcK+qUAo5GqNb6TzlEAh9FogKbgvEyBW&#10;eOA/EWBqHx9ABN7EyysE0a/jOx42EuIXkJGOR8uRdffNligNa4NN7fM/ljsYB+UEH5bCahIDhI1I&#10;U3m2efARM6Y+p0TUxkbxEhdljhYwMa4k/BFxHyIBjKI/sS1Tuf4TEvv+73nKevnQzf8AAAD//wMA&#10;UEsDBBQABgAIAAAAIQAghDM1sVUDADwQJQAUAAAAZHJzL21lZGlhL2ltYWdlMS5lbWbsnXe4VkWW&#10;7qvn3rnzZ8/8P/dqM4IYUBBTqwQDZgFFRVGCIiIYkKSoqCCiIiAiGBABFSSYFQVBgiKtmJEWdeyg&#10;3W1ra7d20raD/cytXx3WZ1HuL5y4v/Od1+cpq3bVqlWrar/n2y+r0veccxf5YP/N+hfnFv4ve3Lu&#10;3U7O/b2nc7v2Oulo577nDvv39o7i730rElKT/s25g/+3c2f4gk1J2XM9/tVt/epf3Mk+f9332xdK&#10;07as4FZvwyLfSF+f0dGHCT4ctaPeru41Z+WUoQPZ77ld/dO3cuFhx//+53/+xyloDIQBYUAYEAaE&#10;AWFAGBAGhAFhQBgQBoQBYUAYEAaEAWFAGBAGhAFhQBgQBoQBYUAYEAaEAWFAGBAGhAFhQBgQBoQB&#10;YUAYEAaEAWFAGBAGhAFhQBgQBoQBYUAYEAaEAWFAGBAGhAFhQBgQBoQBYUAYEAaEAWFAGBAGhAFh&#10;QBgQBoQBYUAYEAaEAWFAGBAGhAFhQBgQBoQBYUAYEAaEAWFAGBAGhAFhQBgQBoQBYUAYEAaEAWFA&#10;GBAGhAFhQBgQBoQBYUAYEAaEAWFAGBAGhAFhQBgQBoQBYUAYEAaEAWFAGBAGhAFhQBgQBoQBYUAY&#10;EAaEAWFAGBAGhAFhQBgQBoQBYUAYEAaEAWFAGBAGhAFhQBgQBoQBYUAYEAaEAWFAGBAGhAFhQBgQ&#10;BoQBYUAYEAaEAWFAGBAGhAFhQBgQBoQBYUAYEAaEAWFAGBAGhAFhQBgQBoQBYUAYEAaEAWFAGBAG&#10;hAFhQBgQBoQBYUAYEAaEAWFAGBAGhAFhQBgQBoQBYUAYEAaEAWFAGBAGhAFhQBgQBoQBYUAYEAaE&#10;AWFAGBAGhAFhQBgQBoQBYUAYEAaEAWFAGBAGhAFhQBgQBoQBYUAYEAaEAWFAGBAGhAFhQBgQBoQB&#10;YUAYEAaEAWFAGBAGhAFhQBgQBoQBYUAYEAaEAWFAGBAGhAFhQBgQBoQBYUAYEAaEAWFAGBAGhAFh&#10;QBgQBoQBYUAYEAaEAWFAGBAGhAFhQBgQBoQBYUAYEAaEAWFAGBAGhAFhQBgQBoQBYUAYEAaEAWFA&#10;GBAGhAFhQBgQBoQBYUAYEAaEAWFAGBAGhAFhQBgQBoQBYUAYEAaEAWFAGBAGhAFhQBgQBoQBYUAY&#10;EAaEAWFAGBAGhAFhQBgQBoQBYUAYEAaEAWFAGBAGhAFhQBgQBoQBYUAYEAaEAWFAGBAGhAFhQBgQ&#10;BoQBYUAYEAaEAWFAGBAGhAFhQBgQBoQBYUAYEAaEAWFAGBAGhAFhQBgQBoQBYUAYEAaEAWFAGBAG&#10;hAFhQBgQBoQBYUAYEAaEAWFAGBAGhAFhQBgQBoQBYUAYEAaEAWFAGBAGhAFhQBgQBoQBYUAYEAaE&#10;AWFAGBAGhAFhQBgQBoQBYUAYEAaEAWFAGBAGhAFhQBgQBoQBYUAYEAaEAWFAGBAGhAFhQBgQBoQB&#10;YUAYEAaEAWFAGBAGhAFhQBgQBoQBYUAYEAaEAWFAGBAGhAFhQBgQBoQBYUAYEAaEAWFAGBAGhAFh&#10;QBgQBoQBYUAYEAaEAWFAGBAGhAFhQBgQBoQBYUAYEAaEAWFAGBAGhAFhQBgQBoQBYUAYEAaEAWFA&#10;GBAGhAFhQBgQBoQBYUAYEAaEAWFAGBAGhAFhQBgQBoSBnTHwb//nX52CxkAYEAaEAWFAGBAGhIHW&#10;hYG8OC04yatttbszj6/V8RDG2sZ7rlX8ql/CrzAgDFQjBvL8tubZdjW+C9nU9L8RwljTj6lwqjEV&#10;BoQBYaBtYyDPb2uebQv3bQP3wljbeM/6e9Z7FgaEAWGg5TCQ57c1z7aFsZbDWJ5jLYy1jfecJ8bU&#10;tjAmDAgDbQ0DeX5b82y7rb3nhvb3ootHuV122dX9+3/8h9tr707u3nsXt6o1qsKYftMbin3VE3aE&#10;AWFAGMjGQJ7f1mJtt/uvdq65gnCQjYOscZk48dqwD37QoCEODnnkUUcHDvnkylWthj8Ww1hWf5VX&#10;OTY0VhorYUAYEAbaLgby/LYWaxve+P77/93kAb2lsA4nSsOWl18NdWK+FKfRZzKmO34m/dFHvy60&#10;y3Ncn7IZM28NIZYzXXFMOXzOdKby+AStPK4Xp+O203z4YVxu+miHfGL8j8hRN5blmXL6kvoms+Ti&#10;MYrtaOp0MYw1dTvS13Z/Q/Xu9e6FAWGgrWEgz29rsbbz4I7wG+xJA1zJyoxbIWP8CbzEfCp9pgx/&#10;HflwKp6pj054Fs8WmBsmLwuDWbKmFx5m88qmK7bP9MX9sDzigw76YbDJbDO9lKHH8q0Nysm3fiCX&#10;ZZ/x5HS8qI/O2IbmStN2c+mWXn0vhAFhQBgQBtoiBvL8thZrO0/uCCeCY1lI+U8W/4IHxVwtfiZt&#10;XMw4EzrMh9e37ykhzTMcDn6W4jCWpYz6sV7WIRLMl8ccM+XIxbqybDdZ8xXitzT74YPG+6iLLM8p&#10;d6Rd6tAX2sNe7KEvWW3aOMS2NVe6GMaaqz3p1XdEGBAGhAFhoNYxkOe3tVjbeXPH9J3H/CdOm5xx&#10;raxnylLuiJz57eBn6CSQjjmo6TNZZCwPnYTYHtNDTB04nMkTx7KWb/aldXnO4ngmH9sUp02v5d0w&#10;dVqBf1pZll4ra+q4GMaauh3p07dCGBAGhAFhoK1gIM9va7G22xJ3ZAzSAG+L8Wc8LM5PuWOqg2fq&#10;xXqon+bDBbPqmn78h7GOYtyR/FjObBZ31G9pjAulhQdhQBgQBlo/BuANeb3HYm23Be5o88HMEcPp&#10;CDZ/nPoLkWGsYu4Ip4Pf2Xw2dU2PydNG/G4pR0/MKdHDXLnVJYYHoo856JQTZnFHa8/mvWmTNpCd&#10;O/eu77SJ3Vlz87GtTZUuhrGm0i89rf83UO9Q71AYEAaEgfphIM9va7G2WwN3hPvAzYw3pc/kg0Xj&#10;WqThTDzDz3imDrwNzkXgGZkUw/BDk6Wu8TKTNS6GPZQXWzdJGWOOLnRgo+kiptz4K2lswl7jpXBJ&#10;6tMe8qSRi+2jDnbE9lqb5BPQaWsj07429TNtN7VO6avfb4zGS+MlDAgDwkBtYSDPb2uxtquNO9pe&#10;ELiWpeFPcCACXI0y0vSJZ/s7wa8H97Jyq4MeAuWWZ1zQ6sax8TH0Gy+L5WN70InuuD5psx37aBM5&#10;8o0/mm7asrpxGfKEuD/WTrG+WJvmw7Q2rJ6101wx7TWXbumtrd9CvU+9T2FAGBAGKsNAnt/WYm1X&#10;G3cES/jXUkzhb4s5EM+pHOXkU9f4XaonlknL0mfTj66YOyKX2pPWjZ9ju8lHL5wwlonT1m65vHJ9&#10;ydIT62zqdDGMNXU70lfZ7025cfr000/dI48+4datf64oFsvpUHnTvAuNo8ZRGGh7GMBfRIBP4EeC&#10;ZxiHifGQ57e1WNvVxh3hO9jKeMZjV0ka/55xPOrjM6ykXjmZLO5Yrk6pcrCBraX4Y1yfvjAmLc0F&#10;YxsqSRfDWCV1JdOyv5tjRo93e+61p+vatWuI99xrL9enTz83efJUcUn/7zvhUWMgDAgDzYkB4yg2&#10;t8n3nbnGeC7V2s/z21qs7Ty4I9wJPsZ6PRsbi0uVmUyxGC4Wc84s/l6sbql8dMZ6S8lWWoa+Stch&#10;Mk7F/j1SaXstIVcMYy3Rttqo/Hd+27a3wz2kK5avKNwn9cwzz3jeOMWdeGKfHZxyf9er17HuqF7H&#10;hHjAmYPcaM83x4y5zME7SY8dOyGEW26ZE/yX+DH1Hip/DxorjZUw0HYxAEeEB+Bv5NsJX+Fbn/Ud&#10;zcprKewUazsP7thSfVY7Lft3WQxjeg8t+x7KjTfz1IceeliBN2bdSQqvnD9/QSGMHHmJKxbgm4ce&#10;2i3wUXyXCxfe78Qjq+udl8OEyvW+hIGWxYBxRzgj3044ZGvjjvDH5gjCYstiMe/xFndsHe970qTr&#10;y3LHLD5ZLm/LlpcDv4SXdu26vxswYPBOHPKf//ynKxbAbrGyhubn/feg9lvH34Pek95THhgwf6PN&#10;QTJ3bfPXqT15flvzbDsdBz3X5t+qMFbd7xVfIHPOrHOM56vLccKGlKO/bv57Lzdz5ux688JvvvnG&#10;NSYY39RvTXVjUu9H76ctYwA/I+sc8T3CIQlZa+3y/Lbm2XZbxkZb6rswVp3fAeaQWa/I3AJ8rrl5&#10;I1zzvffeDWHmzFnuEO+HPOqoY9wza9a7v/71r5nh73//e2Z+MXnL//rrrx3Bni1GH9wTDtmW/gbV&#10;1+r8G9R70XsphgF8jex9gEeaDD5JeKQ95/ltzbNt67/i2v77Ecaq6/3iY2TueD+/l5q1iswpN8SH&#10;WJ86xhnfffcd9/b2twth4NlD3J577uGWLXvIffnlVzuFv/zla2chLfvzn//sssIf//hHR/j97/8Q&#10;YtKxHPrglHBI8cfqwqW+A3ofwsC3GIAzsheW7yc8kj2/rIUkz8Ypz29rnm1b/xV/i5daHAthrDre&#10;77BhI/289F7uyCN7hb0u9eF+jZFNeePWt95yb7y5NYRXX33NXXnlRLfHHnu4J5582v3ud78rhC++&#10;+MJZsPzPPvuti8Onn37m105+5j755Dc7hY8//qTwbDLUQx98Ev4o/2N14LIWf/PUJ2GrKTDAvDW+&#10;R76hdn5fPHed57c1z7abYmylo/r/RoWx/N8RvJG9Kpy50xgeWN+6WbzxlVdedS+//LJ7acsW98Lm&#10;ze755ze58eMnuH07d/Hz1+vcBx98GMKHv/il+9WvPnLElkf8s5/93P3kp3Xh/fd/6vvzU/fef78f&#10;wjvvvucIb29/x73zTl3ayqiDLnim+GP+mNRvt96BMFAcA/gY+XbiZ2SuOmus8vy25tl21lgorziW&#10;WuvYCGP5vlPO3mFNY7Xwxk2bNgW+uHHDRrdmzVr31FNPuZUrV7pT+53udt11F3fGGWe7Z5/d4N7c&#10;us1t+/HbIX7ttTdcHLg76aWXXnabf/RSCC+88KIjbNq0OYSNG58vpJF58cUt7pVXXgv64JD4IJkH&#10;Zx2k9s/ki8/W+rsmu4Wb5sTAsced4Pbf/8CwZwYeyZ3KaXt5flvzbDsdBz3X5t+iMJbve+VsRdY1&#10;1tdn2Bh58zcSb9++3XO2H7u7777Hc7iX3Pr1Gzw3fNbNmjXbrVixwj3x+OPu7nnz3ZIlS9y110wK&#10;e2g6ddrHTZgwMfgh4X6rVq11Dz30WOCA8MZFixY7+OG8eQvco54bz7vrHrd48VL/7/PZ7v7Fy4L8&#10;Gu/DvOWW29yts+e62bNv92vOlwQeip+SeWzWQcIdNXedLz71u6/xFwa+iwG+m/gcWeto5/ak45Tn&#10;tzXPttNx4LnU/XpxGXP+jGe8B8n0UQZHt/uiLaacslgPeeiI5U0P9cjPaiOWidcfkB/rRwf7oiyP&#10;51iefJ4JsZ2mJ8su05VlA3pim2O9aT3qN6bv1n65uNowVs7eWirnzMaWOHsn5ZnGHW1vzLZt21yX&#10;/bqEOerFixf7Nd8HuRNOOMl169bdXeP54nnnDXdTp97ojvP/1n5wxYNu3LjL3D777uNlerv+pw9w&#10;3bv38PfYHO2D35f9zLqQf9VV17puPh++eLzXNXz4RWEt5/HHnxT033ffkhBTRhg6dHjwPTKnzby1&#10;uON3v1e1hH31Re+3tWKA7zbfTeOMfLuzvqNZeS3V5zzbTvto4xPvQTcZfLasFUWG8SRtAV5uvAsu&#10;ZPnE3ANJjB7eB7L0mTaow3Msb22zpynOj9swm4iRifc9UR/92Ek61mF9sDbi9QzoQNZ0m6zVxx7K&#10;Yv0mazakfcdmuwczHdum6Lu1Xy6uJoyVs7VWyjmzsa/3N7KXuiXO3qmUOzJfff31N7hLLx3rVq9a&#10;7c4fNsING3ZBCDfddLM7/vgTvB/x0RCOPvoYd/DBBwfOOf/uhWFuul+//m7GjFsDd+x3yumBE54z&#10;ZFh4HjHikuBnxN94lP97mjVrTih/7rkXwvw189ZvvbUtrJVkzlrcse1xi1r9LaJftRhq5fe4If1g&#10;jwy8gG847zbrruI88Zxn2+l4pvzGyo0vEcN54Eo2jvBBxhaehDyci2fzt5E2TmZ64J7IUkYw3ml8&#10;ce7cu0Id5JFDV9ym2UVsvM3yrA36Qhn2WJntl0Im7iv6Y+6IHHWRoS5+RN4Tcazf9JoNsY64Hvlx&#10;e5Q1Rd+t/XJxNWGsnK21UM6Z2+yn5szGljh/J+WNPBfzO8Idma8+Z8jQ4BM8+eRTve/7XnfB8Av9&#10;WeGzPAc8KXBFfJSEMWPGu8MOO8zt3nF375sc4UaNGhdCr6OPdT169HSLlywL8Ukn9XWXXDI2+CUP&#10;8nwTPyVckTRlhKlTp4X9M+y3Yd825/U0dr2jrZVszri5MVmJ7c1tQ0vpr9XfolrsVy32qRKcwwf4&#10;zsNpiIcNG+569zk5+MzS+nmOUZ5tp+OQ8hvKzT8G1+E5izvFecajTDdl5KV147ZIW0Ced2f8El+e&#10;6TC+arqJs9pjTNFn/AxdPKOLMmKeSaMbPTHvS3XG7SBv+s0OkzfuC8dEv3Fe6sTtpWmeCcjVp+/W&#10;frkYe8vJqLzxPiA4o53bOOuW2S26vrES/ggXZI/17bffGbjdM8+s8furr3D4Gy+6aJSbO/eOwHfZ&#10;e02A+96xQ/bmadM91zzYHXDggWGNI7rwM7LnukfPwx1rOseOneDuu+8B38brgXeyJ6ZPn1MKe7TZ&#10;Yw2+G+tzTLkW6yUrCWm95ny2v6f6tGHrPqmT1Z9iuqyt1hDX6m9RLfarFvtUyd8IfAGfE/0nJsAl&#10;ssYjK6+SNppCJs+2U/tjTkMZv/OMWzxfDL8xLmj1Yz5lPCouM/lYztqi/2lAjvdHu5RRn3dn/knT&#10;TZzVHnXQjzz1kCHP9FFm7dMWelLuaPnWlrUT9yEti/WY3dSjTtyepZFJA7KV9t3aLxfTRjkZlTec&#10;O7KPGu7E/PTkyVNy54yvbP2JO+D437ouh//WvfzG+54bTvf2nex69yb0dVOmTHUDBw4J89GnnXaG&#10;W7duvbvuuqlhr8z5549wnPlIIP3AkqV+H8zdwW+IL5E1j+3a/SD4ExcuvC/wwOuuu9Fzz9Fhvrpv&#10;31P9nMSp7sILLw37YeyZGBnODGeuuiHnOxp3gldxtni5O29og2B32jR1bDYQp1zPbI15YCwfpxti&#10;l9U3vtla/n5r9beoFvtVi32qz98JPiCThwulnICyPMcoq+32/+9zt9sua5s12JjEsXEa+I4F7IN/&#10;wWeQZTzJw3dndRlT5OFqxPCwtIxn5KhLO7wLZPHV8Uww3bRFGe2Sh17KTWccIwe/tbzYFmwk0Bb1&#10;4/Z5xhbyqBtzRzhmrJNy2sHvaTri/lsZdhre0G/9oE7cXlP13fpcLqaf5WRUXjl3ZC1juE9wwKCC&#10;n3HI4HNzm5+OfY7GGzu0+9y13+XzAn9kDjveN8PemYqC35+dym3a9IIb6O+jadeunRt1yRj3wc8/&#10;CPPPnLkDL0yD3UnDHLXNU9eX8xgXgzPBteCE6CrWJudHxiG1yZ7Ntji2Movjsjht/SE2jmoxNsa2&#10;mr0mG8fojNuydFZs7Vvb6KUdxqc1/A3X6m9RLfarFvtUn78RvtnwAsYBPsBzWj/PMcpqO2/uaBwJ&#10;zkMwXmU8zLgVz+YjM64FjyrHHY2HIocunnkv6OCZ92N8jHzjlMbL4veHHAE7sQe+aTpsDtn088x4&#10;oxNZ0tSDy1kf0U2e6UTW1j9ShzLqYWv8jG20YzrN7liPldFGU/Q9HodSadotVa6ybN64bdvbDp8i&#10;PJF7BPEtHuX3GXNWI+d8c+5OHvtgYq6Ypkfe8Inr4Dlje7jjDv54xNmf7bT+cbs/sye+l7BYGrlS&#10;sksfWOqOOOIof6fhnm6033vDOeJwmTTEfjV4TmN4I7rhVPBC7qhh3SRz4AS7v4Y93GmgzOTS2O7M&#10;iXWZPpONZSxN+xawJ+Z6xu3gesZh8blaoB75PKftWpsWx7bHbZsPl7ZaC3+s1d+iWuxXLfapkm8d&#10;33i+38ZzGAf7Xqf18xyjYm3DH5srpP23Z8YLexg7y7MYDsT48RzPBcf5lMHd4GhWD05Fnvkk0U8d&#10;44HG2cgzOerCw3h3Jh/rNN3Wnr1Xk6WuyZh+KzM9tBXnkU+e1TP+iAx2mE7sxlbjk6SNN1M3rheX&#10;ZY2t2dbQvput5WL6UE6mrZbDD6+9dopf/3e4Dz39vpDugRvCDzlb58gjjw7nzoz0PJG7V+bPX1AV&#10;/sWUM9ozfkfmqvE5tt/1c7f7bp+7R9Z9GObRbf+M+SDxQ5YKJl9KhjLOjTzC37PIeI2+dFz4txhc&#10;xkI8n2v+w0rxZvLoMt4Ip4IbwlXZd8O6Ss6MJHCHjd1tE+612XG3DWV2Hw5xnEaHhbiMOugmz8rj&#10;2O7dwQ7sMbuI4YZwO8ujnH+jErivkTrEBHTG9tCm9cnSFlv71EcXemmHsakvJ6/0HTSlXK3+FtVi&#10;v2qxT5VgOf6Gm4+JelnjkZVXSRtNIZNn26n9WfwGGeN98KW4Dvn8fsV5pdK8E/pLO7EcOtAV51ka&#10;2UrbSPWaDuqnenjGFmxCrpgNxXSWqkMZ9eI+pe3FtsVylm86Ku17XC9NVxPGUtta4hnfIfs4LIwe&#10;Pd6v2zs2zDfDdw488CC3++67h7WKcEPjYa01Nv4Y88a4L8YJmzpevnx54NmM6Rg/xlu3/rhwZ4xx&#10;wPrMrVodeCO+S/x6+ODgUfBCzvvhrhv+fuL7bTZtqrvbhrOB7HwgyrnXBlm7H4dnC+SRthg57s0h&#10;FJPh3h1sIMBXsQvuCg/k79Z4YeCy3l7uabS7Grmvx/LRY/2gLdq2Pr344pbQN7MFudff2FqnZ0eb&#10;8EfGhjGqdv5Yq79FtdivWuxTpd8b/n7xJZn/Cu5DOq2f5xjl2XY6DsZv8IOlgXHj9yytU59nODx6&#10;S/Gx+uhrjCzYoE/GHc0H2Bidpera2Fp7pWSbuqyaMNbUfatE36RJ14d9LPgOLUyePCX4EOFU+BpZ&#10;r2j8qj6cyurkEZeykz0yz27+SWGuulL7SumstAwOebrfg4PvdsCZg8KcfyXvKZYx3ggXghO98eZb&#10;3t/7avDXwb/uX7zUrxlZ4p5+eo1btuwh99hjK8P+b2LusiFwNzdhrb9fccOG593CRfeH+274Hbvj&#10;jrsLdyiu9P/OW7DgvsAz0cn9OfDPOXPuKHBPZO65595wPw5lcNIVDz5SuGuH+3Xgg/BI7GO/OT5C&#10;uOT69c8Fe7EF++B+2LBh4yaPwUUFnkh79AdbaG/JkuVB/oEHVgT76QP3+cAj4ZuBh3r++KtffRT8&#10;nK1h7rpWf4tqsV+12Kf4N6ZcGo4AZ4Qb8N3O4j95jlGebadjx1gxTnFgLpdxoyyVb8hzU+lpSNul&#10;6tBHm88uJdfQMhtb+HNDdTS0XjVhrKF9aEw9/I5guhh/6ty5i7MzdYwflZqnRYZyk21MXMymYvlp&#10;W6XsjMvSepU+xzoqTZtu7u9mnp+1ofgiBwwY7PfdvF0R/mPuiN9xzpw7/b00FwRfHvdmc27kUH9P&#10;DXyLc8jxJXN3DZyR84O42+ZIP48+ZPBQ9/AjjwcZ9ohTb/J1N7juPXoWOOLIkaPcueeeH/aQc28O&#10;gefu3XsEfojPkucR/kwidMMbn3zy6aALPgmXJN98lvDHo/35l+AO3yLnXp533gX+DKS73MUXjwl+&#10;zJun31I4F5N24IzooD8nnNA7rK+lX/TnggsuDrwY2ykjXrr0wYIPk7nzL/wcubhj9rrlxvx2VFq3&#10;Fn9ja7FPlb5P5PhmsB7NAs9p/TzHKM+203HQc36/Pc059m0dY2P8Phf8YMX4WI+eR4RyOA/8qNT+&#10;kKx9JaXkKbNySxsHM45VzK4432StrunMsoc87q8mFCs3W7LiYnXSfGsjqx30YrP1gT1FvAM4ZJ/e&#10;pwReVQ7zxh/hjh999LHrefgR3g9wqjvmmOP8Pu9zAg+DB9bxvaMDr7rNcy842Brv44N3wSfhfHA/&#10;OCA+RbjXhAlXBf7IGZY8w+vgd/C/O++8O5xtedllVwbdnGuODHXRjd+vX7/+gbvCYwnGHfEpwh0n&#10;Tpy049zLU0Jd/I3ohUfSBm0tXrLMn4+0MbRB++gghh/Cc+GOE6+eFM474g6fq6+eHPowffqscGZS&#10;7He0NY+MFeNWbmzzKue3qFZDXmPaXO229e8G85LwRvxKFtKxznOM8mw7HQc9izvWGgY4Twe+Umod&#10;48IFi1zHjh39PSgvBa7FmTRvvLl15/DGm4XnrW+9FdLEdn4N6awQl1s6xJ7XPbj6fXfxTb/eiWMZ&#10;14pj443GFwNn8zZae5m2Yq8F3xeTtXgnWzLO6zG57+i2cTHdFlv+jrbQT/+YO485JPfsjBx5SVhD&#10;0LXr/m7IkGFu8eJlRblOzB+512bWrXPdMcce79as3eB9jfybYIC76qpr3amnnhH8eMwBw8Hgk8ST&#10;J091Z581xM30PNLmlLlnEb7HvTizb7vD6zgzlMH3KOMcTPSsXLk6khng4ITopBy/IjwQrsjdi+RT&#10;3/bXvP761sAdH3hgeTgfHf8jc9HYjB3MR6MDG84fNjLwSXTQLnnc2zNlyo2BI1566fgQz5t3T6gL&#10;Z8RO2vrggw/DGtDWst6x1n5f1J/a/GYyT1gJN6tEprkwkmfbzdUn6a2uv6e2jLFevY4L/q6Yi8Vp&#10;42X77tvZ84/+7rnnN4VzsV9+2e+T2LKlEOCVPJMfBztHm/taskJcbmk43bKn3nEdd//YdfjBb1zv&#10;Eb/ZiV9l2QdvhDMGLufro4v2zBazFTvTENttNpotr73+euEscNL2HOuOx2Jn3S/6tgh1bZoN1L3y&#10;1nf9Pu9PXJcjPg78Me6TpVknsPfee7s99tgj7Fsa5u/W5jwk+L79hhh3JF7v1/sd7n2P3KPInhn8&#10;gvCt9Rs2uZtvviWkp94wLcTHHXdi4Gljxlzu79GZ587of5bnfj92T/i5Zu7BYY0gefBQ1iryjK63&#10;337HzwevcOPHXVEnc8bZ7thEhu/Km2/W8Ug44sE//KGDI/b0ep/389fsreYsnaFDhwdfKf5P9s0g&#10;M358nd6xYycEf6jZgR7aX+JliK+99vrAC9GNLZMmXe959nnBpukzbnVneLs++aRub7d4Y3X93hp2&#10;Fbfu92JnsfD9JLBXI32neX5b82w7HQc9t26sF3t/bRFjrKtjDwxr7fB1GV+JY+ONzAOff/7IcNY1&#10;vGTZ0qVu44aNfo/DhkLgDuh169aF/Oeee64Qcz809/c97zlnVrD7/Sgz2YeffsV13ON91363D334&#10;tevwX79x/cd+8h3+aPbFvBEeB1ezNrHF7MQ+ArauXVsXzG7kCGaj2bL5R37OdccdhPBA0pQhhzzj&#10;QDDdph+9a9asDYG2eMYOysdPe9V16Lijfz8ozR/32Wcfd8ghh4Y97uxX4n2xx4Z313vgPW6fw37i&#10;Jlx3v3v44cfDnpezzhrs7r1vSdhXPHv27WFu+Ye+PnfdwLl2a7+bn2c6KASeu3Tp4s+g7BXOoezR&#10;s6c72c95r37m2bA+8EG/1+XMMweGM25YLzjhiqsDDzz2uBN2khngz4BnThgZ6lvgnhx8gwTK8Cte&#10;4XXA5b788iv36KNPulNOPi08s87R6hHDJ+GkcEP0wDWZj8c2yl/08+Jw0AmXTwy+VnyMyCGPzezp&#10;5nxI2uJ8nmqfqy7226T82vzm1MJ7hTsyV80eBULWHt88v615tl0L71d9KP/b09YwZryR9XWV8Maw&#10;PtDPse5/wAHBB9atWw83/+757vHHHvf7XB8L8SOPPBLilStX+r26q/x85kq3etXqAn8ibYGyp556&#10;KsiwX4Rg9ZC5f8V6t3unN137ju+59u0/dB12+8T1Gvxx4I42vxvzRuzD34hfDx4HT0MPOp94/HHP&#10;UR4NARsJDz/8kF+bVxdIU/7kk08GeeyiLn0w23gmDQeED1q56WcM0BHrR++DKx4M7ZCmzMaq2yk/&#10;cu33oH8/8dz4l8H/+PDan32HGxuPx/fIPLY9Ew+/YqPrsOvvwjmVHdp96o44ZkiY54ZXsmb9kEO7&#10;Ba6/335d3TV+TSBz5HfeOc8tWbwkzM/bXPv99y8O93ef4Nc9UmfUqLF+v+RrYV8Je0vSAA+rJA8Z&#10;+OGf/lTHE0l/9VVdSOubLDIW4nqkLVh5HGfpIw9b2YMu3lj+N1DfCY1RfTBgc9YzZt4q7uj3DdVn&#10;7CRbO+PVlrgjc5577rXXTmfuxJzE0sbN8Dkad2SudeLEa1ynTt4X5nnGzTdPL/CjFf7cGfgRXM04&#10;FfwLrmXc0PiicS04FfyTYBwODsbz3EXrXMdO21yH9j9zBx73C/fiq9/dux3bxlwyPkHagweix/gb&#10;flILDyx5wN9B/W0gf/my5YX2Y/tJx4F+odtk6Af8kPrcIYMuYtO/ePHikCYPGfgqNi1/6Cl/Pvlr&#10;nhe/7/v3Czdxzs/CfiHjxfYOLN63c+ed1qNylnm4F8GfbW5343Ts8Hngnqv9mHMW+bx584PO7dtL&#10;35Fj+3iwkTsUuQOHAOcy3gX3StNWbvnxczEuZzLoi8PXX9e1VaxenP/VV3/5DneNyy0dt/WPf/zD&#10;EZjX1+927fxu613m+y45d4VvpwXNWef7PvT30PLj31a448yZs8O+GDtvx7hJGhtvJDbuwd6QSy4Z&#10;HeY9mevcr+t+bi/PQcO8J3OfPhzn5zKHDbugkHf8CSe6u+662++H7RXmSE8+uZ+/o3C5Px/mhAKv&#10;ow7hQu9Xg3vCt5hThXfes+xFN+SKd90LW94O/DW2izTcEfuQHTTwnLC2EN/g+X5d4DC/T3fcuMvd&#10;9dff4M49Z5jnuTPcpf5ewAF+PvOYY48LYdSoMX5PxhI3edKUsF+jT59T/Dq6yYEfwgv79u3n/av3&#10;BC4LX0Qvtg8adE7giQMHDnEzZtwS1oFOmzbdnTVgoLvZx6b/pJP6uBtvnOZ9eWPC/CtzsITZs29z&#10;jz75rOtx2nZ3xax3gk+Qflj/0veBLzHOs7PN7W4c7ljsPeKzgozpsZhxSgPtxYHyZUuXuVVPrwrr&#10;Xw/1/zZgHnzr1rrzy+1MbfgXgWcLlhfzwb/97W/e78e92nXBOF0lMfywoYH2rA3jj8Sx/fqNbfnf&#10;WI157Y05c9TMcfD9ZL+15qxr7x3r77b0O60l7sj9gev8WcvpO2dNGvupK71fOuYd5ne85JIx7rbb&#10;5ob5ZjjUfl27us5dOgfOh08NX9/5548IfAo+B4/jLJWrrromzPOeecZZbvjwkYF/me8RPZdffqXr&#10;1q17KGN/BoG6+BHZs8J8a8qtzD7ysY+9tzNmzPS8bE7gnnBAuB5n13br1s1dP/VGd97Q8wN3mzx5&#10;SujHYYd1c9OnzwzlcDwCvHXhwkWBQ2ITPBF/42C/1hC7FixY6Pr3HxACto8de1ngymedNTBwYLgq&#10;/BA/3rnnnBd45bnnDgscFp8jAX3Mq7Muk31Bcf9ijmhpuGO6tqDAH/3drDFvtDo2Pg2NWc/A2krO&#10;CzJuGMeffPGNW/lSnS+PfPPtwR/ruNtfCvPPX3757Vx0nGYtIoF1ifGctKWzYmQtZJWj3/JJG4+0&#10;+WvjkOnfh55L/0ZqfDQ+KQbsjB6+n3BInlOZPL+tebadjoOea/Pvp1YwBj+EZ7B32vbiMkddbk+M&#10;8Y00hneYb4+5zVHeb3f00cf48/VOct26d3crVqzwey06h/P54EsTPAccccFF/kyW2WFPCPtJ8Eey&#10;t2T9+g0hn7px4FzAW2+9LeTBwzgHev78ewJvZI4cfyfc0DhQbKPlbff8EX7KmS74+gZ4/x82wN2w&#10;kz0mnIF9wfALA2+F++GnhBvedNPNgROyhpEAv73yyqtDDA/s5u3BdmyeN+/uwGlZI4he/Kr4Ui/x&#10;fsUjvW+V5zou2r3go+Tsb/ZH0ya8mcC8OusyWZ/JukPGlnGmP3H/LM1+mXS9I2Xwx3uf+GVmHavb&#10;mJi1Bvx7Y5g/I8fwxG/gp3/4pzuo9+/DvHm/0X8qcEt4Iz4+OBuc0PbPsE/GAnte2OOSFShDLo5N&#10;ntjSVtfyLCbf6pNnbRLDN7Ep9kHq97w2f8/1Xpv/vXKHDN9N9sjY99PiePyz8uLy5kzn2XZz9ku6&#10;mx/flY5xa8cY33V4I34i7grhPGc4JAHfIH62hnAI42bwGvjb6NHj3Dw/Bw33gfPBDeGMnEPYyfMb&#10;ni+66FJ3x+13Bp8ae55P8/6rxX5/Bj42/IvMJWPfZr9/mQDXQ37SpOvcaaf2D9wUToW/0XhjMV5l&#10;9hE/s/oZf7ZMT3f66WeGPSHo7N6jh/c1DncLva8QToptJ57Y2/sKL/frNq8NaeZp8Y3aXupT+53u&#10;pk2bEfqHfWefPdjbNiXE8EL2Wj/oOTN9QBfcGF8u89WMyZw5twd9s73/s98pp4V2Rvr5eObP8dkS&#10;aCvwRnyOnjfCfYvxRt5beidkQ95lQ+vAH/FBgiW7P/HAE37nOrTz+3TafR7ifpf+IcwJ49uDn8Hb&#10;OB+Hc3c4Y4fA3S6ctRgH7rVmPzSBNGXF5KyeyRNbntUljuuTJtB+tZ/Xw3no/PukR4/D3Zix47/j&#10;v6n0tyxPua77H+jvJJq6k+1LliwLfaJfnEsf22dl9Jt0XJZnmndBX9LQv/+ZBRtL2c4YUJd+rVq1&#10;tlAn7hO6TN/H/u+E8Rk2bHgYP8tHPh5TdPFcTGesvyXSus+6YRwG3s33h5De45jO+7MnKZWBr1dS&#10;N8VArDtOI0c77HsikI7r8hy3l9oTy5K2/VOkU9litqc6iulJx6OU3fSR8rQOuov1H/tiW6ibysbl&#10;rZ079u3TL3zb4/O9+eY3lC/E9Yyfwd+41447S/DvEfALcgYz94owd8288ciR3A83v+7cbe9Tu+ee&#10;hSG/d+++oc7GjRuDPNyQQD57O8hH19TrbyycKw5fLcYbzcbYPnx78Ed8eeiE17GeETuxlzl3uOpA&#10;zwfhsKQDv/WcFY470K9fNDnm3rGPvpiNlHFWEf2cMmVq6Ad+WHTMmDErtMfdKD08Z2VtKGV33nFX&#10;SNMm7ZOPXmyM56pLcUd4W/xure8tGYMnODD/Pmm/68c+sE/H80e/17tjx98Gfx68Ed8fnI57qt95&#10;5z1/ZuS2EDgjnDum+S6TJpB+5ZXXwu8L6Vg2LUeOwN03L764JdThd8nqW2z10Ed76MQO7IFbYh9+&#10;0WryP8JD+A0yvkE65Vnx71W1prEb/mP2waHIM05M2ngPcjzDk+j397///YAHq5t3/J//+X+DTdhp&#10;wXgxNqe2w/+w2fqCDDoIVhb3CTkCeaaPsaEty6eMdsgjbTghjnXllea7qvus68cfmdtnTxHvlUB6&#10;kN9zxDuEo5DHuUf2Tk2eZ37vdvHrAqhjwWStbjGegxy6KTdZqwvXM33EtEEebcKl4jL+vcCz2RfH&#10;qX2xbFqGDms/1kE6lY31xOOR2o1Os5v1t/QX+bgO+sv1n7rIgW/GIn0nsb2Uxc+tLc289CH+m95c&#10;XML4GTF8Ds5D2BrdGzPU32m3d6e9/T3D44MvzfbvIk/Y7H1t5FndQkxeRqiEN8b9xba1a/15ip7j&#10;WHvwVmuH9ZcE9jvDKwnPP/98gafiOzR50ps3v1CoG/K9jeSRRg96kSPNOBAoq5NZEPQv9T7NNzxH&#10;XLnyKV+2oBCCTV6f+RtL8Ub6iG+XMx7TNY9x/1syzT7vDrt95s8H8v5HHw8455qwrpA5avx73BED&#10;Z4O/wfXsXkI4n/E+uB53F1JO4Jk6cD9kqPOcvxd706bN/t8VzxfC2mc5I3Oj2+DPQbeYcmSJkSeg&#10;E/3YwD01xh+xr9rmruFWHffYs/AbZLyjtf0O8TtqPAfb4UD0zfqBb43AM1wxloVj0W+TzTuGu9Of&#10;2H6zCdtj37DZDkekjvF+e45lTYdxR/hiPG6tiTtaX0rF9K1UeXOWNUXbm7d/02T2w7ONMxmHIw87&#10;4VEpp2FsYt4DhyLArSiDc6LPdKGHdNaYFuOO8CN0YAdpAtwJzoQe0rRJPu3GPC5tx+wzPbGslWXZ&#10;Xh898XhgI8+0Z7aSF48jZXEd5NJy6z9lyKOD8bAxMz6a2slzU2AsS29z540Zc5mfHz3W4XdkDrU5&#10;+YPxR/yAcB7jhHHMd4FzXjr6e1CWLV22097eYnXIzwrl/I1pX80+4lhfbF+aTvltWs5zrIt0lkxW&#10;XsqHUxnrXzneSD9ZI4DvEa6a9juv50ee/bk/l3y726frceGdsyeF+xC5w2b06MuCzw8+uGjRYnfT&#10;tBnu6afXhLO7zxow2Ptobw2cjrO8WUdA4P7Cp1etCfzxEX9mOOtEr7nmusAD4Ylgnburud+QZ3ji&#10;BRdc7KZOneb3R90enrn/hvUIcMpx4yaEO7Uvv/yqAneE0/I9/6Nf+8j8Ousz2efT3H+n5fTDI2Ie&#10;ZbylXL1qK+d3NO4HzzFvosw4MmWx/wyOFvvbqqFv2AdPxC5wg03Eqe387iGDPGX8e8XsT99tnI8s&#10;vNPGhDJxx/r58Ww8s2LGNyu/0rzpy/5aWNNdaZ1icnAmOIr5GGM5+JlxQGyO/XHGe2K+Q9oCsvAd&#10;KydGN3PMlBEsjW6rZ+1QThp+ZGWkyUcPdmGD2Us+efZssbVv9cg32bjM2iCm3HhfJXqQsfEgjQ7G&#10;lYAuOF/KHdM6Vs/6z9jYuFBGQJeFtMxkLKbc0q0pZh0cZ/HBG1vCJxXzM7hPscBZN/hBY3nSsXxa&#10;lvXcEF6UpSdul3TKB9Py+DnWF+eXS5dqI9aZ1UfOETrgwAMDf6K8R88jwjrWLNm88qwPI0ZcFP79&#10;Anfk3hfuDBw06Fx/LpFfG+u5HNjkzmzuz4Yfck4Uc/6UsaaAOf4775rvz08a7/eyDw1ck3UB5+1Y&#10;F8vvwvjxVwTZy8ZfGfTMnXtXQeeFF8I9Rwc/I+tWOWdgqF/j2q9f/6Cb9RTorma/Y8ovjIO0pt8i&#10;bOV3NOWO9MX6QRky1r+0jHEw2WqJ8QvCH43flbLdymLb6VOWP5V89KZjlsUdzfdp+uNxi9tq6TTf&#10;bvxJ9AH+w3NqA2VpXks9N6Zt442szeng13WzJ7AxdsNFsCddT4dOfuPIZ/yQQdbaMq5kZZSnAXkr&#10;t3cAvzM50tY+5SZLnuWbbBwj15TcMdZtadq3vhLHtlk+MsZXbTwoY9zMt4k+eKNxYJ5Nd1wnbcP6&#10;T7vWnsWlykyGdizdmmK4I/sYWpo/GG8oFi9csMifH94p3He33J/nWEyuVH5j+lRKb7WUZfWP/diM&#10;G3ubw/lHnbsE/ojPsanWr2a125A8G0fOg8TXPG3azHBXINxxwcL7/B1E+7vBg4aGNawrn1od+GJY&#10;A+l9fxMnTgq+SbgjvkCC3VdtPHHV6rV+nenJjhiuSUAva04Heb0843OEoyJ32mlnul6+DJ8PZStX&#10;rvY+4nfc8hUPh3L21rBnhn088FzWO9qZQ3n/zbd27vjxDp8cv6Mpd7T5W8aYMjgY7wjZmAPBr6qR&#10;O2J3PK9s6SzbyUu/Jem7NayRT7A1obaW0vg1/lorwzdJmjGCb5qOvGO+5/jR4D3E9n2P7UrHIy5r&#10;7nRj2j7gRH+OhD83N9y94LkjdzE8taXhcxSV8JAs3mS8B/+cjTdyBPOZxXzJOBC8yuRIx+2Tz9iQ&#10;R13S6DJ5e5fWJjbYu6JO1numDfIpN9lUD8/WRmy7yROX0kO5jQdp/r0CX6RN9FI39sGaLXEd6mX1&#10;P+b0pAnUZ2yQp15WaAzGsvS1VB7nOMIrGvLtb4k6rNPbw89f5817jOcUi1tiLCppAx8d79Pmp9kz&#10;T5r520rqt7SMjSdrR7n7cP/99/f70Yf4syxvcvt23tefkX68318zKnA27plmrSE8Y/Kk6wu+RJ7J&#10;Zw8L/sIJEyYG/yV5rMUgIN/Hx0uXrgjz3fgae/Q83M9v/9iNH3eFO8ef/Q5nxd998823hP1cTzz5&#10;dPgdecDno+PTTz8LZ/Z8+WV17ZPhtwIOYb4lnuEN1cQRyv2eYatxnpg7wnni55gf8ptrfClrDMq1&#10;2dzl2B3zQ5uXpl1sjzkx74++ZfHKdAzMbuOOPDMOPFPfOCIcm3Zol3zK0RWvATBdecR8p7HP5hyJ&#10;eU5tycpLZZrruTFts86Ru7qa2u9YiocYpzH/GbyOtHE3YitD1rgT42cckDhrPGMeZO0Yt0Inuowz&#10;xW3CB6199FIniztSZvagx2w32VK2p/aW02M6kcPvSH9ok3zWKZLm3WMruKRtnm0N45LFdf/Gy+o/&#10;dqMHnks59YqNKXY3BmNpv1vyGe6Ij6qlOUN92uvq+cRBBx3c4HOC6tNWa5bt3LlL4SyealrXWG5M&#10;4Y/sURrj1yMecuihrqfndAS4In7FLVteDZzt4ovH+LMwT3UTrrja9Tz8CLf6mWdDOftrWH/I/pV7&#10;71sS8m677Y5wNiTyBM5nPNnPhz/00GPhPB/0wjPJh2tSZpzzuutu9HuSFrlj/V1F5BEv9P5K9Fcj&#10;b+T3Ar4A/4Kr4JODN8RcsiV/UxrSFjyL31BCyhXhO/SJvhnHpA24kPkgKaNuzCUbYkdT1mH8se9j&#10;/28b7Kcf8MPYdspsbapxSeTge5TB8+gX3C+1LeaOaVm1P/NN5bvNN9Z4BzEhtZ3+p3kt9dzYtgN/&#10;3P2LRs9X01/4B/bgb0v7z3ia3w8ZuA5jS5oxhadbHSujHN5EGXVNnrhYG+iDZ1EnluPZ5n7Jpw1r&#10;j3x4lD2jmzx7juMsPegzmSzbrSyOS+nBFmvf5OgX7YBJ9FBuechbHcYSuZEjLy7bf3Qja3qyxpS2&#10;KI9tby3pAQMGN/semXLcoVz5In9HC2vOunSpm39tiXWZ5WyqtnLbC4OPkXNwqs2+cvbAHTnXHf7I&#10;OU433HCTGzN6nD/zs5P78MNfFO524d86N9w43e89fyvkXXXltSFm3wpzyISrrro2xMwrz5lzp99z&#10;UydL2urF6Uf9vhr0oPfhR54o3GWDLPnr1j0X9sWY/m/8XYrVsD8m/Y2Bb/A7RDBOlcpU87P53GLu&#10;CH+iL3G//j97ZxplZXHt/fqej/l43xWQhG5GmWcZpAEVZBBEERREZgWEBkSEADKIqLQyKDOijDIP&#10;CvdKM4htAzKIOMSYaLzGV0Q0982KucnKsNZbv93sw8PDmc/p85zzdH2oVU+Nu6ZT9T97195FHP1Q&#10;PKZp+YaV6Q84UNvnnRPaDg7WNG/bN2+uwsjR0rzzV8jYERwE3onmvH3km3Hwx+UqHCTtaH0E0/ix&#10;oGIUcJWfH0g4Wj3w0ijnTdOyscowV4yHpqvvrYM6lY/sjU/1W+uBphc7Uk+0tseqP1o90crTF+94&#10;EKav0PfXrfmS6b9/zPx1Ec63NRatjdHiwBpBy4MT4QpNR57Ytm07kcGCj+CtFRJ/TftRHT4y6Y4d&#10;OxveGS9UbK3ya3SIPrH66BXvvSfvMXIXcseOPaLTjF6zvj2jWE7jwHRep/H+/FouFV/rylfcqL9t&#10;5c9puNB88BZ98LebeJw/nnC8tGj5cx0Xq0+J2g6GjDYW2v5877e2M57P+Qvm4fyE5xPtPA7ybA2S&#10;drRxA7co74vx8vJuSYuHeaLV542jPDgNfAqfzZvGtxcHZULHX2+8cDTsGC9/rDRvPcq7jJWXePAl&#10;40y5aPmS7b/KwaOta60339aYtiuRX0jYUTEXOKm4uFgwJO13+PG3cp8R7KhjVKi+4kd8MGRl5Smx&#10;AzBp0tSIXgo8Py9GVH2VRL7iPm8+bz2xvr35+U70m3Lp0e+Eu3Fx4+JfA5zP4B/OT850wv48QZ6t&#10;QdL2j4M3DKZhvHB8K68Pnzgwizd/st/wgykfDTtSJ2nQyJROsu2BZrS2JFte83nrYbwyrTOV/pNX&#10;2xHNz9c1Fq2t3jjeAixE7IUcGwyJ7Rn0QwoVK2XabmTV6BMNun9I3tngyaRviiGZY+yPXrz40Q3Y&#10;0Y/n/JguWno24ry/HfftsJBbA+mvAfhcnJuc63p+qu8d12hx3vTq/A6SdnX2y9Wd/rrN9tgV4hor&#10;K1ue93oyifAHNmnQwy5E/Juob4nSwc/I8LHFU69ePfPwsEdCh6G5m8Ab2Nn+vbr68mfvdHNRc+dC&#10;7+9xfqLD6viONXct1NR9oNCw41xrswT96qefnl/weIN7kOjRFMq9zUSYMNl0tfddqPcbk+kn/wng&#10;jdfUfcX1252lYV4DyPPAjCp7hRfp72+QZ2uQtP3j4MLh3AsKaY0NHjxUeFVh4tXxBk0+vdecDC5K&#10;Nw9yavoLr3Ht2vUFj/0TjQN8Vf7ruL0znHunm1c3r/HWQJBna5C0442JSwvPb6ZQ1hhyas7iMPKq&#10;WrduU5D2aRJhJ9LBiz173m3oY3FxPbnjGSbsH28M6Cc6UZcufezwo9UBdOeGG4OatAaCPFuDpF2T&#10;5rgm97VQ1hi28wrR/l88bKFp3H2E96jhMPn0DfzUoEF9uddY0+TzrFl0ZmryHuP67jBj2NYAtkuQ&#10;V3N+4kezZRLk2Rok7bDNtetP9P2rUNYY528Y7jhGw4XojoCvsHEYLT0McbzFTB/Div9jzRF88g5W&#10;Ts/7605+HX0PcnuzG5dCWwPYE8ReCnZTnK6MW7+Ftn6z0d5CwI682cH5GzZ5tdpzwQdXqfPb7vHm&#10;i/cdC78kEx+vXm+a1qVxGk7kL372OelfTZFX+8cDzMz8ZuM36+pwZ5VbA8GtAfRk/OemP8z8RIvL&#10;1bwFSTtXfXR0gvsNBL2+k5n73Xv2i151GGSdire8PnakcYcPHzZ33HGXadmqldg7PHzokPHmy9a3&#10;Ypp49WmbovnxypGm9ft9fXswDPPo71syYSe7DnafS2avcXncHCW7BrDRg21wcKR++8sGid+CpO0f&#10;BxcO5+8q39dYqeU5Fpr9vyPvfWFwiikUbykW4926jz/5OKpbu3adadKkqbn99hJ534686mKV8cdr&#10;fnylia/tUJ84zeuvI9mw0tA68bXf6sNzbNmylenateSmNM0Tdr+kpLvZsOF1x3d0OjNuDYRgDYAZ&#10;sQ0OLpo1a07kfRQvTgrybA2StncM3Hc4cSPzmu9rrNTqyBQSdtxd/pUp/tWP4vhWTAXGAo9d+ugj&#10;q3d7yVz88ENz4YOLNzni7xs4yLRt117ykdfrSPc6bx0aL/mv0YGeFwd6saK2Rduj5b11+r81j/qU&#10;9dfvxY/gxkaNGgkvNWx3DlLBu8ypu+8Y3n3UnZE1a27RjYHfyPmJ73Rlatb8u997/mPH8qMnrMy6&#10;YUHoWChurFvrR1O3Nvjxqtl95Evh7YHTBIdd+MCcPXvOvP/+WXPmzJmobtfOXaaoqMj+r33NnDt/&#10;XvJTxl/OXwdhHPkuWDqU9WI/8J4XV5Lmrd9fn7aPt5lPnT4tbVUapEVo2XoiWNL2U3mcYCvs84Cb&#10;ajJuZBzQ83L61u58cWdOONaA6srAe6zpujLwYF+w70njomFot+bDseb985jvfEfai21HZH6p8HmC&#10;yDts5mVT9xcWN9bB/WDq1vrBDH3qj8JrBKeBt8Bh71ZUmHfeOWlOnDhhjh87foMjDnfLLbXN9m3b&#10;JO/JkyeNOi1HHr61vIaJo37oVFZWig9dsB9YD0yJA1+Sp+K9ykh7vHVrvfhHjhwxR48eE1rk0XxK&#10;S+uGDv0EJyt+LCnpIfbAg5iPfKOJfVIntw7nPurfV104vPPsdGWuzy24GQzhdbzP6DDk9TEK615Q&#10;CNgRfk0h2HZ5/+LvTLPbrwpmBDc263rZVLz/ieAp8BU47O23j5jDhw6bgwcPmv379pm9e/eaPXv2&#10;iM83cbji4mIzZvSj8l7hm2++aXCUOXDggDjyEN63d584DROHPgp4D/2U8vJyoQv2A+tVYcoqzEgc&#10;7SHfIaubozSoA6dtoX1aP23X9pOfb/qlmJJ+gh+RY4MfB90/RN7tzjccF0R74D3yTuGVK1fcnbcQ&#10;3HkL65ng+pX43Ff9GGz0oDND2D9uQZ6tuaANz1UxIzYusVmkNi8ZE/94uHDidVVIY5SLNZbpePTt&#10;O6BgbDueufC5xY/fW3fFVJ79jXnmmWfN/v0HhL8HRhttbWVPm/qkWbVqtZli9YDWr99gJk+eapYv&#10;XyH+9m3bLb9xu+nTp5/IrcFtO3fuNCNHjJH8r7yy0ux4Y0fku7R0muSnrl27doqbNu3JCPZ7csZM&#10;wZJgPPAkGG/HG2+YqVOnm6ee+rVBPk4a7cCON20DJz5r7ymOGjnWjBw5RmivWb3WrLPvCI4Z86iZ&#10;+Hip2bZ1q+TbYG1TlpW9JBiV+uF5Igfv1KmLtQfeQN4fDLPdylQxKPxzd+8xXHtopvubK19462Hz&#10;pm3m5z//uWAnfML+eQzybE2GNvzTWM7bF97qRh7tf7ObMNiZNOqhjPJkoa9xWhe8SG9ejddy3nCs&#10;OOL9bfHTIU+sNvtpuHD6v71k1liQ4wuPpkHDBqZQ7AKqbgw8N3hvM2fONqMt/xD5MVitX78B5q67&#10;eoluXrPmzcykSVPMnXf2NPPmLTB33HmX2bJ5i7hu9n/crU1utf3ebsCHffrcI/kWLHjGzJ+/0FB2&#10;/ryFEgeOow7y4qgfzAmW7NmzV4RfCUbcumWrxXWdhY/7wKAhplu37mbnjh2mY8dOZsL4SZJ/4oTJ&#10;gnGpZ+SI0eaRR0YJPiTPE0/MsP8vh5v773tAeKVgzHFjx0f4l2DTxy22rFe/nnn++TKz3bbHqzuT&#10;KtYKW35wNHbCg/xNOdrp75du7NzYsQYK/b6j6vlw/kdz4DEc/ENvutol0t8BeFDzIKtG51zzK6Yj&#10;D2kaj4+sW+uAX0mcl3cLPvTHUQ/jrvVQh/aD/NSXTJuVrvMz+y0zD/k8hoMHD5U3kAsJQyh+RKe5&#10;wvLhwHm9e/cV//nnlwg+u//+weahhx42ffv2F6y3cOEic1vHjmaExWnwIZs1byH5wW+UBzPyPXv2&#10;XMF5fFMGH4xYUtJNeJzwOcGLyLa3btliOnbqJNgR+TKybLDskCFDRc4MHxTsCH5Fp0X5jT173W3G&#10;jnnM0MZFixYLnc2bNwsvcsWKV0y/ewYIBib/c8+9INiRuqife5ePT5ws/EYwJTJyhx1/G7mri84Q&#10;NsKd3DqzfSuf9yzXtnDPLfjEf276w6yBaHG5WhuJaCvmAtPx7Xe0U+XPpEWTRzMOiuW0HuiqIx1H&#10;GnEq11ba1AmdZLCjl5bWo7SpW7FjojbnavxrAh3GPV/7iV4BPMdCtCcNXlLeIzy6GTNmmU6dOwtm&#10;69Wrt2nTtq15/fVN9vfUXfDbCy+Uyffixc8LLoPn2L17D8vDmyL4j/uIYDqw3vCHRwi2Q1ZMXfAT&#10;wYhgNRxx3HPs3/9eG9/ZjBs3QeiC62bPfto8+OAwkaFzT5G8pONz95E67767j/AliQNDIqcGe0Ib&#10;B7aFVwld8lMeeTXl4TuiMzNk8ENip3KY5VE67HgdO/IfiHeDSu0dg3z93bl2hRv7uPnNfH7BP/Db&#10;CvW+ox+/+dcEPD7FgCqrBr+pjJr8fJMHbEiaN454zc839JQGdVOW+5LEJYMdlZa3HuVNUj/fybRZ&#10;2+D8zH8DjHs+jqPa5inUu3LKewQ/cpexrcWK4Ed0SeBB9uhxh+A3sBx8Rfh5YMVlS5eLjLhp0yam&#10;S5fbBWNOmzZD9KzBdMibeYNmvJUvr1ixUnAIdwzBI/joTVM//E1ogOfArK+99nrExk7nzl1E7j19&#10;+lOS9vLLVfUgV+eb8hOs3PrBIcOkXcuWrbDY8a1IOx+0fMsRVpa9fPnLhraBRSkHbdW1Rl7PHc1O&#10;llYh8Yxz0da19t4o/4kc7zHz/Ssf9y7XpvDPK7gImSn4EV+xk3fugzxbE9FOhB29uIy8fgfuU8zn&#10;lT8zDtDG8a154BH66yDMeGkeDROn9DVO8+DrGHtpkV/LQDsaLcWqWt75mf1OE62xIMa36h3ChmIX&#10;MBdneXXR8OLHydbGeUXFu6KDjPx5zZp1YienvPyomTix1OrT7Lf+5Ih76qlZplHjRvZ9ma5m3779&#10;Yl+He47IjrGvs3rVGilDHGH19RsaWzZvFXs83HF88cVlQhs7jPAw4R1OmjTVHDxg9amtLg/l0XHh&#10;W9tHu6rcZNuGfUJz9OhxEqftJh3eKA7aFz6ostEDTxLZbCHox1fX/MerF50Zx3vMbO8KYm9yNN2c&#10;sQaQjYIb1RH2r40gz9ZEtMFW5PFiMW/7Y+EwyuC8uNBbhxfPefP4sSN1+HGhhmmH0te4TLCjt83e&#10;PrrvzH7LjGs+jeGlSx8LT+Zpa88k3tlbKGmKH/HhxclbLtb+ofdNF7HXbd9nUfva4C++V69eY4qs&#10;rZ6VK1ff8LaM5o/pe+vXb+tD3+sibbG0b6hLy1yL13bdkMdbhvzXwtTPPc/WrdsIL7RQ5inX7azi&#10;PTbMq99ePu0Dri2Z7etu/Kp3/JDTghuRparzj3mQZ2si2omwI3JqxVwqs1aZMH2nr4nkyGBH1Z1R&#10;DOgtp3hbcaHW682j5RLRAmsm02b/HLlw+r+TRGss12OLPR7eIcn1WV6d9BQ/Ir/WNwHxvTgu1ned&#10;OnXkrmGs9GjxXhreb+h7naZ569A4fG98vG9vGernfmpxcb2C0Y2vzrmPVze2wrF7n+vfmKOX/n7p&#10;xs6NnfLWwFLx1kOQZ2si2omwI/1CFk095AXfge0IK58RrKb6KuBA4glrHONEPUqLPNSp6eA90hU7&#10;Ujd4XOshrPjSS8ufh3xaV6I2x5svl5bab5txz4cx4+4Xtks6dLgttO/XKYZU34vjYn3zNuGSJS/e&#10;gPli5dV6U/W1vmjlNC2e7y+HXcj27TuECv/Hw4DppiHPx45APvz+XBtS2zfdeNXs8VqxYlUEE4Fl&#10;ouHIIM/WRLQVzykOjLWeFYtRH5jPn59+K6bUdK1bsSM+Y0QdOPLDj1Saih2hBVbUfJRRnid5o9HS&#10;vIodyZeozUrX+Zn9hhn7oMcQfeoWLVrWiHeP/TgrXhjbidwZXGvvRsbLFy8tHq6JVy7dNOi9au2F&#10;0270nNDhQV87Xjtqahpya9Z90L8/Rz+zPdSNX80bP8VJqjNC2L8OgjxbE9FWfOfHgv4+EAb7eTFc&#10;rDzeeMWN/rho8UpD85InVj5vXvJEw46aJ14dSsv56f92E62x6hxbeI28N4jOKW+h1FQMEavfvXv3&#10;K9j3/LBVDn7s2rXENLe2Kp3OzI12enTOWfvc8a3O35mrO/390Y2dGzv/GgBHcW4qNlEM488X5Nma&#10;iHYq2FHvGnp5hf6+BhHWcaevXr5jEG2piTQTrbHqGhO1wcPdxtPWXrKepc6vwhjY2gZ7hQFT0wf6&#10;UihvA+VyDbL+58yZ77Cj5W9U117j6nVjm601AI5ClgqfEdkr3/g4P42gzlbakYg2cl3wI/3xtzta&#10;mP7R52iy+Wj5cxHnsGOwv+tEa6w61gD8RpVR5/KcLiRaKvcNA64edP8Q07Zde/f/wMrz/WsQXA3v&#10;vTp+Z67OYPdWN/7hG3/4W+CtaM4/30GcrdqGbNOG10rf881GIvgRp/12fu5+c9leY8nMHTox3IPz&#10;n6MufB1b8EZgGMZIMXCh2niv7jXJuDjsmLv9Lpn9yeVx85FoDcB/U7kvfjR+XBBnq7Y7SNraBueH&#10;+3eU6zWGXil2kav7TC70+lu0bBkaebV7W+b6fwL/ukRfhv9Sbp8N9z7r5jdc8+vVlUH+W2gya7ce&#10;w7Ueg5jPXGLHqvdiGrj7jVFkl35Mke37ganoTXvb4i3njU/mG55jy5atQsE/Taa/6eZhrp2+jNvL&#10;g9j/Hc3U153es/OOXbRzNFqct0x1fgdJuzr75epOfb1W15jlco3BXwmD7ke6GCGVcuAJbGynUiZW&#10;XsV/qdho1DKJ/Fg0iedtGexfZ6sf8WgVchp3E5y+TP7sidW117p6wzPHyKnRk1HdGcL++c3l2ZpP&#10;tP1tceHwrHvvXOZyfYOHwqD7Ud04BXzdpEmTtHDj+xd/Z3aXfxUpq9gvlXdiYr0hQx1e/Kl1xxqP&#10;/vfcK/rVDjvGllkzdsw37yl5f5fuO5z7rZvXcMwrvEdk1eBH/Gj6Grk8W/3rKkja/ra4cDjWvH8e&#10;c7XGlixZKm/GxMIZLv46vlhsbYLXq1cvgv+SHRtwY6ueV03dX/xoZr/ytdgTB+uBBXlv+sIHF290&#10;Fz6IhPXN6lg+Zb1vViu+jIcf0fdpH+J3gpKdl0T5wNb8r8L+gP/36cLh3HfdvBb2vPL+CbhRnb6d&#10;553XXJ2tXpr6HSRtbYPzC3uNJ5q/XK2xwQ8MdfLqJO45gjNUNzkR5vCmK24sqvOjqVv7B1NU5wfB&#10;j4obz50/b86cOWNOnT4dcZWVp+SbeK97//2zBnf27DmJ55t0whc8eBMsSf1e/EjbsQfeqnVrwb9O&#10;v/r6fwLvfPm/sfM4d+4Chx2dnUe3BgpgDaAbozJrtdfjP2tzdbb66RIOkna09ri48OHIXK0x7JCg&#10;U+o/M134ZmyhdsFTkfUip4bfCG6sa3Fj3dpXLXb7TniF4MZ3KyrM8WPHzdGjx0x5ebn4R44ckW/i&#10;T5w4Ie6dd04adSdPXv8mnToqKysjOBMsCZ8S/Ah/EwzJO9bo0SOHdbbAb57bWOv96afnu/cJCwAz&#10;uDMwfGdgqnOq78okKperszVaO4KkHa09Li58v5tcrTGHHZPHEdjSRoaZKs8OOTX8RnBjcdFl88ah&#10;zwy4Ef4iePTgwYNm/759Zs+ePWbf3n1m9+7dZu/evebAgQPmzTfflHTy8I07fOiwxGkadYA9wZaK&#10;JcGPXv5jmzZtHX85Sf6yH0c6uXX49ld3ZoZzTrHRo/oy8B/zUWbN2e6cG4PqXAO52N+6db/D8R1T&#10;wBQlJT0Mckw/vogXhu8HfqxX76rZcfhz4QlOnFhqxo+fZMaOecysWb3WLFy4yIwcMca60WbEI6Mk&#10;PGrU2AiWHDlyjFm0aLF51t65xJE2etQ4+YYPOnPm7AjPEn4lMnDuQirvETrFxfVSxr3x+pUPaQ0a&#10;1Bc836VLV7E5BA89Fb5wMn1A37q09Akns3T8R7cG8nwNwHtUWbX6/nM0V3wZP13CQdKO1h4XF87/&#10;ULmYV3gq2T5rkzmPCzUPMt9mzZqljB3Bj6ofgzy5WfNmZvnyl82YMY9aWXI3wYsDB95v5s9baJ6e&#10;O9+sWPGK5IEHCabs0+ces8DiS8WMEyzuBEOus1gJvmOvXr0Nsm6+8SveqxTeJrxH9LD79u0fOuzI&#10;umX9cpeTeeF9RcLoMyFrztYaQ8ZPvbz1novfpKPh9nO3BtJbA05XJr1xc+vNjVsqawCb4JyJ2Tpj&#10;a0o9jRs3lvuDydo1Up0VxY7gObAj+HDSpCmCHeErws+E/7hgwTNm166dkmfo0OGmY8dOZtOmTcJ3&#10;hNcI3gQ3IsfGbd682XTq1Fkw49tvHxH+I3cgkVvDVy4qKrJ1NTdr16wL1VzDY4y2fsGRxcXFWeWn&#10;P/roRPdGYZ7znFLZ+1zecJ6VTlcmnPPqfq/5N6/Rzt6aggEz6SdvEz487JGksZjiR3iAlz76SHDh&#10;hAmTTf/+A0VuDR7Edg4++BBMCL7s1q27GTt2vPCGy8peMuPGjbduguFbdWruvruPxTV3WBn44wY9&#10;GnDj3LnzBDMiy11jMSP0M+lvPpYVPRY7D9Hahg2ibL6xyf+EBg0b2DukHzveo8OQbg3k4RpwujL5&#10;hy8c5gvvnDjsmLyujBejYOuxYcOGSeNHxY743EEEF4LpwI9Dhgw1jz32uPjLlq0wy5Yutzoxb0me&#10;w4cPCy6cM+dpy6dcafNPkjIvv7xSdG2mT3/K9O7dzxw7dtR07tzF8ic3m3nzFpgiy3fjjh5YNYy4&#10;kblAZynW+mV+br31VlO/fv2s3clw9nrCuw+6My4cc1sIujJurYVjrdX0eYx19npxkvuOji/BJ2CT&#10;ZMdH8SOy68ml08zkyVPN41ZmDe5buXK1mThxsnWl4qNnzTdyZ9L5Rja92urV4PbvPyA2HZ+aMcu8&#10;9dYh0anevm27eemlZeauO3tZW47dIrgxrNgRHZaOVlYfa/y5+wl+TFUvPlZ98DndOzNu36/pZ0Y+&#10;99/pyrjfZz6vzzC1zWHH6LgwFn7wxzdv3iItvWvwnMqvuf+o78b4vwnf5KzMW+LwrYOP6XVgyTp1&#10;6pjKU6dDy3NkHsCO6AD558QbRg+b+4/euHS/kVvze3Fya3c+hekMCFNfDhw8JHZ50GfGRg9hf/+C&#10;1HUOkrZ/HFzY7WOZrAGHHTPDjvAeGcNU7G0r/1Hxoxf3JfoGb/odfEyvo170ebKFmdLFWtVdjv7d&#10;dlunuLiwdes2WR0H7jw6fWu352ay57qy1bN+4DmqrgwYDZ1rwv7xDhK/BUnbPw4uXD3rsKaMa4sW&#10;LbOqj1rdeCEf608Hf3vxoxf3Jfr2lov3jb0a+HL5OF7ZahPYkTcWY9U3+IGHsnrfETrceRw16tGb&#10;zqOasl+4frrzJh/XwNChDxvuOoLNNm7cFLGjGA2rRYvLVZ+CpJ2rPjo6NWOPcO/KZMZ3BE+kgx0V&#10;78TDf8mkaT3qV9kAL5Y2YVdG48Poc9d0lNVJj9Y3+MHYeczWXUelAV5FR+rKlSsOP+ahrq07t2rG&#10;ueWfZ+yAf/PN/5U3ZeA1gtH69evv+I7uN+r26WpaA+5dmcyxI7YEU5FZKw7Jtn/nnT2FzwZeyjZm&#10;ynZbk62PO4Y4+gNuUzv22EfirmmserAXDnbU/LHypRKv9iTRvyl178y4Pbma9mQ/LnLh5PEw+BHM&#10;iLwaPIkc2z9+QfL+gqTtHwcXTn5dubG6eawcdswcO2IPJ5sYJRU8Q170icFR7dt3yAsMm2r7Y+UH&#10;L8LTxcHro4/gQeycc+8Q3mKsssRz1xG5PXOTyfyAXcGNjG+PHnfKGNMmpzNz837i9lg3JkGuAacr&#10;49ZfkOuvJtF2MuvMsSM4AnwRD8dUZxr8OHBNkG2ojv6B15o2bSZvDmr94MVB9w9JaqzB1C1btorg&#10;z65dS0yqcnzuNzK/vEMJFqVO2kL84AeG3sTTqEl7h+urO6fzbQ04XRm3JvNtTYa1PWDHVM9TPced&#10;X4U7kWGCc4IaD/AUd//Chh2RS3fu0jXjcQVrIsMGXzdq1Mjw5ky8uWIcod2zZ2/TpGlTwaqKGbUc&#10;fEww5ZUr7t5jWPdG16/CwiH6rozTlSmseXO/s8Kcr5EjxznsaPlIignS8du2bWewG51O2WyUAddk&#10;+/3mbLQr0zrgE8bShUm37m72HlQi/XPmEsyI/Z94tsepp3v3uxx+dPf+HP85T9ZAw0aNRT/G6coU&#10;Jh5xOLJw5g0bPWHRq0gXT2RajjtwifBIpjTilUdmjTw1Xp5CSwO/wddLdKcx1X5ht4f7qdHWPOPI&#10;PDZv0SIpuTj8yQ6Wh+ls9hTOfufOpnDPldOVCff8ut9vfszv7j375ZxM9fx1+W/kU8Ib4z5cUOMC&#10;vkKHJCj61UG3pKS7QW88m3Vj82jD+leFR1tW9pK8uaN2kLZv3y7xyMiRaftl1LHaAQbl/5fb0/Jj&#10;T3Pz4OYh0RoIUtc5SNqJxsWlu99OsmuA9zHQV411Lrr4GzFirPEAa/D2Xaz0VOK5l8f9PHREwIS4&#10;RHJbysCjS4VOvudV/Z9stVMxIpi0q3WVlafMkiUvmmFDh5tx48aL7jY8Sc2Xig+fsqxsmfn3v/+d&#10;tEv2N+ryuf3crYHsroEg8VuQtN06yu46qsnjWVa2XGRu2Tqfa2o94Bz0ZdCvyGQMqId7i10s74u6&#10;4CUSBheWlPS46W29nj3vNtwJbNKkifiZ0M6XssiqkRuj+0P/stEuxYG85Yi+TK9eve14dZM569ix&#10;k7nrzl6md+9+8ia4vveo7/to2OuT5g3PnTPPdOt2h/n73/9+k/vHP/5hvO5f//pXBF/W5L3H9d2d&#10;Y9WxBrw2erDx6N6zduusOtZZTa8T7AgfJhvnc02vAxlnprw/ynt13rE3Dp7EgRGLi+sJrtI7gG3a&#10;tBUsRFom9gvzYe6Q/YKXGQOc9jGdtr1/8Xdm5NzL5syFz4WPCNbjnfBLly6Z++8fbIqKikQuvX//&#10;fnPhg4sRR3rEffRRVRnrR+I03Rd38uS7lu/cwBw69Lb56ae/3uD+93//Zrzub3/7m+BLxZA1fQ9y&#10;/XdnezbXAO8S8j4hdsHduzJubWVzbbm6rq+nDRted9gxQx1rxTbgO3RzNZyO37hx45t4i956sAME&#10;T65Fy5Zioxq5djSdD2+ZfP9G34Q+gBex/Q3/L5M2gxub3X7V1P3FD9b/3pw+/9sIbjx3/rw5c+aM&#10;OXX6dMQhuyZM/Nmz58SRL4IpL3wQiSdd0mwcvubHHzJ4qLnvvgfMDz/8YL7//qr4f/rTn4zX/c//&#10;/D/zl7/8RbAlPEqHH6/vRW5fdmOR6RpAT8YvE/aHoREtLlPayZYPknaybXT53G8x0RoonTxNsEgm&#10;Z7UrW3UnEkyXicy66h3qegnfhQFrQYu3VZDrevmUhTAXyKThddNuL58RXfVstF9wY60fTN061tW+&#10;app1/Vb4huC7dysqzPFjx83Ro8ci7siRI/JN/DvvnDQnT540Fe9V3oAtKaeONPBmZWVlJI4yW7ds&#10;NbfcUtu8//5588UXX5o//OErcV/999fmj3/8Rty33142ly9/J7gS/qTDj26PTrRHu/TU1gg2etq0&#10;aRd525pv/xgGid+CpO0fBxdObW258bo+XkfKj4uuTD68xZwN3BBkHegEZ4Lj0NNI5f4Ac0b+QuI7&#10;IltHttvhto6iQ602FLM5b/WKLM+xtsWNv7T+Ld/ZO6PfCn8QzPf220fMwYMHzb69+8yePXsi/v59&#10;+yT+8KHDBsf9A/AleBJsSdjrNI683BU4dOiQefPNN609yI7mkUdGyxu6585dMOcvXBT34YeXDO7j&#10;Tz41n/7mMwOehD+p+FF1bNzedH1vcmPhxiKdNbB50zbTp+89ZtasOeZnP/uZ1TMc47BjntjeTGc+&#10;XZn83Qca2HeCC/GunOo/RPOziUWSrQt9dXhq5I/WJn+cv15k3tj5ga/oTwtLGN0fZNLgsOrq0+4j&#10;X5riX4Efr5riosvmjUOfWV7gWeEngvHAjLt27TQ73thhdu7cafm8283u3bsFR4IrvThScSHlwIn4&#10;5OFb85Kf+qhr9q/nmqK6dc3x4++IO3mywvIwTwmWPHXqjPjgyc8//721J/69yK8d7zF/90Z3bhXe&#10;3HDfEdwIf497j9H4fNHicjXXQdLOVR8dncL73aQ6Z9jowb5IdZ3j1VWvF4epPqzX96Zn49vbj1j1&#10;8bbMsKGPRHCjtof8+u33/XVh3xteYhjxIzxZ8HV14kbmiTEFP7buecXsOPy5ufjhh2a0tb959919&#10;xPYR58rzzy8Rvie8YtyU0ifMQw89bPbu3Ss4ECy5betWM0zeJexlJj5eGsGNTzwxw6xY8Yq9hz/A&#10;bN68WcosXLjIPPjgMKmrkb2zOmH8JNO//0AzoP999n9ZucWu58wrr6wxI0eOFT7k737/pdyJ5O6j&#10;w47h32dT3Zdd/vTWhL5JiG41GC3a/UfGNkj8FiRtt67SW1du3G4et359B5j7Bg7Ke+y4u/yrSBsV&#10;i2EjBd3ZWM6P0whTJl45TfeX9WI8b5rmx1+/br2Vjxab1avXxmxTrLZqPYsWLRadkafnBve+oRcn&#10;Z+Mb/R7WGLaGMtGdTrYtOlfMk+pWw+sE782bt8DeE21mwHq0CX/BgmfMmtVrrD2gXubAgQOCBcGQ&#10;/e4ZIPcxKYetoMcfnyK8xtGjx5nnnnvB8jSGC9581trfRJ9z6tTpUveECZNM02ZNzYgRYwQrTpw4&#10;xb51/qoZOPABM3/+ItumT+Xu45+sHg3612BHJ7O+eW9y+7Ubk3TWAHzHWrVqG/XdfUe3jtJZR65M&#10;/HWDbitne7LnchD55qz8xurM/mj6jPvuJnsrEV1Yj50V4sSmCnZU/O6ajRV4UdGc1xaLH+eB7wSL&#10;aJ1qr+WaX1o6zdSpU0fkltStbfN+a5z62galu3bNOqljjfXBQEGMdzZpsraQU/OG9JPTn8pZfxQ/&#10;MmesgT59+pkJEyabR4aPtG3pLtgPPDhmzKPCk9xgbav37HW3QV8Jh611MObuXbuFTzp//kKxCYkM&#10;e+zY8WJTnDxt2rSx+HKE+MjAKTP4gQfl7gH8zR0795i2bdta2+MTTdt27Sw/+azoz6CH7XiO8fcm&#10;t3e78UlnDcBzxD6POuTW/nqC5P0FSds/Di7sfmPproHB1q5IJvod2cQZ0eoCNxbV+VF0H4qs3mzv&#10;cZcFv4G50JvFroraXPH6pF2wdlQEo+Ff+yZeHXfgvM5ro0XzK8ZTbIfvrRM7Lep4W6ZOnVtMseU9&#10;opOhbUvk0wbaBE8MmzvYHgSDwjcrVPwIZmRdwdtDlh9tbqszTrEjPni/T597hB8Mfrx3wH1m2bIV&#10;ZsiQoeIvXbrc6rm8JTJteIykEe7evYe9E/mG6FIvXvyCedDmR9d6vJVHkw+dbPKMHDFa0tC1Bjv2&#10;6HGH6Wbjb7+9m/n228six54+faYtN1nuOKIjA27EzqOz0eP27nT3blcu+trBHji8RnWE/WMVJH4L&#10;krZ/HFw4+hpy4xJ/XK5cuWLvnzWM6HdU51mebt31ii1uVHsrt1j9h1rfie4DWIuz2m9vpby8XOJI&#10;U7t9VfZUsKly6gabKpz9fqd2WLC/opgP23/QU3t+hKvqrBRbLuRFh3eZxSADBgw0jRo1Mrc2aSL2&#10;F1euXGVOnDghbdK24qsjTe3C8C4NPCuwy+ZNmwXzFCp+5F0cbDWCG6v7fmOstaX4kTEEO06ePFXs&#10;Lw60eHblytVWZ6evmTix1LrJ18L9roVLLY5faOXLC2UOydO5cxdTZt8v5Bv5N3cjyTPP6kbBV+Te&#10;I2sE7Hj8+HHTpcvt8o09x6VLXxae47lz551tR6fveROOcedU/HMq1fFBXg1uVL4jvr+OIPFbkLT9&#10;4+DC2V17NWU8lyxZmvfvEXp1Zot++Z2ZtfwLOaPBeF5dV2yu4Linhv4rskWvjRUwJWHivbqzqjdL&#10;Ge66ESYdGyyK7/Chp/b8CKuNFvLCY1T7LcQ/t/h5wReNG99q793Usnfexkjb0MdFxxdHO2mv6vSC&#10;G1u1ai1pYEl4kfA44ZkpBoqFkfIxvm279nFtnOeyzYzfrp27zIYNG826dRtMRcW75uS779rv9RLm&#10;fsBbbx0Su5qkE79923YZf9bD0qXLZF1QriqdPBskT1U9G6ruSNj5Ip55I2+nTp2trs1Iudu4d99B&#10;udfo3pRxe3VNOV+C6KfqxkR7h9DbniDxW5C0vWPgvt1elO4a6Gv1ZLALk8tzPFVanPvgx3r1rppZ&#10;K76Ucxl+z2OPPS66r2usXsqqVaut3NDqJVjZIT66C9jae/HFpcIPAmPOmDHLvPba6/a832bQkx1l&#10;9W7Xr98geHHUqLERmy2jrB7s2rXrzMaNG83Mmb+OYELsPs+e/bTwEMGLiy0+hA4OvQmwJ7ZeJk2a&#10;InfouLfY5fYSeS/5keGjxGbEHXf0FH0RbHoPsDq4DwwaInfoetq3lRta/u+Y0Y8KDj169JjYpUY2&#10;DnYsRN4jNr+R4ac639WRX7E3vt5ZveHeqr0PedO92AziPrJlcatWrTHIy3jLGtm0vmmdrJxa9Wfi&#10;+en+9l05d26EbQ2AG+Ex/sd//J8beI4vLHnJ8R0dv/+mNRC29Z+r/ly69LHo8+bzXcdoZz73HJE1&#10;0m7wH7oKyBaxszLikVHWLvMo0Z2Fn4fOwxIrZwTXoReBXRbeMsa2CjZUOnbsJPJh5IzoOQwZ8pDp&#10;27e/2PoDD6I7Ad8JB28RPtK2rduEL1nSrZvgRtqAvgX0qBfMBDZt1769xYlFhjcG69WvJw7bjdQB&#10;3TZWlouss1WrVpKnuW3DrFmzBavCI0UuXsjYEbvl6FUHJa/2Y1D/WlK9dvXBkn6naan4n376iVF3&#10;6K235Df2z3/+06iLhwNjpSnWJJ3vaC5a2VztJY6Ow6H5sAbAiMiq4evpXUfemInG54sWl6s+BEk7&#10;V310dMK9J4B18hk7cv7rmQ/vTXhFVh7IfTPuBGKHG+wo9lbuu2Zvxdpc2bJli+BF9GFfeKFMeIvY&#10;X9H84Dzkxdj8w4Ed4WN27NhR+JSkgTPRx4VniQM7gkvBfuhBlNg06gE3KnacZjEj+roTrT4G+LCD&#10;5buBD+FrojNSUtLNdLXuIWsHkDbTdnihtWrVMo9ZLAwfEjrIxLlrCU6mz4XId2Tu4DsyV34cF2RY&#10;cZ3yBrPJb4xWFzpP589fjPAcwZCK87wYUHmSXh/bPak6La940+3h4d7D3fzePL/Dh48wihnr129o&#10;BtqzwT9OQeK3IGn7x8GFb14/bkwSj0n37nfmPXZU/Ah+gv9z3d4KtpfvFbwlPEK1t2Jt72E7Bbw3&#10;btx4U1b2kvAN4SFixw+8Bi8MuTNybPAl2JH4J2fMjMioe1k5MjhxypTpIqfmDuLOHTtFh3aElY3P&#10;nFnFI4TGOFsHvEl4jh07dRKbLWBI8KfYfbHp1I99QHQtyAOmxYffWbt2bWkntqT1biV6F9ybo8+K&#10;n4PEXOnQ5q3tbL1RnQ59yhx57wujtkF1HOU/CDJpO75qIwkebyynebw+eeOFNY33Fw//5xHRqVYc&#10;CL7jm7uPOGw84vRbfeJ++umvol+DXrb3m7DXkYbz1gUNcKrbCxPvhW6MwjNG2HXELs/GjZvE7mot&#10;qzvjn98g8VuQtP3j4MLhWfe5nMtRox4tGOzIua+8R7G3Yu+STbf2AnkrxGtvBV3n9VZfYfnyl63d&#10;lGH2PucMCZMPuyrYZ+FeJN9gQ3yw46uvbrRy5LZmzpynpQxycXiAnTt3Fr0W+IDgud7WTiA6t6St&#10;WLFSaGC7hTZQN/S4F0ndxEEXmy7QQI6L4xu6YFDsxCDXBluCNVWnu9BxI7itqq/NTWerc50u9suk&#10;HJixfn2rp/+LH8zsV74WDP6JxeKMLTaYmE90klSf3uszDxpWO04a9vux6iC+WbPm9u7tYfPnP/9Z&#10;sJ5iO3ywH/HoYqv7k7UXThyOb+xAxnK8aahp2P3BUYa6KA8NcKryOXO5tzha7kwKYg2oroyXdjSs&#10;Fi3OW6Y6v4OkXZ39cnXXnN98aekTFtv0DeRcTxUTKM8I/LjomcVibwU+3iZrywadZfh5VW6y2E25&#10;Hq6yt4J+zf79+82xY0flfuRD1sbKaos/wQ/kxcfOCt9PPjnTHDxwUPAFOrgvvrhMeFJgDvRoFy58&#10;VtK8NPjeZ2XY+Lw7QrsIQxc61KkYg2/aQpi7mkNtW9CzbtK0qZSBDrwx7XOqY5VP+V8sWyp3/uAF&#10;57Jd8BsFN9a6Zhv0l1fNr1d8JbgRW0tqrwl+8gmPDSX4vjj0lfSbPJqPvH5Hmub1phHfufPtlt/9&#10;rLl8+Tux7ajYDp84HDYgOfPw//jHb8Qn/qv//tp88cWXhvcLcd5vjVP/D3/4SmyOU4a6KA8Nhx9r&#10;zn7uzu6quUZezX1H9GbwCfvHJkj8FiRt/zi4sNsf0lkD2HbkHl4uz/RMaCmWwte7j+AslQ96feIz&#10;csg0rzlo+Z2k+WhAX2lqWzSsvjePxuEj28WuTcV774UGN+pc865MLt4iVHr48BzhN9atbZ21KV+3&#10;9vem86BvBPNjawlbStxrQI9K77/iq+0kfGw24cijDv19LUN+nL5j6A1r/qEPDRedrk9/85ngP8WG&#10;YLzPfvu51av5zM43d3k/jXyTF/fhh5fMuXMXDG/04ngT+9SpMxb3nrbr5JQ4vokjjbyUoeznn/9e&#10;cCg8SGTgyn9MZ59wZdz5UkhrgP9OvBEKbsQn7G9/kPgtSNr+cXBh99tOZw0UEt9RcYHiR5Vf+zFd&#10;tsLINtVBSx30+SYtW7Sop8NtHeXeJPVSP3S0z4Xuw9vGTvig+4ek1KfTp89k9F4mcmreIqpb+6pp&#10;1vVbU3HmY+Evww/kfio6Ubt27ZQ7p9hX2rmz6hufePCj2uPEV3ucxGs57qvisAeJT7zmJR92x29t&#10;0kQwHfgQPiE8QrDdBxcvCSYE+4ENz1+4KBiQeDAgeBCM+O67ldYOfoW448ffMeXlx83bR46Jf+zY&#10;O5aX/o6kkZc6FIfCp0SODe9R7z66+4/urEjnrCikMth2VF0Z8CNhbGV5bT4Gid+CpF1I8+jamr97&#10;1e49+63ub/eUzvN8wDFe/KiYLlu+1p2MrxiPvJnQ5/4mvLntFr8o3XwY52y1AQz46KMTRXadyGYP&#10;dyTJi94RdjB5b50w8am2h7EEP3Ye9J2pPPsbwXfo1XMndpit/6WXlpmpU6cb3iF/3tpketDqv2Pr&#10;6a67eok9TjAgee6zeprEzZ49V/iM3HcAJy5fvkLygxvnzVsg9p3Ih149OBPsiH5/7dq1hCcIJrxv&#10;4GCLCc8LdlyzZoO8U7hx42ZrP36s5PnP/yo39947SPTTiQMz9urVx9oifc3q+Y+29yeWm4cfHmlt&#10;R66z+lpzBEOOHTtB8gwZPEzwpPIxwale7Oh0r/N3L3bnZPbmBl0Z5NVeXRn4j963CYPEb0HSduss&#10;e+usJo8lNh4bNGwgOsepnsv5kF9xVnX5sfoYi57af0nFx44Ndh+5V6nlotUfqy2FFM87hbF4j+BL&#10;7NSDoRmTkpIeIuslDp4l8W3atE1Jt0vHEVwPb5e7qtgMQj8JfSX0osCSvPuDDj64D54jNuWx14R9&#10;d3SYpk190mCDHrtL2IIHD8JfJD/1rFq1WvIvWrRY8mH7E9vxyLBJx84l/9PgJY4ZY/Xyx000r72+&#10;Rd5JnDfvGfse4hppFzLnB4c8bCZMKBUcCb92xYpVUgc+4SGDq9q+8JnnrF2pSeIG9L/PbHj1dcGh&#10;4E7lO8Lf9GJHpzPjzo2wn3fw78FmKqcGPxJW24/a/yDxW5C0tf/Od3tBpmsAXWt4O5xL2D9Mh79T&#10;SPilutrqxSmxeJCaB1/zMPbbrL1xDXvzZOu7uvqcar3wD9EJ8pdbu3a91WupL+sQrOhPJ4yuDXbY&#10;iywOQ6eIe7rgzWh5vXE6htwFADv2sXrynazu/JQp0+Xt8HHjJogNebUFzz1F7jRisxPep9r4xKYT&#10;bwZhbx67S+hpYW8eh62n4Q+PkP9g2HYCb2KTfveu3YL7OnToaFavXi/yauTNbdu1E8yHz91EeIrw&#10;nsF8yJwXLlxsBg58QPT+9+17U+pYu/ZVwZfo+D/55CxrI3S4bcNUiVu9ep3gUmTb2BNFHo68Gn0Z&#10;9K2RVzueozsrMj0rCqU8fEfs8iCvxiesvEjtQ5D4LUja2n/nu/0gG2sA/mNZ2XIrcxtg+ZAN5cz0&#10;nr/u+7c3YRT0eHGMjRefpHoHEj3cdh4dmXjl9S4kOFO/8dVRVr81nby0Lx/mEPwFD659+w7yH4X/&#10;Kehhc28CWXEybQRDgi+bNm1mGjSonxJ+5D1r+IDor+zevVtw1oQJk8SGktpT4i4kDntL2HnC1hJv&#10;meOw7TRt2gyJI572e20/aT74mYcPH5Y6kIO3bddWsKDa07nT8isnWPvx06fPFJ3qLVu2y28PPZrZ&#10;c+aL7HvVqrXm9U1bxa44bd60aZu0HXm14s9pU2dYPuzj9k3MMtGL+fDDj8wddhzBjNDy68m4u47u&#10;vMjGeZHvdSCv9rtZs+bcoC8TJH4Lkna+z51rX+HuUeDIFi1aOvxoMWEsLIMOb/GvfrTuqry1DT4D&#10;t6EvfZN9aWtHUOMuWj1sdRqHX99ioJdfXin5NN3rk4cw9avud+SbuFjO6onTrnzBj/AXW7Vubbp2&#10;LREeI294gwHh3SW6B+mfC/KDQ6nTnxYtDH7eaG14gsOWLq2yuYRuu9prV7kxNpYeevBhsQFfXn5U&#10;bC6RD7tL8Pyw8UQdanMJGTj2ncjDPUjy8V1m+Y6kYQ8IrNr41sYRW97Ll6+UOs6dO29efGmFtfM5&#10;xr593lX4ifPnLxIcDbaEL4nMGXo7dlTxMNete1XiwNrwH7E7Tlny41MfvEZsRzr7PIW7D7szNP25&#10;414jPEd13nuOOq5B4rcgaWv/nZ/++nJjF33syo+eEOyIfDHaGVzT4xQ3iu0Xa/+luOh7s+Pw54Lf&#10;wAnYjcautDrsCHrtTHvtShNP+i233CLyVM2H3Ud1mh98gsOmNQ5aat9a07y+poM7wZvwIYPmP8Jj&#10;BCtmYw2By5LlOyo9ZNzgR8aCMdG3yvErKt4VPuK6devtXKy/jtUtLicdebdidO83vEdvPGlaF+VI&#10;q7A8y7p160beF/zmm2/NUasbjSy5vPyE1cs+EHFfffV1JI7vn376q9m1e7/5+utvJA94kLjz5/lP&#10;8qHgQ+KoQ8PY5KFutcvj+I3R9zp3BoRzXFRe7eU9+uc6SPwWJG3/OLhwOH8DQcxrael007xFi6Rk&#10;gXom1yR/2MzLVXYDsf1i7U0X3fKdGb/wD4LrkFmqXeny8nKxL40dQb6JP3HNrjQyUb6Jx6EXwruE&#10;U6c+IfGkqyMf7uTJkyI3BWtWucqIfWuVlZJHXcV7VelgTzAmWClo/iP/R7hXm431guyau4/J8h2V&#10;pvd+ARgSF++eQKZp1H/ozbcM71pz59Dv9H1C8F+2nOJG3s72vp+tujKZ+kHsS46mO+OSWQPoyIDN&#10;vPZ4opULEr8FSTvaWLg499vKxhpA7xr9De6m6Xnr/Ovy6//P3nl/SVVle/z8I29I3U3OqRmQJqMg&#10;SE5CK5Jjk3NoFVCUJCA5g+SoSCMZJKkkURlFBRUdRGd8b9Y4b8KaWe/tzy52cblWd1d1V3V1w/3h&#10;rJPDPffUPd/a8YMrN13Npj+pzcC0cj+6doPuKG4Eq8FHRdcC+yxm4w+5OvJvv/226mAQm21p2hDQ&#10;2e3eradrKDoVZlPadDbM3jT6G7wTsCZ4lLmIKcPGtdm5ph30LsqpB3dCz4T+mGz+dTyxY6NGjQv8&#10;H8fwo8Vg6kQEG5+Y39XRoyfD/gEN1xGDHy0m7Q///Oc/XV7B2947Lmlwoh+vWr6wGNLfPx7fn2CM&#10;4B4r7BnAJgE0R2Qc/ToyNnYy8Vsy57bnD+LgdxbvMwDdsVfPzJhsoTxO2BIcAH7EZmC30XeUt4nv&#10;weHDs1QHd8TwUYoFx46ZoLoV/V4YoDZgsPGCfRewJDZgqMcm4AtST6hbt67K042fMFnx5KZNm9wA&#10;se+3bNlybQvGXCOyffPmLVB8iV4w/q/BpYyNTUFsFRoenSm2CNH1wO82uBYedrJpj/HEjsj7Ie+I&#10;bYCCnD8vriuKNPTW7OxZKq9vmAvMB43QG+JFe2Qc77iJSBtm9WLReH+PgvGCOy7WMwBeBDeC0TIz&#10;n9fYP0Yy8Vsy5/bvQ5APfl/xPAPoXMNHLcid/Kj3MZwBnQo6Hjosy5evVJuB4LlnnukkuHuE6ju8&#10;/NJs92L2y+qzetbsVxQLbtiw0TUS24Fgnxf6DhBbf8MFU7zoypUrJzhxhdoMhA6JzRZ0JLA7SFvK&#10;sB+I7RhokWBFbBOancFhwg/GNgw+ucGPpMGa0B7xwZcs7IhONJjRbH3XqVM3bucKO5Dx4oEn8txO&#10;WfKDmzrjNdWl9uPGSFgReUZvQO8lr+BtS9rb1p/31pH2940m7+1n6webgiF5vnh+i4KxgrstljNg&#10;9h3hWYPRjIftHyOZ+C2Zc/v3IcgHv694noFE+5sx/OWN7e6mzNLFMbY1G3ZEF2LlilVi0zlT7fw1&#10;b95C6X/YjZ4teBHsB51xqNgRxCYhuri0oR6bLy1atnLYzE5JSVGaJHan8V9CG7AjeJG2+CiBbgl2&#10;hNYIdqQt/hKoh57J2NivfqJxY9ehY2flXcOzVpnHJPCssb0DrxZ8h+4xODJWfeq8zsATjTPU1iO2&#10;IdnD4ihn0X6IyDf87s+u+hPfuzr1Giu2gl4H5gKDYUfnl19+eSigW232fLxpKyO+d+8nDVZm7Sz2&#10;l2O3hz5mv8fqienDGixN3h+szvpZH/qZXneAH4N7KJ73UEHHgu6IvozF6Fv7x0omfkvm3P59CPKP&#10;7m/W6BTe2N53ov7jjxG+dbs46TQY1kpWnBf2KGidPctnogcBHxifMO3aPSM0xBGK24YJ3bFW7VqK&#10;/cB/NcVvDPxV7LRAD4RXjX3pGjVriN5xdbV32LJla5WHxBY12G/p0mXaHxvTtAUXwa/GNrXZrsZH&#10;CzxbMOSkiVPUzg+2qTt16qp4Ff0c9GpUV0YwLutl7QV97lj7gRmhDcbaL5b24FFo5MjoFje79t3H&#10;/ujSSv3ZqU5+qT+5ClWuur1vn1LcCGYEy/3xj3fVNuM3337nLOAPBtveBNL4FvQH7H8TKLd2FlsZ&#10;sfX//IubjoAtchvLO4fN6Y29aRub2MalHpuUPAOYEiwc4MdH9y6ye6e4x2DF0mXKhsN//dfv1F4P&#10;MpC29mTit2TObc8fxI/W79SLDyOljScUqa4wZXaO7t2753qJT1xoRbHew15b2Xb3G8YiNl0E8Ash&#10;kv5qbuXett42NpbFNoc3TgRW8j4Xa8MuCzS/iYLfGohNvpSUcoKZGoofknHqu6Rv3/6aBkdSDnas&#10;Vr2aq1KlsuvZ41n1r4yP5YOij0ubcYKH0LMmvVRkFsFgZhMbf3rYsUZGkjR0SexTI+tIn1atWqvf&#10;FDBjWMfagxsTsR/2vr0xmBb7jfGkM3rH96bxNwN29JYVh3RGj59dqmDGVHTyy5D+yXXoPkZpjeAt&#10;MBi+ZK5/8qnD1zU+ZfBL+OGHlzTAfyN/4cIH8h/goiNvgTyBOsroY+2tjZXTBp8zZ89d0OCttzbM&#10;Y2nGIh9pLbRhPOpYs/o/FDwKpgQ//vrr3wL8+H+P1r1k90NJiaE5gh/BisSmLzNv/qIAOwZnM3wG&#10;Ssp5zm+dXuwHRjQ59Ejy9NHKvXv7eseLhEFZXwfxK1O/xQpXodIHwme77ipWvurSyl10Wa98mee9&#10;bDYPK1b8syNt2Mr4uob9oNGZLTyzfW12r832tZXnFtPfW2fjaSzjMxfz2JzgykTgJe8zHs457EaP&#10;HueyxGcd9EP4py8JdsLO9MiRozWgTzNIaIbQH6tUqaK6MbOFp+1tA18am9PYabwotnWoO7B/n2JN&#10;8Cb2n0NhlNIbqScPPRJdavqsFL2ZVatWq3zjpctXZK+uuU9kP/LylW3P4o8Lg7+QcaxatWqe56Yw&#10;43v7Qnssjtjxw2tfhnTyBT+miT2nUbMvqa2eG5/9QemB4C7DbGC7U6fedydPntbYm8aPDIG6M2fE&#10;x42nLWXeQL2NcUJsSJKm75GjJ8SueShPf9rZHNae2F/urfO2B4eCI/HRzXNA0wQPB7THADfmd9cl&#10;sj6SfGMkOl+kskSuyzt2Muf2riNIl+zfqmFG8JwXE5oMOjH/5Qkmo251Vp5b7O1rfYjNdjDzdcoS&#10;XlqFn93oVz4W2shZl1LqmIQjvnAy7H/Pe2eTNtyYWlp4c8Kfq1jxt75WwHpgRK8ta2xfm91rYrNr&#10;bTaxc4tp562zfmoLmzl8ARz5WYLwI89veIs5mKu7yDTWEB71ls1bFCcbNjaMe+bM+27MmPHhetsb&#10;w8MhbIwfmWtCh7oiNqAv/yZ8JP5ICGH73/fthV+9dlX7sM+Eq9dkHAmK2T142nC1xazdG8D8G/aH&#10;/gP433e0eXjs+B7EFjg002j7FaQddsKxSVqQvonuE9LJv+emL/1G/880a9ZCdD9fcIMHj3DvHnpP&#10;/VJDxwOz4V9wyJCRQlMeqJhv9uy5rq/oU4H9Zs95zbVt215Dtuhfde7Uzb377nva75VXXw/3Yxz6&#10;gBNXrlijaXxptxFZBkKvnn2030zxfbh6zXrFlLNmveo6deyqazJ8SLtp07Pd9Okv6lqmTp2pacZl&#10;jayl97PPC/48o9gRXjjYEdlHvi/8V+XbFtxPJft+Konvr3IVZIMe0B3J+58jmfgtmXP79yHIl8zf&#10;px83Gtbzy9Ajl24y6sTIpxP88uyWp43JsluZ9UHOiu/7r7/+zXUaKbaty/0gmPFHCZcFLx5WzFg+&#10;5QPXY/RN13XkTcGDZ7SsZsbnEe/mZr1FFwCZrrIE4c0JjWXs/Dt6T4KDwHaGEeGjYsca+9XwV0+J&#10;HofZzCZv5aS9gXaESG3MLjZ2aMwvC/NYWmX9EogfDTsSg7/effeQ8JprqR86w2bRxobx2DdwH7jR&#10;i5O9abAj9YYTLVa8CeaUoGX3sbRhU4sN05I3XGsxNitTS4ntyiF3C0WzBT+iH5SWlpZQ3jXYFLoj&#10;fmsSjQVjHd/OB2eDc/Dmm/gjrOUymjRVf4LoEM2f/4bo6q9y9dPT3VzxTY2MQk7OUc2D0V57fYHS&#10;s3ft2ic+ZvaLTEITsfs0WGjOY9xy8XtNe+sHLZA+YMiWoodFesmSZYpL3zmYo7j02V7PuWHDRrnF&#10;Uv6O6KMy79q1GzXGNh7z4a+bfsOHj3bMS5vhYn9qwvgprnPn7u7we8fcSJm/a9eeQtP+XOmOd+/+&#10;GNAdhX8T3MfJ3QNoj+gQgh+JyfvfSTLxWzLn9u9DkE/uWS3I/kfCjeA7w4j8h79z53uVn799X3Ye&#10;+SiTWUeunvJIIbc2jMfviG/8K2+eErz4jUtN+cqllD4t4ZBix17jbjt4bXZHds26JeXHFT+27PPA&#10;RrbVh/hyIbmuNMGO4A3uSMONYDvDgdiLQf4NTIG+B/avzVY2tq2po9zqzE42bSz468wONn3Bocx1&#10;/PiJMCYN64oIfoSexl1ua49XbPiAmDm41+FNdxXcxPyU5ReM7md7Bw0RrHjhguBgCefOCzb2xBfE&#10;vx710B6NDkn8odJlP5S6UICP7cWchuOJKTe6rcXtBt6W/xPfi8+cHyQuPH5kj8F18JXjtd/+cbD7&#10;wxyx+pjxj5OIvJ0N3j/vlvOKHGuvXpkuO3uWmyH0v9atn1KbTNAj1wgtEPtM3QSTZWWN0/SoUeNF&#10;Z3+u4jv6Erbv2O3SBc9lZvZTu6DITNIP+h8xfQcOGKo+tVevXi/yD2OVP75//0EtI99ScCs4FOwJ&#10;bbNP777aFzzLnPQbPXqClg0cOFTLGJs1ghfPnr2ga+G7xLeF/6n8/4WfYd+3gnwbgz4l7z4rDu/M&#10;5BvBjN4Q+LMOzlNxOJ/xWIN9V41P/euvf1M6It9fw4ncASZHbzL00BRIc08QkJWyOtIEr8w8dSb3&#10;Ttpkkxi7SbOnXYWqRwU7HnQp5fa5lDI57vftH/Bgvfdoow43FDvCy65U7YqrlXHVZU78OowFzNdK&#10;+yE/Ku0N+tk77xxUu4fgOTDjypWrVEd40uSpen/Onfu62pnB1gw6JpMnT9OAHRrk/rBbOGxYltrF&#10;xjbirl271E52//6D3NixE7QeuzTTp89UfRFsHk6ZMl3nGjx4uOJQ5gW7govAsuCzRGBH2yvDCcTg&#10;4/T0BiIPUEHt83jr/GmTRWR97B38arDf+++fFd7jCcXC+JMBE/NMxNBhz549p9j0nNBcSRPTx/wS&#10;Gq3WsDsxZQTD2VZn9NvUFKE1p33pUsvfUvwI/RHcw5rtOWONmzVrrtgOO5Wx9s2vPTRHdLuKI25k&#10;7fy3ypojOs73/1cMHjxMMNpzSnts0rSZlN90TYQG2aNHb7flre0a0kXfqrXsFd+DZ0QG+UXBmPCz&#10;+d9HWbbkiWkD/XD8+MmaR16Z/4XQNAmXL1/T/ow7duwk/ba8+eZKtUFKHty6cdNb4tOol3tN6J17&#10;973t0N2n7/ETZ3QtpG1tzMM6mJ+1fPLpDV07+uL87+U7Bm40eep4fCuDMYJ7P9ozMG/+ItWPQTcG&#10;7AiWtOAfI5m0v2TO7d+HIF9yfl+GG4mRCUI26JLQi94/e171LsF150QOnf/82DdFl3HT5q2Cm1aK&#10;3ZYVDrrBtm073datOwWfHFNdyzNnzir/ac2aDe4d4Ush304Mzwn6BLLxhA0btiiv6fjxUyqHNnjo&#10;OFe+otAfU865EXO+UrpIJJzA/RfCjyH6o8lD1m19Q+9GLxZS/CM4Dbs16HGAdbBxiN0ZcGNHsTuI&#10;neiBA4c4fLCgJ4w9GmzLoG/SvEWL+75SVomtwiec+mXpN9Dt3LFT6R/k64mdm40bN6lNQ9rgVwW6&#10;JGMwH3QZsBu0yEjYsTA4KD8s46+H3ob9wYtCJ/TXkbe9M7qU0WvhweMTBtoruBg8TYzdb54VOi3P&#10;CgY0P4XEPLffR6HRai1mHILRdSm3PqNnve/SKl9xqRVuiL/oW27a4i/1XNg6Iz1DfmU8O3aKEmGv&#10;x2Qdc9vf/NaWyHp+N+VTLyndfvFb3+q7Tm+QrjTkSpUquS5dust/oP1KgwRHgr927tyj5zfn8FHN&#10;d+zQRc7NV+5JseHJ76mnyCES03bhoqXa9uLFj0JtO3ZRHW7OP+NAB6Q/6Q4Sw38Gl64RuuGkidOU&#10;f21l27fv1vbMwxy2FtozP2NMmjRN+ey2Ftb8xhtvhuWwA9xYcu6hRxUzQF+JBptF0yZRe5TMuRP1&#10;TMG4if/tG3bkvznYER7PpMnTlXYAbuRbDC8K/hEyRgsXLlGeEjJKyButXLlGMdSUKTOUN4qc/br1&#10;m1Q+qW3b9ooh4T8hF4+dvxYtWqnsE/iS8cCb3A3cL9CcDuacdhv3iNycyMXBU4uEHe1+nfHmt652&#10;i080mE5N/TaR8Q/2slkv+Ac7NNAVwSg7duzQubFxDY3RcBC4DxvazcW+IQE7iNAkzQY2NnDAidAj&#10;Q2mxgS12sLFtCA4C+2CrBizFs4GrwFJgsKKiO9o++WNwU26+8wyTebHjSy/Nlr3LEr7jWMXFK1as&#10;FDvig9S3ITF4G9y3YMEi9SPDs2PfkRi74TPEtjhtNm3a5MaPm6QYffXqNbpP5KHhrl+/Xm2TQ9sF&#10;j7KHvA9C1ovHRUbxYzdx3vWozoX/ef15nj1NePj+8njkoWVigzweY8V7DLBjaqnzSrNPFbmQheuu&#10;uN27dutvDNyIvsu1jz+R/4fokn2s34Lvvvtezm3IBiTfBm9679635V29re2o07byP5C0teW/qLcP&#10;adrRb/eeA0KLvKr0QWLy3jLohqzDu5ZIaeZiPOq8encBvTHx90dwR+e/x9AdTV8G+mPAs85/z4Jz&#10;Vfz3yIsd+Z/Od5j/8+PHTVYZIugoi4SeAI95/oLFKptEGbL08J/hYyNzBG0SLEgdMkvoXiK3NHHi&#10;VOVjYSsGWiMy75STRy8SvvYAkYMCX0GTAz8i+4bORH7Y0Xu31mj46X0+9nE3d+2tME/O5PUMO4Lf&#10;+j7f302dOkNxJLRAcOEQ4SuDfcB48FBZI/THadNmCj1kgNApMwT7bNZ24Er40GBKs4GNDe1ePXvL&#10;uCE+Nc+BfW7kC3k2+LY8H88WDS72Plu808+In0J0jiON68eOvAeeAxuO4Gv26uWXZ4vsZHel32Kr&#10;Bx+IYETshGM7HBwJhgaHgxfpQ3kz8U3TrVsPxZzgbHwU0s5ouPjCwX/NokWLtW+HDp3dzJkvKsYH&#10;g8dr73i3jRo1jvj8kfYklrI2bZ7WsxNLn6Jsi2xHSqlT+lupWPlSmM68fft24bVXVv4u/yEJfA9i&#10;Dd5+hRkn1nlpb/OBGQPcWPzvnscFH0B7NF61xf5nTybtL5lz+/chyJec321e2BEbacipH8o5ohgR&#10;7JchuBCsuHbdRpWDvy36MchAoSuDnBLyS7ShLe3oD55EDv7AgXeF3jc9LO/OGPCfhg4dqfgqS2wP&#10;grUK4uv4AT8Oez6nXM2Maw6+HPSznTt3uimCFaEPLntzuWDC5WqzOjv7JfXdB+1s+PBRWs78YBTW&#10;DN6ETgndtavQZaAZ0q63yIeBK6ErQicDF4KFG2dkyPrP6zPoGO076LOAHU0PJNm40XBK9Ro1ItIe&#10;/dgRnjV7wfOCE8GBc+a8qhiQGNnPLVu2KNYDO2LbEcwIJoRmCBZkj6DhQqeFpkjo3r2X6MWO1vGQ&#10;GaUdNFzkBpjD/NlAG/bz+vk/YOu054klhmcPfo6lT15tbS3EYEd0ufNqn+y6JzrevP8/67Su09aP&#10;nObRoyfDeiVeDMZ3wvK5xfYtsbaWz619Qcq9Y1o6tzi4h0rOPfQovivDidAZoTdaCOiOwbl8VM67&#10;fXv5lvP/Hf7zJKE9IueOXDzy79evf6q22bDVBlbcunWH1qOHjQwTskyrVq1zyBz17TtQZeWt3cfC&#10;B0PmfdmyVe7q1esq+448PrrbzIFtD/DV6FHj1I6LV4+Eey3au3bjga9dWtkP7t+LYMhjrt+M24Jh&#10;Xhe8Ol7lF7GXfeDAAQlvq61raGgnThxXnEiZ2WUEF7377iGlEc6e9Yrb+tZW5TWDJ+HdYgcbu9nH&#10;jh1XXEg5dMuwjUPhuTMGz4I/F7M9A+5BBjOW54r2+WNpB28VOc9IfQxLqKyo6Mq0FwyMTBsyB/D7&#10;X399vmIksCJyoutEPwT+tNFu0d0FQ0GnpB4a4xLxR4OMKXW0pe8oeReUgRWRIUA2cs/uPUrj5f8E&#10;AT0co0XHC3dXqlRR9M4ruLmCbSM9f35ltj+R4owmzVQPJ1JdrGX5raOg9SHaI7+PEw65D8ZhbWDe&#10;MfI7se9BSY4flW9z8BwlF2fMm7/IEQxDemP/e00m7S+Zc/v3IciXvPNu9wT4gNCxIyEkFz9r1quK&#10;D8EP0AmJsaeGbUZsP2J/A9kk0r16ZWrdL7/8ou0YA2yJfWF0OEPlY1Sunv5/EduO2AquVq2qOyM6&#10;uWCtwtCV8EXY+vmvXcUqHymGTCt33qF3HZbfEyzEHHkF5reAnjFptXXo6wceNEyo49nY9/uAvQje&#10;scjfuBHCjrFiCX/7gmIH+qEzkx/fmvlYO/Rj/MOgfw6tFf61+SLEd+HaNeu0DJ7zeNF9JW/tkHNE&#10;TmH7tu1q3w//hnPnztOynSJrCv94/foNmieGtgtdF1oveuvYxYRmC27kHeQl/xrLfqBvXhA7PfYO&#10;WIe9X+87xu/hzJnZ4Xdu7z632Pp6x7JnZK5YninatvxGQjozIfw4e/U3Og/2KGvXrvMb23PB97zk&#10;fc+Dd1Z83hk6psg7gtGgPZL3v59k4rdkzu3fhyBffM5tLO/C8KPRH5E7N7n33GKvXBLtLfjb/yrY&#10;kmDl1o4YOl5mn76KC7hD7X6O9i6M1A7/MtBV0MGu1/pjHdPu+9zuccqZn3YWyFvIq5/1tbbe+9/K&#10;iOOFG22PChKzX/CBsUEIrS/S/tm4PMcrc+aGabbwp/FnGPJtGPJx+FLY3yH5McLbnv2QD8R58xaq&#10;HACyptRBi2QcdIag+xKTh44L3RYaL7Re8CIBfM7+2p5GWm+sZegL4Xc6mn7jFvzwkP4+75H1+P9/&#10;oL+P3fFly1bomu1/hf3HiBQzhrULj3f/v0c8n9f/nPw+Ukvjt+mIe6pvyH4quuGciVi+GUHbkvmt&#10;D95b0b03dGUyM58XuyKb1TZ4KfFv7d//ZOK3ZM7t34cgX3TnMt577cWPXrl3L0aMJJcO3jRZ9bz6&#10;eftae+z9wi8zvELsv+sKkm/4zBd6N6aIL5o9R0P6M945SHM/W/DX+fPedpa22N+WPDiRANbAh7PS&#10;Lu/jgvxwaF71hl3ya2PtiAnetbKf6IvAF85rb+256G+0V8NAhnv82MfqLTb8528Xxko+ei7zKDa7&#10;v2ekWTtryWutsdRB74zGvmP7IT+5NPFTVLPpT0q/tn3gmcC54F4LqWmprnr16qq7TJnJuBJbQA6W&#10;tMXedqRNZoLxE/Hc3j1q0PYT/X2gZ2bl+FI8JrrS8f6uBOOV3DsheHcFf3fYHQWbEbOPlvfvaTLx&#10;WzLn9u9DkC/4WSsOe2f40RuDDb3BWxcpbW2ps7TF/vbYUfRiR7vHChvDm0sre07vR+xBMp5hoaKK&#10;wRqKg+7TlwxP+WMvvvLXxZrPFZOB0e7jMp4fmcRosSPt7Vl4nkQG5vGGeONGzkE0POvuY3+U8/PA&#10;t2XNZnfd2Q8/U1oo2A+9KHTnCcNFHygtrbzq6COfaQE9KksTo8Pvjb31pOHZm75WovHjiFe+u//f&#10;6lQYOyIDi53u4vAdCtZQsu+R4P2F3h90RgL8amKvrXDbo2Tit2TObc8fxI/Wb92P8RKVh/6Vm73B&#10;wuLHjkO/1PuxQsULLnvZA98zhR03r/6GS8E/YDUwgNGXjP7kjcEhRofylvvT1ibSWN4yo18Re8OV&#10;K1d1LWBLsF/z5q1U3jCvZ6HOnofYaJeJiL3z+NP5rTHW+mh0rTN6hHxbql/0MvhJ/9FtO3hDZTCx&#10;GYQ9J/R+1q1b58qVS3FdOndTHXP0zLFTZDbOiQnoCVFOvdcWurWlHlkCxgVf8r7538C7sv2I9Tnz&#10;ar9sx5372PGo6z/jK8WP/JeAlx98yx+tb3nwPpP3Pr06Mt70vPmLwr+zZOK3ZM4dnMvkncuSvvd7&#10;9h5QGau87rjC1KFHav6vke2qUvua2kcemB26KwszdqS+dsd7cSMYwGxXemlQloYWBRaxfG6x0axy&#10;q/eWQ7+yOaFnkTb7QeBJ8CN65NjIXi0+dyI9i7/Mnq2oY/86CpsHHyHXB07LayzzbZla+mf1pT1t&#10;ydfKU2Zvsd0E1sOuJfY/U1JS1MY5ds6xV4m9IbNxThuwIpiRMupoQ1vS1pY6/PWAJcGP0B8TTXus&#10;WPGy4sfUMmcddPod23eonceS/l0J1h/cScXlDHht9JAOdGWCs1lczmZJXse9e/cSih3BBl2zxBey&#10;3I3mu5A4tex512fS7TyxQ164IlKdYSpoctCKuPfBjWA6cAq0J3CBNxgNyrCF1fnbWjti2lh7y1s/&#10;i9GBIRi9C/oYa0BfBRxp+BEd6uLqByXSHhekDB0Q5BuRi8APIbrQ2AjKbyzeJ/gxo8ePbtrSW4q3&#10;0e3Jzn5J7REZduzT53nhV6eKb8p6ignHjBmvfnc2b97sBgoNr0OHTmrLkndGW3Aj+kBDhgxXmcup&#10;U6aF7V5iF5N3yHsqCuyIXSvTKUOuI8COwb1Wku+T4rh2L60R7AjP2r/OZNL+kjm3fx+CfPD9ifYM&#10;LFiwpEiwC7bDR8y57UI87DNhHFm/zU3Voc0PR+RXb7iR2EtzxMYMNEVwBtgB2pKX9gSOIOwQvx7E&#10;0KCwTWNtjI5lMW0sTVtLWzl9KYfWRfDStMizjlNC5wTTgm3HjZ2o+8+683vGklgPFoI/XaNGzbCd&#10;+ljsOtp7tXeKrU7sW2J3CHuepLFPiY5MZbGtPX7cRLVnuWjRYsGMnd1zIj+IjXQwITroxLwT/OzQ&#10;D79FT4nPZtpQ30H8q4P5+b+RaJ61vU+T60grd1HPQKBrHXy/o/1+B+1iOyuBrkxs+xWcr2C/cjsD&#10;8KzxcW33WFHEap+kTMivLzTIar//Q6Hxo2EML3YcOHCo+prBnyG+C8EK2KKBLzlOMAZ0MGyig/vA&#10;IPWk3tsGfyzWBowIvmzWrLlrJP5ZsKVNGfiFPDrD+HgBl4BFoHUZjQscyrjwpsGO4BJkKZGlAzs2&#10;adIsrjrMRfEOo5kD+43gIHBjNO0jtbH3arRk9LqwA9/72efUhiV2LPFxyXvgXf6+YUO1ZwSNl/y+&#10;vfuU3gu9ElunbdqGbKbzPrBVBI0R++j4s+ScYJuI98N/jkTzq+15NxxAZ+a4BtL4lwl0rYNvdm7f&#10;7KA8trPh5VmXEl0Zgn8Pk0n7S+bc/n0I8rGdrcd5v+bPf8O1E36i3WNFFUOHbPEs/LpjSoOsWvdK&#10;ofCjYQzDjmA0/DEiF7dt6zbFDNCgOgpdCX8r+FrBbjb4YtvWrUL7a+FmzMhWO5f467M20K9oA81w&#10;QP/BigvBneDDAQMGKx0LHV/zAQgPmzRYFUwCzxSfPswLTmE9I0aMEr+RTV2DBr9X/i34KlG6SkX1&#10;PiPNg85wPPxW27sFP+KfaI3YPgc/dhXsnyF+KHfv2i2+OJe7ho0auZo1a6jvRmQioU1SR3ru3Hnq&#10;/9JvMx266PDhWfpuQz4tQz4xwY3oWTEn80d6vniWpZYK/ZdavPWO0qHXrdv0m/vtcf5OBc8e3GkF&#10;PQNenrWl/WMlE78lc27/PgT54HcW7RmoJLJnq1evTfjdmNs9227Q7fs0lyPqawOaZG5t8yv3Ygzk&#10;HdesWau0v/riIwUZOOTfoC2NHTvBtWjZSulR4ELK+j7fT/MrBJNEatO2bTvFkGBCZBihW2GLmv74&#10;8aOeMYmZ7403lrjO4h9oyJAR6s8F/mnVatXEF195pcO1bdtesS00X/it0Dfze76SVA/fF9+DtWrV&#10;jstz2bsdM2aC6FVvUNnHkG/3kM9y/O7g77JqtaqCIRsqfRlaYzvx5wgvmrbQnPENTh7b6vjOwacl&#10;PjJ5j/QP68ILboRPXhS4kfeaWjYkD9y48+dqtwnfhNH+hoN2wfc+OAO5nwF0Y6A9gtECvzK571Nw&#10;hoK9ieYMoCPTQfxiNxTdhWRjkqxXsONjMpAnXNW61wpMgzSMAb0ovUG6mz37VcUM2dkvq55zq1at&#10;Xdcu3UXf4mWlR4EZ8MEHDxT6FLrQ3jbotdCG8pycHE3D0+zXb6DrIuPQlzboguAzcJnQv+i/XHyb&#10;zJs3X7FkgwYNFDM2adLctW7dRnEP2NZoWuCrR43uCD0Pemq0vmOiOYO82yNHjig/mf07nCP6SBLQ&#10;WT979n3xHdFXcHkNkS1AfnWHlkN/njp1hsoK0I5y/lMQ0HNHbsDKz8p7NPubRYkbefZaTa8r/b18&#10;ynmHb8KWLZ8MsKPYco7mWxa0CfYprzMAjxrMCHYEQwY86+C85HVegrrcz8fatRvVby76vejARnNv&#10;J7oNtnzMjjgykI063ox5XdAsn5t6V3VzwRnwntFjhua0cOFite8CLQp608mTJ1XXGVwIramP6N8S&#10;8CsCPZE2p06dDreBXgUPHFyIrOLmzVsUR0Lv2rN7t2vatJnr3q2X27Rxk2sqMpHwxKsLjoGHiv+9&#10;fuJPHD6o2Qs03Ki44RHEjvjqzhA5znifG+9/A/aQAM4DS1YTuu6QwcM1TZ5gdZbPLaadBXs3zBXv&#10;9ec2Xv8Z0N/xb33S7T18TXH39eufBtgpwI/BGSjEGbj4wUeKGTeIP0LjDVvsxQiRyrz1iUwnc+5E&#10;Plcwdu4YrCTuzQDRH8HvGXoMud1jySpHBtLs3XGP9hgdPX4EN5ZPER8k6r/u5zB+hE51TmiG0JOg&#10;L2lM2vJWRmzB6r1t7teB/YxWZe2bNWvhqlSt4tB5KVu2rOoVgzXHCH91jujPgFdsXtKGTWyfoTvm&#10;51/G2paEmLOFX+lErdXwozdGhwm8ev7CRd1f9jiW4B3L0olaf6RxOfvoWdu5h449YMDQADcUAjeU&#10;xO9zsOb437eVq1RVWiMYDR3GgO4Y/z0Ozu2juafwp9FZqF27jvKo4dtFur+KQxn27vBBwx1ascpH&#10;Ua0Tm8qKG0vjv+4BfjQMAIYw+pPRliwPlrMyo0lZ3tvG6vxxZp++alsQ/qe3X25pP25kz2vXqZNU&#10;mdN4vnfkHLHJg35QPMf1j2XvlhibkcwJbvSWFzTtn6uo8tXSr+i5r9XkU+Wtw/MPaI+P5jc5uGuL&#10;7r1ilwfMCL8aXRlokf79TybtL5lz+/chyBfduSwJe43OZsOGTyg+KS486rzu47nrvpE7NGSzJKNr&#10;/vYfwY4VK4Ywoxc7MocXPxhuszJ/3sq9MW2snaWJsRuNni/2VNaK3q+3T35p/7PXr5/+yGBH5CDq&#10;1atfZLixV88+hcKN2E16UWRfofNBL80R+Ujv+/O/q0Tmnx7wlWJHbIXzG8D+QXb2rN/ccyXhmxOs&#10;MbiDissZAC+CH1kPejPk/WtLJn5L5tz+fQjywe/WzgB0C+gX2EtJ5L0X77FrZnx+/x5FBuyEaz8o&#10;bx+G8KwVP/7uz65m058f0rXxYoF4pMEaNWvVclWrVlWb0rGMGWmf4FmjHxGpriSVoa/PWVu/bn1c&#10;nyW3/TVdbjCftfHie2/a6tFnxxYk+e1ir5P1ErDtiV5406bNw7xu6xMpTsR7Ub512XN67rEXjv5U&#10;oDMTfMvtWx7EBTsL+JExP4TgxsCvTMH2MTh/j8++Ga+6pOFG7mXu0ZC/DeiPYj9c+Hn53dfgx/7Z&#10;dx/Cjfn1ibU+ETxZdHCge8W6luLWHppjnTp14/YcXszmxYEmD8C+IWt69ty5h/Rj/HIFlsf+EnKY&#10;2EmaOTNb+1QQXjc25GmD7Udsblp7b2xzsg5bVyL2v3qjG3reK1W9rHps4Fp+x8F3+/H5bgfvuujf&#10;dTJpf8mcOzhrRX/WSsKe4zMGvZhE3HFFNWabftjvOeJqZVwtFs8B3QoaVTyfv3nzVo+EfUdwTiz+&#10;BvPaQ8NnYDYwnOkaeXWcwHmDBPehu2Q67MSRwknxA5ku7dFnIiZ07txNY2QzGQM7j2XLlnmo/290&#10;o0R/Ct/a+NjG13Zez1CQurYvfKHnHZv5ExbcUlkTfsexfG/+85//uGiCd8xo2hemjXeuIB3cV8Xt&#10;DCQTvyVz7uL2HoL1JP/bAK0CfldJ19+tlv6x3qWNOtzI9Z5G3hFfbgW5q2PtA6/6mWc6xXUueK6N&#10;xY5QrGspTu3hV5cvX0Htqxd2XV7cCFZ8CAuKPaWPPrqkAZyH3xhsJuF72gKyqGvXrtO1WNmzvfqo&#10;7UfaYoMzK2uM0kihkzKGtStTpoz4J+zj+vcb5Hbt3Klj08fmnLLoc5eW8oNLLf2jyEbcizt+9Opb&#10;V6p2TenR+Jz3flMLg+EK0vff//63yy3kNx79IrXxPk+QTv598bi/g2Tit2TO/bi/9+D5H/72GK8a&#10;/dOLxcR+Y0HxhPlqGzHn9m+wFTrZ6GJjEy/k2/C42Og5IxjmstIpazb5xD3R6Q+qd1DQ+f39wHnx&#10;8LPnHZcxoYMl07+Pdz0FScNzh4dckL7ePg/hRrGLhO1NcB14EB/TxNhiP3PmjCtTprRbsWKl2GBf&#10;oAH5QHxb161bz5UuXVp1drCziY3PtLRUkSldpL6qse3uDaeEJkk4eeKk/Ncaob5w4G2npZUXOamD&#10;2pb51u/60KWm3HSpqbckDuHHjB73lIftfYbCpvtMxFcncr7HXb+RSwTLZip29GIwL5b717/+5Sz8&#10;4x//cNEG6+OPo+0fSzubw4slg+/2w9/tYD/iux9mBxwd62nTZob1ZSLtczLxWzLnjrQXQVl8z2FJ&#10;2U/DjY+Kj7vyqZf0HoX+iL1H+HjczW9uu+3Kp31w/47lng35xQ7dueS94bj6O3x6wOcOmcjC3O1G&#10;X6tbr55ik3jYokG3BH1teL6FWVuy+vL/hLW/996RAq/fMCMxfGqlNwpuBCuC644dO+aOHz/hjh49&#10;6pA5zTmUo/rVyC7WrFlLQ+UqVcQme4br1q2nW758hdJyweSlSpVS/Hhg/371KY5fcfyOE3sDZbTZ&#10;t2+fBsaeLfY58U3DfPsPnnA1m111qWk3FD+mpdx105d+E3f5R2iPKaVO6xmu8+Q3rkq1emHaHdjL&#10;i9n+/ve/u//93wfh11//5qIN3n7etL//X//6V5dXiNTeyuhH2sZnvazfMGRJ+a4G6yx59ym2eNCN&#10;MQwJRsPWY6BnXfLeZfD7S9w7Q58aW8L4p35UcCNYqP+Mb3048IjYUIbWeDRc/lTfL5VnPWHhD651&#10;5k3XdeRNxZl1Wn0mdh/BlyF9mxCePOkqVbviItExo8VeYBcwJPRCfMaAm0hH2z9SO2yJo+fL2JHq&#10;i3MZPryhcRdmjYYd0UVBvhE5Q3jF0PvAi2A3C+sEaxv+27Nnj9u9e5fbuWOnhu3btrttW7eKfcTt&#10;mt+7d6+jza5doTbEtCembpX4BQIvghv379uvZZQvE5+SYM5t27Yp/xv8CDYO4cdrLrXc127a4i91&#10;raY/U5jn9/etVC0kq4GNgfKVb7gD755RvAXuAot5sdx///f/uF9++UXDn/70J2eBMksTe9tYmr5/&#10;+ctfwnXePj/99LP2J/aHe/d+Eh2en8LljO9t483b3DYX6w/wY+LuguCefXhvzS4PNsHBj4Ge9cP7&#10;E5yXx3c/oDUaZizOdr/992O0+Uzh4aErE5J9fEBfTC1zQbBl3rZ7mANaY8s+Xyjt8QE98riOCf0y&#10;2nXk1g5+LfouudVHU46OCRgUnfiSJGfAWitUqFBouzx+7IiM40vCg64vviGPHAlhx0mTp4pf2vrq&#10;77FNm6cVIz71VFvFiZMnT1MfkS+9NEtkCp5wTz7ZRto94aZPn+n69x/k8EUJpnzhhQFKg3z9tXk6&#10;VvPmLTResuRN7U++TZu26qMGH4fM17xFC/dE48ZuxfKVupaDOafdxr1XVA4TnBtv7Ki27sv9Wf7z&#10;nJZwWOQwxN9io1uKt8CMXox29+6Pyou7c+d7982337nbt78JB3/eW0ea+j/+8a5jDPr7x/j661s6&#10;1pdfQev/yhFbIG9l1o7YAuOTpr3NhY095gJLBvjx8b2vigqrQF80vIg/a/Jmq8e/hmTyjZM5t38f&#10;gvzj9buE5gjPsyRhjmjwVKQ28KyxX9Jx2K0C2eLB5nKNhp+GaZbQJKFDIjsZab78yqATgvnioV+c&#10;nt5AxypOfsbze37orfjFya9dfvWRsCO+w7Gbg6zS3j17FcdB/4NG2LFjZzdhwmQHdtwoPsTBePgm&#10;h8esei5CVyQNDhzQf7CbJen58xdqu+WCAek3Y0a20hkZB9mDzMy+4n+is9Ih27Xr6GqIL/JXBdND&#10;l8zKGut69uytNFB46MhgQhtNGHYU/5oppS4rdkwpneMq1bipeAvcaLgMbPb5FzeFv/+p+/jj6+7y&#10;lWvu0qUrQq+9pLE37S2jnLZXr12X9d9wN258rv3J2xi0gedHfOHCB2IH6YLmSVNOfP78RY3JM743&#10;tv60sbl1rj98ruuHvgkfG/qjyXEG99bjdW8l+n3Dq/byqfFpnducycRvyZw7t/0Iyh+f3yL6G+gK&#10;5HdHB/Vf6B6BQUN6NiG5SNIFkYXEpnc8sBPvBblHsFhlkTvANzP2ZIorDxuePfRWeNXxsE1p2JEY&#10;PAb9HN0bcGGXLt3dOtGbBkci9wjveMjg4W6whDZtnxYc2cUNGjRUsSN6M6RNjhF6IfnmLVoqjoSG&#10;iA42WBM9avjg9IHvTpr4OcGQ+CWvVbuWtuEdYE+cOnDj2XPnVe8af+afffZZ3OUdOQt7jt5yaWV/&#10;Fux43qWUPiR6O6eUtwydEKwHDgMzgvXAZ2fOnJW1va/xyZOnNU2etNWRtjxl779/Poz3vGP4xzl2&#10;7KQ7cvREeHz62diMd+LEg0A5eaunL3MRmANMCd6F3w0NNeBdPz53VDLwiPGroTuC0eBXgyn9a0km&#10;fkvm3P59CPKP3++xf/8hJd4eTzJw7dj538r9HJKHrFzj45ix99ChIxU7gUUXb70Tc/9Iz9xCvm3Y&#10;Aapeo4aOXVz+E7AOeOoE7PGAG2vUqBkXmiv7YPgRHvDgwcPcnDmvukuXL7sMsV+0X2h/GRkZIqu4&#10;W7FbF7HNOHeu8J3T08UWVSvVhYbuuHTpMjdsWJbmx42b6GhHfvHipYJnTulvhPyzz2a6cYLT0dke&#10;P36y6y150jk5OaKnXVcDmHXGjBfDbaBfQm/EXg+4EYxra470HgtTxrjgx2qNbgp2zHEpZQ663s+P&#10;Ub4yNMZJk6YJHfUNpekdOnTEde7UTfjxAwUXbxR8fdKNGTPBderUVfZxhDx3CENie+iVV16XZ3pJ&#10;y7Zt2+We7fWcYjroikOHZrmxYycKn/9FrZ89e67r23eAjsc47HPLlq3dhPFTdL53DuYoJmTMIUNG&#10;CrZur/3eemuHphlv4cIl2mbHzj06F9gRPjb004Bv/fjdU0WNTQw7ghfBjeC0ADsG566oz2Fxng+6&#10;Y0m28VKYe7awfUP4EfrjGbfvePTyj2ColPJVhZ8Y8iMHBm03KPr++a0bPnizZs3VFwo4LZk0SOiA&#10;8ObxnwhvPR48+kjPb1gsvUG6O3f+vGK0qVNnuCkSFi5cLLKKHRRLDhw4RDEceHHz5i2K6UivFN8x&#10;xIR27Z7RupEjxwgNs7WGUNlmKd/s+vR5Xp4lXf2Snzgh7070laxvtWpVFRd3FuxpbU6dOq0yjonG&#10;jewL+7Bhv/h1Ly06YaWPufIVDsn/iS4q2wjNcfXq9UqXzcoaJ3TZHorLoP8uW7bKrV+/2TVunOHW&#10;rd+k8fDho0Xmc7Cmly5d7shDAwQvggVHjhzrRo4Yozh87msLtP7w4WPaHjw4c+bLihVzctBxl3LB&#10;8ozHvCOkH2MwLnsHL5s+pF97fYH+92Fs2jIPa0fO8pdfQjxrbPcEPOvgLk/E3QpGBCsi85iZ+byb&#10;N3+R/n4izZVM2l8y5460F0HZ4/V7rF27ToAd5c6NhEfyK0M3IaXUKQmiw132/G/kKLGZMm/jHdXl&#10;xgY5ofuIj1zlOlNF/wadb3BniHYZb/zI2k2PpqL4zwMfFDWGHDp0pOJG9E/y28t41YOdoD9C27MQ&#10;9i0jND/wmzcge2h50tEEax8pXrlyldoA6tP7+fC4zG9rMYwbr+eNNE5GF3y6HxZb5OeUh96+fSeR&#10;x+yiNOmdu/Yqhs7M7Kc47Z13clQHCD4/tFiwGjS+Pr37ajm0W+iIa9as137YvBwodhmmTJmhGJR8&#10;Zp8XtH706Aliq6Gn1lE+atR4t2jRUrd9x24di7Lt23crpmZ+xoZ/Dl6cNi1bsHhPbXdDZBvB3dAs&#10;qTv83nGVdQxojo/X3ZQsLIL87ZYt2+U300lkVBoovTE3mcdk4rdkzp2sdxPMW3y+AdCEIt0/QVl0&#10;ePLZ8V/KPS00HsGByD427f65+337G6qLnVr6rJY/0NEOyUg+yJ9xA7O/cjUzuOupO+bGzou/n5sB&#10;A4a4NLE5CIYsSr0ozhaymEV5lgybgR8tIFtIMPyWyBj9merVa6jcqc3D3KzF1pbI/UCnK/R/5LDr&#10;mvW16PG3UIy2a/c+t3XbTvfJpzdEvnmO8JQHCpbsrLxs4rfe2u6uXr2uuj+vCQ1x0+atrkeP3i6j&#10;SVPRh/nEbZF6+NDE+/Yf1DLqWsv/ggNvv6vlpL1jwtOH/4ye9J0737vx4yZrTDvGfjF7lubBhzYP&#10;/ZHNHDZslLah3d27IR3rQM6x+Nwbj/IdDr8aPrXZdDQ6JLp3/udOJn5L5tz+fQjyj9dvE59lJd1v&#10;dSLv4WjH7pp16/597ceGITyIjxtvwJ9N+dQPwn5roE9WqoZu7BHxWSd2CYWeGe3csbTDdgx4Dn2a&#10;8eMnib+UNxJGi4TGCV6NZX3xamsYzR8blkxk/NRTTysv2+bwryFez5jbONjB5xyllbuofg/R1akn&#10;9ug7deyqukHwii9e/EjpeQuFJggPuKPQJPv1G6ShSdNm7lDOEbWHQ5py2uwUuUPytIWGSRl1T4re&#10;udWnN2igY9uY2OKhnnb0GzFitLZlXvAi9bQljbyl9cOeo61x3bqNqhvz669/c9gHD2yDP153VDIw&#10;CVgRmqN3bnBjYN8xOHveM/E4p8eMHh/oyRSQX+2/u7H3iO9saI9V615TG+Pc434dbOh+2GCvV6/+&#10;Q7hq8zvo3oT435VrXn2ozj9XQfPQANE1NjqkyiHWri20qZaKIws6rr8fz4icZf366QV+Dj/m8ub9&#10;80XKe9sXZRre79AhI8I0Ru/ckdYZ77LQ/xj+s5zW/yDnL1wUfzapbv+Bg+Lz5m3RXzmlNm6OHQ/F&#10;2LuhbO/etzWA0QiUX7n6sfvuu+81TWxtiK2eNqSpt7FtTGJLe+u0rWd+G8/aghFJs17ShECvOri3&#10;i+quhk+NjCPzYduRNDzrSHS+SGVFtc5kzl1UzxjMUzx/9y1bPhnY54kTdowFAyB7iM87fx981hj/&#10;G1uSiaI/2rzIIbKOOnXqhumR4En0bKxNrDG0TJ4PGie0zbz6e3FVYdN5zVOUdbaXRTmnd66eY5HB&#10;DdG/U0ufVtoj7xS9EvRLwGDFIfjX4s+zRsr+n73zjJKqShf2/jnf3Lk6v+5da9ZSYjdNjgKSowgo&#10;kqOAIBkkNgKCgIgBQXLOWYKAgAKSk4CMBOMgIgYcGRCdmTs68c+3n7f6LU4fTnVXd1dXdVfvH3vt&#10;c/bZZ59c+6k3anHyxoI5hyTj3I7cER8Zrg2OVH4MYrWgtnjdk0QeO17X6I5T8L77WzanDHNKPO3f&#10;vHNcUV5GzkcsnaB7ULPFZ3buD/nPpJZ8L085EIPGj9SGrzB+0MRjQdcMP+bUtwZWJAYPTJqVnaNy&#10;oup1sQfUojaC2dX01/11vEjXFq92rp9vCn6O1zGDjvNQiz9k8OMhkXtzTtgMql+yt4bJoi26X7T9&#10;I/Xzj+Nd1+Wg2s0jBW8eScZnovaOMCPsiL81xa/H5toTyW+JPHYyPnd3TdH9vnTv3jup8lcHzaEF&#10;sQ1Wzy4XX0j+eDI8/9du9XG+yyC99wq9dpWMfNv41xBTiDhOnDs8SbxG5Ura0cFXjTI/t3Ie7Acf&#10;ig+0z/cZ/+Xs/J3p4+VLOJKxvdcR72V4GXZOdMyrF5Z9l/HuHBHff9iRHFJBPFZY2tzvenS/6+4+&#10;xeY+4WuNjxf6ahiSwrr//iaS3xJ5bP99cOuxee8K+n1E5kge62TMYR1vXsjp8eAK5HrwWVb7YidZ&#10;rtL5DAZAB3nStOzzRVwZctDAoTYfc0OJV1ixYkXxsalarZrI1uARLVxPXZsLOrvYjV5uhBkvXrps&#10;Ll68JHG8ieVNIX425fx58tVlLsTXptBOX9nfjgFnwpEFgR/bt+so/w2UH/Wao6mzeh9ysk39ZcpW&#10;CNnNEjN+x87d98x7Bf13yp1f0ZiPCuJz9vIi/Ige27Gjex8L4rsaz3MiZi82aTmZj1zf6GL2RHOf&#10;Itk7Bu3ba9yXNnakxhC3ftjWZ7vdkC/i/uyQqaHPxs+GZRiJdfgyK/20XpOyE/JG5UY48MyZs5Lv&#10;5YyN503OvpMnT0o5ceKk5Hjx1sdtfhcKbfT1siQcmV/8qOcebV2hQoV7/GVUvx5Ue8fV+5WXunnP&#10;z+U/R7WGIXZs2tSxYzx/X92xCjdjwI2qp0ZnjQ6beD0s+59tImV/iTy2/z649cL9zkf7/Iihht4x&#10;L/OT2zf3LIm+F5kd3BXNfSSGD7wIN6ofRF3r053fvjTRnFs0fZSN4Cb4Ds6D+44dPWYOHTokMtiD&#10;B0P122+/bfbt2yd5palZ1xzTWtNGf/ZXlmQ8lT/q8aI5t+z66FhBzEeb2mmqDr5L524Sj3vqlGmB&#10;MSW9ccK9Onf2ZzyOl905ZbcdZuQ9qfloaCxsCvi/GO3vg+tXNOYB95yDn7PfPwZ5o/OzDr5X7h0q&#10;OvcFuye4Re3VspuH3PbcM2JW9w6dJs8hqz7+bbBijUcuh/kReWSn4ffGAfLvl8h1ZS/qsMzR6qmR&#10;M6K3379vv9ltc07DhdQ7duywsWB22vgsu8yePXuksEzR9rd2vSVMCT9SDh8+LHJI9NiwWW4ZDEbv&#10;N/Wm2AjqeTOWl/EYX/LJaO2x1YRdn7a5obFn3bN7j/SjTXXrUttrR08vxTK0blP7zdyeu/cZE9sR&#10;dsTGgXb+JxJTwf3OF53fefesc/+slR1hRmR7s6zO2rFj7u+nexeT4969/vo8iefnnWvccv7wYXb3&#10;FXbMzu4xaIzH+pOHRn1prB67xOl78iEG7ZeINj+DwUjEgl64cLHNX/y4MCNM2KpVa5sHbKNpaWNJ&#10;169f3+qHahlytMyfv9CuN5Dt5EhZunSZMOTAgUPMrFmzhT25h+ixsYNkfBhVjxvtNcONVRv/YFIe&#10;/NHWtyW2jXIjYyrjqX2m8p/aZ6qN5qJFi63csYQU2lSvfvbcOdHPo6PXQhuFPvTlGLHQu6uf/pjX&#10;/yjsyP8Uco+63/Dk+A13zzF/nyOsCDOiu8a32qu/9t/7ROqNE3ls/31w6/n7ThaE+9uv32AXDzwB&#10;MR2DGCanckfvGOt2Wxlk848tQx4WGVPT7nnXdXrHj9WyMhy1yh1hx8WLlgg7IndEvtiq1WNm+PDR&#10;8luNXHHevPnCj7S9+uprIndEH/zKKzMM25UdkZ8je4QdYTCV3+lxo70O4cZiP5qUknesbcAdy4+3&#10;hOMYz8uAyEtDBQY8Y06dPh22z4RtK1Qob1JSUq2/dRnZhk4d3fqRI0dFP8+5oqen0IbMlO3YeXL+&#10;seBHjTG/eOuNsFybd60g/P64c0j+OSYZnjFyRuwckT16/Wb815ZIfkvksf33wa0n/3eN7iq7mM3R&#10;zreuX97klczn2fkmZ3ePG3UmHiR+2EcLjewRdly2dLmpVbu29dlqIwxJ3bdPP/Pcc8+LLBYmbNas&#10;uVmyZKnp1rWHcGQ765+zbes2s33bNvH/7tu3f5i74DjRWXvkjtndO+/2EDtaboQdi/9gqjb5XjgU&#10;boQPYVOvfabyH+cJ/1IqVqxk6ll/8zlz5obb0MNTkK1Stm/fbt58M1RUF4++XmWnHC+3/KvXUybl&#10;A3kn8LPSNnKPOl/r5P99d3N4bJ4xvEh8cBgSPxkKLOm/v4nkt0Qe238f3Hps3ruCfB9HuTyE4flU&#10;59VE1eTto+Tl+LuOkIsmJHtMKXnarN39bZ7Gy8u5ZLWvygHRA8OOK1euMsQjR9aGDvfxx58wM2e+&#10;bjp27CK2i2vWrBW2HDt2gnmyRy+zf/9+mxd5gMSV6mdrciOzz6xZc8Ixe2Cu3OirOe/3L14VXXXK&#10;g1bm2OSmOX3+U5EBcn5eZlTfHfXjQWaqPjzwb7FixYQN1T4T1qVseWOLeWPzZrNp4yapWdZt9IU9&#10;Ve+uPj+5tX0skxqyiSVWjz4T/GXGjBl/z9xXkH+r3Lkl/3xUEJ8xzIieGl6Ez1hHd+3yWbv3sSC+&#10;r/E6J3ysndwxb/JCnY/zWhNrG9ljNDFusjpWvXbYP4by0JUudkz8awuSD/bLq74zTZ4M2RDCkLDj&#10;6tVrTZs2bUN2hNZ3RJZt3bPnU4ac0JQXX3zJ7N692+a7qZ3R1sLKIZebhg0bmWPHjpnNmzbLtpOn&#10;TuVZVsd5wY/9pn5vzn7wB/G5GTky3R5vmeiW27fvaGOkPx3mxN42Xjp2mJTx454TvXony72wY01r&#10;qwnf9nt6oJk2bbrk2SHXDu3ENZo69QWRT9JGSU8fJ+PCqLHQW6cUPy3vQ8fh18PsyDffvVuvXLOj&#10;xhCP9Dul26kj9XHtbu4tDO8AvjKTJk25xz8mSM4X1Bava0zkseN1je44Bec3w7FjweBGZUFy/8WC&#10;5ftM+saklvp9mCFTS5411Zt9aojX8nDrjyU3nR7z2dnXzYCp1+Ki44Yb8T9JsbaE6IXhMzhN/VDw&#10;DRHfZfyWA3yXkSVGLLa/+kDnVt6o90TlotRql6ns+MbmN0R/Xr9BA5EPTpgwSewzkTeuWrVaWPi1&#10;12bZ2JeDhB1bPtpa4mCy/tJLr4j/j8oe4eYXp71k/bH7h3XX2G8GyR31nPQcg2r04aNGjRG9uG7X&#10;WE5eGTT+Ml5fay/rJXLZzQ0FZ25wzyL0LNBXI2NE9khNXHAKckj/PUokvyXy2P774NaT+zs+fOS4&#10;zSdTLuE503SOc/Xn4rdEXpa8yh65l/gKh3KKhPJh35VFhmSSlWpfNpXroM88GmLMB8/Z3DUfmPKV&#10;L5gK1S+Yxl3+YOZvvpGJM/PyjMiNI9xYHB+Uu/yoTAQ/wmneoiyYXa37MIbqdhk3L+frPS+OP2pU&#10;ulm2bIVl+wkiG+zevaf46gwdOsIMHvxMODYldpmDBw2zNpgNTKXKlax8saZsHzx4mPiCt2r9mLBm&#10;U9uvbdsOIqMM+Y6H2hcvXiJjYVeZnb0jMdGRW3bu0tU88OCD5r77/lv0aujz9R1QH/wxr38Tvh/Y&#10;ZZJLysuJ3nzT//73v42Wf/7zn7KsNe0se4v21dq7Latl7c+x9VzcvJPc805hfL7IHSn4ytSta+M8&#10;2JgQLPuvJZH8lshj+++DW0/ub3j06HEun0wOfayVJ/KzxhYNpu/fb5DE3fQeKzcshLyp4kMhHmzS&#10;7ZrlxONheaSfJ4PXj5mGna7mOfZ4OO6N+C//aPPj/GjaDL4tPOO9Ru+ysmB2tXcfXc7NvfLvo2Nx&#10;fGyDV65cLTpybBLRX6OXxsaSGjvNAwfeFbtMYg49XKeO+Ff37dPf2mOOlEI7dpDYMs6ft0CW59ka&#10;/qSNgo81vj5eblQe9p8fvMic8dvf3i/1//7P/5oHHnggHHdr5tobGc/6iGnXz8ZvsjLf8XO+MHNm&#10;zxP7iEOHjhm4Db77xz/+ES5///s/jJaff/7FaMmqjW2MQU3/v/3tb+H9dH9/reOxH+egDOnmnuSe&#10;ewrr81UZJHXQNSSS3xJ57KB74dqS9xt2+WSi01crP0SqlWsibadd+2idVd8zZ89JDrvatR8WhtR9&#10;qCPt52eKrNaJ51PhoU8kjnjFhy6a0lbeOOzlG+aZl78yj/SyPiKNPjaV635iypa9kCl3jdpOPjf/&#10;rvwqq+MEbVN+TLX8qNyo/SJdWzTtOkZ+1Hr80aOfNROt7KFFi5Yhu0wbfxFby7173za9evaRZbXL&#10;xG+8ms31jV0kyyNGjJHCMj5B+PU0bNhQfHxgUJa1HbtOfMSj8ZGpUeMhU7ZcOdFR/+Y3vzH3//d9&#10;4mOE7Lpp0+amz6g3MtjxpH2Wt63POPLe26ZavTGmatWqlnvnCu/Bed7y008/GS137twJL3vbaPdu&#10;++tf/2oof/7zX8zt2z+Ei/bTWrf594UrHT8m73xTmFkCGaPqqdFdO3Z072lhfp/zeu7YO2H3lB/z&#10;bTKMqcyg7Pap1admpzuN9fa0smn2Ga2857icC8XLk/lxz2E98h9qbhKVS6aUPGNmrP46V+8OY6bP&#10;DsWpzo9zzo8xve9C0DMOss2UnDJlywbaZ8KF/hwz2HHSpvacHEefb9A14VtVtWo18+v/92uxkf3N&#10;f/1XWAb5u9/9zpQqVcpUqNzAsmPIZkHYEVuB4jbukPUfJ09i3br1hRnhuZs3/2Ru3bot9Y0b3xnK&#10;1998a7766utw0XZvG8v0+/77m1KYZ7/88rr54tp1qf192UbR/RiTfTkH+NXxo5uX8zq3xXJ/YvFg&#10;50iBGWFHzTXjP04iZX+JPLb/Prj15P6GyS2xdcvWXM3/QXNZYW+DaXpPvCn2fcoKyoteNtB53z/3&#10;e9v9y+E8JFZWld2y7ku/Du07GWLxefdhu/IF55UdY8TiuXBvkEumlQnFCgwx5BHxu8HXhu16HJiy&#10;3+SvMrXptsJc6zvh/S/BsnK8vis8j5etT0xaWhnTuHFTeT7ax8+d8l55fHx0O/2DuBE/qscee0L0&#10;zfjkl7X/LX71q1+Z+++7z/z6178Wu0e1fWxt7Sq7dulhUkqFcg6lPHhVuDHVxqzsPOo78UUqW66s&#10;jbO+V1juyufE8LlmqD/6GJ+lT8yHH35kLly8LOWDDy6G21imnD//gdSXLn9kPvvsivnsD1fs9X52&#10;zzbGoD/1ufd/L4V1xqc/+8GS8OPPP4fkj87+Mbnnn8LCF/AirKhF/WaQQ/qvIZH8lshj+++DW0/u&#10;b5e5pzDP5bE8d9hHc9CVKf2D2XHoujABc7twm40Xgx4RGzRy3Wkhhoq3aLu31u2ah07zzml7VjVx&#10;rytXrixxH7Gnoy9jcx6Ui/a8YMl48KPe74kLv7E+NVbXHY4DdNCULX9WmJucyaWLHZJtaWm/N7Va&#10;XzVtBl4zUxffjUut4xTGWvkxUq1cWadOXeG711+fE2ZA9tHt2dU6vv8e8T8iNTVV9NtwJDHE8YvB&#10;3hH9tfafO3eeGTRoqKxXaxSK0YNPFPLGzqO+l/eF9wY9eR8bgx12g+MoK1assT5BK4XzDh8+Ztat&#10;22hOnTpj7TBP2+VN1qbzsNm6bYeUvW/vl3a2wYTETKIsWLDYxjTZKP3fPXjU2m+eM2vWbDD79h00&#10;x4+fsv7o62weyqXCrRwT7oRbkX062WNyzzuFnStgyVk2T2HQdSSS3xJ57KB74dqS8zsmpwTzkM41&#10;Rb3OlIPO6vTKpN4y+47/QbgRXoPb8GnFj0F9GqiJwUcuOerjNt+cd5su08528s1p7jntz7ZIRcee&#10;/PwUU7x48XC+OsblPPDDVZ6MNz+qHLJirU/CDBmKBaM+3aH45Hf58pj4bIutZTV8u0/ZcszaWeZO&#10;753I91W5Lqt69ao1wnKtWj0e0UY1q/3Z5r3GF1540caT7GvljGVN+3YdM22j39q1a4Uh4Uf1m6Fm&#10;G7E9Q77WB0zDjleEX/mvwX8iZJjYPcJux4+fNM1tHM2eT/axMdm7yvKSpStsnp82dtspc/ToCVme&#10;b7lw0KBnrO/4cJszZ4E5eOiolGPHTpgGDRraWAEjZPuk56dKfxgR1iRv0Lx5i0z6mHE2PtAj9nwH&#10;mgbWXvSNN7aJ7FHZEZtJfGec30xyzj3JwBTosZUhvf7WieS3RB47GZ6pu4bofm+6d+8l84Z3firK&#10;y5ly0JW4bdJSvzd7j3xikBHCcDAfcU00j8iePaH8IZovhPxyxNbTds0tQk0b24jbR3+Wvdt1TNq9&#10;Rccea2NFFytWTHLY6b7E/yMXMjwKSyKLRI8NEyiTRPs8GRPOIC6g7kObLmdXk+sODlROrFT7QzNy&#10;xnVT5/FPbVtG/J+MPInefqH+x83kRbn3vcnu3BK5HX1xVesvk9dzQL6I7wt+OIMGhmSJ3jF5bswb&#10;FJ4jumri9vBfR/tVsb5PpYsdkGc0aeF1eU9OnDgh/j3EEZo27WUzb/5i06lTN4P+GX0yHDl8+Bj5&#10;nTj93lmRPcKaixcvt37hI6XAgfDgXjuXInuEM6nhSGrtTw1XwpEw5Pbtu8zZs++b8eMnmQEDhgq7&#10;Yh+JvaWTO0b3G+7musTdJ7iR7w29dWFjR3QMfHP6/vzwwx1Zf/75F8Jtus3ViXvHCuK9R+ZIDBhs&#10;7XVuKep1OAddsR+szPGm2brviuiomX/RC8J/8OGOHTskhrPmj3tj82bJZ0K9dcsWyU9MH/pqnmJy&#10;Fmub1rAZLEnN2HAi/enL2IxF3jpq4kmXs7605OejD31hT84LfkTuCeMiR8qN7lrZA97gPcBeDgZ5&#10;qs/TmZiSexGJKYndSCwgb/xpfafqtf3M52tzwjw+4JpJzcizTMyg2evu2kvqfoW9Jjd5bu1C+Dbx&#10;YyNeU3kbhzGIGfX+8EzwteaZReJHkT0Wh+8tPxY/Lu/JxImT7ZwxRJi0ceMmomvu3buffQeuCcv1&#10;6tXXjBw5VlivTZt2NtdPqKxavc76jKdLQUYJX8KDh6z8kRo9OKwIj7IMj1KzD7pq8gJhS4mdI2N1&#10;7txd/Gpu3PhO/LmJ24O/jLN3dPNWQZw/szonvr+stufntmiP3bLlYwZOhBkprBNPzLGj+96yez/r&#10;1WsQk9wlOnclQ42sDn7sPfF7s22/9RWwMjzy4hFnD0YbbvMlj00fLzny4LsXp70k+eNm2vwhI0eO&#10;kbzExH5mfu1p8+jBhXBe585dJY9Iq1atbTzoUJk7d77kHAnFg25tbcMWmS5dupulS5cJOzJ2X5tn&#10;RHPUtXi0pczFD9pYflWqVjF169WT2NJLbWyXWLCjsqLGmOY3iDZlSvSh8AmxBOETGDI3z7x7+nXT&#10;fugX4VjjEiu8RMgWL8XyDPrs3IxbEPfhnSHGEuxILMWcnCPcCHuVsbLGatWqy/sXzf48F55Zw0aN&#10;wxzJM9N9+00h1iOyx8Pm3VNfSKwh8nATc5J4QleuXDWNLENutjrkzZu3yjgzZ801xPKC6yht7TLb&#10;xqZPkLJ+w2azc9ce6btu/Sbbt734vKiPNeu1H37YHDl60sZTH282bdpi7Sv7y7579uyT8V6wjIm8&#10;kfg/yo1OX+3msezmsYK4PVp+y49zj/bY5LLi+MqNyCDhRseO7pvL6r28detWrmUhOgcla626Xnxc&#10;8ZHp3Lmbtf3qLbleyBGy0sqB4L9NmzbZvMX1JfccMkHyFOMTUatWLbNx40apBw4cYgb0Hyz5jZ99&#10;doLVbTQ3W7duFQaDQRlnsx3nVSubYj/YtG3bDpK7rmnTZpK3hG8cOeWaNWvkeE/ac6Gtz1P9DDnv&#10;2A92RKeOTWZubR6xkeN3Rws6T56xMiXsqDGovSxCH3gFmRe+Gbl5L2avt7lmSpwQXWpqyfcMPtu5&#10;Gaeg7YOeuU7devLu5DSWwZAhw0UvkJPcQrA9PjN++SMcqfdm15Gv7H3GHvWASavwpuneo5/IH/mf&#10;VLFSRYn1ePDgETvOINPN5tnef+CQlGfsuwnXUZ55ZrQ58O5hM2fuQilt23a0721HM27cRPGR1nXq&#10;2bPnm2HDRkk/9mUfxkSuia66ne0zffqrEhMSPbXjRjd3ZTV3FYZt0fJbflxLtMd+ssdTImskBgQy&#10;RxjSsaP79rJ7J8lDiCwkp/OZzj/JXsOP+MCi+503b77IHskJQi4QbB5b21xUsNtTvZ8Wjps9e64w&#10;HGwJPyJv6mv9VpEbtrfxdUaNShe+o4117BThSmJFs0whh9306S/LOFrTDieSvw7u7G39JBgT3fX4&#10;8c/JmM2sv8HKlavEZ0ZzkMC9ysDRPitkiTAGcke4kXVYEKaERSgqc/SyCOPDlfxmwS3RHs/fb9Eb&#10;ME0ojgxs07jz1UIf36dhoybh3C7+62UdWSSMiP8LMsZyNlYO+mm28W1WqFAhankj+3D/eW48K5g/&#10;Ess37XHV3uuQH/xTz12Vd513hvf6tddmi4+K5obRnC/UP/98N7eMf/n//u9vwn/UWvB30WV/f9a9&#10;Y2tOGRfX0c1f2c1fidiOTzX2jd4yadKUQN10tPyWH9eRk2MvWbLC2qisCF8D9sqU/DgvN2byfNfE&#10;BEcuEjSnFfU25S7lx4aNGll7ra4GP1d8mrHVamBzgOzfH2I79H0dO3QWP4ApU0L+CevWrrM2ZC2k&#10;Hznqzpw5I/uSS2TYsBEia+zRo5f4SjMOPgT4TGPPiGxx2LCRsg47Mj756nrY3MnIafCJRdYHo3Ie&#10;yBvzwo3KfjAH/EHhNwjdJyxCgRthEZbZ7n1HkHcFtXv7RLOM/trrR5NiddnEk4xm34LSR/XUlSpV&#10;stxfLeL/M9iwcpUqBtuRVq0eM92tjA/7Y/gRfTXvGv/vsJfMybVFY0uQUvwuo89YdT38P2Pq1Gn2&#10;P0yLTDmsYTmKl/OC2rzbdfmXX/5uKLqeVc2Ymtf6P//5T9jOUe0dg2o3HyXPfFTQnyXMqLEdtSbG&#10;Y9u27e9hrZzwW6yvO9pjnzz5no0b3FnkjZwDckfWnc7afVNZvZOjR4+TeQqf4ZzMS0Wpr/IjNTHy&#10;4Ef8UIilCM8tW7ZCeE2Wly63vgKjRVcNV2o+OXxisXuE62jDdpI29tmwYWOGD0FX8XNlf/rNtnJL&#10;tu/evTs8Pj4G5KsbPnyUeW7CJBtXqZqwLLnwRlg7S84rt/7VPFPYDzkV7AgD8vuDvFGZkjb6IJNk&#10;W5A8KxbsyLkQBzIt7X3LkOqbfcTgw11Y3j3+j8GM+Lhk9X0hZ6z9cJ1M1wV3En8HbqxfP5SfMD+u&#10;OxQb6aApV+FS+Pi85+TBhF8PHTom7Ia9ofLcv/71LyuP/GcmFlQ2zGmdFUOyTdnUy5PeZc7L2UK6&#10;OS6rOS4e25BFBrFaUFs8zodjRHts9NToGGBGtXl0vjLum8ruPSU2D3lu82NeSqYxlR+RA23ftl3s&#10;H7GBRGYEq1FWrlxtTp8+ZeMd75N1at3OsredvlpOnjoV7s/+Oh617q/jsw/9sWV8bcYsiQvNuLKf&#10;PR9067mJyxPpWcGMbFOmVN9r5I0wole2pcvoueHNSGPmtB0ZJHF+iOFDLkRvzpqcjhXP/tgnIi/M&#10;ihs5H2SOQXJ//lvwbTJGTmwd/dcI3yM39rezPnAa8t2DUsg1SZu+672tX3Xdx/aanhP/apD/UeC2&#10;X34J6atVB40+2quT9rZ7l/39dD1oX/bz67ZhSW3zMqfquFUemd1vntvu5sVYvwNr124IZLVo+S3W&#10;58N40R4bTvRyo/OVcd9HNO/jRx99IvIF5BvIR8TWysXrCZxndU6l/tTahHmLMltQ7e+n60F9c9JG&#10;HMiSJUuK7y37Ma7mJ+Ecg1ghVm1wop9H1AYSboQrlTtjccxQPOtQzMi6T3xeKPgRv3hkh/zfiHQP&#10;4Ep00/gf+/twH+FGChzp3x7tusqBYUiVKVPr/sRMCvHjEYkbru0t+35lUordMuQs7DDyLyJ3hNnw&#10;Y8HX5c6dO+IPQ95ALbR52/3r9MuqTbf5a/bjmHpcXYY7vX41jh/dvBfNvJeXPkH2juiuy1eoWCh1&#10;1rAifjIwpMZ5dL4y7juK5ht5/fV5Nq/Do1KIuYHdFRypc4irP890L7wMqcvKbN5at3lrtvvXvfv4&#10;l+nrb/OuK+vDKeQu0bET8cxgSWSOqu/2s2Vez6law0thGVnznpmfSV7HjvX+xF+E+bL6joZY35gy&#10;ZdIkdk+QLSN6a2wlGYf4Prk5R54B8gf4UWu1ZdXxkOOmFA/5tpexMTZZHz7jpkkt/qNJsdxISS11&#10;24yd/2eRL5InkPg8X9l8019+eV1iMVKzroV1bxsxerT4+9CubZFqxvr6m2/D/VjmHL7//qbkLYQl&#10;Vcft+NHNe9HMe7ntE2Tv6I8JrmNHK/vT/rGsc3JsYmV5fWOcr4z7hqJ9F4nVM3v2Amun30vmKnSl&#10;Ore4+l5OUUZLdL3FxgpHboW/NbIrzidZnxdMU70puWnQseav7WNOYzB673l/G4spLS0tMI4jMkiV&#10;78OE2K969/Uv50VXzbuAHSzyYHxwRo4cZXPBnA7/v/C+u+0Gf27vaShvJPHcX1vzreS6TrH5OFNs&#10;XqXU0jfN/K13hNOufH5V8lyTa4ac1eSDoaacP09+9w8yrdNOHpozZ85l6qv7UDMW5cLFy+Fl1hlL&#10;a+82lj/8kLxJ9r+YPR84UvkRu0z4MdrfPtfPzZO5eQfgRfWVoWbdP05O+M2/b17Xoz32qFHPGuL0&#10;kF8mr8d0+xetb4lYv8QdrmJ9dpGFZGef5Z/f3Pq9bBnvewLrkG8k3seN9/Hgx6oNr2Tw4/FwXPFY&#10;ngdsB9cF/X+iDVlvJHlikyZNRU8diT3r1KkrNiI1a9aS2J15OW8v++V0GaacM2eucKTKsTXH9TMv&#10;X7d5ZD6V3JApxW5bmeR35rl5nwubwWgwGxx48mQo1+Dhw8ck5yD5rbWQg9BbyHFNP7ZT6zJ9aCM/&#10;NuNprkPWdX89DrUW+lHgVnImIpdEr635C53ssWjNYYlglmLFigs7emP1+M8jWn7z7xeL9WiPjU81&#10;8XmcX7X7ZnL63omcpGyacGNe5jK3b+IYkriA2NYVhWcQsn0M6VjRY8fqmuFB5IIU2BHOY5nx2UY8&#10;JNqJ1RiJLbH3gB91P1iTOI34W7MPYwTpp3N6DcqKcJ/az3prv91sn76huN+0t2zZSvTXnTp1DvtW&#10;0V66uI0TXnyfadr9ihk2/aopV9n6uJc4YnNnnzDtuwy1sezflFwwEyY8bzp06GLzHy22MUYHSN5B&#10;OA8ebN+uk+SJad26jawPHjzc2jG0MfVt3Cny08CJgwY9Y2Oi9pcYAuz30kszZDuxqd7c8ZYw4ZAh&#10;I2Rs4gzQZ9euvXKcZla2M3nyNOmzcOESa2fTQtgRXTc2kj/bWJH48zh2dPNgTufBnPRHVh4Nm0XT&#10;JyfHzUnfaI8NMzq5o/tecvJuefs+0aa9xAPJ6Rzm+ieOF733Hm4M8rfw9kmmZWI9qu46KGd2Tq8V&#10;3ku1snfuI5xHDhhsDTVmN3J57q9yH3YC+EB7GZG+PWzcAi9XIqNkvWnTR2RfbBhzem7+/sqNsCK+&#10;/l6/fO8yvviUjpYRf3v//WbSpMlmxfIVYvvI+gMPPBCKNUW8KVtSU2wspJJ7LS9S9oTqjPW0Srus&#10;r/c6yR2I3w7XRe5AYo8it4DhYET4D6Zk++o162Wd5bFjJ4SXyXG9ddsOYUdYkfW1azdKLprmdmz0&#10;+LRt375L+iBb5BhP23xNa9ZskHHo08DKTl988RXJtY3d45///BexeXQ6azcPeue2/FompiP+Maq3&#10;Lqw6a+4PMR5V9ki8Hqe/dt9Q0Hdz69YtyRu7Y+dusW/A15r5TedB/1zl1gsGH2b1HOAWuAeZWFb9&#10;kmlb2Qq/F35s1PmzPF0z8XFgQbgOJtF4Ofi7wJOpqan3xMihb8WKFYUzib+Iz8tDNWuK7QcyYO6z&#10;6r47duycp/PzPjM/N8J8H1y4IPE/iQnqLefPY3/4e8mDSa504sanpZWVMnTIMOFJ8mDSTlm86YKp&#10;Uu89y49vm9Kl9pqKtU6Ypt0umpRSb0nbo+2nWJniANOlc3fzyiszrTy1u7WhHGt13wtMLxvPh+UR&#10;I9Jt7Kk1kscdxlyxIrR86tQZsb1cZfmTHO/YKSJTpEycOEX4b9/+g9IH9qTPRx9/IttZhikH9B8i&#10;Mkb07XAl8VP9to5O5ujmvKA5Lz/akD169dUs+48TrezPv18s1qM9NvaO+FlrbB5kkPhcO35035L/&#10;PYQZYcV+/QbLu45/jOY/885TbrngM6P3GfEMq9eoETNO8Y5dEJc7jbieIXs8FvU1Y8sL01FgPGSH&#10;6JFzE48SfoTVsflQeSI5YUJyxubC8rGUBQdx49lz5yRP0cmTJyX3ELWWEydOGkqPHj3N/fffFy4v&#10;TnvR5kXfaWWFj0juc/Kfe8uWt94z89ack/HePXLWsuMB4cfqDafLvSIuwyefhNgPeeINawNJbkrK&#10;kaMnzUbrswkTondmG7Ebvvvuj6Zr1yelz8xZc6WdPsQ7aWFjBHxsx0N2SB9iBixdujLch32/sjpp&#10;+uNfPXXqdOkzdOjIsI+16qpdnHA33/nnu1ivKy8mi6+Mxnf03idkjxqvx9vulov296Xs2MzqmXgX&#10;mOsi2fYXRGZw53Qv08JC6FVVp1oU7tELS78RdkwpdjpTXELvtcPT6vuF7pR7hHywVq3aBn8VZIwU&#10;ZT/vvrld5hnAk5UqVxY+ze043v283IhtIvJGuBHmO3jwkMSdJ+c5ceI1LzrxP1mn7ty5q8T5mTDh&#10;ObNnzx7z1q63rA3hLon5Ttx3b9m7d6/sxz0hZ3uZslbuWGqnKV99meilr9mYOj/++JN55pnRZs7c&#10;heJDM336q3Z9lCzvP3DIdLMMffXqNVmnH/pkZIXt2nWUtp9++kmWaWeMcJ83d5nuVu/Pdulj826S&#10;e7OtLcOGjRKbRsZlHGSqxHd03Fi057N48wz/dyjKkN7afy7Ryv78+8VinWNHKt7xkTkie9S4PNQt&#10;M3LNePu5ZfedqY66UaOmwo7lrH+ukzvey2PeubugL/P8/HntCvo55/X8iEWIzSN10FjooflfpO92&#10;Zctyqo8O6h/rNvgRO8q8jqvciF8M3IhNI3pq4rPDd7Dezp07wwUOXGn/S1CzjfrNN7ebbVu3hctW&#10;G9uJsmTJMtnG/jt27JCy3ObYZB+Y+7mZx01K6hZhx4cfXSNywV9+ITf1LzYv4T+iyk/tzwGj60H7&#10;0xbUrvtorf2o0VM7eaOb1+LFNsjB4UX8rL3cCE/6zyHR7Og/n6B1bB2RMWJTDEdSO59r9z0FvSu0&#10;NW7czM5rzcNyR+RWeZ3j8nt/vsP8PkZhHT+kf32kyNwffK1Tip0Rdpy86JvwdeMbTY4k/JvhRmSA&#10;+LyozDGez7drlx5iR9nI6rXh16CYP9GcTxA7or9duHCxaWVjscN5PZ/sLb48c+bMszLVWjaeY2up&#10;FyxYJMvTX3rFrLY5EmvabS9Oe8nKGdJNvfr1rXyhtbWHrG99l6daP5jxYhvZtGkzG6uuuXlz+5um&#10;SgOrr07dZMpWOmR2WrYkj9H75y8Ir2l+a9gt2sI+2te/v657+2hff+3t67jRzXOR5rn8aIcR8Y9h&#10;PlI/GXxmgjgxqC0/zilozGiPrfJGGDJoHNfmvi/vO4DeGrsl2qpXryH2X9HMY4nsw7eQyOMX1GPD&#10;JNjt4ctbUM8x1uc1YzV5mG1MmWLHwjEekZPBixQYEl8Wjkt8bXxeqlWrHtf7g0xQdeLVqleXZ6T3&#10;Ab6FZznX7P63RWbHJaaZZbyZM18X5ttk/V5gxqlTp4m88dlnJ1jdbgdpe8myI7aXcCLL8CWcOXfu&#10;fKtfH2T9UAZLG/JKdNpw7+BBwyw3bpM58Yl+H4ievGPHLmbUyHTJba1xcGC3aIq/v64H1TqebtN1&#10;am3z1t7fNrfs5rp4vAOTJk0Js5bKIv3HjZbf/PvFYj3aY/M/FP8YGDIWx3VjFI3vb/Xq9TZWcfmY&#10;2WXp3JgftWPHYL06fAKDxNJmLz+eXyzHrN7sY5E54mvNuHoP8LNQXvPeD5a967E8l2jGgl95RtgV&#10;o8cmjjvnqvFushvDz4/83i9Zslz8R1heanXP2D3Wb9DA7Nq5S+wU16/fYO0THxfZJHJpcssMHDjE&#10;/mecI8yJXeSECZNsvMVhNtbNS8KO3CPGmT79ZfNY+8EmJWWrsOPrq0OxgLCdLFe+nPnjH78PZDgv&#10;z8Vr2c1VRWOuKmjPeY9lLfxlmJeQP7LuP8do+c2/XyzWoz02/tSwI7pqfkuosX+MxTm4MZL323xr&#10;9zumSpUqMq+pT0F281iitjt2DGZHngcxCZEVJerZxPu4pR88J+zYddRVuebCEN+SnNTYYBInWzlW&#10;mTIafbaXH/mNX758pcQUQl/9pC1nzpwx/WwMxHHjnpNlfKCf7NFL5JsSU9HKp4cOHSG6buIwrlmz&#10;Vnyp6TdjxiyJ0bjQxttmHOSL1epNNCmld8rcSJxIbC2xuUTGrToLNzck79zgnm3kZ0t8Hs0rw7wE&#10;Q7Luv2fR8pt/v1isR3ts/GKCfGWI9xiL83BjRH6PCvO9IdZjw4ZNrPyjZVz9CHLDGo4dI7PjkCHD&#10;Ra6Um/taGPep+NCHwo71O1wRdiR/NPLGgnQtynpar161RmIB8R9N26iRPcJj3jZd1utpM/i2qdr4&#10;B/P+xavSD3ZcuXK1jYPYVnTJPXs+Ze3dh5jdu3cblol92MnaWB49ekT4cvz4ieKXPHz4aLNs6XKz&#10;ceNGOS7HJqYl/WhnmfiJPXoNC8UJt7HB+e6UGzkv9O3kzynMv3vu3JNzPovHc+3V6ylDXHC+i7Vr&#10;N0jNcYNYLagtHucY6XyCjs1viT+Wo4vR476PoHfF34bfNTEe4Q+dqwpCzXcXTSkI55roc0AnCQck&#10;+jzidfzKD38k7Fi62GHzSO9rpvEjvSTWYryOH+k4ynxaa67orOr09HEi98f+8czZc2GGZB/GaTP4&#10;Tya15B3rG3TH8uNtc/aDK5Jv+tOMvDIfWr/ryx9ejqp4885EWo7mm6PP4SPHHT9aZvD/nrr15L4n&#10;+FZj34h/DLJGvoW2bdsXWrkjMkd/bHDWnf1jcr/HefmdQu+kv//YYkWjN4s0Z8ajnW80HscpbMdA&#10;joXcrSjFdtxx+GtTtlworwz8iM9M6WInTe1WH5te4740s9bdCPvQxON5elkRpqMgq4tUJJcg+QRt&#10;oU/6mHHWBrKC6dWzT6Z9Rs/82qQU/5ONzZ1R7HLDrt+HchFm5CO8fBlutPkHqf3LGW3CiZ7jRTov&#10;bU8pedKULr7fVK77ocyNXJ/3PvI/k/+befn9cfu6uakwvwPwI8yIvhqeRI/tvx7mLH9bvNZzcmx8&#10;rJE1Eptnk43t75dDxuuc3XEKx28CeWXwleF5NW/+aIHPZ+3Y8a7OGl7E5wI7P3x4iXPtnduLwvKR&#10;szZOT4lQnJ5QbuuDGbJIrY9Y7jptqtT92FRreEnKiFe+CN8n+HPA1Gum4kMXTekHz5jqTT4y5y/f&#10;3Z7VPZyy5DtT49EfhE+VG5UXNcc0PHfxUihXdKb64iVz0Vsy+jRp0kxiZ3n7njpn8/I1uWGv86bl&#10;xz/a67lpJs3/QljR2w+5I2NeunwpLH9kWQtMCT/ChpxnJDmoXkvpYqfsvTxguqdfE3b03wvyl/J/&#10;0/3WF47fevecYv+cVP7IvcVPhnX/fc4Jv/n3zet6tMfW2I7OvjH270hen2Fh2B8ZJDZX/jki0rrO&#10;MfGs+Rb0eJHOq6i0Y9sHL+IfwxxelPTV3mcM663d/a2p2WypKV/tHeHDUMxw5JDII5UjtT5syle9&#10;bNuPZhRtD9WVal3M9huAG1Me/NHqkH80ZUpbfjx0XXgMZhSeswxHXmnynpAnmvwvWs6cOWt9UTIX&#10;thFLMSWltOnfb1A4v7TmmT566oLVVV+37HjdTJjzmYyruarP2fEp58+fD9csZyr2XIglzrlxjrDj&#10;Z599Gv6W9JvSutPwLzPu2wEzedFXgezIM+A/C7G+CsPvmztHNy/G+h3A5lF9q+FG1v3HiJbf/PvF&#10;Yj3aY5OTEH8Zp6N230hu3jtsHlNSUmTe1Fh0QTpsnV/yUkeSeWTXzregNmB6fC9HFKVlYk1rrmTy&#10;l+CvW5SuX68V+Su2nvAzRduppy372lSoftlUrHnJtBvyhUlNec/Hkockvnha6iVTrtIF2ZaW9n6m&#10;MbzjsYysUrixuGVHbBCL3zFpZW4Jk8Fm8B5seOr0acklrXmijxw5ag4fPiyxc8jzp7FwWF6/fr3E&#10;7GnTpp3sc/z48XB+aZbJSb3/0Htm1dazkqta81R7a3JYs665rLXmPMg/wzlxbuovHen76TeZPI8h&#10;5i6TEop/xHfnvw+s4zODviI3vzduHzdPFYV3IFp+y497Ee2xNSaP01O7bzK372GduvUlngfx2/Cj&#10;9Mea1vkGuYXq59Q+Kqs6J3294yAjIZ4cMrVatWz+YRvPmHhC2PGuWrkqLDcJmteSvQ1ddVHlRe+z&#10;5T7UqVtP5K/t23UMZBztTy6ah1pcMcT1adTlulm89Ua4PzrtkIzysGnR665tgO6rNXJO/J3xW4Ed&#10;U0vdNo8PvCEyPW9+aWInaj5AzRdIzj9yA2p+wO3bt5taNm4PccvJ8bRp02aJy02eGOJzU/P+a35q&#10;clNTGNdf6EcbNUXzWsPW8CncClsiD1XdtX7P3mtLKXFa7kOZ1A/M7PVfy/2JxI7orfmtcLJHN+fk&#10;ds5J9v2i5bf8uA/RHhtmxM4Re0fOA98Zl5PQfdM5eSenTp0usscydi7r3r2XqdF0n8hY0NHpPAPb&#10;ee251KZLbPWx188oyGB0mblKl7216PcybL3uWbZ6P3LtopeFFUeNTDeLFi2RQjw7znHFipXh89L5&#10;r6jUyNhgR3gJ+SPL6LHh/ewYKpnukV/WmNtr6zTiumWmExn8eNTAmZHGIk4O/s6pxX8wjw/6zpw+&#10;fcrGxtkjskbkifPnLzTkhF66dJlZvHiJWbBgYbi8NmOmeWHqi+ZVmyuxWbMW9j1ONaNHp0ue6bVr&#10;10ncbmJ3v/LKDCmvvTbLbN+61ezds9fG/N5hXrY5Yd7cvs3Mnj3X7LAcOsfWGzZskDzUsCg5Y2BT&#10;YvBwjK12X84JfkQGiuyRb43vWGX4ep34GIX4+ahZuv0uV+v2oJp37oknOjjZo/O3du9AwDsQLb/l&#10;ZJ6Otm+0x0ZfTWxwdNean5A5V1ky2uO5fkWXN/G5rmrzttWuXceUf2iDSbX2XOjkiA8yefG3IZsu&#10;y4HY5HvtuZiP1LaLZX/Rvmqj5d/OutqDTZnygvBriRIlRB7TvduTBtkJOjftwzjEPG7WvIXMgXBt&#10;0LyWzG2qpyXWND4zZcqkid+M5rljTk/m6+fayNESK3ZkvE3voK/FDvKgqds2FHM86B7yvsGPq3d9&#10;Je8fth3IxompDafVr99AckP36zdQYiwSZ7tvn/5SWjza0vR56mnT2D6zuvXq2VzbFU0nu33rli2S&#10;YxpbBHJMY/dI6da1h837MtS88847kj+QHNRLliw1VatWNWOsb3bPJ5+SeN9w5MSJk2Xf6dNflhwx&#10;bdt2kDwz/Ad79913RfbIOUZix/JVPpRrJ2dP0HUHtfFt8gyIE+vmjqI7dxTFZ4+to+axLsx5ZYjv&#10;yPND3ojfDMsuvqP7lnP6TRMb+PjxU5ltukqgo7stui5s7r32XOjBkGdQY5sVVNjmLd4+7Ku2YOjV&#10;mjV7xHTu3FXkJORG89qFaT/GIhdvamqK6OmQoahc1D+/EbfmoZo1ha/YNmjgUJFlJkM8G/IgM3dz&#10;7futLlNjA8KS5HLWe5KX2n8/C9I6zBJrH6GHH/tU+Cml2BlTJvV9+94fN62evnYPS+k9xR4DOTzn&#10;8fjjT1j7v0ckhzQyP3JEN23aTAoc+fTTAyQP4Wabd3r58hXWBqOmtQ2pb6rXqCHMR45puA92RGeN&#10;rHH9+vVWr11b4r6Ti3rYsBFS+EbIaTh33gLhRPZh+5gxz8r+/AcjTjgxwZFDvyvseMScPXs2IjuW&#10;qxzS2+NvnpPnzP8Vl2fGzTU5nWsKe398Y4gTTnxw6sLqKwM7EqMHmSOyR54LOmtYsrA/I3f+8fld&#10;OnrspMgQJk6cYsrXGByKR4zc0dp0TVrwpcgbkVug/1J7LrXLwtZK5rsMWyyWvdv829Ve661dbxns&#10;wbAFo1SvXsMMHfJM2CZs29Ztssw2+u7atUtsueBM5CoVKlYwLR9tbefLx4Sj/HMe8zKx6JDTIItD&#10;B16uXDkr76kk6w0bNbE2lFVlfmU7rOofoyCvK8P4/YzIUZiePi6sl9R+8azz474h48NHA25G5hrr&#10;PIzoquHGzP7ZR8VHBj+ZDXu/sb7H30hsH2SP3Hf+uyDzI68LMkb0zfy3aWY5EhnjiBFjRP5HLmkY&#10;D+arZ2WO5BEcNSrdVK5S2TSy7yFyyD1W9827vH//fvPugXflf1WH9p1kPNhwyxtbZN9Vq1YLk65d&#10;s07qRQsXC4vyXSGbRP+9z9pcrrM1eawPHjxojh07Lr7YFy5eNB9b3uVd8D4j9RcqX/lCpnZvn6Bl&#10;5L8uz0x8fqPdXFgw7jOxHNEJE+ORZ0IdpCMOaovXM4z22DCiyh757aHAkMR5jNe5uuMUjPc6t88B&#10;X+vy5cvL+4JMBz11SrEfzKSF10XmSD4zZH7I7uC4senjDTZW2HQhVxk2dIR5Y/NmsUPE7opta9as&#10;kW1qi9W//yDZDz8AZDPsO3r0WLERQ3aDLLGXzanWt08/0dVh0wgrPN23v83VO0AK8yb8iv/oiBGj&#10;5Xxat24jXOid27ABVJ0musBSpUqJXhf+gCeZr2ln7kN2gs9FZeuL071bzxzNnd5jxnOZuR92CfJF&#10;IsZ0ExtzCa7Jr8Jx9di6/P/ZO+/3qqpt78//4fz8SpGEqnQF6dIsgNKbdJAivXcCAkpvgtRAaAEk&#10;ICJICwgJNpBiQQ6I4NEriuW+Psd7Pe8pz/OOz9gZ25Xt3sneIclKwvphPnOuuWZZa8659/iuUQ3D&#10;GkYt7PVo0PAJ1WVgX/keKAp7ocnLv3LIb2s3Fd8D5cVHtvr5QZaN/XFmzvUJvWf48bx8UzVr3lzj&#10;+aFbsU50c/k/3ioxo/eIPJoyZw4cB6abN2++lJ/V8rPPtnc1az4q3011XZKc/9aii8G3EXx2ePTg&#10;UviX4OQlS5aqP2JsYTj7Q+W3OH3aTMWL/QWnwocGr5JOS39+R+h9nD59Wn+7H8qzIbNmv/DTY/sT&#10;sq8O+SlC79Hq482xmeH/o6D/PUG/0k07HqT9wx8PMmr4jMSVoUxOilyHePFbZL/CuE5kbrOxJkde&#10;DR+yMJ4hGOPB+11Dmw2bgD2wcYH+gffIV65crTwUsB98jgnjJ2scXWgcfJfBg4Yqj6R3rz6ud+8+&#10;bprQtyflHrwwfPH37TvAgSNffnmB2k936dzNPSK6X9BHdMGQuUHzOogMfUD/wW748JHa9uV5C+R7&#10;aJfyB/E/Ynaj2efPKx+qXr36GpMX2XeNGjUUE0L/wJ/PPNM+39g5tAOTQAvhSRYFNomXHke2Mxtf&#10;7DQMs7A32CJF2hqBgQcNfFHrvfZJseyWEm1De8aKmoSnxXMVBX7kXOKTCAxZHHoH4MjcPEjwleHJ&#10;E671C1+Efyfjxk1SnMde7N61W3Qveob9LsJjnJMyzw0QLAdmfPrpZ9SW5vjxYy4tbbtrKjGk+XZ6&#10;5JFHla94XGTM6GyAIeEZwqt8bc06/T6bPTvFvSnfXvAgmWO/fKM9Jbx3eIzwK+HjDxs2UudBX5Lv&#10;tFOCI8+ePSv2POfV1yNxDMH57BHnLBSX54SrWuNC3P7RveeTb7AhQ0YE9EZ4UAG9LNtrsHTZSvUD&#10;DoaMTJF7nwh+i+x7v9d+zn2/zx70L72/IWRQ2HKaTA6MAGbsLTYqPYQegf2ggejzQxeRKUOz1E5g&#10;8jTFldhDm/wMWd3MmXO0DTaotAM70qar0J269eoq3wV9L/T1wHDgTrUzEJ7jS8KzgZdJQi5nfEf0&#10;L3k2+Cjo+8Hbwcc5OXJNL31LpAwvEnpIrD/k3o8/3iCsM5nIOIXV1nCj+obRuMY/uPcufKGYHvzs&#10;tTdaJTpw+K6B/0W92SiRR9ot2T2v/RJtYrWz9jaWtbVc46UIdmJPCgM/okfAXsArxicM/OHC1nHM&#10;b48WbLrjajcXX9hPfuH6TbulNth1W4b0Iisn/RF/GhymWF6w8x9Y/IpDRnzx4kXdj9Oi3wvfET86&#10;2L+QvyV6iaRDh95U25hKlSq5eXL+OefoLKqPn4wDbt++fS5d8KIlbKj379+vv72DIgcATzKG6YOA&#10;I+FDHnn7iGJKMCi8zPPCrwff8qz8vpel/S2Mj1+YcrtAvxnVIRCZRWAzU3r/8wN6ndjeYStDPEIw&#10;Wmm2lQn2PbF9D9Yr7/UaL3xEsBP0EFyGPQDYsWmzZmobgy4Xsjb4idj8mg+6Vq1aax2yOfS70El8&#10;8cXhrnv3XooHrV2Tpk1V1kyOjO4R0VvEdmDJkmU5uDJkZwCPBT4T/RmPhE4iNjbY7IBVeDYvDyU/&#10;LJDIfWgvdJH0xBONih232LP2myEx6QQzqj/qh8V2qfz3rs+0O4oL4b+azRHYABxRvnx5t3Tp8rAd&#10;k9kq4TPayt4c2SjXlnvvxSozL4n7jEsZfVj2BSwJfrof/AhuTE5OVr0D+I3gYezJp06ZXiB8Y2tZ&#10;GHnjjtcVb4EdGc94rJxDfi/oE5LA0JclHuCFix875NqZmZmCHY8qJgQXktD/gDdIDj6Edw6/kO8x&#10;sCE22Mi9sbHBH8+O7TvUB8/OnTuV95ienq6+ePYIvs6Q9mBI9ILBkGBTcs4xfEy+udgn/eaS5+NZ&#10;efbKlUI6ntUfveKGvny3QOvbqFFj+d5cE/DdAt7jA3EGkFGDGcGOYMjSLLMO8FDeeChYn/jXB389&#10;yG3xRWf4EeyIPQD8LHiN2JXC28AOFBkzNqDYma5Zs1b5k/i5Q88f/iFybO4tWrTUIZ8eNOhFbY8N&#10;dFJSssikRyk2pS/t4J21a9dB7UbhISLrZjwSc/IMXp4jz1gYmCCvMeB9gWGKQ1Ya+RzEvSP+XRI2&#10;7xW+l1gm37ldb32iOABcAD4wWyLyjh27qA0Q9eZPGhxhWMKbWzkv2yZvX8Yk8R3A3NwzX9TgeuSs&#10;4BPwo/GEDVtFvpddw1M0jE7ONVgdG2F8VjIu615SdAgadrip2DGpfFauc2fv+f7F6+ID8ntXq8Vd&#10;l/3hZ3pWwXV8b9l+vCb2Lc937Kz8e76v3hS8Bx8eHY1y5cqpnBrcyO9n8eIlDv8+JPQ4UlLmaj22&#10;ZLTBZ9Xy5StUl3jVqtWKHVO3bFWbb77jkGF7sWPk3jzR4VqY94iM/tEGl3O9l+1TXjmygiDOTPz/&#10;sQE9Kr1rZbYy27btCNvIRJMRR6srrn33c+7iesdgnpL5G0pN3a52z8gJoYnjxKYFuoe8a9fO3ap/&#10;CA2Cz4EvENLp05l6jV3N6NHjtA4sgUwUXgj180RnEZnnwoWL1N4Z2sh97jEW/UjQIjAi/ulCdaEx&#10;4dXwDIUlF82LHkbeA8eCH7EpQpaNjTbJYpvAK4vsUxjXrL/ix+R74jvmrttz5AtdK7A0/qPhQeET&#10;Gr/S80Wuj30F8vbGohuwWbAYPCzSwoWvajvkoOB5bJvgeaFHsF38wYBFyLETxr6JcWlHG9LKlat1&#10;nF6yZ/hnh2fcUHQPiYuydOky1YfljMAHZU+9slHewbsW4EN426wnCdt3viVYW66JI+RtX5LKxNAO&#10;2c1kqg2299nQRQU34tcqqfw9KX/rzp6/ovodTZs20705LvqMLYVHz5nH9gsMOWrUONX1YJ8qV04W&#10;u+tGKq9G34M9xV4M3iN6HJSxu35F8PSsWXOE//G47gt+gdBJ5reGTgl8+j3Cl+RbApu0WHxHdCKe&#10;7PF52MY8qdz5PP2je9/XWw5sZkrmf3lAYwt/X/DtCK8RjIYOf8B3LPw1Ds5t6V1T9JfQfezXd2CY&#10;/4iMGNwWzilHJNP3AjtYmdzaobeIPLKz8CAj73NNP2+yvpYzt8nbIjGJl5YVVRkepPHJ0McDU4Kx&#10;sbNpIHHmCnNe3s/SsXN/de+cva5rBp6GN4vuKdgBeT82FeAK7Gu7ix0FunMdOjyvmHDEiFF6P6QX&#10;0ETj0dBvkuinYieP3RI2HsRVHihjgDXAJ/wv0g6cCk8YrFixYkXBefXFtv0x17x5C7Vxx6ckegfw&#10;vZB9gx3BNRPFh/WmjZvVJxJyZ/AiCb1UfCaVFF5iontWOemi8uqIcejtOzhF9AseytEvIOZ1ue/d&#10;wNl31AYb+2vOCTJ++PUhW5iT6texU6cuypccLjzCFi3wHVVTcPti98yz7XRv4R+y1y1btRL+/RLV&#10;FYGPSerfb5DygemLrgK8YOQE8GtJC+a/ojIA9AvywvT4KDJb8pa9Q7qd3nfLr8y+omMS/OeX3v/8&#10;YO/i27udO9LdX/7yF8WO5StUdK+9tl5l1+hB2hr6yfvzc257/yCP7yyV1XXC9wb8BPxPg2HAbJbQ&#10;ZytIwvYEOherr+JSMGpOimxn+o1+4Ma86CcYEhvvvNoU5J5hR96btQCDw7N6SfwigRPQB0WuD4/K&#10;4iWTc83esdbgwPXrNyhmxL8SvEfwIFgEuyXwPPgSW/k0sf0FL8KPpN1o4YkpRhW8A38Q3hh8rZSU&#10;edquTdunXJ26dVyt2rVUbom/JmS0+EGqUrWKqyPxiuAlYkcPjxY7afi1fuFGW8/7yatW/1Bw1jFX&#10;t9UnYWzPePCHq1YN+dOH91hb5NaLl64N2V0Ln75Nm7bKM27WrJnqM+JratKkaaLDMVZxJbJsEn4f&#10;sZUHa4b1QFatcfAuN29OVfuh1jIW13zLoCfAGPQFI8ITfmPfG+rLKkV0T7Bryws32rmsnHxBMTGy&#10;61qNPkvoLPMdhY/WsvpfGLzXg00LvfuPjx7srJFbG9+RHN1Ha+cnfvNzbnv/IA9+L7169VM+USSt&#10;BcsUJCHvPHrkaMy+hk0t987hfQajdyUlBztiJ14Uz8N7sw6sCZh6zNgJarsE3wmch94bvKlQetb1&#10;ExsmeIxgOvih8ASHir4q9+FNmd0SffHZiQwVPAiWRI5KvbVBFg5/8VHxQwi21DkFRyLbxpcS+gfw&#10;0cCfxJNMSqqkuBEeJXiRZy+KNUl0TO/Zud9y4+dFR7D8MZcsdibe80l5/4lbrmq1H1V2je4j2B4d&#10;3stXLrvp02fpPuBTAJtx5MzNxEcP+gHEdUIPhAQO5x51G9ZvVP1i9CHBnMik0fvgHgk9Dr4lKPfp&#10;01/1QuAjMz7XjL97d3pI10PODmco1p6kHZJnr3EpBz9mJ7xvfCMEvh4DmlGWcYPpO5pvcNN7XLps&#10;pfxvNgywY2AvFj4DZfl3EM+7IbuGnwA2sth3BaW96GPVrFkzF68m0bESxQzF1R45NnqQRTGfrRHY&#10;BN4jMUnAC9g2I0veIrwoZNjwnNA3RG4MX7G5+KyuUKG8rjkxdRoIxmsuMlH0TOFLwreCf0lb+nXu&#10;3FV5mO1F1o2uArby1WtUV1t44qHA3yJhK4UMFnwKnnlBcI3ZWCPvRq7NNwL2NEWxHomOaetn3yOR&#10;eSRvO7/rLRlfCnY8KumUW73jrzF56IwDXxBeMTbX7E96Do47l5Ulug+bRQchpL9r7WhLvMIqIuOn&#10;Ljs7S3iNWzThp9F0N9AtJYXupyo/0niSjGH1Xv59XrjR1nT+pm9zsOMptzY9Mb898EnHj58S/HcG&#10;9LNMn4FI3+BcGy/SaKqfvD8/57b3D/LgG5Iz0KtnX5F/VleZI3YORmcSzbEnKSreXKLPUtjtwUnw&#10;XQp7XBvP8A/48RXh9aGbCMbDThd5pPGpwHWUd+zYqTxCsB11y4V/iA0NsRzr168v/tOrKz8Z+6UQ&#10;D+s517VLd9WLRH8RjA+vEf8rYFXmMb4YNvfoR+InCR/VG0Wn0fRbwUvI0Hlee3a/clszcp4LTBUt&#10;gcdIpmdr+Mzqo+XJSe+6ShUPu26jc+vn2hiROb4BWC8Sfh/JwZP6PMIP9OJVYoO1aNEyV50+f0Q7&#10;b59YZcPJnJt49gTbmaSHQrLrSH3O/PYxkFsH9OJBwAyRfsG5njlzTi687Cd+83PuB2H/g3dM7H8O&#10;/iN+OLCBzo+GxLrfRPhc+ISMdb8012MrgG5fUb5DLCzkxTaG4aLhH+ylz53LUvt1eIP427G+9Nsp&#10;eBN+4YYNG6NirDDuEgxj/CxvDn6JF6MU5ToxtnetwE88O3gNDEcyHEyODBj8bcn8n3tzbxvKlSqe&#10;dJUePugaP/dHP/PJbuOQ05Z6Sx9QJ3Pac/BcrBvPyNqRVDdU/BTZdaK5990jy7bukfV2ja14pXJn&#10;JR2T+N23c62jtckrryPxFU+ePOP+85//RE3B/25i/7vBepW89UKvEfm0Ja+eo+2Xn/jNz7nt/YO8&#10;5J1bP/cEeRRyKaM/ieTYfOLfGdluIv2Kq21e9DC/e/hvhufIOxb189qzgCfAG7H4TXnV165TR2Xc&#10;1gZ76DlzUtSOulmzFvmOabysyJxn4vmKeg3iGd/WiWcEn4HVkKsj58dGBdk7Ns8kZMnI+ZHbk7i2&#10;esqWaGPlanWOi27nbomx/Wa4H/7ZbQzLaU8/7hFb+syZd11WVrbGeAFPXvz4kuJwnpM40zw3/HnO&#10;k73D/eY2bjzjnMy+GcKOos/52NO5bYGiYdjIMdF1QE4RCztG1vv5fxbMHdC3gpwBfPKAG738x8hx&#10;/MRvfs4duQ7BdfAb4wwQOwL/KvHQ7sg20ENsbCPrS8J1JP2L59pwEm3hOWJDHNmvqN7NO080ep5f&#10;Hf5yaokNDbLpR0U2DU7BhhpMmVdf77yxykX1zomMa8+muFF4pPBUwWngOXzj4OsQf9lmD2Q+z/GR&#10;7vV9jj4htuzUcc+b2vc74pKqbJK0263eLPFihKeLHQvJ4sVQZ37Xqefaxmd+ngfeJLxfcDxrj04H&#10;9vHoFyfyztHa2jrYnrIe3jLXJPuGsLxlz89z9DmPuX3v3PjTfWsXLWe94Gn/4x//iJn++c9/un//&#10;+9+awJIBfQnoS2k5A9jIgM28/niiPbuf+M3PuaOtRVAX/L7Hjw/FK4xGp/KrI4YM+DG/dsV530tb&#10;o9HQaLTRW5d9/rz6wMFfJXYPRovJodGMX5TvY8+faI7NE3GDwIzthY/MviQ6RrT2Rfmu8Y7tfS72&#10;AZn64cNvq/9tYhhhy0OCRwyWw34Lv0X4KiKh14ntObgSDIg9Ofqb+MHEZ/q2bWlu8KAX3dpN+12V&#10;mivcI/UGuPpNXlJ/ltyfIL+RdeteV7+N2L9jU03CBxL+1/GfhM91/DTyDPBBwbacK84MZwm57/3o&#10;FbNWtg52rlW3AH1P0zegnJO8egtWrlTxbdXnnLriZi5dUJ7Vm2jPtfUjJy7Q+vWb3G+//U84/f3v&#10;f3ck6v73f393v/8eSuDIAD8GtKU04Qvz5whGg/8YDUf6id/8nLs07WPwrMX3v4O9Nfrw8dJxa9er&#10;Zx/FKdiNWp0f+ZzXvxU7gJ8duZe2Gl01+me00a6j5bRZt2698ojABrQxWqy50GjwgM3jx/vmNSd8&#10;Lfxz59WmNN2zdUY+a4m40uzLxo2bNHbfqpWrVWcC+3JsieAJNpH4OyNHjlX/RK++ukhtx/HVzZ6C&#10;Lbt166HxMfG3DfYjBiDl1NStYlffwNWoN8xVqzvF1WvQxk2ZsVjt1/GRg592/B0RI4fyk+LfaPny&#10;lYod8XUEZoX3iByds2TYERxfo0YNxV8F1e+wtTDsrOc5R9fT7HVi6Xyinzl16WXR5XxT07LUT8J6&#10;oPBITW/Tq9NpZfqSevfqK7z4nu7evR/dTz/9pImyXf/yyy/u119/VSwJjgzwY/H9hwf08v7WGh89&#10;JrMGo6HryHXkuvqJ3/ycO3Idguv7O29lYf2Icw2fKlF6Bm8FH4MFwZyFiV3Ai8kVf5ZYHxLvQ2J/&#10;zF73N+UTgvOgrdFsJqCJRg8j6SPX2CLjh9namf2F0mcZk7FLKn5sKn7/iANSmGvsx1iGk7y5YUfD&#10;TpxZ4v6ha4geI/gMn5StWrVWn5XwAPF9eeTIEeEFHtf4jXYfX5cHD2QoXlwo/EL8rIP94B126dLT&#10;Pdr4gKtd/xlXu15T16zdcvWTia9L+JTPPddJsST8zFGCTxkLX5rgVfia6EFydsC33nPCbwb/jAXR&#10;D7F1sHfnbDMHGBU9z5DOZ0jv03wumQ4nz0O5ZqOTIV3OKodVrk49CRk7eptevU7T57S+XO+S+In4&#10;hrp16yt3+/YdTTe//MqRuP7mm2/dd9/ddT/8cM/993//X+VBIsMO+I8BnSnJtLJv3/7qiwdsZn4d&#10;ed5oWC1aXXG9m59zF9c7BvOUnv8KdB3R6UsEH0AD0aODBt6vDC6ReSPbZpy6o/zGpPKCHTVWHPHi&#10;7im2A+dBT6GjRgehkV5aaPXeuh07drjyQh8H9B+sbbkHLmEc5JCMCZYsqfiR7wD2J3KtSsu1YSTk&#10;vOAkEvjLkslmr4gfnA0SIwd/mOzNecFPyJbhPeLbfPr0mRoLnPh/6EKG9jFL748QGXf//hLz7513&#10;9PunSdOmypfEPzo+03v26O0yDokNWI03hP84yVV5ZK17svVz6n9dcangRHyxE9snY3+Gw8/AQOFB&#10;zpgxW+fhjHh5jryTrf8i4UuyR3YdT25rEokbTc+T/UbXk/ekDH5Fp9P0PU0/s1aTA6rL+cgT+3Pp&#10;bnIfOb7pblp7y+Hjmm5oPfEDNX/+q/LthR37Rff++8KzlHTx4iV39SrfVNfk3b50d+9+r/xH9CMD&#10;/Fh66MGDSLuxjUHfMYhnHZzTB/H8F/SdMw4cUj2seGiYtUEmih2JXfuZdxj+vfAdBTOW/8klP3zP&#10;dR37N/XZAv2GlkJHoXtGH8lJRgvN5sHoI7FAiBlNvBajvdBhxoEuMyZYxfAj9NyLDfxcC3QHksUX&#10;j5/PcD9zG0YCN4IVVUdAeLzw78BillMmhbDjuBCmF11PsH3nzt0EyzV1p4WPRhxu8CC4kT2DPzd4&#10;0FDBi7XEl/durac8YMBgtZWmLfsMz3nSpGmu//AFrk79Zi65yjbXuPnzGhtQ5doisyZO4KhRY3VO&#10;fKg3FX+byKrhBfLdsnn/zai6scRsBDvG+81la0JuaxL6LnovjBPtPGPPQpn4kt44lsjkSR36Zwh2&#10;XOdqN93j9qTv0bhF6G6CuUn0AT9af6uz/uSsVcuWbYXXe1bT6dOh/Nw51vd9h+wPDAkPEhl2ILsO&#10;6HFBaVNx9wM/WgxC8CRnOfIZ/OT9+Tl35DoE18HvGuxYV3T446X56DjWrFWrRMUWAT8mlfvRdRv7&#10;jeIN8B9YAdsGaCGyRvhJ6LJB/8zWAd4R9JE6dNa2b98u9hYT9f2gwcRlIfYzPJlN4id7s8hIwZHw&#10;KxUjCH6Bnht9j3cNi6odMtxq1aqWONuleN7X1tD4jGBD091jrS2ha4AvRVJGxgHFcFkSyyUr+7xg&#10;l/MudctW8bH+qspfidmHb9933z0rvGNpI+32y35jI/Ou7CH16Ici087KOufmzJ6ren+nhIc3deoM&#10;173vFOE9bhXbkrfc0DFLNE4gvth5BmIGgl15Rvypo0dpOg3th36j/G/OZbR3xw4+XvsyWxcvnsaH&#10;+9at2xw8Vb5vOKN9JE4h55Xzvl5inPNtB6blfIMT8Tlfr9FAV73uKMGPW/Q3QB22PsQiIiGPpz9j&#10;UX7ppTGKJxmDtuh3Dh06QvTAyomsfpz0HSM83j6KIbOy3pP2Y4UfuzKMHU1uHeg9BnSmrGANP/Gb&#10;n3OXlf0L3qPw/ovmzl2gfJB47F2gdyXNl6PR1tSDtxXHwZsinsoRia0Nj2il2FGQQ0uJowJOnDF9&#10;psZZeeqpZ5S2giFpM2HCZFevfj2NOzx1ynTlX6HjBY4kfvHkydOULwV2BD8wV0nCjvh3h6eFjl80&#10;zFJS62wPDTeyrmBF+Ih8A7ybo5OHjJa1t0Q9vhWR15q+Hry/48eOK8YnJhD3QvczlWccapeZU39C&#10;+zEOcQGZ66OPPnIfCx4kTvX4xRKjsILYJUtq0+dzt/fo9TAv1HiimpuNs+Tth4n+rfC/0aFAD7fD&#10;8Hu59oLfEHGA4tUvtrUhN75jB4k7tHbt63pm+Zbh24az2bFjZ7d48VI9q0MGD1MdTe6BAznfNRtM&#10;Vf3Nmg2XqJ4meBGdTex7OOfwXBiHGOhzZqeoHqfaq0sduqCMSXtidDIetkjwaBcvWS44erPqmmaK&#10;/vT1v95QnUfsrwOZdeH9Vwd0z/+19BO/+Tl3cPb8P3slbQ8++eQzxRv54Qr0tPAfCD7Jr21x3jfa&#10;6uXLgB2ROSKD7Nt3gNI5MCQ2DdBFbBrgR0E7oa3QRe5NEhrZR3g1SclJqss2QHTisIGAv8P9vXv3&#10;KuYA08BjAjeUJJk1646PdzBxce7B/cwVuX/gRnA5+BDM59U5MNms6ReQvyl8Mm8KyVv36zcCMtg/&#10;7qHTdzDkl1F4hm/K9wDjMQZ8R3QfMzMzRXfv/RzseMVlf/S5q1H3A0eM66SKHwov8Xs387WvFMOB&#10;4yxxBizB/0Z/QvVv0cN96Odce1GrVu2EYzDZGhm2Bju+/voGPdf4Jxomepfw2DmjXIPr0sTnEOd/&#10;/fqN+g2Enma1uovE/qe1e7xJf63DbhydTXju4Gy+odD15LxTh106CX3OadNm6jzDh4+UuNyNJYZ6&#10;Q/kWmyy/oxS1/+nQoZPESh+kdjPI/gKeY0BrShqtK4zn8RO/+Tl3YaxdMEbZ+0/IT/+KWGrI2Qoa&#10;e+Z+sEU8fb20FVsKaGubNm1VVteqdRulpegqogcHTSQHk0BbobXQR8r4/Jst/BZiQyOfgxfbWvrP&#10;Fllmr14imxO+F7wp03UsSTxH1onnhaeFTl086+Z3G9s3cnARe4ecGX8xO3fucvPmzVc+GnJU9gYs&#10;CDYEN4GV0ENAnrp161bFPeR828ybO9+tWfOae2PfPuGHbVTfjZS5j2yZvlwzFuPukrlWbnzH9Rj9&#10;gTtxRuw+hO/IdwH7O3TubcGOx0KpXLbwFH9UW36+VbzPb2Xs/LH3TyoXwo0Lt3ybay+w0eb3lqi+&#10;sI3POiE/JtY4GHGd8B/RvQT74mcIOfULvfvpOeX3yu+A+5Sr1Vkhtj/TXJt2A1U/k7MM7xAeJuWJ&#10;whPlmravvfa6+KpcquOhy8n43Gsgduz9+w0Se235vho+2n362TXXvHkLwZwvuN3p+8I21l49x8DO&#10;uuzRjAcVB/iJ3/yc+0Hd7+C98/7vygs7durYRXXooMnx6vf7gUkiaSu+UJB7QkuhsdhJwIuEDkID&#10;oZXQSGjhMZFxUoYOY2Pz2GOPqd8++F/t2z/nmkkf8AuYxosbDT/48b7R5oR3BHZkz6LdL2l1tmfk&#10;ih0Fr4H7kTtbjPTnn++sclJ86GwUHIhuH/gLP+CmcwBmovzyvAWaY/PcuHETtXvG3zf8NXRcadO1&#10;a3e9xzXYEV7dnFe2uiqPZoke4FVX+8kb7ux58cMkOJZnWpp2R2L5ndE40MSCTip/21Wp/GNU3Mh7&#10;sMbmbzQSN9r6a1zrBHwbfHTlpus3467LOPmVzgt23Lw5Vc/1mLET1NZ8g/AXSZx1cs5p+/bPi0/0&#10;EeFytTqrxe4n3dV/rKEbM2aC1mOnjn4jid8Cepz0szGaic8n7jEebbk+fTpTfSzg6xH+4iCxP2re&#10;4slcvh2RVYMZA9yY939vQJtK1/r4id/8nDs4p6XrnBbXfoEdja5F5mAw4qlF1pfEa8MiyOEWir0E&#10;9ha7du5WPAIvCZoHXYQ+QguJNQIf0sq0RRbdRWx160gcP/qvWLHa9e0zQMtcGz+qpOFG2w/wI343&#10;E/W7ZP1tDYsitzks985hfEewIzh94cJFLi1tu+vXb6Dq76F70LJVK9XlROcA3If+Afp44Er0D9hz&#10;dPvgT+Ivx/T5sPmgHt0E+JTk3EMfoVPn3oIbz7vk6hdcUtVrLunhO652i2+V52jP13bgPcGOlySd&#10;yElnRCb9nus+9pYD19n7xJu3bNlGsVc87Rm/dguRg4vsu3KlnxU/7n9jv37jpKZuUwwJjkTvkbNJ&#10;mZwEHzo7OytcrvnEadXdrFY7ze176wOtpx99SN620cq0tXnQB37mmfZqR335ylXRD72q/hzBjGYb&#10;E+DGgN4UFw0rrnn8xG9+zl1c6xvMU7r+M8COYI5otKy+8OD89v8d7bli1Rm9B4sgczR/gEZP/5QL&#10;fylcR1nSxAlTXP36j4X12UyvzfKSihttTeAPs6fI6a0ur9zWLN7c3j9ae+5FS9HaUhfp7xvsiL1K&#10;u3Yd1BcjfjaRLxMzEJ298aJjh37fUdE54Br9A/T00NFDhk3cQfANNiPYDGEXDJ+vv2BQMCfyW3AP&#10;ctdOnbq6OfPXuMqPXBae42cuqfItl1Thv4T3+N2f/Ou06iv4rdxVwY6ZHgwpehCd/vDdmNcae+/x&#10;XMQn9NbFKituRP6t/u9/dlWSf3Yns28q/5F1tnNuZzOvPDXjC5G9n5J01G3J+DLm+faOwfjeOayM&#10;TTvxrfHFA1b0JjDjv/71rzDf0fiPRZEHtKZ00ZrSvl9+4jc/5y7t+xY8f9H8T+TFd0S3P16b0Fj0&#10;r7jrDacY3bPcSxOtbLSQa2u3bOkKxY5Gm705ZcYv7ndKdL7awjcFM+XXz9bK3tHWwNanKHObixiD&#10;JHA72BE7Z+Sn28QPzSCROeNHB1tow5P7xGYJWxrks8ikTf8AXIj8Gl81vSUfNPBF9TPDNTy4zp27&#10;qu7q228fUftg9BfQUUjL+NhVrvql8By/Vdz4wcehuNHR1m7H4a9d/xnig6eC2NAIH7Lywx/ku8aR&#10;47Rq1UbfKbI+2nUkdqxaVbDj+Vu5ZObsXbzpkfoX5blPKf/S+nAGrByZe88H97zXjUTuvmXLtlwY&#10;EcxYENyI/3DzIR4LY+Z3P1Y/b31AQ4qGhjwo6+onfvNz7gdlf4P3jP//gZiE1apXi0n/sJEpbdgR&#10;Gmw0zptH0kUvLfS2I+4I/s+9dd5yNBpf0urQ38zPV4+9ExhO+bM5sk7jw2LzHJmQ25Mi6+3a7sfK&#10;rR25zUN+5SpjXlE+IdhxypQZqmuK3Qd2GueFz7VkyTL1E/O+8FWxh+7apbv43clUPiX6Bzt37lSd&#10;BPQSRo8epz555s1b8Kc69FjR3UMPEh0FUvrb11yfaV+7vHCjd48XpaIHGZJhv5jyZczfj7cPZXjB&#10;/N7i5eV7ZdbgRmIp2Zi2f4nkH1664VLWhviWifSL1pbfSY+Br7q7v4TiDhpuNB4k8mu/kj0DeSQu&#10;DehD/PQhWKvca+UnfvNz7uAc5D4HwXqE1sNk1pFya2wS0J0ryTYyRkej5dHoXTx1+CJCjy5a22jz&#10;lMQ6eHX16tUP44zIZ7R3M9wI1jNf3Oh/WgJneZP56CannnZ233sPuyKSt876WHubg5y5P9KxPsrx&#10;7UhsZmJKntdEzEHSexI/5gMZl3ThwoWwL0Zwp2FRLz6NVda2ObxOcDP8VfuWiFyraNfr9n4Txo7N&#10;Ol+Puc6RffHvmBefP7I91+DHwSliK+PBjdHaFXddq96fqx5mnda/hPEjWBEba9Jvv/2PJvw8Wtmb&#10;e+spW7I23vvU2X1vbm0jc3sG8t9//z2MYcGSxocM/v8DepjoGfATv/k5d6LrFLR/MH5bQ4YMd8if&#10;0MECc0CDiBcBhkLWV9w0yc/5wM+lOa6frR37hh93u/bm0XAjOA+/lRa7m5xkfrgtR3bsjQse2YZ7&#10;ljIzT2vZcvraOOQ2BzJn5iYn1guJMfD7TaI/fSkTD4Z24Ei1e7+IH+8c3JiDAeOVs3+eo8tHnghu&#10;tLWsUvnjHPx4xtVuIn4p47CbATuWFtsze89oOT7Pk9HDxJdluZ9cndY/u//66f8pZvz11181HuFP&#10;P/3k7t37MVeizlvvLVvbyDbUR2tn9dz75ZdftI315dqSF2uCJcG3AX58MGhbYWMYP/Gbn3MX9joG&#10;45WN398PP/wg+l9PKz8EDIldKryRBw03QiORzz/+eIOomCsaDS2pdexd9erV//QeXtwIxoLfCAYD&#10;q+EbBzsTfF+aTS0xki2ut+X41OY+OJu21gY/29zDThpfOt5EPcnGIKcfiTGQ5ZIo46v78FuHQ368&#10;6Sd28bRnfGxkiCmOrBo8ybObP0bDgtF0E6LV2VpYnuhewgesknw5zH+sUedTl/n+rT+tuY2Lf/0a&#10;NWok7NvR+pekHJsd9WFJLPkK2BHdc6cv/aY+e7777q7a0Ny+fcfduvWV+gsn59oS11ZHfuPGl9ru&#10;5pd/tLM21o57JK6tbONF5tjwWLp79/swfsWnkBc/BjSsbNCw4tpHP/Gbn3MX1/oG85TO3yO6j8uW&#10;rVJ+Iz5ewB+RcuySRL+K4lnAjsjpi2Ls4h4T/A8Ofkx8GDK3YSRwFLgRuS24C9+X4DbwmRfvgQFJ&#10;+LyxZPdpa7iROu4T75FE/OT03btzJerxqWhtaG9jEdvHsKHhyzeZ9w0ZT2ysyTOkPYl6sCUYEqyb&#10;LTJtZN3IrLG3wW7b3jOR/H725tGGn4Tx41MD/hrz7BDLr2XL1mXimwxfk5UrgRkl9mKF792i7b+q&#10;f0dw47Vr193Vq3K2Ll6SuOMXRDeV+OPEIUf/4WLUPPv8++F21sb6WD/GITGutaEcLV2+In6KPsXP&#10;wmfu2hfXFW+COYl5Az8S/Gjy64BelU565ce++Ynf/Jzbj7UO5ix9v0viFD73XGflPYI/0O0nYX8B&#10;nkT/cYTItrlHXlr1IWPhBd4LHlGs+7HqkUci/8fOBr+YxG1DPkk9sV6wey7IuLHmy6+evQILW6wZ&#10;ngM85cWO2JhsFXtmYs6B2yxWI/6gwXQWDxleND4R8alI6tixS5hPyLgTJ05RP+z4y+zdu4/6yCHH&#10;jzVxW8CNzDFu7ESJF7NAYz/uF1+L+GlctWq1+nAknvIcietDvEDmpw+20/j0NszJM4Az4UuOe/ms&#10;S0761E1b/qliR/QWwY6R+DGvdcoPX+bV1+4hq65S5YLix6QK2WoHbfe8Of6DSlo8eO/zJVJm3cCP&#10;tZp95Zo8/bJisRUrX1O+4tSpM+Wb85SbM+dlN2vWXImVvdedOXNW+MZHNBbNzFkpbs/e/VqHPyyu&#10;V6xYIzoJZzVNyKlbtWqttnnl1SUSJ2idnJO1IhMZK34/d0n8oAXiq/OgfPe87/buy5DzN1XnOncO&#10;vYcs9+qipRpnG6y5YMEi+dY4Id9L1xRD/vDDPdWdRHZtttsBnSp9dMqPPfMTv/k5tx9rHcxZ+n+T&#10;GQcOOXiSQ4aMcHXr1lPM2KtnX5eaul1k3U+pnmRptMWORSsNFycSnwX8BC6AZwnGJuYcsXjIGzR8&#10;QvEb98ClseYtqnp8G1auXFnnBr96sSM+cdaufV1o+kjFZ8RZWbVqjcZbwUcits0ae0XiMnbv3kt9&#10;KVJHDEdwJjH98LFIHzClxQ83DIq91YgRo9RvNz65iQlIHWNu2rRZ5dGUp4jPxZCf76YaT5Cx8OsI&#10;VsQXDxiTRBncOGZupvjzvih+GT+VWCk33YxV15WP6pVb54cLC/P+vPUSuzDH7nrw7K+j7jHnCT0C&#10;zkpR7XVxjWtrhz0Tfh5/E1uW55/vIroEovspe5SS8rKckQ6KCwf0H6IYEIzYU/Son5GzAw5csHCx&#10;tgUr4rcIfElcQ2IKDZd4hyNGjHHp6W+4xxs00HJTqV+0eLn+vkaNGu8mT5qu2BHcOFD8MTEf2JEx&#10;6LNlS5pe83vcuDFV9GI/UR5kwHss/TTJL1zhJ37zc26/1juYt2z/VpFzg4nASsVFu4p6HuhNfj5u&#10;vM/wxBON4sIErBPyYW/f4iiDV5ibhN+loRKrDrk12PH11zcqrSV297hxk9zJkyfdwAGDFR/iU7FX&#10;zxc0/g6xv9ExRDdyzpy5Gt8RHzr0Q34MnoTuj5U4eWBUrqdOm6E+uXv06K1xXFK3pCrWHCsx8YYN&#10;e0nHpR36k0fE7yI4l3h5rP3oMePd8x07K75ATg1/VHHk/gzBjJckDszVUCyYpBuic/e1u4LNjPAe&#10;ea+8kuHLvNrEc8/GAYuPXQR2lLjX4jt8++G/Rd1fePfYo5UFPr1hR94d7IgMuKNgxzlz5rsX5Ruz&#10;S5ceivHeeeek7hm/J/YO/iEYb/GS5XrmOnfqJrzl9epvs3XrtloHb5E0cuQ4HYM2lDMOvKXyaXjZ&#10;hw+/o+Phj4lx33jjYBhTMg794UmSuF62fLXK0ZFfowf5yy+55dbYzgR0qmzTqcLYXz/xm59zF8ba&#10;BWMEv69oZ8D8RJYV/AiGAWdB75E354XvkEMjF44HE6DvBnbLa7yivMcz9usbejd4yE80aiQ8mc0S&#10;51n4o8KrSZP4Ldg8p0k8wDZt2mqiDG9y1KhxYZ87xHe0WMfz5JuBPvTv0qW76CMezcELHYSXdEbx&#10;JDGm4UWCTeFxHnrzkMaN2S16kfCTsKXG/mVA/0EST3CW4kv4mQdyeI3cbyeYAyxLzMhnB111ycQQ&#10;rPJXsYu/5doNuSm6m6L7JsnrWzKajx7z5UMe7T51+Y1Bm/A4glcbdhDsWB7seModzLwddX/RZyhL&#10;vgsMP6IbvXHjFtFj6Kr6BceOZ6rOBnobyImJ6TlzZoqeF/QgwX6cnbFjJ2nakpomfOnF4ttzpNaf&#10;PZut9bQJxe7eKudmsvIMsamBb31b7G46dOgksull2ga9RtrSbsyYiYpBDx06InoSs3Ke5WnRkfxY&#10;cSO2M9iC47snkFkH9CwaPYtV5yd+83PuWOsR1Ae/n8I4A8iwwUZFiX2Ke2xkznnFhgY3ggXhq8Tz&#10;bNgegUnxgRRP+6Jqg5/EuSJXRI4+UnQZx4oe4u7d6Uq7ieuNDQ20n4Tv7A0bNrkxwk80TAVuAoOC&#10;F6mjPfwf/G0TUxC/3e3bPycywyyNDYMM8S2RNYMTd+/a7TLFVrpTp64qy4avSRleJ7JLdCwZi5jW&#10;2FRTnjBhsuJGsCj4cY7I0J8d9IlLSrrm2g3+TO2twa/YXeflU9J8UppvSfM1abn5oPSOYfcic/NL&#10;2f7F2y650reCHU8qflyWFp3vyF5iZ10av6/Q6Zy/8Y47eCp3/G7wI+cAWTR7+JToGKBPOHfeQt03&#10;5MPr12/S8tKlKxW7oUvdVnRY4f9NmjhNzt1eweGfaZsBA4aE6idNE12PhvLtcc7t3LXHTZ483YH5&#10;SMjG8c+DvIOzQc5YjMtYS5ascM2at3Dbd+zWnDGMjwm/EdwY2MoENK8gNM9P/Obn3AVZq6BP8BuL&#10;9wygF1nWsKNhPTAismZ4HtjCEOe7Tp26igNHjEjMXgjsAP8JW5qiwobxjAvdJ8YzMaOPvXNM5b3I&#10;jrGxQfZrfnooZ2dn6bVXlouuG3bQ1IElN4v+YlZWlvv40iXVY9y+fYdev334bdVtRBZOzOnjx45r&#10;rBhiVG/btk3Hha/JuhBvkDgy2NzQ7sSJE1JeJfhjgzt44KDK0w8dekttgOBFLt+crTxLysjSI3Nk&#10;7F6fkpTxD0mKrLdr+jCWJauPzPFP2XlkSN9SY2FXPCrY8ah7/JnrapMUuQfwr/luKC26weDFbYdC&#10;OLh67Suqz9kkih/0PWLTVE30ONeK7PmAyJXBZvjQgecHViNhPwPPkDI2NceOn9LyPrFz+eCDC1Hr&#10;0VekPfeRSTMuafXqdWrrQnn69NnqF8jGnSpzMtdescUhbd68Ve9jY03b30QvM8CNAU2Ll6ZFtvMT&#10;v/k5d+Q6BNfBb6gwzwBy67qizxVJM0v79YgRIZty6D7YGIwD/ScV1IcR+AwdScZEZ8uvNYJfCm8R&#10;vTXT34uWgw+pp50lsKf1s3jUyHLBjvjNAZ+BF/Gng30L/ETsXd4Q+2pNgjv37duraU96utpVY1vN&#10;Pa//HrP3JscW/G3srCWF6vEjlNuXpPWlrfn8wTek2mfn+BZi38wvpdWTWzvra/25R3vwtLWnPG5+&#10;ltjsoHspfnoqisy6wmHXtv8NXRfWx7uvfHskwqP29i2qMvhwwIwvHbxTm2PZ9m9dix4S37vce4oX&#10;K5U7k5OfyNXO2pOjx7llyzb1e4Ms2BI4raCJMayvjUducQ69ddbOcjAiya69/cw3T6DjGNC/ROmf&#10;n/jNz7kTXaegffDbSvQMwH8oKJ7y0qIHpUxc4/xk2Pj5KSoZN1iYscE5BU3XroX84oAt4VFevnJZ&#10;5NYXlK8HD/Gg+n/crzxKfD/u3rVLZIuhtEtiUJN27tghaafewzdkWlqa+Izcr33pj29H/DySDh7I&#10;UD1IcKalSH+SyMXtnvn38fqoBHfaNViVNuTUbRT5vN0jJ042CRwJtqSv4VPKY1Kw+Rb8+PARwY+H&#10;Xd8pN6NiR840vEfs8fn+8PuMgxuTKnwQxoU16n6umNHsxaPlS7Z9E/W5scXC5wJ4DGxmyXBePHle&#10;feweOTqKJG9dXuNbO+vHMwa4MaBtidI22vuJ3/ycuyBrFfQJfmOJnIFevfrGrfvnN+0sKfPDv0SG&#10;jS1F5DNRB7Yk5WezE9k3nmvmRR6fKG70jh2JHceJ7iS+HPHbvV3sbJCL42tnwYKFrnGTJg4ba3w2&#10;7t61U/2Wt33qade4cRPx0zNNbC42aRv8+eC7B9+PQwYPU98+YMFBA4e4wYNe1PHmzZuv4+BLCP/n&#10;+JFkXLD24kVLFDviH6hr1+6qF2cYkWfp1q2HmzB+smJG5Og810vCX24iOXPThvb4meT5Sfgown58&#10;8uRpih1Xrlyt9eDJEbPOu6RKBxQ7jlz4dUzsyLqZzUy8OrLetS7MMvLoED4UPc0c/0J/5KdcvTbX&#10;VWa9eNu3gjGztU2PcTf+dEZ5JmywsCs7efJMON6fYTTDbPnlke2911aOlTO23Yucx+q9eSL/aUHb&#10;gAbaGfATv/k5t71/kAe/haI6Az9IfEN4j8hkC5POlfWx4ENhq03sEexF0KmkDGYEY4Dx8NEIzivM&#10;tYjXt1B+cxr2hPeILBcbWeyyO4v9xNChI9T342i5BpehM2rYDKwHz3Dq1BlqJ4u9NxgOvt4rrywS&#10;vz6txOfLcC0j7wZHgr3w/7hgwSs6zgsv9HNPyrjjx0/Sa/NjPmTIMMV2+KDEpgK+IXxC+uJzHDxo&#10;Y40aOdZ179YzHAuHe8xPDjakL3bfU8UPJXnonUJ+hIiv06LreVfp4YMisz6t+p/I8lmTWOsGBmVv&#10;/eLRr02/7SonXQxjxjotb0gZfHja1W7+6Z9icydXDMmvW/aKHTcH3wSspxejlZRyUf3fBeM+WLTU&#10;T/zm59zBOX+wzrlf+z148HD10xeLbgb10ekveBsZNvqVyABJlG29qlWrKnajT4avrf5+cmTWzHM/&#10;Y1hfsBKYCd1I/KXAe8QOO13st/Hh2Er8QE6fPkv9PLZq1VpjGsJbBB+C7fANDq6DjwgeI1E/bNhI&#10;wdOtc/xHNhUfP6O0vHTpcvEz3U6xHFiwo/iCZB58ijPuuHETtR/4jHG4R8LmGzsYnmfGjNl6L2N/&#10;hlv/+gat437/foMk/s18jZ+D70p0FXv2fEH5nzyL9QOLYluT9PAh5Tk+8tjlPHmOtlZgR/bTrosz&#10;X7/vG8WIIR5jpqvb6s9YMfJ5QrjyhHt2YPSzS3vOL9+Nfv3vBPMG9K2oz4Cf+M3PuYt6XYPxg98u&#10;Z8B8PUbSn+A6Nt2NZ22gzfAfC8u2xnQtC0sWbrxH8OMr4l+nbdun1W8kfnPw1wN+Q/9xomBVytjS&#10;4G8HHDdQZNHg5AkTpkhMw756DzwIz3Wk8AQp057yqFFjtZ46cB7+HrGBxkc57WnHGK3FP2VKyjy9&#10;Zj7swkk8C89ELBt8WMK3DD3Lc9L+ZcWJjHPkyFH1KXRM7L1J+BfatjVNsPa0kF906cd4HQZfVtxY&#10;qcIR91r613nyG22f8X3OHHZdnPnAWXdy+I2n3KLUOzGfYZDoBpB4tsrJH2qfFt1j81Jp10h8PS5f&#10;vibAj/I/GNDDsrcGfuI3P+cOznLZO8sldU+Rx8XjK7s4aWZZmAu8h09G4hze7/uA1Qqbj+nFjw0a&#10;NlB9Rfw/Er+mm8iE8YlIvGqwHGVyEhgOmTT+HPu80F9l3th/79y5040ePd5tWL9R21Mm7gz4mTr6&#10;Eh8bf4zIvalnXHQY4XlStnnwU0niWXimd989q/3xZ0mb5Tl96Mc81OGvEvk7z0KZOnxMMi/2OIxX&#10;vZbIeiu87SqVP+E+vHQjLuz4+OMNfPNntW4vfMcTks7FjL3N2cJH4v956CHh1bZzVSqH5NtNOuaN&#10;HeFh42expP4vBc8V0MD7OQN+4jc/576fNQv6Br+5RM7A/2fvvL+sKrLFX//Be//ADCB0E0SyJEkS&#10;xDAgQXKSjKSGBslC09AgkhSQHAwkCSKgoORkgwoKmFGMjIj6Zp5rnDez5juz1nd/9mVfTx9u6HC7&#10;T4fzQ62qU/GcOqdvfXrv2rtatGhVZvzYFZXBSrp9RAfbQPfLFWX/I37PU82OzIXxI7H6fhTba+yv&#10;NYgfSHxBWvCf4QLT5TmzxVPX2sTrJ1oeqw15dg+xYmtDmaUTxZ4+WnW7Itx42NVueCkuzyPbRU/N&#10;+6on7F+3Xr2U7RUo6PdnNjL44LG2WVlzXaNG97pnn31OzvHLdT179Xb//d//pXal5NdpKs8ovJlW&#10;5fc21tYb823yfyP7ngvyexHWDdeXsvANBMlvQY5dFt5NeI/l4zcEfx3IyLzrSpgums7aO3/or1mj&#10;i8KO2OfAMDCNt+9UpI0fzf8jNjQEWDJWMK6LVZaKPBs/XmxjWLldx4utXru+nwk3viVc9aZr1y/v&#10;mSs2j/hAShc7J84n4p2lQmZsfRc2/tPwz8SX0HXVSdesVUsZkRiGhBtZp5A3kkfA1tr2R+49Fl/P&#10;zf2Eeuvy8RsersV3vscg+S3IscNv4c5vIZyT4pmTrKz5ge3nKux6WtbaITdUFpHzaQrLkOgY69Sp&#10;k3J2tLk0hrQYlvQH4zCL/eX+60R9+evatbWJF/vr2TVxvDYd+n+qzAg3EtAF23NbzHvhHZk9UlB2&#10;1XY/yBSRLdq1cSIyRvY2Uk4Z+mrykDmyZo2dmCPPeFb50c6asT78Mc/K/47hb2vx/LaG8xrcvAbJ&#10;b0GOHX5zwX1zFW3uOZ+WNdO/roTXqZM9MpfIH7G5qFevvtp4FHR+2ZOKrTX7+fCvwl4D4oL2k6h+&#10;PPYqy/n4/zZmrFHjHTdl2Vcx5wz7bHwrlZZzCNm/SPC+L9NXw4oErimHMU0mCUPivwfZ44Rn4p/X&#10;TTu+Kf72+Q2oaL974fOW7zU2SH4Lcuzwuy7f33Vpe7/hnsfUcqJ3vfemWatriV6xXbsH8jCBt06i&#10;NHsLatSsoTY4+OjDljs9PV39TBZWnukdjz44iw+fNLCUnxm9dUs6jR4ZP5r4Fi/I2OlV31OOwr/N&#10;0bevx22LDA6OCmr/BnJEuI9zwwmsPwTjQ+8zU9fkjfiztDKzt651z/v6zG17fxwtszr+GJl4ZuaU&#10;kB1De+ty9Q0EyW9Bjl3a2CK8n/LNsuitSou8xb+2lbdrZI/42ea54DNkh+Z7h7TpTOM9d/0GDcRP&#10;YusoE/De4Ej8lcN98doxBmyCv28bj7qMSX/IQ2EnbLrZ51cceyvj3Zs/H4a1M8S5lwYNGiov86zk&#10;cx6Nv02s68zFXytDIYNbsOlGwjY8LywehK4a5kN2iCwRJiTN+oPcEXmi99moi/7abGS87Gj1zE9P&#10;o/ZX87S1cm/MnDZs2KhccUO4XpXv9So/7zdIfgty7PzMTVgn/PtI1TcQsmPJyB1Zs2EhGAVOI8CC&#10;GotNL/xHGTI27/ruTcN2nGXjzbN0kyZNY7InNiCczYyMib7vFr/Q3Afn4jA2+djjGDeR5j7wo2N9&#10;l2SMHJx7Mj+ZsCIyW+7BbI9GjRyjLAz7wuD++3v54LfCjcci7Fj51B3nr/jrcw1bl7QfcFiQtQZZ&#10;o/Gg5WEDQ5l/36PprKkX6znSKsnZOcLL3cbEtgnytuGdh37Cw7UkVWtJaeknSH4LcuzSMv/hfVSM&#10;35TQ1rrk2BH2gc1gIZP1kvfww51U5kc+3AYTedd40pThMxIW9JdxDW+xZw89NkwIc5k8zauLZVzq&#10;wqF2D97+dsp51IMGDlHdul9vXZzXyEQ5swa25R4YK/f8hTy6c66ZHwIyXJ4z1hmQHQZ8qfyUVvm0&#10;S2ZvzLP/rq+vpXPjnxdjV+88FTYNIxr3wYewIPJDdNHGhcRcI3tEFukdy+p687zpmrUv6bO37JbY&#10;xyNteC7mMPytrxi/9RXlPQfJb0GOXVHeb/icpeP3CltrWMK7/oTpkuNJ/1zDh7F0xjAn67y/vl3D&#10;ATAPTEhd+qF+Mj24tYfVNqzfqG1ox77M/LCi2Tonqmt1/LG3DWMSYF5vfrw0fVEG5yKLtXo8z+zn&#10;kTviV/u4S2ZvTH32ETQTWSyx+eix+yFOpTwSPTRsyLjIOklPnDhJr+FE1h4rhzOpY+8oP3Ej2dvJ&#10;s6fJudeJ9nhaXw0aNnR7X90f8mO457HcfANB8luQY4dMVTqYqqK8B9YNbHhtLQnj4LiRuYfjOQvP&#10;/x5gwNq1a9+R769n1+gjkWnadaLYuOvQ62+oPc5dd92lPoF6yRkz8XwnpjJ/spxxeK/wX2H6HDhg&#10;sON+J0+equfF7D0asaVOvytXGeqhwYnfJzJHZJfwNnPEflD09cw3ZeTBj4nmryBl2L+wvhhDwolc&#10;I4NEd821X9ZYkP6Rs3IWDfyIb8hkbZHfzp2bU264oaL8bofPGZ8TguS3IMcOv4n430Q4N6mfGzvX&#10;OpV6uWTrVVgen2fQL8Mq2LAgc8KOBXsRdNG17s5rO5GKeTRuhNvw/b315a1u5IjRrnv3nsJkVcQO&#10;90k9Q4ZzZCzYuTL+82a85dRJFqh/YP8B5VTGs/b5ie0eaMfcnHv3Y1e/7Q8ib/vZjV7wZ2Gn48pP&#10;fSYl5if2fcJPieaS95FfDk/Uj5Whi4YRzY7aOJJy9Nnoq61uYeImD0dkj/jrSdYeOfWwYU+E7BjK&#10;HcvNNxAkvwU5dshHqeejcE4Tzyl7HvOr20y2FoXl8bkwv3NjumfeCWl4Eruawvr3iTWuMSMx/r45&#10;449znzkL+t1333PDh41yaWlpegY151CTRyBt15a22F/H8s9fuOC8wfIzxk+UMaq5Nm3a6RnZ5NsY&#10;1pc3tnKrw/We3Xtc/YZig1T3HZdW9Yacx/ejhJ+FGzlH5qjL2ZjYxvrexo2jMsdY80QeezD9eyDj&#10;1c1PvtnDECNjhCPRT+enbX7q8MwRnf2xpHprngv7pPA3MvFvZDg/ZWd+guS3IMcOv9Gy842Wl3eF&#10;ziqZ7CU/a1ZYp+jcGG8O0WUXdO9bvL7IhxnZM2jcePHSJZebe96dPXfOnT59xlWpUtl17drdnTp1&#10;Sq/JI3BtecTHj59wJ0+c1OCvY3Wpc+yYcMzRoxpTf+vWrWrz0rtX32j/3n6tL29s5eTRh10vWnNa&#10;GPSaS6t+3aVVE36s/KOcQch+xzddi67x3wk66WQyRfidOmaHnmhOC1JmumpkjiZ/LEj7RHXZ52h6&#10;6xrpHyS1M0eeHfoID9ed8rKeBclvQY5dXt5f+Bxl57eIPY8NZc98qtfHROtbWBafaWLNDbpF9Nex&#10;ygqSd4e8UfTUyBtzc3OV7Q4fOuwOHjwo5x23lDPrOqoNMLa9Bw4c0LQ/fvXVV92+ffvylFHfG6iz&#10;d+9eZ3WbN2/hKlWqpHYp1GM8gqWJGYdAvqUtn9jGpJzv9uHH33HpNT8Uhrzu0qt9K7JHOZuvMucQ&#10;HnEtu34Yc97Y2wgXJpo/7GSKw5YM+xiv/51E95CfMrO3sboZCzlTJ3LGzMjsxGdb83yZmaGP8HDN&#10;KjtrVqJ3FSS/BTl2ojkJy8rHt10a3yN6K/jE1p4wLhjbFfd8YTedin0Fxo7IHHWPo+iq161dr/v5&#10;pk2fqbbW40SXfE+de3TP465XdknZTjd0yHA3b16OW7NmnSNv5szZuhdy4sTJbueOnVqHvZHUmT9/&#10;gdYhniRMkp093w2R9v36DhAbkZrqj5oxdu/ere1mzZrj5ucsdMOGjlSbl9Wr17g9e3aL7ciLbox8&#10;k/Rh49r1vOwcHYN648ZO0H7gxxq1P3cbd77jVq7f52o3uKqyx7TKZ9yizXfyEzYxsKHZyfjfYXHJ&#10;HP3jFPYa2xrzC8mahQ7c21dalYi9UL1WH+XJ99YhzZ4I9q2Uxt+l8J7CNa+g30CQ/Bbk2AWdp7B+&#10;+LeVim8Am5ni0M3516nwunBMik9DfGIXdf787IhdyvjxmepbsX6D+m7AgMddu/YdZI9fLbHRqe9G&#10;jRoj/1OMU/818CM8uHjxUtl/Wd/17zfQtWjZUnkRZuTMwOnTZykDbtmyRa/xewM3du3STfyfVxd7&#10;6nvdggVPu4ceekR5b8WKVdrHypWrtM9Jk6bo+Tc5wpL9+w9yPUQmRh+w5cwZsyJ1hCUZlzzsq1u2&#10;bKWySXTi6N2xo4GL3zr7u+wtrco5ZW940OtPHFluIrliPWH2ROVFfR+FaY+M0exrWKvYyxBL7w0z&#10;I3dt1ulawu/G/DzeunUr5MfQZqbMfwNB8luQY6eCA8I+Qp4szDfw6KPdQ9mjyGEKs54XdxvOHkzF&#10;nlQ/O2IjAzv2Ew58fNBQ4cb24iPoETd16nTRkdd1TZs2VTaD0bCfwX93u3btlf2GDx/l8ONDfULP&#10;nr0dzEd+F2FF+JAwbNhIV6duXU1rP1Ju+W2lL+SNyCDhUfZBNhEGHSH+0YmXL39O+54ze67cR0sd&#10;w+6hl+yVhHO5f/TW7IPEfgYehh151toNI76yq1U6Lf1HzvGxM3Nat2mb9P8l9kRy5g/zX1p8ERg3&#10;InM0/+HIIP3fYHrViNyx84jkZ8y0a9ch9PMYcmOZ50bWvSD5LcixC7Pmh21CVkzFN8C+R/bNx9Ph&#10;+dem8LrkOJP9BLH8PhbmHRg/qp2M7HecMGGyMuLGjZvk3Jr+ronw4rJlz2p8X4sWynDsg3xi1FjX&#10;vsMDbvDjQ0UeOdY98cRYt1Z02N26PSZnHHYQvfJat3Tpck1zvWTJMvFb2Mm1bt1G/fDs2LHDjc/I&#10;dCNHjtZnQX45Zw5M2Mptlr2HsCMM2Kd3P+l7nPbDuPSBzyL049wDPDlz5lNuyOBheo+v7XtNuRFb&#10;bpM5opPnOes0vaKyt/t7RmRvfNvYTdMfslzvmTvx5pJ9kZwXXlrkj8gdsbVh3yf8yHpFIA8/kfYc&#10;HQZ8rs9eu8EH0Twr88f8X7Js2cqk7PCf//zHJQsF/S1K1p+3vKB9h/Ur3toYJL8FOXb4rVe8b700&#10;vXPWD/gxtJspOS70r+OxruEW9qTGKitMnpcfJ058UvkO9nrxxZeU4VatWiNcl63pZs2ayZ7GHW6s&#10;7Cts1bq1O3z4sOverYe2wRcheQ880FFttFetWq1ttmx5wZGGSVq0aKnnxYwZk6Gst2njZsnv7LiG&#10;iWFV9kzCjth5Wx9ZWdl6TR+dOj2qae7h+efXqN4ZmSh6bfTUyBvhRnxUGjcyLw1af6D8VKvO+9G5&#10;Q2+NHDE/3Ghzy1k/nB1p10HHJm80Hz/sdSRNvvmHHDb7W312zvZ+cX9iP5e8h3j2Ml52K2za/xtX&#10;2H7y084/VnhdsdbUIPktyLHD77xifeel8X2z77Eg62rQ62hFGB8/fNWr14iedZKKZzZ+3Lz5Bffc&#10;cyuUvfDVkzFhktu/f7/6ekQfzJ6/++5rofsU0T937Piw2rzUq1dPbb87dnzIrVu3QevTDpklfiJJ&#10;U8Z5OF27PuayReaHfTT+GbOzc1TXPG3aTPfyyy8r+40X+xnaETIyJrmTJ09qmr2U+/cf0DR2PaS5&#10;T/ZeHjxwUO3E0VPDjchSeS6bH+OntEq5SX3VWJtYMXpudNeJ9g2k0n94rHvw5sGKrFMEr29I9j0i&#10;j6RuxFfPKeXH9Kryf0ECfoxlL2Oc9u9//9v961//0vDPf/7T5SdQn3YWrC+LvX1SNz99+uvYPVlM&#10;n9Z/afxdDe+pZNb2IPktyLHD76tkvq9wnuPPcxfZ9wg/ctZtyJBFlz8ao+U39jKCN42ONdZZ1946&#10;ls7vWJ988rEjfCjcdUX2Plq4fOWy7BuMBHTFnPv3wAMPunvvbewe697TrV691p2S/YWcQdNUzoKu&#10;JX4Kc4Tl2D9JoC37I2n3zDNLlEuRC8YK3nNkrP0dsdxfNM/SxBLw9bh06TI3eMgw95qwqc0B8fwN&#10;5if7qOO8Pm9ZQdLY15jdNTJgzr3m7G0CPIkck7+ZVPoQT3Z/+PghIGeEJZE5snZ5zzTEvtx8PTZ7&#10;JLavIsZBz1DjnrZu69H/p3prYzC47B//+IeG//u/f7jffvt7wvC3v/1Ny6nrZT36MY60PqnjD97+&#10;k43nb8t9MqYxZPgbH/83vjzPTZD8FuTY5fmdhs9Wdv6WsbvOzJyq/lSQOZWkTCXZmlkWyv3shh41&#10;v8Hf1q5hR+Rfdl2Q2PS4sdoYP8Jh0XCbAZXXJJ+9iXBgenqa+suJ1rvdZqDYZ3M2YJ/e/aN9NJYz&#10;qkeJnba/brJr7FyQHxLHC3BiK9lH+Yc//EH3+fGbTRgydHgePnxh/3fCTkc1rN31fZ6yeN9RrDmy&#10;vGpy1k7Tps2iZ17zPtiH2qRJU2XHw4cOxXw/8cYqSj7caDpr9jrGs7c2vX2LLp/EfX64Ol18qqff&#10;9T9u8fZ/qPzOGA8e/PXXX91f/vIX99NPP7tffvklT7A8Ykv/9a//62hnAc4zliRNPnXo0xusb/oh&#10;n2vr0/q3Mm8773ghP5addaY4mCBIfgty7OKYy7DPiv23VNT337fvQJVBFmWdqyhtjTFgNfgnGQMZ&#10;R/kZydp6Y/b/oT+OMFy6W7hwUXQM6hmbWht/n4mu7T7yxF5+lDRnXWdmTnFnzpz9XQZIndv8SDn3&#10;tkBsrdEnw474ZYzKC3395cmXPuz+uH/vPPrTZ8+eU16El5C1EcOM+AXyf2devS0c6S+3axvDYpvL&#10;ZLHVRyaJ/JV4p/jDJJ+2Vl6U2O7RH3vtZGz/I/JHbGlMb02bhu0j51vXqHEx5vPDjdWr/Y9Lq0z4&#10;RfjxF7d6399V1ggz3rr1k7t580f3/fc33PXrX7mvv/4mT7A8YkvfuPFnbUdbWM/LdqTJpw59Er75&#10;9jsN1rf1w7Wlv/jy9/6tnrX/4Yebeo+MBZeG/Fhx17wg+S3IsYu6zoftK+7fTHG++4YNG4X6a1mH&#10;/eu399r4APaBg4yN0MnG0tVynkuecFunq3v3YnEWjCb5B/YfUC7DF3eeurcZzjuu6YO948fLu3jp&#10;fdlHeGegLfnePuKl4SfOwYYhCeiQ49W1sSg3/fjTG79w4xZ+q3p0m89YMayETyB4kd9r7Iu9vGTv&#10;BS6y81VisaP1bYxo78441h8bJ/vzN2zYqPp8nhlbcH+58bx3HNKWb+N6r60u92jP44/hRHjR7GTg&#10;aOaD2Orans9qlY7H1NuPX3RTZI7CjcKMhPSqP7knV/xVGQzGu3btS/fJp5+5K1euugvvvOcuXpRv&#10;RMKl9y9rsOt3370Yzf/o408crGcBTjS5IWn6pM7VDz9yH1y+ekdf3nGsX/IIds343BOBvrhHOJNx&#10;fvvt7yE/VlCfQ0HyW5BjF+f6H/YdcmVhv4GlS59LaCdg61RFjY1BWPvhC+UlYUPsPrANwQ6YgC0z&#10;AdtgfyCfOtQ3mxFi7EIIxpmct1K9erpb/fyaPPW0XDnvUnRc+vKOb/378/z3Z/di+f521q89n12v&#10;XPm8+uzJEF88BMv3jmd51jfX9DPj2c/kPMEbEm66TqN+UJldvO8JVkJHy14/OMmCd68fbSNyx5PC&#10;j0fc6PmR/Y6wEkxp7wxGg/WUC4XNY7G1vU97BzbX5GMThF90bMHr1q2n5/FofSkjpj/jeWNPvb79&#10;v0C0zP//gpRzX9xfIn7kOb3+wpkLr6+edy+Lj/Q/XtA5GJH1ZZQpvXPb+Qn01T+L3PFH9+iYm7oP&#10;EZ0wcj3YDD7Mzb0gZ4ifdWfP5sq8n49yHPkE8ojPn39H68NzFmA6mJFAGmakT1iQdmfOnBPbqNMa&#10;LM1Y/jzvtd0D4xlrfvLJZyp/RPbI/sdw72PFW/OC5Lcgxy7s2h62q3h/IyX5zvH9eJ+ccexdb8J0&#10;RA5pDOLlRrgoNzdX/crgsxp7DsLx4yfcsWPH9OxozkHBBuPIkaN6TT51qH/mTCTgswY+Io6wZq6b&#10;l53jGjZqpHWs7u/lrN+50TLKveNb/+SdOnUqT/Dem90L9a2e9cW1pf0x9829EPvL/P3Qt93P3JWX&#10;XHqNayKz/FLCt8qPvTJvxGUmWInfaWNG794/0t5vs2at95Sbek+85jo/8ZPK2KpX+9ntPfqVyv3g&#10;OfgOHjQWNq5NxPrmGwif6lWqVJH7rqYxZ9XwTq0PY2Plf3hSxrH/BRgvVrBy2JP749uKxY/IWpkD&#10;5gKf4cggzUePdw7MzyWyx4HT7uRH+u416aa7t91OsW1a5o4cPeHGjZuouumly1aIf/dRynijR2cI&#10;l3YWPu7lXnp5u3vryAlNkzdUfLy/8cZbWi87e4Hbvn2XyhORKyITRM88efI099RTc8WmaIvY2U9S&#10;1oQB+/YZKD49x2sZfLhu3SbXrWsP8eM5R9NDhozQe9q376Dmd+/WU/zJ71Nm5D64P1iUcW7e/DHU&#10;W1dQmSNrYpD8FuTYJckD4VghbxbkG8DvY0nakXrXvtKajsWN8AZMBD/g2/rgwYOqT3311VcdYe/e&#10;vXpeM2cxczY0Z6qQpgwWOHDggHv99dc1YP8KXxJgTQJngNx/fzvtm3qHDh3SNGUwH3XJY1wL+MbB&#10;hzb92xiWttjuze7T8rkf0taXpcm3PIsZl3vmvsjz1iFtgTLuh0B6+jMnXPW7L7q0mldcWvoXoje9&#10;4XpO/C4uM/E9mK7WWJGzVbDNsWv7ZrARQe5Y8+4raguiulnZ11c9/ZZ75fDnKhuMsP75KOvDubC0&#10;8bTxPu/Uy/rUa9++ozBjZfFD1N1VrVpV09gWedkYnvbzPexp/xcYb9v/DOQbm8Ka8GM8+SPz4H9m&#10;e3aLB069LnNwTOcBfoSn72l8xTX90zWHLv+d968pm3LuT+fOXeVbPCDnSD4mMscP1f8mNkHwIDbl&#10;e/fud1OmzFBbpeHDntA08sZ+fQeJb861KneEC+FDuPHKlQg7Xrp0WX02IRtGdolfz3XrNrq50m8r&#10;8dU+ZswE9SFKXx3EB/3TTy8R/58ZbsXK1cqryCH7yd5rGHXKkzPkTMzHdYwePfrIuZgLVZYJn2Jf&#10;Y7Y5odyx4q1xQfJbkGMXZC0P61a8v4sg3/lw8cdSWs7WsDUxyNi4MarzFJ0j8iI4AH6DsYwTYcQd&#10;27dHw7at2xzhZfFtSLx9W6QMjqQuLEmgD3iLGA6FzfC1zRnP5BvnEcNglFs+7emPwNiviA0HAT/c&#10;xIzjDXZ/lNOGPq0P6ltfdn/etna/tIEH7dpbx5umL7sH6jJP4+YccdVrvyP22p+6TiO+VD1vPHkb&#10;7x3ZI7pZO6OP322CV19LvW5jONf6iIQTagei7FjlZ+HTH92C9Z+rfBAZKewdj/XtPdoccM88K+8F&#10;lq9cuZLaoBPjw4h8C7wX+uWb8DIoaTibMhuX92f8zf3Apvwvgvwxv/rreH8Ty1/+Xubg9O25YD48&#10;ofJZt2r7dbmPQ7pPdd8+YUeR+2E3n5kZ4clRI8eKj89nVA+Nzpnzgg6+fljOoVwk5473URY8cPCQ&#10;siL8OWtWlu5rZM8jTLdk6bPKh4MHD1eZ5eOPD5M9q33V99NMkS9mZEzWPvEFRd/Hjp1U2SR8CbsS&#10;KINFYU98yY8aNU5slJrJeZHv6RjszwxtZSr2uhgkvwU5dpBsEI5dsf/mkr1/9Nbt2j+QRx8Yb52q&#10;CPl+dsS/9ozps1RnDCd06dJdz07hDL2hQ4Y7/GBPEL/b+Dvs+OBD0TB16gzXWdbFTZs2K5/NnDnb&#10;jRk9Xs/emzJlujIIcsNB4kOQ8/saN27smje/T+Q900UHODXKf0+KPvBJyRsg/nI4GxAGZA1nbM4P&#10;hNUI5HE9KXOKXg+Rcuxu+vUboEwKlw4T2Q68xLnTtIFve/TopW3nZecoG65evUbyeov8Z6DeK2w4&#10;adIUPb+a+zdWZLzRo8fpPZHH/dA/bbmGw/A5zjnVM5455UbNxjbnUlJ2hBn5rUZny95HWDLWuc45&#10;G/8c5aTWvW8pP2IPMmvldR0HHT+c5mduY2li2J45sEAe88u9t2nTVs8shCGXLFka5Xnmj2CMSf8w&#10;oslkYUQ4m3KC8Shp3jf1kXGeezs3Mh8JZI/5/XvjmaunXZA5uODurveRzAt7QfFhBEcec/fc+767&#10;r+1IN2PGbGWyB+X9Y3uCz1f2PCMHZM8i8kiYbfGSZ92jUrZ27Qbx47TcIVvMyprvegtzthH5ImxJ&#10;e2SB9PXmW8fcxo1bHDronTv3ROtdvfqRe3LydAdXbt22U76jaarDJkYnzRiwJv5Nv//+ht4DY8C2&#10;9GX23OE+x3ANC5Lfghw72fodlod/G0F9A/y+o7fO7zpVEeoZPyIfgwWQl7BPrG/fAer3b8TwJ5SJ&#10;2rVrL+tfN2Wk+TkLVWYCf8zNmqe8Bn9hNzxc6sOHCxY8re1GjHhC2ZE+0YnCcZzH3Lx5c0ffw4eP&#10;UuaAO0iT9/DDj0TOgBFdZhOx4XjqqTnaJ+W9evZRHoTVuGYc6nANJ3JvL774ksjS2osedIXeJ33D&#10;fpTPmjVHY+6TcfD/TQz3wUGMz5nRPAN1evXqGx2POvgVYjzGZgxizrcmj2dDFpdfORtyPfzU2H4/&#10;tb2Wa/K93x46WfS01Sq9KWx0yY17+s9u0aavlU17ynyYDpr743l4TuyRYGiYsZ+8S+x+jPe7i1xx&#10;/foNbsWKVfpOO3To6GrfU9tNnzZD+GeatqcPOJozdsiDBak/Tf5P4P5gfK6ZW/5X0G9DeNo4kvdE&#10;OUwL2ypL54MdvXse0WUzJ8Te+fCmmZvROd+Jjcy52/wYYcjmD+Tou8fPKzzGuUDYuLS5v63qjOFA&#10;vsldu/ZqHmnKDh0+ojFywM2bZQ6lHu0vXrwk+yzaqi75t9/+rtyJLNL6wy5n2rRZqicnJj87e6Gb&#10;OnWme+WVPZoPf6Kv7tNngDzPl/K/1ot6j0eOHNcxjBvxS2m+zYP6rQzHDW6dDpLfghw7/OaC++bC&#10;uU8898gdSzs7Gsslim3tTFTHW2b148XUNb01az7n6XG+84IFi0R2Ms4NGTzMDX58qMhsO8j5I0NF&#10;NrVM1zyYC34aOHCwckLLVq1E3vOUI0Y+hewQfy8wKf6naYeOs9G992r7USPHaF3KYBKuCQ+LHhf5&#10;Jv1w3gn80q3bY9rXI490ctOnzxJd31i5p2Fah7pc0459euhY4TkCekH6J0Y+ShmcN3/+Ao3hTPrs&#10;26e/Pivp555bKeP1iF7zTPSfM3+hjsc5Ncg9kXVSD7kn7dkf6JWxJdJX+9+FcRK/3bCkf/9fZL9f&#10;hIsGTv0i+r44FwfehdN4/jlz5uqz4qeR5zRW5h6HiEwMuWOnzl1ExjlZGXHc2AluvZzH2KBhA6nf&#10;VO2tuV6/br3yM6wMQ8OLsClzShpm5po9C4yDbJqYPGNv3vsp0VmzFzM/Omtkrjw/MljmgABL+ufC&#10;P3dcY4s9PEv8PKbJnlM5v7FW/a7yrg9HzyGEIbFbZh/hsWOn5H6uaNqu2R9JHoFy8qmP7vvGjR80&#10;XBZZJVyH78XjJ05rHv0iR6Q+bemHgK0OjHnp0gfum2++i/ZJPcq/++5GtH/6szNljBvD3/LEv+Xl&#10;eX6C5Lcgxy7P7zR8trL/99yiRSv1fxxr/Qkqz8t5RU3DgP4Qr097Xiun3cqVq1S2h/wR+RnymKZi&#10;E7Blywtu9uy5uids1arVyicwFvK80aLfhRGwD3jssV4yv9PVTpl6Y4VNsJ9AN03+vOwc2Y9WRW0L&#10;xo7NED3zQOUe9KdjxmRofewZsEOAh6izatUa1ZPTN/fCfkz6JU1s49CONuz9o184Bmbkmv4tPVR0&#10;hPRFoC/awZX4DOrff5BbI+cVwqA9fOPB0zbeuHETdP9fq9atlbNhUObLr6tmbm2e/TGc6eUkfrfh&#10;JWRtsXipVp33VbaWXjVXbUNMVsw8DJD7xl4DOR/PCWvDcH1691OmhPlg/YEDBisTbpTzxZs0aaKM&#10;D+fzfjjDs23b9vr/gXE78wA3s4eB/wVIo7OmP/6XoB79InOF82Hv9vId8D8HLI29jNrKyF7aZCyN&#10;DYrNAfLYWPp7/xzGu+YsqU2bXoieLwOTGffBasmC1SfGXsVsVpAH2jVxQfr0j+kdw8YJ5Y1lf40p&#10;KicEyW9Bjl3UeQvbh387xfkNbN78kvjqaRF3PY+3FhVXvnEb6yrB75M51nVB6nrbWzsY0ca157Jr&#10;ypo2a6pyKWRFyCDhSPywHDt2XLlk3dr1GuMPsLWw05Ily1W2lC1cCLecOHHcoas2m4FOnbpoHfY4&#10;1qlbR3xQNxK70hyxI8jUvimnL64JXNMe3zBcMx7jcx8jRM5Gmnz6J025tYPvLNj9UgYHko8M7DWR&#10;m3Gfy4SFaM9469dvVO7LEBkmaXiH8Xj+WOORDyey57GzyPGoz3zh65A5t/m0+Y0VGztiG4PcEVYi&#10;L1Zd8iK6a2yN33SPjf9ex2Csjh0fUiYcP36ishrPxrPC7OijYeMxwuXsQ4D3Ycwd23dovOuVV5Sf&#10;4XreJfLHsWMnuE0bN+v/ChF+n6B1jNFhcfqDN1dIf92799C6tGFceHrPnj0ReaPMC3PCt5dsTrKy&#10;5uqeT5410TzEmx9vPv/P9O07MKr7NSbzcl+itNXPb5yoL39Zsj6L8/cv7Lv0r69B8luQY4ffZun/&#10;NivyOwpab41/vvr3/6w6NltLWf/V57KssZfFTx8BDrG0PzZfzP58a0dbYxlvP9aOsRjTGNLWXLuf&#10;Pbv3uLdzc/We0DtyFri1JX3u3FmxF9ikjHX69OnovZJvdYk3CktYOHP2rNq/NpN9jnNmZ2l/9E0/&#10;Fri28eiLMbm2tI1t+ZSRptza0dcbbxyKzp317c2jDfdFTIj0ey76vOdEFskcJRuPtoyr9yH1aZMf&#10;RrL5LkycVvmUyh7vrvehshjvcKHsLYAXDx58Xd87afT6sDcMDhvDlfA58kkYkX2Z2SKXhL+pAyfz&#10;P9U9su9xgNgqKb+LrnrNmgiXw9+WT1+EAf0fV305ck/ObmQ8+mMPpn1/zFFB5wSdOPJXWJpge0JJ&#10;53fOeHecJcVvXTJWKy3lFfl3OXz237khSH4LcuzwG/j9GwjnovTNxa1bt2TP493KBey9y+9alIp6&#10;6tf5Ljk7rdIvwo8/RfWOrK+stci3WH/NJzMx1/5APatr9S2mDbpTdIUE0taPtWMsODMRP8IkJqck&#10;pm6soMx7m0VjlXvzFi9epnpi1nRvftBp73PGStv9xZoHf33j71R8L7H6qFHjg9s2ISf122W8Cxfe&#10;cbt37dY55X3AxcbbxHAU7Iw8leDnfePoBg0aKg8a7/ONGJdbXiSO8Lmfy/0szbwxPwWdE2SwtteR&#10;mIA+G6aMNSfx8tDB879i+Dtc+n6Hw3cS/50EyW9Bjh1+E/G/iXBuInNT0v/n++e9Q4eH3F1V7ypR&#10;3fXkZX926ZU4c/f2ubuVf3Zt+/2gci90n3Aee+/QB7J3kL1ixFz7A/WsrtW3mHbIlMz2lrT1gw6T&#10;dowFaxo/xlrbLc9iWNIfvNzkL4t3zdjMPfrNeHXi5Se6l3ht4uV7+7J0vNj6sHKuLR0rjscyqcjv&#10;Mf5ahB3/GNFte8f3vg/SxrzeOBHr43eI86zXyh4Ab5uCpL334J2ngjw7+z1Zw8zGurD6a/Zf9u07&#10;MGRHkb36fwPD69I7J0HyW5Bjh99k6f0mS8O7KU5uLMi+osuXP1SG2Sl7/L3rr6ULstblpy7nD9es&#10;KeftiswxzXsmiMgAc0U/jI2D+VdGvoJPFGICtsHegI7Uzj7Bh54Fa2e+9sw3H+W0p3+YEp6EI+HH&#10;RDpFm4tUxsx3evXqev+p7Le09JWfb8Fbx/Y8em1j8POIfTGxty7pVt0/vS13lHMh374eLY/1/Ma8&#10;Fnu5jrTlW8xZP/UbNHCHREZped748GHxAS7Bm+dPx7oP/zMku0buyN7HZPWSlfM3gl+F0vC7F95D&#10;uC7m9xsIkt+CHDu/8xPWq1h/S8aM8F1RbBP9topFuZ44YbLalXrXVFsLWQOTrU0FLef8YfixevpP&#10;btfha6oP3Lp1q9itvuGeFxvfbdu2qa8T84uN32n8VxPIw5ce4dlnV6gNMWnOCcGXH/5v5omtCjYo&#10;2dnz1a8ftsVbtmxR/4j4WoEfsZeFH5FPos9mPyRyJZ67OJ7ZP0foV9ElPvpot5TPr3+ssnKNThZe&#10;gv3N7hp29PITPmgeHPyNcCN+Ho+4GtUv3jF/sbitIHn4Mho0cEjM/6VgMOTFBNLmryBZ//YO2rZt&#10;J3bxze64Zysvrpg9nNjHhetNxVpvyvL7DpLfghy7LL+z8N6L5/fFuBFmNB9rv/32d/V/hj9cS8eK&#10;8YcWK5882lrwX1u+xbH6+Pqrr0Vv3VJlLfgWOXNG7DNu2zzMWvWV4wwPzslN1brGOnv03BfurbNf&#10;KK+xXwybBOxV8XUC3+HjumXLlnpGC+zImSac9YKfZ1iRPPw2w14zZ87Wa3SN/eRMFWwkOPOkRw85&#10;P0X6xUa2hfSFz278qHCmRdDsyFxiA9u+fXi+j31XcCLMiI6WtN8mJGMh52NfuC1vxMfjcff8jq9T&#10;9l3affBNYQtv18R8L3Xr1tW/Ea7x+8O5ns2FyfDxjj/OReILiXYNGzXS79TbnjT+IWvWrKl1unV9&#10;LE///rqpuuaeWrdpq98Z44e/7cXz2x7Oa+rnNUh+C3Ls8FtK/bdUVufUmJEYboQDYTnOYPjll1/0&#10;rC8774vYG6zc6nJted56/vTNmz/q+V7E/jLa+/sjjzNsmzdvIUz2J/Evc9LNeO6aS692U3TLP0Zt&#10;WlKxppmMBhkfsj7sDmBH/CJy7sV48aWIn2fsWfG5De9xvgm6Z9LIpTj7hLT5XyaNn761a9cpO6Kv&#10;xh80zAhTYldr+m/q7d2zV/XjyB2xobE9jyUld2QeYUfYIxVzWh76wEcPv9nYE/ufB0Y0WSNx7YaX&#10;3b7jReNG+w79MTre6rKfYIPY01gZdtO8K86JtjyL8T8OEyKLJD1afDpyDQfTFwFZo5Wz/7Bevfp3&#10;PKP/mQtyvWXzFh2b8eFSY1PGRb7N/dSuXTtkx3DPY5n5BoLktyDHLqucE9536pnX2NG48ddff3Uw&#10;HecwfC3neRG++PIrjTkvzBso49rqWdobW336IE382efXNHzy6Wd6TZ6VW1/++JtvvxM758u6rmXO&#10;WCP2LF+6tGrfSIjwI/JH1suCrGnx6tq6+7HsN4Md8Y2C70FkjuZT+aWXXhZ5SQc9u4RzWViD4T5k&#10;oxaOHz8hssrWetYJedRB7kgaGSY+VcbLOXQEZEcEyrbKuSLYzrDPDrvrRPsd4z1DUfORW6HzLGo/&#10;5aU9ex1jcSPPd3e9KypvxB94YWWN9s3lJ24s3xm22JyTgz08+ml02flpSx0YExmk6bdJs9+CMpNX&#10;Wl+peH+wqMk00YszLuxaq1ZNtT9nDOzHOf8l/I1P/W98OKepn9Mg+S3IscNvKfXfUlmbU2NGkzei&#10;pzZu5BzXK1euyvmw74utxkV34Z33omnyLN9bZnlWfkk4z/Jof/48vmwuanz2bK5w0XkNlFmg3Nr7&#10;4w8uX9V7GjrsCVevURtX/Z73XVr6p8qPyB8HzYj4YU7FWkcftnZu3vyC8t78+Qt07yE+lTnHBa7D&#10;nzPXu8X3CrbR+ObDRplAmr2KnF1MnaysbK0DO0b8N2eov2b2O+IHmjNhqENd2iNvDIob2e/I+o5O&#10;MVXzWV77yV7H/kZ8gR93s5//tsDzZd8Zse3jJeb/FkIs++n09HQ51zBL7a05g4b0ubffjlk3Vnvy&#10;qM/ZM/7ytWvXC9PVUnsbu7eCvjvkjLAh30/jxk1cjRo13AY5I8f6Wb7sOf3b4TuzPJi1b99BITuG&#10;sscy8Q0EyW9Bjl3WOCe839SzrrEjdjHYsqCrRleMvBFuhPVgvDNnzrmTJ09rTJp8WI+yU6fOiv44&#10;Ukaacj8TeuvRD/U5R5Y0werT1sayMq5pT7B6xL3lDLe2Hfu76rU/cmlVr7seGV/pGljYtc7WL39M&#10;f/jgZj8jPvSwWcGfMxwJ13HmCWeo4L+Ha9L4ZeRa01J///4Deq6J1UH/TUDnzTnDMCK+nTn7hLxt&#10;W7fn8dnM2p7q5/I/p/8a+SjrfciOn0fZxj9Hdl2z9nsqc6xW6UzSutZm8QvfO/xB2Xu1/RHGcbqf&#10;V/yJIm8msGfBG9i3cTd2MXJu5DOLluh36fUv762bKO1t4003a9Zcv1HupzD7JNi7yP8e7LUkxnel&#10;PXu8mG8O+emtW7fKBDuEa1Lq16SyNKdB8luQY5eldxTea/H8jfrZETsV9hU++mh3t337Lj2reOXK&#10;1aJD7Sx78Q5qjHyMM4znzs2R/XAZoq8d795865jYg8zR/e7r129WGRr1Wome98UXt2m75ctXulfF&#10;/y/6W9IRvW1n7Wvs2Amun8gb5syZp+y4Y8durXdQ9jdSb8uWl0U+18s9Iz6r4cZVq9aqrrhy5Upu&#10;0yvn3ZOLP9Z1tbgYy9Z3ZEBmo+Nf222N1xg7Htb82/Y8eco8PEC+d13PU0/aGkfY+PHW3Hj56E5r&#10;13/Xjcj6Mum6HasPZKqhnXVydmzc8ZMIO/7xfL7mec6aGy5d/Iem3/WL65l5U9mMd823AL9ZsP81&#10;+J/E61Oe/zWQT1epUkVttcyvPPkWvG2sLbE/UN/yrC3XnDGO7JF7KQw/op9u166Dnp3NdxTr+4qV&#10;10nqLl36XMiOoeyx1H8DQfJbkGOHPFY8PFaW5tXPjiZ3hB1HjBijZ+wOE30rv/1wInyH/A8ehB/H&#10;jJmgYcPGLcqLGze+4Lp36+mmPDlDGW/q1JlyPklvZccVwqCDBw+P8ihMiEzx4OuHte3ixcs1Hjcu&#10;U8fj3F76Yez+cqYa60kHsQcYP36S5s2bt1DsSuu5jaIHY42Fu2A7OCvWmlTUPOM3xrBgbOeNrSxe&#10;7K2bKE17k/cU9pl6T4z4p767/geFmhPsGoLw11LUd1WS7fHJU6vO+8qObXt/nHSekTfCjfgOJaRX&#10;/dkNnC77eIXRYDbjN/YssCeCfRD4+DSf8uyBJbCPtm69errXljQ2VQQrNz/1XFtby/PGVk6etSfN&#10;2E2aNHWPde9ZKH5EXo28saDvAtuyDh0eLPXcUJZ+58N7LZ61Pkh+C3Ls8Hsqnu+prM2r8aP55cG+&#10;ukuXx1zHjg+5XbtfVRsR9LUD+g92OTmLHLpsArYjcBwMSEDGiGwSvjt48LDWOXXqjNZDP0tdyjIy&#10;Jsu+py3ahv2L7GmknDz6XLhwsZZZ20OHj2j+u+9e0vPOnn56sfBMU9Wbt2nTXm1X4EY4zPiuoOtV&#10;futb/97Yy3fetLeON02deMFbz5vO7/35643MZh8evmKOOnye+8uTXWPTgE1GsnoVubzTSOyrmeNj&#10;bsqyr5LOVYQdI9yYVkV80IuPgL6Tv1ZmhNlgORgOv/DocPETz55EfH5iv28BO/0//amz2Fa3jNrn&#10;U3bgwAGtYz7qybO2lBG4trS3DXb+Vs7Yo0aNcVWrVtV7QybK35h94/bO+/YZoLJpfDmxx5F8YvxM&#10;oa/27nG0Noli9j+itw5tZsL1qbSvpUHyW5Bjl/b3Et5fyf12+PmxabNmbsiQEe6HH266NnI+LXJI&#10;5ILIDbF13vfa6446kyZN04B99KRJUzWgw87Kmq/1iFlDaA9fvrrvgPhInOa2btup1/R16dJlZcIr&#10;Vz7Udl2kLuPsP/CG6/jgw3oPyDeXLVuhMk78Jw4ePELtwBcsiPiri7WmJVqfilLmZbqSSBf2XjnL&#10;JOJr8KiyzQv7v0vKNd6xsGVg7cfu25sfpvPqsKunRfY61q5/KV/zxDcze/V3Km9Mq/yT6zTye93b&#10;mpsbObOI+Ybb4EVYDr9P+JU3n6H4DSXs2L5ddcq9e/XVMjujiLqvyJlAxFbX2lps+d465GGzZWPR&#10;344dOxw2Od279Ygpe0QmXb9+fbWfxs8O3wv2MQSukTsWlB35vsIzCkvutz9cZws/10HyW5Bjh99M&#10;4b+Z8jh3Xn6E8zZvecn99a//K/bEma6ryCHZBzl06Ej3oPi7JmwUPfW0qbNcm/vbqpwSltywYbPq&#10;qvuILMLqHX7zqJZTFz+O06bNcrt27VV2RL5Ju/nzn1YbHWy7GZtyxlr+7Cq9B/ZT0h86PcqJfxU/&#10;QuYzfNDAwcWmqy6LrJS1+rq7p/HV2/KwI656tVyHbrUgz4LNK5xekDYVre6SF0zmeMRlr7+Rr7my&#10;/zee2fytG7fwW91rwZlFc+bMVWaE+7p27a7yP/htzJiMqP9PyjiLqH+/gepHvm69uuovinf10ksv&#10;uUmZU/Tcom3i32nixMny/99w9UU/a9YcLYMd6YP3Onr0OPl/7FnlRfrr33+Q9ksdAjZbixYtdrNn&#10;Zykb7t+/Pyp33Lxpi/zdNo9pO42PSfY65sc2Jt73AjvDnaHNTLhGlea1Nkh+C3Ls0vxOwnsL5jfD&#10;y49md23ny7AX0h9++y32mTP+enZNfUtbHCvPyogZn8D9WNpi8j744KrquIqyVsVbw8piPoyIvW9E&#10;j3pE9+IVlBt5bnikIDYOQc0V7x3WiDc+OlBkXwRLt2nTVs64bKe2HLS1EK+PePnNO3+m85xW5Vzc&#10;8f1tjR3R/SIvZ7/FunUbHPZiyBzRUT8sPsinTZ+p7IbP+SdFVo9veWzyOcuI84oGyv9L2FmvWvW8&#10;cl6vnn30rKOcnIVybuZq9TMKG1J3vfRPP9i/jJNxsH8aPnyUXsOV/D/GNXVgWJgRP6XMC3p0fDM+&#10;+OAj0X0hEV+SEV+l/udjjhO9D3/9eNd8f5nCwuFaEMxaEM578nkPkt+CHDv8NpJ/GxVxjrz8yB5I&#10;AoxWUsE/nt1DrBjfQtxv3z4D9QyUeOtQRcpv1y9iH1Ot0ilXv/VVt3bX9/nmGu88YYeBnxVvXmlJ&#10;Y0+BXCpWgAnRt6udj8jGqMMZfPigJp0u57FwBh76VvSxyMnIxya4IM/HnoBqlU4qOz40uGAyXeNH&#10;7KHgR3x8txafnuxfHDJ42P9n70y7q6qyfr++wX3e33ENTRJAehQUoUQQRFGRvlORTpC+E+mlERBp&#10;pBeEgPQgBhEUpe8FBAQEQUURFUpBLetxFPVUjXFrjHvnb+7Mw8rhJDmJh+wk7hdzrLVXv9feZ6//&#10;ma3GsMQfQRuRFRPHCAyIv/ju3XqKPLen5uEpVq1WVXwWzHUzZsxSv+B9+vRzD4uvejAgWBMeI/7C&#10;wXL0x484/ujhXeLLfuqUVxUjtmnTTmxuBqrdDe1sHeDG5ctX6D5NE0wK3gV3wlcszF4VpS1rjvz1&#10;RGdUST6Dw8RvYc5dkp9JtLZwvxmGHy0FoxUH2Xykhgv9skR53pXly1fp+V8U3aqinGsluU/7QQF2&#10;zCiXPC8s0f0QZwT8lajuTpbBR7S4I+i9GQ+LcjCL4cVE9t/w7YjNh94dNsLgHNPXBIfQ15fDYwtc&#10;vXp1wY2PaF1h7rdhq8AvT0Za4fUB2D/Dj+fFFxNxi5ARL1q02K0U//BHjnysPgfateso/jVnugUL&#10;Fql/ggcFT27f/qFiuxbCT6wl+B7bGmIdtW3bXuXb8+ctcOvXrVcdRXiK4EDstF9+eZLKpBmDa/ic&#10;5AcMGJxDQ8S//SbZv+ZK2dnZaiND7KQKFSq4PuK3lDXzbOAJ3sl3wMYGz6MzHZ0H4Z4H0f4n3v8w&#10;8VuYc0fvQ+L3IdqXYF8S4bSSVuY/K+RbpUHGaufinUoHTLuaI6/eV+TzHZxGvGTDXXdqrTYu84ET&#10;wCX4Iwf/vdCnfwxDYo9Ru04dxYL0wY63sGsDT9aoUSPPfmBRsGUi/EiZYVjmD3iOe3WfW/crHM/R&#10;7hkcdvHiBaXloj/YsmUr8UEwXGNUvvfeVvFr0C3Hv8AJ8RsfxEAnPXHihMYrIl9L9B3hMcKz5JpY&#10;R8+K3iJxjPBFsGrVam1LH+y2KRs0aKhiQlJwIj6ByA+S2JjoET8p64Dwe4XfoM9Epj5r1uv6PhAz&#10;kOfDc7L7uJMp/GPiLfq/8ygfnVsl5R0IE7+FOXdJ2f9oHdG3IBXvwLlzn+vZj77VnTzPSvrYYBl0&#10;HatUOVnkfQArIectjnsFH8BPREaLjNz8vPhzI2NGvpyozm+XX56xC4qRg20w/FbeIYj/IhCYsl+/&#10;QbH98LFjYe3XWaPxHJFZw3c8Ij4c4Zkju166dJnEWsJP40HlH34qGI5reInkIfKUEYswIzND4jTt&#10;cydPfarxi9CdhKxs7dp1t/VjjG1bxV+PEHnsYN7f9r7mSSFw49mzZ9W/PRh3mayNZ8U+kOa316ms&#10;45m8/vqCCD+KfCUV38lojNTtY5j4Lcy5o3code9QtJclYy+fatlG/Xuk8uwqbWPd0/S8Ysc6jYrm&#10;D5z7BR80bPjgHccH4CX4WPhxKgn7DC8TGTZ4EXwEZjReG3mzH37jbePt7i+0/brhRrOTwVYGnKa+&#10;wSV+DBgQ0pgyOfkTXrnVkw4ZMtxVr1HdUW/k1/t5q8+VCp8RXmOMZBzmhT49fdqdOXvGvf3hF65y&#10;pR9d7cY33CenLxX7c4p8hZeMb2t0xt3+HMLEb2HOHb0Lt78L0Z6U7j3BnzCYx+cRlQRMcifW0KFj&#10;J/WL2Uj8b/qUUXWmYsdHnitaHEJks8iIi8NOBttddBLz2x/DWnml+fUtSh08V+Tb2NBgX8MYyM/x&#10;fY0fbPBj887v6B6j6+jLsvOzMfbXD79RMaPEPbfYgcQV9Om4yJKhY8L/PHbs2K081zlEzBd0Hnfs&#10;2KltaKfktbH+lOND8mOJFwNZHt1KyMpYA/Mi51679ayrVPk7iRf/V/VhHhZ+hPe4WeKZRt/n0v19&#10;LmvPL0z8FubcZe05RvcTfVd4B1asWP2nkF3/13/9L5eI/nf5hxTXVLvntFu19XK+uCwRtsIOAt/O&#10;iepSXQYvDzsV4golGtvwFva9icjq/2gaPzey8Xr17kuo+0icnbvvmaF7nJl+SN81eKdQcD+J7bVZ&#10;I/dguBHeHviNmIMWT4bYgsia9++X2DIeJSqjHj+O+Okh7hN98+tPHTqP0K5du3Nol6S7RAd0p6aU&#10;21zIzOu1uOAyMi65jEqXXUa64Me0667XxB+L3ZcqPOBI7zH6vpe0Mz5M/Bbm3CXtOUTrib4NqXoH&#10;iGODjW48JihL1+DGnj17K5G3e2vd55jiGnQeMyocLnQsQuwgEtmL2PipTNHXg8cJfy9ebm140PzY&#10;IONNRNQbJiOfHyXCn5TZXMneW7W6n+seV65yVPcdrAnBq8Xmxx/HxiZlbedEv/G08BvBjWA1/Dla&#10;zMD3ttyKORgfN5BrK7M86auvTnfp6ekiY5+rsQiJR8OYiWIZ4mscIlYNZH7AiSlDnjqLYUj/JasP&#10;uErVz7iMyp8LdvxW5NbX3LFTXxR6v/z9KGqefY1srqMzIlVnRCrGCRO/hTl3KvYuGiP6LZfEd8B4&#10;j9jvFvWsKun9fOzIdwReIec+6x447YrLKB/4B6/T+FzSe4D+IbyzgmxKUrk3pldo2NGwFpjOdAJN&#10;HzA+JcYysl/wmKbk8yNpp2Nae9KcMsOQydxb9XqfKXZs2Tu3jTW4O15fItH9EEfmgw+2i1/vN9y6&#10;devER+M8ia00TWO8gOMWLXpDbZuxb7a4gfh4XLLkTbWdJtYLfnl43hslbiA6msSGoQxfj4ZH8QlO&#10;n9mz57iVK1e5mVKHv0bSBfMXChab5CZNfMXNn79AYxwSk3Dq1Fc1lgy+IdH/BD9WrnHW1W5yyR06&#10;FsSNL8xeJbOfybSJeI/RWVPSzpow8VuYc5e05xCtJ/o2pPIdgEeBT7+yanf9f+66KyazBjeCJSmb&#10;Ozewga0q5z28x7trnEoaO4J70PNL5ixPVRtk5MitGS8RzkK2ix8ZCF08P8XGg3r4eKToDuZF2i7H&#10;JgUMav3Ig0HBlMlgoiBuz0Hd2x7jv8+1V/j5ifcTFX9PzIWMHn+LxG4B7xH7paHEi1mwYKHGoG4v&#10;e0JMQXxRgiXBesjKwZr49m7Vqo3qieL/mxgwxCbEj6PGhpF6fDKCH2n34osjdXziFTIGWJFxu4sP&#10;8rZtO4i/8V6iI/wXxY/4k2QtxKjB90/2O9mKH5F3s/fsVbL7lKr3wx8n0nuMzohUnhF/dKww8VuY&#10;c//RfYv6R7/jkv4OtBLZdVnFj/CcsJF5XOLXcb6CGcGOyLEDfBPEPHnp9W9z4Rv/LI7Pw9upVKly&#10;0u3j++d1DT/TtymxdsjG4XPyjOIxFvxDcOARses4IP6vTZ9v/779qrNHip4g9UePHtMU3UGf8IFt&#10;RDvDnrRHZhykx9TO2PCjrcPWGJ+aD6T0tN0Oe2u/Hj4d98P9mp8fGw9canxUsCN2LsStJrYgGJB4&#10;LvUfeEDzYMrVq1cLpm6qcQNJwYD4fITHmJaWpvFmGjRs6AYNHqZ+Hnv16qMy7b59B7hmzR7R8Rhn&#10;y5YtOqbhTeJWgw979nhecSS4FOw4ZvQ4wYt/Ubk1snP4wOBX5OrsNZjd9igZjO3vS6ry/Lfp0qVr&#10;gTYzyfihtW9XMm3zamNjROmf8ywME7+FOXf0vv853/c/23Nv1uxRh5+PVJ1fJWEccJBvW215bK/h&#10;XfWe+I3yxYiZhy/CZNeMjB/sk2z7ZNrZmPF6gPSlDr1U5gRb+vjKcCPYBb0+sDI4iBS9vG3btilv&#10;bffuANvQDuwGwXODPvzwwxhRDv407Ek/7Ea4Bl/CwzRsZHgv/v7A5JWrBPqkxJWJr+caW+xq1aqp&#10;DicybPiQ/foOlPV8GNN3xPc5frnBzvfXv1/5gfSBfzh2zHiNK1iuXJpr0KCBe+GF/q5x4yaKDzMr&#10;ZbomgiNHvjRK8V6NmjXUjzr9sAXH7mWjyJofFF/hjN2j+/OyHzvFRryZEnFr4FsSLzuIX9hUcSXY&#10;NEvwLvEM2Tf2CgxKnEL2BzzO8wDPo7OZ1/4k2o9UlvGO8D/jxo0bt+HHvPBdSSn/s313/wz3GyZ+&#10;C3PuP8Ozje4xwscTJrwi5/jdCfleqTzXinMs8BMyar4fpD4NHTrcPdb9K8WOmRWPF8r/IPJj7C5S&#10;eS+GHYkjHa8LyDxgHOriseN7co/E4ps5c7ZDbw9bDnQC0ccjnTdvvmLKzdmbRadvqdqqoMvH3mAH&#10;gg4hRF+wJrw0sCTyXPQIFy9eojw1w57JyGTxA44eAJg8L5/g4KoVEicG3iK6BPdLTG38moOPwc+P&#10;P95SYuTU1jw4iPy9de9VvcVq1aspjqRd+fLlXc2aNTW2IjF+7hVf7R8IhiaO4ELZF6hevXoqW8an&#10;UPPmLZRnPHXqdNe+fUeNYYiuJP53mOOll0YL//ag9gfP9hce3vDhI2UfF2g9GBF+5YQJkyQ24TuK&#10;bYlLw76UBNxo7yTv6DCRv/vfdsOHFvP+3//+tyuICtO2oLGoZzxLbWxSP7aqv+YoX/rPpjDxW5hz&#10;R+9u6X93o2dY8DOER9Gs2WNlzu565cqVropgYnCjya3tfB0yA4yzW3HO/PW55arWJlEKvjHKy29O&#10;on55lSG7NWyIHTL21DXFH6HxgZHrgq2YC8xlfEf4f8TJQ4cP/hiyV/AeGKhXzz6uh8hbkeGCB8GW&#10;8NHAPK1atVXsuGTJm9qHtshywVBgz/liHwLf7TnhdZKOER6fYUfk1+hNYjuTl0x2+OzvdU/x6xh/&#10;z8aLs/vw7b2RVYPdwGydOz2j/EVkz5OFHz558hSNIQhGY3+qVququHGi3E/jJk30PvDB89prs9QH&#10;48KFix1yZ2iV2L9A6Fk++OBDIot+Qn0FTRP8+KzEx8YPOL4a2V8wNT4b2Xv0IkmffPIp1150HGfN&#10;mq0yafi6vXv3FezZSWK5zNX9QMcRfiP3YPcYf+/Fec1/jMrVm7j6T/3ojlz4jzPcCG7717/+5f7n&#10;f/7lbt78p9I//vGPWN7KLKWd39bKE6WMY2NZGt/OxrJxLWVNrM0wZPTNLvibXVr2KEz8FubcpeX5&#10;ROssO7+1sJ4lPsPh8RTnGVdcc6HfCH707WSYO6P8EcU5dR9JLFtNtD54hMYnBPMlapNMGec7PrTx&#10;v0NsQ7PbRhaKHh11YBd8IhK3xTCJYUewCvGVBwwYotgIXb1x4yYodoSnCBY0uTWYEuwINgJjojuI&#10;DJaYzmCkjh27qD0KMfXIjxo9VmycP9BxwY+GHZPhOz7UIYj3mHHX8Vx7c9v6sd+WezACC9/KY5sT&#10;xJGBn2c2PuA6eIkTJ05WjMe10S0/4YHf7k8EZ1JHasT6O7TvLHtayW3OzpZ6ixdzQviGJ2NxCS2u&#10;ITFnwJanPj2tZDZDtk5Nc2zQSwpu5N3bvOc7l1nxZ/E1+av8d/rVHf78/yrPD6z2+++/u99++839&#10;+uuv7ueff4kR1/FEO2sbXxff179OlKe/jWXjkv797/+tawJnRvix7J1jYeK3MOcO6xyP5i17v6HS&#10;8EzxLQwuSgb7lPQ2yKV9OTV5viWkYCjWXyn9k4BHVu5goeTWYDp4j38EO6LDWKtW7Tz3mvGxyTFM&#10;yXoNf13I8YE4WOLtobeHDQmYEJ1H+I7gRPDhqJFjVDcP/hhtkEcz72hsPgQTwpdFB5A8fcCMnTs9&#10;rfJu8CLEePH6fPnhJHQckVlnVrjFd4xfNzgRHGaYEHwIjiM1og4K4rec1PRjsd058rHEeBGyvJ9a&#10;3tpYelhk0ocOHXbjx08QnmU1ldPT1uLHkP/kE8GPghXBjbcwZbAmYlabnif37hPPAjyfFx82jN9J&#10;5cy/uYxyQhV+lfQXV6Xqz8o/BKf99NN1d/XqNXflynfu8uVv3dfffKsp1/FEO2sbX0dfyMoZx8ay&#10;Oj+l3Xff/6DtSSHGvnbtr7omsKXhR+OTloZvZrTG/M/qMPFbmHNH70X+70W0P2Vrf7p07qoyw7KA&#10;H7GpNvuY+BQ7Gs70lxcF8lWwTl66efFnPzJkeIH46YFHGF+f7DXYML+YhvAefdzIuIbBSMEv2PgO&#10;Hjxc/Rmi44c/RLCexWAhxcYFvzXIgrnm2d53//1qw0wdfEsIWw+uX3ttlrbF98xIwZ7Ia7Ef3n/4&#10;tNu+P7CDzg8n+TJr9tTWbHgXzMh4vt0389paLY+NN9ju8OEjsdRsyffs2SsxZfbH7MrVvkeu48so&#10;py0YGBsZ/hs917VHTIcT2yHaMC46j+BU9W8ksQnBk8QohFdJ3Gqwo48TbQ/s/kiTffZ3ul3txgHP&#10;McCOP7s6zX5S3t6PP/7kLn7xpfvss3Pu1KnTcr8n5TnApwWbiy8nKfOJdtaW8hMnhAeb04a8EWXH&#10;jhEXkhiR8HJzt7OxPz0t/xek7Zmz55TOnf9c13Pp0jeKJeFDwhtFBzLCj2XjbAkTv4U5d4SNysb7&#10;Gz3H5J4j8XDvFpuCsh5vxs7uus0DHlmVaieTPvfRPawlcmYboygp+BPsWBTsaVgF7PLqtNc01l7L&#10;lq3cqFFjFfegn4fuHmlvieECBdeUtXJr1qxVPb83xXYG/torr0zNVQ/fjzL0+Xr37qe2I/i7Jl5K&#10;5UrXXfauy4oH87rvOo3OKN+xcuaZGG5krWBdw43gRPAc9w8vFPk4PFPLcw2uow2yffKk7297X23H&#10;3xOdQ2zIsRVSyrnWMslbGe0gZPjof6anZ4jMe6HqdaK3qPZBMsb27dvVnhzcClYFS4Ip9+3bp9fI&#10;rT8T+fp5kU9fvHjLhtqeRUnCjTyXT05fkucFfvzFVa170X13/Z8qL4b3B24DLx46dESw9kG5bzD3&#10;wVxEHXTkY/w0BW2tfXxbrg8cOCx7dVDJ+oEXra+1sXEpB2eCJT+/cFHxIzxLZN3oSkay6+S+16Xh&#10;XAsTv4U5d2l4NtEay87vrCQ8y0mTpirfKS9sUFbK8cuTnrZPcU6vl3P7r87rHg3zFVVWTT8IO1h0&#10;GPOaJ5lywy3Gz0P3Dt4YFJ83/Ty/3soKSo+cuCDxUn4U2ed10Q/9ReT8v+Qbw9F0SFv3vcUn1TXK&#10;+rZu3Sa4LVsxIVhx+vQZauO9du1axXOBzfdSxXTwSvH5Tbt3Nm1S3c8J4iuctqvFr6PFgyFPu1Wr&#10;VrspYl9OfBhsfihDzxM7oT6CgfHdAx7esH69+hHHDh3C7zhYFZwK3xa+7Nq169y7m9/VMnAuGJt9&#10;4j5s35N5RmG1YY3gx6dfvOiq1ajrrnx7RWyk2ok8XmLfCF965cq1miJnGDt2guLGufMWio8ifF62&#10;FNv9N7SM/NNduqpPJfDf++9/qDzr7uLXaN68RdqGPn37DnJLl64Q3YdGaocOD3zVqnX6HWHcXbv3&#10;uTat22u7ceMnqh07bfgvc/jwUcHjX6q8+8aNnyPs+P/K1nkWJn4Lc+6ScJZHayhbv6WS/jw5T4qK&#10;jcI6K4syb+BLZo9ixxkrryWF47CJrib6csnMBwahvbXt12+Qw09MvXr3qZ4jNtVWV5TUMAwpmMbX&#10;wUtVnnFHzRO7C9GZy6gohP5c2t9cvcd/yXPt6WmHdE/bDwr4k7Y+sBdYDdtnfEbiW4i4LNjrTJs2&#10;3b3xxuLA7ltsvsF+Fg8GO3F8KiJrxi4an91gRGzDsRGHR7p+3Xrlv+J3h9gz2AkRL5A8cn38+2Af&#10;g6/HZs2aa8wY/H7Di2Qc9F/hgc6ft8D17z9YfTaiIwq/84DwIH2f37bvRXlmxdXH1gi/Fz3XnrJP&#10;rQU7zpw5R31d9pI9B0MuXLhEsd4A0VlApwFfXaSLlyxTviD52bPnKdYbMGCoxHTspliyf/8h8rze&#10;VF0HxuEanDld9B3gVfL/k7b0B4eOHz9J54E/SfsdO/bo+M8+012xK3J04zvevBnZzJT0M6Iw6wsT&#10;v4U5d2H2KGobYbyy8A6gE1YW9B05p9Fz7Nmzdwzn4EuQ+MTUVa39uWIcdB2nLU8OOx49dlztn596&#10;qo3yn/AxDc4mhh11nNlgHPQh8ceIrx1k0xD+C+Gz0SZVGMIwAik4oagU398fl3zLvtfF9gW7i78J&#10;3/FvefIdW/YVOeldp3VfH+9xi+9oMuuDBw+Kr5z7BVO0VJyInTj+btgXMKFiSZGxI0tu0eIJLUe2&#10;TFwY+IUjXhylbeAVYh8OgfXww4jdODxIng3jQIozBa+2Fr9ExKbB1zj+fYgRY3zHueLfElk5fEfw&#10;7IABg8XH5kC1pwHjlka+I++XPcPZs+a4ChUqSIyd9ur7CL0U/K6D4ZAXN2r0kNjnT9TncvDgEcXg&#10;jzzymKY8q5Ur18je9RQM/pK23bgx2w0ZMiLWB70Grml74MAh8d/0ufxnCnx3wldsJnM9KHO0a9dJ&#10;+Lkb9Zo2zP3qqzPdMBkXmxpsZn77LdJ3LAtniH8PYeK3MOf29yDKl01saDrZBaWFef42Fn0sb2lh&#10;xknU38YpamrzJ+qfnf2eIx4u506q8E1Y45idNdiRPOvAxyN21gtWn4rhxkbtLyV1r3YWE//kgQca&#10;KF7EDho+IhiRMmKk4OfIMCKYCR+LYB3yNkZR07z2sqjjFaYfuBD7Xfy/JFoH9ZkVxLb3rmBvG3X4&#10;RtvZHBcuXFC5b9dnu6v8GXudLe9uUR5fmzbtlT/W9wWJ0yJE3Bb4ZcickVljC44dOfZD4LsZwt+i&#10;DKIMXPhw06Yat3rixMlqK469ODqgyKzVjlywKHiyW7eeyn8k9gy8TXR7d+7cqbqNyMkHCg8O/AgP&#10;Ev1H7HU+FR89+LTkHvLSd7T7tDTRHhV3GWvhfQVPs8cPSewd5MLdu/dW7AheG/HiaNf80RaClwer&#10;3TMxStdv2KS2z+Q3bHzHrV//tvJqifF99eo17XN//fribz5L8yNGjJYxn5f/ZVO0npTrp6T/6jXr&#10;FRuyhlWr14l/9sfc1m3btV0n8eMJXxM9xwg3ls3zNUz8Fubcds5Gadl8rw0/4ZM2L6KN+ay19qlO&#10;/ferqGPnt/5kxjx79rzIlR6LYUc7Ay0t7nPvj84HZgQnkvINwe4aIt/u+Y0BdozzQZhoTrt/sB/Y&#10;AWyDrQy8nGkiOzX5MDFN4Ods3/5hrMzq8ksZ04g58iNbS6J1FlcZMQeR9/t26bNXXxXMGPiFSU87&#10;oHubWT7g5aJ3t3n3t4qb2Qd42vConhXZNbbWAwcO1etNb7+tMlDk0GA4ZMsvCk83K2uFykzxWY6P&#10;nbaCgebOna/xd9ADIA8G7dL5GYkB85LauKBLB+2TODBgwKe7PKvt0M17XeKR40/TxqE/sWTw5wPO&#10;h1eJz/VFixarjTW6jtj4GHb0n489N0utriQ8J3sfwI7Dh41U7Dh48IuqT7h8+SrFjuC148dPap6U&#10;69at27l3sreoXTZ5/k/i2wfcOWfuQm0zatQ411niStKePPTRjt1aRjvqsJ1GxxK8qWWCE9FrhG+J&#10;/JyygQOH6TzYx2BfjY2Mfav8b2KUL73nb5j4Lcy5o3e29L6z+T07+z6BtyxOFt+tgsiPo+XnGceo&#10;oPGs3vrTz9ZjabJjFbTeRPU2b3wdsmriEj7QoEEM+3Am+uehnUelIUWHDV/gfD9IwZEQcWY6Db2k&#10;+KZqrc8S8tDs/gwDsA9gB3T2DojtBNjxgQceUExh9iekYAyj+GsrJ7U+jJeLmCOHwFk2p19ma7I1&#10;Fmc6axU+p4/m8Gz3qG/1qjXO5lzvlxTboyBWD/xccGbdFqInKbjy5TcCfz3sZccOnYWXtUFjspjs&#10;2Oy7kWEj6wzoKdWHBMfhK6hd2w4aV/Gtt1YKj2uyxslBpw4ZOLzCjz76SH0NEZ8G+ljw4ErxYRm0&#10;eUqxKLzEOvfU0biG9IPwT0TMmfSMdNVJJU4P9ugnTpwQnzKncnz0BPjRnkXs2XjP0P+PwH3yrIrz&#10;+SSaC3yNfiPfFn77xHAxAq8lIqu3lDbkE7UtqOzmzSB+jZ/6fRjXvkX2/cvv2x3Vla4zOUz8Fubc&#10;0Xtaut7TZJ6XfZ/AZ3yz+I7xv9en3yX2gl3zzSNP6n/z/Lx9/+z76n8n4/P088eyvj6mszJr668l&#10;fjyurd5S1u/fg63fn9fGee212XJOt9ZYb8OGjciFh8A107Muu+nLL8dkronOp5Jahh9HsAPr69Ch&#10;k/BU2gh/6WgMO2ZW+FjzYBz/HgyfkV64EOBGMB/4Bj7UYOFLoc8IvsGOgjKIvE/4BvTJ6qw94xnh&#10;B1vxpcT8I+6f5bU85xrMCT6x9flrvpN5eIxNunwnuHBvDk7ExijAiEHsauJX56b+U79T3KhybNGT&#10;JPXxYwwbG172MBjvHXFlIO6fPToue4lOKc/PfHrj85s8fr/Bf9QdPXqr3m9H2wNi94L+InJz4h32&#10;ELnqgP6DRR5+v9pA4dOytti/jx0zTp+nPTswpP9MLG9rs2eY63+B3BfvTtj4cY7wWZs1ezT2/9S+&#10;M6SG2fzUr0+U99umIs8c/v/nZL7hUZvScy6Hid/CnDt6R0vPO5rMs4rHjeAn5C7o26AHZPTTT9c1&#10;78fWsphatPcJeY5hM/AadbSlL6nlbSwrox196QNGBC9CrMnHgH5/y8enNjbrZ+1GXFudP6+tcc2a&#10;9Wr78dBDTUQGW97Bz/Hxzeg5F11mxg8uM/2aG7fw21KJH8FUJr/GdobrwMY6sAcG89R//HxC7Ojj&#10;RuSr4BOwBxgEewriwpCnzMq5Ngp8U+9Ru2LyxGehztqTwgdjXDAPcxiBW4L8rXIwJ7iquPDjwGlX&#10;HLxZHxdmlDvkxsz/3k1Zds017nDJ4c+xQatv3NSsa65RB/BlgCGr1T0fyLHRgYTEPvveR2/EcC/8&#10;bPbXyOfZGW+PeC745ca/omFE+L74XYTMByMpRJ1SzjPw21GP7Yu1HTN6rPh7TFfMiC0Nvn/w7VhL&#10;dFd79ugde9Y8H4jnc+uZBM8JrGr1PEPq7fcDvuRZcX9h4kd0BJAp8H2075+f+rjNz/tt/Dxt/HZ2&#10;XZTUH5d8Mt/wqE3pOpPDxG9hzh29p6XrPc3vedl3im8c/5fBa+ApYmPhHwL9HOjLry6pr1pSi7FF&#10;ekX86qInDlk8LfLomxtGA7NRR1tsB0n9vF9GX+I80AcsB4aEWJNhWOqtv63BxrCUeuog1o+/C/SK&#10;SO0erC9t7R7IP9T4Yde9W69ceMbwzcR5J1xmlS9dRubXLiPjsuLH0sZ/RL8RGTUya8iwI/jxtRXg&#10;HOSst7Cj8fNIfdwIJgB3YMOB7QbycOL9Vbm7iubxSQ1R7hP2wkbYC1s7xsCnIPa9+Lw2/9fgGux9&#10;IZ6D5Zmba3AKPK47jR9HzPmra9TuS9kb4zOS7nXV6pxzW/ZeyYWz4/mdVaqf1T0NMORBwYzXbrPP&#10;9vfZ8qYbYVjSZMLw9sCN7M3OnTt1z9g/3e+tW4PnIelWIWTW0PacvfXb4evHJ/w3Ll68RHQl39Wx&#10;RoiuI77D69atp7qOzLXjI3k2QvjvsRg09kxYD2W8ExBtxo4dp3qajz32hFsg+pmTJ09RvQPuDb0/&#10;2sTvV3FcY+dv30b7Dpa01NYXpWXnzOVZhonfwpw7eo/Lxnts30kfN4LXwFGfSdwtYmgR5+DoUXg9&#10;yMWOxWJ0EYeBOFq00xgIgsvMx4RiNLk2bAZ2o53F3rKU/pa3NDaGYDzWAYaEwHSMw5jgP5vf4nxZ&#10;zC+L80U5eYh142v30KFbcSGsjjXYfbBG8uXKpbl169bnwj9gHMVG0/e4StU+cZl3n3YZVc4Jdrzs&#10;+k+5rDwvzkLO/OI494o6R4eOnWI6jmBG03U0m+uA9xjwyOCZMY+PY1SmKnwjsBr8JfABe2N+p5dn&#10;LXdpaWmqu4cvQQh/1D5tWL9efctQRz/6x2NJi6lCCoYETxoWsdTwCvgRvhayUdaXyueA/XS1e86I&#10;PuMxD/vtcpUyTrmXXud/yVdJU/Oul2SMA7FxEvn1sb32U2yYoYGvXhVdiW8cMus331ym/MCdguU2&#10;btjg5s2d76aJ3fq7Eism+51Naq9Euln2d8aMWW5DThuNJyNls8VPI/ba4MRN4mN8pfDWuV64cJES&#10;+dWrV7vJEqOc57li+YrAD6fYdS9atFifBc8E3YfVq9fo88FX+ZQp0zT+N2vatm2b2nZjY498GPxZ&#10;vnw5ofIOPZBeYv8DfsMuP784lIXZ48K0xXfCnr0HYvgxOtfKxrlWGp5jmPgtzLlLw7OJ1ljwdyAe&#10;O94UuTD8PXAaGArMBd7y4235+BF8BtYDK4IfDUeS13LBeIr1pJ7xDMeRgkVJGYMxbS4rZyx4iOBH&#10;CNxoGJU6GwtMSF/867JWYoCR99dMfDFiOOzYuUdT8taGPuSZl3HwE8xZ6WMd8hs3BBgIrDNw/EeC&#10;Hw8L//GUe6LXRdX5KglyuGTOTfiNZh/jp8Z7XLWVuDIBdmzeLbc/GTAZ2Oys6Bei0wgvC394xDIh&#10;xd/I6NHjxP/JAFdJfE43bNhQ+Urs36JFb6gdxiuTp2oKvwkf1djwghvxb42vGHzOYM8BbwzCXwwY&#10;BRzynPiNwa8MbZgH/pbxIlOFHX176TELf5R4gydj+xHsi/AaxQ4d/mwy+x3fhvEzyh3RMTPKHXVv&#10;vnO1wHHAkepLshw+yH924xZcFj+DrRTDcf/4zsSHDs+AOIP4dSSPL3DeV/LrJCYM+wa2BOOpf3DB&#10;b/gCB8PzPKAe3XspkZ8szwqcj95GZmaG2GHf4ypXkZjlYg81STAlzwQbHmxosK3HvgYfQPgHwu6m&#10;Rs2awpvP0Pm3b9+uMQ7hSz4i/mgYs3adOvr88QWKf3j4j4aZ4/ftTlwTx2jixCkRdixjMVtKw9kf&#10;Jn4Lc+7S8GyiNeaPHQ03kqKXjU4hfic4ZyB8gcyX2Ad9+wbnkJXj78zypOC5Pn0GqD8RfLFsfDs7&#10;hiM3bXpX5aH4HiGeAvhsgJxx+MTFV8ikydM0VgPxF8Bwy7Le0theYDiwJnhx+PBR6v+MeaZMma5+&#10;ePHbyzjEZnj88ZYav4F1ghtpQwywF17Aj/EC10L84bFOyljnLPGbRhntaUMfUu6LscZLfDfag2UW&#10;SIzfenLeErMNPgln8ZIlb+oZPHLaTvf86EDnTnW4xAYglfyuO3FWJhoTPiQybOoUN5Y7mINr9sd8&#10;Ftp5btgRnAx2nDhxssRra+YGiT8Z9uzllyeqLxd8U9eR68bibwTfLvAVSWlDrBTy7OWqVat1L4mp&#10;hw9r2q1bF2CcFRJfBmwCdgRDTpgwKYYj3xa/NQEOCuLjpYrviNzZcJ3h5yDdIz7Tz7hOwwrHZ0y0&#10;35QNfvVr2ePApob52Pe82lLecXiOD3L8kJcnHvN1N2zUTP3NgdfYV/h8pFkSs+cvgsnZT3AiWJJy&#10;9raD2HHH+wcnfk1/sYuhD8+lV8/eSuT79x+k8WnwM1CzVk31E4l/yXvr1lUM36hRY/UJSVwa/m/d&#10;I3w81oE/z9q1a6nPn/WCPZkf7Aj/GD0D/DXx7P1Y2MRDB3Pau5Zfmt9eFaYO/IuvxeisyP+siPYn&#10;9fsTJn4Lc+7oXUr9uxTGnhp+NJl19uat6mMMviO+adu27ai4DIwGtoOIuYVvD3h/0LhxE0U+2UV1&#10;CDduzNbzzPiOHaSc+K3wJcF7ixcvVWwIH3DN2g2KP5Yte0v9mRGPC7w6Y+brKidHhg3PUrGjjAEf&#10;kzH27T+kuJLzaOHCJboW4oKBP7dv36kYkZiyYEFS8CD4cMuW9/UMA08a3qQNfEv6MobFCmPsihUr&#10;Cn8kiDMxV+SBnLm9JbZHq9Ztlc8DL+yA2B7A74IPl2pZaWHOwFS0Rf5qcazTBT/G4xk7y03fEb4X&#10;/mGysla4ps0e0b2FDwimUzwj/npWrFghe/2k+CAfoWkL8UE+e/Ycwe5PxPTziKs3ZMhw9WdtOo70&#10;oR3X5EnN5zW8KYhy4jyDG7HHQP/vj+o7Ptb9K8XNt3DjfuE7Fl42nczzePz5KzJXEPuxZe/c9uzx&#10;/QPsiG0NMWx+dZUyb7jt+4PYJyNFvxQ/jfAfeW/ZF/QJSU3HkXJwOBi9U8cuSvRDlt1J+ITwcsFR&#10;PBd4iMREAbN3lLbIkuH3gh2xv8aWppLY0oMX+X/15JNP6X8r9FxpU+++eq5a9WriA7uXYn6eG+8E&#10;13v37tXfDD4jsW/C5gf9zfNC+Ad9+OFm+jvitwSZjqel9t+MdzF+j4pyTWzMpvLNCePbG81ZNs7Q&#10;oj7HMPFbmHMXdb+ifiXv9wJ+NOz47rvbHHERiJsArxCcNWjQcI2XBZ8JWrp0hcblQucQviD8u1mz&#10;5qpcGaxHfIQdO/cq7jtz5pxiOOShLVu2Vn4kqdqtSH/ONLAlmNBo/fpNiklpg30N8R2IwQD+3CBx&#10;HbqKfI7YG72f7yc6X8t1TUOGjIj1B39ulvvAvy7xZ1kzmJByeJ/gV8rwB8ycrIeU2GLkwbKsC5kr&#10;KecpWAX+2tixL+vca0X+B2bB3hcdO84/zrdUnWlFOQf/aJ+7q3+quClD7IXjcaON7eNH9go+M9gZ&#10;DMleYXML3woM8ZTUg+nY+wcbNRIdgLc1j39ryg6JfctywZ08S2xemwn+pD14B540qfUn9dvs2LFT&#10;xwSrYq/j28kYvrA1J5ui15iRFvhovK/FJbU5j/dRlOxYybar3eh8zp4fLBALaXwacGP6L+pTHGyF&#10;rJrf6eLFb+q7yDNoJ8+CvQW/o2fB/x7K54h+4xrRS4T/DvFOE5uaOnQUyYM3+4q+AUR+6NAXRY79&#10;uMqpeab4Dadd587PiC1Zz1ie66kiswYzghPhR4JH0WXg+cI35pkS+wbfkvrMTn0qOstnVHcTzA/G&#10;bNHiSf0fZj59KM9F8jtL5X+048c/UX3LGzduRPgxklsX6zsQJn4Lc+4IA5Y8DFjUZ+LzHre8975r&#10;07q92jcTO2vChCnK9wO7XRFeJPqH5JHz/PRTYMOSJXLmnqLz/ttvv7mLF77Qs4g6bKJHjRyn8TGQ&#10;QU+aNE3xpfXFVppzi9hexO66evWa8DSXqtyKPPX40Rk1apzGXMBum75gyb37DrmXJ7wSWwtl8CdZ&#10;47BhI2NErC908Fj3dPHXCH8UrEoZfbqJLfXadRs1TthLL41RzMw166pXr5766eEMxiYEPs0zEvMD&#10;PguYUfXr8Dfi4UYfOxrOutOpj1OSmctv7+czyge4iXjLfnl83uYAO44dO0Gxs2EQeH/Y9bJ/pGA6&#10;cDq6iZZ/c8lSxTvEUAb3oFMHD2rQoGGKRcGjr7wyVYm+tCHFJ3V8G3QFxsy75KpU/dFt+uhSkXUG&#10;Xl70vWC4wLYcu+m84gvG78UfvZ667Jbvnse6f60+w/Mbc9BrP8Vi0fAcsHHBnzhYi714UnjB6BOC&#10;zXr16iM6BJMUQ/IOQ/z3GT58pBKy42XLslwP0Xekj+XHjZsgsoQJqvNYX/Qa4S+i40F7+rcR/Eis&#10;Zfic4EufKsv/LeJiw5POyloh/PzBGncSn0vEv+kp/yuwDef3xG8IH0PmC7JNm3bKd+R3ZcQ7Y8T9&#10;GaZMJX5s0KChYOAFxYobivqtjvqVnXM3TPwW5tzRO1x23mGepeHHrVu3u/rCdwQ/EhvrqNhYg//Q&#10;myeOFvS26DMSO+v3HN85N2/+U2Rmz7lHRT+KPsiJqcMX41tvrVGdt9YyHnG8wJf0/fvf/1sJjIGO&#10;Jf0sHleWYFHa0YZ+1DE29cRpIw8hY2YtrAl8STvy8E2XLVshWG+sYk5bN/WTJ0+LldEHYi7Njx6v&#10;a9y0KdAPQzeysfjqAbdwfu3fv18x0Zw582P+kOGJGL+Rs5xz37BVYVLjldGHfDwVZqz4tsmMtXqb&#10;YZjdSeEmm4OxOcfVb4xgaOMRYU+Bb0y7zitF1g/lVe+XJ2qHzUhmxesix70e48flh73yqqvb/KLy&#10;/8CPTzwPPz1//JzK+hr3f5Yz965C2W3bM+D94xmgOwiBr3hf8Rl++PBhR1xBYhDCo4XXCOaDdgrv&#10;Ftq1Cz87uYly+L7IkJs2fUTz6GhA2L1D6C9ybSljoxcMXgzmPaDzgkt3796jRH7fvsCf5/79BxRD&#10;giM3rF+vttfoIBwQPRB4+qTwT+E5Q/C0Y//Z5B5ThR+x0+nSuWuEHeUciM714tuDMPFbmHNH71jx&#10;vWPFtdeGH0nNzyO+Hm8KNrTU8lybz26LoXD2s/OxskR19DGyetJEc1k7G9tv88MP1xzEWvz1WB/z&#10;H25+ya1dfLm1t5S1WJ503NgJGuvNxy8xjJQjO7sg57ad4eAJy1MOcb6lmvxxbR5LCzsX/cB/D3fB&#10;Z+EOiXHySdK4Kf5e/TWgz4YNLTyxwq4p2fbv7BR7ZbE5zigvsf0qCqX9KnzivyW9fp4XMukuI+A5&#10;4qdxl6vdKP9YjKnEjDaW2l1XCHi+j4gPHysvKLX9J2Xv0RkEX8Ofg58H3gIjggHBeu+Jj03fjyM2&#10;NNnZ2WpLg5271ZG3OuyQ64sNC9fYNkEbRA5uvpesjHHQp2Qu8CFk834g8uqYb0/hRdPOCLwJobuA&#10;P/KsrCyVb1NvvpmsDdgX3ic8TPiS3CvvCu8ve1DQflHv75m1R+exYcMHY/+f/e9gqvOF+Zaneu68&#10;xivMmqK2qTv3w8RvYc4dvUOpe4dK0l7a9+U//wn8hPvYLT5vcbloa2Rlllo5KWU2htVbauV+Sp3f&#10;368rat6waqL+/vqoh1+J/r6PZQwfGeays8g/l2ivGFN4QJxvep4Ln8RPrdxSk8Wp7FHaJkqtLVjW&#10;z/vYlnK/nuuCxqJ9RgWJJVPuI1f30cLx27j/T06LbuB737neEy65Jp2/dj3HX9HzfOLEyeKfJfM2&#10;Hmo8H7Sw17bnzFu7MTbHgf0Isf0mLA78URouyCtdtOGKe7DtlxIb5pa/7rtrSJyWuBiMefVPdXlG&#10;2seKXZ8bfbvfH/xt5idDv3gx8P3IO8l7h+9HdACIRwh+AxOC7cB5yLixUSdFF1L9TkmeenyB4xfc&#10;b9uoURPV76A9vEForegOrBdbeMgfg3mYb8+evYpZ0XFkPPM3iZ9JxiHF7yS+gwxDgldrSiwisCp5&#10;iP5mO0Uegs8JHob/yHvN/eaFHe09SSbFxyR6Nvb9S5T63yKr98uSyVu/O5X6a7A5/DI/b/WpTkvS&#10;eVaS1xImfgtz7pL8TKK1/TFca98S/zuTKG/tCpPaOIn6WJ2lybSxtvGpYdL48vyubT7avCs22Zwn&#10;lStXdh+KP5Fkzh/a6PmN3FB4P8gNOcNNd8tPKTeycmuLrhpk8jmrt9TGpT35RGRj25j0tXHJWz19&#10;x8z9wqVX2OfSy3/gKlcNsGBB2AiM1XviN65Nf+H9VTisPEv4lka1Gpxz/YdO09iE/t7NXvWD6/Li&#10;NxKb5SvXqu8lxZ1+fWHzMfx4V/K4sWEr5NNyvzk+LEmrVD2Tp31QQXvxR+vZy/S0g7qeTkNz8x27&#10;jsTXZsATxZfPmve/v42/xp4ZfgRLZYlvdnzxHJE41cR+ebhpU/VnhR9usNvTT3fV2IL4QEJnFb0R&#10;bKrnz1sg+ibz1bcPZc9IuyZNmmo9+qeU4a+q+aOPqQ4jKWVGW7a861atXKU2MfAIkWXDdyZeOv5+&#10;wIr9+g2M+WeiHD+e4EdsavAHCdl42Np07vxMwDsV//Nc44cc3iPvMtgxEd/R3iH7T2L/9+w/INd+&#10;nuuHxZ9RlujK2Hcj0X/LwpaZbCW/fjafn9o3irL8+qaqjnlsTlJ/LfF11i6vNvYNjc7ggs/gMPFb&#10;mHNH70bB70Zp3yP7DhSU+vdZUNvSUo8OZnpGuuLHo8eOJ8SOhhk4qzinDDei+w/uQ2aIfM3X3zI9&#10;LsqNrJ5r6jkbAx2x3ZpSZv1MB8z6+vpg5Cm31NpYfxuXa6ubtOBTl1n5kstIF+xSYavoDZ50zbpd&#10;j8kAjT83e/VV9YX9pPiSAd8Qq9nHXmpnIv6yq9c9HcM66WKvXbPBcm1btdYp4Q/iDzvwSWN9Myue&#10;dGC5/Phqts95pWCvZPs3e9b3wbNf5N1HxN/MyQLjCeY1dyrKxy36a2wv2WfG5H4CWbrZ7wS+2sGR&#10;9Z/IHWOc9oaX9B0U/Ih90aBBQ9UOBsw1ffoM9eFNCjbD/+az4l8Hgsc3QjAcvqfAkK9KbBpk1Ph7&#10;RF5Ne2xuFHuKj/enn35Wx0UH2mTWxieEJ4i9PHGv+/YdqDbX+AViXPM7SR4e5dy54vdK1oZPoFYS&#10;NxtfB/iNnDlztsasgWeJjTb6k10EQ2KTg/yad5f/PPDLwYDce8fhP7lGnX6J/RcxfGj8f9pC8Xx5&#10;K8fGu0ePPjGdlZs3A30YP/V1XkwfJr7Mrn/P0QW31Mqtnz8ueV9XxjAnZdT5fS1v/ePHs3q/3C+L&#10;z9vcNiepvxbyVhef99v5OBZ8yXfePxei/O14IUz8Fubc0btw+7sQ7UnZ2pPqNWq4WuKjELlZIoxg&#10;5zXpBeFdcE7Bb0SnX/XMhFeCnA1dL87KmM6XXMNrsTry1FnKuW1yu/g+XKMHZjI88sTnY41mx0Bq&#10;9TYH/WwNlNEGWrz6gKssvnkyMncLfsx26RUPuHELv3XHP/3KdR0JP+xADq6B9xXwvwz3BWlQf0/T&#10;W3im/eBvpW1uvp7fBx9Amarf5+PIveJ7+6yr1/y82/3xZaVEe478dvisHxI+D2sPPqyUccbVfOCz&#10;2DjgS3QZDbvWavC5AxdbnzBTcOKt/cJfOBj71v5lVvjYtR8KvrSy3eo/KH7NvIf8hwFPgYXw0Yi/&#10;HmymsUEhXgxY7QXRw0AXAyxmPjR5f8CIxJvp9lxPbdeixRPi/2CklpsvcMrwwTNPeJRgQK6hbuL/&#10;EVzH/xJ0FfDZhE01mM98/zAffjxJzW4HX0GsD4zIGKyBsfmPxH8v/BpgH4dPJ/Ar/4vgm/s8R423&#10;kya+L9N+VR2GY6e+CH6LObofZscN3jRevaXUQZtFZl+lShW1m8N2jthaEH4eID9vZX6KTwnIfE9Y&#10;iq8Iy1t7G5vU5iKFsA80fGd11s9PbYz4Mv86Pm9r9MttDWBcm5c1+OuxOktpZ/X+mg3PgiMj/Fjw&#10;WRgmfgtz7ggnFfxuRHtUuvcI3+j33ltXdbDiz2muDTvaeQ0Pg/MJvgi4DKyGnI54fNgWqL6Z5C21&#10;mIdcU2/t0CkzWwRwpNkpWHvGpI9hTOKFgA1JDXNaG9qRp9za0xZ5JXOAGZYIfszI3CHY8R13T9PT&#10;7tkRXwr/0eTQ8Lt8jLdHzuijDtvggdOuqAwV2TXYzN+j50cJFq14UNs16XTB4fenZZ9vcvlMBDO1&#10;7gc+NUyUw1sTbMkc8DAzKx53VaoFfMEgznbAh6tW93NXs/5p13vS1VxzBzJe49HtctXvO6fruqep&#10;2VHvcoXVa7Tn7Kf+vaYij4+gjJx4Pj7OTk8TX1RSxxxgavM/mSiOtq2P9xFZNX5W4eWB095YtFh5&#10;kcSQwb/mgAFDlI+Ibyww2lsSyzrwf9pV/XPiS5NYkbzL4DniCsL/oxxfP+A7UuNfkzIOsuR9+/4/&#10;e+cVZlWx7ft6O/vhuL9zv3v245FGupvU0EQBMRBFJYjkLFnJCIgtILTQgATJmSZ3kzMCEiWDSCMq&#10;sg0YtmBAwb294j13f/vh3PEbi7EolquT0D0R50N9VbOqZlXNWnOt+q//SAd0XnwtrVixUuMmMga+&#10;rehDjr+rDes33OL3Cq6yuvCO+KoEH/JdWrQoU/39wKOaroWPGwe89rVLul9wI7Ea1W/698I/XlZs&#10;SX/4/2PHiWN/k4+nbOumjcS6iLG9Z+8B9Sn7hfj6IuHbi0QZ37WWrN6uP/r4E42NQG6+a/FHqzFU&#10;xU8tdfS1sWx8y/Fji18y/JAZxuPa1mDzxI5h67BxY/tRb3X44rWy5YzPPOBbw76sgTpL1ubjYNpY&#10;M4n+hkfBomBLuMoQP+Z9/gWJ34KcO8RFeb8X4f7cG/uz/8AhV658OfF38mv7Y/+shutBHoY/H84l&#10;uJkZM2apbhcYDfkePiVHjhiluI/4hvgzoR5MOEXie3C+YnuAThn1Fut5/PiJGnMYTJmWNlLjvXUX&#10;n3zIEMGF6I3BAaEzRuwbMCL16HAhd2QtEY6osa6JMjpw1D//fH/FFknJWwU7rhMZ8ynRe9ytdjNg&#10;Ovg55KhgvCr1LrgF6/OOvQwuJUZ23779lcfB/wk6annhK3T4KtQ4L+d/JMbzrdjJcCCcp49hrV7y&#10;BJE9Cz9ape556UP9m+LL+h3NuS5fxeTrb7qq9c+7fcc+jeJ++wyLKs/ruWPbwN+PN+sn+qCfu17p&#10;XyrOjpXF13gq4ku8TJlfv4+M5z8H2BHf4WAtMBg4Ej9T+NfETyb+N8F3vLO0ZWVluWkSy4cydXCH&#10;4C/eS/w8Pib+3cF95PxPoUw/y8F6zMV/KObFxyM8/EJ5L8F+27ZtVzzYoFFL99Bjrd3M2Yujfq8y&#10;MibId+MVnYu1Mo7Jlx+rg9/+YTfrPrhpH8P+4Ctd7aUkViP+mvD3CYaFu4T/9zl549yNlzcbbrj7&#10;hg0a6b4Qz+rMGbGbOg1PKb6O3kY3+Yzg0Ei8+5Pit4w6EmXqiU1l6ciRY4JVj8n8R+X5DmuZNruH&#10;sS0x17vnRJ4uMbPAmSTDde+99772s/uYx8q2Lru2HD+6pNg1cm1t5IxFHeMwD9jW8K+tw3LawJ1g&#10;YfpQpo379F6pZ82GX8GR4MeQf8z7DAwSvwU5d4iN8n4vwv25d/YH/x19+w5UzsU/7+2c9nlHztJJ&#10;r03RWDTEcwOngeWwFXhxWJpiO+rAeGBCypzD4DywnPUF+8HZUIf+GbFa5s2br9fIAMGN+H7mvOde&#10;sOCSJUslbxjFicyxWM5h5JRzhXfivFS9tuYtojJyxh827g3hHdco75j4wBuCHXcKX5ijGMt/3oKU&#10;09NfdfwuNWr0lOCAKhLfuJpeg2/BlC+8MFRxJBgzHqbsm/GlK5+a41oP/ETxakR/0uTmggtFp7Ly&#10;oxdEHn1OdBXxa4OM96aNTmKC+BkqdVT8Z18U+5eTEQws9uOJCbtcudRTcuZF4tyRW0LfIK9k/eLl&#10;ud3HO0HiHSnIvsF9wXGzR/H2xcaAZ43g432yBx8qrrc2y+29JGd9qvMneAsshg12bOK/jV8HL7dL&#10;7Fzof0j+B3Xs0MU98MADek0duI50JudstBzBejfwnsz16zkj/gbGLRDbqgThCkt+LfLlS+7oqZt9&#10;twu2ZB5/n21//Tp/X3nGTfs+lxiNkRjf+PsEoxJ3CL6Vdx4dT/5X8V3he7Vo4SKNSc93DQ6W+Nv0&#10;eTlthKtQoaLb8cZusZtZ7mZJHFawHwmftcSwIq4p8U2JqUrMLWJsbd++U8bLFJn9fsHlmRLTapvI&#10;6We5qSK3WLlqjXD+2/ReG2vNmg1u7bqNiuVWrMjS+AbgRxJYEpy5c9ceic21360TX7P0Zz3MzxjM&#10;v1riay0W2x7aqNuxY5f2YU179+FD87Dbuu0NXR9r5Jq10cY4WVlrJW78Or0XnAv2BM/i33fhwkxd&#10;C7iQ9RDLizVRBuMuWbJC7wV3kogRu3795ijfeunSZZVpow+JTY3puIdn4q1nYpD4Lci5w/fg1vcg&#10;3I97dz86dHhWbWbgH+18ttzOaTuj4Vo6i44Wtq7EeDb9fuIawn+A4xbK2UUO10E78d/wm259yE2n&#10;EWyH7QD90SsDD06aNEXtC9BpI14LseGIF41tgsUDaS96ZiOEx4FXQdcNvbJNGzdFY0KzFtqYv0KN&#10;mco5JiVuFrnfLpEVn1Z9R57NnrOgOTpu/C4h/ytfvnwEN7Zt5wxTzpgxU3Hrf91/v+IkMGR+Y8Mt&#10;tRn0qZu37td6jsOnXXQNOn0iupI5ig2r1HnHLd0U0Xc79vZ51+nFC6Ln+Lar3/684JQINwwvFsFR&#10;+fglBwPd6Gt4qUD3yT3M3WP0Vw7du/z2kT2w/WCf8tqPLQe+EOzo653uV1sj5Nn+ffZeYn+N30dL&#10;iulkfTxXvknuQ983JSVF7a1vxYPiC8rDiFZmHsN75FzTRr5u98eCG78RXQZJiZJKfuMq1/smurah&#10;Q4e75OQk+S/UUP5rNXEPPVRb+XeexbC4jxt5XntOuGT8ffJMI+Q7gWwezpH/U3xnsA2aMOE1weUr&#10;9P8X/8XAkfx3AzdanlKhgtqeE1MLvhVcNn78JC0///wAiVc1XOvAaPhMJ94OZb6nI0aM1uupU2fo&#10;9/XZLhG9UWIM8P0D3zFeixat3SuvvKrxFNAT0Hipwv+CwcBvYLPBg1/UWF0tW7TRmK4d2nfWMQw7&#10;Mjfr6dt3kOJCYjk0btxM+4ALwYrduvbSPqxx/ITJqlMKjuWae0ngU/Ak+LFfv8ES57OOa9myrcag&#10;PSAyF7Ah/4fBm+DLhrLOzp266Zp7yh7DX4I1sdcHa8JHwj/CPV6//kvIPf5P7udikPgtyLlDrJT7&#10;OxHuzb21N++/fz5X7OifX5yV/IYi80NmxvnF+YMuFbph5JxZxOIzPTPODeR5+MWjbH2Re2eKv2Rs&#10;CIjlhq4ZdWDDjh0663X//oNURw1dNT++M+MTP5oxGQ+dL/TLOKcsJjRtxJdm7qTEXWIjs0XsrHe4&#10;hp0K52vZxyuUK1ZMVbzIbxMJLo16MCWcGtgRnEQb1/79YKiy5cppO/39tnhlww3gCXgpcINhvAgv&#10;lqMyUmSp5pPIbCRir+lDMtsJcuStdi+yW9O3I4/tb9fkbx09K5hIYmOXvCzc2uU88aOPG3l2sCPP&#10;3uYG3o733ODEZn0uCQ67KePH9sjXObW94Z0kGYZTjBcHNxom9vHkZNGjqFSpkpsg/HgZsSPhv0p2&#10;VnaUFzS8GL3nBk6M1sdcHzv9oe5HUsK38r59K/zwt67pc5ei2HLq1GmqW4xvLL4LyL0pg5vseSz3&#10;98XqeE7eg8OHD+t7zXeO/1y9e/eJ2pijNwLOA0uiA2yY0WQCjwrG4zu7YcMWzXfv3qffQeqp4/vI&#10;2rgeIzFRwWs9RAZADs4jB0uCz8Bl4EnWT9waw4ncC9/I74TJrtEdWLx4meKvJUtXyH/B4dqfe8Bo&#10;4DrG98eYLbwosbUmTZ4WXdfwF0fo2lgja925c4+ul7hfrG306LGa9+kzUPwfdda1gkfBjjw3awYP&#10;9urZR+T3Qz3sKHzqpm0af4s1E7OLOcCTPnZEro38Gt3JUG6d9zkYJH4Lcu4QH+X9XoT7c+/sDzIo&#10;OEe4Ov/M8st2foEdOWPBLtlZq/X3GDzBf3dy5Gb8RmNPYPXog1mZnHYwHXpk8+cv0kQdKVK3UP2v&#10;dO7UVc8f7gHr4NMPXbHON3yvUI9em91LznjoTHJWkfDbNznzgqtYC/86byt3w7P4z1aY8p//fJ/7&#10;8333uYEDBikG4jcKOfVjdeoqJgRLGsdGnT+29QE3cZ/PwRmmsv6234YbwT48r2E8sLvZQPi2EeDv&#10;2GvqwNgk7rH7fD9L5ueIvodEj87Gsf6MaWNUrveh2JaI36PSYttS6ivFS9itx+4rsmnwM/vB8xmm&#10;5tlJXOclvwYr4i/J9EBLl7qmvn1sbwxLEacQmbTh6hyRNfvJx8uUaYPbhnPkHeHedm07uspyjb9T&#10;4or7Mu7YcQ2HklsbOeMePn5OcXWy7EuT3p9rHW2MxzrBnfDyR44eUxyYPmasq1qtWhQ72ucfm/vP&#10;DJbt0rmb8vXgtC2btygnj515gwYN1cYcO3Pj/eH1kduDM8Gv+JgcOXKMfm/atG7vBg0apv8J4dT4&#10;foPtwH2HDh2J/lfErs6+U2Apw5jkfOeQD3PvqFHpyinCLTZr1kL1B9EnBCvShi7hylWrdb+7CG85&#10;QfhC5ho8+EXFeV0ETz/Xu59yoZmZy0T+0F9/K8CojI9smf4TJ06RPeiuWJR66pBHt5bn4bcIXAj2&#10;A5eyRtZMH2TS8IdwrcxJmfvBtWBGbPfpzzirV6/X9jatO2gcWH4nvxDbG2xnsJlBZo3OYyizjn8W&#10;8h0PCicEOXdQzxzOG/89DPel6PblypUryn/Enlex17ecXz7nEofniXI1ubSdk3M3Xoqcs7nIWnOb&#10;0+pzmYvzGr4GrBGLb2KfMa9rODSw0H3/fp+cv9Wi2NE4R9pIcI/k8bhFsBh4id82dETh4hqLDN/4&#10;SOa3ffZxIzwi+A1cR8I/JjJ58IHJ/80+IvaaevNZZLYT5GZnQfv27RE/SlZmDBL9+E9BmblIleud&#10;dkllz7qkchKvJ+mi+I+85HYf/iiu/iM4GYzI3tm+gCMNM8bbo9jPwGLSJN3/rdqNoP/HZ8nnqtgt&#10;Dn8KtiaBj2PTjBmzRHacrPE4weOWwJX4sUFH0DhZ2th7w+zGzVq9z+9an/2Hz7hB489H76EP/Vlr&#10;7PeC/2FPPtE4+pnHPrtd2ztBzruMj3OwEPojPB9+fvjvBEffv/9gTWB98BO8Pv8FOnbsopwdWAm5&#10;Lf0bic0a+ntPP91SMRHyaP7jINO2+pq1ailmSk/P0HvAfvCb8G/IheH6wFTcR9onsuCvvrqkeGv7&#10;9l2Cmc+7OlJP+euvv1EdRuZGh/Ldd9/XMV8c9rLaNDMXY1CfdeO/KW2Um8sasYVu166T9snKXqtr&#10;ZCzWyxp4Hp5l6NA0SS/pGtu26eAmC3eJbdWCBYsFD36gfabIs9ozMhb3M9aBg0cEl08X3jVD+zMm&#10;+pfY93300Seq63j9eiivzu9MDhK/BTl3fvsSthcdlgn3tvj3FnsZ4t7aWZVbbmcYZ7clzrLiSDYf&#10;uT+f1ft1VrY2cJitPbdnK0g9WOg///N/uz/96U+KD8F8K1eu0jJ40XARv12UY8fkfvqBp7p27R4d&#10;gzru6d6jV3SdrF3xkWAj8AG+zw3LmY8k7CHMTxE5Nu3ouVlO2do3iwwTjGgJHAhWxNcSbYxFzj2W&#10;g/lIXJv/zI1b9wh+FF/ogh9Ll//IZW+P6E2yXvY49pmNi2WveE7Go4/xr3nhR/VblIDNEPblf1V7&#10;47LlrkRxI3iNvQEnGWcKriaxXyQwMnYlpOef7+cqpqaqjqBxq8apthQ9vYqpFaNYkzFps3HB7L7f&#10;eeotWRvzGodrOX0YCywLhjQelHJqaiXXVvwR8L7m935aOzn9iWmjNtvyfmRkTFDdYMaEa0eODf9m&#10;qXevPioT4HrjhoivR3jB3W/uUyw0YMCQqE9DdJNPnXpHubUBIjNGfot+34kTb7tnJI4ptjbEMyW1&#10;Fxx3/vwFbZ8+fY6jP5zctWs/uvUbNqs8m3syhUP88ccf3T/+8Q/5L7JP9J9bax/6cg/3Uh47dqLO&#10;98MPP6g9DXJn6nft3qv9dFyxr7F62hh/ndjmUJ4+Q9YgOBpbHltj9+691Yb6hNhd9+jxnPZPSxul&#10;z869lpCPjxs3MXrNnMyDnPsn8Q8J97ls2aoo3xj66Mn7nAoSvwU5d4hf8n4vwv25t/annNh9oCsY&#10;e+7Hu/bPMCuDzSxRZ+U7mdtcseNbfexcVu/n8Z6nMHWvvjpO5ftgOMNA3A8OMqwIFuK3y7g12ulL&#10;PX3AT4aXwJCGJ6nbKjbp9nzgA3gqzvs5c+Yrbhw4aIh7VnxMg/nAc+i2ESM5Q3T2wIsvvDBMfR/V&#10;q98gih/hiIYOGa76qdhNgAGxR0eGyf3owmET37Pnc9oHG3fwptm6L1iwUDlSOBnio+Bfe/P2fWKf&#10;c9ot23Ba8RDrzA078vxwSf5zgye5Nrt0+sRLW9R2Bjt08c+ZcFF0CL9X3+5weGAx8BnY0HCw4Vz2&#10;BixMMvz8ovhzLFGihCY4KDA0+2icKjLr50RmyXjGyTIuON34WO7hGi6WNu61Npvb/JCyzyTauQcc&#10;C46Eez5x4oT6FEdGDt5j/wqCH9kje5/Zb31HjHcnl3HiJTh+v55YjIMGDf1VjBXksKTr1yNxZ37+&#10;+brgpv9zS/r73yO+tcGB4EHa/X60k2iPl2w861eY3O61OZmXZOv99fp/Vr3E2Hbr5+f08a/9Mv4c&#10;w9gyhTvzgsRvQc4dYqPCvSfhfv2+9wud/Xhnd251dn79XvLcnqOw9XCzyaVLq2yzgtisVqpUWXwW&#10;Tda9I0d3jRz5rD82mJHfM+TTYCbyZeK//LHHIpiKNu7x9/NDwQac903Fth3f1+AZ4imD+ZB1oqMH&#10;94RdhPlpAQuq3bn4vaS+l/BN2OGCoSij5wfGoR86cMTRo4yfJPrDT5GDf+wavDhA5KDch31H+3Yd&#10;lcMDC4GB4NHgR1kv6/efO17ZcCN7AF4GVxqGju2P33X1USR2M0klflDcCA7btm27cnlgeJ4JHzUr&#10;V67UODJLlixVf6Lkr6aPE9vhYSK7bSb2K6VUZvvUk03cnLnz1CcUfrq5b/HiTOUj8WMD5h87NkNl&#10;12BD/Myzv+wROZ+bYdUZM2bpfuNfijR79hxN3IOe4ZrVq6O8LxiS9bJWMC/+B/DzBG+KjJw95P9P&#10;fnvovyP0Z98tgSULkhYsWKR6F8hsfUxE2TBTBA/+pDgwN3wXwY4/KS9nfeAGKdMWL4EnwX70oS98&#10;IckvW53ltNm4Ng+5jyV/+eX/6tpjn+d2r/3Y1sY1hjEJ8z/vgsRvQc4dYqH8341wj+6NPUIHvErV&#10;qvme+bHn+h/1Gp4PfTkSvsFLly6jsjl8rrCP4HC4PsU1gjVsn5BHI7dFTw0bdfqBP//0b/+mePKo&#10;2E8sXSI4RTAKvmcUOwqewC8StuXgn5EjXxEfKK0Ud5jtAzgSGwkwIP4v8eeHDRGyRxLtO3fu1Bxb&#10;CfDQ7NlzFXtyD/GWwTn0w8aCcfFtRI5fJPjGTRs3KV4Ec9AG9kGei8wYDrCgnBkYkd91S+BoEtdg&#10;StsrcuytI/563hR/mB+7jXs/0z3BFw22IuBW1qM+amQ/4U7xFQ8mQzeNPUZ/jlguFSpW0P15+OFH&#10;VP8PjpbPET4WzhacDI7j8+O54XYZN03s99kffJnSB3koe81nyxjsHzqHcLR85q1atZXYiL0Ue7IG&#10;7LbBjyT4T3hIfFHBW/LZo4OIPNu4R8Pf+eFH9sfHkFaO5d7zusZXEDYs4CESGOlf//qXpv/+7/+n&#10;fB447+rVa5qQI1vCzvj774lpGIk7CEY0nEfbd99diaZvv/3Okfw6ysjB/XqL+4JOIwndSLuXnHbm&#10;t3mY03hNMCTY8Z///Kc+hz3TncjNFsbPw7Mv/7MvSPwW5Nzhu5H/uxHu0b2xR+iW9+078JZz2z/D&#10;/+hlO5f9HMwI9qMO/+TgRq7XCpfHdWnhJvH/aDgSuTM6peBM6rDJgBNbs3qN+1//8R+uREKCYh1k&#10;mLSTGAM8Q/ydasJngq1I6LJhA4GNLfitv/gywp8JZeLeEWuP+D20165dW+tWZ6++0W+uQzePNuIn&#10;rxU9hVdeSXezZs7W9v7CL3YSPIOMvFPHSKxlYi7jzwaslp4+VmMwIy8+LTYghhsLwpfxHsG/wjPC&#10;N8Kzmrw+FjfSd3zmZcGO6DnudU92i/iRBFsdl3WAv7HJ5zmIIQ1fOlBwHbbAVQTrgsuSSyer/iL+&#10;uOvWq6/2tH37DlB8ie8acN+qVauUT2RPkUenpJRXuT8cIfgaLA52hG+kHdyNX1NwPDncL5gSLKs+&#10;7EVXABwJjsUWCv4yI2OCcrxwv9nZ2Tom3GlCQgnF48ixweDIlQuKwe076b+ThS3znqKrAi4zzAh+&#10;hHe8fv0X5flouyR2xZfE9sVi9FlOPWXDepQ/F3sTjRP46WfuY7GpxrYkXv6ptFs/yvSxXGPAyH0f&#10;fvhXrbc2+pP8+Q2PgkPRSWTthoF9rHc75fCc+23nXJD4Lci5w/flt70v4b79vvbN/PPEi0lo59Mf&#10;Nbez2OSCvixwmNhwVqxYMSofPHb8uHJg1mfKlGnu9anTNYFd8AcDvgTDWR/La9V6SPwLllEek3Hp&#10;A5+GPHXM6HRX/UHBjMKdNRSsUrv2w4o74QKRHZ88GbGxhStDX4++c0W+3VSwJXwbth+JiYmy1gqK&#10;P+Ev0WskUSbhG3P+/AXqFwm+kgQPRj5IcBnrUawm/Cc512BGwzrGlRX2PTFbGfLYe9EJpC651A07&#10;GYm3Y58H8yE7xyYEX0/bt+8Qu6MerpZwjDwvOBtcCMdKDk6EQxwjWBn+j73Cr3x78S+P7Jl+5tOG&#10;fS4rn8UQ0RuFG+R+2oh1hM4AtjD4LoXTbNiwkcq64TkZE//1XYWvBG++LrEP4RfBtKyVuEjg0a7P&#10;9tAxidnJfwP+s4HJY3nH2P0oqmu4xzHpGepnBo7OZNbIg/FFg08di9333nuRGH2WU4/PG7Aeyfzf&#10;ED8Gn9v4RvTjBFqZepL18a+JI4gfnti+9DlzJhLr0ObH16LhSWykwY9gXp7BsGJ4HgV3HgWJ34Kc&#10;O3zngnvnwr0vvr23eIRFdTb9Xsf1cQoYD71DsJLZHHD2g9WsLl5u95Bbiu0HBntLeEBsfLG5pZ06&#10;PxEb77RgORKyUuTQ+HVJSkpWLAIXWL36gxLvrqTGSElJSVF+88knm6h89vTp05qXKVNa7COGyLkt&#10;tsknT6ldzv79B+QMj9i75IjeYs7Zs7IGz5eMyMzRw2P9cGX6HHJtuLegfKP/HqAPCg/L73s83Ehf&#10;ZNtwk91GXoxyj8mlbuLH9WKvA26E74OzQ45cuXIlfX5iZoKt8bUD3p4pnGoH8TcPToNzbdWyjfrw&#10;w3c83CJYEK6VMlws+Bhcx730hYuFhwXjoZuI71L6wHFyPWDAYJ0P+2XszWxuuEn4XPQk8RmIrxx4&#10;0g3rNwgH/bArJfqXcJGqLyr7y57ae+fvV1GWsf1q0ryHO3r+X8rXgbvAX+AwcBl4EMwGdgPPGa47&#10;ceJUtB6siC9Iw3ZgQvrik5uYLrGJemIeEhuGZLFkLKe/1ducR44cE149kqiz+Q3Xgl3BumBe7Frg&#10;HsGP4VlSfGdJ7F4Hid+CnDt2H8Lr4N7BcO+LZu87dOiiPFZRnk2/x7Ht/IbfUh85guXghZDRkihP&#10;mDBJsdrcufMUu/htfpm+JPCBla2dHNxDwnYZvJKSkqL2Ni8I32dtET+FJ1QvDt2448LJkZBPExuR&#10;VKNGTeXA0MdLE3sPMAy4xk/wlBUrpgqGmR0dg3aTP4NNFTueI67vTZ+Y7INhRXKuSYYb2a+CfM7E&#10;H0GOD+aGg4W3jXef2c5gm3Pg5GcuuaT56Nnrurz0qeIr5kYHMTNzqdsq/Ri3tegvYlPEvoJN8VOP&#10;XJsE/4ePHvYUX9adxb88nwf9/EQ7fGa16qIjIBwkOJFrxuIzxKYFfI89+4wZs/Sadsajnbkp0585&#10;bf6pwkFzvVD4ZPqhdwkvzFjgcfbVfG9ji8N/hHh7c6frVm4VH50JEj/x/qtuUtZ1xV1weODfFSuy&#10;1f/2uHETFTtOFi4drhUMh84EGBEMRww/sDT4eOzYCbq//foNVp+L+GLEByS+bohbiL8bcKHFHOzT&#10;Z6BiR+ILEquGa9oo0594140bN9M+4E3qiVN46NBRXcPChUs0NjUYknWjC4ncOuQei+bMKMxZHCR+&#10;C3LuwuxR2Df49zT8DAr3GewX/735xZK50+fU72G8eLgRPAFmQy+NhF4hcs6SJROiXJa1+Tn9uOZe&#10;ZLD+GNbP9wfYTrDQgw/WEB26Dipn5pyeLrJS+kT8E+7VnGvSwYORPGtVluCnbVqHDYs/JteWiGGS&#10;nFxadQH79RsY7cdajh07rvLvd87kuHOCHcGG2OvYfuSV5/a5tnhGYpiL3BZMhD06upzTp0Xsz8G2&#10;YGXDSObfCBvnWN89xJcpV+E95R+TSkRk2bYe1gn3iCzf+FHlRgWPkcfyuFwbXvP7WdnawCt16tSL&#10;8Kw3xtI+HucK3os3p41FbvNZbm1DhgwXfFZFMSM+EvncTc+VPFV8UNre5La/t1tPHPXSidfUZ2ZS&#10;wlX1fzRp5U8a6wXfiF2f7RmNMQO+JhZ0uujowvuBHeEZwZOtWrXT8p69BxU/Tp06Q7laOFawHv4V&#10;wZLwuOyr6eqio0v9nDkLFKvSxvUs1d09phixv3C+9AevDhNfUoxh/CP1YEdk2GBHeFJfbo0MPuQe&#10;C3cu3MlzNEj8FuTcd3IPw7GCe3/Dvb9174khQ+xZcCPyqts9f+6l+w2PwGmBC5AbgxvBVpzjyGzR&#10;WUNHbvGixaqf2KBBI62jfrvYUpBbwq6CRH/uN78u1s/3B0iZenLSQJGDoosGN2e+CjeLfJOED0gS&#10;/ci5j2Rla4sdk/qFCxaqnTQ6kDVFz5L7sMHes2ePYknkssjIwUT54cfcPnueNVWwD9xi374DNfGu&#10;oT/o3wMWwebI/Bcho0aGjS2634+y+ghXu5l9buScv0UxrdklzZ2/0tXr+I1bv/sT/eyiuE6ewzhU&#10;P1fMd6MtXnno0OEOH4h+GzGzSeyLpVviaOcyHmvxE/euWb1GsSI2PWBFdCLZC/YIfM1nU65c2V/t&#10;Q+y+2Dv7W/IBr32tfGNSwvcu6QFJktft9L2rU7ee6DS8rTZNxHeBBx41Kl11BM6JfPrdd99TuyPK&#10;xP4jpiGyberBmFyDJ0lpaSOVkxw8+EWxH5qksf6IgzhSYiIuXiwxByX+IJwl93Av/RYtWir89zmN&#10;IwinST2JfowJZt269Q3FqcQsJL4NnCMy6x9//DFqLxPixlt/+4v7LAwSvwU5d3HvczhfsO/5H2X/&#10;x4wZp5jE+J/Ys+hOXXMG1hPbVuVQKlVSG4I7NXZRjOOfvZztxBvG90oFwW4Jwi8mJSWpTiK6bWCy&#10;11+fptwgNs1gO/yv4LPFksVmoQ1fidxjGBC/2yT6YruBn0U/2RjduvV0yTIv8efoh+0099l8lLmP&#10;/jae+cGOXY+129h9JL5KiRIlhIOsKDLkKnIu11V8Cz+KLBd+jH1gXwq733Bo+L+JxYqx4/B+gJeo&#10;BzPCN5qeY2xfrtF3xOY6peqZ6Jr6ig+h+g2bSUzt74Q/+154tO81Zjlrt2SYz3KrzysHO9atWz86&#10;Bn3hYf3k32/1fl1uZevLd+Mh4Uv5XP33z8q0sz/YeFtdbrnpD5DHS7nd16wP+3ZV965yg+9d9ro3&#10;NOYLvh0tzgpxZYjLh6zYbJzxzUB585ZtGusPjEnCJxI6Aci8J02eJvZFb2kZzjAn55ziULAocQGJ&#10;A0h/uEbKjEn8wVWr1igWJJbgaPm9wvcR2JBEeeWqSEzE9PQM9cW0Zu0G5RsNN4by6rvjLA0SvwU5&#10;9x8FS4TPeXd8z4rrc2jY8Imo3DDe+Xyn6pAncS6iu8X5xzl4p8YuinHsbMXHTiXRxysn3BecH9zT&#10;Q+LnBg4QPzJJyUmCsx5TW9nyKeWFMxurfrMNqxEreLn4727Tpp34vhmjOI+4LewBenDY34IV0M3D&#10;X0z37r2iuJF7ucbnIJiwS5du6pewktiAYD+NTxj8v2Bfgf8X+mDz3Lp1W41H17FjZ8W7zMF6MjIm&#10;qA0IdiBgxmXLlilfhM8dbH2IswI+wj65bMU6LrnsSVf50VWqjwffZnikMPsN5whfBt+Y333YJFep&#10;UlUxK75uataspfYzsX7VbZyUqjmKHctXPq9j4xuAd6xs6jnlzJIk5kxSye9c6eRv3a5Df1XO0HhB&#10;crCc4Uc/97lFK2OL1KpV21t4R2vzOUSryy335/fnZC3Y1MM/xmJMw358Z7C/R9YPhxvbj2t/Lb+1&#10;/FTXHJf68EH31ZVfxP6+j8iM56vP7VOn3nFPyHsGBwkWPCL2z8SUpmwpO3udGz58hGI4Yla//vpM&#10;jf1M+/sffKjxovFzCf784YcfVH6NDBuct150GeE44Q0pExswLW2Ujg2mRJaPjx+LLUhf6saOnah1&#10;jIH+JH1//vnnUM/xf+6usyxI/Bbk3MV1lofz3F3v+738ebz//nmVVRc09qCd2YXN4Zw49yzeCveb&#10;bI42YrPASbEOcrsu7Dy32x/sAaYjIftEboj/RfQMiXn8zDMt1X8N+oLYNuPjsEpVOLo6GpuPMjEC&#10;8eOCHQR6d2A64obgEwbfMMiv8Q9IO9f4te4pslnO1tHif0f9Wot/QHBl/friG7CnxAWUa/rRB3sQ&#10;sCsYAkzG2sCitIEPwYDcB6/I3LSRE0OG+eBFuYb7ZA7uo455WROYrXmLTq5MhRMSn1rsJhI/cjUe&#10;36GYCWwCR2a4uiA5e4m8Oj/Okc+O/ec9QX8CbIQM+y9/+YvWUU/CfpxnoX/dtp/fsLkW23DRgeQz&#10;S05Odk90+1Q4SeHPEr8V7PitK1v+G7fz4IdRvUZ0DU3PMF5uuoh+jv9zdDXRW7B63/aduthr62c5&#10;c/nleHMr5vT1KSkLzgUHsgZ0WY8cOSr6opX0s46OgXz8xvi2jtg1Wb3lubUTj72yYHjw10/iI5GE&#10;z+1r167dkn744argv1vTlSv4C7+1jmv0Dslpv3YtEhMGrPf3v/9DfY5fv557/D/zL0mf3BJ9SNhU&#10;k+AazbY6lFXfHWdqkPgtyLnvZQwRPtvd8d0q7s8BmRB84O1irrzuRxbOmQ/fGNuPOngm85mNTbH5&#10;yk6VsxFuD+wBZ1UQ7BE7fmGv2QvWg5+iGjVqKu9FXBd4H85uzlr0teiHzSc+/sBxjzxaR7DOw7pe&#10;fP9F4rwM0LP+5ZdHuW5de2j8F3hCeEFis5DAAoMHD1WsiZ8/xmvfvpP07xm993kZj2v8BRLnheu6&#10;wrfAreDTBS6yt8RcBgOCbciRo6O3yPXGDeu1LiNjvM6zQfzQMC9z4ceGMrwk5SHijxB7hpqNlrmk&#10;Mu9J+lhk838T/HXZvTb/qPJcxoHFy30sae27d+/Wz59rv90v+58TepC+/gRxXewabGn/Qx6rU88t&#10;3HBJsONbih+Xb/1S/QzhOxMM2aT3F4Ifv3JlU/7msrfjX/CmTTxl5PDYN5Mo+8n6ottqZT4fbHmw&#10;f7c62i1RZ2XLrZ+12RxcW9lfA2Xstv01aZ3gVcN71h/fSvDgW7Zs1bHsPpvL1mA5tvOWrC6vHF/1&#10;b4mfHYvtgk9wPxHjxXyA4xPcyn7u16s/8Rv9vvsuEmMGLAmOtBgwZg8N7vutCbyITQwJzBjixrvn&#10;bAsSvwU5d3Gf6+F8d887fy9+FkuWrFB+h/PYP7vvdJkzCMyT37i+HxLknGAz/BUit8Qml3HAkfmN&#10;czvtyEyxAfbHMIwD9hk5aozGA8TfCval+OXDDwk4E75LeT7xDQgfiXyTNmypyXkm7sGHNH5zwHdg&#10;UNrwP9i/f8RnIH4DufdRkYODu6jHbyHcJP4JucZXDPqWtWrVVpk2cWDwc4OdNdgU/JeVla248JD4&#10;L8SXYcuWbTTnGj+D9CG+M+U56scwXftQv3Td2650+Y9kjs9dcuKXrmLtLN1/dCB/ixyUvcFGyL8X&#10;DtPwJXvs73leZfbMOMinnuknuPGApDcd2JExwY7btm1THDcw4323bOM7agdvduxm606OHZDZu/M5&#10;UWft9Gev7D64ZuygidVodbRbos7s18mp98fg2h/b5vLnZz34SPLrKFMHzov4V+I6YqP/RKOn1H8N&#10;a7f7/HUwp63JbO0ttzVa7vel7lH5PzRl6gz30cefaMJfIvFcLKYLMV+wY74o8uVPP72oOWVL1Pn1&#10;H3/8afT688+/cF9++Te1ZQGPGna83fiBhhX9/F787f69PlOQ+C3IuX+vn1e47hCDxr4DJqtGNpzX&#10;OX07beA8sBjn/O2MY/eCjQpiZ2r9f0sOvwnnGHuv4cdly5aLbn8d0V1sr3JquKMOwhOmplbUBO7E&#10;/x/1yLHhA6cJp4cuI3zRoUOHFQcSm2XQoKFqK0ob/YnZgq8/uxd5stUzFuPSTr9GjZ4UHy4PCu9U&#10;QfnIN9/cI9ixktgYDFL7HThKMAScIn4fwYa0L1+2Qq8bN26mGJQ2ynPFByJjIGsfPvxlxSErNuW4&#10;MuU/F/7uM7FpOKv8KPi9qvCAYDNy5Mp8LvjfM14sVg6KjB2+DjkofWgnmawVPAnmKyh+5J3lc4J/&#10;rPlYT+UcsZeZl31OdQRYD/wa+Ie4L/DVZg+PvoCVwbL4OQLTY+9OMjt4+sHbml06ZeLslBUdAfRL&#10;rZ7cEn3QA8BuiRjVfh8bi/HN5p51kJifNZrtPWumzk/79++Xd+eQ2r1bPfcQ6yZF7LKp4z6ehzFt&#10;PstZC+uyxDrNXos+tiZ7FnJ0JdCFNt/f6n9b9BzRdbR0+jQ+TsWno9SRnzp1OppTtmR9rB/21+fP&#10;X9DYM74fHXhHi4Xo47/ClmN/78Lru+MMDBK/BTl3+P7dHe9f+Dnc/ucAPgLXxWKkO3UNpgDnkd8J&#10;rhAdPDBoUWJdnh15KTbB8fbB8OPevXvd0qXLIzYTN/TSwEboOhoeIkd389ixo3qWc55rm+ikUW+4&#10;wfrQRh3945XtfhsPm5gxY15VGx5ix1CeN2++YMB5Yv+yXLlOdOIoHz9+XK/hLCnDWS2/Ua9lseMB&#10;h9BG/zeF6zwqvh2JqQiXBQ4z3mvQwBeUXwVDwgXj75AcOyJiqMTKQNPFbihZ9ob4KdZmclxwsclj&#10;0ecrDH7k8wE/pqSkCHY87BIT3nRV66xXHVriRcPVgafARYbnsCdCH9RycJRhRPqA92hHT9S3Uzc7&#10;9NISgwc/RthbY9tk9uy0W3nN6tVRO3m/j43J+JZsXT6+Yz181pYbpuXzMRxMf9bK/dhtwT1TR1/u&#10;NZxoz2rrt7WxLkvWx8bj2p5n9uw57n6J5bNp0zb533JYfXGDH/GliB9uYr6QrEy91VlubZZTzxj4&#10;1NHYhRJDkBiHyMXRrURObbLm8Hf+9n/n77Y9DBK/BTn33fY5hOu5975bxfGZduhwZ2PHgOdMBw18&#10;B+9DDt6Lh8EKU8f5zzjoQxaH70lwLvqOua3R8COyVrCOyWCx9YyV5/rt1o86P1l9YXKz38Vf91tv&#10;HdIYMug+ghXhNQ8I36bpwAFpv1k+KPVcq0xTcivbdeSeiG9x5JqkQ8J1IQc3OSe6ddhiEweaMvXw&#10;cQ8KX8lnVFtio4Ar2cOqVaupXB3eEQ7QEvORInLWE4pN0dXjudjXgvKPpkebXOqIyqzLVclWmyTs&#10;k8CsvDuZ8m7CpWIjNH78RMVF2BFlSBkMST3+buiTnZ2tuLGfYFK4YPQPwFjIqNEhTREb+pEjRilO&#10;nCI6CQ8/8oj2AWsh++cau3izYQersS+MBVfJ9QjRfa0n8zM26wGrNW/eUm1/jPN7Vv7TsR5iYPN/&#10;AEzIHrdo0VqfiX6sm7iG2Jv1F64Z7Gc2WtyL7VNGxgTlDnuInf64seNdU4k9jm4tNs58l0jsBf3Z&#10;M7A062Kd6FzwzOiakpPgp5cuWymYfZDGeiFOIP4Z0S2BdzZ8yDqJF0Q/sOKQIcP1XvAn9tToaGDf&#10;tXbtRvn+XAix411mC12UZ1CQ+C3IuYtyT8OxQxxYHO8A/jLAdWAk7FDQHYO/oUy98YTgQRLcJAne&#10;g2vuoz+Js5s2bFs4j8wWhnODcX2b6tywWF71jIm9LTpm+P3Lq++dakP3kz3A9449T+zYhh/JwTqG&#10;d6xsufWzdrv2c+sbm1uf2HrDnWBN+El4u9TUShrPBj7UOCvlskSubLwaMmbkpTt37lQdSvpZmfso&#10;W1JeS/DJVrg4yY3HAp+AL+C7wF0m/7Qc+yDeI3yYg59eThshsXZej/bjfhJrYi0mZwVTwmsiz+a5&#10;bL9i9z3eNe9jhVprFTsmJux1Q1/d5laLj5vHH2+k7yi28NjKG0ZEDgsOAi9u2WzYcZL4MeoawXCi&#10;i/qIYEBi93APdkaGr9AvxecM+qpgLPQD6INvdnwcgcGidvLSp63oNeB7kP4k/DTRBxsl7p8g2G+h&#10;2N/Xb9BA9Q52yp689NIIGbOJ4lP0COgPdkQWjR4q9lXoDmMTz/5WEnsycB6fCToE+O6B7+c+nhv7&#10;fJ551Kgxim1ZD3ODK+kzffpM8Z24Sp+DvaQNLAy+pf1pwcLo2oIBX5s0VfRh26rvRfwv7tixS3Eg&#10;MV/Agj3lGdHFBRuis4svyA0btui6+T0Y/uIIvf+kyLf5HUIP44LwjvjjCWO//DHOvyDxW5BzF8fZ&#10;Hs7xx/gOBfU5E7sYGWJ10ZXjHAGTYYuCnh5YD54BmS1ySBK2rKmpqSqT5D5858Ex+O25Yax4Z31h&#10;6lgj51lh7rkTfc2Wl+fN7dkM2xVnfuHCTT/U+AU89945R7xpdBbhn/gMVR4rMteNkpCjYhNsSfGe&#10;4BzwoOJCwRvgxB3bd+g1ZRL9uMfksOTY38DBmdwzOytb6+yanH4mCyUHg1g71zYeWBMMCX41/HhM&#10;ngEZNngYfMy+FuSz5D9M3YatxQ48wj2WLnNMxwCXwD2CY7KyslTv8wWxIUcPtKvYvGNXDlZGHxRe&#10;canwhrQNFh1U+D5rw5cS+BP9UnQdeSfBXeBPcCX3T5WxdFz5H0WZuIvYwmO3PvbVDCkL1pOxwWKM&#10;vXbNGsWH4GpspQcPHqa29RPGvybYsL/auoPnSdjlLxKbcXhacBmYvGWL1g5uMiEhQdeBLL1UqUS1&#10;uQajVa1WVbjfMi4xKVHxMFizXbuOqifL/Kwr7eWRuhaTc8NH0g/cGnnmlhI7sIn4Bhit/kT3CceI&#10;nJnnJm4M+/uoJDAjMaXHjZsosof2YvPfXXV8MzOXSXzv4crDjhgxWnPaJkyYrFwjdjf4Awc3Xrp0&#10;Wf30oOtoPnWC+n0M5y3a8zdI/Bbk3OF7VbTvVbi/Rbu/2MfALTZ6/MkCnct2dnO+g+HIra6oc+ZC&#10;hxCus6jnijc+8jywY3E+c7x1+Ng0HnbEZgfsOHnyFAeGAEOaXx7wEDLUlwUngDnAOuPHT1A8AecG&#10;fpw1c7Zr/ozgBOHP8O1IHRwcuG+26CjC/SKf7Sh22i+IXQYYA3wTwTxDta57t56KI8GGrVu31Tp8&#10;TCL7pS/3cI1cl/XAbSEjBTumTT4ifoDOuiY9PvhN2BGes379x93ouV9EuMcS+93ytW8p5ukstkZN&#10;mz6tnCY5/Bk2Q2CwWbPmioz1kGI/uDdk7+CqFoLL4OhoexS8J/fAk4KZIlxeN+HORCYr+2H3gwuR&#10;jcNDoteJLJk+1NOHehJzEBeIuDdgzpmy9/TB9zw8aMuWbTRnr7HBBtcxP58vOqdwx/w/wA89nCa2&#10;66mVUl3rVm01ljpjofe6JHOp7jk+3nnm/v0H6Tjo1g6T7zHPMlv2AR5z585dOldHeT9oo44533hj&#10;p8oO0JGtXr2a4PCMaOyWoUPTROczTW2s+/QZqGWLD0OsmQMHj2hMGLAhPsDAhuRTxWYbOfbly1+7&#10;D8ROBj0L+MYff7w1ZiB2MeFZULRnQVD7GyR+C3LuoPY7nPfe/B4V9+fK7z/YEW4iHk65m+rAquCC&#10;INYUkcOXvm2Z++2s3ceMftnwI9wc+oFgR+ScYBZkrdWqVXPEnIlgwGeVWwYvgteQrYI5kHci54Rv&#10;BA9RzlycqdgJ7GGyWnAj7XZ/jx69XQ/RV2Me+GrKtNEH/cGIvPYRLSOjZR7kvfgW4hqeG70/eEB0&#10;/Np0flni1pwR/+PvuuQyH7mmYs9dWJsZ07Nt0vuyYMf9ih97DVvvjp84oRhp+vRZ6i+xmej6gY1P&#10;nz6t/pF4vxo3bqZrh4dDJxAdTp4FzhFdTPYRLv4JiSdDea1wq/Cx2KuDQenDGP36DRRb5COaWz04&#10;TuulD7iRa/o+WONBwZaTFTuikwivyDjgQ/qgG9KqVRutR4+Q/zDYFqGbAM/M5w3uBn+C8YgtBJ7k&#10;2Xr37nMDW9ZRnhTf8eDKgQOHSH0jtVWCcwY7EiNw7Njxyh82bdpc78OOnzY4WeyaqMeunzmoJ4ZL&#10;pvCJaS+N0jKxXcB/ixcvdVevXnU95LMlDgxYcP36Tdp26tQ7ek09NjHtRZ+FuDSMNXPm3DD2yx9I&#10;15HzLkj8FuTcxX3Wh/OFmPFOvQNXrlwR3cHyKpMOCpMVBkshK4b3A6MUtf9Jf13wnOhY5iar9vsW&#10;Vdmwoq/b6NvS+LYy6M7BFcFZIWMcNWq0nvPVxf8jNkvgOXgwsCO8E9ios/BxyDDnL1io2A4fkvBP&#10;yCpJYMeBYk/dvHkLLSPTVV5SsAl1JDAM+A+567Pim5y5wWDIaqdOnaa+0dF/ZB5kvvhLB3+g5wg+&#10;Yt1Va7YUzlHi1pS94JJKf6b+x5dsulgofUeesfyDWS7p/quCG/HzuNfVfvqiyrwNX5tPoHfPvety&#10;zp4VfvMd5fGwKwe3HT16VLk3K3MdTdJesmRJkVOPj/bVftx34167H66QpPd6bdbP2rFpsnv8efxx&#10;0TmI2LhHfJO/K3ZR9rlrLrJ95PuWzOcRXO4RWT86yMQysnZy62N1ds09fp3tl1+HzvHkydPzjemC&#10;3Dm/dFb889DHYr9gW20+eO7U7104zt15dgaJ34KcO3wf7873Mfxc8v9cOrTvopwjnFpRYZ6iGBfd&#10;y+JcM/gKWXlRPEtBxjTcaLYwduZznptvxJycs1Ffiu+cyVHsiMwRPgu7E3TRsOtAnglHCI+EHBvu&#10;LKVCirQli05cNdFtjPCO27dtd/uRp4oeILJl+ELu27x5i2LCGTNmaY6dBpwbOnDjMyZqmbZeQ1e5&#10;R+p30HWAQ5FzghPTRd8Qn+eUkRO3EnyLHB2MBNf51NPdXdIDF2/4H7/smj5/uVC4EZxfoeYYl1zi&#10;mktKkFTir4odE0vsURk2ewl+tPjR2KXnCH93UuyhorblYot+QBL+byynbIk6/PIge7d2fC1Stmv6&#10;mn4iuV37Y1iZ3O6zvn4b5cj4ByO26EcjPr/PnhU7dMF/vBc8j/9fIl4Z/+jx6v8/e+fZZkWx9f36&#10;Bs/9BZQhTCQHQbIgiARhACUHRZKgZAniDUgSBJHMkDOIBBUQJCOSzIqko8LRY+Cgx3M/57p8Xt/P&#10;+q09a1PT7Bn2DHumB+gXdVV1dYXu6t67/v1fqaR1U6dOk2+DNiWO9RKMEYNeYzD+S/Q/fuf/8Xt9&#10;jcLEb2HOfa8/t+j67//fZqJnbHqO8I1lyeElg5Xu1AaZIXL2O7VL5Xnmw36or+j9pXLcosYyzGh4&#10;B5wAXsB+pLAYc+dFrggOQpYM3sM/DwlfMcimq9eopn5lsJnAvwzYER07bEXg68YKThw27CVtTxxE&#10;5MvYytQSzIn/GHz6gDmRh5PTljHQ/8NvD/LX50dK/Oisy65ug/aueevBKhNGzgleRAbKtaNzh9wU&#10;H+ngWnhP8q1bxGfNou8E9/2quBGcx/0XtU7Bc/UadnIZlW7GsKPix9OKH9PTPnLnPr+qsbeR88PV&#10;IfMFa4Nd4T6xa0aHMGb//W68TN2t+vdU/lu1WrV4u5itUcxm3GyOdu3aJf52YglbI5Kds/GDOe1v&#10;tcG/ZMxfN+OjT8A1Yl99UnQmkbVz/dyH6S3YO+Pb4m8XG3P0HOHs/fq7LcOB8rv46qsL8Xh/Fvev&#10;sNy4RPPXaMeJ8kT/W1Hd/bdfhYnfwpw7epfvv3f5QXimu/e8r//7yGKHDRtRrL05uFeX9TGYBZ22&#10;spz3NdExg+ts0ODRMpsXHMD+rnJWwY3ot50VnT1wDhwZ+AFO0c+tHpyxatXqOFeGPPjNNxeoXBie&#10;b5nwgHkinwa7HTp0SGXMyGGJzwzPtWf3LtFrW6ncGZwX/mmOHInxZytXrhIcs1d02tYI1tsqdhhr&#10;5Xo+Ulz50qTNLqv6GZE5X3LZdY65nDqn3DMjr6ncFrsZ8C8JLteXi64RWw49JzgILAQXxr0XFzea&#10;f8e+g6a7zCp/Cob80/WZQHzrI4ofX8v7WXGWya7hbTdv3qJriK3IFiljJ4NdENe7YMFbcn6zYjhs&#10;m/GpqLbiYiOO3XI/wbwco/O4bNlytc/Gf/b69evVrmjNmjXCp87TtE18RW6XfpxH5k+i7zrRxUCm&#10;zznaMA68MFgTvG428Zs2bRKcv1ixPM8I/UPzYcT9gB8NO1pODG++CfCFAO60+lTl6ElPFZ3pIPaz&#10;ODDJ5MG+dlzc/2Hrl2xe3PGj9qWz14eJ38KcO3qfSud9ita1dNfVeMeyxF+pmguZdRh4lznxT5Sq&#10;+yhsHH9fj2Mc4RvBjXBO2NrC8+FjEd7K/EebPx1y5cHkvPq+oZ2Vpf2e3RKHLj+9K75xli5dJv5c&#10;KoseaWs3c8Ysh19A+nGOdjaPzpXPv30gtiNcAwkMiFyafNn6o4IdP3XpOV+K3uJFsfv9wb2y8KpD&#10;NmyYsCgZKfdLMtzIWhS2TonqwTL2jHYf/dHN2/CzG//Wr/lya5E7n/5e8RPjcx3I/bH/wKYZvU/T&#10;A8Xvovn5ph47GvWLKLYf+BbCjhx7EeIGKXYUXUTsiHr37qs2NtiTo5fLNwd1+APHpxF41NqR05fz&#10;lMGQ9MF+CL7XEliW5/GSyPjxqc6a880AduT6i8LZzM/3YaK1SkUdOgL4e/f/r33slgy/6Lcv7XLw&#10;evzrjsqlu+cUtr5h4rcw5y5sPaL6cN7DaN2TX3fkTXARqdhDymoM9nB4lLKUs7M/YhfAesF5lva9&#10;GnY0fAMfh5waThHcALbz48RZbDvLwSOW4LKsDG55R/gx/L+QtotPQfLJr/y3xn1ZvHhJzPei9KF+&#10;x44d2oY+luDCYnJVcGssZh+yXGS9YFYw5IpNJwU/fu4yci64SQsuOuxRuAcfF3JvwWT37efFXWv4&#10;aGyM/X4dh+Kr57Ck43HezdbWsCO6ofjj6YeNj9gFYQOOb2/uF/sS8OMgsVvGpzb24xzjNwff22A8&#10;+qAjAE8IxqQOW6SxY8frWFzXrXZNtR19wKzokdIWbIjsfsuWLYph8Q+OvTzj8t4xJ/gSH1Fwz0Hf&#10;l4lwNr9v3lt/PVJdxv/rggVLFD8a9kNvMajPyHFh9YnaFlXHOMFUVPvgOfoajoz2jOT3jNJYqzDx&#10;W5hzl8ZaRmOG+y4/KOtf2ntKqvcoxoMjKmt/QsTTwzcKuLU07ik4pmEnH9+gK4iclxwZKlhjhnCE&#10;A8SPDJgCGSnYEb8y+G00TguZaROJCQhPRh3nY74Xt2o8Ovy1NG7SRGMUt+/QUXzBdNdEW7Ameo1w&#10;ZqNHjdO+yE/BQ+AZMCz48eXxE/WYOmTeh0QGnrf5pJu68JxD/9J08sCOieSqdr9+HlyTZI+JoRKM&#10;XVS76deKHTMzPtXnxzxTlv/DdR/zi3Kh+OppJv4RkcHznPGz2FNswfGVDcerPhVlDTR2S7MYjgPX&#10;DRaMWF3sjMCF2BTh69K3J6e/2ZMTT9vKZneODTo+eOjDnNid4/dy06bNapvO8e5du7UN19ZBng/+&#10;IPmGSIZzhHdl3fidg3uTXcNguw3v/8MdOXOt0P5wm3CPN278U/EYOA2b6b/++n/qb4eY1JRJVm/H&#10;iXJrY7nfxq+j7Cdr589HXfCYOvph0w2GBO8+KP/55fE+w8RvYc5dHp9FdE0R9kzmHWBPQT8suFeU&#10;52P2wLL2J8Q6lRVuZO0NQxl2hLMDM+KnGawxfvwk5blmz56jfhLhqrCDYW3Ab3l5K/U82A5cQ4Ir&#10;A2/Cm+FPEbtofPbUl5goyF2JjwJfBg7FDzacGHJS6wOfRl/GhD8DO2EXDadJnw0bNihPCR5CtxJ9&#10;PDCOcWPIVe2+Suv9Mo4t6Ls9p/qXih17jP5O3/WpK34RPch/aXpq6G+6tvhHxPYDDInP8Llz56sN&#10;ODyq+czGnzZ+Gbkv9Bcow4HXk3XEJ1LQnhwfRzw37MnhCWlDekf4XLM7h9/kHN9D2KBjd048nekL&#10;3nOPP9FZz/Xp3V+va9q0GXqN2BqZniPvCOvKmn769feuRfcr7tH2l+V+8Wt53LXqdcnVa9TT9Rr4&#10;huI/8GStxhfF/vysxCr8ytVv862btvxaHBtufP+aq9vqW9ck97KmKhVidkaMVf/JxPoDzK96j1Nn&#10;KNcILvv3v/+tPr7x8+0n6vH7WFSyNuRWpr1/bGU/tzGZzy8nOqYfmBL8GPGP4e6XYeK3MOdOZo+O&#10;2oT7bkbrn3j9wUSknJwc5bRKa09P5bjYOpelfx6uHTuDssSOzGk469KlmD0wGARfzgsXLtY4J/BU&#10;2FPAhWG/AabEXw71xpOB4+g3QmLcqf8bkXvSnvWrJ3FBiDlTs2ZNxTP0h4/sKbbV8GDgQeroT18S&#10;fTdu3KQ+G2fOnO16SVtstOHDsKcBL3INw4aNUHwFFkuEcVL5PvhjKY6TmOM+dnz3GPLqmI/HsW/+&#10;pPqP2M+o/558/Ni0ZTfxb71ObZHgcvGnDeadOHFyvp/sTmpPA78GrrTEWsCz8k5iM47dM3Y3nD96&#10;9JhyrvjnhnPkHOOZL3LaPSOYfvW20y4z+7pr0XaUy9v2pWvYYrir92hbV6d+G1e13mxXvcEZt3jp&#10;Wom9k6s29gs3XnLdRnzjXl/9ncr8P/kyhofhBbOzP1OMHJPPI6P3E7ZCx8RfpmFB/9xh8Yt01mVU&#10;pn9srQr2vdW259jrBb417T3FjqiOcI+GG4kbc+3adY0vSIxByqS///3HO6Yff/pHoW3sHLkl5iIu&#10;jY3NfFYm9+e166APPGmEHxPvDWW5Z4aJ38KcuyzXOJor/Pf8fnkGZmcNdoSX8vfg8lZGBokOG7wa&#10;11uWuo7YLuDbMQy/4LYvgx9j2PFJ5Z3AkOATuCu4r1OnTkkM4SeU+5kicVA4Bs99LH4A0Y8k1ghx&#10;BqlTrkzwIDLpjMwMV1X89BALBj6sdes26msRng0eiXGsHzl98f0D/3n69Bntc+jQEc2JgUJC5o39&#10;MPHyiKv9jXCm+B5EVp2MvLqk7x7yfN4N/znBsWVW/jMfQx1x7Yf87rRO7K/T0/6lKaPS7+L38Se9&#10;Rq4V+brllElj3vjB7ThwRctgYdIXX8T8aeaKXUvLlq1Up9PaF5aj92mJNmt3XxXMdslVqSTYrKJg&#10;tork+xKkQ9LuiOBIaVvxgKuS9oEkafvwebk3sOBR4VDJP8y/19NyfN7VanIh//yJ/PrDrkJGV1c5&#10;Z4J7vNff9Bz84+048YTykjUe/cYNnPKTW77jH3HMWf2RL+L/FfZ+Gj+OTvC+fQc13uCFby9qrOvz&#10;n3wmGPozwc6fa07860Tpiy+/lrW5EE+0t3acI3Hs51bPXBcvXdZzdv6bb8SeX+rJGddvw/Hly1cV&#10;X8JJIsNGzm66mvfLf/y9ch9h4rcw575Xnk90nRHu9N+Bo8dO6l4LR1TS/bqs+oHd0McHG5Ql/8fa&#10;5Igst6zuM9E8tj+DHZEz46cH/gq9zxUrVmosPeO08I9ImYT/RPAlcY77is3HiuV5emyx6JBbp2ek&#10;K+dMHGraMCZ9Gdf6I8NFrrp8+Qqdi3o4RuSmgwcPU53LiRNfVWwPvu8r8nNwFQl8ZLgR/AvGCCbu&#10;z+Sults9+3mitfHrgvLqOEasYNjxsMtI+911G3PD7T5y3WVm/C482x/u1aXX9RrV16PYgmM7g024&#10;2oULlnxm5N9deuWfBLtdddNXfO9W77zi2vS/5NbuuuROnbvg6rd629Vsss29teFbwSjgn+TS3NUX&#10;Bf+JXPk2rHjUdRryjRs85bLIk0XWDlasuF+S4MX8lJ72sfQFQx7MT2DGWOowMObTifWGC0RXt/eA&#10;qa7nuJ9cTv3pGv/tsSf6xN9p5Nx1W152Nep/6Wo3u+geefKa27zvp/h51hh9R8OXdVpcUtk49fZ8&#10;eG7oJPAOPfvsIMVkYL/TZ87J98dpd+LER/HE8cmTxOwhds9ZbbNhw5Y4rjSMaedpc/bseU3UWX/G&#10;JnEObAqutDLHYEbwpGFHyiTDo5ThICPsGP6+GCZ+C3Nufz+OyuG/h9EzSP4ZtG79pPoQ8ffg8laG&#10;RzKuEXvnsrg+5mFOfCkH7S7KYv7gHLZHg8NinJjgG8E4xNIjJkqhSc7j99pPflvixuDXG7m1X++X&#10;C+tLmy+//KrQBIZS/CXXDK4oTgL3+FjT7j+4Lv4xPCm+m6yu/+QbEpMwJpuO6f6JXPbhH1THcez8&#10;n9w7B79zc9ZIrGzBhyS4xLlrrroPjl/UMvxg34nXXUaVX4QXFC6QBIbT8vtS3uuq1j4nx1KWlF75&#10;gNu691vF9rYu4HzKfk65+0jhA8GE2pexRZ5cSWIGZn/q3t4v80sf4ydXvXPFDZ1+Xc4flz77BMOe&#10;kGu/7Gau/EHG+dYNevWi6zzsby4r+4xgwC/cgZNX4vfUT3A88nTD5Nmim/LQww/rGqFT2a17D/Fn&#10;1EJ9MNm6JcrBl3CQhh/7Tvwxjht5Njwrni++MXmXeBZw2L179RNfmUvE7ucld/jIcYnhOEf0IJrr&#10;8bBhI0VPYINy4u3bdxR9zsfkm+SE9gX7zZkzX/ls+PBdu99z587h736I6EOMlJia07Uf2JF6vquI&#10;xQ2/ztykUaNe1u+Zjh076zcOOcls7cCUyLZ97BjpPSa/d6Rynw0Tv4U5dyrXMBornHf3QV330aNf&#10;LvfyanhG5MaJ9rTSqsMW59GGjQrIP0trrkTjwpk17vKHylc5z/6MvJc9GjxmCfwGtkM27GM8K9t5&#10;O06U75Y4JpUqVRQ74YEFxmLMkiSw0a0k8knlH2OxE03eW1SuvJ/gYsV0Hu7k3lkHf714N9C3qFq9&#10;nvgEalkA589Y9YvIXcGO3+djHuHl0s5K3XnBg2fEpkR4OcFlXCu6jS2e/tRVqbxHMOA+0Sf82mVX&#10;Py5J2lem/l1J72meXgnMR3lPLBn+k+OsnKNu/tpv3PJtXwsXRnyf8/HE8dGTn7rGHc/qODpXlYOu&#10;w8BLMsc112HQ1ThnTFvjj+PPAD5ZrtPWlmu2Mutp6+bj1qZNm6t9PLhuwPODlHMEO4IX/+u//o8e&#10;1xP90NmzX9c6f22D5U374B7RmTzscl/4Xp+DYXrjHXlm2F9NmzZTcSBYbsmS5Yr39u0/qNhu7dqN&#10;ejx8+CjRze0oehd5yhdOmDDZvblgseqXbt6yXdtu3LhF7IxGu9bCZ4P5GG/nzncVlz79dA/RI52t&#10;cmqw48qV2KF3Ul4RmfTo0eNFN3eru3xF4ghJwmcmWNF4SJNZY1ODjmYksw5v7w0Tv4U594OKO6L7&#10;Du+3lqq1J551WdudBPekOx2DD5C7Yadwp7apOs+aYB+TqvGKMw64MTtbMI9wZsRFQb7KHs3+jFwV&#10;nAAeI4EviD947hz8S8wfjh5TJwk/Lv6xtSuQSzv8FIIh8Nuo57wxC7TNnwdMhJ9yPxlOAvf4uIlr&#10;sGRtyK0uUQ4uIvkYE1zi40eeUdWqVd0jDZq5Go1Epizrhf20rXXv8THeMcY55st0kfEi94U7FDyY&#10;LnivWe4Zd/DIGYmhuN+lV9lRIFWpvEva7JQ6SeknXctuYrey4VM3ePK5/Lp3Xdt+p1x23Xlyfruk&#10;bbFU5R05v9tlVv3QLdlwzi1ef87VaPixS898L96map3D7sBh5Lcn3dod5zRHvxQbbhJlEvwgdtik&#10;2Hojq43VkZNYT4tRiX0S7ahHhwFbHtbxoYceElv6HNetWw/FjWDIadNe0/Xy+Uhbv2COLY7ZXFev&#10;/018ne3d5NnwfraQ7zywHGnkyHGK6bgOsB/c4oq81WJXNFbPUY8eoukiIkdGJ4K+kydPVRnzgQOH&#10;9T6WLl0h3wm93Ns7dimf+M7OPcojggdpv379Zj2++rfvFCO+PG6S27Zth+peYlPTqVPX+HXBP9Lv&#10;559/UdttsKP56on89ZT9vhYmfgtz7lTt49E4Zf/OPuhrjswajq0sbU+Ce9KdjtmbevXsqzLkgwcO&#10;FJCVGe9xpzGKe179KIrvlVqSitv3btsrboQvwxa4wr9cVsYfihvhjuCWDJeBD8AWJ06c1DjSx48f&#10;j5epIxHH2sp+TltL1G/dgqyxluzRLbSeOvwIkmjn51aPzqOfrN7moR+4yGImct5vT72ds7Idg53A&#10;Sj7GhGPz8SM6BXv2HXe1W/yRzy/G4g+CH4klA5as8rBwfKoHeChfL1A4w4onXUb6EcFwggsztkra&#10;JBhPsGHmBknrJUld5hbhMXcLntwt5zfL8TbXZ9RJt1/8n5OwP3p9ySG3emPMH3paWgXX5Km9Ekdn&#10;jbRdm5/WxfIsGZeUKcdZqzXVbv6+275jn/pSJ2bP3r17VW5sYzM+MXpI2Iyjy4ntPGVs2clJxBgi&#10;sW6GOzlvbZo1e8w1bNhY/J0/qxwj8l++QYyDxK8S+JH98/nnB8fwpnCS4MqFCxfd9u6/NNt8rB9z&#10;/SfFfEfab9C4R+yx+Nab/fo8xWubNm8Tf6ATVQdy2bKV4kuqlxxPcOPGTXQ9uvcWf1KrFcOB9fLy&#10;1mif+fMXujZiy0Xsq99+u+F69Oijtl0rV65VznL+mwu1/jG51o9Pn1VMuG37Oy5X8OENsZ2+efN3&#10;0Ql+VfzZ7477+Omc+7SWOc+Y5HCOf/0V2cmEvQ+Gid/CnDvsdY/mjzBnSd8B/pubNGkmPpFLX4/Q&#10;9piS5uiygXNL2r+ofonwHngafMIeneh8adXFsZD4jwE71m5xU3XJwI1wS4YRwAtcm+EN8AeYg9wS&#10;56yecyS/vZ0jr1ChguznExTD0A5Mgy9Hi3doYxOXkPo9eyReoZf8toxn/Sz321K2+mBb5gEngZfA&#10;m+BPElhZ8aNwW+AUnk3b3BcUI8b87YC1/3TNe/zhhs4UzjENfzMxvjE9TWyK1S5lv2vU7m3FSHkS&#10;+6Z2850uu9Zcl1VrtmC7VYLr1or8do7G7OEa5y9Y7l6b/64jJjT3TSwffFdiN4Q9Eb4tiV1IHPB5&#10;4sNo7pI92n7AyDWucfs1Mu5MGTdPxl0h5VmuWv2Zbuxr76rPdYthjZ8liweUl7dSfXNaDEKuYe7c&#10;efG1Ym3Ae/hLwke7jynXSExx1gv/SmBObPAzxBZq6NDhsnbnxIZlQIxvzOcfkVnzDMCJ8I5gR5Nj&#10;kzNP8B1H7zFDfPmo3mPaKfUJCVbPFJsj+HGeC5wePGCjRo1En3G9xCfaFef7cgW/rV69TmLlTHYT&#10;J7wq4//gwHSPtWgpvqH6Krbj+H/+5/+6txYudU+KP1LKixYt0zaUH23YUDlDyjNnzZHn9YaOv3PX&#10;u+p7/T//+Y/63XnllSnyfu6N+yTv0vmZ+HVwfbQz3BjpOYa7h4aJ38Kcu6T7dtQv3Pc1Wv/Y+rcS&#10;nfbSxI6G2dhXSMi2SGY7YWVy/7yVrd044SqyhM+w42Bu4xYnZw67vuA+yTH4xPf5kqhNquvYn2u3&#10;+F0wEbjxd3fuc7F9yJdVgwHAB8YtgQPZ/8EYxM4jgUMMi4B1KFNPG4t9Dc6zcxavMD093T0hPDTH&#10;9CGmDHGbaUd/+jIG56knNvP2bbcSddZHYx9KO9pa2dpyzPj+NTOHJe4HjEQCG8GrgZHBj8i3wdA8&#10;e/gtnk+/UXsFz8RwI7gbG+EqFU7F8I1gx/S071y9tjeFbxQ/NRX3u7r1W7pdO3fpGhIb+tmBY13d&#10;Bh0kfuIm92TumBgOyV8z/KPjv/Lxx1spXuYa8Xs5ZszL6pOde8Y3UlZ2lsbeIbYP9wd+IsbM4607&#10;uC4D97kWT74gOnvttf6VScKHybq88MKL4t+xezz+z9q16zR+9ozps7SOucCQ4Jw5c97Q54xPeHxu&#10;ct3kYFjjI1kP3gvas3Yt5ZqR6Q8ZMkxxN3qQfG8806276ifAN4IX2TvBiiQwJHn79gXjbhq25F2P&#10;cY8xvceGT8lap4lvIdGBTK/weVy/gncDn7HIgv/6KxZPJphzLtmE/26S397q0FO0MuetTH2iZOfJ&#10;OR/hxvD34TDxW5hzRxgk/HcvegYlfwalgR3HLfhV/XgYLgPPsd+DgdQGQnTX/Bw8oMf++fwy59DX&#10;wiaiRYtWih2os8S5eP/AuP4cCcsyB9dlGNLHgeAWsAn6ln59WZTx9zxw2m/u/Bd/i62b3NfIkWOV&#10;SwJLvSLxp8EO4BhiwcyadStmzPMDBimmQz+0icRJBpNgJwCmyM3tojEGiT0DNgHD4Z8arMNY4MdJ&#10;gm3w/Qgu6t27r9aDnRYtWqxzMT76kaQBz0l8Qzl+SvxWgw3pg10TuAgfQOAoztOHnGvgmogTDXYk&#10;Zg3XTj2JY9bbOEnqwEYk5N1gZ543z6yh2DJhB8/zgPuCbzx27prLyvw8HzcedpnpF1z3sTf0+6Ba&#10;PfF3I35t6jSZIvpybRR7soZvS0xvMKLGI5RrY06wNYl6MDP3T5mctYSbZN2HDx+Zb6deQ30TWTvW&#10;kvWlz8KFiyXWTyxe9ZQp0zTuD/W0ARtSBhvyfvcVu2j6sQ6sD7GCcnO7qmwXLpF42/CJYEOLd8ja&#10;8E6AHfmu4PqJkVOjZg2NRQme9NfNf9fhHNk7wYbwjGZDg66k/56DJ2lHe/Bm0y5X8teY2DXiZ1LT&#10;R7L2f+haM0ejxo3Fz+fChPgtEaYrqs6PW23t/LpEZcOE5H7y21qbaP8o+f6RirULE7+FOXcq1i4a&#10;I9x390Fef/BRKvUdO74gfvMq/KmcGRgI3Gi8GdwHckezhQjmdp42lDlvthTYcuCHELmtJTtHHhzr&#10;TseMb7gzEX4kRgn2MmUts2bPNszNHqyYW7Ajfhnx2c31gDuQWYKxwAqvvz5XMQh4hriBGzduUrxC&#10;HELDJGARYprkdu6qeKRfv+fU1zpjvfrqVIfuWFpamo6tGE700ci3bNmi49NOxxfsAKcFRhwoZbAf&#10;55gX7ANOoo62xptxjsT1gFfBX2BEcBPXzj3AbdIeXBvEjuB4sCOYhuc2Zsx45bWo9zFOo07fxbFM&#10;rSa3bLJZz8FT5ZzYymRV3eQaNm4hen4zFP+CrYjFQ5ou8V+4FtYYTEYdmG3ihFfU5oR41LRBLtyz&#10;Zx/F79VrVFcdPmJQE8cHTpLY1lwb/amzeNWMC17lPjlnc1BuJzF/SOBCcvrTFlyIX5u9e/epzxqw&#10;LNdsY4AX0Q/FxhicyfXXqBmLFWR6o/wW+HbiXbJ3i3UDL5q9DGUwItjQX1PK/PbAl4Yt1+/6THxj&#10;ng/gx+Ou64ib8fGnTZsu996mAG7zMZyVzR93WPmD/N9fXu49TPwW5tzlZf2j64jwZ3HfgTffXOQa&#10;Cz4K7hUlPVbciPzQdPVa3nCnP72kGA18B//B/m86e2ZPansc58+ejdmIUsZeAlnlYy0eF92tTLd3&#10;3/64HSp9OGf2FYxJe3I/UWf1ViZnHubguozLsn3V/DuWdB3utp9dRyLsCG7IE107wy7YGxDHpZ3I&#10;GYkZCN4gEW8a3g8cYrJNZLXgPHhL8IrGIOzRW2MbggVr1aqlY3DuhaEvio+8sXGdOjAQ2KmzYE/m&#10;JHGMvh42z+ClLl2e1j5gJfrTh2saKmVyrhNsRIxEjrlm2oJ3wGiKm6SOGIvcI/Xwdjxnnhny3iHi&#10;j5w4Llwr68RaP/sKNsAmpz4seozi70Zk//YcaMd3TGaG6OoJ91i7QU/XuGkLiR+4Wd8B5nn66e46&#10;B2XeUeYDj/Ge7d//QdzXIO+WxaKeO3e++qx/8sn22gc+E1/qxKumP2P58ap55+BjaTN16mvxOZgP&#10;+yxsWcjhEDnfp3c/fU8ZY4LgV/KXXhqtMne4W8r2DmPHjK8l5sTGCL/w9k2VCDfa2lgOLoRXtGM/&#10;B0+CK7lOEudYX3yGN+z0RxxDEp/H+p09d97lVM0Rf1LfxuO1lCU+LOy/0L+GwtpE9WW7l4aJ38Kc&#10;O3rPyvY9i9Y7deuNnUwqfd/E7DzExgPsWFF09tJuuO37L+teBsYD98CngBPMZsMwAznnTb/N2sJf&#10;Ycc6aeIrii3MvgOcQZnEWHA6xhfB5zCP5dQzPok6EnXMAS5hj0XubbzMMInJ3KrVE/F90PbDssyD&#10;+HHUqHHq/xj8AaZ58cVRijOwb1m8eGm8bvjwkYp3yEnEGyROIVgGzENfyuAU8BJ1fD/UFh/h9evX&#10;j+MZ7DHALrQ9eDDmm+/FF0cqNkHGSgKn0B+807p1G/W/R1vq8LUCLwlXyrWSKIPFuCbGAiPRlnHA&#10;ZGA0fPgxJ+MRLxscDOf42GN8P2Q4dCzatu2gOAr8MnjaD4JdTubjF+Snx13eOz/f9uxYz6XbwJiH&#10;XU7txa5W/f5u9JwrymMSK/rEiRPKXYPBiGdNbgmMCe9LPB84b7hYYurA58HxgYMpY0dj9RyjD2Dj&#10;MiZ8+vvv71UZP+dJ/lwjRozWdxF+mPlW5q3SPvuEcwQzYzc/UvA8OgLoMMDBahI5PtcApn5EniHf&#10;QrT3eXV7n4p6h+Ee/fOm50g9e+zo0WMLnLe22Tlf6bp2HnYLr3MOzhuOOPrPTt1/9v24lmHitzDn&#10;vh+fZXRP9/9vnZiE8AL2/5+KHG5H7TzS8JvyT419wX4JVwFWA+ehR2Z2Euh2Iaskp95wJLgQfIc/&#10;OOx/SW+8MU/70ZZk9haMRXuwInOAIw0nUm/yT2R9zOHnnAerwt0Y9wjXhz03On+pWJO7GcP2+06d&#10;Oou88DH3RBvxkSy4AbxB/D8SOIOYGuAc8EbMl14sFuH8+W/pPdOO85wD94BZ+op8mXpiyxCbsN4j&#10;9cRXzzY9R1vDPrSh34wZs3R8MCH4CbxNGXzDMe0Yk37U0ef48WNa5rpIsTjcuZofPXpMr4m2YEfm&#10;bNKkiXKXLcTuFp2BmsItYnNRVd5TfAhh74wOBOuifjCrxjALeJD4zS+/9dsdn1mvcfl+ZjSe3xHh&#10;Ik+7ts9ddtUfwWf4SfEHfsZVrXXW1X38K7du93cq6y1Kn7ZSpUpqcw23p8nX2bW6YJ6gjenvWh4f&#10;j760LyLxzUPiWwD8SJn2Vs87zZoV912Eh0ReDWZkjzX5dnCchu2/zcfuH6vttZ1/a8EiV7duvQg7&#10;/u/9v5/cDWYIE7+FOffdrFnUN/pNhfUODBo0THkB5I2pimnN/gR+bNnnppu56rrupd1E3x+uDFyH&#10;nejLokcHxgD/Ie+08sKFi11/uRaw3vZt29Q+FH1/cATyOTg0cCL9TIcPfTkS9wAGxLYVGS2yVvAj&#10;WHWqcG6DBF9hL4sNgWFX+Mxp06Yr9+hjxwMfHFD/dGHYyNie6+eGH9n/FRPk4xDDx4mwhtVZDg6h&#10;fQE8kj8OfBW+XBKdK6yfP25h/cDl6P6Rk8CGdevWjds4JerXtWs3XXtwIhiI74BEGAhb37ivmApH&#10;Xd1W38Zj8Phrl6jMerYf+L1gHbHzSCPWjMWEJhf/jwXSh65V79i6Gw4L5nxnIJ+3erMLs+NU5IxZ&#10;VOLdwPdpVlaW6o9aW+pJJcGNrB2/RbOnAUMmWk/qwPFVKsTsrd/cVJDz5fuU79Sw/ueiecv/Hhsm&#10;fgtz7ujdLP/vZvSMCj6jmzdvKueILQi2MqmUWxvWYf9i34ePmi42v2A35I/ILcF7vv0qeA4ZKLiP&#10;/Qqshz5dtWpVhXuqqXYX2FAgR0UPjLK1QYcuT7gr7HiRcaI/Z7p/YBb0/rBP3SE6aMzPGCT0/rA3&#10;ORmQWYMZ4bsK2yfDqLc1BQewrqnAIzbGvHkLVBZsx6nIPxD8XaNGDdG/k5jggkvJ8TuuttEid6YO&#10;/zHIoDnX7Zmeqn8Jx4g+oF1DIgzUbgC4z2x7D7v6bQvKSe/0fHi/0N87cvp712PMDy4z87zEav7C&#10;Ne50SeyHL7seo6+4Bm2FR0sTnz6KLQ+75//774rBDIv5OXJ37MoNo/Gs/PPBsv8sg+eCx9b2Tjm6&#10;qvyOwXeJ2t5pTe50PijLTtS+SoWP9bnMXnsrtg/t0JEgRmH0H1zwPzhaj1vrESZ+C3Pu6B249Q5E&#10;a3FvrAX/5ew1/K+jq5ZoL7ibOvYv9kEwAP5MwI/I09hn0TFUWwzZb7G1oAwnCQdJGX4Mn4pgQNqD&#10;HdG7ww6jS5dnRN/tCeUXXxCdRPhS9CjRlUN/DxsFjleuXKVjgSkZE5uQV1+dqviSYxI4E9zoc45c&#10;M9ixWrVqBWIj381apKqvjwmCGKMkxzbe9m3bBT9lFYl3Eo2PPh3YLycnWzBLPfUrjs00+o74cW8h&#10;9k2rRMbMc/X7U2cJjre/2Htj9wK2hMNbu2adtrfrC+aZVT5RjJJR+RPX/JnvivXuGo8Gl4YeRXBs&#10;/xj+PDuHuT4UPu98oW07deoiHOnjhZ73xyytcqNGjeP+ivw5UvXuJTNOlQqCtQXT9xhTEDvyXUr8&#10;qmhvuDf2hjCeU5j4Lcy5w1jraM7od1jSdyDGOVZV7FgauJF9xvYvMMMZkVejq4dsmn0ErIadKbpy&#10;4AzwK/s4NhOUsaXA9qN+g/rKTcGN4ltw7lyx3RDZNX0//PCQ2JiOUjtTi+WLXQK6cxxv3LhJZKSd&#10;lMNCLm3H6FbGdO46ueXLVqjOHrYG8KNcK9fN9RuPUx50HoP7tq1tKnO+I5IdD71S1gW8iU0ROohg&#10;ccbIFH+L4EmwDHa2RY3J+f79Bug42M4kahu895hs9LhilLnrYjHxgm0KO/ZxI+XC2vn1Q2f8rHMh&#10;3974/rWEffjWIAaf3y+MMus/V7j7MOZmzqws86t54jb9AeTWxLAq6X9W1O/+3u/CxG9hzh291/f3&#10;e32/Pd8FC5aoX5FUyqkT7Vc+FgAjgBWxRwGrYRuBTSp2FejBYYcBtsS+ApuKjlIH38g56t6TvZ62&#10;jEE7ytiZYntstqTgS9pSB8/J+LTHzpU5qdsnPn7ISdTRF707ZKNcr38f6FSGvR/711OaZe4TPFir&#10;lsTwlgT2qytcIrgd3QDmtvg6yEU5nygWEe8UKRl/obXr1Ck2v1utbsw2Jr3iqQI+eO60NoYb2Se4&#10;fmTWJPzSdOveo8Bz98fCjjtdYu/Bp6WnnUw4J+vGu+L3K8sya803F88wTB1dsLX5ScJ3j78GMXvr&#10;CRF2jGxmEr4DYeK3MOe+37BFdD/3NxbG7rG0caPtG4YfDx8+LLqFO5Xfg+NbI3JJs5WA+yRRZ6lm&#10;zZrq02Xy5CkFbDxoZzYf5B8e/LCALQUcJzJy2p0+/bHmOo/MSXs/mQ1GItzI9bMnI48Ne0+2tSyN&#10;HA4RHMg91hE7FuxiSWAQ3hFskLB35rwlMF8y2LCo6y2J/8xl27GPjsUxadE9eR1Hw43IqbETNtsP&#10;9gx8FoIlO3XKVT3bRNccmzcWg69J7uUCmIj24OtU2Zolmv9OdTwjcH4X0f+4U9vSPH/kzDXxrRCL&#10;dR3EjjzvyN76/t5X7gY3hInfwpz7btYs6hv9nsryHUDPEYxQmntIcGzDj+Rm+2C52UT4ObYSWVmZ&#10;Gi/Zr6fs97Myua9PZ/V+X6sL5ianDnKO/j0gvwZD+nX3Sxn9QjAhOZixqPsyjH+3uJE5mAs/hEXN&#10;FzxXq/FF5f+ycz4rVj/GAR+CGcGRCxcuKuCrEN6R/QMeMjinHeO3MGafc8z5/q85j00X62dtyzpn&#10;buOGy3ru4HyGHccvuH7bevC/s3vP+wl5p7L8D4zmKn97bpj4Lcy5o3ex/L2L0TO5/Zmgb5Qjtq2J&#10;ZI3BPaA0jn0MaWUf81kZv8/YT9ixn/v9rJyKvKj7BTPh+wR+yeS2RbVPdC4V15hojERzWV2i9sE6&#10;/LqYXqL1K4scPF4cXdLGuRZr8KgbOOVW7JLiXKvhR3L2CzhIw42+3Brd2+C4yK4z002f74ibvPTW&#10;NfBOYDOOziOy42Df0jyGN2beMPUc/furWusbxdgte1y6bR3gZiObmdv/l6O96n/19xjWOkTYMXon&#10;w3r37pV5e/XsF6peFntMELskOmb/xQYj0blU1/n7XlFl5LfwJuDHotole4+pvo9kxvMxeLDs97/T&#10;/d3teThHuM7ijGM2vNXrf1OsfsE5LB4zHKPhRupM9xEZtvGTwb6qz5d2RrHRo+0L6sbS9tGGjVTG&#10;H+xXmsdwwHzXwH2W5jzJjp1dNYavszI/ue16VAdEbGbWrdsUcY+R3mOBdyBM/Bbm3PcKdoiu8/7B&#10;19i7sP8Wx+cuvsDLmhdJds/x2+FbMUydf/9a/DIcD7p/heFHH3/52MyXnaeqjOzdl+EHZfF2nGg+&#10;0/MMnqPP7iPX1e+hf9+pLJv9EbxjsuOOnX9Lz7H/pOLZVhc2h+FG9g0SmJFEGV6ysH6dhpnd9fHb&#10;2sD9gePgqenvvw+lWeY7i3n5zRR3nsLus6T1OdVjtkwZlU7ftj6MyTdYxD3eP/tQqjBFmPgtzLlT&#10;tX7RONFvKtl34Kb49h4zZrwjT6ZPTF6dE5q8Otm9CPkfmBiOItk+ZdmO/Rk/NEFsa3s2mNHHZOA0&#10;YrCYLbjFY7Fc7c7F1jvYprD2tDMbI79sdcE8OI/almNfnm9jbvOTz1z5g8aRzMz4XTFkqteVNeO7&#10;oDjyVexU0ivGfE4Tpxp7jFRcl9nMtG/fQePtoQMJ31gUbmTeyUuIn4Jf8o8SXgc6nNj32/sQzP1v&#10;CsqcD9YFj4NjJDqGE+e9DPYt6tjGScV62hjpFc/r+jR86mrC9aEd/noivcdor/P3rTDxW5hz+2sQ&#10;laPfRHl8B/jWxx7T/uPLaw6+wK90eb0+OEewrS8jtD2YfRrcaDhQcZlgNIv9TPxnyn6irqjkt7Vx&#10;8E9E4tjKxAwnceyXrT9z4PcS35p+oo70xuoLgtF+dOmVf5X8nxLjOfX4Eb28IOa+03POrvZZPlY7&#10;5gZOTQ3nGJzT7LAT4cZgPJXOw6/nX89Rl7fjlj2IvQNNxT89fkaL4n39b4tUlYnHU7169QLfLTZ2&#10;YTwz57lOrj24JiU91lg8gq2zsr5I6M+IcdF7RH+mPP5PRtcUzv4dJn4Lc+7ofQvnfYvWPbl15xsf&#10;vFPcfbuk+8fd9CNGR3mWq2PTyh5t92iYwXAjeNEwHngNnIavc2LdEMOGsp+ot3OcDya/LWXOE0OH&#10;xLGVse8gfXz6tOZnxVcRZevPHMeOCW8nMX2I+01Oou7o0aNu8OTPXEbWFZeeed2lV/nVZQh+fGnO&#10;rynDFcj78SVu65ZMnl7xdD5OO1xi+5hk5imMb4STZF/x9R/fPYb8PBa3OT3tvPrA9t+B7hK7nbiL&#10;xv8a72s574f/beHX67eGnE8mt36Wt2v3lNgetU/c13jmANdMX64TDGn3kMx6FdWmccer8WfW9rnE&#10;fpSQKfB/lKzMJPqfT+5//l5epzDxW5hz38vPLLr2+/93iW11mP7nitprgufq1KlbrjEu+lroPHLd&#10;tt8abmQvBi8axgPngcvwKUlc7f3797uDBw7Gj6mD8yKW9969ezVRR7Jjcv+Y9hwzFjljUyamI4nx&#10;wWngQ3I7zzjMs2vXzngixg4xxalnrHbPfuIysq+6jPQf3VNDfo5zUtxn8DkV9xjOG1uSZPshmzb7&#10;mMx04W7FzjnZvsVth7y6sD6cyxZOz+ckszK/UHyUXuGyy6zyh8r34e/g94iFWalSxTgHbLyv/z3h&#10;88yJ6o0L5ruDst8+WKY/MZiyxYfUa9Nm3NbW55itbOPTF47ax4+FrUNx6uu2juHHnBpfFLqufB9G&#10;Ma7v/70nWXwRJn4Lc+5k1ydqF/1WyvodwJYG/aLi/PeH1ba86zqyLmYjbLiR3HADMZqXSZxD+Dxw&#10;HHpvQ4cMF997QzWtEf/I48dPUry2adMmN2jgUIm//Y7G7SZWDgkc8LK0yctbqRhvw4aNbrjI+MaK&#10;buuKFSu1PXG5SePGTXB79uzRRCwexgdbghNHjBzjcjt31Rg9HMM54zdzwIBBbtLEyW77tm1aHij2&#10;xtRzXVxz1+EX3DMjvlM8YfLMVGBH/GMm64NwwSaRnad9lM9fHXG+n2l/3UurPGrUaP0uGPD8ILd+&#10;/XrFjuBHnn8sJuKJGHZM+6dc579Evn/THTh5RTm/bs/01NhGcMDGDRv3y7eEzzFT9s/Zeep9Xphj&#10;vx/tLNEfrp544pSt3vrw7cJ3RJBrhm+mPfw0eg6pxI81G1/Q9cmp/mmh/zuRzUy0F/p7YZj4Lcy5&#10;/TWIytFvory8A/jCADfyPx0WHizOvNjelmd5NfcCf5shNgmGW4xzZO8Fv7344ijl/uDxhgwZ5rp3&#10;7+VmzXrdzZw5220SvNiuXXsH38d+T1zGZcuWuyZNm7qxY8e7l8dNdA0aNNAY3ZynX5/e/VR/Dl+I&#10;jLF27TqJ893AzZv3pvpHhEd8661F2q9f3+cUO4LRmGeO2P3m5nZ1/cRXJsfDhr2kPg2bNGkqGHWJ&#10;xuwmFuSM6bN0DDhL8AR8FBxqKmSZ2BwjnyQlayPTtMuVOG6s0zJmT2LrnSjnGZASnbM6a3OnfOrU&#10;11ROvW7durjtNfbX06SesW7ZyhxV3Jie9oer3fI3d+rcBeX8nu3/vEtLS1POFz6YZNwxuB6el3eD&#10;ZByyHZPTlnq4YFKwjfHN1o4+6enpbuDAIfFxbTz68m2xc+ctrpljroEEJw22hI/Edgre1NaxOL/b&#10;YNsn+sV8caKrGjxnxya3jmJcR/sl+2WY+C3MucsLVoiuI/od2jtgfOO9ghvNvwlyVttfymMOtsWW&#10;x8ckYCywI/G1Of/C0BfdxEmTFTu2a9chzjuCBcBwU6e8JnFIWmkZvNitWw/d49nPOwtXOG3adMWV&#10;gwUDgiXBhvQDh9IPfhLM2LZte+2Hjh28YdOmzRSrMOcbb8xX3AEXST398Y8D7whWXSf27ORgDhI4&#10;E94RHUnjoe6GdwQzWqzDJk2aFeuZVnk4ZqvbrOtVXWfDe1wPa12aac/uPYoZ64qfHjDjcwMGCpf3&#10;kc7J/C/NxlbmoKRDYpP+L8GNN9zpTy6q7BcMBl+YllZBOOI8/UbwsRsYjsRzNlxHmffC8CXH9OH7&#10;gkSZttaHdtTx/OGsGa9KlSoSw31MvA9tSbTZ8fbbbuuWrcozwzW/vf3tOJZkLK4X7tFk1/bM7+a3&#10;137A3xT7Z1f7vMjnzm9ljPDp9p8V5Q/u/hUmfgtz7uidf3Df+fL47NFBR8fxXsGN7FNPPHFv2IGz&#10;3xkWMvxomGbUqHGub5/+btGiJSJzXqUYsn37pxRDwkHC87Rq1VrxILJtzuWJHLpz56cVt4Gbu3R5&#10;WmXdPXv2cS+I3z7awwfSdvTocfpMmzZr5pYuXS54sIOe43j3rt1iu9pHZdnks2a+rmPu2rlLx2gn&#10;dh/YhhsHCR4BU3JdpPnzF6jdDPinJDgCmTjvG7ws14qMGr8x4OxkbbTmbfjZDZ15w2VUBjt+6Jrk&#10;XlJ9AMXmwomBz0lmH0Lu25X49cGy367IsvBvkye/6h566CFZn+bx8RmPuQ+dQpfvuKSDru+k39y5&#10;z6+oP0feX9YOHg8+uWbNGqqTAP5DJwCcP3z4SH324Hi4QdaFbwNS/34D9DlQ5jwJnQTjoqnn2fHc&#10;GAtMqBy0+ASqVKmS6927b3ws+vAt0FS+DeCr4Zl5J9s82VaPqSOBWVP5vWB4k7g/MT9GR9ys1YXb&#10;xhsnHXGP0f4ZJn4Lc+7yiB+ia3pwf498y2MPbP/l5T1n/0IOfKd4ymHfh+11vXr2ja+tjx9Hj37Z&#10;deyYqzJnZNcksCaYgUR/cAX16MJxDp6vdes2gi/QOxysZerAhrRFhsoxbfv07q/jNBM/MGvXrJO6&#10;jnoeuTb6deDRZ57u7pZL3qx5c8Emk3Q8ctr2lnbwjvRHH47cro35fNwIXrN7u9O6g4FMLl1X9O7Q&#10;PUgWL9rYU1f84tIf/lO4PGxkPlTsMWXJVZWjKtYTTAemhRNFpm4pke2InbPc2mAjwj0WZn9i52lj&#10;KWhX8vF5Ympj/31QsG1MxstagR1HjBit6wmWx9ciGB79VZ4jWBDsB/fHeTA9eBAMCB58XL4RJk54&#10;RfE8z5y6VStXa5utW7e6LVu2SJtWigkZC04RvYaOHTuLz8yaiifBqbTT90a4bdOnBVfy3MGLcJX0&#10;pS34NcY73pJZp4J3xK7JbOQzKsmzKsLOiW8NvsWi/erB3a949mHitzDnjt77B/u9D+P5jxGcktup&#10;623/ueYDvLzjMMMM5M0fa6nYyK8rj2XwUa1aMRtr//oMY61bt0G5wZGjxqru4/9n7zyjpKqyvn++&#10;Pe+391nvfJ1Hgt0NQgNNBgdogkRBsgSJgghIbLKghMGABEVJEpSMIgZAQZE0SjQgjCPmccyD6IRn&#10;nHHWjLPWu3+7eheHorq7qruqb3X3/XDWOffkG8///nc4jwv3iA4kmILwguABjg3/oGtImrBi+cOO&#10;46NHj0TzkIFbOWW0nS12Ltu2bVPdukWip8gY4AXqga0Y+5zgrL1792ldyimjLnNYJNwguAE8FZlX&#10;ZH7Uox3cWjK4kevAf0qPHr1Kvdc3fKPixuo/CCZ7RcLLrm6ji1HcyFzBcvHsT8DA2H2YLQn6mrEB&#10;+xHK4QTBSlafPD9YeaxdCfn0yfjg0c5D33NZ1Q9IeM1dvBjhRufOvVd0DwYpdgePN2rUSPnXmzp2&#10;ciNHjNI0/RDA8WBK+Fnmw3joORCQdYMt16xZq3oHcMvoOMJZY3dFAHNSB4yI3kHDhnluzJhxWgeO&#10;Go6ZetShPfU3bNhYyGd217zhYvfOPxvnDz4Gn6dK35FnYspDX8h9xIf6Idd/8hU/mP57Y2n46dBX&#10;eNVeQ4PEb0GOHQR2CMes2u8a+oybNm25BjvCOYJxkuV97Dte3jFrHPPNdD1Hrgsy2aKureFHeBvW&#10;YDCYBZOf2nFZYuvL4mv6YuyY8a0ObXx5LceUWUy7ZHGjXZNE7WDiPV9R7HjdJ4obs6sfd30mfqFz&#10;BdeAb8BYPCO+rQi8GXJX9P9ML9D0Bs1ehJg8eDx0AKlP2i8nTZ7pEcLLWbA2YDfmAAf8yJbfuqwa&#10;YMcDbtmWPyg/e1J0BvPbtlUba8bo26e/yOwbKZZctWqtYOueUS6TNHi4RYsWihvBpP363uqWLFmm&#10;/cM7dhTM+eKLLyk3TAx2pc5jj61W7Mkx8wY/DhN5N/Xhsl966YC2WfLgUuVAwc2UIbMGs/q4mnNR&#10;3Mg/g9z7VHCO/v3NbSLXSbBjdg2xvyqGe8R/07Rps6/5loVrXNVZ44LEb0GOHT7jVecZz/R7bftc&#10;VxTeMdP9OfprIWlkxx06dIrKrP1yHz+Cwco7sPb7oajxFVsW4kS/jmEHzsM/r3hpni/2UK4rerV9&#10;RF8zXp1k8u5d84Vwj4IdqyOv/o1iWnhUcBX8mNmIwJmC65C9EnaJDHjnjp0aI//FdoQ6Pg7086wM&#10;rGg40nCj9UefFmhLYHzTDXxki/CONV6UuR50q5/6PCrbR2eRAD4fP36i+gFdtHCxcsM9RJcBXpeA&#10;XgN17p4zT2XdyLvhDeGP4W8J4Ep4YXjmTp06a8B2Ct6TMvBnvugl5Im8erLUQ8/W6sExr127XnEs&#10;9ciH2yQdCb0cfcFHK98o/w/J3PtE7yu4OqIbesg16/J+kfgRuXWIHav2Ghokfgty7EzHE+H8qs57&#10;yTeY/ckqAo8HV8U+dZk+V/yJYKOMjBH5WlHYkTXV8KPZBpclpq9k2tvYybazMax9ItgAXhvcn0jd&#10;ROowdus++HZ5WfwpnlbZP9gKG2DsgJC74ifz/vsfVCzXvsNNbtTtER0+7IiRAeO7CBkudunwhfjA&#10;pJ3pG6InOFRs1CnvIO0pw4cROJE66APSx8gRo6O+jMyuhPM1H0bHXj8n2PEVd0Pd09H7bdcODAYe&#10;B5//SvavLBA5gPK+chyL2e3YeOHY2Lhli63cjonbtbvJNW3azO3buy/Kc8fWi+Warb3W8/hGziGR&#10;e5VMnd7jP1buEf6RdLy2YMfRo8eFvKPo/VXVtTpI/Bbk2FX1fofnnXnvOnpDFckXOPvUYUMSb00p&#10;7zzmgV8Z9o0xmT954FvshbEBKUpm7c/VcERFjP3zKC5tNg7F1Um2bNA0/N8I71j9qOru5ee3Ve4N&#10;+e/AgbcpV7ZkyVLFkGA9bEGwOcZ/OlgQPUNsjMGI2I5jWzL/3gV6jO4o8m44RuzLsUOGdwQ7wsHR&#10;H7wjtsvgz18Ldwc2Ndk18mG4O+S8yoe+EeF4DW/59xosDs7Myclx06fNUizp88GG1S3P536TTdM/&#10;dtYtWrQskueOYtQ4XDNzsbkne78SqY+sukX3iL9H9gla8sS1dtdw2B07dqmyuClcR0NbmfAZyDws&#10;VRXvCfgmke96JtRhnzo4vaDnAvcJZsRuB9/aDfLyHHpY+Jq5UfijoOeXSePDw4KnE90nJtG55zY6&#10;r9ixbt5bioOwIYZ7xGZ848ZN6rOooGCG8oX44Ma2BC4Y/hA/R9xDOEpwIJxja7EjR86Mz0bS+C0C&#10;01Fu9ieLFi3WtuRhVwKuhN+M+LiJ2JqQb3Yl2OwgdwaPGe7yz89wGLb42BCdOn0mis2sLDY2LFna&#10;uL+8P82btyiSowajxuvbn4d/DqlOgx9rZb+l/GNOzbPXyK65b3yzquK3OjznCGYIkvsLcuzw/oeY&#10;MZOegYqEHVmT8c/DnLt161GuPilZs+AS8ePH+KRt3bT9EcGQlhfGHzrDjf61SsV12bb/c8EWhxU7&#10;dr/jY8U6D9y/RH3QoCuITcfEiVNV1489dfBzRED/NGJb0tkdPHhQ9SOHiO4fen3UPyH6koQtW7Yq&#10;Bn1CeEVsR/BxhG3JhAmTNYAdsSMBc8JzYlsCj2m2JfCN4EY4R2S94DHDXrHnTz7+c5ib1UlnfFDs&#10;eMDy4GP48mTGip17uo5X7/qs8P4ecvn9P7nmnUK+j652Jn1Hw7mU37oeJH4LcuzwGSu/Zyy81iVf&#10;64qEHW2tAkNiI4DtBWsunB/YzsrTETOG+a4GK/pjMDY8JLJAP7+qp5Hppxo3ck3v2/iV8lIRvbiP&#10;FP+AU1u0bKE6jujs4X8IPzjgt4jvowJ9ZrD5wIcRNif4OHpc/CKCBfeKDiBlYE/sU7AxgaNjX3Dk&#10;4TxvhMOHj2h98Cb2J8uWLS+sk19Yp6fasSjfWAJutOeDa4Rc347THaNbAc+Zye9+Xqvf6T3G93vs&#10;9cBev3HjJiF2rKI6j0HityDHDvFMyXgmvEbld40yef2IXTNij/HZg69gzmGD7KcXW56KY9v/BF1L&#10;xovXJ2ODHeOVVdU89NJyc3PTck2Qa0b2kznkchufc2fPfeRePfGxYkg4Pl9nz2xBio1FpnxVuXd8&#10;la2IYEHqWV6sXYmVaV/SB/qIxusV9RzwH8R14jkrqk468o0TTrUuQarmunmv+XwUH5d3fHbNteGd&#10;vyR7YoVrRfmtFZlyrYPEb0GOnSnXP5xH1XvnYu+5+QZPF+5K1TpSUj/wgYnyNsnwk/Bm2BJlZ+e4&#10;4nwSwuOwlsXykSXNu7KWg0vA0v6eOqk+V+wosqodKeQffyPxCbdg9RX8aLYlxMXZlMSrV1Ibvz/D&#10;qX4eafooCTdyTbDDxx4/CD9ZcPbIr8GvzIVnnL0oM+E55v+gTr0Lhff30DV6j7yX+K2N/aYVd/yf&#10;//zHBRGKm1NYlvw6HCR+C3Ls8FlJ/lkJr1l6rpn5dwT3xGIqW/eSiUvCB8n0Rd2S+rNy1jx4wZK4&#10;G7Aga2XsuVo/xOBA7HG4JonyZuBW7GRYc+FxWH/9PqtamvtQr169tF+D2jnvRLEF8utaWW8rBxn7&#10;nJVk+2H1qeen47VLJM/6IC7p3vOsYANWUr10lPMe8Jzz7KJvgQ9O+19iXvhVQhcT30NFce7pmJf1&#10;+cAT6Ca8qvcYn4/PH7nCP6LzWNL+MsngxJ9//tnFC0X14dctrk5RZZYfrm3Jr21B4rcgxw6fleSf&#10;lfCapeeaLVx4n64dxnn4a14mp21t8WP0/lkH4VL8fEuTD1fBegh+hOuJxZDgxoayPxx2BMlwL4wN&#10;zsTGmjnQf1XGj+iGloe9OdzU4Bmfu/ot0I2LYIyBUyP6j5nw/NqzV1yMXXZRz2xx7VJRxvMObmR8&#10;9B/tfbB/Ie4j/DF1sFFL5p1IxfzoA8zIfwEhu8ZJN3fV5/p+83+3YMHiInlHw2bE4Lx//etf0fDP&#10;f/7TlXew8ZmLPzfS4fqW3PoWJH4LcuzwOUnuOQmvV3qu16W//MeNmbQ86vPG1lqT4cXK4Eo6Njkf&#10;MdyMH/t9Wr2S+osttz6MG4q3NiF7q1+/vtrOmBweXEwaTGdrHzxlkyZNFePBkVGH9RI8CeYxGV68&#10;MYrKsz5Yj+mT8eBsStNXUWNUhHzwB/yVXevymnPzrhGMkV3jVNx/h/KaR7LjwFO3EVucZNuVd334&#10;SN4t5luezzT/B52Hs//k0SiGrF37DTdz7iNRe5kT7/3sHt/3L8VghsvAaD4+/Mc/fnIWfvzx7y42&#10;/O1vf3PFhWTqW136s7SN/dNPP101L8OS4TqX+DoXJH4LcuzwGUn8GQmvVXquFbixUcc/yb5uP7he&#10;I56MyunAa6q/FWMPYLYB8WLsBciPtRMwewHrzy+P14/lWX8c+2ntD1sFzwYh3voJLmzarJliN8rh&#10;U+AB4U5i6+OfEYxXSzgV5HJwhalaF8Gr4FB0MWPHrczHYAyuZXmf492rvinEFsfLfeyynCucNX6f&#10;ytJHebTFtw97KBq3zrti/5vpjO3c8NtTS2yujYOs2/Bd/debPGutq53zg8up+YNbuvMn5fQMN4LX&#10;wG5guL/+9a/uT3/6k4bvv//exYbvvrvsCJcufRcNlkds9f08q+vnxatLW8b+85//ovNgToYlwbch&#10;fkxunQsSvwU5doiHkntOwuuV2usVxY3VfnDZ1b93OdW/c+wP/J7wheAzfIu8Kb5K2Av37NmzVwXy&#10;LFBmdahvbfCJQh8WW39WbrG1t/4s9vP9NO2sT+bJfG3NsvXFj/NE1ob8GWxYnM1GOvkx0yfz51WZ&#10;05wvODyIc5x4Pz4BRbZ53bU+XYKYT6Jj8q8DT5to/fKqZ+9WvJj/MPwV+WVF6YH6dfy01ffzSkpj&#10;S1+nfsQnPPd6SMEb8g37RkLht6zm9+6hHf9QXg9sBl4zXPfNN9+6L7/8yv3h8y/cZ5/94Zrw8Se/&#10;d4SPPsKfZCRYHrG1+fTT3zuCX5e05RNT1+pYW8b+6quv3bff/lFxqOFYcCT40fjScL0reb0LEr8F&#10;OXb4bJT8bITXKH3X6MUz/3E54Eb5T8+Wb2129cuuYYc/KG4Em+HTGN/G+Dk+fvy4O3b0mMbm99hi&#10;yqwOMb6TifGtTB8WW39WbrG1t/4s9vMZ2/JpZ32CI0vCj/CHcDqszeW13sYbB+yaKi4zXv+ZlAfX&#10;GpSvIvQcI5zUMffs4Wv3ssuk6+TPBf3bdPjA9MdINu1jOMN4/KsRkE2wr+H99z1QrP16rM5JWY5t&#10;bOIzb3/obsiVfWeqsx/lcfl+vSvhO/2W5Vx/2Q2Z84NyjWAz8JrhuIvvfyDzveguXPite/vceffW&#10;W+fk35d/5Eg4c/ZNd/r0WfnG8O26Ek6dOuMos3rEtLX6tCHtB+pwTD/EHL9zHpnJ7xzzYE7MjQAn&#10;Cc4N8WPia16Q+C3IsUNclPgzEl6r9FyrvlP+IjIe+d7CO17/tZu/5CnlCk+dOuVeffVV3YuNPXnZ&#10;z5d9fIkJ5O3bty8arA4x+7YRg5Pow2Lr74DIvCi3mH449mPS/jgvPB8Zk3rsD0dfR44cje4TjPya&#10;9YS1Ltn1sbzqVyXsCFZHJ668rq0/zvKtX0blmXNWRuwp/PJMTMN583zg0ygT5meYEbzoY71YvZOu&#10;XW4W3rFnXD+Xvs9LS5s+isWWb7Hpp3AcW4fjqL5Koc7K9KUfuKwaBwQ7El6S79gHIj+55PpM/pND&#10;nxAZNfJkOD+wGuGCYEbwG7gRPPf666fkf/eEO3bsN+Ij/kp45ZXD7tCrR68KVof4+PHXFRPSlsCx&#10;xaSpY4F+rA11wKGMD69pvCQ8JPMNZdeJr3VB4rcgxw7xUOLPSHit0nOtkI/c2P2oy6nxtdt98CPF&#10;c+y1gZ3H7Dlz3Yb1G919wivcNX6Se2rXU27307vd4sX3axg96k63bt3jbrGUP/PMM2758ofd9Omz&#10;3J49z2g+e/uCI4nZD272rLu1v+eee07rjh59Z7QtbaYVzNRA/xzrOIV9MyfqP/DAEu0TPHro0Kvy&#10;vT4u//Jv6prCGmdrXiasv7FzQP8Pm5nY/Mp4PF6eF/wVBnFu2FTAQ0W4xyPu1ZOfBjKPZM4dThzs&#10;mEybdNW1d8hwI3gtiukK9VhM36R5ixauX99b9R00vRX0S9gL0gLHfvDrWT51Le3Hfl3SjBvVWRF8&#10;CcZs3lX8M9UUHYWae8X++h3X867LUVk1eoV33TVFMSNc48qVq12/fgPd0CEj3Y4dT8s3Zax8u55X&#10;zLdh45Nu5Mg7NIAhu8me588/v1/jESNGy75DmxT/0Y56mzZtcX37DpC9KG91Dzy4VPZO3+xGyTfx&#10;nnsWagAvFsg3bdy4SW6Q7FMOdgQ38l/10NIVil/Hjp0YYscy7IkTJH4LcuwQD6UHD4XXNfHrCnas&#10;I/v5te/QUfmFjRs3qf7SXbInb/PmzRWrgdlat27tHntslWJH7B/unjNP92MDV4IhwZTI2ygDR4In&#10;scOEP7zjjrFujKS7dbtZcegW2SO4lfQ36vY7tM3TTz2le7kxHnkE6jQrPAZTtu9wk2LHDhKDQYvC&#10;jqx3mco9ms11OvUq04Unku0X7BiEnQzzjPgKP1aIHQ9XKOwYNO8YDzeC1QzP+XonMwUD5ebWjeqS&#10;oFPCvxz6JcgE4sWUWz2r69ezPKtHXcoJ5KGvgh4NOiuGN2vX+8hlXy/Y8frnJP5AdEa/cm9+8Neo&#10;vLpnz77u4sUP3K5du3VPSTDgr3/9gAP3TppYoPhx7dr17rbBwxXX4acIbEf5/Pm/1u/c9OmzpXyY&#10;W7VqncbgUWzily17xG3evF3rUkbbCROmKF4FS7LHJcdtxNfX0qUPy3duvdZ94YUXFc8yty+/jMjT&#10;0cf88ceIzmNoM5PYGhYkfgty7BDjJPZ8hNcpfdcJ7AjfAWcIb7dx4xOKHfnWDRp4mxs2bKTivony&#10;/QPbgd1at26jvCDfRThFsOEd8v8Ovuza9WYHrwg/CF6MxY7006tXH+Xf4Bbpj0DfQ4eOUHxIf9Sh&#10;L3Ar5Q8/vNIht3700VWuw00do3Jw1hbWNriRTOcdwQX4yTNb7sqMIVlDCclizrLWX7DmU9F3e11x&#10;Y07Nk+7ORV+W+xxKew7Y4fN8lLZ9WdsVhRtN55l3zXRQsIWaMrnA5eXlRfVWTM+E95RvQGwwfRfq&#10;EdA/IY/6BNLWh18XXRkCZcgx0Fnh3xE8yZy6DHtb9nt6QcJOCR+K34jP3Sdf/lnkvz+qDiH47IMP&#10;P3JTp850d945Qb4TyOEv6j7m8JB8xygjPn78NdnDvLd89253c+bcI/uYD4rmUz5lygw93v/iQbd7&#10;N9+5pfq9xF5ow4Ynte3kydMdoaPskz5mzHhtM3fufC2L9D1K7vEnihl79eqnNjzIq+FIkbOHuDHx&#10;9S5I/Bbk2CEmSvwZCa9V+q4V2BHZNPqCYMcW8r/dv98ASW9S39jjxk10W7duk3QbN27sBPnOTtfv&#10;N99SMF2fPv0U+y1atFjkO931u75s2Qo3Vurynb/zzvG6FwVl+PPgGKz4hOh4TZL1Z8TwUdo3Y7Bn&#10;xU2CDQnWx80iO1q39nHtlzo3deykvAbrBjwIcitwYyZzjraugx9trxr0Afv07qfXJGg7HptfqmKe&#10;qeJs2lM1Tmw/9Zqei+LGLXszX1btzx9ZJn6k/LzyShtuJOY7gF4j7xV8IxgNzEi4//4H3TD5x0On&#10;ZchtwwQ7NtT/SOQOyA8s7Nyx0+3aeXWwOsSEZ599VtvyD+kHK7cYXRkC8gzqgUnBlqZHXauO4Mac&#10;bRJ2uBsavuXe//1lxY1gx//937+53oLPwGbr1m1UWTM2znB9nUVGcuzYa27gwCHKEyKHJh+smd+2&#10;ndphU4fvHPl8u6hDrMfSjrbr1m1wzwuPuG3bLm07Y/oc2R+opdbbvuMp4TLn6DhtpU/q7xT+Ex1M&#10;bHh69+6vOo74DcJOBr/h/M8TwjWv5DUvSPwW5Njhs1HysxFeo/Reo0uXLinvaGvHE09E5CzoGiIT&#10;apOf7yZOnKoyIvSawJUvv/yKyo34pq5ZvVa/rUuWLBOZ9mrlmp58crN+L1lbyBt1+xj5Nk+WsltU&#10;HxLusKPgv0dXPiY8wksqw+knWBV+A/kO/W7ZvEXkQ2v0eMGCRdrvqlVrZb0arhwnmJF1DXtw306G&#10;8yiv9bYs46jPR9F/rFOnjl5/sBYBW1tk/WXpOxPaci5B8KrZ1U4pdpy5Ah8rH1aokFHYUXj8yVOm&#10;6bvPu8h/Tl7DPMGKDVwDCW3bttdj+DbwHHxaf9nfBX2T8eMnuh639FK/+P37D3CtWrV2YEmwIHUo&#10;N3kDsgq+Nei9oOeCrAH8ybtvOivUJ2+d6FbzzwnmRN7BPyX/rvWbjRXcuFXxY+OWg5Rr/PHHv6t8&#10;ee7d813bdu2VQzxz5k3XRfpHJxH9Q2Lw28OPrNJvzu7dz0bwnGBNyrB7Xrz4QS2j3kbRh+TbZPWs&#10;D+vv6af3KE6dPXueYke4RerOFv6S9oNF5s1c4BexiQEr9unTX7nG0L66dOtckPgtyLFDXFS65yW8&#10;bqm7buwDa1wHuOvQoUNuasEMd+LE68o7rFjxiFsvnCRy4e3bt4ue0H1RffXJk6e5vXv3udmz52re&#10;C8IFUE6YNKkgGhbJ3iro+fj5tDEdKvLpmzEeX7ferRD5OZhw7969emz5yLSpa74d4UWQVcOTGPat&#10;aHjB5steNOhDsp9NZfAh3qBBA9Uds/Mrr7giY0d8bdu7WF7Xy8ax98e3j+Ed5l9us/wL1m9QX3VS&#10;ZsyYpbJeMCRY0nRawHToPqNvAi4EE86bN1//87APGzpE/vmkjHr33DNfMSkyaP5LVedFytBzQSca&#10;LAqGpO76xzeojkxEj6WvjgfniEyCf9GV8v85/PbJghufVt6x4Y2T3erV61Rv8IjYu7yw90XhBPeL&#10;zHuf++KLrxSvbd6yXbjLfZoGsxH848OHj8u374Lm08Yv89OU0ReBNMHa+u0t/c75C2Ifc0Gxou0p&#10;c/TY69F9EkO+Mfl1LUj8FuTYIQZK/lkJr1lqrxn7WCNDjV1DTG6lPjneffdq3xiC18BsGoorK6xj&#10;vjaob2k/jvZlfZYUM6YE5NSGG23+FT22PRPRiayocmz4M3hHZIrldT+wpa5d66xwjkeUd+w2Cp/O&#10;FYt35JohCw5i3sVhx8OHD4uvzjzVUca3AfojcH53332PxoMHDVH9FPDcIEmjb8J/JfrS6LjMmTNP&#10;dVkoGzlilOqxjBs3QXVP0INZLbILdFVoT79ThO/sLbocpv9C3tSpM1Q+wT8msnNkF/gGQu4xYcJk&#10;16zzb1x21jMuJ/sV+WedpnbWyH///e9/R7EZvm9SGWxf6kT7tPoWm16jYcZQTp382hYkfgty7BAH&#10;Jf+shNcstddsxYrHVB7sr1e2joDLLIDTMiXYnEy/kfn6868MaWTZ7DHSr9+tUQwGlgxCDpzM9cSG&#10;Au4UWWYy7cpad8zCKz4ds6oddsu2VByf4HbuOTk5yj3bcXnH9t4b9zhlynSVHZw6dVr9HMCHY9+M&#10;/l6/fgNUdwWbOvRadj/9tMqZsU2mHAxMGt4SXRTqdezUWeuh09JJ0nv27NG66LWA/5BTY19F3YMH&#10;DyqvyHjorIATCadORfYbWCv4Fbn448JLwo9Ovu+3Ymcteo81X3S3DJgftTfxcZmlwWx+KCrfrxMv&#10;nWg7q1dSHK5tya9tQeK3IMcOn5Xkn5XwmqX2msXyjrZesY5cvPjeVcEwmx9bHctj3UkkWP14sd+n&#10;pYuLbc2zuVeGGPk16yh7voHFwBXwUk2aNC1XTJbstTTetLw5x5waJ5VvzKp2zLHfcbLzDrI+1wp5&#10;NXutB8U72vnbu9SzZ2+xF2mr4RbBaNjIILdGHt1J7IfRJ0GXBD0SdBhNrwR9QMrwxUg+uI6yMWPG&#10;6f8EaQJ9ENCfRteFeuir8M+Bzgp1SBMfO3ZM66EXafoq6NGgY4ltHxgXOcYNufIMiI/wOo22XWNr&#10;UhJuC6I8XMvKvpYFid+CHDt8dsr+7ITXsGzXcNq02aK7PumqtdbWj+LwWjrL4uHJovIMp9qciW0d&#10;rAwxWAwdOHy3gCXBj8iEM/Xc0H8ob33Nacs/L8SNh1ynYRVPVs3/APc2aNxoz5S9S8Y/oh+yb+8+&#10;3X+wQHShk9YxKUoHJQF9l6vGKtRV8fVV+C6YPKTX2IuCHV8W7vGEO3zkeGinXAaf2xVlXQ0SvwU5&#10;dkW5P+E8y4bPMvn6FYgeEetW7LphWM2+yyXF/jc8tq6VWZ92HFsv0WNbO2Lr0y/r3rOvVjwbW7v+&#10;JcXwkciyu3XrHr1nJbUpr3L8D7GHdXnbiTfKl31FqolvaOEcK9L+1XZfsK3HVsqO0xEbHkw2Bj8e&#10;EF8IeXJf27XrEMVpvINlDe8m0Qd1/e8H87Jzsf/Hx3Z8Is9ARN81p+aZEDuG2DGtz0CIHSsvLspk&#10;zJYpc8OXmdl22rcYTGb/+2bTgk2zpS2Ol2dl8WLrk5jyotqTX2SQPdHOWfDq0R/99hj7lcu+7nt3&#10;75ov0roWp2N9T7RP8GOtWrUz7vzYcxGMkeh5pKLekdOfyn7s2Mgccr3Hf1yuY6di/vSR37b9Ndx/&#10;Kvq299liw1iJxLQx2QJ6E7m5udFjH8NZHT+PdOx/Hcd+naLaxbbl2OomEkf8e76sGPLEez+nFTtk&#10;yje8Ks8jSPwW5NhV+Z6H554ZmB2fY8gZbX3hWw0GA5+haxS7n6z51bHYyv265BEsj5iArpIFa09s&#10;9S32y/w0/ibR2/cDeQTa9hgjOCLra9nT9o+CJ75389d+VSGxREm4Adkmsut4dtjoziHTJlg5catW&#10;bdROtqS+S1tucypt+9K2y2vznuJG+KbNe1P7vwC3W69evbTpCNh9wnci/wOlvQax7exdNowYi8di&#10;cZ3xh7H5tCMMGzpS9W3hH/Gvii8deMBkeEMbI1WxP1ebp8U5Wfj4fNkhww7XmcxYZ9J1H4LEb0GO&#10;na7rGfZbud+XVN5fZNZgxwMvHdB1AtwIvsOe0d+LzPb/Yk9ZP7C3C8fEsWnLsxibSXAfMW1sj1or&#10;t5j8eAFfIfjnwE+I7XNx5MhR8al22G16+rTgxg9kT7Lfi6+Ob1129T+Kz5bLiolj19bKcIyOqq9X&#10;yF7i4EkC+Q0aNFDZNsek8XNSFN5MxfVAVo0fv9L2hc8+9P5uHTBQ7GoX6r4hJfX1xvmPBSO8ptix&#10;aeeLpR67qHFyxE8S+hxcvzp16yiGZI5gSuTyYL/S2gSx5w73Ax/bvH/I+4uaR0n5XIfRC75Veb3h&#10;RnAU+EqxWiHPb1z/VZy+cfgWF3L5xuPzPWDvI+bZS+4vvHJOTrb6XaSMehZMjnBV/55swMqtfrw4&#10;0bZ+X8zDD+0HnFebmVq1TlxjM5PKb2fYV/DrbJD4Lcixw2cv+GevKt8DbAs3bdqs6+KC+Yt0nYFv&#10;BDeCz9hPkD1nbY9ZSxNbOrYMDGDlFrMHLWnWWTAfsbUnPnDggO5Ta/Vj97e1MdiLzN+7jP0lqMte&#10;t/RRcN8Jl3OD4MfrP3e1c75xew59WqmxI5wY1xIbXeTF+MfxcQZ4xLe/wN4mHXqS2PPUrVv3qrH9&#10;eSSSHjVqjPvv//6/GvgmW5q94fjXiNfHFT3H1HCO2PU2btJEMR3ng92zYTquXVZ2ttq8kwZLtW6d&#10;L/8qOXHnFm++fh64Eezp55UmDW5s2u2yy6n+g6uVdVl1fcGNYEbFYXHkB8bV+/y9nzZZgMkLmrdo&#10;qc9Xnuw/yF5R6Nvm1st1zz37nPhrHC02NDXER+Ma9fUP/097+jM5gS878Pv2860dedbO+rB6sXIJ&#10;jm2OFvPfu373+y6rxouKHzfs/ynEj5VY7zFI/Bbk2FUZt4TnHjxuBjvu2fOCYo8TJ0/qvzv7toA3&#10;Zs+6W/e4njF9tu4ju1n2JZs+fZabcNdkt1GwApiNY/aYZb8w9hxkX7EtW7YqvluzZq2bVjDTTZs2&#10;U/efBfOBK+mX/azvGD1W95PYsGGj7i8G/mN/MfamoD/8cYwefae7994FOhY+Qtjv7HbZTxb53q6d&#10;O93tcjxaMAdhlvQLjpr50Nuudt3P3NMHPlAeFR6mNGtyJrQxDilevHDBr1WeCgaBGzt1+kyJ5zle&#10;9iVHdh2vv2TyYq8N+rJdZN/f2PxkjsGIN4hPS54RcCP8HoE0edYXew3WyT0jOAkdx2PKOXYcWjYf&#10;4Dw37FFseI7nHzxsYxKDIeEHY2XLtPHrlZTGPycBnhheEz6Y8UtqV1S54saaP4ht8ffCtX/vauVc&#10;cgeOv6+4EcwF/jL5AVw/PL1x9T6P73P5JmN47bXXHIF3Pj+/nevSuZv+n9BnmzZtXY0a1VWW3aBB&#10;ntpIZWVdr3qbtKdv69+XITAHky+QtmB51GV+vlyBPOpZHdLk2TEx50jgv5f5ZdXcK/hxv6vX4kLU&#10;12O45gS/5qT6HgSJ34IcO9XXMeyv8r0b6bynYMdvv/2j7C3dRdcwZEhwL+wVy35gEydM0b3B2IeW&#10;tY59xcBzrVu3UZkV+4Y9tespB45pJXuQ9e8/wN0lslTwJDgPjoI64EbwIDF7jqEvBTYk2D5mW7du&#10;1X3MwJ93yz4U7cWPHH1RH30rxmUvCvacYJ/bRx99TOcE1iWsXPmo8qSsI3AQyLDgXwwTFbX2Zlq+&#10;zddi01mLjbkW9UWWiq6BlVmbouKn5B6Adbi/hIaNGkXbWh/ERbUvKp8+YznPZK/r/1x3ndiMtHOb&#10;N292fJNHjRpzDZ7ath9fPEcVL0bsqg+JXutJB/eW7HhWHzk7e/jA3SbLA4Il4X6tr5Ji9E7h7Ait&#10;xf917dq19H6Uxd97w3aXXXY1wY1gxxrfCXb81u0/8jvl7sBXYDCTH4DB4e4JcPYE3kneVwJp8qgH&#10;148cAJkB7cG33GPDdKTxDz5lcoH88z2i349q1arp/yT/lfRjY9GfH6xvy+PYguXRlv9Jjq2M+ZC2&#10;OqT9Odo8mWPLm0WX4frnXVb1I7qXjPlvTOf3NOy7/NffIPFbkGOHz1r5P2vhNb9yze17CvcIVgNv&#10;gR1vE8wHD9PhppsUu8EH4hPY1oMBAwbrPrTkwSuCM9n3mr0e8A0M3iNet+5xTYNT4A23b98ePQYz&#10;0i9lY0R3DB/D4Ez2rSVmz1vWjw3iAxisSj5Ykv3NwKnsQcH49EN4QrgcuBO4B+RWyOwMO5a0pmdC&#10;ueEyw3Cmr+bbBPhp9nDDt4ufR5p2scHvExxes6boRRYGfI4j747tp7hjv3+4Z+S7RWHORK8t2JEA&#10;92jyavQe/fYT7/+sEDce1rhx+3cdexH6dZJJw5Uil47lGBPpgzZgzmQ4Q8OO+HoHb6OzyrUHtyYy&#10;Zrw6Z8995Bq2+85lV7+suBG+neef94C5ga94j8CF/APC11vYsX2HI/BeEu/cESkDR1LX8CRYEIwG&#10;ZkM3BIxmuI18+r9r/ETFxLTjP5ExiAk+RqXc+iZmXjY3y7f5kk/ajv15WT9Wh7kxT2Lw7vodr4vu&#10;yn7hH/e7LQf/HnKPlVRuHSR+C3LsEMdcwTHhtQjmWpjcGrkjeIs9JNjrAVlynz79lR9BDt1B9qhl&#10;zSCAW+D/2IsW+fOwYSO1nHWEvWxtn1vqIpNjT1vqwa+wRy3t2WcC+fXSpcs1j3akx0pd9sFdtGhx&#10;dDwbBzzLWGBT1ggwJf0SwK7wLMir0NnkXAzPxFtzg87DD2Gzm0U/TWLDjYYXmTs43mwJrrEfkPMD&#10;O4PZ2JPDyqnv2wwUlYY/BjMdE9nfPfPmq75ay5Y3aj9wwVOnTFdO2MaPja3fpQ8tU7xQILoJzNnH&#10;rqRLuv7sKwIHh90I9xPcCH6EY/7FL/6f+z//9V9q94Psmrr1W6xUzFin3knXsu3wUuMt7j04Dvzm&#10;64Mm+0yA+5o1a54UfuQdyM3NjfpUZXxk18mObfV5dsCPw+Z+7Z555WO9/7feOkhlt/xLTZo41aF3&#10;wr/ZctmvBa7wIblvtw0eKntOF7jOXbpq4B7wThMMl/EPB16z9w0Mh8wenVnyeH+5b/TNO4s+xG23&#10;DXU8F+ByAnvLIFPgH4P3G0zJGOwJg86J4Uc4XMYj0DeB9HrZc5BxF8v/ITIJ+mROPP+k4Y137Nih&#10;WHb+vQvVhgnsyLfghvrCUQt27DvuzRA7htgx5Tb3IXYMBrOEWDFzrju8I3akYBe+6fn5bRWD8a2H&#10;P4TD6Nixk+5Nu+TBpbrfLGseeY8+usrNE/zBHrTIi+fPX6htiGmHLt6qVWu13qaNT8jxLZp+dOVj&#10;up8Y7RmDPW4j+9pOcUuWLNN2xHCgyC/Rp2T9Qd7NPrmsDTY+fbCfLrhROUdPXm1rbCbF4MVaWaKj&#10;Vq1s9g3cJ+wYOG9022JtB7gWyO/B0gTShFi7hJVyL7AlBk/WqFFD/h1a6rHZJlh9i+mja9fuijnh&#10;oA27Gqa0uCT8CGZCTvzLX/5SsOIvVAafnZ2lc+C5gRvt3Lmr7qkDzsv71cOKHWtlv6m4DzxZ2vsK&#10;14fNS2nb0w4dSObZqFHjpPph3rSzPsDPYNnSziX23wPsiP4v95X/LvSTwWJgPGQEyArAZWA3sCCc&#10;Izop44U7hMtHFgDPP0D6AbfxfsIzgtH4XwO30Sdp3j364j41atxI08gBwHlwgkPkP4V+0G8G/yGb&#10;YA7IHFqL/ID3mW8FfYFx+UcFTzIe/4nw5MyH+VPOXMCrHKNTQ53hch+XLVuh/6CcD3wr356WN4ve&#10;o9jM1Gt+VO1l+E8O153MWXdScS+CxG9Bjp2Kaxf2UbnehSDu54oVj6l/cNYgvuXoDoI1wB6TJ09T&#10;vHH48BHVK2TfWduvlvSkSVM1bNu2TfHL0aNHonvYgjHQRYzUKxAu8T4N1m6RfOfhzWz/WtLsaUs7&#10;5GjUoz2YZe3a9ToO48GDgpUiY0fmQDvmDG4BA9t6Wtr1OJ3taucIbhS7WLNvqF3rkvJ2YLBk7Bs2&#10;C96uXr266qCBpbEhMPsG1s4TJyN+lsCWBPIoB+ObvQF2CbR9XuR9/CtsE45ohmD0rKws17fPrVF7&#10;BOrTjkAf2EmwrtOv2e1y33hmophVzqc4/Ni8Ofz2JuGmu6uOI99iAjJr+Ef89dh9YN+VFl3fUuyY&#10;Xe2U8oXwfoYfwQvoWyQqQ7axrf/SxuDHZLEf84TntzHRO4VTt+PSxPa88+zz/vJf0V84Rv7V0P+D&#10;/4fbhyvsLT534P/h/sH+vXr1VewGJwh2GzRoiOI78BiyA/AaMXwlbbnGHI8YPko5RPrq1LmL8Kl1&#10;FavSDlkA/N+SJUsF53XXY/oGy4L7kGVzzrRlXlOnTld9ysEyNoExtoh9HjiT+dDO5oKuKOcDr8p3&#10;gn9JeFT+X3meeUZ5j8YvYo/CA/KuvRbaWoe8Y8r/G0LsGGKvIPBaJo2JrQz/6/76Y3LTaCyYzPgk&#10;i02WCeaxtJXFi6lj+YnUt7rEVt84LhvTyrRuodzUzqM0a3B5tInYxhbaN1T/zjVs/41yd2AwcFyi&#10;9g2rVq122Cckat/A2ktAZw1eB/4GXik27BC9t27deoitwfUqizRdN2LagQmqV6+mMvOtgjVZrwlg&#10;01OnTkUxK+s396ko/OjjN/AjmBF7GXhms7v270d9sZnFRqb7HR8ozoL7Brch04aXZP+TbPGj47eJ&#10;l4bjg2OF84xXnmweOLBDh07RvvD9WBSOhe/EF6btQYjNCXMvi70M87Vnnpjrjd4J/CP/Z+B78B8c&#10;PveONLwn+pZwkMbl839wr8h9kWuDw44f/43+J1Cf9Ity/8nnPhP69b1VZQRgN/KRRddvUF/HAf/l&#10;5GRraNyksXKccJTcs759++s4yCHoo01+vjt48KDypBMnTnFNmzaRezNHxwb7YnM3QThGxmQuHOOj&#10;nGeN0KlTZ7Xj41+Sd4h/TZ67Oxf+XrAje8yIzXe4v3XKsVMmrGFB4rcgx86Eax/OoWpj54KCWSqv&#10;Nj92tgbBX1hgLcqkoHi2ECf688p0vtEwCfppTbtdEpn1ZcWNJ87+Trk61kb4FvAZeM5sCOCDLMTa&#10;N1wn/Bxlvh0B7WLtGwwvGv4DbyIbNPsI65+YfHih8WLLDX6sI3qI+fnt3UDRaaMMPAJeA7fOmDFL&#10;8SiY1Dgf8K9hSbhIcD33iWfLrgFx02bNrrJTgWfke+zzjX797OveVOw4cOpH0X7gLcFAZu8CJgQb&#10;Gn7zZcFcW7gusBr2KqnEjlyPnqJ7hw9E5gA2M3/ihiPBjZTF2qRTt4Xom/rnWpq0vbvomaJTnN+2&#10;rTxX5/TZAnPBB54WnrR//wGCbXuqvRsyZdLgL3AX/y3UnT17rti6wfUX6DHx2rXr1K4Nrhc9RmL8&#10;8FAfOTX7ZOblNXDZghnBkGDkli3FN+SvfqXPUAtJIwtvIthw3rz5Oh59YKeHn0j21+FZq1+/XmRM&#10;0dVctHCxpve+8Lxgwjc0DTYcOmSEhjdUtnG/5u+X98b+KXne2g/8UJ4XsKPsc/7c3kqJnar6+h0k&#10;fgty7Kp+38PzDwa3Xrp0yQ0ePEzWtrq6vsEF+GuVrUEWsxZlerC5Evvnkolp5gh+HHff1+70W+8r&#10;DxjRMY34ZEeGiI4YNiPYlvcQ+yV4YXxbYtuAblo7CXA9rLPwPWA6bCHQIYu1b0AfDNkfOmXowaE/&#10;Zj6PbhH5KT6WwBOtWrVWLElf6L0WFMzQvPbCq6HLhhy7VatWyu+BG2vfUNv9So6xkWgjMlL4NzBI&#10;u3YdXIO8POHWHlF8UBT32KxZc9GT66Z8I3YycI/EReHHWtnvXIMdY+8v1wlsaPiNNH50wCjYFqVC&#10;zzHemOBX7D3QoTRsCCYET5ldNTJ2K/P74P1jvqnAsjxb7PsM10i/58+fd2+fO+ceF5uTt0WfgADG&#10;4p9h7959qn+4bdt2BwYzfYNdO3cJz3hc69HOAvX99tYffT0oui74CEd3kXswVPQZHnnkUXfs2DH3&#10;5ltvqy4KuBBcyT3Jzc1Vn5G3yXcIe3Xa8nz16tk3ojMtuJN6PJOjRt0Znbueh5wPY68XHwzwoQT8&#10;T/GPgnwC3Mj36t7VZpd/zPUdPDPEjpVQbh0kfgty7BA7BYOdqvp1R0bNusbaEm8tY13zsVhFSvtr&#10;cian7ZrClbLWYd+OPQEYBJwHvsN3UQfhZMCD8DT4QMe2lLUZ/hHeDi6HOvA56JHhxxnOkjT8JfJI&#10;9MzgG+EU6XvmzDk6Fu3wdzR37r2KJbF5gIeiL+rBX9IPc2FuyDwbNsxzbUWuzBjIE28Q/IifH3Bj&#10;x46dXV3ReasneDay50q26t1hHwFXzHrOedt9gWfCnh6eEd4OmTXfYwv4erS605aBAyK+ecYv/kM0&#10;38r9mGfanmueca6pz036ddOZhss3PpR5GLcfb0wwJ/J3+MJ45UXlYXc1fO636uPSf6a43hcES4Eb&#10;DRPC18UGcB04DH7YsKDFlCUT8MsAPrb2Fvt9sBfNc3v2qF0cNllgRuyuDh85qv9AzFeDzIm6cJd5&#10;EqwP5m96tdG60gbMqJyjYGXeKfAzfj/RjUXPoW7TzSF2DLFjSp+BEDuG+K0qYcnf/vZ3+j9f3DpW&#10;1DoV5pdt/5LY6+ev9fi/hF8Eu4FzsENFZww7AuyV8IECrgDL4XcTvg89sxtvbKV2BPhFQnb4zO7d&#10;KkPGlgA58iTxw0I7sBTH5iMJ+TOYElkkclx8I82eM1fLsU0YOWJUtB/mwjH2CmBI+kP+i14iftqH&#10;i60rMvE+ffpJnXy1pcJeYZZgVGwrwAes/z3kf4X28GvIaMEZsdcEvDh16rSr5Nb4cDSf4Nk1TpTJ&#10;p2PseJlyDLaEZwNDJzon314fH49w2eAmcCNYCsyInPeM6J2aPdPp02Lb5IWTJ09pGXUI6KhaQL6t&#10;QeqTZ2nLj+ZJPexW0GfkXoPvrA+/Du1ij7Hroa2VMd9IiODcrl1u1mcFjhofANh4cy7M9UrdN/Rc&#10;3xb5/PkL5/X87d3qOpI9zw9JOOYWPPBkSrFDVVo3MvVcg8RvQY6dqfcjnFflxtOsUaxVia5RYb3U&#10;Yka7nra+EZ88dUr105Bds5/GmtVr1d4BmwHuFTgRewG4PnyvqCxUsOK8ufeo7yJ4ZGwIsIFGb5Jj&#10;0rTFlxF52CMg50auSH/Tp8/SfYGsb+pTTsDnEW3QhWMuVgd8YHYLxJZ+ULjJjiKvnig6auBDMAL8&#10;EFwQWIaxsCeGR7KQ6DOIfmNk/T/uVmz9rNI+t7yX6Gna81FcDJ5WP09mry97yzRs/61ea6451x+5&#10;NfcU+fPRoxF7JvRQ/UD+ccH5r78u9i8StL4ck0c7axsvbXnEI0eOVmyHrdKJEye1n2hfhf1ofa/f&#10;aHvLs3Eltvng+webfkJOTi2Vb6ObQVv6twAG5nzBk8iuTb926kOfFz47h1x+7yMhdqxk3GOQ+C3I&#10;sUOMVrkxWqbeX9ao4talsCw9WDHedTX8iDx3+LDbVc+RtR9dLnhE84eEbQIcodk1NBCbBHAaGAH/&#10;SdTFTxE+jXqIDiN2tsTYtdAOTEqgnHrUxycS7dFRpA5YDx+AjEWaABeKjhn6ghxHfCUxj17RPm28&#10;7du3q58k6jJ/1nBwo9kwxTv/RPI6DYtgx3rN3qnUzy1ya97Nxk2aCL/cvdhzRR571X6Esq+M2etz&#10;T+F9fXt99Bf4JyGgb0Ds78Nicn74Y2yxCeg5ELDH99N3Cz89R2xpNqzfEM1Hz4F9reEQCWbPb+2I&#10;mYPFlvbLbVzmAK9NoB/ri3Gx718v45JndYg5VzDxCcGQ8K3Yn+VkIa+O6DnAW89Y/FKIHUPsmLJn&#10;IMSOIX7LVIyXjnnhqwL7z0TW7LBO+WNI038Ec2kAf3nB9LqQDa4TPUKOCX4dP11cGRiVgJyv+MAY&#10;JdWx8sL5yPzNZgF8nMizxB6EyKtj69audVa5o3rNLlxTFlu3oh/DxaLPmojPR2TUuh/hdRHO0ez1&#10;8VsDlgKfgRPRW8V+yreltzT70VNGPauLrZQFyrC5J54+fabYs0RsXXKEX6xWrZro394sdndD1QaJ&#10;Y8b0x6Uf2hJIm+8AYktbHZsDuNawpY9b0Y3Nza2n8zR8CYY0/EkazIzMfNFa+d8Q347YWePf8cR7&#10;P6cMM6Tjuxz2WTocEiR+C3Ls8Hkp3fMSXrfSX7fly1eq3WdFX2Mr2/yNfyQGP1oAf8UL/foNUC4w&#10;XllxeVFMati0pLiQO/TxqKZpZ2WxaTlmDpwDNgsE//z8NLJJ9CbxBW77WMMd2f3N72/6aodch9uu&#10;+Oax8soYo++KPTj22cWdH9cR/Dh6wTdqr79x4xNustjcI7sFO2Kvj+0U+gLYWWGPjw9u2zMQnhib&#10;KzhE9pQBIxKwsR8n/pmwswfXUY6eLVw3ds+rV6/RfWMGDRysvhibNG2qdlvYV9En2I8x8RGAHgV9&#10;EOgXThsMyDH7iHJMf9hpsb8A+BGdDMajP86BOeErAH4c3z//n73zjJKqSB9+fXm/vv/v/7MriMwM&#10;IqigIogCopjJSEYBAQXJQRAREclRgiAw5JwlK2lIAgq4qICYMbyrIKJr2N2z4Zz3+T09T2/R293T&#10;M9Mzt4e5H+pU3aq6VXXDzP31U0/AnzljcI0bN2wUndqWyo/ITtGzQD6+I++csOM+Zcea94byxmv1&#10;mxkkvwU597X6PMPrKjrblfS9a9qkhco1kn2TwrbSkzfG3mufq6zMfrafYDJ84hH3jbLflqgcy6JX&#10;MaQn14zLiMaGyfr5HEl/L9ncsXmXrt2ivMgeLXYi+Oixe7Jky9fy7c9TmeON1SSWouzTWtu1mmM/&#10;hN06egCp+Av33xF0ZtFVwEc2NvEaO0b0J7HXxz/Tfbwz4vcJX4zoLJjscfHixcpp8GXr1pG40pTZ&#10;h4YFsfN/Tuyb4DZ0Z9HJhOtefPElZTzzMY9fKbiOmDLM9+qrM7WdvXHGatq0hTIlnMgxfEicQdZE&#10;f2JvI0PkXSD+DWUbjzrmYT8fnsQm61nh4pZi241tF9yIr8lbxTdUZZGJsv9dt9mHyo7V7zgUyhyv&#10;sb1q+04GyW9Bzm3XH+aZy1rX2rNBnyq0sQ6ODVNhHuOBZPktt9yivnOS9Wkz6DvXqPP3IpM6r7K/&#10;D/N5Dt8t8fagbQ/bz0+dwpfefyf6UG99rQ9xIa2uoP30Ll2eusovj8UiRA45fOZXLqviAeXG7Bsk&#10;Vkg54Eb2q4vi59HeAdgcnVlkj+jFjhjxksgP+7j7hffgK2zesdfHRzjsCLvBbPhswtYe5oM3sbfH&#10;lh67ehL2+Mj+kDniT7Sm2Dzh24lxYEhs+jnvNbGpisQXHKJ17CFbO/PBg2vFBos69G7JN6zfoHOg&#10;fwEPorNIXzgQuSKyScYn0ReuRiaKP6hR4peUmDSLFi7SvWr8jOLniHtYq9adrkpVdB3edNXuyAvZ&#10;MWTHtL8DITuG3Hat8WGi6wl1HTObGRNxpbGB5TBGQfZOTXpectmVfpR0WWPY4IMcWaBynfAd9gRm&#10;D2O5+f7D1sL8rJhvF/ZBKdPmJ+tndX4/2mzsePNRx3pyF+Q6k0FaHOusStg57BZ+zHP9xl/78kbj&#10;xvbtOhVatmrvBfmiRUt0bxj5I88EeypYjFjlxBvEXh4/N9Rhq7x16zatww8oNvy0Y7vcu3e/qA09&#10;8j3S9u07onvTxBtkHOz50TFgr5jzsNGnbtSo0Vpn7dj4Mzb6iMhEqccfFWMQl5AxWrVqozb9xOFe&#10;unSZ7r3jZwD5Ov3xFVWtWjX1QzVM9tGJuYj8Hd+i+O9BB3jki6NU5nj3oyuUG3mHXsm9mHZuSPQ/&#10;NqwvXZ4Ikt+CnDt8z0r3PSvv93vRomXyfzYSd9d8FifilbA+szkzGTv2nfidyzbfLcKO2ddfcl1H&#10;fqWcBk/Ad/a9t28+332+6ySYwnLkQCYDoky8QRJ9yK2f1SMrsn42HnP483FsdawFvmSvvF+/AVG9&#10;yKyKByPseI36c4z9+4KNsE+PrS/MMeyIzgKxCNFrhMuRQcKRcLpvjw87ms0+e9q8F9jhY28P85tt&#10;vtnT4xeHeuzw2fvGFw8+SdWeX2zx6bd8+QqNZUid/WbQdmnj2piPMejH/CtXrNLxkEGyPvInJB7N&#10;9OkzI/1lXNbEvjnj4z+8Tp27NM2cMUvHIFZQpUqROEKHDh2O2md1HHJG35/KFQ7Ju3UmZMdQ7pj2&#10;dyBkx5DfygtTDhz4nMZMI3Ya7BHyY2bzYSJumD5tRlK5Y8Rn9A8is7vssoQbq2T/2a3efk7lhjAe&#10;fOf7PzHfKOiXYd+KXpnlm8R2gUT8a/PpQjvJYmbTlzKJvrQxFnuW2MOii+bPR73vVwWONH5k3xUG&#10;en3tF/Ltj/BjTta1revI88QuprjsyPtiMkjuI/ZKUb1T9FG9ZPoEqegXWF/fZr9hw/tdterV3FNd&#10;e+i654sfJ8aPpwthdTYXudVdnYu/AE9PFlmsv2bK20ROyr40cSZr1rxNWdNsw+zd4R70HvdN5LdH&#10;hSOy7z0r7dxQXr4ZmX6dQfJbkHNn+nMJ13dtcfXAAUPUfhNuRM6RiE3C+sxmSuxwc3KqiMynTtxn&#10;yLdz454vXE72JUnfubU7zyubwWgwG1xn/EcOF5q/FPOlYraxq1etUv/h+HKhD33N54r5d7G+1KMX&#10;Z5xpTMkclLG/JeFf3HyswLHIJ5F7wRRwgPHPY93Py/cfW9ndrpvITa/F9xKuRj+P+IwF+XRM5frt&#10;3pHDUn4yxvJzn9UKU94u7xAywCqydnQR77ij1lXcF3csj13jtaOPG5v8tVLmeoi3TbJrNfswO+Y+&#10;Zd9wQt+byqIzO3Dg0JTY8d///rdLVyqpb2e61lfYcUrqeoo7bpD8FuTcxb1v4fnXFtuV9PNE7gg3&#10;1hX/H6G9TGbzYUGcAPtjNxCvn31D3zr8qdt18LzKbvAH3rt3f5UFYqeKnQTJ2BFb2kHyfmBfa35a&#10;nura3XWV1LDhfRpHm73KZcuWqT8VuBH/LrThw4XYhMTaJuGXBdtZdOjgTeLMUMZvC/YRjIP9Bf5V&#10;8CPN/rfPjrAA18C11Xroo3z50dFr0l4Gu2psPOI9x+LU2Tvg58ZYlhtXwmTxWE5lfsgBjfk8maDf&#10;f968+Q4/PVpnfQube2PDj7Y2cluvvRf+NcWWuWcR+/xIHMJOPedGubGwvJTJ/f/1r38l5NxkbXZN&#10;9Emln/X385L+ThVm/CD5Lci5C3OPwr4hJxb3HUDuCDsSv6I436Xw3GC5E+4nrl+i+HX2PeVbq1wg&#10;33Fiw8BwA+QdgNuQPWJDi30s8bHhSPiOMbHPhfHobz5dkC3ig6WP8Cc+VpAx4psPvyu0wYy+3JFx&#10;Jk6crGyKPt2kSVPUpjd3wUKt4x0kRrbJHdGDY0+U9dr6ec9emP2VsOMe5UeY4Fp699AZuUV8yiAL&#10;LonrsvsYLze/m2Z7f/XecWRP2faWba+ZPlbn9yc2Ofvt1Jm9PbmdZ7nfZmW/zcqMc1jiwnQdecGt&#10;e/OTuP5BY+8X12h1/2HHQ67Rg82vYixjJvK///3vaU//+Mc/dEzyeIl5Y+v9NcW2xR6XxJpTGZN1&#10;2DrhyOJ+i9J1fpD8FuTc6bp/4TghV6byDrz00ithTBnhEfvGlNWcPetbb62R9DqMF4wfc3MXqm0B&#10;tq7s92HPMmjQUE3t23V0w4e/qP5Qunbppkz5/PMj3DPP9FZfLdjowpp9+w2M+HERX3vsr8KcyDCR&#10;XWL7YAlfL/h4wV8L+5n4XsFGlnaLWccxdr3IHLGXwbcP8i3kTD4HjHwNdkSGtNdNXHQh6TWXtec5&#10;RHwmloTMMdl9sPeCnHvNPYfZsFUhmY0LOTxvuZX9dsqzZ7+m9s3IT4l7jvzYEueQOLbc2iz3+1i/&#10;vMPvSXzFC6Kr+6342fmzW//Wp1e9E8muj7ZGT/4Q/b1RtcbjIvt+Q7nHZ6S//e1v7rfffne//vqr&#10;5pT9RL21+bmV/b5W/utfI2NyTDleYt7YeupYW7w262ttjO2vzeb212Xt8er8/tbPr7Myud/ur4O1&#10;Zgo/BslvQc6dyvc+7BNyYTrfAeSO6FgV9P83bM9cxsRWAO4o6BkZJ8CP+G55WngO+VAn8Y2Cvx30&#10;EonVgS0supCzZ89VvsMvCr5T2OMmoZ+ITiK+VPDzAvNxjN0NPllgUeNAs73GxwvjYV+Nnxi4Ah8s&#10;+G4hZh7+WYaKvz94AWbxudFnR/w6Yiuj/noqHHXYARV03WWlnf3+uuIzsbTWa+8Ducmjufe8CzwT&#10;3xbe7O4t53lbmZz3hbRjx043VPxD5uTkqJ8cfteYzT3n+Il6s8GP7cMxvyPoX6PhWbHj/sRl5Xzu&#10;sm74WvnR9qsLulf4psq67kL+7403XfdhB6Lc6PPQX/7yF3f58mV36dIPmij7yeoT5X5fG+fKlSuO&#10;xLGVf/rpZ0fimJx57divM06L7W997TybK9664rVRF1sf7zhenc1BG2tlDawTjkQOafvY6fw+FXas&#10;IPktyLkLe5/C/iFHFvcdaN/uCYeddUH/g8P2kmFHuJ14xdxf9iyxsSWxh4ufOpiQ9l69+kb7+c+C&#10;NmJr+HXJysYLsCP71YcOH1Z+fLpHL5U34SMPPy7IkNjXbix+UbQs+pH4aSEhL4Qx2XtGToSvFerq&#10;i19mOBT+M5kjOXFNOA8dS8bq12+Qmz8/N+qTBb8r7HcfOHBQ1wA3xu5V2zUha8zJOp7PArtVl83a&#10;ynrO8+a3HPF0UokhU5zrtfeA/OzZiLwRboQZ4Tb2zXk3sWEiYXuPrNlyv0wdfcxeHn85FStWdFUl&#10;JlBubq7KoelvY1Em+Xb4yKrNhsrsqDimX42Gx132je+5rKofuKzKn8nxV/p+FMSP7FVnXfejvCv4&#10;lJc41hU+crWb/qgyPZjH56PvvvveffnlBffpZ1+4zz//QsscW6Le2miPTdbPctovfPV19HzKpG+/&#10;/X+avvnmW/fnP3/nmJc6jkmUqYPTLl68pH3oZ21Wpg9l5ku0NtpYxyeffBZdu78+uwZ/DMYqqA/t&#10;/vrhyEzhxyD5Lci5i8sB4fkhSxb2HcDXWdWbqoa2MqW8d42OIvu3sEK2yGjI0VnEzwgsWK9eA/Vh&#10;h786bG7RH6QfLAljmj+lRx5prDFACsMRxg22f60yJ882oSAbB99Hi182/TTLaaNMDg9Gk80Vp461&#10;wDK2Rv+6Inprh/K5cY9r1KlkeN6fszTL+KDhtwB2T+qnUN4J9vpLYg12f+0d4BnB/Mj5fNv7TeJj&#10;CfsmdFfNrt5y5NSULdEX7oOBq1WrJnbXdaP+nLCnhwXhReuPDRZ2++jHUiaZjT62V5Tpu2K16EDc&#10;e1D48aRw40eOPWxfLp3s/iB3rHwd74yw4/UXXN7pv+peNGwGAxk/nf/4E/en0x+4kyclZtJ7p937&#10;738QPabu+Dsn3LFj7LWzd39S+1m9X2dl+jMOfUiMTTpz9pzYEJ3R8Smf++i81lG2RJ0xn9VxjvY/&#10;F+lPn3NSZkzmZD6b2z+m/sjb4sdf1m59yGMTfY4ePf5f/WwsroEx6EOdXQv3DY5EHso+uskfC/sd&#10;Slf/IPktyLnTdf/CcUKGLMw70KjRQ3FlWsn+J4dtxeMW+AAdxcLIl+AIzsEfD6yJbJK8KLYVPjvA&#10;arEJhits8m1tk50bby6rM1kS6/PfsanLxD/fdSZvPKQxCv32a62MnJn9AH7X+dfGb4eiPG9/DMr2&#10;/LnvPCsYH7kxdlHYLKHLCufNnzdf7aTgOOylaMdGirjTsCN6qtjk0252+g8/9Kj8DrpVfS7eVbeu&#10;2utjTwVbLl++XMcZM2acyqZHjx6jv4tgSGIL8huJ+IboSMCr2OIz3+q121zHgcfc7v35Og3y+8Pe&#10;Ff/alixZ4p56qofEzp6h943rzMk5rex4Y/W9yjfPP/+iyuyM2/r3HyKy8MGijzHAEddw7tz5buOm&#10;rcpJEyZOUV2LvLyDbvyEyRJPp78cv67tL788VvbtiZ9zRNtonzHjNZGfH3b0py/nz5o1R/ltyZIV&#10;burUGVFue+ON7Y61DBs2wm3dtlN5EmYdPnxklCnnvr7AzZkzX9I8XRcMt2fPfu3DmpctX6Vjo7u+&#10;fv1mnYv5F+QulvjiL7vBg4a63dJ///6D8qxmaRrx4ihd3zaZs1evftpv8+Zt4is+z61avc7Rbn0Y&#10;a5CMMXLkaB2TPlwv1wZ/wpBwLjJcZI/oPmJDE5T+Y5D8FuTchfneh31DPkzXO4CvXBjE9k79/8Vh&#10;uXiMmOj+wX3F8d83ccIkjdFbnDGMH+LlfJft22zlgnLjP8tj+8ebJ1Gdf9/aDcIvOPYxpH2ux6jP&#10;ruIpv++1Vq4hsaLRg4QZsV/m75TUonmrYt0Du+/GjsRuQfcAPdUV4msJm3tsnLB9InYMrAgbtmnT&#10;Xu3lsc1HZ4G63hKfEI6kjNxx1KiXdc3IxPEZjuzQuLJZsxbKjMSgQZ9hzNjxaqc/Z85cZVAYE9t9&#10;+jE+8bUnin0++90H4vhu6t9/gMjvH3M3yv448c/5fpPqN7hX788TQz+Vd2avq1zxTdey5wnlG+ZF&#10;VganwWIcw4swXm7ukigfrl23UeMmwlddunSXeZoIyw7T2Nkvjx6nur07drylLIXNGbzVs6fodwo3&#10;PvNMH9eixeN6TB281bJFa4m33UDld2/t3q/j9O07SPR/B+o8Bw4c0jWhg7xu/SaVM/Ibc9Lkaapn&#10;TD9kfi1bthGfBz2VQ5mXNbA21s9aYULs0R6RfY37739AdE8W6po4Hjt2otazRtbHtXNtAwc+p+yo&#10;19q5e7QP7EmfruLznf4wKPMQPxw5JPcQ+W2m7FsHyW9Bzp0uFgjHCbmysO8A3wh45lr79mbq9SBX&#10;qlXrzsDvtzFEJuWxz+zhLh/nc+N+134w+lslw/OZOK7FKocX+fvkvUEflj3t4qzXnjd8j9wR2d40&#10;iTOIHuu6tWuFDR4QedNzyjTLli1X/YrXRV8VpkQeiU3UCy+8qFyxft061XVEBwOdR/wvIaNEj/VW&#10;8Tk0a9Zrwo6POWSM+ICiPFXmgkmmTJkWqZN69GBpZz7Of+GFkToPMTDRwYza34vMEeblGowZiXsO&#10;O7Zu01Zljtj57Hn7c3lv8Ock/tarHXHf/hCxaWbeFSvXuIULl7r9eWKLI8fz5uWqPBHZHfJHWBJu&#10;4zqxDyOnjb3dyZOnqz5Jxw6dtR4ehOdgqg7tn9TzGROmQz5H2rVrj/btJn6uRgt3wnOtWrWN7ms/&#10;/ng7WfdsZbEXXnhJfifUkWfxsN5D5HtwI5wJ6y5dulJ86m9TeSXrYmzWimyStT4l8b55fvAkclT4&#10;EtajLwxLPTxKHevkusgZgxxmpg/1nENC1mrjkHMNrAXZLXqX2M2Ee9b/J2N8FRX2+x/2D5mxqO/A&#10;3n0HonqPoZ/wkmUTvv34MElHzLni8ENZOfe11V/K9z9P+bHPuC+LxUxl5Zr9dbIfAENaHbqusKQd&#10;FzU3fsSumpjX6BDii6lHj57CBmNVDokscv269coP2NH06dNf7eGxiaetY4cn1b4aW2vYA1tr7PCR&#10;X3YVeRb6u3AfxzAIXEqZPWk4Ba6McEvEVp82uA8bfMaHfWBGdDFj/TaxfpM5cg9gR+yMbL/61rvf&#10;13emcoX97u1z/1RdPPZUmW/o0Bc0vszOnbv1uL/sW8NmMCR7wbAciTJt/K1u27ZLZYG5sh/cpElz&#10;t2btBtEraCepve5VL1gQqac/XNipYxcdk3FfEB5krHXrNum5GzdtkbyFQ18Q/nriiafcjJlz5Jl+&#10;pkyG3HTI4Od1jeg5MuaAAc+priTjweU9ejzrtmzZofzZuHEz0YFerExL29RpyJGbucOHj6rfBM4l&#10;ISfkWvClwPq5F4xP3fjxk3Vt6FZyfaQRI0bpOAsXLRU5dG89Zm3IHLGrQX575UpoK8N3N5Q7hvxV&#10;VP4q6+fddtvt+k0ilm7ot6fk+JGYc9zjon7zy+N5N9eOcEDbAZ+U+/vWq1df3RNOx3sAf72oe629&#10;Vf545Mhh5ciDBw8qX0yb9qqy5DCJFYQd9pYtW5VbiCMNd2A7/8orcGYz7U+OrT1scu+9DbXPaGFf&#10;OJAxsLOnD+fZ+fTdsmWL7Mdisx+x62de6tX2Xnx9oo/p28ewbq4f3UaYkbLJIPmGU67beLuyY1al&#10;41H/MdhyMO/6DZtVty8vX+6IHBLdwU2bt4q8Ff2AOsJZH+oeNQw3atQYtUmj34Oik/m66CHCTXAU&#10;iTJt7P+ulJx96rZtOuhYjEefffsPqYyugZQPHznqyNn7RgeS9oOHjkRtrJEdsoZzZz/S8RiXxByd&#10;O3fTdU2e8qqe96XsGeOTnzaujZxradq0pdptcx71Bw4e0XVSxu8WNt2UkRtOkbEoIw/lWji3mSTa&#10;KK9atVbPZ03IUbHzxg4cbvztt99VzzH00RPKHcs6A4XrLxr/8//R9KnMjjcd36dwjP9wKPuO+L7D&#10;BgLZYyjj/c+9Sfae1Kz/J+UAYlon61ce2tB9RJ5Hnk67Gdu/NjunqO2Tbw9POZ6dvNfntNhsk4iR&#10;01hkkXFt7b3+MGHcZPNIzprOnv1v+3tst2FHEsw4YMAg3bfmuHGrXvlyx0PuzNf/idmHLO2F4S+p&#10;nco62Z/FVoWELHKayOvWijyOerjIL1vf6bK3TBuJOva+KR8/fiI61rChI9QOes2aDaJDudiNGTNB&#10;+/z008/Krfgnx8ZkzNgJbpjYy3Au+74k/Aft3XtA5LdztGzrs/z8+U+i8+zctVvtVLCDYQxb21GR&#10;C1p515t7tMzcrJNxYsvIEFmH1XMu43Hsl7kOGN/WmQn2Mf73PkjZX5Bz+/cgLBeNf8L7Vrz7hr0e&#10;/BjKHVNjmlRZhT1H89/HN5/z7qp7d8iPch9SuYcN255VDqh683sp9U9lzLLah79N/kaRXcNn2E0V&#10;91ps/5rcbJxgNZKxpPFbvHq/D2V0I2+qVu2qc2P7FHRs85CzJltj7LVim4PcDhkkbdhaU9e0dX95&#10;ZyLxKxdvu6y6aCYbQ/6Ifh7sY+m33yKxZOy4OLmNZbk/FvMmS+yrW4pdI+Mwpo0Xb3xrK0oeb77Y&#10;cfy1B21XHfu9D5Lfgpw79j6Ex8XjoPD+Fe3+ERfN+Cb2/3R4nBrrxN4ndMHQxYr9zlMHU4byx+T3&#10;NRKLcJ/yY436Z4vNSrHPp6we8/ujuDbXdu3GZrG5sWRsPcfWFpvv3LFTfUlZfVZWtux135uwv/Uj&#10;jzeP1dla/Rz9Rmxk+Fsy+SPf8f/9Q4Wo3HHw8BlROwafH43RSjOHW5Olf4mPG0v0S8faUh2noH6x&#10;67Z7mSnf2iD5Lci5M+X+h+soGnNdK/cNPe7QX3hylvG/XamUe/Xqq/6SY/uy54i9NX5YYtvC46uf&#10;Qd1m5/JZYH94r/LltfzuSOfvPGO0dOToZMC2jIW/e2SlE0RGWpSxk/0twI18t0noOSJ/RPa4eMOJ&#10;qNyx9n0jo+zI/2ljHmO04uSMler5Nm9R81Tnie1n88XW+8exffxjK8fLM+m7FyS/BTl3Jj2DcC3l&#10;mx/bt39C98TCveur+SXZNyxZm/laSdSH72omyR557ui8ZsrzJ251To7FsX47ZEePHbHJSPReBVnP&#10;+4x/yuoSF0n1e4Ujs7OzS2St8CJ+evh+I3vE/hp5ZJUq7+jvjezKh9yBY2fj8mM8Hgq6zr6/Qa+j&#10;oPltnZmSB8lvQc6dKfc/XEf55kae/8WLFx121+y1Bvn9uRbm5htKjJBEcafZx65SpUpGsSPyLOzB&#10;YVrKrD9I/585lSMMgH/w+o+Httb2d8F7E6sHYW2ZkPObiXeH3yH8HfA+leS60HNE9sh3nPRI857C&#10;jhH/Tg1a7LyKHZN95wpipqDak605UVth15ponLJQHyS/BTl3WXg24RrLD1fCj/yvzxTZU0l+c0py&#10;bPw5Vq16Y8L4g8QZZE+7JNdQ2LHxKXhHrVpqx3vffQ8IPz6gcbXZWy9tG/x3T3/qsiocUfnRbfef&#10;y6j7VNj7mu7+7AnjnyXd45bEeLw32PaUxNjsWyNvNH1HKyOPrPXQR/ruEJPohdnfJuXHwnJWvP7+&#10;PnBsOV7/TKjz15loPWXh2x8kvwU5d1l4NuEayw878qzZuw5S3lQS35nSHhMurN+gYdxvZqbaWvOd&#10;j42ljG4mPoT5PVFa8SvhxjqNiStHPMI8x951aT+/TJ4PXUeex82yL5wOfz0lea38HRAjryTmYI/a&#10;bK3Zq8Z3j82jvz0qHtR36Obax+Oyo/ESDFWQvUg6bFeKM4bZq/i8Z2Vrszyd83CPMv37HyS/BTl3&#10;pj+XcH3lixt53tjNhH6si6fzyDczXtxp5EXog7GXZ9+5TMoT7S92lzjD7GeX9Lr7jUfeeDSfG3e7&#10;W+8+k5H3Kehnxr4Av0GQDQexllRtX3r17OMeEr/aqfYvar949yC7kr1H+924BZ9exUDGjcaM+KTx&#10;fd9YOVmOT0Zrp+wn84Xo96GvP4+dGy+3sazNfObgKwc29H3m+G1WTjSPjRsvj52LeeDTTOfHIPkt&#10;yLlDNit/bJbpz3zRomUqf8q0PdV434dMrUPfi29m7PpgsEy2r07EjlyH+aaOvaZ0HQ+a+pXKGU3e&#10;WLPhhw75UbrGv9bGQf7IfnBpyR6TcZ3vb8cvozfbtk17Zcdkvnj8c5KVY9cQO+b06a+6US+9rO/M&#10;0i2fu+xKEb2HnJyjUXb0uREGg6OuXLmi/rYvX758VZnjS5d+0ETZkl9HmXgrllO2GCzU2TnkzBNb&#10;Rz11luIdcx4+u435zKc4OfUkK9PXrsfGtDn949iyrY9zjX3LAj8GyW9Bzp3pHBGur/yxLewIQ1QV&#10;/fNr7XtbWteDbDGeLSx1yItKax2FmQcWgQ8TnTNM4hnn5FRx6HIm6lPU+tsa4Ysn4tO5Wo133Z63&#10;P0/7HEVdW6aeZ3YoJW03Y7xmTHdW/HYX5OPb2p/o1EV94dtxunPiF3bp2k1k4lXd463baOxEvudd&#10;n+qu70/ERyi6D/vcs2M+i/rpQd5o3AjrEZOPOH/xErFgYuups3pyYlITp4WcRLxq4lZT55974auv&#10;rzq2NhvPxuQ8kh2zPuIJwqQwH7kl6knEEiSnr82TbFybw3JbC+czFvPAqpnOj0HyW5Bzh2xW/tis&#10;LDxz2BGZQaZ+NzN5XegFxuoN2noXL1qsbZloy46stKA9UHQ4S2LtWdfl+1WRfcZQvzE1fQlY/6ab&#10;bkr73yiy3vptf3Avzf02utdsvKixCfPjCVocQnJiEMZLT/fo5erVaxBt88/xy/HOjdblx7bm2D+H&#10;8h//+MeovUyXLk+5vP157uGHH1GGhHn5u7O46DnZh5UdbZ8aLoKP4KszZ8+5P53+wJ1677TmJ0++&#10;p2WO3333ZDRRb8fH3zmhZfIjbx9zR48ej+aHDx/VY/oyBufZmNTZOFbvj0XdMYkvyHjUc/z++8SF&#10;RH/jM10vbGqJtZM4Jqcvievx1xo7LmP7iXbOsbG4L9wf9rIzmR+D5Lcg5y4LHBGusfzx7QcfnAnt&#10;rfP96Rn3pZrjHzmezNHOZ4+R+NalbbvM/OjJ8ZsgVm+RtbCmgvY/Te/RrqW4OZzSaejn0b1q4hAW&#10;d8zycj6/7+DHdF4vz6PGvT+IzumPst972Y2c87XGKIQZleWE406eOuVOnICnYKdIeuedd9yx48eF&#10;d45pzjGpe7dnXO3adbRsdfHOtTbGsGRjWW59yG3eKlVudPfcU09TTfEv9mTnrsqT8KPtZ89c9Y28&#10;X3s1HT7zT7WLQeaInG3+/IVu1qw57sCBQ8pRGzducS+PHufmzJmv3DV37nwHBx46dMRt27bTtWrV&#10;1rVt21H6H3Z5eQfdjBmvaT5v3kK3desOR4xp6sjXSIzsJUtWKAcyxlqJg81cq1ev1/EYg74cMzbj&#10;5eYu0TR//iKJb52n8xA7e+fO3bo+yufOnVc2pM++fQd0nTDiypVr3SuvjHfLV6xW3ly2fJWexzyM&#10;u237Lrd//0G3IHexGzlytFu0eJmyLmtjXaNGvSK67luVUZkDuSnyx0yXPQbJb0HOHXJZ+eOysvLM&#10;27d7IuP8yKTzO1lSYyXar/bna9+uk9qe4AvPry/pcq9effU3QSxzIEtMJc4dOpwwS7r2rWs2+FC+&#10;6ewphjbVhX32PIfCnlNQ/5qNItyYJdyYVVFShUtu7a6PlRthNjjuyNuw1CF38KD43j5wQHPkfXv3&#10;7nV79uzRnOMmTZqrX/C6de9ReSB11p9zLVFH2759+69KNpbl9PHnpNyo0QPuf/7n/7oli5e4P/zh&#10;D+rfEZ5cu3adyM/ORPkxu9JxecfedDdWezvKjg3ubeiefba/e/rp3sqEcGO9evVdN+Fd/h46deyi&#10;9RMnTVPW69q1h6tyYxWxdavhVginDRz4nJZhvEcebay8SP7MM300wY+PPtpE2RM2vLN2bcfffTtJ&#10;xnP3yHw9e/aNMqT1oR7Og1mpgzuRETI3XLc1fzxYEW6cMuVVV69+A9enz0DNR48ep9cwU5gQxuQ8&#10;1tOlc3e1e+/Vq5+u7bkhwyUmz9NaJmeMNWs26BzIMWFHdB9hbeS1mWg3EyS/BTl3WeGIcJ3lj3Et&#10;TiFyqtJmnIK+cZncznen1p13Fvhdx/dNSez/Jrs3fBvq3n3Pf3ErzxiZYrJzrY3vGjbXdlycvNpt&#10;p5Qbq1Y/5bqN/CotYxZnPWXp3Bo1aqRd7tik5yXhxXxurHjJ1Wj4Z3fo2AcqC4Td4Dhk19u3bxdZ&#10;2TaRtW3VtHnzZrdp0yZNlKdNne4qVKggHPa0+s6hHz50du7c6Xbt3KXJxqCeZOdbvmHDeq0jZ0z6&#10;2Dk297Chz7vOImvkmHVNmTpVORTOPS172saPdzdFn/ZNSXvd6S/+rjqBM2fOcQeFzUaMGKV+qPr2&#10;HSRy0p7R/WSYberUGcpu/J3CXw888LDmDz/cWDkT1kRuByMiu+P3Nrz26ozZbseOt/TvG9lly5Zt&#10;lNGoY1zGI+c3HPw6Z848rWO83r37a7lRoweV5TgXbmQfmjWwb92jx7OuX7/BrpH8D6G+ceNmulb2&#10;nZmPY+aYPXuu8jV+klgfc7IGZIwdO3RW1mTMt3bvVwYdNmyEe1rGhhuZB53KUO6Y+NsfsmPiexMy&#10;Y/m+NwMHDHF3313P1c1Q+45M/NbzPzsVexh0H5Edxe4fl+Q1YZfL98rkh8zPWvFjzvcmlbnxKxgr&#10;t0zlvHh9brs/Ines8+iHKc0db4zyWge/p+s52D1ER7BJz++FH39Qbjzyzhm3csUqlTWiz7Bm9Wo3&#10;f94CkWHNcDDdOpHvjRk73i2Sd3n06DGyZzpW6+G/SpWul77zte/48RMdadKkKW7pkqXKevRhnKnC&#10;mUukbvbsOW7hwkVusvQhf1n4hjFJ06a9qvOuWrnSbdy40b3++jytmzJlmlu/fr3Oybo4j3UePXpU&#10;ZaXGju+894mrfN0x5cduIz5S/T1YEdkjcr+du3a7/v2HKEea3iC/7XbsfEv23GvL2idLrJx2UX6r&#10;fnN1N2jQUP2bQT+Qv50FCxarnqVxG3vHlGE8mLS+/G6D7ZBnjhs3SY/ZK2fe1o+3VzktfTlmviee&#10;eMq1bt3eLVwk+9TCcugfwnnYw+DX8t13T7kHH3xYfarh+2vd+k3aD5ZlLuS+zP+4rJtrZX2wI6zJ&#10;fjrH7GPTV3UcRZ7JXE/KvNjPYDOD7TX+ftB3NPv0TGOCIPktyLkz7TmE6ynfrJjo+cOP7HfaNybM&#10;E9sz8E1PVYYHh5Wm3mPtOndFeQN2xUYX+xhiDqdqr5tO3q1683sqd4Qhw3cq8Ttl94bfGfwdsg+A&#10;r6dkerV2TmFys6le8sYFd+zkR+4DsYuBLTas36BM1kb87fTp3V/sUR5VZuvVq4/yTK1atTQm0R13&#10;3KHHDwjTsL+L3JG+9913v/g7fVT2dh+TPduOKndcKRx4p8jnO3Z8UvmT6+nZs7f+roEb4SR+4zz4&#10;0MMiI3vCdZN4MePGTVBeZTxsu+6+5x7lRniSugnyPu/evUf31tHPNHbkumrW/5OyY51HD6nfwjp1&#10;6kjffW7Y0BGqw7h1605lsq3bdgm3jpF5H1FOY38XVnv99VzlKdZ1s7Djvffep2wGyzVt2lL2sdeI&#10;DLSbQ89w6dKVKseD6ThetmyFjsFeDqm2zM3+MfbQgwcP0+O8vENuyODn5e/zed0rZs4GksyeGrsV&#10;5s4VfcV2onNJPXJR5JajXx6n17BFrqGzjAsPsybmOXXqtHLuCvkNwPsySq5tj+hJUp48ebr25xq5&#10;bq4ZHVBsz69cuZLxdjJ8r4LktyDnTvStDutDhsukd2Cv/K/Bdrg0ZWSF+eZlUl/kjvF8O8ZbI7EJ&#10;S4sdkVHVSOKDJ9764tWlS88OuwzzA95jFL5NCman8toHVoQZ4avq1aurzgD+++H+dN8T48ezZyO+&#10;eLCVfuCBB2UPtIm7p149t3rVKuXABfNzxUblHuWZatWqqeyaWNvNm7dytwtDwpHduz+jfWE69pU3&#10;bdyke72Pil7gffc3cvjwoc+Q555X9oP/YM0xY8bpuGvXrNH5kHHSj3Gwv6Efx82atZBxIlyKzQz7&#10;4QdEf9Lfs7bruaVOJFYR7xwytOXLV7sOHZ4UJn1G/q+dUFZav36z7i336TNA7utnWkcbOoo//fSz&#10;HqP3gTwPnYHmzR/XOvrvenOPrKdVNCHTg+uog/XQQfz++4tqu8x4yDqR602fPluTX/7xxytu2LAX&#10;3auvzpZ5f9KE3mELmW/48JHC7ZtVD/HTTz/XOGC00Zdx0YFkrD69B8j/lkU637TpM3W+8+c/0fpm&#10;zVrKesa7H374QWzpP9FzOHfMmAlR346//ZbZ9tX2fQyS34Kc264/zENWzPR3AF2eeDa66f52lfXx&#10;+H4i00vlOkqLHYkxiR01uvqprCtZn3TKHbNvOKFyx+a9Qh/gie45enzIspFRw430Q0bMb4GC7OIT&#10;jVlQvfEW/IiOIvu3o0aNFk7ppDqPsB+J/WRkYfgWuO3225UPefeRLz7z9LOu5zO9tR97ztjSYGOD&#10;nPEl8d+Nbt/y5ctV1tiixeOyVztIZGcdVBY5efJUHVdllSKvHCq+RRmPPvAr8yKjhDHbixyza9fu&#10;YrsyRLkRe55YmaPqcVb8Ud81fD3WbX5B+ZG4KezHYgvC3mwqCebDHo69dXzgcsx5sNYvv/wq7PWL&#10;8iT8R4I5rWzH1Fmiv1/+9dffdAzqf/nlF/fzzz9rTv3vv/81mqyNfvQh2Tixebx5/T6Mwfq5Du4F&#10;9yST/fL438og+S3Iuf17EJZDfszkd+DixYuid/1QuHddgHwM3cGsrOyUvuulwY7IrOC9VHm2IK5A&#10;3pIOO2uVO14fiRtXt2koc0x03/EXik5BovaSqDd2JGffF905+HHp0mW6HwwvtmrVxh0+ckQZr2uX&#10;7sq1q0QmOXjwUNeqZWu1+egt+9vI4V97ba6eh2+dFStk/1Zld01VL7FPn/46xrq1a4WJJ2t55szZ&#10;miNDNPvsZ5/tp/p6s2a9prqRnIdeY7369VUuyl418sb3xI8QPoXMRw/3J+u6H12WsGNWBWxmxKb/&#10;uuPuuyuReHvwo/l8NGaKzWPbsR1veH9jV/O+Y+6eR16JMmeE+yKxXnxeTFaG4aw9lud8royw4+/5&#10;7Pi78iX92Vu2hLzRxoqXWzu5JfoxDnNx3Vwr94SUiXbVsd/IIPktyLlj70N4HPJjJr8D4d51wYzD&#10;vj5yInSdCvqulwY7Ip+CZwtaS6rt+OtD/pxq/0T9lmz5Ol8OtNuNnneh2OMlmqcs1/MupeLzqSSu&#10;0efHWbNmiw1F16iPxyZNmok/wjz188j+LTyI/uAtt9yicsYtW7ao3Qy2Mz169FR7G5jutNg+o0PZ&#10;pnU72aedqb4i6dOpU+eoz0jGW758hewLN42mHuIDYPTosWLzMVD7MR/n4Wty+PMjXD+RRzI+8kbG&#10;R17K+u2+4Oc8uxLseEneuTx97x7s9H7U/gNGMlaysvFTvPoPP/7O5dx0UnhUfBpV/M49PXyfyOv+&#10;Llz3u8r/2AtGZ9BPfh26irSRU28cd/nyj8p+PuPZPjd17E1b4hgdSNr9ZHMytqV4dX4b/IjcEXb8&#10;5z//Gb0vmfwtsrUFyW9Bzm3XH+YhM5aVdwAdbHSv7P9ymF/Nk3zv4bVUZH3I8FLRd2RM9p3Rd2vQ&#10;oKGWOcZegGfBviayQPOl5H/3sTtgLeiK+fV+uTDPcNHCxRpHGZZg7KPHjisvcEzZHzdZWW1fKxyQ&#10;7/ib7vF+xHO7+j6Gxx/rXnCtWgX7eyrJe2XPEB7TuDIi0/Pjy8BqltDXYO/Yjq/K5TxkmH66qt0b&#10;B8aEA/08UV9/TYwdy412b+BH5I+31I3oPbJ3nbvlUpSTYMZUU81GcKj4MqokPo3El1FWhe9d3p/Y&#10;a/6L2rlgA+PHA4wto6dodV+Ij3IrfyN2NyTOt9z6UgfvwYn4XbQ5Pha9TEvWl/GsbLnVcWz9yaln&#10;LljU58ey8j0Kkt+CnLusPJ9wnSHb2jtAvGv09OEV+78c5hHuge3gNBLx+wq6L/RL1geuhA2RPd1+&#10;O7YHPTXhr425HnnkMQdbME5WVpbYVd71X+w2X2wasGUwBiC32MSW+22plLFXYB+VefHxY7p46MDZ&#10;+bZnaMfx8rubnVF2rH7Hqeh59Et2T8pTG3qEyKZLSq8xlXvpPze4zE8+B1Lm+WN/HFtv59j7Rk5d&#10;bD//GCbk2HK/zS/b2OT+O5fo2tCVyMmOxMCsevM7zv6vFSZvOeCXCDOqD/VLrsrNp9wr42apLBH/&#10;NsQP9GMRnjwZiUloOf4aKZP7/fD7TeJ8/PLgT4d+5NTDeTAjc1gbY/gxDDnGX7ifx5uXdhLjlBVf&#10;jvGeUZD8FuTc8e5FWBdyWqa/A81E9ojcK9H/5/JaD0sVRq/QZ0dkiyR4EbklvhhhPvwjpeKLhXOQ&#10;+6xetTr6XV61cpX42aukumr+9zZe2f8GJytzrrWPE99+2N8uWJArPod3KkNiOxtv/Hh1gyefd5Ur&#10;7pS027UfcsG9dfhTZcjHun2kOmnEIt7z9ufl9j3j/UBHIEh2tL9lnyGt7LMgZd49bLJi661/sjz2&#10;nIKOk41la06UI+eOxDLa646c/Veh+RH55G0Nt6rsEf/pffqPUL0QYhDCfPAgPEecaxLxYYglQ7Iy&#10;OXEIyUn4ZYTxOBems3jUR48e13qLZw034o+R8W0MYtAQ34bxKFtiPso2N+3MY+tgbczJmpFp4gcc&#10;W5lMjSET77sYJL8FOXe8exHWheyY6e8Aeo+3SfxY9PgT/X9OtT7ZN6A02lJdZ0H9zB4Whiuor7Uj&#10;r4P3YARLd95ZW21WU/URyVh2n7BnwK8e8p9JE6e4FaI3hu4le9v+HiBlP53O10NLuC/o7SfG68P5&#10;JPYruabYsa2d3NZh5azKB13l67dJ2u4oP9BZ9CAr7lF5JN/3nMrviK7aUbd0S/liSLNxStXvpr1T&#10;JZnbe5Ys5z1O1O6vLVGf4tT74xdUrlxhv/Lj8OlnisSOGjfhoXHu6ImIH8wunZ8S30S3q10RMWGe&#10;e2642AsNEHue4+qDG7/c+FF89tn+8vfZRDlv8+Ztav9DLBo4ELsiuBGmoz/H9CVOIkwJ42G3lCs+&#10;HrFTnzBhirbjK3KgxEiEDVesWCO26PU1TiLxsnfv2a++JPHBQ8xE+jA249rYsCh+Ktlzx9Y6ZMfU&#10;GCRkx9TuU6bzTLi+0n2O+KVl77qg/9HJ2u07kUzGYH2KkycaP3bMZGstqK2X7C2nsk8dOw5sUFS5&#10;kr9+ZIFwHTGAsrOzJJ7FQNdBfKpUq15NfTu/Izao2LmSk44dP67J6rE7OHHiZJES45LwIU08EZvD&#10;cn9em8/q+r7yvqtcSWSPlbZIElkOfntUFhnRhYzIh3a7tgM+Kda7Fnvfy8Ixsv2aafDJWVrXiswc&#10;diyt+Yo6D7Js4hPybmWJrX+HIV+4iz//O2WGRO6InK7qTTe5eRLPhr875O03iQ9cfIgTKxA/i9iT&#10;E9OlZctITEJYkpjTMCHyv5YtWivHzZ79uvKiz46UTXbp7y1jgzdC4ijCpx3aP6ljLVq8TFkSu3Z4&#10;ED7lfGIdwqWw4rbtu7SNeelDDqMak4Zyx8J/P0N2LPw9CzktvGe8A8gezT6jsP/HjXtgnnj7maVZ&#10;xxrgS1uTn6d6XbBjqj7BUx2zoH6sk3UbN8J/+LerV6+Bu/76ippuueVW2aM6oOngwUOa4/cEf3sk&#10;ytQfefuo+lzBB5+f8MPiJ9o49vtwPonvGfMRK27fvv1R/yrW7q+DOvO/smjdMWHGnSJ33OAq37BZ&#10;GHKby77+C9d+8BcuJ+u4fuMbtj2b8UxS0PMqbLvJHgt7XlD9sdeCHTNJVproXtzbVvQl8mWPypCV&#10;jri6on+7693UGBJ+fGnUGPU5QJxtdDaIA4OfS+IJop9IrMEXX3xZ4xoS33DAgOc0ITucPn2WMiZx&#10;CBcuXOrQO6SevWr2keE9bM5JY8dOVJnjl2JXg60isQiRKbLPwDmcS5lYh8qJEiOGenwpkRiDPW1y&#10;+vpjcw774NhiZ3rs6njcESS/BTl3vHsR1oVcVlbege7dexXKX0uHod+7kXO+VkaDeeBDfrP7e5xa&#10;zve3Ebu/af3Y7/ST1fv9E7XH68sajFXhMONZ48lE3x+/HtuVwuwz++cWtuyzrXKj2BXgowR/d3v2&#10;7NH4GuPHT5D4Ygvc5s2b3ZY33tC0devWaJn6Nza/of6cicfBecg/KeMPmsQ30crUsy9PnfWhTLwQ&#10;xiWNFf3HOnXqCv/doDbYsfPa/Jbb2hijeu23XVb2JrH5WSvseEDsGb51uw6edzXqn5Jv/JsaU66w&#10;96ks90fPAA6rdWewdtap3kN0ddmHQAejqHL0VOdKVz/kj/wmMb89ERn3Xle91n43ftLrGj8w2f9i&#10;+BF9ZJ4T8XfwU16jRk3XpUsPtYVmbwbdcNI333yr8QbZy7Z4gZs2b9U4hMQzpJ16+BCbGOSLVsY+&#10;BttqfPI0lzg1xBpkj5k9cNiQcydPeVVjCqIbbWMxLmMQK3HOnPk6JmMxNjlt9IUb2a8ua7qOPJsg&#10;+a0wcyNjnjRpWsqy7WTvXdgWMmJZfwcuXryosQpT8RVNbIdssUskwY/GjcjK2Me0PVRyZGfktr9p&#10;e59WZ8e2V2rH1p+9V2uzvVG/j1+mnTXAlDDkVUmYDDaD1ZJ9r9iry8kpvW+msaPP31wzsjxYDyYj&#10;jtu6tevcmtVrNCe+G8fk69dH2ujj8yMMB+9x/qZNm3QM+pCM86jnHHIbh3Ep2xx31KolspFH9Jj5&#10;qbd5rY+tjfMYf8XqN9ytDY64rBvfc1Vu+tit3h75bWHsWNbljvbMUs3hEXRnU+1fnH7J3u1U2/hd&#10;wZrRtUv1nEzpB0MS28hnyKzrD7tb716s18R1wYjERhg4cOhVTAk/duvWU22a6jdooCz3/9k772+p&#10;iqzv13/wPv/AK6jcSxRQohJEuaiAICBJkuSg5JwGkDAqIEgOgwwZJKjIIEpQQJJgxPCMo5jnMY7r&#10;nTUzz8yaNbPWuz+7726LQ3ff0307Xeb8UKvq1Kl06uzu/T07FWf+xeJt/1lx3vKnV2v87ukzfuVm&#10;SAL/TZ8+W+PikC9c+EQcE3KGIbpt8CFlEmceMh5ywa5de+g5ilxzDiLY8eeff5Y9/1TLe/ce0Gvm&#10;uE/Od0QX0uauu1U/zVi0DY7NuL6dI89UVXhTOvgt288Udu7hwx/Vd4PcGTm0pUOHXqoy+5ztvYvG&#10;i/DvvHkLK7R7RN4IZiwh3fijK735O/fEbz5V2zr0n+gu0XGiQyVHBubrU9F1WhvTc1JnulDqLFGH&#10;PtXukQf7W1sbA30teBL8BY4kUbYzKhLhR/AiCV01vCUb5/2F5aWGEww7ImNFH8WzNhM51UaxwYKn&#10;IF+YIbGTwWnokVvK+cPwEu5ZOnDggNskz8E1OXzv8cefVGw4e/ZcHWOhyBM5H45zh3v27K336Md5&#10;xj1EPjZ0yAidAz0Z102aNlH5I/Ny3aNHL50XnMhZcqyBvqtXr1XcyFkkxIves+93rvfYC27rgRiW&#10;5/ui5MbTMbnjXR9VKUxi7yjdnPP7iPvJ+YPp9vXbm8zcrwtbDkuHwXYdOnRS3Wmwvqpcnzh/xd3e&#10;6WOhtxOS5PwZycf8+nOlO3A8v3NL6FyM/4G1GjVq7J56armbPElouVef+Pl+wfMO/eu//jV2DiC4&#10;zU/U+8nu+efdWF1FuT9OsvnsPBmeoyrhRvY/LH6zd5XNPOzcyBwTpXXrfhOnoWyuKxorwmVVhQb4&#10;Jk911ghyRsWOghtLbhQcWeNbt3D9h2pjx1liyLtMluXn1CNHM3mYrwNF70k9uelAuUafSkKfajpV&#10;64esjIQMjXmopw8yE/AkmBO9r9n+6dm4ogsmxtyHnvwRvFhX7OSJvUd8w3Ti8mSDjxoGMOyIrBTs&#10;yJlunPc7VuQUYME5c+a59iJ7GDZspGK/Rx8dp9fECQf7sRfswVjxqykra6dxl6bPmKVxIznLQ/Hi&#10;5OmKJSnvljPnWrVqrbr5AQMG6VhDh47Q8ZkL3Ersx4YSX+jutmXajjowKP1/I7EmwYy2pi5dujnm&#10;Ycwnn1yi7wH8C44HD4Md8bFGZ12j2in35Oaqcf6M/354R9CO2URUlHMGNLjR2tHXT9TbtbXJRs6Y&#10;rNUwZyZ0mm/5eyZrDNPnwPEvXN2G4sMl+PG2O9/ReBJgRr6TiTFx+TK2Nlf7Z4Ml8U/ZvWu3xsVC&#10;F4y/siXDZ1z7GDBsmX7+WTdh+4Vp55+dU1V4jq0zLH6z9tnMCzl3Np8jGivCmoWiAXTXfHfDOxL9&#10;N8NLFT/eHJM5zl51RXXKYDWwIRgGvaWv+wTbgO8MN9KGOtpZjhyL5OMgs8WjL/XcZ1wS2IeEHpXc&#10;9KiMDc7ETstkksg+wTHotA3H8Bx7RP+KXCidWDyJ9qSydYZP4PlgW86J69/vYbGhX+XK2t2j2JHn&#10;AbstXPhrzfft3Ss+lp0UJ3boeL9iRfYLvLlhw0bt9+KLsbgh1of7yCzpRxl7Kvx/6Y9Mc+SIRyUG&#10;yBAdf7ycDQf2qVmzVL4lytzgQUPdQ2IDZv0ZY8KEyTrWjh07tM+sWXPURxQ5M/uNXQL2A+AhcMz2&#10;Fz8XHo7PNXKg14oq3iMYo1bpnxz2GLxPeyes28dzYHtoKJk9Lvcs8Q6xcbTrq2wogjYV5dfW1s/N&#10;rjdVnb8enUfoiHVDUzxLJjQKfsok3kAmc+WyT536byvNteh8XmWNy5atSikjAkui064jvtbYfULn&#10;Jscj9/GZjwHDlv2xguWwYyRq549VKP5RmXkLid/SmRsZIzpr5I/kO8UWtTLPHfWN8N71QgN8dyOP&#10;S/R/bjx18eYv3RPPXFG+uG7dBsUMnI2CLAp8gS7TErIpdK/IpJBZ0Qb5FfWGNcEnyNKsDbgGrARm&#10;QhaJHhSfA/pMmjhVz2KZP3+hGzx4mOIaztQzDMmYyODARMghwUngGWSP27Zu0/hpPbr3Ul+AYuGN&#10;tq/wevTFxAQBe7FO5I5nzp4TffJwlYf06/uw+kfD21evXhfX669atcZ1l/Y8Zz/BLUuXPqU5dfTF&#10;pgDdMv3A+s9s2izlzuqryfXo0TF7/dGjx2s7cvo2aNhA39mW327VetbDGcWMx1jId2lH3bRpM3V+&#10;5I3gGbCwL/+at5aYKrFziBu1+31CGktEd7msAzfWrCFn01X/k8hGwY/fKd4y3AgWM/yGDYRvd0s5&#10;mHh2i3E0b978+H1sJypKNhZj+PNwbXV+vd/e7puNhu1/pviR3w62v/mWxWfzXaOnNp317XeP199+&#10;2P9p4j4iowRDEvfGx2aVLdsaKjtOsL+NWxXzdPBbtp8v7NzYN7Zvf7/iRs5dAjvefscdIheJ7B2z&#10;/U6i8aoepuasQv4zE503YxjH56sb1m8U3DFeMRo6VXSfYDyTP4Llpop9HfpUMB3x02gHThwx4hGJ&#10;gzFIZVvoX7lGfglmfLBbD9dH4hoi/2rWrJmbK7pUsCf6UfAntnXMNUTw44L5i1T2iEyS+ZBVgmXB&#10;jSRkjwsWLNKYhegRu4otIOc5ZyqTySZ/s7Fsb8GOyADh/awZrAYeOHjwoJaR83GNbpt4HuSk/v0H&#10;anvwzfLlK8We8SHHeTT0p+/w4aO0ffPmsZgh27dvV4xKPeONHTtR71PmnXLNWMzRoEEDt2XLVq2n&#10;/8GDL8bXQBvWSf3Jk6fUthQZWdA+wJ6zbV/s0JA9Ho3boNm9QuRNO4r9RTXBjoIb1Y5XzjeeuTLm&#10;A8ZzsB/gMrA8GB6ZKva1JMrBRH1vsZNr0qTpVW3A55YsNhK5lblnY9nY5OnESKI/4/H9wJrNztfH&#10;7+nsMd9r4MeqEKsn0XPVqhU7s5Ace5x0+RH/g8RZRcedbt+ofXq8Lyx+y8W+hp0bnMj8yBxN3ogc&#10;Eh+aXKwrGjM9Gor2q/D7deC5g/pfm0j+aBjHdKycs9z6zjtVfwnG27z5t4rbwG5gvYdFL4qOFQyI&#10;ThV54FbBIeiCiIWB/nPmzF8J3lmh8k50zfDAJUueUlnWkMHDtR2+B+hwGWO6yLe6du2uGAu82VZs&#10;/NqWlWmOzprxiX3G+SiMBz8lvnbLlq2ukYUl4jmFqgvuLfhLUxIdZ0I9qPWxPElfxXdJ7gXHbdKk&#10;iUO+HKzXa+ZhHJtP8lT6UnxhS2/G9vGoxFD5oOC661/kjuL/Jbjx1ru+1zNGDDdCO9AjdMQ3DfRl&#10;trnYYViibpfYT3To0MlVr15NbCGmxe1waUM/Et9GyPTI7duGetrYuHxjUSa3byG/jrJd08585xmD&#10;MbE9Zr1Bu4FMvpX4hkSHUKjfRGXmbXIvcXti3ymdhlxKm79jv8N/IDn2PBFvyh1vCovfcvEOws6N&#10;zJH4PMgfwY+UrS4X64rGzB29RXubu71F/oi9D/He/P9vwzfkYIRNovscN26SyjraCbZbuXK16kLh&#10;tyY/QZ+KfnPvs8+qbpRYyfv27hOZ1r2KO19++RW3ds06kXVNiOvmkGehu6XN1q3b3Bq5jwwNX2Di&#10;91JG3omue+WKVToXOtjY/DH9KZgW+dqB/ftVR43uNlMdnr8HuSzb/rJOS77NXUVl62N5Re3D3Od8&#10;myVLll1l+xfsZ/ORm5wrGVZp2v4X2WONaqcd+C2Xe1rR2AeOSezyGj8KbvzBnX9TzqYT/Hvq1Cml&#10;OzAYcmu+bZAHQ1/YYGwUu1JwHXa42JTim8vZMcRUf/SRMQ6fduqQv5P49lm/foP2xb7i6adXilx4&#10;p44BfdPW2iM/Z8w1a9a6VatWq0wd217ku9QhA6aN9cEWgWvmYVzGB+ciJ0VuCrbnvSR7H6n2B+zE&#10;bzdVm2K9d/HdT8QW4ZTix3v6v5cW9sPuEbkjz4/8lZiNEb/JHb8Ji99y8Q7Czs1ZkuDFH3/8SXPD&#10;j7lYUzRm7mgt2tvc7y16Hv43g7zB8A0YYfPmLWJTD8aL6U+xLcT2LaZLJX9AdaYxHHifYsFXXz2h&#10;PA29KjpscCJngo0fPzluWwa/g1fjO4LujfvgRXS22Hmho0WvCt4EX5KYa/r0WTo3Y6K7ZV34LTSW&#10;cyIy5Z/B58/1te2vn7PXwcR9v85v75f9NumWGYezrbERoK+N65etLpgn2yd4+j0Pfyo8nbg9R13t&#10;OpeuobFkfXNRz7qPnfnEXXjrY8XH0B70Bj2BG5GRIx9XGXfbMjdavlewnQA7Io8lZhL369Sprf5b&#10;2B306ztAfWXAc+BL7CzWrl2n9hrYZ2DDO2XydB2D7yHaY+tBW3yXoHXk5sRFAhcuELsM4tZjowGu&#10;BC/ii4P9L/PTb9u2bWrfAXZE9ogtKr8DsLC9r3T3D+zUtGnViGue6NlqVDujNLZk51/Txn74YoMf&#10;H3tsgeZBn+yIB2WPB4XFb7nY87BzY9do2DEX64jGzB49RXtZ2L00v2vi9qBnC/43G1YAk5luFV2f&#10;6UP9Mvz4miQ8zfqR+7IsxrTreJsEY9gclsfnKB+bMYjVduttt8VxT/A5ivHa9rYY8mbNmruHBwyO&#10;719Fawq7n1OXfaZ8Hfy4eMs319BX2HEq286eB3wFvSh2FJtP5G1gMLAcdhDz5s1X2wiwH/a62Epg&#10;p0E8o1q1a2k8I+Tg+H6B44ihSTuS+YYRy4j+xN6kL3Yd4MT1IpOkvFNkkeBMEt9J1oYc/M5c9Gc8&#10;5mEc+mGzgT0HMQnRhyPzV5tHz9ed50x3r+w8xaqKH+28wlq1L7o2Xba4g4dfTwtDzp27QM+7jvTW&#10;ueVFYfFbLjBB2Lnxj0FfDX7MxTqiMXNLY9H+5nd/+dZGX5NK/ghP8rGeYb6KcvpYP3J4tyWfn1ub&#10;isbz79vYjPew+OMQxzET3pkur70e23NGY82aNZPGbqrMM9eu+47iR+LvpTMOZyCFOQcpzJg+rUFD&#10;PnZEjo6+GeyGjS3+/dgUYr+LXBC8Bq5EBohPOrJyMOXixUvVZrdbt+4a3wj8af2IRYBtIn2pxwYY&#10;vIfskvbESKIMbn1IbIJtHrMb7iZ+ZGrvK2tgbbNm/UptgrHZQLeOnj1ZTNMw+xFsA36sXbu2xkBF&#10;Fx68X8zXtzR9P/59ojLu+ulhx4jf5IffhMVvuXgfYedGR419Y+RXnR+ayMW7jsbM77vjPNe2be9J&#10;yDOM75Ib7gubW1/aWzlMXtH4NsYR4ceUieHTSHTWxczjin1tyJ1yEQuzXuN3lbeX1rjarjbVfiAD&#10;R5dYp06drOFZoxloa6/4ds2UeJXYO2CHi10tsZHQE7eWs/rMXhff8u7de6kv1gjBjHXr1RX7xDWu&#10;r+ifkT9i80t70pEjR7Q/uukpU2ZojCTkiPh0zZnzmPpgI+dET45/DmV0zsRhYh702tSzFq4ZjzJ2&#10;wOA5s9u4ysda5PR8Q4FnSewpbYk1gP80Nim2z0sE695xRwuNk893FrFpGjduom2w48T2ubS0VL8h&#10;ugmGZpyqEL8H+4j7Bn7qSqrjnxU7Z2bCkj9GciPxFy4mPhoWv+VizZnOjd1jLtYTjVlctBm9j8zf&#10;B3Y/jYR3GJ9JlBvvzUbuj5/peMhJwReW4IX+uFH547T2o6zsnqRxPyuzl43bfaTYseTGC6HXA3Yr&#10;FTlovXr1EsrDM12P0doTTywRG8cpan+LHxi6Y2IZcS4j/in4n5CQGe7csUvL6JIbNKhfboM7UWKK&#10;nlC73GXSnkScpJh9Lja6E918saF7QfylKdt4+MIcPBiLf0QZW0XusQarJ34StpjUU6aedthAEvMA&#10;22CN7ViOG8HZfDeB+zhvEzyMDYrJEvl91KtXT7EkPtXYN3I2AN8JXPM7wt4PGS9jUQZj2u8q070u&#10;RD+LE46d7ff/r+qc9fyfwLsyxW/Z2JuwcxOPx+L0MC/6a/TY+NBkYx3RGJljlGjvinPvwI5VDXs1&#10;kPP08NeBB5Kqaoy6QvDYRHMiowJXJLoXrAN7kBLZyAbbtujyh3Kd4okK4/WAd3iX4BnOkUTuBYah&#10;PjhupteGH5E/mv4aHXbChE1t+b0d23coPsMH+xrb2wT9aWN9s5Kb7XC53TDyRp4F20jDeWBG/G1s&#10;v8jBhLxX9jXsnvFua9Wq5ZA/hu1TDO3w5y+pFosPdXePVyN+X0Syx7D4LRcYIezc4MTTp89qsviO&#10;xAcn5WJd0ZjFiYei9xL+vUycOC2r8p1c8BFwCjyNsZGXIJfKxTz/qWMiu0LmlOr5wSHNb79DbUs5&#10;7xHMYu8kWb/nT3D2R+ysma6PfJJ0fLANetYmTZvKWYz3xL8F0Kemg3uSrcOv9/FjKltb/96Zs2f1&#10;/GP8sny722yU/XmSjUcbS74NCM8FxkYPXdH78/cgVRnbR+SXqdoU673GZZdjcu7qpyN+H2FHpYGw&#10;2BGZI5gRu0cSGALZY4Qdw2OJCHf9Z+0VvjLZ5s/Z5C1gFuQg6N7AK/h1VAVbrGzuQa7HMrkj8T7B&#10;g9AD8iowOwm8zt6jFzV/CuRS1CXys/LX26gs5s8Q9JdhDtOXgkXNZs/6Mg/y8LDyUOsXJjf8SJ7I&#10;vjZ4H9tFfPmxQ0zUvjJ1NpeN4a/J7iXK/ecE02Mf6tdlWmYszg3NtH8h+81e88dyOfdxN3ZxFO+7&#10;WHh5WPyWi/WGnRudNbJHzpHBZ4b4CJHO+j8LC+WC/q7XMfGzhj8HY4QX8v/fnxvcCM9GF0c9mDHC&#10;jenZMvr7mawMJgS/sc/EewRLIv8DG5LuaNFSYheOugpPgO3MRxv8mEwG2a5/LFY42BE6Awt2f7Cn&#10;yo75DuC74BaZ018bvjutxAcF2wTTwfr3s1VOhMmCdfhkIYsD2wbvFeI60bPzLnhvFeH4RH2Ddbwf&#10;3gk0EbxXFa5Lb7pQjh9PuwWbIvxYDLwrLH7LxVrTnRu9Nb7WYMlcrCcaM8Kj+aKBdGk/nXX1eWhA&#10;TuQ6leExYBAwBjIp9JjIQEzWVZlxo76pMSe4sXnz26/a6zBYnTPtsCHgXSXSm/aeUG7zeMMFpTXa&#10;MQ/vg/F9W1XeM3pqw6zIOwv13gzngseqgh8/sRLatLk7K/vFbxD8yPdDUB5cqPcRdl7sHktL3lT8&#10;WHrT2Yj/F4HuOpc8rCJ+x9zJkt/XfGWQOaKzRuaIHjvylYmwnk8nVamcy9+d8ehkMqOw/9eVbcf8&#10;6DCx92dNnOFBXsy69Mo+8/XSH7wH/gPj886CcsIeo07GbNDEjwF/YB8rsgeGHx94oJva7UED1Ifx&#10;xcn2HrJ2aNHk3fUbNNAYBEFZN7/JbM9dmfGQEbL32dTvsxfgZvyWKrO2QvRduetrobnjmn53IfK5&#10;LjS/yyUPq+jZws4NTkTm6I+HvSPJr4vKEZasKjQQlvYzeR7kjorVRG9dSBkPa0DOgewEbIEsK4gx&#10;CsGDojlTyyqD+wOGib3HdqrnpdywWXfh4cTeO+HaD7rWXwZswvtH7pnvbxizt+Q5wIvoppF7gnFJ&#10;2HMkknkXE3bEboD9SyTzDb6fdK/Bon6cyHT7F7K9+Wg9c/ifEe8vsOwxlzysIr4Xdm7zlfHH69d3&#10;YOQrU2Da8d9HVE4Pt4el/Uz29cBzB127dvc5O9u1UHaP8KiqoBdMlxemaw9X0fjpjpeqfUVzZXof&#10;GR3yYkuMU7/5e4Idj2riLBAbm7bEss6mvMzGrigHa4G5SMg60bubfhYciW492fdLMWFHsC0YNxcy&#10;erA8PmrJ9jIVfWXjXrJ5w9TXqPa60tvDM7+JsGOB+X8ueVhFfC/s3PhYo6fGR8YSuusoRnh6eKWi&#10;9xHdz99+hqX9yr4T5Av5lvvAA9BN4otxZ5vs2GqF4Su5bBPkmeY/GyYP9k11HWa8RG1SjWn3sr0/&#10;x85ecfVv/wU/Dpnxjr5z8Bm4Ld/fLOhi8dNBZgdexGfc9NLoas03Jtk+FBN2ZP1gR9P1J1tzJvX6&#10;25RY4c2aNb8KPxqdpJsbPabqF6ZNqv72nCZ3fHh2dD5IZXlDZfvni4clWmc6c2PbGNk35g/bJHpf&#10;UV1m+w+dh0m52N9hwx7Jq94a2Q7yJvg0Mkfj3fbfX9Vy42fwPovFlyxeH/WXy+M9B9tYXz8PO2Zw&#10;rIqug3Mwjz1Htvef8+PqNoz5MNSodtK1aNVO33++7BqhNzAjfvvIOhPRGxiWc1Uqim/IbzTb+5Pp&#10;eDwLZwrmSnYLlmZP0OUj4zT6MNqpiMayfd+f18pBvMle1qkfOw+zdt2LkdwxkjtWSAPIGhPprXPB&#10;a6MxM8NH0b6lt2/pfDdVZm/ziR3BC+gKOdfX9ISZ8s5i6OfzU3il4kI5b4TzRThD7prE2XJ+Km+T&#10;9DwS74wTO9ckPqaNk2ieBHXWPziXz+PnrP3Kldzwk5u77pusYqTth74UPeKrqku8/b6NWR27IjrA&#10;npIznFPpdqFH2gTHCvM9Vyg8ifyUdQfXnM1rMDW4m98sOmywtU/j0JLRo09fVm911oY8WBe89tvY&#10;PXLO6bHrq87sKT9zx36LvSZAa9hJHHcffPWvCrFDZf47o76peVq+eFii9xB2bvxkFi9epvaN6KqJ&#10;8xjF6Un9XhPtd1RXPHsWlvYr886+//570XvVzZvOGhlQVfTfTMSPjVchA4GfKn8UPHfp0pt65vEb&#10;b7zhSOcvXNB07tx5F0zco83Fi5fi5x/Tn7OMSeBMO/+YNv6Y/lhW7+eMbW2snjGCcxlfn73yE1d6&#10;83eu5MYfXelN2cePxE2Bp5dUu+DuaFmm+up82EqAe4IxKv33ia8YMRIT+cb47SgXCicG19FA/MCR&#10;OeZa5280TqxLztu+XeKHt2t37zU0HqQv/9rKlhsN2jW5T9tWb+3sHr8L+21Z2T/nm28g1jv+iStC&#10;Z7EzjfpO+SzCjgWUPeaDhyXjf2Hnxi+GhF81to/kyCGJ9Zhs7Ki+eHBS9C6ufRdhab8ye8fZMrmW&#10;Xfh8D6wQtKHy71eVsvFUHzfC88Bqr585406dOu1ee/U1TSdOvOqOHz/ujh07pgmMcvRorEw97Wh/&#10;+nQs0f/M2XM6Tgz7ndN7tDl58qS2p5+Nwbg2VzDnnj8HY5CYg/nIDb+W3PyZK7n5G0kx/Ij8MZvv&#10;o6yvnXEt8aybb1RZFnaPqeSB2Zg/FXbEbyaVb0xw/mLAjujceSa+w4Lry/Y1dG52E8j6Vq9eo/JH&#10;o3GjR3KjLaNTq7M2RpvWjnpL1Nl9cr+NjWd15Ea7586d098cWBKZZMfB/10uc3xZ8hPupZMfR/w/&#10;wo4paQCdddDWEbkj8sfK8Nao77WYJtqT/OxJrrGj+Vjny+4MvnY9YMdEuBH8Bc8Dzx156Yh8sx5y&#10;B194wT333HOaDhw44Pbv36dp77N73b59sTL3affiiy+63/3ud5p4H+BLcrCfjfmSyH4Y94XnY+Pa&#10;eIzNGCTu29zW7vnnn9d7jM8Y5KzRcuPZHYe850prXFH8iPyx54T/UTlONvAIcZt9n+sHhn+gvsx8&#10;t2Rqr2d2s/RPJn+zWIXEug4+h/nGpINdC40d8f/GPwY9crJnDj5nJtdG4+Tx7yORgUM3yGg592fT&#10;pk1KV0ZfRsfQstGjlaHzYDtrY/24Tzvo1ur83Gib3GiZ3wnfRmBJ8GPNWqddjepHBDeedmXddzj0&#10;KhG/yg+/SrTPueZhiea0urBzo6dOJHeM9NaFoxt7h1Ge2TsIS/uZ7u/EiVPV5zUT3pJJH3gdPqFV&#10;2a/aeCqyGLVvFFkMujzkMPCxTSJX3SjXy5evcFu2bHVLFi91zzyzWfOVK1e7x+YtcHPnPiYYepNb&#10;JderVq1WHAmeXLjoccWWTwg+MJ4Lr169eq178skligl37dyp7RbMXyQ2Okvd7l27NG3bts0tkv6M&#10;C79lDYy3YMEizXfs2OGY3/jz00+vVD5N23Xr1uvawan3D3lfdNZfuh7jv1TMwPNm8q79PvcP+73y&#10;covVE8tfcy27fOR69h4Syt+abw4wHgka4hxFMBTYs67YXKB3BkP6yez0OOewf7+BVz0HtIjvDHHJ&#10;/bVWVOY3WVGbXN23OOCc65irOWzcRHQONkPmt2LFSo2B2bp1Gwfd7tm9R/Nn9+yR+PCxRL2foFPa&#10;cd9y/z5lo2W/DWW+s8j5VvK/uQxn8j3E9w9y/8b3iJ9M9ZdcnQZn3b//HcUGz5Q3ZKtfrnlYqnWG&#10;nZtYPNg7ImcER6KzjvTVmWGWVO8junf97Gk+7RzhSfB1bB3BWMajqlqeiKfeeWcbt3/ffn2uXr36&#10;uCmTp7v27Tu6iROnuKbNmmnsZmKeDxo41D0ofL/PQ/0k7nIrN2jQUNejRy/lh2vXrnOtWrVS/ogO&#10;BUwHzuPMlg4dOrouXR50bcvaublz5mm7wdIXHxDyxYIr6QtWatWqtZsydYYbOnSEjN1b7g9zgwcP&#10;E3y4QceB/w4dMkLXRxn+26HD/XF5J9hg3a7L6pdg9mOVwY9dH/mkXId4VGwpL7gWD3wstpQxu0cw&#10;ZO16F9wtt290d7TulFSOZvEYkXc1FHkXe+LLCvHVJ0YjeXOxxyPuE77BXE+fNjMhrbF3tGMs4tKT&#10;J/K/LjR9ImcEG6OjJi5BPuxDeeYgnaMPHi5xjZ7ZtNl17NjZlZSWuJ49eyuNz5gxO44hoXPo/qmn&#10;litG7Nd3gMh0BigNgv9Iffv2F7+EyW6SfLuCGSnTp3PnrnEcOmrUaK2nr+FK7pP4rUC3jz/+pBvQ&#10;f5DK0tF9gx0btryk2PGWpq9H2LGAumrDCWHxm7XPZh52bnBjhBevH1yTTRqKxrqWLjZv3qZym3zy&#10;RjAAPD2fc+ZiLuOrpssbP36y+J/eKzKwzmLL2UzlJzG8100xWv/+AzUHw82fv1Blg2AXZIJgPtqC&#10;+YYNHal40bAj8p1WrVvHZZBduj7oBgwYpGPBgxkPfAg/Ba/CT1esWCUYs0x8Q0aqHBK+i6wmhhE7&#10;OuSNNqfpBsGkyDfB9MaDwQpgR+SribDjvLVXXKOy9909A/7geo77xBGHx9/rE+evuFtbE9eR8+GO&#10;qozR2pD7mJL7JdVPubqNRihGQpdsY1E2e0XwIvjJ7lnOutP5HgFjc/Yl/ibEoOGbBlkmZ+Fw3raP&#10;S22OQuX16tXT9eVSP53o2YzGffl6p05d3Jw5j2n85Nqyf9At9MR3EjgO+kWOS47sfPbsudoW+oe+&#10;aTOn/NsHGTk0inyc3wxlxoOO6Uv79etj3zt8Qw0dMjw+NuMhc+f3wLcBNh3I/Xe+eNnVuPEVwY5H&#10;XLu+FyLsGGHHUPYK+MVwlnUka7wWJ0TYKdoTnwYuX/5AfavzYWvv8yXs95AP+XVVtQxvNb6KzgzZ&#10;4zThY+A5dL9l7e5R3Ie+GfzXoeP9KrcB17VtK0lyZIu9e/d1M2f+SttsFR03ewR2ZEz60o86sB0x&#10;jbp27a68Fj4Lz4XPwkOXLl2mbWhHPW3BhLQjYR/GWGVSR9uOHTsp3kK+06x5c+XzyBzxPUA3iV8E&#10;2DgRbuz6yKeCBzlrMHZeDHnNkrfc+MVfuedPfO7K+n8h987E79dtcPEabMl7R5dds+ZbghtPa9sS&#10;+tS8JS5/NHtEdLVGJ+BIK2eSgxPRdYMdwY0+JqPMffBpKr/sTObNpA9rYC28/0z6V7aP4Uf7Rurc&#10;uYvr0b2XGzNmgtg7NnCtW9+pNAR9PySydOgO2ho1crRbtPBxvYZeoTHuQ3PQ30i5j1ySeuq0jdTZ&#10;76Bbtx5aDy0zdrdu3fU3we9hy5YtWkbeDt3y/QNuxBf7gRHvC258SWjppPv25yg2j/+fX6hyWNlf&#10;LtYXdm7+b7F3jLBjhJNyQYfX05icR4icpbK8JZP+leX9mcyZiz7GVw0/IvtrLrwMvxV8o/k/QlaC&#10;DT88Fru8Rx8dp3LBXTt36X1kfJvFFhIeiA2b+Y7SlzJYjr7wTHAU5ckie0O+Sd8+ffq7SZOmib5l&#10;nvY/fPglN3r0OC0zF/aN2IHRlrFsTfBa1gNWZc1bt24T7Hune0GwLPGAwI1BfTW+LgOmXREds+gE&#10;y2WJ+CPUqvmGXB9T7BfDkjE5o5Xr3vp+QtzovxPGNixactM5t3rdNsV0QXtEZIuVoR+wIbJFxkD2&#10;6K/BL8d8r2vmVYddUlKqsRPRn5scFYzLWvy15btsdA5+hMahIWgcuqE8evR4sTUdorJG6BPaoq61&#10;0BM5acyY8W7Lb7e67oI7qd/77LNK05ShQ+ibNny3MEa/fg+rTTBjtRN5Pvf5RuIevwt+K8g2acdv&#10;jW8d4kwRY6pGdfyrT0ZxHYtA5gjPDIvfcsFfw86NvSN+McR5ZB2UIxwZ4chc0GRVH1OxY9m1fqe5&#10;5kvXk9yRvTK+Cn7E5+XhAYPjMR6R0eCfgjxk+vRZYoc9ys0XHNCp0wOali5dHo/riN55w/qNqsPu&#10;1KmL3I8l2jMGOjrqkNVs374jPkZ/4Z34mJLQf9OGtq++ekJ047Frmw9bMObhHryW9YwbN8ktW/a0&#10;xpBEToTuPRFurKvndPj4kBiNp936fV8rrpm67DNXr9HbcfwHbqxd9x0HJgxLU3c/RPye2Bzorzt2&#10;6n1VHFCz+8MnJuyYwXbIFMGNyBuD94LXYEtsc/NlA8m6wMrEbKRM3O9U+Da43lxeG52DHe+9t73S&#10;OD5ZYMebbrpRZaOUoXNoa+zYiYqDrQyd8U2CbB4apB56B38ePHhQy9YG+qWeNiT6MB79oG9+T9A6&#10;8/ENRnxH7CueeOaKm7nqK6GhU5KOulmro7Osi4FPhcVvuVhr2Lnxj7HzrMGM2D9G58xE2DEXNFnV&#10;xwQ7wqNyyW8SjQ0vxJch0b2qWmd8lVz9riVGuJ05CA7zEzzO4nCTc+3fD5aT3afeHytRO7+NlYPj&#10;x69lzaydZHpqnge7xFuavKe8GH5ccsNF17DFB27SU186zqkOvjPqlm79Oi3M6I8xYDoxnWN68OZt&#10;RqsvS7169VS/TAxGsJ/fPt0yvtngsjCyPGSUyMQ49y/dedJtj58O67J+yJjz5RNjc1aUQw/qDyb6&#10;c6PvTeI3M0dk3tgws+YzZ15XesbeggR9JSvTlj60oWzt/XruMYclG9/qbR2zV38mflixePZ1b/1A&#10;aahuw3OhbN2q+n95sa8/LH7LxXOEnZvvEGSP+FlPmDBV6YbcyrlYWzRmhE2rKg00atQ473prbLeQ&#10;H1XEp6rafcOPyB/BXpYMjwVz43nB+nSvszGOrZW1k+xZeAcPTfqsHMsdd43afZSX91ZSLeaD3aDJ&#10;gyp3A7+B9cLgvYroBhtHkm/jmKoP7VQWKNgoF/JHi9UIps3G86V6lmzcM9owmiFvKGvnnMKwtEuf&#10;sG1TtbM1PPnM54obS6r/JHazfxJ5+DflNCtxwc/+FOHHAuuuw+K3XPDRsHMbduRMGeSPrAXZYxQb&#10;PMJ3uaDL62FMYvTkyw7/etNXJ+LFxlstNzxmOfzufZHxWbL6QuS2xkS5PVuPsbFzYEpuuJQX3Lj2&#10;WXSO6K2Pu8Yt+mjMRltLoXLwI7bB+MUnWwMYEL8W4tNgqxgGZ+KPjO1lMfl0J3s+vz5IL+gSsMvE&#10;h7oiOra+qdoF2wSv6Wt15GOe+KOen1lyk+BGSaWSatxwQfFjt2FHI+wYYccKacB01sge0VWDGcGQ&#10;UWzwCDteDzgvF88Av6usHtDnK6nKYEdsuMLw1VTjFPs9n69Z+aOPPnTFlGxd5Mn2E301+ml0yHUb&#10;vpe0XbL+mdSvffZrnQ9fB/AYetywMsJM5gvbB/1xk6ZNr9oD6BhdMzptMGBrscvDjhIaZ92pdN3g&#10;RmTw6GzDrqGY2vn0c+78BbXz5bn5jfv38lXuPOoHxYzgRsq33fmO0lHteqcqxA25+F+NxvwFc4SV&#10;/eViz8LObb4yrAF7R7AjcsdcrCka8xfaiPai6u7FsmUSCzBP/tbwSXhqgwYNqiS/zIR3wzvBjCZv&#10;RMecSg9n9xLp9UxHlyq3/pYH25q8h3WBDZP5slBf79aL5TjuqBs+71N9Z8QUurPNXa52nTpuiPiQ&#10;Z7Inqfo0Ljsfx474RRQLdgQTsRbwHjk4icRvJ/jtBZ2DNcGR2AFypg0xyJEvdpN4NcgmGaOq4sZE&#10;74/nJfZWOjE2E41Tmbpek75zJMYg7qja51Y75zh3NeJRheNRYfFbLt5RIefOxfNEYxaOjqO9v3rv&#10;581bqPqmbMp2GCto508dvBSeiaymMjyiqvQ1mQv4Te0Sxe7ffFbMT8augzm+AInqqA+TrO81bcux&#10;67lL/+1uvesH8X35yc1d981V7+O+gcRufK0cw51wPcZ9Fr//9NMr3P+94QaNu/Ff//V/XM9evSU2&#10;9Ir4/cq+m1q3cA4xvjLHXJv7xhaFztqeCTtJ83uGvoM0bu0sh+bBiyT6YTdJDtbMd1xVW1Oucp6n&#10;WbPmWaODyq6zcbsYdqxZ86zYkS6KsGMB9daFxG+FnDvCGldjjWg/rq/9IEY4eC6b2NFijJDDK+Gx&#10;xFXBX7ayPKEq9DfMSK64UfAeWJF4I8QXIVaOn6izRD1la2v1Vkc9iXgnftm/Dvb127GO0+cvC278&#10;RvwKvpMk/gUB/GhxuktvuqBnvwT3HLwIfuwoccbBj/w/I4cMtkv3Gj3uHS3LZE1nyvHjaVen/ltJ&#10;ZaPpjh+1/7jS7yjZHoIdiWeU7H4+6p/c/IXrNPwT13vCH0R/fU5pqOTG1+Wsw2kRdoywY0QDBaSB&#10;CDdeX7iR90msHuzcK/pvR7+GHygyE5Od4P9aJjEiiWXcVvN2eq+O4Ihhwx7R/2zsKWM6vlrXvZ2j&#10;7aFhxzhulPhzxC8mzjHxuU9KnG4/Xjd1lrhH2eKCW73VUc84Z86e05wy8ZRJlBP1o976sI41O94R&#10;v9QvXEmNb13JzYIfq/3kGt/3vdKAH6N70KzEsRnBjZbAjiZ/tOfPNG/ZsrXSFxjAfB2QQdZvnh9b&#10;y0zXHfX7WPXv/M4LsRfYXrQfjKz81fJvjliMJ/ytugw+5L7//vsINxQQNxRS9lfIuSO8dP3hpeid&#10;/vJOsQUiVg94D0wIHsSGCzwIpoQfWMIne9Kk6ZomTJji0HeDPf3Efc7J5v/63//+t6bt23fqGI/N&#10;W1BpO/pC8KawcxpmjMsbRT9M3GLwGrG7OV/t0KFDeg6hnSON/SB1L774YvzMaq45P5DcEtf0t4Rd&#10;mV/mPF+7Jrd+5MTNo44+rOPEiVfd/UPed6Ulgh9v/tbVLP3WHTgW00vHsGOMB097+suEWAB5IzaP&#10;2DtyPlzY/amoHXaAZjsIHmjTM+bjXav2W3rOYUX9073vv690y8nmYpxk9673ev4n0M/n8zk5Uz12&#10;rpHhxVMiczwv30WnXJ9H90aYsYCY0fhsIfFbIee254/yX/BGtBfX116A88B/XR54UGWF+M9wjT47&#10;k3dtmNHPN236rUOuZHpscCr+meny7FTt88mzEs1la8MfBV8VbA05M4Pz1NauWacxTNav3+AmTZwq&#10;+zxFzmXbK/KaPW7hwl/r9aRJU/WaOs4TXLduvduw4Td6ptvcOY8ptnzh+eflLI2dcs7GBDnH93nF&#10;oeBDZMKcvbFZfH8XL16q57dxbtz+/fvc5MnT3EYZZ+rUGXoGITgSuSdnSdeq9bXbe+QP8biOYDaz&#10;dew8IuYfk+hZc1GnOmuxibWxx/z6c0+OdNLN35BYDmrtw+b2nvw8GPeFe+ZX5Od+n1yVwz5HsbXL&#10;t9xR5dPxM9WPyTfQeXd3+xH6nTp37oKM/rsy+b+L+qTmh4XEb4WcO6KL1HQR7U+0P0YDhhX/9a9/&#10;uX/+85/uH//4xzXp5VdOSKz+Ka5Fi1ZiL9dJ5WvmE5xO7vsPG2+HlxeSnxqWYD08C7aF69ZtEBw4&#10;1vXu3VdkuWVu0aJfuyGDh7umzZrJ+b5b3O5du1zLVq3cqFFjXPv2Hd2uXTulPFp9cZcsWepayT3O&#10;xO7QoaP6GIEXR48eL34JzdzGjZsUP/bq1cd16fqgGyBnubVq3dpNmzZT53ruuefcesGqtAVDMga4&#10;Eqx57Ngx1XPb2dXsJ+vfcpD4ijEZzlPbYucNsqf4wyAjzcX+EouHeDet5Kxi/Kn8OTqL/RrxetRn&#10;tvprrsuoz3SNic608fslK9s7MvpJh+aCbRnDaC+T8ayPP46tL9n6i7UeP3R80EeOePSq95er9fL+&#10;a8i5ldBFzdJzbv0Lf4uwYhHIGI0X+Hkh8Vsh5/b3ICpHOCmigcQ0YLjRMOP//u/f3V//+jdNftnq&#10;Pv/sczdO5GT4rnImMzjLEj7CyOzMV9jy4P24D7Hohk+/fkblZ8QJzhW/qmhc4/vgCfyq330P7Lhe&#10;9bBgwJ49ewvuG6dYsEf3XooLqUdXi+wRbIk8Eiy5dOky17fvAJU/7tu3T86w3u44ewRZIn2GDR2p&#10;WBEZJNgQXPe84MrhYl9KaltWpqlVq9Z6vjX3OnS4X+WTyB3BjthMBrHjyp1flmPH01edOYgvDHaN&#10;FpuHvhXtR9j7yKs4b5DnSxS3ZtFvxP4x7vdtusnXNA7L1oPXnosYnHfysj+6N97+Q1zGDQY02klE&#10;W9QZrSXKrY+OIe/ZfOiNZm1sy619MLf75D4uhX6gpeBzFOs1uJF316Bhw7ydGXXvgI/L6fSU2338&#10;7xFuLFLcCL8sJH4r5NwRVkiMFaJ9ifbFaMDHjX//+9/dX/7yF/fzzz+7n376SZNfpu6HH36Mp1On&#10;zrjbb2/h2rS52+3bu1f9j82n2PcxDvol+77DD3br4erfdq/IH/Ad/kFiA39XMN5r8b85NwZbx7Vr&#10;17uydveIzLCPmzd3vuJDsN3KFavKZYl9VJf85JNLFDOCCR/o3MX1EzxNAmuC+0gtW7Z0K1euVvkk&#10;eu2WLVvJ+cL7VIZ5+PBhlSdOmzrTjRjxiBs3bpIbNGioyvK2bdvuli17WsvtZC344+A7w56CjcAt&#10;hld+kTu+dhV2xLaR/2HzjSFv3LhJpePzYINpdnKpfP2RM93S9LL49XBe4ely3CA4svqrrvOIT9yA&#10;aVfUH5v1m7wU/Xuje4Qmqv1R4xFdeOvjuN+7+aVDYz5tmZ+7X3f+wgVHsjqjS8bgHZOMHo127Zrc&#10;2ttcdu23MYwKvvTfR7HiRX9dxFEAO/p1uS7XrBGLA1q/2aUINxYxboywY4QTDCdEeUQLPg0kwo1g&#10;w6+//sZ9/vkXmr748qt4mborVz6LJ64vXnzLdevWU+PDIaczn2Lfxxi8Q8JOj3rzHV6wYJG7rWlb&#10;V1rrY7GPj/l+gB97Tfo2r7wMXmlyR3SQYMe33n5bsWPDhg1Ervi4O3r0qJ5NMnLko3r+Bj5JyBBf&#10;eeUVxXZcL1nylBszZoLKIlevWqN4cf5jCwULThTMeL9DPz1j+iztAx6dMWO269q1uxs4cIjIKpcL&#10;Nm0nY60Q28hDrlnz5q67yDdfOvySay36YGwuwaZgV3ALeAWZGes1Odf2QyZ3POrW7/1FZ83z4R8D&#10;ZpwwYZLGdcTXGkxZGZxgZ8ckkjcmGxdMCFZMJIs0fXvpzefEZ+JSOcZ82ZXc+KW79e7/cWfe+EBl&#10;refOxfzSoSWjK3KSX4dfETTnJ6NLxsAPigQ9mo87uZ+sfTC3NvQ1bAquDOL5ZPtQLPUWN938nHK9&#10;rpg/V+z7YcriyxF2jLBjUhqI5I4RXvHxSlQuDnow3Ih9I7aNyBvBjeDBDz78yL3z7mX35ptvu/fe&#10;i+Vvvf2u4Kl3BSsii4kl7lsZm8DS0lKVycGP0K0G/Y2x1TOfYWRWyNhua9rBldZ5z5XU/L0rKflK&#10;cMK3rnWvb+N4KNe8zMYHfyG/Q26Evvqi4LO9zz6r9ouvCD58SZ5nuuA+8OGRI0cE4y0XTLlIMeUO&#10;0UnzLMQ0Gjp0uFuxYqU+O/ixZ8+HpH6kjgWu3LNntzsseHCNYEF8ZPbv3++mTZ+puHL+/IWijz6q&#10;GGjuvPmi697hdkiaLxgb+dipU6fc+PGTYzrbAG7kOdoNMOz4mp47Q53vU22xeeyZK5ODGzmLBLkj&#10;/v3pjoUuu96tlyUGpLx7OT8khhuJaX48jhlrVHtZyoIdb3pLZNLful2HPlA7T/NLh57Q9/t+7/i8&#10;U0fCZtSSyX+5Tz/oD90/yWiVe9AsyfzbrRykZe5TR1/DqOBL5JtVCT8Su5V3iK9Tuu8wk/Z39/6w&#10;/P2ecGc+/FdS3BDxieLgE4XEb4WcO6K/4qC/6D0U13sw3EiOjaPpqr///gf3yaefKV4EE54//4a7&#10;8MYlzQ0jnjl7XuQyZwTfvB5PXFOPnwdnvT2zabP6FcO3sfEjwbvh8YYdyeHh1atXcyNnHHaltT+Q&#10;mDNfuFq3XHT16jfRM3ZNnpYJj0qnj8kcwY3Yr4HTzopNIBiFNbJue5YXwCUHXxB54GFNh8vxA+14&#10;RvTQ2Dian/QBwYb4ujz3XMxvGt0+5avHO6jzMObLL4NFTihGevPNN1X+CZZVuzzBi6wxkV4UXS/n&#10;uYDBate5pDgAu0azdTR7R9NXp7M/idpyTh+yKnSefCskahO2Dlkk+mpkUiR8yBu2flvw4kXRawt2&#10;rP6Jm73yE5W3gs/iey37ir/7nt174n7v2ANwTY4vUzDRnsS7Al+CF3kXvCPqyXl3ifCovVNrY+2g&#10;ZfYAHIocMmiHGnYf8tmOeDz4xxDfC+yYj/OieM+lN19QGu0w8M0INxa5zBG+XUj8Vsi5I8xSXJgl&#10;eh/F8T4SYcc///nP4tsxXuVUnEW8bfsu4YfHXb++A13rO9uI/rS38NtD7sEHe7nXXz+nuHHypGmC&#10;H8ap3AnZE/3uaNFC4/ns2b3bzZkzT/Ws+Ahb6tatu1u+fIXKfYh/U1fiUN57bwf32Pov3F19v3Zf&#10;fPc36Tdf+RlxgFLxU/g12IVzMYgblKptsnuGG3+ROb73C0YR3TEYA0zxrMggSXvBfgeeU/xCDB8w&#10;BliGMjiR+3skFrvllMEv5GAaEpjD8Ao5czAGdo/INGPY8bzixnfefVd16OjR0U+zTrNvNGyNrvq2&#10;NjF5Due6wKN5XnTS8+Y9phiJMnJH/o9J1CfbkzD1jRo3rvBcvzDjJGuzcCMxfkQGKdixTc/fq+/V&#10;/PmL9Lvk4QGDNWZSf/FN7yc+SRMmTNZ3xD537txVZcX4Kw0eNNQRl7Rv3/5usdik3ntfe4mRtMvt&#10;3LFTsSXxloitxBjIk/Fd6tunv5s1a47SaC+RGWNngByZhA3rbnl/+LvTB7rgXbIeZJDQI9gW3bX5&#10;0Bh9+c+ZqM6/n48y9hH8XsGQyMvzMWfMHpfvm2PumcP/jLBjhB1T0kCEHYsDL0S4LXoPRgOJsOP+&#10;/S+4h3r3U7nj8uWrxH96kPDKgYL9RqleeuzYSYofwYhDxe5uzJiJapPHebPwIHTc6Lq516hxI73X&#10;tqydw4/k1ttuVXkjvHX27LmCNTurzIo4P2DJBg0aum+//U715shAGQNZCLKtVLZ03KedJcZPlwfC&#10;x/HP+f/snfd/VcX67+c/OOcf+EoxCT2EJl1KICBKbxK6ICC9F5Eq9dB7C4EgoFKkKSAQQEBEQZqK&#10;vR4OKnraPZ7XvT/c+3rd5/1sns3KZu+QZGezkrB+mNfMmjVrZtZas/d81lM+T+VKv6mvN9hO/WHE&#10;rwVMAM6dIBgZH+pxkpAbwrm4Zs1axY2zBB8bLgaHLFu2QnEFZa55Q+Rf8PZQHj48xOUDVyPyLrC1&#10;XYsOm/ljV3n69GmR936ounMwCJgRPx7DHJbbvVatcUVlOcgcq6ZeDT8Ds3FEvkZbuMDh6yEu4QWR&#10;Sdr1hc2RLSOzKsrzLuhY3Ufjiys66/K5bu+7Xyp2hANz8aIl6psOpuPZjRo5Vn2YFi5crH7tcCUN&#10;HjxUsaX6x8s3BXXz5i3QdQj2AyOC++BPoq2d5/2kp7dSv3j833lPvF/83SdNnhryc5Lvh5bShmvA&#10;jeB+fOANO/LusH/02qNGe3f2DouSF/QZ5teufv0Gj5wLnPkkPRGKWTlw8qPzkwli0xR97/MTv/k5&#10;tu2VQV70tRM8u7L57Aw/mr3jH3/812VlbRP/3hddA/HTWLVqncpw9ux9SzEhskbqFyz4i2smcsge&#10;3TMl9XJbs3PUVgpdN7aS74n+Gj+PuvXqiS9vXdl75+iebb4G6IHpB9s/MCW4sZ9gNPy54QN690Ru&#10;GAuCCZEpxtoDwZXe+Dmx2uVXD25MqShxoSv8pjFa5izeoVgYjh3mN2vWHLVXBM8OHjRU8QI+K2Di&#10;g4IbwBhrxK4RPEL7BQsWKa7AxhFcYpiF68ElW7ZkuXYS2wW/IjAJ19IX/SC35PmcFZ+Pjz76KIQd&#10;Rd5o2CPWfSSVux9D2st7A2Y0XbXJHPGvjtVPQerNt7ogbeNpc99n/LjrOjLEm4StJ5xQL7zwovq/&#10;8+2BD3or+Ubp1auP8mPifzRs2Eg3UPyPsOXj+4XnjVyR9wPeRJ6IHBF525Ahw7Wus3Bs8j6Mn51j&#10;bBqRBaPPxbeJa4cMecl16tRV++QcPkzwch5464DaPeJDA3bE18p8mUxWzDeA2Rw8LLe25JasH/Bm&#10;PM+Wa/ltxdtHUa6v3+4T/c6p/tSH+cqcimvfIU4C99pRYie0bt1W09atOY9k7OK6Bz/78RO/+Tm2&#10;n888GLtsYq6y9F69+PH6jU9c8xYt3YqVa93u1/e4XbveUH30smWr3O3bfxM52VH9/6XcXHx2nxcZ&#10;JW1o26lTN/WzgcPnn//8l2srMpn+/QapX3LlysL9J3u28adgC9av70D1IQFLDRgwWK8BN2J7yX88&#10;sk10afnhRtu3aFNUuSP4JPmJv4svhmBHkvh4N2r3lmDmTqKnb6b6zEzBJHB/g0fwh8G2DQ5l5Itg&#10;C+zqxo6doPgFvAFGAau8JO0H9B+kuIL2HJtvBnJXZJfoVIkzSD04aNWqNarzxPe3oP4WB3LR7ebq&#10;fvz8uK8ewAP4VfMfjN0j8QgpI3+051fYHOxZVPuAwoyF3j3pCTh9jrtuo75S/AQvPd8dOTk71BaC&#10;dbV27QZZK9NUn8w3C/aGI0UWiW969tZs1dvTDl4lcp719Jdn6PNGHsy75dmDP4nvjg3CTtFpw810&#10;Svy0eT/g0oGyTsGIIYy/X6/hHLxJvE9sAhgbO9nLly+7j2WdGycksmPjkaSOd0uy89FyrrF6vf5e&#10;H8QROn4uxAtQmOcZ2dYv7Fg19WNdq0nlz7pf//X/Eo7hMjP7qf4C21xLxGctS//jibwXP/Gbn2Mn&#10;8pkGfQfYsCysAS9+bNiwoeO/Fgy5Z89+d+nSZcWBvXr1dQ3kHHXIBweJ/I02lPfuPSA8M91V3/yH&#10;yC7BgGvWbNB9+vLlj8VerLeW4XE8I/I09kHkhezj6PqmT5+t1+Drff36J4oDwY5gQvyQ+b+PpbdG&#10;/oJOmFiJTZo0c8MFB0TTAdq+GXkOzulaLe6Kn28IN1ZKuuvmLd2pc8OWbt/efSpDRS8KV+OIEWOU&#10;v4UceSHywa5du2usmaysbNFBz1EOR7AE+AUsg16UthwbJ0z79h1VL0pudRkZbRQTgbHV10Lkjcib&#10;bM52D94cfFWj3o3QXlxOMKjwKNp5xXiimzbsiH0jZeSQpsO2toXJn3qqfti+tWnTZvqOCnN9QdvW&#10;b/f5vfs67U5e+FqfAzYDzZo3V1+mXTt363vatHGz6PhztYxMEP4idNvIxrE7hB+TtUaMIHLeI++M&#10;9QhuRE8Ndly5crXjOwEsCEcS7xDbR2Sc1M2fv1CvR855UuwKOM+19HXmzBlts3jxUsWOyB3x07/y&#10;8VWdq3FJMjfmFMk1SV1ksrbUU6aPueuFi6DCbbGvuCN6/NAzKejzjGzXoGEjl5ZWS39fkecSebx8&#10;B1zxoW+dVr0S7y8DRvb+fyCLDrBjwfduP/Gbn2OXhb09uIeCr/PgWRXtWRl+/OWXu+7AwSNiu3hD&#10;8Rw4EPvDU6fOup9+uh2ug//x6rVQG8q5p98Lxy9Ednjnzi9ax7WknTvfEJlOG7UTu/D++4qJsrO3&#10;y3FrwaNvqbzR5jBeZEvIl0y/hF6R/3qLpY08covE8zNMRf2s2fMkzvQU5UcEPxYm1rbhx8opv7l9&#10;J74RneV2xQhgCfbr7mIvBxYhoWcnFjWYD90px/hPEGfG6sAolEP4pZk8u1zFLRyDJ/DhRq6J3Ikc&#10;Dh9yZLEmjwJfPww3sr837XQrjBuJ/2d7PraM5l/N/y94EbkYeJJ6a1eUHG4esH3Hjl2EUyk5YTZz&#10;IZnjCVe97k2dL+8bW9C9e/aGfc7B6xcunA9/j1g5JA9+U+vxUcdOAHyHnQByylXybpEvgitfk7RR&#10;3tlbYrtI//BrwotEGdkyNgf79+1X+8h16zaE/Zm4hvPoqrEz2C1+OvhtYe+I3vq8xEqy74KLF0Nc&#10;krwXbDeMb9LsOCznW8TK9OEtz1gpPEVJX8kz/0byH13llDuyXr/V30FR3iO2qtgLgyGLcn081zRs&#10;H1q3ySJ7/PSn4ufpuXnzU7FHGK46jEj5Kv8f2LmgTwn2i4fvF37iNz/HDtbGw9dG8IyCZ8QaMOyG&#10;/aPFJowW05o6zlsbK3MdKbIfzlN/587P6n/dWPYr/r+Pib43PT1DOFEOhq/Jby1itzRbMCI67SZN&#10;nna1a9cReVEHV7FiRdETr3TE2q5Tp64e40vrtScDh5G8dbHKF0TvCCa5Lv7N4LzDh4QPUORQ5KTN&#10;m7eE06ZNW9zlKx+HjymDURj/yD2uwGvXrwmWeE99KW7cvOlI+GAzPnpMZCIkLweP4cb89ueQPWBI&#10;flO7+adR93/ki2BGs3XkvxjZY379FvSc8YIXtH1h2i3ORjYFz2OucvdwrX0rkNv7zO+d2vMk511i&#10;f4gMD0yGLzvvFPyIvwu8SuQk406yY8vxrYF7iRxOTqvHV+bAW/vV90m5I6Vf7CCxC83NFZmp6MjB&#10;lui3qcOnhna8G3zr9RrJrcwxiXbUkSinP/+BS64svEVVJT5PZbhubrtRC38M+9wX5vnSFpk+/JzM&#10;qbDXxts+ZGfxnn731G97qdgwHD4xmZn9wroLdBbR/LnMzuVU7tliGzu//67SfM5P/Obn2KX5nQVz&#10;DzDdo14DhvvII3GgYcPIeu81BSnPkth+6MD59icZdnzYvXr7Br9u2rRVY/e1b99Z7A5PqM6cGNtD&#10;xffB7MQsR45HsuNYucn9LEfuSEJeCC4kUY6VOI+dmyX4dUjgFnIwDJgFTkj8HrwYyMqR/Dux9ulR&#10;C7BzPKG82sbJE6st9cXhX+3tf1v2Nt2jo+3N3nZFKVeu9GHo3ipcDPMNWT9eDGll8yHx5vY8FaPL&#10;uwfDoytG5gceA/spj5L4XcPtg389uSX4mIxTiTp8oewc1yGn3LdXuCKljM0rZRL14ELwH7axJPPB&#10;Juecl5/JeCUNm97HpyGeUNqSdr5+UOwrzgsP6hVJX7j2Q77VNc198hzs+RQkR29bTWT54P+CtE9E&#10;m6fahGSPKSm5ch+fxo3hwI3oKtBDeHXU0ebOeeSRgc/Mw/dYP/Gbn2M/bD8Kzj987QTP6PF6Rl6M&#10;Vthy5Fqx6yPrOYbbZ/nyNcrNE+28t876Abcix0SX/m/ho8TeEv+cu3dDMbbniw843DELFizOYz+G&#10;vZjXfsxsyLw2ZpE2aHDkWMJ+7YNLHwpH+gdRE/4Rek7aePsx7BnKr2qcGLiYkZnip2HYJ1oebc+D&#10;Nxt/mAlLfxJsRQyWE65S8hVf9v9E+sw06/qF3FsovswzA+/r4u2ZRHtekXX4ppPAVsge+R5o376T&#10;yIXPqp0tGA+eHfzp4VsC/y1ZslRtHKkzbnH4Iqlv27adpu7de6pvN3aP44UfkjhBa4TPifPwMMEZ&#10;CdabJPw+8JeCIYljjh8VftozhfMHW1q4n2i3ceMm9T0yvkgwJGvD+gNb0q5Tpy5u67Y33NNdPnJd&#10;R0isJ/lG4b4Kix1N3gj2t+fpR15FMDDrF+wYr/yP69FFYEvxMNxo98pz4NsVXUVxYFfv/1VZKvuJ&#10;3/wcuyy9w+BeHi8MF7zv++8b7AhuRN4IbsSXGx04tpbfCy8QMbbhCEKnjV/3pk2bw7Zi2Izh/0oy&#10;+7FoObZmyKS858AZ2K+RrIweMjKhj6SONuhEzd4thDkvqf/EcdENgmtfeGFImPucODKRmIdj29/I&#10;8X+ZsOzHe/E4QnGADTcmlTuncVi87R9VuUGDhgn1s6jTKsTlUrvZtTzPo6D3Z88VWaTJHvGVgR+S&#10;HO4lcvyg8BuHHxJ8hh8UmBJdNBiPNvPFT4a6jYLzRogeFC4f2sPBhJwQfKlckWIfQB3XYqcLhzhy&#10;RtpTzhJ7SPrDZgN+SurI4XMCV6JDx84WX+4ZM2Ypp9MikQ2OlnjonMeOkzXKugILc1/cX+SaifWM&#10;kBHXqlVLMXSsNo+iPhTTOmRv0fC5q3HJHMF9yBB5h5fk260w80d3Dd4EPwb/t/f/b73Pwk/85ufY&#10;3mcQlKOvjeC5BM+lpK4BkzeSG25E3ghuvHXrC9FD3hT54hWNm7hi5RqNp71C5EFmJ2a5xYyz48jc&#10;bMuQEXnPcUwyHaTpG9njKVuyY9qyvzMedmTs82BSbN7geGneIl3lpEePnVC7TPY84nvkt9+lVLys&#10;8hlkNKEU2nNDMsdQ7MH8rk/EOfxkGjVqXOi9ujBzsRjXrft+me/zya9Pw48mewS34eMEPz0+1Ryb&#10;HzYcShzD/Y7fNXJFOHng7sEnBt4lWyfUKxeT8AQgTwQbEkcJP+9oPE7IH+GdpA/4JpEtMhZ+3uQ5&#10;OTt0TOSN4EZ0yoxF214yz6bCNzR9+kxdT/jfqMxR9PCFlTmartZvmeN97s5zcfP0IHOM9IfJb01E&#10;nrNnEsgeo++DfuI3P8cuqXtiMK/o6zR4LsFz8a4Bw44mc/zjj/+qnhpZ45UrVzWG9rlzF0Te957r&#10;J1yKyI3Yly2h7zOdH/jOjpEVWZl6w4foBkmcsz7M/syOsXmzsvlLePuz8cCg+EiAG8GSlSpXEnlo&#10;Vjh+DlgYDIwPeTQ9GzaMqY2Mp+akq1rjqlu9+6/qO0LeoufXD9gCRu6LiTpGVoMfQqL6p99ksXUE&#10;H1dLvR7XfXrxIzgtI6Otyu3gROL4gtgbdOvaQ3nf+/Tur/Jp7g9+TzAf5VDeISyT5jr00Oi2yXkW&#10;8PkgsyQhd4YLiOuQY9M/afHipdqe8+io8dHvJj76yMRD42zQa+CmZE3A+UQbOC3BjNhDROLGgsoc&#10;eabI5cBZfto5Mo/Ow4W7U94t3wfe33tRyiZ3RKZaFNtbruGZYD+DzWRR5lCWr/ETv/k5dll+p8G9&#10;BTirrK+BSOx44uRp2ZPHaaxtYiVu2/aa6B5fVX/rvhKbpm3bZ2UfH+VeFhkPe7NhQHSPpPXrN4jO&#10;cZSrkZqqOkawJjKjuXPnaewQuH/QNyKXIoYMNmfgQjAAZWzgxo2bqPpL4t0RnwR9I+3BkZtFV45M&#10;DvzJNciKSMgca9Zq4Gq3uuYqV//anbr8b+UuAjtipwW3SyQOGzL7m7C8sU6rEE9NZJtHfYwsFV4X&#10;7ALQ9yVy/LYDiEkYkrWCleMZy/AjmA+edvS9yAE5xg52ucgVKcMVyTF2kcSbsTL18EXCswT/EjEr&#10;N2zYrGXjbCK/n2jXSdcc1yDrhOvJEna2NibyTRuHtsguwYoHRa5tvJVjxk5Qn3/mjc8Xumq7p8I8&#10;F95Z1apV4nqWhRkvVttKSaHvglrNP4obq+ErB/YjoY+P9h0Wax5Wz3PBx4Y+4HMo6/+rhbk/P/Gb&#10;n2MX5hkFbQMsFqyBkrUGIrHjvv2HXOdO3TQWDXv5nLkLNK521649Ra7T01WvXl1jaSP7wT4MeSJy&#10;RcpmM/aU6ATh7MYejXjV8PehvwTfde7cTbFFeqtWas8GnuB6bN3QJW4WTh4w486dOxUfYqtGH7RH&#10;V9lJ9Jf9+g1UvTeYAHkUWLZ1xnOu+lO5wq0i/CrCz1cp5Uc3ZXaOa9y4qaQmD+h+iSuYXPG8Yqen&#10;2ua1f7T9zo+8Zct01bEXZX8uynxTnvxIn0HTLl/FjXfAWtu3bVf5HT4mxsVkPvhZWdmKyzjm/owr&#10;0sqcz8raqr7X+OmfO39ej6nbLN8c1L3zDjEMjyrHU6h96BrO2THXxRrT2tCHtQmNf0H9YsCMpqcu&#10;jLzRnj12lnC727EfuZdbasqqu3HjNPyVLM4RXJWs0aLcF7YjJn8M9oH7+4Cf+M3PsYM1cH8NBM8i&#10;eBalcQ0YfsS/+sCBwxrDBhngokVLZc/IFDngZI29jZynS+ceLrVmqsZCBONhT0ZiP8FmDMxYT+Js&#10;165dW9rVVF8F5IPoC/cIJwu6QmSItEXGBnbEdxZMaTZwvZ7vrec4JsERjf3b/HkLtX9wJb4zxJKB&#10;O3yk+GLUf7q/YMbPBTtKXJDkH0Uf+7NLe/q4+kxEwwD4UodkbmecNz51UfbE4rwGPsBoMtLiHMPb&#10;V530z/Q5VKt1tUh4wNsXZZPVgb8sgcdKcrJ5kptfTLQ1E3mv0Y5Z5/x2op17VHUz1/14b23nuguf&#10;xc8LjpwQmSHzR4ZfVFsKbEyJS1Aa/yMTOWc/8ZufYyfymQZ9B1gsWAOPZg0Yfjx46G3Fc6NGjXe3&#10;Pvtcy5Mnv6zxtomZ2El4w5cvX+0aivyhQcMGbv26DZqItVihQgVXU/BiterVlJuDY3Sv9es30Hr0&#10;kOgjiREzZcrLagcHdsTuDS5p9t3t23KEQ65N2G8bX10wJ/iQ60gWQwSd5pgxE1TPWa16qqv2lPA6&#10;P/lDCDe2uOOIZ+PFAIZryCcvR18NR80pN3Pd92HMY/u7t22iyjYWuemq8RP31ieyHOIHD/mVt3z+&#10;s2IbN9rzApP5kWwuNjbHVrbc2njzwj537BxZv7y/TOFWLez1xdm+eu3rih2rVLscN07DPhEfaZM7&#10;IjeEe6co8+WbCNvjwOYx73+6n/jNz7GDvT3vOgieR/A8SusaAD8eOvyO4kViJP7nP//RGBLTps1Q&#10;/xlkfBZj+/CRo9rumWeecy3Etzk1tYbaeRF/GTz47olcwX8X3YaNWSEZpJxfv36jyg45TzxjOFgo&#10;4+OwfXuO2q9hl4bdJP4W2K6RU3fo0CFtu2JFKI7h1avXVJ+JbST2azWk/x9+/o+r2ewHV7X2DZfe&#10;ukMYD3oxgZWHv/qdYEx01sddtbSP821r1xQ2N2wSmUfrBy5H/KqJBVSUfbkw1+AjBKcj/EPIXlOe&#10;vFTsPETR7rE01BXmOVpbcCPYKlVsfP3GjbzbpHKheDJ9p3wXF3Y0TkfDjcSoAhtzv3bvhc3B10Gs&#10;wrx7pJ/4zc+xS+s+Gcw77/oNnkfwPFgDv/56V/Ej+mviZBN322JvE28bTAn/Iwm/GXi4N2/eKn4H&#10;R7Q917DnkFu6ffuOcC4OVc4c7BqJ0Uycw/T0NoIPe0lMv2HaD7ZiZoPmjZdsddiqYUdn6f2LF927&#10;4sO5UPj5WrZsFY73/fPPv6h8AztJ8IrpJE1v+tygT11S+eOSjmpK7xXiJzRbN9pb20TmNi+wZd26&#10;ddXOEV8iYoUXdk8uSHtwRcP26KhDnOeKGyu+79a9/n1CxivInMpCG+wlkcchO/b7fiwWEu84njjW&#10;xIOB1xs9s91TSkpKkWWO1gcyS/TewX5zf7/xE7/5OXawBu6vgeBZBM+itK8B012Tgx8twXcTmT6+&#10;ekN12dYmVg7/Dykra7tw+bVxY0XPfPv23/L0t0nwZ23RjREPZuKEKaLPfv8B/GZYy3IwF9gQnxli&#10;pTHGxkP/R9PWrdt17wP7KdYU/4xFWV+54XM+dzXqX3JJFY64ytXOu9HzbuWJo2g4lTxWXEXq8cfN&#10;77y1oV20xHnvWPhu1BIb0TTxY+UZJEL+OGXV31TOGLLzPK+yR3jRbV8P8qLzXOJ/jG+Y388wtcEN&#10;fcfV0uLj5unYoUse3AjnEDLHonD0RD4TbCezs3cE+FG+1dkv/MRvfo5d2vfKYP4B3gvWwINrwIsh&#10;rQw2o2xY0OqLmnv7sfKyZauVgwc5DjprOPcMI8bSeRp2fGnBP11y+Y+E0+4X133YWZeUUsPNnDHb&#10;7T7yqauaJvrpJw+EUsWDmo9bcC1PXEWLo4iOnOSNpxhZhgcwWp03XqKVvTnxSuzYxoFP0Lhheso9&#10;gx/Bztxv5L4bz7E31kh67++Kte945lUWrkU+hw+yn/cybRU+MqcVO/YaezMubDZhwlTVw6ODT0ur&#10;5fDh8sog47lP9At86wX/uwF2DNbAg3tv8EyCZ1La10BRMWFxXHf9+ieCIbsqv86c2a9GtUe0/Qsb&#10;/ObPvuKSn4BvBl00SXiRK5x1yUmnXKUqJyXfK2mP6MslT97tUiofckdPPBhD0WIrwi3tjZ0YWY6M&#10;rcj5sxLfxhLHtIlMubkSV/FeLBzaMB7c2WBKODArVqwg/u1LVCaJfLW48WPt9BBnNBhjaU58nI72&#10;/IP8S+XiRMfr57NILh/inEoqdzYufTX/W5mZ/URHkKG+bmDGovpWR3se6PgDn5n7+6Ofsj8/xy7t&#10;+2Mw//trOHgWwbMoaWuA+NnYRyGHJLGfNW7cNHxMXR3RgSl2LPeTYMeTghvfFZ30Oy6p4mGRL+5z&#10;ySm7JOW4gRNPuPlrjrl2fd92s5e/q/EOvfERKVtsRYuNF3keO0zOwWsZeY46i5/DOXgr4UG3uIrk&#10;1JHsem9sRfjv2rZpp7JWfIHQtZvMNdoeXJQ6bB5TxMbR+Ik4Lko/wTV59dt8v7AW/bR5NB8ZfJ/i&#10;/R0jF1wwf5HeUyI4o/CZGT9+ctzzjPc+S8L1fuI3P8cuCc8+mEOAeYI1UPbXANwecM1FxqXg+LrI&#10;KZfs/t8upcJd0Vv/4lpk3nZLt34mumqJVVhjr2uTeSQcA+eN198Ixzy02IcWP5F4NWA7YthYncVD&#10;5JzhQ8ok2kTGVLQ+GYc4Od7rrb31bX1Om/qycByVd7Nnz1VZJPps7CETIXsM8f+FYnbDIx3gwLw4&#10;sKjPg3gy7ST+dlGvj/e6aWvMnrXgfjKxdASZmf3dcOFtRVeNTUgse5HC1Hvvz/h68GuLNQfqH4f/&#10;dT/xm59jPw7vNrjHso9Lgndcut+x7T/Ld92V+DLT3FnRB8P/+NxzHdxU4ZIkNuL8+QvVhquJcJqD&#10;78B12FR26NBZ49pQB87DFxze8w3CSQ7GmzBhstpgEtuG2Dfolsl37dqlGHOExLaBx4Tr6GPJX5Yq&#10;nxDYEd5z+qI98RWZx8SJUxR3rlixSuM1gkdnSVzlKoI9iJGDHjsSOxa37hrZFLLHkhRTx4stSmMZ&#10;vW6DBg19w46heDLEmDznfv1X/rjLfi+xcnzNiMe0SHxk4Gh9Q34rhcGJBWmL7DGzV788NtRm90we&#10;a24FqS9N/+d+4jc/xy5N7yiYa+nGB8H7C95frDVg+wl7Dr7cxKMhRjLYkZg1YDd4xomNTTxsi5NN&#10;/cyZszWmIvJG9MrIjkYLlyVxFuEzT09vpfnAAYOUn5L4igP6D9J+4ZYkXvfKlau1PXJE2tMvdZzb&#10;uXOn6q7TW7XWeIoWX1HjOEp85SlTpmncjrS0mmpjCfc5/jPorBMhdwSXDZ6JX0UIZ3j11gXZ8+Np&#10;UxoxYUHnDHasI1xLBW1f3O36TflW3mlInvz2pdjY0X4rxosQyZ/A8V/+slx5tLZsydK8X9+BD/Ae&#10;FJS/ijVMW3JsMMhJR4VbAK6uaONbHXP04knKNm9y2nmPrS33GOu/oqTV+4nf/By7pL2HYD4BvgjW&#10;wOO5BmxPhP8H3snJk6cJt3gbjYM4ffpM16VLd/fSsJEqNwRbggWJf4hOjliK1JHAm+A96riO+Ikn&#10;T55UXLd27QaNH4JMkfiKyCRbCSbEzo1r6R9cSZk43oxh56iz+IoLFoR40cGrxNHBz6K/+CTgM4P/&#10;Nhw+7LeG04obZ8DNY9zgA6d/o3jHxiI3O0tvXawybfNLsa7z1hf3/fnRH3pYYij5MXaI1zGEG1Oe&#10;jB1Pxn4jYC74V+Fp/eOP/2oiFsClSx+pPTEy8Fq1auu3FDGk8P3HhuJhvFTRztt15MaXZWWwI2My&#10;dmRiXszPeGItN37ZaDltDE+WFvzoJ37zc+xgn3489+ngvQfvvSSuAdsbZ86cK7K82qo7fnHwMHfi&#10;xEktE9sQnTBxELt16+m2bdvu1q3boLES4QMiETeR3GIgEj+RYzAdskziesOzAy6lLTaK+ErTJ3gy&#10;Mr4i5xhz8KAhem7UqLF6XZ8+/bXffXvx50l2XQXb4iNjuNHwW6KwSL02t+7JHt8LY1TkQQWVJ8XT&#10;jnEMbxqGTNR9Pqp+8R+uJjH3HtV43nGM17FSpdNu2dq9D8jc7HdBjpwO3PXvf/9b40X9/vvv7u7d&#10;3zQ9+2xHtb3w8k+1afOM8A81fIC3yrimLPde4y0b3xU565ukvFSSE5eqZcuM8PjMg/gE5Mzrn//8&#10;VxhTMl/wJXX/+Mc/HkjUWxswJPdZGvCjn/jNz7FL4v4RzCnANcEaeHzXgO2THdp3VrxI7EP2qh5i&#10;bzhadMTsYUOGDA/HO9y0aYvYPHYK72tWJv4hMRPPnDkTxnRZWdlqHwkf4/x5C8W+rYGep0/agi0p&#10;gy/JLb6ixVik7tChw9p2s8SQ0b1U+mrYqJHqypHLgMkSjRuRO1ZN/VKwo/AZPXFBx2NckxEZn3mk&#10;HIl66iy3srWPlVs/Km9C/iTJiz0Tfb9enJXIMr7W27K3PXL8mPTERf0O6D0pehxCfhOm7wU3grPw&#10;U/nrX2+777//wX377Xcil++hctPDR97Ow0/VuXNXl1qzpovFW+XlpYrksuLYriMPxaK/qN9afI+9&#10;vnu3xLpPk++vee7rb77T9MWXX2nOvO7c+VmxJHOlTI5egXmTfvjxp3CinvNgT+4P/Mg9l3T86Cd+&#10;83PsYI9+fPfo4N0H776krgH2C/aRwSJzRH+9a+euvPqye/gljGU8sQ5Vrxbl2It1rJxHBxfZp+f4&#10;woXzipeijUdfPXtkqq7c5HHI4hKFcZbm/OCSy+MrI7hRUnL5c+7Ye1/o/MDYJkciR35kuZXtvMmW&#10;7Bh9OwlMQG71ltMe7GzJcCa4kmdQFvAjPEuNxMckUe8uWr/3fWROuFV7/5tH5mjfUeTI4cBTyObA&#10;Ybc+/8LduHHTXbly1W0V3xhiDu7atTvMXWWcAtgAly9f7gFuKriqjMvK2hpvFceUya0N/FbYfqAD&#10;wI6DMjk2yO3lO+/Sh5c1XbyI3cYVnRtzBFOCJymTf/rZLT13Q+b+8dXrmq5dRx/+qbahPb99ZJTo&#10;r0s6fvQTv/k5dkndO4J5BbgmWAOP9xqwfXPp0pWKH2fPmptH1mX4D7xWkGQ6VsvtGuunoLldZzn9&#10;ZW/dpjHfEq2/PZD7veBFibmjuFHs4+BRL/eeGzrnB8V06Ne9vOaUkStZbjIm+M2ps7bU5+ae1gQm&#10;OHXqVB5edOsD2RMJHb4XX4IjSzt+RGeNT/KwoSMeKXZUzs57fvOtet+Kih3BT+AoZI579ux3O17b&#10;LXHos11Ozk63Zs16jTdfo0aNMP8A/AAkbHbXrl2n2LFb1x7KQ7By5WrFe6tXr3VZYuM5aeLUMP8V&#10;7SeMn6wJzoKcnB3KKwBfwWaR78N5YPhy/foNbujQ4W6A2ATXq/eUGzFirKbhw8e42RIPAEz7ztF3&#10;3cKFwpUvuHDTpq1uy5Ztii+PHTvpsD+ZNetVkWF+oOkvS5a7DRu3KLZEJmmyx5Kuu/YTv/k5drA/&#10;P977c/D+g/dfkteA4cd9+w5qLAs460y+BU7zlg23FTY3LGnX2XGs3NpF5sSxhusnmmypuOrWv/nX&#10;e7hR4u6U/1li79x1lVLuuF2HP1F9IjIhkxchb7J93mRHJl+ycxxTJsfvh4SvOTl1XG/nKSN7IocT&#10;HaxpGBTZZGnHj3PmvKqxyIvrXRWmn87DLV7QWXfhs/8bxo+2/g07/iH+J1OnvCI+XhIXMKOt6y08&#10;jmC2VyR2Z2rNVJct9r/ZonN/SngC+vTuJza6Q4VzYKzyRz0ntr0vT3tFOacGDx7q4AvAHw0ugY0b&#10;NynubJneyg164cUwX5XxX4EjFyxYpFwErAd4DOAdgMegRct0wdyV1I6Dubz00mjFhB988KFiRfoA&#10;R44aNV6uG+/On78otsE9BO8OUftijsGP2Brvf+twgB0lLlBB/5MD7FjwZ1XQZxq0C55psAbKxhqw&#10;/fPkyTMaJ+OY4JdI3ObnsWEE9HfYyyG/srrizkP+1cQ8Fl11hd8EN/7s3jz6hdhgHhL50zq3dOly&#10;5RMybnT8zZEzsd+T2P/BAXBjwn9Jwk8drkr4M7EtJd+8abPbIvacyJp27NihcinwBfX0DfdLzvYc&#10;d/z4cdVhIodUXiLR8yOP5X0U970nuj/iNFcSLu3FwomY6LEi+w+91zPyXk+4lCc/CvM72toHO3bo&#10;0MWNGTPBTZ36isj6Bqu9Lz7+YLK1azcqv1DjJo0VC/bo8bzDx6xnz0zBlmMUV/Ku4TCdKZxWfB8g&#10;dzT8B35MF9wIlynvH/4p2lFHmfZwRcJ/xTqaJJgTjApvFm3qCy8m9sLr129SOejevQdUb42c0bDj&#10;yJHjBM8OcJMnvazcBEePnlDs+3Sz5q6ZJPgi0V2js8bmMdBZP/z/O8COD39GAQ4InlGwBoI18OKL&#10;w3WPuXTpw0e+v0fu99GO09JqaWzkaOeKqy6p3AXFjq9u/kntHLE3HD16nMpt2NvZ/9EnonukDF5A&#10;xrRbuNDZ3+EnAvshm4InvW3bdsqZCaclOIH24A2wB/Ip9JjbBSfCyY6vOfpLbNzQVyLPRAaJ7ht7&#10;SOaC7tqwfHHd86PqB45HYrG8KPK0RzWmjTN45g/yXkM8PakNrj+AH+HDIY0SDIbf9IwZc9y4cZMV&#10;d23dmiPv7TnFgnBO8f6HDRupXFPo4NNqpUmM677CadpVvy94Z/ADNH36afk2eE15qgYKHh03bqJb&#10;tmyFHrMe6AduKr6L+C6hjOx57dr1yoEK9yry2iZNmuraGjNmosoWN23KUptG5gV2BBOOHj1BfdDI&#10;wbzLlq1SvXuP7r2EN3WQ6rbBjdhyoq9GP1/S9dXsSX7iNz/HDvbjYD8O1kCwBkrLGiCuIbF6ke+l&#10;p2c4ZEWPAkcyBmOBLchXLF8VFVs0atRY2xgeSEReKekjxY7Pj/tccRr+O/ifYz8GJujUqavKD8GJ&#10;4EVicvfrN1D1i9Qhd2Q/h2OIODpgReSLyJ6QRSFjQvYEblTsKOW+0hYsAWbkPNgK7AiOAFdgD4ne&#10;2rCj2RIk4v4T3ecA4emsJXyIvOdEjxXZv5cfvFqdG+6zv4b018gfWff4jU0U+0Te4/kLYtt67oKW&#10;d+16Q+xtq7oWLVqKLruN2qOyHvr07q/y6Lr16rnqNaqLXWJd/fYC+4V02kO0LVxVcFQdO3ZMcSH9&#10;cz3yZOSBcGFNmjRNMR9rhG8L7CeRdaNrHjF8lM5j2LBRLmfHLvfWgcPuwMG3xe5xnmsj3ybYZ6LL&#10;Rl5KGd8y9O74Yjdr3sI1l4R/DNw+kbiRey/J/09+4jc/xy7J7ySYW4BpgjUQrIFoawAMuXz5GtdR&#10;9Hjwcid6n28v+2eTJk+7Xr36ioyuq6tTp67iV+wbGdvwK5iqfv3E8ks36QSv43FXpdqH7oMrn6v/&#10;+ZixE3Tvb906Q2VJ69Zt0BxcB55EvgjnOZgA2SRySPSZ2DRyTJslS5YpPnzzzTclLslSxYbgQxLy&#10;KTAV3On0iWwLzvXDh4+ozPHixYvqqwOOLY1yR74F4AZHB48cjW8TUiS2exTH7YfiD3VKkti0Vrjo&#10;Jq76X67Sk7+7Gg2+dYePXnAHD73tFoj/iXElzpu/SNbfZZFJVtBvCOOZIuebgoQMefhLI7XNjBmz&#10;NJbn1KnTwz7z8Fy9+up8Pcb+Ad24+dNTT7K+yF977TXRnU/XfpYuXaHfDaw9uKqmTJkuv83VYgex&#10;RvXr6Nix0aSOnPOkW7e+UA5IfH+ys3PC3I7IG/ELMn19tN9/SarzE7/5OXZJegfBXAKcEKyBYA0U&#10;dg3sf+uQ+tEk0k8FGWd29o6w/APsynGnezjSxkb/i14vkRhj3euGLY671n0+V/tCdI3gR/h10Afi&#10;C81evnjxUpUdISOaKTG3wY7ol8F8xN1BXkgcHvOfDsmWMtzqVWtUtoR8iWtM1oQsCv8L0ijxlwCT&#10;IG80W8fS6GsNL49hRfIqVarocXJySkLfY35rpO2ArwQ7nlT8GIo9KTiy3JeucvVr7oXB49y4sfK+&#10;RT/c6/m+Gn8QvNWzZ2/1EQe/RybkwSS+s3a+tvOB85Ht8zu2vqyNHbdo0cqNHTspHOeGOXkTfj6R&#10;yc7DPUTyxpQp6fJG+5/yE7/5Obbdf5AHe3awBoI1UFrXwKncs4ofEyWDRFed2atfGDt6n5ONjZ4T&#10;XwvkV/nhgnjPwcNTp+lLgivg5znhaja86kZPWqp6aHjRidGN7eFrghHgNscPgTrkSO3bd5LUURM+&#10;suA+cuRKoXOc7+TmiuxN09yQvIn+5t4rc9741uFrP3LkbcUiicSNZj/5sNz7bB/WlvPIjFkzcCxx&#10;jD8I90dudQXpx9vGO4d4yq+s+dalVLghmDHEG55c7qZLfuLvrlq9aa5/v5AMmNhJ6LFJ+Pnv3rVb&#10;5b68i2iJdhtFHhntXLx1xMxu3Lip4j8wYEETNo2W8AkqLfJG+w/wE7/5Obbdf5AHuCFYA8EaKO1r&#10;ABkk+mSTA8azd3uvRSeNTOrmzU+j4kfq4Rwp7nG9c6A8SHxV/ueJJ9yf//Qnl5K65J5cCv31x2H9&#10;tcmDouUmI4JPx8rk3rbeeit7z4fL92LogDnMtxoMFTnneI8Nl8XiTDLbSmtXkNz6atEiXfxHuiWE&#10;66kg83hYm/0nv3OVkn4TzPidS6n4u6vX7lf34VXh2b71mab35Tuidp06brn4t/AOHpaQsb4kumu7&#10;f8ttHnZclByZN7+REydPK583OLAgybCiNy9N/0N+4jc/xy5N7yiYa4BtgjUQrIGHrQFwHLaJ2OfF&#10;i1u819Mfto6xxjcbSNN/eq+Nt7x9+3bh6KuqPp3kK1eucvC63OcFPO5enPW9YoeCyI8sdmJB2kZr&#10;48Uo4AzDHvHeJ9fvP/WDgy/b+qR/xos2j8g677ysHNnGe4x+utfzfQrUt/e6h5Vt7Gj5w671nuf6&#10;Pce+cpUr/SK48Y5+H1ifnwh2t0Sdlcl5v95jzsO/hA85nEz2bIszhzuLte/FgEUpx/p9ldR6P/Gb&#10;n2OX1PcRzCvACMEaCNZAUdcA+LG49dfwNrI3gh+jyR/RXWMHSU674sBR9NGj5/Puz3/+UzhxDJYk&#10;wbVXueoVlT/WbfWJO3nha7dk+49u34lvH5AtFUWWFO2aWHijOO531obbqpet1eKuytcYHyyFrNNi&#10;IEbLw7LQKLZ+nDP5Kbldv078iYgjg8+Q1XnbFaTMddbO20ee+YDlPPOivXdO3rL1FSv39pOnHDFG&#10;nnOMLedTUpJF1z1QcWNxvKtoffCbw7e6qL/b0nidn/jNz7FL47sK5hxgimANBGvgYWsADIcssLHE&#10;Jy4uG0R01+ilq1arpjgx2hzGj58s/EGtiw07oqcGO4IVKbNfWKI+tcnOe7pruAHvxyvEDxtfGvBk&#10;LLwXT3007BBPHbgxpeLfXXL538XG73dXq8Wv7uLlzxWbYauJbabF3I6Mu20+wfjsXL16TX13rI4c&#10;e02ut5zrp02brjGg4cacPXuunqcNyXuN1XFtZPL26W1nY8eaj/VPf1a23MbwzsPqrF9y+rbEPXvP&#10;WRn/evh5kDciY73w/vth/Xw87yrWtfirwyUU7XdRVuv8xG9+jl1W32dwXwG2CNZAsAZYA8hBilsG&#10;CecdenHkjN51Bt8xYxV3bBlsHOHBw08GvPjss88pjgRLDpt2VDBjiNMl5JMLhgxxTIeOz7kxC78u&#10;NiwbCzfEW9+w413FjMli10fMnORyv7isfV8pXsMPnPiHFnObnLjb5PiKm584zwe7u4sXL6p/OfyE&#10;+JWTaGc58bqx+ytfvrx+W5SvUN7B695FbB/r1q2rsVKsrTen7E3ePpmfHTMfxrb5ULbE9Zy3frxl&#10;qyOnr2jnrB/6jjUG15HwuUe2On/eQsXEyEaR4yLP5bsh3ncWeT0cR8jcvb+Jsl72E7/5OXZZf6/B&#10;/QX4IVgDwRowGSTyQGSHkXteUY6RP0bKWDiGH7Ao/eV3DfaNXr01MkhrP27cBLURnLflttt+6CeX&#10;+8G3bnH2D6513y9Fjvf+PZnkKVe9zjW1I7TrSlqOX0iVKoIZy/8mcfl+cd3H/qiyNPAR/JMWcxuu&#10;cxIc5ejsLb628ZSDKY3X0uJve+Nycw1xFbkeHktidxPzGa7sGjVqqG63fPly4rtcRf3Rt2zeouMw&#10;fmSMbxuf3OZDG4u3wzyYD5iKe7D5WHxx5uUtc2zjWN9WR06iD7tX+rUx6N8S7eg3Ozvbpaamqnx1&#10;o8SURJaJPjxR+BH5PrL+x+k/10/85ufYj9M7Du41wBDBGnh81wAywszMfipnKg65IPJFZCz4dtu6&#10;Gjz4pYTFlZk9e47KHsGR4D4wo/pcixwSnBENC+JzUi2NODQnNIEto7UrCXXIwcCPDTr84vpN+0kx&#10;DrxAcEzCMYSvB/EQjV+SfJLEWIFPZ+vWbMWTlMGD4C+wHNcSm5E4OcTQmT59psZYHCd8mINeeFET&#10;58CSxFu0WN9wV8J3VCM1hCXhe+ecxXqkT2vLPOA4WiLjMgaJeDyMD686eI73Y7HCiR3OvHfs2KHz&#10;Y2z6mjdvgc6VvumDmOPMn/5py70Tk3rixCkaB2jKlJe1X7tn8DTxgYj9QxvGJ80SXk9iBlaqlKIY&#10;Ftkj9o/4zxS37JHvpsjvKfttlNXcT/zm59hl9X0G9/X4YoTg3QfvPr81kJnZX3lNiiJ/5Br2R7N5&#10;ZBw4wsePmxTKZd8vbv/uSFyHzLFu3Xpq80julUFGtgU7NupAHBqw4xn1zY5sUxKOvXaXYBqwDRgH&#10;LsoJE6Yo/iEmYnb2NteyZbrGyeE9EHsZnAYuA3+By9LTWymO3ChyNuJ5gxHBhcThI4Y3x3C4o7MG&#10;Q9IvbeFAJ9b3nNmvajvwKO26dOnmKleprO+c+I1t2jwj+CjDjR0z3nXt2l2vGz9+ksZYYQ7gU9qB&#10;29JbtRa8t1HlhdS98sos16PH83oNsVmIA8nYYEXihQ+X2H60AzcyP8bv3r2nYkqwI+tuhHCNgneJ&#10;Pc4YYEU4OjnPtchP69ar63bu3KnnGQOeT7jOs7Ky9bkmSu4IX2Z+XAT5/S5L6zk/8ZufY5fW9xXM&#10;O8AHwRoI1kBR1wDyR+SGBfWhQTcIJuQa9kb8YczXGjmL8jPLuTpqK1d8fjKRuA77RtNdgxs5tmTy&#10;SO81mRO/C8sc67X5qsTKHJmz4UfzrUa3Ck83MrSpImMDAyF/AxuCnZDTgY+IAzla5ITgxy1bshSv&#10;gdk0/rbEvQFbkcBVHTt20Vg4lE0WSWycUSPHKp4DY3IdGA88R7uVK1frudp1amteQ+JCo9tG5lyr&#10;VprOBwzHdcR6JJ80eZrqjMGRxO/RGI4y/10SX5z7AOuNFuxJ4ph7svvimPnSD7iSeVIGK4JvwZzI&#10;Gr3YkTLj1BGuxydlXlVE315P8COxJMG6SUlJKg9PtM7auAi8svii/kZLy3V+4jc/xy4t7yeYZ4AT&#10;gjUQrIHiXAP4tWCbVRAbSHy1wYyReyJ2lK1bP+MayXlkkuDLRModvdjRMCQ5ewh5pO56+tofBTue&#10;VvyY0f+bEo0dDT8adoRnBr1xnz793cABg1078Q/Cjg88hC4Y/IUcctjQEcLR2FvriMk9bdor0n6Q&#10;tsvZnqMxuLmG65cuXe6GSUxuyrSlv/7yzsCm4DLrF6zGOWJ9890A9hsnsuUuXbqrDhpM2axZM7Ul&#10;TEtLcydOnFT5JHJB4nxzjO/MsWPHNM447w3Z5PTpM9wLAwcr5kV2SRwY2vfq1UfnzfyYK/fEvDp3&#10;7qoYlDpiiXOf6MCRt9rzYM4Zbdq6auL737BhQ1l/gyR29SiXWjNV1mVjwZD1XEbGM+pDlGhfGX5L&#10;+JAV5++0pPflJ37zc+yS/l6C+QV4IVgDwRpI1BrABhK5IbE5YskgwYTImMCJkfOAq4dzpFjXe+WA&#10;xV027kfsHrF/jNY/PjPorFOevFSifWUMOyJ/NPzYoUNnN3XqdIdt39OCsfA/BnMRX3vVqjXqz45N&#10;IHG4qdsqOlnwGjgQ3S1+NiNFpthAZHJ73nxT9dYcE8MbeSaJfpGXcQ19IHOkjJ8z7ehj9uy52gd6&#10;b47RpXfr1lN5tlPFJpL1U0n8mZFDtmzZSv28jWOnr+iL6Q88mZHRxuXk7FAcRx+U6Yc5MG/6by1t&#10;yLkv7pV75v6QK27btl1iJWbrMT7UzLe3yNDT0mo6YuTYfXFN4yaN1Wc8Q+SOe/fsUe4ibAF4tibj&#10;jbZe4qnjdxD5fRX5mylrx37iNz/HLmvvMbifAGcEayBYA4VdA8bjE81HGkwYTZYC7mSvBFsS7zqe&#10;Pbew1+I3Y34y4Mf8ridOS1K5c4of67T6JN+2+fXzqM4ZrgHjLFywWG0Sx4yZ4A6Kvwl4bPRo0fUK&#10;JyMJ35ENGzbfqxuvMbfhNsR3BX025U0Sv5lYKpQPHTqkxxabmz7oF/7EUJ+hvvE7YSzacd3p07mO&#10;OVAm0T8xvSkjR0Q3jRwUGSn6YeV1xCdFZKfg0vnzFyl2ow/jZNy8OcuRdu3crTEF6Yv5he5vvGJm&#10;5sHcqAdD29jWhjlnZLQVzFpL7SOJQc68uWaT+M2sWLFax1X/GJmL+cfwjBPxPpG7Ip8t7O+vNLf3&#10;E7/5OXZpfmfB3AOM8P/ZO/M3KYpsYcdfMizS3dAsDcjSgOwgAoIIioisyo6gNJsri4MOjoqKKCjK&#10;quyIKzAsstjsiIBso6KOOsOgzOI3zr3z3Dvz3C/e05wyKaq7q3qLqu7zQzyRGRkZkRl5KvOtE3HO&#10;MRkwGagoGUCviB6R7x/zlPpthR2Z24YVtS90K1pX61Vljq/H0uxkotczbOZFz45Ffh9HzfpD7N6i&#10;ddJpW/mRXOPKwGHReCvwEPuU6zHdTiaPthXd1najbSfTntTxer26dX3cc59z3dFEmdaRbfa17Oo9&#10;RPuJXlO0PLrNWgr669WrzzVjE6tztQ+uQ7mxMp4zvxd0r/wmEunn9XdTHfOQ/Bay7+r4LO2ejCdM&#10;BkwGyiID2L8MvnuY6BNhSHRGfBfRL0bZsaBgpjBmZXyHy9oma+pUFwlXxrfTtN0Z0T02aHTsumPx&#10;ddNhX/lR56+jHBZiG/YqrV/qNMnLc9O8bTjbXLsmPZ88mkprs7jj+O5p6vWN+HFMVCfaB9eg41kZ&#10;zxa9eyLdfFl+g5l2Tkh+C9l3pj0nu15jApMBk4HKlgEYcvToCaJvVNvqaJ/oHSsy7mB5v+ewIt8R&#10;2FEZMn4ue+Ga74Qds2odzAh2ZEyUd5S/QuXx1xHd123NieOCHbTuJ5Onel+s0+T/DOswizs3Ub/l&#10;lbPizocda9pctb4PQvJbyL71/i2377HJgMmAycD1MgAnRnWOjBHzcszRsdaxuO9pVZVH7WXgRvw9&#10;wpDELdyy+2uXf+tZN2bOl67HCOatd/hYf5nDjjqGiTgoHcuW+vWLOT52tF5bZV0/8RPRi2s/peV6&#10;HZWV8z+KNcM18f0Rkt9C9l0Tn7Xd8/XfRxsTGxOTgdRkAN88rDerrO9xsu2y9pEEN6rfHtgRfz31&#10;GxwRXtS4MuRNbzoV/JqTvbdMq8faWOxWKvu6u3a9Wf67VHY/ybQPwyaK7V5T3ich+S1k3zXl+dp9&#10;pvZdtPGy8TIZKF0G+GZWtY11/PdcmRF+xP6a/cIDRbrFNr01psxOz5D7fEzrM2kbWyb+vjJxn5g3&#10;xK6p7GsnhjVz1lGbrsruM1H7+CWoifYx0XdjSH4L2Xd0DGy79G+FjZGNkcmAyYDKAPPZfMOfX1AU&#10;YzrR9zXVMubCU2UCfDvGr2+kX2ISNmr2SzzrnKzjae/jMdXxSqf6yMJy76+cayJnbrleVlalsGRo&#10;dlQbsppmV62/fc1D8lvIvvX+LbfvocmAyYDJQOoywDoveI/5Suyyy8oyxALGLgcmYC68otZSwo+D&#10;pnzu9Y57ZP46t5H3/+fLynqddt7vix27PB9jhhiJT3tbmebNb5RnyfPEfibVcaMdYly2bNVK2kTX&#10;qG00aNDAtW3bLrav5VWVw43IPPZkNf2dEZLfQvZd05+73X/q30obMxszk4FrZYDvvMS1vuofsizc&#10;h73BggUviR0O/iThyES+ysvKB0U+HncJP7Jd1nbsvOLZkWeYnZ3t7WXqx/5PEKOyQ4dOKY+3xkbn&#10;PwX8SZuD7x4qXAo7pqqbrsjnxhpHYsLbe+D/xL9BqHEwdrz2PRzqOVi/9hxMBkwGyiMD2GOzBhKG&#10;gB81JfPd5hzmwLX/ZctWCTPceuttKXNHcf3d1E/XP+53xJsprp6VF8+HJY0NumeeF2ylbAf/M3dd&#10;0nnxx9AxNmrU6Jq1tKyLgCGRL9gx/pyq2tfrwI+VympNzkPyW8i+a/Izt3s3TjAZMBmoDBlAD4ne&#10;MDc316F3Sua7Dm9MnfrQNd9j9I8VyY47D1x0WXWK4hPmNv7U5q79usRknk156rCOAZ1hdM65tPay&#10;vZ8f5qSVP7U+3IZtVkWur9W2k82R6+eee/EaOa2M31CmtBmS30L2nSnPx67TvvEmAyYDmSQDo8dM&#10;EH5Mdv6auUnmvaP3iO6RdWXJfteTqTd4Gn4esbve4Tre+XmFtp1M/zWxDjEDb7utf1JjzVrJsqyP&#10;rIpxRZbRfUZltKZvh+S3kH3X9Odu9288YjJgMlBZMnDbbQOSjl2o3+XoXCDbfKuZ90QvmSyHlsYR&#10;LXvo3PUe89lTBbpHnl3bJH2B8h8iHdkR2UPnGf//prJ+O5nSbkh+C9l3pjwfu077vpsMmAxkmgwo&#10;+8FyGhu7OK5Tdoy/R2xZ4UfmvytKB4mdNfFl0D0Sc6a4a7LyipnT5vmhTyxtPNWvD6xZWt2qPl4R&#10;ttX/+c9/XKIUL/OZtB+S30L2nUnPyK7V2MFkwGQgk2SgoGCGcB92MPBDSWsX0TdhB5Ho/tD1oLei&#10;jfL4AYryRsOmp4Qdb59g/nqi41IZ2/juKYkdYUZsqIlnWJH65Yq+l6g9VyIGDFWW6DdTVWUh+S1k&#10;31U1vtaPffNNBkwGapoMXPZ216o3hPuwwy3ue858IGskE40R7RQUzBS2LIk/i2s7UTlrHdE7Nu/4&#10;abHXlOg8K0tdF8kz69OnX7Hj3KpVa9esefMS5SP0uMONxJC5dOnPMd3hv//9b/c///M/sfSvf/1L&#10;tsl1O3pct/V4NOdYdD+6refF5/SvvJrod1MVZSH5LWTfVTG21ocxg8mAyUBNlwFspkvy14g+ERvW&#10;kuJ0oJdUu+0LF847UrJMEV+3QcOiWNfZ9Q667kOLYtAk25bVS40f+V/QrdvNCZ9VusQXLO6Zzl78&#10;vcv61V9c0/ar3MmTnwmrwWyw3X//93+7//qvX9LPP/8zth/djtZhm2Okf/zjH5K0rpZH6+ix+DbY&#10;p3+uQxkyxDsmJL+F7DvEWFufxhEmAyYDNU0GZs8m9m/uNXPOyn+az51TFB84qttRvQq5+o7U+uXJ&#10;2/bFXmZ7LOVkf+J2Ftr8dXEMVZZy1rCyFgG9I353ErXBWgTiYCc6FroMbsyu+xeXVdunWj+4IY/8&#10;JHpFmE3Z729/+7v761//KunKlSvXbHMsejxa74cffnSaoudF67Ctx+LbYR/25DpC8mNIfgvZd017&#10;f9v9GrOYDJgMhJIB/OIxd838HzwxbdpMt/XDre7s2bOSzpw943r3LvLnonN26FRIzNf96U+XfLzC&#10;9m78uPsddUtL0Xa1rpadP3/OzXjuC9fxjguuXu3dPm13N3Y77Y6cKPLbgy9I9JGNW37i8vJPmC/x&#10;Mthjs0aB502MmFtu6XUdH+K3Bz/fMGZoTkzUP/pG4ca6V3zuk+dHuBFmg/v4j/P993903333vfvm&#10;D9+6r7/+JpazzTE9rnW03sWLXznSF19+dc15HNc6tEHiXNrRY+zzW6B/2JLrCcWPIfktZN+h3qHW&#10;r32/TQZMBmqiDKA/xHd4cz+HXbduXUkFBdPd6dOnJe3dt1/8Qg+6657Y/J/O1/HdXrd+s6yNO/Hp&#10;SUc6eepUsUnbjNbRstOffeY09RvndZC1t0rKqnPENWx2yeVkHZf1kKyJJDW68WRa8k0i5kmXMuxe&#10;WMuY6HrU9gm9ZKLj6VAmesfaPwg3Zt/wo3t69f+LcSNMd+78Bf//5Zz79ORp98mJk+748ROyTU7i&#10;GOnUKS/bn525pp7WOXr0eOw49WiLxHFtk3Nph32OUY99+uc64EfVP6qevqreLSH5LWTfVTW+1o9x&#10;gsmAyUBNlwG+a6wZe9brH1977Q3XvPmNYkNRt24dv87xI3fs2HF39Ogxt3nTJtFHPfXUb91PP/0k&#10;iTk6tsmpv2PHTnfkyBGpzzmJEu1FE3V0/8SJT52m/YdOu5uHfubq1Snix3q1f3d1Lnu/a9njvLAj&#10;Pn3SgWcy6Ro6deribr75luvGjf8O6Bsryma+ssaENRF5+ZP9escr7uk3f/b/VU65519YJPo+uA09&#10;+ty5T7o5fq1F4YFDbv2GzY61Gfv3F8r2q6++7kivvPKqO3zkmNSBlec//aybOPFBd//9pCnu+edf&#10;Eh6EF2lr0aLF7qWXXom1SR8zZz7qPv74oJQtWrTEt/ma8OXnn38p1xNK9xiS30L2XdPf5Xb/xjMm&#10;AyYDVSEDqg9p5+ecYUb4r06dOvLdI39i7jz/zd3v9nm948eFhe7ZZxf447Xdrl17ZX6OOTudIxw6&#10;dKRr3Trf7floj9TnnESJdkjRY/RB2cGDh2IJBh3x8HmXdYPnxLrve4b80Osgd7ouQ/7oVrz77VX9&#10;40du1fvfXsdBlcUt1aFdbKOwn2beetzYiTJ22Maw7jWd9Y069rAj147ssmYC/Xd+mzbuzJlz7sLv&#10;P3cdOnYS1uvdu69wHTkJdoT9Jk0q8HL8ghsw4C536NARt2LFm65Dh47ex/gDbsb0R4T/ON7Rt4Me&#10;cffuvXJc2RIeXejboU3OW7d+k/TTvXsPz5dLhB2Z8758+Ydg89Yh+S1k31XxzrQ+7NtsMmAyUJNl&#10;QLlx1qwnxMc3c80bN2wQNuzZ81ZXu3ZtsYP54IMP3Pvvv++2bt0qOba5t99+hzt3rmhukO+1zt21&#10;b9/JDRky3Ok55LpNG6RtW7dJTGS29Rhtk3bu3CkJ/eXevXvd1h2FrlmX0y4ry6cbTrvsGy65TTsu&#10;yvrHrNpFMbC73H3B2DHFdY9qL4Pvxjs8Q8Fi6ej7W3kxmqMXxT8A8qu21ZMnF7hOnbu4jp06i858&#10;8ZKlsnYXveCA/gNl++DBw8J2kz07om+E++C91vn5wozoGtFH6vzzXQMHS3sw5NAhI93ixa952R4h&#10;dWgX/0YPPfSYnN/d63Gph46SuWzWQP71r3+1Oev/s29MTf7G2L2b/JsMVC8ZUG7k27v9d7uFHadO&#10;nenn3g56n43TXOfOXd2LLy50L7yw0L399ttu06aNfg7vRcmXLHlN5jZXrFgt38q1azf4ue5lbvPb&#10;77knnnjKNW7cWM6d72OWrF2zxr333nvSzubNm+V82n1nyzvS3urVq92SJa9KH2+++abXC70sfLl+&#10;3Tq3ZPGrDn3YOx985PnxrKvf4Gu3fusFsd9B99S41YmiNY8tThg7psiOymLYRuXmNsgIfaNe84QJ&#10;k73P8mExH4roHtGD39Kzt7v33jHu6d8ucG8sWyksB8/t21fo+va9Xf7fLF263D344HSZi548eap7&#10;5JFZUm/v3v1SjkyjM8Re5tVX33AjR45xPbw90ea335U2aaegYKYbNuw+iQV+9Ogncv64cZPc44/P&#10;9XL4pax1xGYn1Hw17+qQur+Qfdt3qnp9p+x52vM0GUgvGVB2JOfby3eyabOmXu+4UfR+/W4f4KZP&#10;e8j16tXbwXyj7hvrevpvMwz55JO/ce1uusnd1L6jzP3xfUaXgx7npZeWeF0l89/N/JzgQNe+fQe3&#10;cOEiOXfD+g1u3dp1sXaw8Z037yl3372jHcfYpj9Y9Te/edpv3yp6SfSUH2zb597eelzscLDNxh57&#10;+MNfX5233mfsWEZ2bNGipegclcvSPUdfytz6smWrYuyIDGPPjK4c3SPctsb/n2nmZZD1u9g/E8P9&#10;vfe2+rnseZ4HR7vVq9e6t7e8J3XYp870aQ/Lecw10wZreGkPJqWMNmfMeCS23a/fHbI9aNAQmTM/&#10;d/a8rN9QG2tsyPhvxvVV9fsvJL+F7Luqx9n6S6/vmj0Pex4mA5UvA8qPsCPf3jZt2vpvYL6f3+vr&#10;1y22Fn0hLAf7tW/fXrhuy5YtMreJbrFWrVqyNuzNN9e5LVvel/Vj2BQwB9ikSROvg5znmEscPuze&#10;GBPCobT57jvvCEPCiKNGjY3wYm/pF50l7Ag3ontkDSVrIZlXV3bsO/aisGP2DYeNHcvAjv39ugNs&#10;Y0qKK5RuLIkP+vgYmSrH77z7gVux8k3R92F/Ne/J+WLHxdwxtjQk5pglzXxM7FvmzZvvfREdk/nl&#10;Dd6mhvPQF5JYR0l7b3t9OvvU27TpnVj7Cxe+Itvbf7fL/0aKtqmHbXVIbuTdGZLfQvZt343K/27Y&#10;GNsYmwyYDOh3F35c6b+T6B5Z93afn/tj7SF+Hbt1v9nbrj4v23Ac9riNmzQWu9N33/1Q5uyw22UO&#10;EH8lrVq1krWSmzZucgsWvOD6979DzqUtEmypbXO8fYcORf106y45x/r3v1Pqvf76G2JTw1w633V8&#10;+cCOvUd9cVXnuMNl1T1q7JgiO/Icc3LqZxQ3FsU4apgwxlFUjvkfBLtpggETJRgvvpxzOF+T/q/S&#10;tvS45vF9aXkofaO+00PyW8i+9f4tt2+byYDJgMlA5cmAfnPJ+Q726tXH5TXNE1ZEz8e83+hR48QG&#10;mrVxMFy7du1lzhp7gFne9wk+H0+d+kzWf+3atUf2W7ZsKfrGO/y89fTpD4utgtpX9+lzm+gQaW/R&#10;osXiE4V22ebYM888533I9HCvvLzYc2lHv5Ztt/jwOel9RqrOEd/gRT4e97g7JhX5DU83HVk6Xw/8&#10;j018RV5jsvGEyton+tFu3rYl0fsgKsdwG8ynSTkwmVzPUfaj3fj2tE5xuZ6b6Dqrqiwkv4Xsu6rG&#10;1/qpvG+Sja2NrclAZshA9Lu7atVbsm6sgbefWLVylRs48G63Z88eYbcxY8bLWrEmXufI2jLWe61b&#10;t8ndffdQd7vfxk6VtV7M7WHLkJeX5+65Z1jsXPXhOGbMBHf8k08c7WEf8+tfPyl12OYYfb715hrx&#10;8/jgg9PEzkb1jaxzhFHq5xwWduwwwGysU2Wx5cuWi86xIvzxlMSLPKtoKqluace4x5LYUd81UVnW&#10;bVgumaT1KyLX6wmVh+S3kH2HGm/rNzO+dfac7DmZDFS8DOg3E33K3Z79cnNzPcO9VRTnxc8Vw2+z&#10;Hp8jMWewrWG+LzrvF93m2NNPPydtPPPbZ2PxaWhD48bI9tV2Y9saV+ZqPfSMmpQb4YjGLU8JOw6a&#10;YjrHVNkRZiR+TKrnResr6ykbnvXxK/U5lSenHW0zmtPfNu/DCV9Cpf32VY7Lm0f7SaWt6HmhtkPy&#10;W8i+Q4239Vvx3yMbUxtTk4HMkIHo9xE9zahR44X91q5Z6+eRFwgb4I+RNYvt/Lw1tqmlzQM+88wL&#10;4nM8yhPwQSLW0PL4XJkRflB+adrupLBjbuNPYmV6zPLflzgmrHXM9n4dU9E7Hj35hRs155IjV27U&#10;Zyj/Ba7+B2BdgSaNTxmf6/H4/Jr/D/qfwv+XUNmZ6+2w4u1k7N2S+N0Skt9C9m3ykFgebFxsXEwG&#10;TAbKKgNRNixp+3//93+dJuJroOtBBwkrfOjZEZ0V7PinP10qdS7w9ddXyPnxOiTlDy3X/ZLyKBM2&#10;bFbEjtn1DgjPRI/ZdsnsiH11s2bNko49CC826/yjjwH4F5//IH7ZkQWYUbjQx5FkDQJrErBn0piU&#10;5IcOH44l9jVRj6Tn6DbtEJOSXLfpA64cP+5+74NxWql6x7L+PqrTeSH5LWTf1ekZ2r3Yt95kwGQg&#10;hAyUxIclHUPnqOxIrvw4fvz9YvPC+sbo8dK2u3e/RfgR++1z587G9FaJODFZ7ruxm49zXWuHpGEz&#10;L5aoZ0u2zZpSr733w5lKDBnhxlp/8fbsV1xWrSveT/ulGDfCgthUYeuksSuJB0S8Sfwq7dq1K5bY&#10;J3Fc60TjUrJNO0VxKYkRXbQNf8KYbdu2c4/7GEgquyF+U5nSZ0h+C9l3pjwfu05jApMBk4F0kwH9&#10;tqp9AOsXS5tbLu04sWfaeV1j3bp13YYNb5fYnvYXtUNFR9ncx5H7zTOvuM07vyo366ELy8k5bWse&#10;U/TNAx+jR07Fp2P9bM+NnhmFHWv/4NnxT6JvhOlgQHwqbd++PRZfEt+dxBLCFyh+3jVRrsc4rjEq&#10;oznz6cSjJCfR9u7dH4mdP7HWWUeLXKmMp9tvL12uJyS/hew7XcbfrsO4wGTAZCCTZEC/qcpv+JtT&#10;H3Y///xPsW0hV//H6su4uLLoOYcPH3WTJk1xBw8djbUTtZeJ1mVb+9V8wqSHXaPWF/zc5xU365Vv&#10;y82PeW3OCDtm1Sksd1s1ReeY7/2/d+nSNaXxgvVz6vk561o/CjcWHjkj88noBeE82A8+1JiTxAja&#10;uHGjxBBau2aNnxtfJ3GDqENcIhLHqadJy+BN+JKYlbpNnPO77hrs59mbi9zxP4f/Rch6Jv02q/Ja&#10;Q/JbyL6rcoytL2MDkwGTgeogA1FuhBnhwp9++kliqxFbA/85moi5Fk2UR/fZjj8nvg7H4xN19Lzo&#10;sS+/+7tr2umiy6rzR5/+XCH8+OiiP3h23OnTLrfi3fKzaGXzY6I5+qooW/bGcrGL6dr1Zokjg70y&#10;/SZ7v9SFH7uP+LM7dPy8e+qp+W7Y0JF+bvmg6AWJO9mvX3/xAwoDDvF+mYgzScxJ/IPe5GMSDRky&#10;XGJcDhw4KMaPlBMfmniXyprEM1q1apXUmTZtprvL+2vCPqtjx84+3uViY0cfMyaZd1VIfgvZdzJj&#10;Y3WSkyEbJxsnk4HqLwOJuBH+u3Tpz+777//o8OP99dffxNIXX37lNF28+JWUk8eXRc9hW+voOdou&#10;eXSbuuxji016a9sfXXbW5y4r5yuXVe+Sy6r9Z9filsspMUw867S65bzoHevV2p327KiMqLZBiXKt&#10;U56cdvX85s1vFJsY5qi7du0uaelrr4sPHK0TzePHN7qv9c56G5kDnhklhvnkKe5ez4jdfDygMd7X&#10;OP46iSUJ/+FPnvjnxD6HJ9lGZw1n4pd82LCRUka90aPHiY6RekOHjijiUF9GXdojPlH9+vX9esoD&#10;Nmdt7JgUO9s3r/p/8+wZ2zM2GSifDES5kfk89I2XL/8gHHju/AVv13BGYgUeP37C27Yed+SHDh3x&#10;tgiH3OEjxyRRzrbmn57ED+MZd+rUaTmXWIOcR6KeHqcO2yStE805n3Tm7DnXbdBHLjv7lGfHb7xv&#10;7z+5jb/7xd9LlFOS2Z71MjrH3cKOfcZ+nbQOLZm2K7KOMhdMB3epv5mqyFmbim+lwgMHEvbL9ZCi&#10;vFnSveu9cA4xyvHjThygx73Pz/HjJ7l7R47y8SU7elvoqWITjS8nYgShNxw7doIbN3aiu3vQPW7k&#10;iPvEz9PDDz8mZcSkJN1++wD3so8lxPaUKdOESVnvOGPGw65N25tErm2+Orl3RUjdX8i+7VuSnHzY&#10;ONk4mQzUbBlQbmT9F9/VE5+ecm+8sVJ0jfDac8+96GP9LZF4f/v3Fzp85szytqoFBTO8/au3e92z&#10;z73w4iL34osvuwkTHpD4gPff/6B76KHHvB3EfmHFjRu3uNk+9uDEiQ/GjhO7+v33twkvHjx4WI4t&#10;WfK65Nu27XRzvC8+zuMY+5MmFbhBnhva9Hzb1W/4pVv7wTnhGeWWkpgl/tjmXd94u42PhRtzm5xI&#10;O27Ejmf4o5dknhfe4h5hRfzMxPs6jO7H+zuMP8b58XWi+/H1O3Xq4uOTN5P1gxzTurod9afI9ZX2&#10;LJQdyTds2CDzzegfsbVGp5ifn+/zB72svSJyQszJl156WWyuiU05e/Zct3z5CrHV7+BjTRKjElkj&#10;sU0M9Wneb3l3Hz+dc+fMeUJsrhcuXOR1pjeLfNs6x+TedyH5LWTf9j1MTj5snGycTAZqtgwoO5Jj&#10;H/Ptt9+7/DZtxPci7Njaf8/hOLhv796PvS7nZq/z6Sv50teXCzv273+n1x3NdR28zoi4giTWsz31&#10;1G8dOsNRfl6R7ztr12BAEjqnsWMmim5y7twnffxp74fH67mok9sw18e2HuBmTH9EdJv0f+edd7sm&#10;TfI8n04S1oBj4BXlkXg+LGmfWDJF/nn2OziypLpVfSzmC9HbJWNfsmnHRblP7hc/M3BW1Och/mjY&#10;p1x9HmpOmSb1fxjNo/XY1rqaU5af30ZiQ270rBetwzbXoz4U9Xmkwo8dO3USvSEs+oDXNSIDtPfq&#10;ktfc5MkFXifZT+KSE5uc7Y8+KopLDm8iP/RPPfY5Tv6Ot5MhRiUcSixMfD2+8soSL689YvbV9s4r&#10;/Z0Xkt9C9m2yUbps2BjZGJkMmAwgA8qPals96r5xrlPnLq5jp85u6JCRbvGSpW6y5z2YsHv3HqLT&#10;gevgSvZhRuav0fXo/PPy5auFQbFlgAe3bHlfcp2DPuDrU963b39pp5fnUb73t97a18eR8fYRN3WQ&#10;4zAB9R57bLbLqZ8j85cwAzov5j7Lwo6NWxb5BW/c6tO04kY4tcgX4lV/NnV+dDnZl9yHe84Jt+H/&#10;EP+G+JzRpD5oKI/3dYj/G/WJyDH1n5ioHmXaNjnnUkbeyq8/zM7O9usHO4rvHO2L9rCVhl9hyWT5&#10;kfvU58YzFJ1qNJakf7YxnWZEVxotS7RN/9eV+3aXeBbFvxNybu+85N55IfktZN8mH8nJh42TjZPJ&#10;gMkAMhDlxxUr33T3eX4cNGiIW7nyLT9PuNoNHDhY9DovvLBI5hoLCw/J/mOPzfHr06b77/854UC1&#10;hcG+ppNnz7lz5nlb18GOdZMw4NdX7WU4PnLkGDd37lPCqDNnPurymua5qQXTXZO8Jp5Je0p78+c/&#10;43VPPV1h4UHPlm39mrY7Yoyi/JGKbrDXfRe9zvHqOscxX6YdO7bsddll40P7Bu/TxtuTs67znR0n&#10;ZU5229Ztwm7qf0b9H7KPnxt80UR9Hb733ntSnzLOxYciOesHKdPj6jORdvCDE/WjqMemTZ3uGjZq&#10;5LKysjxHZsXaVR+KcKYyfTL6YH125OgqYUhNnF8RSdvb+mFycaztXfjLuzAkv4Xs22TgFxmwsbCx&#10;MBkwGShNBpQdyVn32NnrHdE9Ymu9Zu0G4b41a9a7N99a5/r5+WR8dY8cOVp0i3v3Fcr6SMrVTw/+&#10;deY9OV+OL126TOy1YcfocdZVMj/+xBO/kfVuzZo1lTnSAQPuEh3nggULpV/WXGLvjd6zc+duwhWl&#10;zY0m4smdB+DGXVfnq/e4LbvTz0bmyInPnfDjVZ3jug/Pi04PNoP11Meh+jUkxy8i3Afn6XFsjilX&#10;FoQZSdRRP4r4taGetoUfRfwpsr9u7Trxq0gZ9ciJJVOrVi15RpxHgl/hUOK/MHfO/DPcl+zziTKk&#10;bnNuSSm+Xvy+9q3lCxa84Lp5/XhpvwE7/st7MiS/hezbZOAXGbCxsLEwGTAZSEYGovy4atVbnjve&#10;E9tU5iOxhfnb3/7uDh8+5p73uke2t/9uV6ycfeqoz3D8eWN38+gjs6XsJ+8n8pFHZl1znDocRxc5&#10;f/6zro33O03sj+neL9/Cha9I+cMPP17k1+eLixITe9asOUlzSTw/sraxyJ/jDtfz3vTjRmUd+PG+&#10;2d+59dt+LyyGLTL2H/icGer9HLKej3lk/B+SRt03Ro4pO952W3+vJx4kZb169Xa9et0qfm82b9os&#10;nDfU+7GZOPEB8XED/z3i7ZWL1g/c7jl+nrAjZaw3oH3YkbWIsD1rCvG9yHmrVq2SdmFH5rFZJ5nK&#10;vLU+H73vysonTJjsiIOZzG/A6hS9K0PyW8i+7fnbt9JkwGTAZKBsMqAMyfpHfIRrgvXiUzTuDNvo&#10;LDXp+kn2tQ09Rh5//Fvvz3Hb9p1SN3oO59599zAfz6RbmblROSUn+5DoHTsNPJd289Vco/ITujP0&#10;d7AYaz6xFYbRYDx8HuLvEH6D69D9dfU+EkcMv0982ahfQ/zaMI/NvPLgwUMljR93v/AefhrhyjVv&#10;vSX7tDt92kNFPhO9/8SuXbs5fGs383bWzFWzjkDqeDtm2scXYz/vE2fQXfdI+6x91Dlr5or1PnTc&#10;Q+b4pkR3be+D5N8HIfktZN8mI8nLiI2VjZXJgMlAVAaUHcnhu2iKZ78o/7GNDxRNnK/b2obuk2s/&#10;bOvx4vJ27dp7n4AjhUnKwyG3T/hC2LF5x/Szk9H7gruUHbH96Nu3yN4YH9qs98TnIf6z0SeSXn55&#10;sdfpPu6wdyeNH3+/Y54WfZvataxcsdLh1+b++x+UOsQCxH8i9fGbCBdSRrsPPFAgOsbatWsLM1Kn&#10;V+9bpf7zz7/oz7nDTZ06Q2ykli59XWxqyqpz1HuuzBwbLmz5ozLOtspfReTxbWf6fkh+C9l3pj83&#10;u377lpsMmAyEloFE39Qo8yU6Xhllmza944htAg+VlzHUP0+6s2OUH5k7xm8N/IcdOjpIctZAatq2&#10;bZuwIXy4ccNG4Ul8JsJ0rDnA9w3zzcw9w57EA8SuHf83+EaEHSmDRZvKutN899prS4UXaXPD+vVi&#10;Rw+nzvF+E4v85twWs7FOdZ1jeZ9jKufD0FOmTL+GHUuT0+h/nGS2S2svejz07zqZ/kPyW8i+kxkb&#10;q2PfZpMBkwGTgZJlIPrNS2U7Oq6JzivtePScAv/db9vupnJzI7xx5+Qi347pzI5cp875on+EHXv0&#10;6Cnshz/DxYtfE+5jLpu1kE888aTMF+NTc6CP3yw+El9d6u3fp8l6SfVd8+ijs6QNfB5SB1586801&#10;ci7blOXl5RWVv1VU3sfrPInfwnw0/b3q26Ue3Dlv3lO/tO994aiNSipcVxV1p/t5dvyFInMqV6rr&#10;jurRk91OtP4i/lz055RF9ejKoFxDVP7TcTskv4XsOx2fhV1Tyd8oGx8bH5MBk4FEMrBs2SqJpVxe&#10;zsDvdlbtvWk/Z633qfxIztpH9V2oLEiu23Iszkdi1M+N+quRdrSe5lf9Kd7l7agbNGjg9n9cGOtL&#10;+4zlnEN9PdfntJmu3Dh78fcu61d/cS06zIhxo3Ida3d//vmfCZPafMXn2HxFkx4vrp3o+uAocyrD&#10;JpL3dCgLyW8h+06HsbdrsO+gyYDJgMlA+WVg89vvlpsd8W3YJH++cCP+HWcs+KpC9JjKeZWVKz/q&#10;+scoD8ZvR/lQtzlPuY622NZjmms7d3mdJTEIKdcy8vh9LdPztf3KGoOytgs3Ztf9i/+/4FOty27s&#10;o3tEDwjDwXz4kbpy5cp1Sf1IEdNdEz6iNOGfSrc5rvUTtUUfJPwQwJz0C0+ik0xnfgzJbyH7tvd1&#10;+d/XNoY2hiYDJgPpIAOXL1+W9Y5lZQjOw16iUaslwo5ZtQszghv1fqP8qCyYKNd6qea0teyN5e7G&#10;Fi3chPGTZL5c29e22NftRLleazrl6BuFG/G1XtunWj+IDT/8Bu999933MV/1+InSpP7tP/8c3/Ff&#10;ugu//1wS/u1J+ME/d65om2NffPmV+JHS86P5N953AP2Q4E1YE5ZMd34MyW8h+06H951dg313TQZM&#10;BkwGyiYDp08zR3smti6MGIVLl75RJuZbv269sGdu8yJ2rFfr4zK1E5qLEjFbMmXx1x09B30s8cOx&#10;RcL39zrvAzx6PJnt+PbTZb9I71jEjdl1fnCtuq0XvR/cCN/BgMTQPH78xDXp8JFjjkScTdLHHx+U&#10;tH9/oY/rWCgx3IntzjbHtT7tHD3qY3xH2qN9jcMJb8KacKTyI/Pn6bj+MSS/hezb3tdle1/buNm4&#10;mQyYDKSDDHTvfovwzK7de4UfBw8eJj5nysIlhw8f8fGMb3SNWy8QvWP97E8dax/L0lZ1Oufp+b91&#10;OTk5wozV6b70XuDeWa9869c7XnE9R3wiMgAzPvHEU+7xx+e6j/bs9/GMCmKMuG79JikfP977Ntqz&#10;z40bN8n7rtwlPu1Xr17jfWfeL2XPPvuCW7V6rbcVmu927PxI6j72+By3du1G9xsfQ3PZ8lVu0aLF&#10;kpQ/58z5tdvsfe3DklwD/Ir+M13nrkPyW8i+0+HdZ9dg32CTAZMBk4GyyQA6x6lTH4rpHVnziG5s&#10;xPB7U2Y+2LGdt9PObTrAs2NRLOtJT6VfXBllnqrI8dWTk1PfYYNcFf2F6COqMy08cMDHLKorcTYn&#10;TnzQFUyZIXbjQ+4Z4eC6gwcP+xjuY/3/kwfEzvz111dIvmSJ96Hu/WASH7Nnrz7Cj/gahyPbd+go&#10;7Pj++1td6/x89867H7hu3W52A/oPlBjw3X0cRNhx48YtcvzQoSMxdmRt5M/eTsfY8fr3g7Hj9WNi&#10;3xEbE5MBkwGTgbLJAOseb7yxhejJ4MFkeYS1jqrHrN/oPdE9Ztc94IhvnWwb1akevAiHz53762p9&#10;/1F2nDP7Cf//ob3Euvy48KArKJgp/opeffV14Tr8D+GnCM4jhyPv8bpuYrb37t1X4m0OGjTEPf/8&#10;S94/+53u0UdnSzl82MEz5D2Dh7v5Tz8rOWVbtrzvuns+J+FXc/So8TKXzbw1tjbYzrDm0easr38X&#10;GDtePyb2zbAxMRkwGTAZKLsMoI9k7SN6xGT4Udc6osOEl3KbDYnpHle8+221ZqdEvEt8wkY+xiA8&#10;neh4dSuDH1nD2bz5jd4n+gtu8uSponucPu1hiX8Jy8F2zGEPvHOw9z10RtiRMtYpwn5w5WuvLZMx&#10;GzVqnLDi73Z8JHPfQ4eMFH/rzHfjX5OY7o89Nkf0mrTJvDdtbd2247q1jumqc+T9FJLfQvZt7+ay&#10;v5tt7GzsTAZMBtJdBtA/Jms7wxxjv353CDs2yOsTY8eFa76rEfykPAg3Nm7cWBgIGxktr8758wte&#10;FFugft43OPq+zp27yHzyQw895tAjUjZ9+sOuU6fO3u/5G2LHgt4RfSM2LSNGjBK/4qv9+sbhw0e5&#10;lSvfch19XdZQYI/Ndo9bennO/Mzlt2njvv/+j27vvkJp79zZ81JG3+rTBxsZnavGV3g62snw2w/J&#10;byH7Tvf3nl2ffZtNBkwGTAbKLgPoEOP1jvAQPBlfDjsyR0lMY1ggq85BmbfuMuhsRvBTly5dhXvh&#10;PvivrKx32239JT5P/PiUtb10Pw+dMzbkzz33YsyX4h5vH/3AA9NE/0isRuaODx8+5mPnPC7bsB1c&#10;uW37TrGFRl/4/AuL3EG/VnHmzEclsfZRfTpybMOGzdIG25xPm+gfjx//RPLt3t5G/YlnAjfyXgrJ&#10;byH7tndy2d/JNnY2diYDJgPpLAPYXkfZEUYQW5iGDWU+m/iFMAOJY6zvY70j94RtRFa9/WnFjvAg&#10;18jc6PJly69hQ8qJ9QIXw8B5eXll5sdbvH6spsxVw7XoHPW58+zR8ZHQ9zFfjI9w1hySottaFp9j&#10;Fx1NcGB8HW2L9rQPtjVRls76Rv3dh+S3kH3r/Vtu30CTAZMBk4HqJQOseWTOGr872HuQF3i9Is/5&#10;srenwZ/P3XcPdffcM1xYCX6kPja0MGdWrSK9Y26TE27lu1VnLzPYXxPsRmratJlr3TpfUrb3k5PX&#10;tKmwYf369d3o0eOFH2FK7k15D30hOkjqk8dzZml6QNgRH46l1asux+PZEfmI8qPGJiTXBNuVlqIc&#10;mKiutpUozwRuZJxC8lvIvu1bUb2+FfY87XmaDJgMRGUAftQ1jN2794z58onWWbDgpVgsQ5ixa9ce&#10;RXO/rdfG1jxm1Sl0E+Z9U6k8hW0K/bdt2058VE6YMFl0Ysyvk2Bb5TVYGD2j6k7RNUaPU49z4Mnc&#10;3AZJ6SDx49iiRUvXomVLf06uXENNmLdmnKJ6R5UN5UfVQcbvw3fFpSgPJqoTbau4bb2OdM5D8lvI&#10;vtP5mdi12TfQZMBkwGSg/DKAjhGbheLGkuMwG7zFnPbNN/eUffhp8MSNnh+L5q7r1dpTKb7C0Rvm&#10;t2nr7Xabx9hQGbGkHOZBP8h8dUk2Legem/n409RL1B56TnSNjAHtoXulPjpPnQdPdF51KYO5c/06&#10;hkTyURzXVXZ5omtJx7KQ/Bay73R8FnZN5f9W2BjaGJoMmAxEZQD9Y8GU6U7jz0SPsQ0vwRDo827z&#10;9q4kWAq/2H3uedHz415Z+1jR/nrgRrVpjtcbViSb4SsdFqQ/bZdtfH/Dh6rj1GOaN/RMBaPqfnXN&#10;WfNanGzEy4rt//JuCclvIfs2GfhFBmwsbCxMBkwGqqMMaKwZWBAb6kT3iC9IuJE5WrW5veWW3rF1&#10;hLr2sTzs2LFTFweLsWZR1zByTcwrV/bcMO0zr828OHpI7pG+E811R/mQNZM1gR1ha/5bJJINKyv+&#10;vRiS30L2bTJRvEzY2NjYmAyYDFQHGVi2bJWwEvOSzE/H3xPrHZmrVkaCI6Z4joiug1R2fOqN78us&#10;g4PXmDemH02VzYxRDmSbfoUd/RpIbETij8fvt2rVukbYzSSyl4mXE9u//n0Ykt9C9m2ycL0s2JjY&#10;mJgMmAxUJxmAHfG7zLx1/H0xT8l8Nfq3qD0258CO6ObgKWyt69Xa4boP/X2pvBXPX9igYOusbcUf&#10;T+d9WJd5e9ZBVjXnVuW4wNSJ7GXi5cX2r303huS3kH2bHFwrBzYeNh4mAyYD1UEG8F8DE5a0hg2W&#10;RBfIWj90jbAd5+C7B/0kxynDDuX2CV8IO2Ivs3lX8vbWsBf+dGgHm+iq5KGK6ot7YK0kY1RRbaZb&#10;O7Aj6xaqg+xX5T2E5LeQfVflGFtf9k02GTAZMBmoGhlAhwSvzZkzr1gewGcPddCpwZDRutjKwJGU&#10;o287evILl133gPDjoCmfJ8VQ6BpZL8g6SuZE4ZN0Y6Zkrwd+xPY62fqZWA9ZsN9nar/PkPwWsm+T&#10;k9TkxMbLxstkwGSgusiA2lIznx3vw6db9x7X+b7JyTou7IgOMhk2Iv4Lc+HJ1M2EOrBVJlxnWa4R&#10;3TL3V5KeurrIfUXeR0h+C9l3RY6htWXfVJMBkwGTgcyWAeaqZ8/2MWia33idT5t6vzp8dd56v3t6&#10;Wenz1vi/YT68LCyTjufgS6i6zlv38bbu6KF5/vYbTv43HJLfQvZtMpK8jNhY2ViZDJgMZKIMoFPU&#10;9Y9wYXH3QD21m2GOmfWJ6A6V42Ys+Co2b826x1kv/yF2TOtEc3zvVCd2VHufkvyQR+8/k7bRORo3&#10;pv5+C8lvIfsu7h1i5anLkI2ZjZnJgMlAOsoAvnlY0wgfYD+d6BqL7GYaXhN7hfpRdoSFsJPRdY/Z&#10;NxwuMc5MdWVH1n9mEheWdq2s5TQ7mbK9u0LyW8i+E71DrKxsMmTjZuNmMmAykI4yAAPCB+gUE10f&#10;dtXYxMTPx7KPfYj601YGgR/RO+KzZ+Ga74rlKLgTZtXzqkOOv0d8m/fu3UdsgKrDPaEbLiiYmVA2&#10;EsmLlf3yngvJbyH7Nhn4RQZsLGwsTAZMBqqbDOCjEb+NsGFxOkfY8sardajHfDW20cpFsAV1iPus&#10;ZervEfsZbLC1PJrDjugeo2WZvk0cQzi8VevW4veRccnLy5PxqcyYipU5bjzfqVMfMnb0sTlT/f2H&#10;5LeQfac6TlY/ddmyMbMxMxkwGQglA9jNFrFhYp0j18U6N9Y6Uveee4ZLffUTDrPAkbTBmkllGGxl&#10;6tX6SHSPwx9ObDeDT3B8O2YqU+m9Fpez/hGOJOW3aevatm0XG5/izknH8iK944yUuSmUTKdTvyH5&#10;LWTf6fQM7Frs+2oyYDJgMlCxMgAXst4R/WMyY0v90aMnCCvm5uYKCyk7ZmVlX6t7bFTks6dxq1Nu&#10;54GLCbkJn9pRHWY6slNFXBP6SHS2cGRFtFeVbcCOxKBMRj6szrW/z5D8FrJvk4Nr5cDGw8bDZMBk&#10;oLrIALpE9IXPPfdi0lwwoP9AOYfzosyHX2+du8b3Dqw0atYfvN5xt+geGzU7mpAfG3pura56xyjf&#10;qQ028/3R8kzY5jnj67O6yH1V3kdIfgvZd1WOsfVl32STAZMBk4GqkwGNR12SXx59HnBmgwYNhBuZ&#10;r2adYiLmgyHx942vQ7ioz9ivhR2xm+k58tp1j/AlDJoJ/FQR18i9ZqINNs8UX/AqC5Yn/xsNyW8h&#10;+zYZSV5GbKxsrEwGTAYySQZ0HSN5cdf9xhsrxT8L3AMT3nfvGMl1vjoRU8FHrO3Lz2/j+t9+h6v3&#10;q4NX+bEw5vMRbmzRoqXYIydqozqW4U8d3Wym3Ru6UmJYFicjVl78ey8kv4Xs22SieJmwsbGxMRkw&#10;GajOMoDti9pVp8o78COcBENm1SmM6R7x3fPgo6vEjw26S+ql2nam1oeVM9Fextix7O+5kPwWsu/q&#10;/F60eyv778HGzsbOZKD6ywA2NOWNkQIbDh5W4PLyJ3p+/FgYMjtnX7Xz65gMz6q9TKbpHlmbUJzv&#10;T3sPlPweCMlvIfs2uShZLmx8bHxMBkwGqqMMsL6RdY3JMFEydWDIm/psv6p/3O2GzUxsd51MW5lc&#10;Z9zYibLGM9Fa0XS+L9YsVEc5r+x7CslvIfuu7HG19u27azJgMmAykH4ygB1NZfjtbtbxwlV+3J/Q&#10;7jqd+amirq1jpy4Sj6ei2quKdowdy/YbDclvIfu2d3rZ5MXGzcbNZMBkIJNlANuIqA+eiuITYsxo&#10;vELsrmcs+KrCdJsVdY1V0U5OTk651wNUxXXSB3bWrF/IZHkOde0h+S1k36HG2/q1767JgMmAyUA4&#10;GYAdS7KlTpVbmKPt421jmAfPqhu1ndntcrKP1TgdJHq8TJm35j/ETTd1MHa0mIQmA2WQAfuOhfuO&#10;2djb2JsMVJ0MXL58WdbkVaRNB8w4eswEV1Aww02dtcY1arnHZdXb53WQO2UOGz+QqfJoJtfH/+WI&#10;4fdmxD0PvHOQ10E/adxQBm4IqfsL2be9r6vufW1jbWNtMmAykA4yMGfOvApd68i6yUT+AeGRnAa7&#10;hB2JW5jJLJjqteP/KK9p07S/Z+zs4X5sp9JBNjPtGkLyW8i+M+052fXat9dkwGTAZKB8MkDs4kQ6&#10;xwsXzrtU0tLXXhfuYL7z0qU/u//85z/XJMo63fqkZ0f4cbdr3PKEYz1kqhyWifWfnv9bidOT7teO&#10;P/h+Ph4humj7XaX+uwrJbyH7NllJXVZszGzMTAZMBjJZBpYtWyU+weGaeFY8f/6cSzahb2RdXyJu&#10;/Pe//+1OnvzMtWzZytVvCDuStrv83hdifaY7V5Xn+jS+Nb6LytNOZZ7LtfH8Tp8+Y9xYhvlq3gEh&#10;+S1k35n8/rNrt++3yYDJgMlA2WQAX9Dr1q1za9esdVs/3OrOnj3rzpw9U2w6/dlnTpPWI4ZK3bp1&#10;3Rjv0/Bf//rXdWnZcs+oubmuabNmrvOd3n6m9jafdrgGjQ65u6Z8IQxZmWwUuu1sb2uNDXPo6yiu&#10;f9Y5JlprYL+p5H9TIfktZN8mI8nLiI2VjZXJgMlAdZAB5pYHDx7miL8M25GfPn3anTx1StKJT0+6&#10;a9KJT92JaLp6vEFuA9exY2fXq1cf949//EPSzz//05HYJ4ctmzVr7j4+fMbPWR9y9ep8cDVtdT2G&#10;f+7q5/zoNu+snn58mjRpUil+kIpjwVTKWedoOsfyv89C8lvIvqvDe9Duofzyb2NoY2gyUDNkQNck&#10;PvjAVNelSzc3oP+dnu/quBUrVrqjR4+5I0eOuEOHD8fSwYOHXKJEvQYNGrjVq9e4K1euuB9++FES&#10;29F9uLFTpy7S9rFj/5+97wyO6srWXX/eG8+ve2t+3Ff17n0GgSREDgKDETkbmWxMMjlnEGCyERmM&#10;ySIZEQ1IIEAiCSEhJEQSWQgE2BiDMYaxx2OPy762yzNV9+1vidU+NC2h0OrdEuvHrn3OPjuc3ufr&#10;Pl+veIWmr7hJIVWM/3WFI4ZDnqCgcplUqWLZ44/QWTd4s6Hf+lpDHtqqdVvVVRdRVy2/lzb5m821&#10;5fNr/Wq8N/Q563NWDLy6GBDe+Pvvv9OyZauMvPBt5oohISG0YsUqOn06g9LT0yk19RSXkydPEkpK&#10;SgolJ+cWHKOknUojjIuO3k4PHjyk+/e/4IJjlHuff8ElIKA89ezRm+fNyMigM2fP0uQlVymootFf&#10;V0xgGWRQwD2WP8L2sjCyM3/tCz8ZyPRatGjptzEelTt653fAJn+zuba+R7yDH91H3UfFgGLAnzHg&#10;5I2wTdwTs8/IA1syB4yKWk/79u6lI0eO0KGEBDp48CCXAwcO0P79cVzi4uIIBedoDw4Opnpv1Dfy&#10;xCuUefHyczXaLly4yO01atQ0cacb89yJiYl0PPE4HTycQvXaXqOgoFTmj0EBn9LsqIdlxv6xYVgj&#10;v5U3Ct8WPxl/xmxpuDeb/M3m2qXh2eg96jtZMaAYUAwUHQPCG+H7DN74yy+/Gg4YTwEBAXTiRDLF&#10;xsTQqlVraOXK1YZD7qN58xYYH5o9XG/eHE1zI+dTZORc4/cRbeSMW2jt2iiCrw3igG+O3sY8NCYm&#10;jtLSTtORo8cJPjI4joraSG8Yfgn55IwZsyghPoHi4+NpiZHLxR1MMrHDjd66YjzVbZProyM+38Jv&#10;SmONuI7Q5cOe0J/vH3HL8Qz1e1X07xX2ziZ/s7m24qZ4uNH90/1TDCgG/B0DTu4IfTW4I3xlqlar&#10;Rtu3baf3359OPd7tRW+9FU7r12+g2nVq09o1UVzPmTOX4E8dauJHv1G/Po0YMZqaNmtG1czYvv0G&#10;UeMmTWnW7EgTL3I8nTp12thPvkvh4R257tath4nRU4+qVq1i4mTXpCFDhtPq1WuoceMmLH8MrmT8&#10;Zgx3DAw4QpWrXKR+U+/RxWuf+TXnehkf7NmjD3NHf84pg9ie4I1btuxQ7qj2joqBYmLA33//9f6U&#10;oygGFANFxYDwR3BHyB4hGwytG0qtWrWm+oYTQhYY1ijM8Lyq1LJlKxo9ejxzR8ggEcvl9ddfpwYN&#10;Ghhd7GDDF5uYuDu1qKUZC54YFbWBxoyZSFOmTKf6pg/iPo4dG0HXs7J5Dsgea5v+DRs25LHTps5g&#10;m8kpSy8Zu8dkwx0Tc+P3mPiPtcJulfr44R06dPbruOCIB655ZLzzW2JT9mdz7aL+Duk47+BO91H3&#10;UTGgGPAFBvbvT+BYflu2bCeRPYI7duzYhTlhjZo1qXqN6obj1aaRI8ewbBDyx6VLl/ExOCHOK5mY&#10;hcGVgo2csDL1M3LHhQuXsvyqX7/BJl5PM1q06EOe8/adu+wrgzGI4VOtejUTD6gyyy/nz1/EPjPw&#10;u0ZsoMnL7tIb7XKexQ9PLvX5Z6C3Bj97mYzS1vWWLdsod/SSrMkmf7O5ti9+s3QNfTcqBhQDigG7&#10;GDiZms6+v+COkEFC9jig/xCWPbZt256at2hNNQx3rFu3rpFDNjD67KrMFSONrePAgUPYZrFmzRoU&#10;ZvxAILNq2qy5iUHzJn311WPatTuW+841ebJ3m2PkuEOuGcTtAXdEDKCxYybw3Ji3XbtwAm8cYWKK&#10;L1u2gvPYIE75u+OyOHdhYLlkGvLBl37LvV7G+WoaHg7Z68v62boOX57iyB1Fhl2SdWn5vbDJ32yu&#10;XVqej96n3feO7r/uv2KgbGBA3vecM/DGTerapTvH1Bk4cCjbJXYwnAdcLyg4iLlkYGAgywrBh2Dz&#10;uNDIFRG/cdq0WbRgwRL6/vvv6XhSCg0ePNx1DH31jz/+yPHBIYscPmwUxxqvZWweA4MCWZ8bETGF&#10;4z4ifvb5C5nMa8G3aoadM/wxmYIrnCuVuuspU6bxZ/HXfDKww0T+cWf+asFEYWtgyFMp7DwF6e+v&#10;vz82+ZvNtf31eeh9lY33lD5HfY6KAf/EgLyvxf7x119/5RwwyANTxdg8duzYlTp16sptiANZ2+Se&#10;kVwx8LVxLxgvbThGgWzz44+3unLXIIcNcuBhjZEjxnC+GeixwWdwDTERK1VpYLhjGvPHem1yaPuh&#10;R3Tg5MPnZHgp5+5zuy25XX7r4jP4q8wRvBY+MpBB43spGEDt5IDAhBQ8Qyme2uRaSdRYT+4L9+iP&#10;vyU2+ZvNtf3xWeg9+ee7Rp+LPhfFQNnBgJM3CCcIC2vMPtXIUQiOAY7HXNLwup4933PxQU88AXNI&#10;u8wn7/4nT54yF4XN5YnkVJZ7gWPBxrJa9erMGXEO/gj/7Sp1tjB3hPwxt2TQ0q25/PGDdV+atgxu&#10;b9rd/3yyW7Vq45exHcG/W3Q/RuMmznmON4Kb4bkJ33f+B8B/AckxiVr+G0ib5KHMq5Z+hanl/4ms&#10;J/9BgCV/5I82+ZvNtfVdUHbeBfos9VkqBhQDhcWAk0OC21Ux8XQgd5wzZz6XCRMm00fLVzPnEy4o&#10;siBn7ZzH03FKStpzcq6srJsUMXGKyWezliZNmsbyyIaGu0K+2avPMKoWesbww7Om5MogwRfrt79r&#10;zk08cRenPE1jFj54TiaZn0zQF9eCgoLZL90XaxV0DfDGSoF/p6DX/041wh7R0+//xc8CzxPczJ37&#10;wQ5BiuSYRO1skxyUqL/55ltXcbbLWLThGDXmkOO8+kp/9BXbB9ynP/JHm/zN5tqF/Z3R/vpuUgwo&#10;BhQDRcOAJ07lqS2//fXU39nmHOtsxzGuubfh/J///KervZPxc3HneTIG/QpSpL/UrKc2ckXY2cGH&#10;Bu3O+5Tj3r36vaDv3XHoPgVXzHTwRWMLGWxKxcvP2k5Rl1H3/II/QieMuOAF5XS+6Af9PvPGcoY7&#10;VjCl3HdUp/XfmYcJbwRXw3MBB0QN/yeUh18+YlvYB8/yTEo7zpGDUvJOfvbZ5+Yz/1GkXcahr4zx&#10;1CbXcQ1j5Rzr4X5wf+CQuF/8X8kLP4IjX9Y2+ZvNtX25x7pW0d43um+6b4qB0osB4U/erJ3yPuex&#10;pzXkuvs1aUftfu1l586xcuw+RjALf946xscGPAk+2pAzyjX3Gtxy7tz5z3GvvbF7acOeLKrTPNtw&#10;xTPGHvIYte84gDbu+8qcpz/jj6k0dpF9+SP8l/3N1tHFHct/Z7ijKcwdv3XJG8EXwdXufgr9/+dc&#10;Z9+8RSg3bmTT1WtZXK5cueZqQ85JyTt5/nwmnT134bki+Sjdc1XiHPPIeNRok344x3zSD+vfvp0b&#10;6wn3Cfko9OuCWXf82Di3yd9srm1jr3XN0vse1Genz04xUDAMCJfCew66NhSxB3xZjb7CyeQ9iflk&#10;rvzGO8e693vZPTjHyvpok+I+X17n6I/7BVagj0ZscXBHcEjx03DHUUTEVOaWyLMs8riVK1azLeSo&#10;UeNM3ppxfAybSOGX0MVWribyxzR6e+hdWrPnK2v+2f4a15F11hW/Zd5Yu9V39PhvuXaM0AlDtodY&#10;nOBpUsDvwBlRg8udOXOeMjLO8jF4Ynr6Gc45efJkGqGcOHGSklNOuQrakGNIauSnxBi0yVjUmBPX&#10;nAVjcI5rWAs88lbObXr8+GvWd8Pm0okvdxz5+twmf7O5tq/3Wdcr2HtH90n3STFQejEgvBHvOOjZ&#10;UNz9Djz5D4ifAPrKONROjoZr7vZpcu70L8A4nLtfc7Y5rznHuq+HNaV4Gu8+z6lrP9Ow+T+wXV12&#10;9i22n0Rs8MaNm3nkjugD3xxwRfBG1JBRwu5y6NBRbAs5ZMhI4/fdLdeHx+i/wUPhnz19/k6jv770&#10;TP6Y61sT2uqmi38KD/VFDX90f81FOHz8cmoYHmOeyT8ZT3hmgwYNMzkoP2bZHnjj+PGTCTlx3nmn&#10;J+3aFWvymS9im1fwPPjLf/DBPJo9ey5t2rSF2od3oINGpoz6+PEUGjBgCA0cMJQ2boxmDrly5Vo+&#10;Rxs4I/jgiBFjOZY8xmA+5LIE50R8efTr2rU7JRw6yvxyydKPOE8RuCNkj/C3+uGHf/D3Qv5P+cNv&#10;pE3+ZnNtf9h7vYfS+47UZ6fPTjHwPAbceSPe0bDVgoxHfADEh0B8BqSW63hHCh9DLbwOtcwj/gkY&#10;g2NPY93nxVhnm4yTsbguvgmyPu4F7VKc4zHOff3j5/9GlUK+pKCAp1S71TfUsfN7NMbkN0QOGvhS&#10;e5I7wmdGZJMcr8dwxuXGP8cZg1BwBp6JAl04dNyYM7ReY6rZKMH4glx36bAhg/QFX3SugViVIhN1&#10;tvvD8fHERN6r69ezmTteuXKVmjVvwXwcuupZsyKpe/dedCotg+bPX0yt27SjceMmca5JyP+ionLz&#10;TiL35Nq16znmO3gk8g3NnDmHc1PC3hM2q7jerVsP5p3h4R1ZfhgVtZGamNznR44e57FrTJ/RoyfQ&#10;kSOJ3I5+fXr3N+tNoA0bPjb/F9rSho2bOa8ldOrAGTCJ/zXKHXN/c5Q7Pv/bK78RWuu+KAYUA6UJ&#10;A+68ETwM/Az2/tANig+A+AugljbU8BNAG/rKOIwFXwN3w/sT19BPbNNwDFs1GQv5jPA59HWuJefo&#10;K3OglnuAb4SMlzmgK8Q4FPGdkHuVeVBfNPKhQ8lZFFz5pokrfo+CAh9TUPm/UpXaN1mGCLki8s14&#10;ep69evVlnfSoUeNY1ghu6Kmfpzb0FV+cD1fHOHTYydR9PPbpU58V8FhwX6fe3Zfr57fW3bt3mJ+D&#10;p4N/zZwxhxYsXGJy/LQ3MsEM6tmjD61bt4lxBTkfYrpPmDCF80ui7td3EE2c+D6XzZu3Mf+DfBIc&#10;HzXkladPn+X2YcNGc57L9PQMbkfeS3DMoUZ2DD04cg1Bdgk5J/jq9OmzuV/s3v08jvNbmrxFgmt8&#10;B8RXxp/01cCjTf5mc21P30Vt0/e1YkAxoBgoHAbceSNkJOB/4HhiTyY+AGJPJjZlOIefAGoU2Hdh&#10;nBRwNnA48EBcwzzwRxB7MNikYTz8GzAG/WE3ds7Ii9Bf7NhwjPllPMZhHoxFuZ71h2+C8EMZj7nl&#10;fjFeyr64gyb/TI3cOJDVG1KlqlcoKOQWBQU9pKCKX1Pdto+Mf8wqlnlt3brTIyeEbhp5WBAfKK8+&#10;L8Nj7979mKOePH2VQluK/DHFyCIzqW0/3/DHrl3e4b0Af0xKSjLPwjfrvmwd2ADAh6e/kf2CO0Ju&#10;19zIHB89ekyrV6+jsWMnsqwRckDwtJu3bnO+ySmTp5t8lEM552Rk5ALWIU+ZMt2VgxJ5KYHJtm3f&#10;Yvkl/l+Ag6JgHM5hZwDsHjp8jPNYApfgjjs/2eMahzmkH+ZELNG5Rl+Oe8F/GPBG2EwIb8R37WV4&#10;8NV1m/zN5tq+2l9dp3DvId0v3S/FQOnBgPBGvJMh08F7DnJCvDvB28DXwNNgNwa/A+F84GtoR0Eb&#10;Co6FPwrnAx8El0MN/ia+C+JTgBpjmfsZvweMR04Y4XvCFVFnZOT6J8AGTezQxG8Bc2As1hXOiHsU&#10;nojrGI/+KFh3kMlFGBISQm+a3NbvG53lhp3pFFI9m4KD7lO9t76iVVHbmBNCNpiXPBHyuuomRnhI&#10;SCWaPm1WkXkB+CPmCqxUnSq5xfXZeeSRT7gc/GWqGi6MWD3wEX8Zryvp67gHcHLR72/Zst3YMsbQ&#10;e30GMFbBH5GX/OrV66zDHjx4BNcrV0Vx3slp5nkAy/v2HaBpRj6IgmPwP+ivIROfN28xden8DveL&#10;js6VSWZmXuZztGMO5KzEOpBpYuzevUbGaM7Pm/8umEPGL1iwhNuBd7Gf8FfeiN9om/zN5tr6fio9&#10;7yd9VvqsFAP+iQF37gi7RMhyDsYfZq4Hnd727bsoOno724XB7mvIkBHMyWDfhXPYdyEeN3ghuNow&#10;4yMCHic8csmSZaw/hPyoW9d32acAPgfh4R3ZXwE1eB4435Kly9mnAT4IsF0DH9227ROKjJxPi808&#10;yH2CsYeNLAj+EvCB2LJlB/NPrAfOOXPmHNYpYk7IgHbs2MXvf9wj7NwwD+67eo3qJrdgbf6806fP&#10;ouTkFNq85xwNmH6HzmTeIuSogawLscDzwi/s3MD5UOAbk1e/l7WL7ho2h/AtrtMCcX1S2AZy/IdP&#10;fMrjoAsGf6xdp45VG0jIHIW3i0wXcvBbOXdcfvup5n8E/vPAvwr2qNeu3+D/P6jlGBzzelbuOY4P&#10;HjzMcktg/eFDyLnTXf5UuAa+h4J2nKOgL8r+A4deGCPjMTfuAfeCgvvyR3mjYNEmf7O5tnx+rf3z&#10;naTPRZ+LYsD/MeDOHfHOhBxl1+5Y5l+w9YLdP2r4tSYlnWQd4rixEcy/cB4XF89tIneE/RhkjJAl&#10;gg9GRExlWzNwO8hw4JcA+Y3IIKF7hrwQNmIjR45jnSDs02BThjFYH74PTYwd27JlK5m7ghOCi+I+&#10;4J+A6xMmTOE5YO+GAhs2zLFpUzT3HWv6Ct/96KNVLCNq2rQ566UHDRpKaafS6MzZs3Tl6lUjZ8xm&#10;bgtOCL10XliGvSOuw/8lrz4FacccWMtpbyh5aYKDrviUO0KeCN0teHXLlq19vrbIM4ETcEf3/RPM&#10;ooa8HAUcDQV8zVN52XVPY4rSJuugxn3Jvbp/Bn84t8nfbK7tD3uv9+D/70Z9RvqMFAP5Y0Deb3jf&#10;QV7SpUt31uXBfmvE8DEEuSG4GHgg5HqLFn3IPC0mZh/7IeAaOBr43+o169lnAHxQfFkmT57G9mLw&#10;O0DfhISjzB3BMVEgY4Q8CbZjsFvbY+aFvRp01+Cd/fsP5rpNm7f4fmCjBt8Iub5l6w6+PmnSNNpt&#10;OC94zwdGxoiC8biOtcFHwS8bNWrMNmo1a9agvu/1N3646+k9U58/f8HIPy8zb7yVc8voJDPZzg6c&#10;zhOGIO+EThUxeaBz9tSnoG3wxQFPc3LHtgMestwxyOQ0vJTl+/wzdevWYz8g4XK+rvHfwBN3lD0V&#10;3Dpr4ZLutfRxb/fWuczvqZb79bfaJn+zuba/PQe9n/zfT7o/uj+KAf/FgLzzwB8Rqw72XLGx++n9&#10;92cwlwOPhM0f7CBHjRrP3A59lhn5Xbzhgh9+uMJwx5s8DvwPPgMSR2fa1FmsX96zZ+9zPgeffBLD&#10;Mkbo+cRHGjZjKNOMnRl00uCRkDFOnTqTj5uZ+0A7/BA6G/motD99muubALlmtLFbg30j4risWLGG&#10;Y6uAm8FXAqW7ifdds1ZNCq0bajhvhFlrJs0wOutr165T1o0bhiPfojt3btPmj6NZFghfCE/YRTvi&#10;fYM/wmfXU5+CtiGmDziqxIkET4PuOrDcyWf88TyNX+w7/siyYSN3tOk3g3vIT+YrmPXXuqDP3lY/&#10;m/zN5tq29lvX9d/3nz4bfTaKgaJjQN7B4I6QI8LferrxL4jbH0/wP2j3Vjjrs1HD9wW6bRRwNMRT&#10;hv4W/gg//PAPI7t8h9YYGSTmmDHjA+6DNvQF74POGtwPBX4LGIO+0Jl3NXJPjEGBzwHWl2PxQUBf&#10;yEfRjutoh9wSfBZzyPUhg0dQ0omTfD/iL4HPVLlKZeNfHcA+1pBJnj17xiVvBG9EXBj4aiA+T16Y&#10;ApeGrFNyFcr+FbWGTwi4KHy7Y2Nj+R7aDrhnuOMpU5JMOU0b9j3idtwfSknJArdt3UaVKlWyJncs&#10;ru96Xs9M2//4fbDJ32yurRj4AwO6F7oXigHFgDcwAN6TbuwEnzz5K9uNwccAskbwMRTxC3Cei0+C&#10;+BlA740xkCfCZizLyCPjE47w2J9//sPnAP3heyBzin1Z9s0cgg8Exslcciw+COiLPnJ/aH/8+Am3&#10;yTyyLt+L8XsQ/wn0jd17gGN+V6xYkf2s4a8D3ta/30DmZJD/4RyywLx8rLHf7jyxqDpQzJOSksZy&#10;NqyJ0rBhmMlhEk1b4x9QYPlUU5IoOPA8DZ79gOWiwh9LikPC7xr3YcPnGvpqxFr0BqZ1Ds+/jTb5&#10;m821FQ+e8aD7ovuiGFAMFAcDwoecdv/Cx15WO8fg2MmlcJ7XeOkra8s49/nyO5cxztrZ37n21Ws3&#10;mBeBG9UxskXoRuEnjXPI8pA3EMd56as93adzfvdj8FUp7tfkHBw3LKwxy0L79R1obEkH0sgRY1iH&#10;PnLefcMdTd7C8olc+k6Bv/EtysnJoRNn7lHK2ZLRZ7cxOVokb05JyTg9zQs7gPw4e3HwrWNzfx9t&#10;8jeba+vz1/ejYkAxoBgoGQwIN5LaycfyO5b+edV5jc2rf0m1wz4SvBC+GNHGPhJxeObMmefiSeAu&#10;eflpyD2Bl4L3gRNCDisyVejLnQX6dGdxXpNjjEW+kgoVKhg5aEMjI816vhhbzE17b1P1N85RYIUj&#10;FFQhkSYtvUV7E+9SpeCnpnxLB1K8n4sGvkxVjH7fl3aPufrqvH3b9Tvvne+8Tf5mc23Fj3fwo/uo&#10;+6gYUAx4woBwpMLWnuZCW0HmkbEF6VucPrKOswaXhH8G5GCIswi5o/M6jmVN8EZwRnA/8ELEoJZ8&#10;2fARkgKO6qnA5tNZMBYxhEJMXMUZM2aZPIkXuVzIRPx1xF3PLclpF6la3ZMmb+JBk/smkYIrXjb5&#10;tw2fLH+lRPjjiRPJnG8GfM6TfNDbbeCokPlGREx9Ye/dn4WeF+93yyZ/s7m24qZ4uNH90/1TDCgG&#10;FAN/YAB6a+hnR40ax/wFvivO/fHEG8H/wA2hb4avjuTQgS8R4lWiIP4QcpJwwbEpiF+EPpJXG2Ob&#10;N29J9evXN3EpMyg9PZ3jTaamnjJ2kCkctxw1ysKoDJN3O9bkTtxjOGQcBVaMz5VFlr9O/Wc+8boP&#10;Tf36DXzmMwPuDnkv/M6de6/Hf+DUW3thk7/ZXNtb+6fzeB+Tuqe6p4oBxUBpwwD4Su9e/Zi7IJ/M&#10;/v0JLv7i5I3QU0PeCNkiuB+4IGJbIo458uogPhAKYp9L/HPJhZiRcdaVfwcxMNEf+W8wHjEikV87&#10;NiaGjh49anLnHKb4+Hg6cOCAib8eZ+4njo8T4hNo5IyjVK/1cQoOMfrroKOGPyZQYMAJSj77qcsP&#10;u7gyQcgcEUMTeRt95S8juWRKG3ZK4/3a5G821y6Nz0rvWd+nigHFgGKgdGFAeCNsNcEb4a+NuOCQ&#10;NSJeOmI7RkVtpLVr13PuRsQrkoIYQiNGjOWY5DtNPMtdu2I5Z+Ia0xdxMpHnZu7chZyD5913+5hc&#10;gCHsX33kyBHWnw8x8SpHjhxDa9dEmfmjTGzLoTRk8DAuS5Z8SAcPp1CNsFtG7njMcMej1Pd973FH&#10;+FkjL6Gv9NXgutBZ5xfTUb873vvu2ORvNtdWDHkPQ7qXupeKAcWAYsAzBpzcEXaOyFuMOJKIZw49&#10;NPI1Ilc2YqJDbomc2+CLKO3bd+BYM4g3A330R4ZnIh83eCPiAmEMuCNy6zQzcc/BHeuE5uaRbt8+&#10;nOOYDxo4hN4wYyMj53JOnMGGP6IsWrSEjiceZ/12o44XDHc8Yuwek2jMAqMr90LsR+jsB/Qf5BM7&#10;R6eMFHamiO+kePSMR2/ti03+ZnNtb+2fzlOy+NT91f1VDCgGSjsGhD+KbzVijiPOOfLtdO/ei3Nq&#10;Dxkywui721K3ru9SH6N/Bj8ET0RumwULljDHhDwSnBHyRhTorJH7G7FwIiMXUPny5QwvbWg459um&#10;hBtuOZ5mGt8ZcMf58xZSi5atmDMuXLiYYvbsIeiVMzIy6NSZq8bPJt1wR6PHDsz0CnesUyfUGncs&#10;7XgpDfdvk7/ZXLs0PBu9R31nKgYUA4qBsoEBJ3/cvmMX59FB7sUdO3Zzzmzk6h5u5Ivz5y9mnojc&#10;PIhxDf/pbt160Ht9BjDHRNybCROmcIHcEj4zyNG9Z/deti2saORu4YZztg9/m3Nz9+jRm1Cgo27c&#10;uAkNHz6Ky47tOwi+NGfPnafLl6/Q1BWfMXcMLJfslXg94I6Vjd+3L+PzQP6I/OAHDh5SuaPx6y/J&#10;3w6b/M3m2iW5pzp3yWJW91f3VzGgGChtGBDuiBp2j82N3FFyLCLvNvIsHj6cSNevZ/PxlMnT2dcE&#10;3HL27LmuY/if4BoK9N7w0wbfRH7HQYOGU7Xq1Vg3Dd45efJUWrx4qeGgHWn16rVGrtnG5HqM4rJv&#10;716O3QPemJ2dzbHCA18/z/kL67TIKbauGXkJES8H+W18afMIX/eIiPdLlDeVNuyVxP3a5G821y6J&#10;vdQ59X2mGFAMKAYUA3lhQPgj/GZ27txNyKsIn+tLly5z7m+J84j83/v2HWB99dSpMwnl6LEk9r+G&#10;DhvXUJDHG/EhERt827ZPjI54CFWrVs3YPrY0fHIhjRsXYcpEI9vcyT7XOJa2TRs/pmsmZrjwRtg4&#10;tu1vZI9G7hhYLpUOnHxYbP4InXj16tU51iViXjrtEkvqGHHZJUd4Xs9B24v/HbXJ32yurdgpPnZ0&#10;D3UPFQOKAcVA4TEgHFLsHyXfoOT5lhqcUHLHSI02uY4aYyHHRMHxYONbDf9mcMKsGze4SJ4ZnEs7&#10;6uybN1neeOfObZeNY1A5yB6Tqd/U+17jer179aWWLVt7bb78eCdknaqzLjwmC/s9tsnfbK5d2H3S&#10;/iWPRd1j3WPFgGLgVcCAcEfU4I9ShAN6qp0c0XkdYyVXo3DRKlWqsM3j5ElTmRuCIwpPRB5rKTk5&#10;OS/Ec2zRM8cle1y6tfiyR/A8xOyuWatWiXNHxHeE3FH9rEv+d8Qmf7O59qvw+6SfseS/P7rHuseK&#10;AcVAUTHg5JByLDxQauGVUku71DJOarQnp5wytoZ1WVfcv99AglzRU4Ge2j0eT8q5+xT4eibzx9BW&#10;N73C9xDrsUWLll6ZKy+ZI3xyEJ9H9dW++T7a5G821y7qd13H+QaXus+6z4oBxcCrgAHhfN6uYRcJ&#10;LgUdbmxsrEu+KHxRak9cTPTWdZpe9wrfg38PfHc8reWtNvhXI7fOq4AZf/iMNvmbzbX9Ye/1HvTd&#10;qBhQDCgGFAMlhQHE5xb+WJhYOTUa3PCq3BE+17iPkvK3xryhRs5aUvuo8774HbXJ32yurVh4EQu6&#10;J7onigHFgGKg7GAAPiPgbCiwBSwof+wy6h5zx+r1rnlNVgh/GcR79Jac0TmP5rH2PWZt8jeba+vv&#10;o++xpnuue64YUAwoBgqOAcQp/Oabb4olT8Mcwh8Lqjd+f8UXLn+ZdTEPvML3YO/obe44atQ412dD&#10;XnDFVsGxVdy9ssnfbK5d3H3T8b7DqO617rViQDHwKmKgatWqXvEZBndsaOwBIZ9zyuvyOw6umOsv&#10;U7XWDY7Xs/3QowKP9TRvpUohXtdZI+4P8nnj872K+LD5mW3yN5tr29xzXVvfg4oBxYBiQDGQHwY6&#10;depG3pKlYS6RPXridZ7aPlj3pZE9pj6TP+bGCy9OzMd27dpzjpnMzIvF4qDOe8Vn6mw+W3Fls/k9&#10;B73m+Xtqk7/ZXFvx4BkPui+6L4oBxYBiwC4GIiZOcXE9b8QqzM6+xfMV1lflrYGwewR/FA6ZVqx8&#10;M8h5A1mhN/gjYkaigD9OmjRN5Y4lnL/a/TfBJn+zubb7Pui53d9K3X/df8WAYkAx8D+0ZcsOF2+E&#10;nrl163Ze4UWYB7meB/QfVCjdNXITogSWy2AZZHF018hRWKtWbZY/OuWHhTkG70T87ypGnw/eiM8F&#10;bqzY8e3vh03+ZnNtxZlvcab7rfutGFAMKAbyx0BExFQXb0R8HeSH8RZ3RMxs0VsXVv4Ibif2j2+G&#10;Fy9eOHTXBfXZ8cQpIWvE3gBLCYeOqb7ax/JG+Q7b5G8215bPr3X+v2W6P7o/igHFgGLANxiA/GzO&#10;nPls5wj5I+Rr4EnesOeD7hvzeeJjBWmTuD3gkJey7hV5njZt2rHeGhywKBwWMcDhOw5MQvYIXxnF&#10;p2/w6dxnm/zN5trOPdBj3+NO91z3XDGgGFAMeMYAuCK4nuSGgT+IN/LOQO54PDExzxwz7vkJnZwy&#10;V2+da/dYXL11UFAwVa9evdC+M9BX4zOIjhrcUXMQesZQSX+3bPI3m2uX9L7q/HbwrPuu+64YUAz4&#10;GwYKy/vEV2b//gTmSuBIhZ3D2V9yX0P/vfnj6Hy5o+Qq9FQHvn7B2Dwm0bDIz4ssdxQ+KraPsL+U&#10;NsgiEbMRMcz3xu51tct1tLlzR81DaOf7bpO/2Vzb335b9H7s4F/3XfddMaAYKCkMCH8T7vb7778T&#10;ym+//cbFeezs8+TJUzqRnEr79h2kChUq0IcfrnCNkbGFrTd9vIXnOnr0KN3KuZVvycnJISl37twm&#10;KW+Gm1yF5ZMoMCCDUs7df4HbCccraC1+0vAJgv81dOrBwcHMD9HmPo/EAhffc+jzO3XsqjprCzaP&#10;NvmbzbVL6rdC59X3kGJAMaAYUAwIbxR++Ouvv9Ivv/xRfv75v/lcauc16YtrP/30ExccF6ZgnPTH&#10;ccuWbWjihMmUdeMGl2vXs1zHaMO5tGVnZxu98LNy8ybzzGxTT/no81zuWP44Ld9RvFjhwgshfwSH&#10;rFu3Ho0YPpr9wGvXrs22jOCK6Ac5JOSTaN+wYbOLK8ImFHkX9fvm+++bTf5mc23Fmu+xpnuue64Y&#10;UAy8Chhw8kbwQOF/P/zwD/r++++5fPfdd65jtP34449c0AfHqNHn22//xkWOpcYYOUbtXjBOro8Z&#10;PZ4CAgJo69ZtdOnSZS4XL14kKWhzHl++fIVQrly96uKUMUdvU6XAryiwwhEjdzxJbQY+Yd23cEBv&#10;1tBLDxo0jGWR4I84R0FOQ9SvAob8/TPa5G821/b356L3p+9YxYBiQDFQ+jDgiTeCxz19+ld6/Phr&#10;evjlIy4PHjx8roaeGgV9pC/63Pv8Cy44vnjxMiWdOEn3739BOEdxHjvbpD0yciHVrFmLli1bTmmn&#10;0uj06Qwu6enphCLnuIaCtoyMDDpz9iydPXeeLmRmMq8MqfYZBQVeosCK8RRUIZWCyj+lrQfve50/&#10;zp07n33Lt27dSXVCQzmeD+w0cT5w4DBS+0b/+E7Y5G8219bfZP/Anz4HfQ6KAcVAWcGAkzfCHhHy&#10;xm+++Zb53e07dyn75i26npVNV69l0ZUr1/gYNc5v377L5VbObbr76WdGT3yb2y9dukKZhjOiHzgU&#10;7AH3xR3kc7ThGvqg4FyOpX3VqiiTy7oxxcfH06GEBDp8+DDXOJaCtoT4BO6D4yNHjhh/7OMEfbLw&#10;zUmLLlBQ0ClTYimoYjJ1GPbAfJ6bbAuZn392YeWRsHsU3+nQ0LosZ4TvUFnBSFn5HDb5m821y8rz&#10;08+h713FgGJAMWAfA8Ib4fMC3vjo0WOWEUKOCF64a1cs7T+QQHFx8Uaed4H27jtA27Z9YmR8Z+n4&#10;8RQ6ZOJcC6fcvHkbTZ8+mw4cOMR9t27byX169uxL5cqVoxEjxtCatetp9ep1lJZ2mueIiYmj6Ojt&#10;XNLTz3A7rnfv3ovatHmLYmNizXrbaP68hfTRRyto3959XJYvX2niSa6kqKj13CcuLo4WLFxMn3zy&#10;CXPLjRs2UfzBeNqxYyeFtkimoODdhj/up+Vbb7BNZI7xq/Emd4S/jMTgAa6dx4pz+ziXZ2CTv9lc&#10;Wz6/1v6DRX0W+iwUA4qB0ooB4Y6o4R9z7foNata8BeuhIXOs36ABRUbOpzFjJtCZM+eNDLENhYd3&#10;ZN631vDAcWMjWIY4ZMgIeuednnzepElTOnbsBPdDn6FDR9Hw4aNotLFfbB/egVq1akObo7fxHL17&#10;9aNZsyO5L7jjyJHjqHad2kb/29hwx3Ym5k2siak9xXDJHoTcLuCOCxYs4j7v9elHHTt24T4bN26i&#10;xo0b0/79ccwdw806K1euZr564JDhjpVijO46jpp0fZ47eoM/rlyxmvXVoXXrcnzL0oqFV+G+bfI3&#10;m2u/Cs9WP6O+hxUDigHFgO8wIPxRfKthmwf+2LRZc5b/bdi4mTnhWMMTwQuRm+/8+Uxav34TjRs3&#10;ibkj8qQkJBw1ssFV3AdySvRDnz5mviVLP6LGZix8jJGDBpy0deu2XINnou+OHbt4LLgjfEtQt28f&#10;zvVCI1N8661w2r17t+GITZgnLl68lOrXr298U1pxPXToSOaN0Fu//XZHI99ca7joWEpJSaGajY4b&#10;nXWcsXs8Qi163qakjE+9IndEjpnKVSqb+27G96z+077DbVF+I2zyN5trF2WvdIx/Y1mfjz4fxYBi&#10;wDYGnPxx7doNNHjwCOrZ8z1at24Tbdm6g959tzc1MHwPdoiQ9cGuETrqCROmsP3j8hVrmAf26zuQ&#10;cxNCj92hQ2fugxocE/wQ9cmTadS0aTNatOhD6tdvEN24kc1zQs4YbeSR4IxNm7Yw9o5hxoZwlZFT&#10;tuZ4N5AlDhwwhEYa3TeOcQ3nM2fOZl4KHTV4IvxoOnQwvHXdBiMvHW/kmxk0Z/UlY3NpYjzC37p8&#10;IgUFnKIuoz6l7uM+oynLH7wQkzE/e0fE5nm3e0+CvBG66oULl7LcEbHQvZGH0TYWyvL6NvmbzbXL&#10;8jPVz6bvT8WAYkAxYAcDwh1Rw+6xuZE7QvYIX+s9MfuYz23atIV27Y6lTibX4G5TR0YuMD7EQ2nn&#10;J3togOFwkydP4+uQV8J3ulOnrnyOa+jzwQfzqIfhoLiGNnDEtLQM+uqrx3w8evQECjHxbNAeEhJC&#10;8DXBcWTkPPafBvds06Yt+1HjeJ3hhvvj9nOf997rb2Sh5025wP7VHTp2pk2bjLx0XATH9kHsniOp&#10;t6hR52zDG5Gj0PDIcsnPykmKTy0Yf0S8RvBFyEVRIOsUzErsbznX2g6W89t3m/zN5tr57Yle8z+c&#10;6jPRZ6IYUAyUFgw4+ePixR8R5I/wuUZ8HeirEbvxeFKKOZ5IXTq/4yqdzTH8aAYPHk69evU1ssat&#10;zDnHjJnI/XEdBefHjiXxtX3G5wb9Ee8RBeMSje9NhQoBrINGjMZTp1IJHDAtLY3jNg4bNpJ279rz&#10;3DH69e07gD42OQs5ruO16xzbEfG6kQtw4cIlHEscMcORlwY+Ml1G3jF65stUrU7WM+6YQo26Fizf&#10;TEtjq9mnT3+2a4RuX+WMpev7bZO/2Vy7tPwG6X2Wru+TPi99XooBxYBgQDik2D8iTrgUZx4Z5zFy&#10;wcg5jp3n7u2erkmfsLAmrI925YeRPDEvq03cHcTeQRGOmGN4ojOPIXIUOn1jkJ8wsFy6S/44dtHL&#10;ZY/QVb/9dmeqVSvXJnOIQ+4o+6e1/36XbPI3m2srJv0Xk/ps9NkoBhQDZQEDwh1RI3YPOKSUwuaj&#10;Lmx/5MFGcXI+dw7ovObkieiHIhwRPFFyWkubux0jdNXBFc8/44+ptC4mf/6YmXmRfWPq1XuDddat&#10;jL9PWXjmr8pnsMnfbK79qjxf/Zz6DlYMKAYUA3Yx4OSQcgwuWZKlVau21L/fQBfnA/9zckDnuRwX&#10;pnbnjjjfceg+VQq6wvwxKOA8Xcq6l6/vDOKAQ94Iu0/4jCtO7eK0MPtvk7/ZXLswe6R9Sw+e9Vnp&#10;s1IMKAb8EQPCGUu6Rj7D1FOnCXmgwc2OJyYyZywML5S+nvjhy9ogbwwsd5L5Y9+p+ds+4v40Fk/p&#10;/L7a5G821/bH3xa9p9L5HdLnps9NMaAY8BcMSB4/+C6/+WaY4Y9t8pX9vYwLFuV6cGAmc8fGXe/k&#10;uTa4Le5x0qRpGgfc5M/xF/wU9D5s8jebaxd0f7Rf6cO0PjN9ZooBxcCrioFGjZqYuEAtqbKJ0SPx&#10;b4rC/4ozplHn28wdazbMypM7NgxrxPdXJzTUxOqpWuq406uKL/ncNvmbzbXl82ut7xjFgGJAMaAY&#10;KAsYQJwb8DDI9OCLglwtiL9dHB5YlLFhnT5l7pifzaPIHRHnsXXrdsodS5ns0SZ/s7l2Wfid0M+g&#10;7zvFgGJAMaAYEAwg3zVsCJOSklx8EbG/0YYYjUXhgUUZM2j2l4Y75m/zCM4IuShi9UREvK/cUblj&#10;gTGg3FF/8+Q3T2vFgmJAMaAYKBoGsrNNnhejqwYXc+eI4GaiuwaHhDyyKHywMGPeDL/Jckfkm6nb&#10;5lOP64HTIq9MWFhj9ZcpZbwR31Ob/M3m2vobVbTfKN033TfFgGJAMeBfGEB8G/Awp7xRuB7at27d&#10;yfzME7eUft6q67eHvjqFuWOtsJsv8Ebco9g6oi7ruaufPHnKPOvf/u3fTR7wEOrSpRtFTJpCu3bF&#10;UGJicoFlbe7fOYzFHJirRYtWVL58AK8zePDQIs/pvkZ+5zb5m82189sTveZfv4v6PPR5KAYUA4qB&#10;/6Hly1c/55MM+8bOJjYiOCF8Ttz5H2SOkEfK3sGucO7c+S/0cx9X1PPc+DzIcZ1scl2f9RgfHDaY&#10;IgdF7cxjLfdZ1upp02YxrwPnkfLn1/5Mr732J9c5uOV//df/M3sTaHKRV3muoA3X/uM//o+rP4//&#10;0x/jX/vT/6ImTZoRuKov9s8mf7O5ti/2VtfQ951iQDGgGFAMeAsD4FrI/Yz5YNsImR04I9phP+jk&#10;fOCIiNcDfinrg3tCb+3s563j1Av3mS+CNwZXzHwhLjjkjVh75YrVfL+hdetxHTFxiuv+5D7LYg3+&#10;+Nqf/reL+wmH9EaNecEbfblvNvmbzbV9uce6lr47FAOKAcWAYqC4GEAcbdg2Yp4tW3Ywd4TdIPgj&#10;OJnwQNg0gksiX4tzTYwvCe6IfNZVa197ZuN4ivPLyL1ILX7VTpljXcMfEw4de+4enfdb1o5Hjx5b&#10;Ivzx//7nf/pM3ijPxCZ/s7m2fH6t9fdcMaAYUAwoBkojBuCfDO4I/xjU0FHDvhH8DDJJ4Zny2SCD&#10;xDVPdpHC8QpbHzj50JWHMLBcKvWe9JmLw7rPlesfkysrrV6jBt+L+z3KvZbVWuwSoaMGB3rNoXfG&#10;eUEK5IzQWaOgf3HsJou6z1i3qGOLO87m2sW9dx2v7xrFgGJAMaAYsIEB6J7F9hF6afDFyMgFnKMF&#10;XOxkanqe7/Xevfuzr4o7ryvqeXCF3BwygeUyqJ+HHITgtWJjCXko4k1CRlq1ajWWndrYP39ZE7aJ&#10;f/nLXwrEF52cEj4ytj+DTf5mc23b+67r6ztHMaAYUAwoBoqCgVat27JcEWMhS8yPK7rPD3+ZKlWq&#10;eCVWz8Lox8/01Ck0ddWXHuWNEiMIPjLgp+CSYca/GlzXeW8lnec7r/md9+CrY3BG+EfDB8bpL+Pk&#10;h/kdQ2b5dodOVuSNskc2+ZvNteXza62/3YoBxYBiQDFQmjAArlhUXS/8rhEbp6hyRue4rqPv5fpU&#10;l894br67d+8QyvHERNalh9bNlY2KrSP4a15czhvt//rXvwiluHOVJCb69R9QaHmjk0/asHF07odN&#10;/mZzbece6LG+NxQDigHFgGLgVcAAeCc4HHxX4E/jHkvcyQ1fdty4213mjlVrXmXuKJzxzp3blHgs&#10;keWbdYxO/erV6/TVV49pX9xBPv7999+Z24HfyTHq3377zUrB2nIf7nyzJDEB/lgU32vbvBF7YpO/&#10;2Vy7JPGgc+s7SDGgGFAMKAb8FQPwt5Y8NIXxuwbXFNtF8MqQSrn5Y2o0uE6bP45mWWNOTg7dyrlF&#10;GzZsogoVKtCsWZH0yy+/usrPP/83H//66x9tcoxrP/30Exc5Rl2QgnEyRuaQNme7zOW8JveH+3Dy&#10;V5FdluRzrF07tFDyxz+/9hpduXLtOX1/Sd5fXnPb5G82185rP7Rdf+8VA4oBxYBi4FXAAPLR5Ppk&#10;V+E4P7BDdMb6ccodYSMpfcEhm71zmYJez87VWb/+OdVr2IV14RlnztK161k0ccJkatiwEX3//fce&#10;y48//kgoP/zwD67R77vvvqNvv/0bFzmW2nkdbe4F46SvzCFtznYZJ31wjrnlPsAthUuCR5Y0f4Tt&#10;I/gg+NDLCmSUiPPjD9i0yd9sru0Pe6/3oO8nxYBiQDGgGLCJgblzFxLsD8ELEa8b/NHJGeUYvtzI&#10;YdPb+GlXrtnB8Ma/P+OOSaZ+ZPKgfEsdO3Zhznjx4kUKCAigUSPH0cMvH9GDBw+5yDH010+f/pVj&#10;Ej5+/DUfow397n3+BRc5Rn3//heuOZzHMi/apB31Z599znNIm8zhPHeug7XlPoRLgk+CR4I/ih67&#10;pJ5TQeM+wrempO6hsPPa5G821y7sPml//X1XDCgGFAOKgbKAAfhmozg/C+wgkfcaHBE2kKNGjeN4&#10;kcIdIWuEnhs8E77T1RrsoaByX5tyj4LKP6WZa+4Z+8b/z965/lhVnXF4fWmLSW2qaWxSbdKElChU&#10;ZRAjIDe1oii0aG1VkBGUQRHkNuVikdRL1cQakUqVIpVCuSlDAPHWar2gAkKrqA36rR9MNNbGT/4B&#10;3b9F3jPr7NkOjDPnvHvOeSZZ2be199rnXc+712/etdfaZ4X58xdl/dVrs+8r/yhs2rQ1vHvk/fCv&#10;d47Eflatq79Vy6MffhSOHv0o698+Gtff/+Df8dihQ/8MB98+HNe1TLdtXUslXSvNY8fffOtAOHDg&#10;7apjymd5lW///oOVbd2Pytc9SWdKSypJRyoGWQ/9aPM9ShcVJcUcyzA3jzHjqd88y7bfz5K2AAZg&#10;AAZgoJkYmJrFDidNmhK/byjNaL/dxtHEGGQ2xkVzR2o+RunH9DvUmltc7zcOGb4x046fh3ue+DQs&#10;XNAexo0bH958a3+4sXVmFoc8M2zcuDns2LErvPHG/vDU0zvj+r59b4aOnbvDnux7MtKUL7/8ali1&#10;6tGwfPmdYefOPdn5B8KTGzaFF154KWx/qiMo/yuvvB4effSxsHr1H8Orr74e923btiMorV//l/Da&#10;a2+EZ555Lq4/snpN2LVrbzxn955nwxPrN8Sk85R0DZ2jPNrWubq2yv1HZouOjt2V+Kdio3ovsh59&#10;1/r93Y2bKVPMUbx46jfPss1XWNJmwAAMwAAMNBMDijnqW4CKMea/W6i5fzTvuMbTKA55ySUTKn3Y&#10;+i6Mvn+o8TX2He1V616KY5QfeuiRMLRlaLj88itif/X55w8PN998S5g3b2F47rm/Zd9bHpfFMhdE&#10;3ad98+e3x7jfNddcF5Ruv31xzCOteOWVP4t6bk7W5y3deOutt4err/plGJNdY+u2p6PeU5777n8w&#10;5pX+mzmjLVxx5eQw9frpYcWK30ZdqPNtv3Si8rcMawl3rrwr5tM+6cZLs/kypR3XrXsys8fVLtpR&#10;/H1V7FFzQP4hu88yMeqp3zzLLlMdcC+0WzAAAzAAA/VmQLpx6vWtX6lJ2trmRI1o/daKQepbh+q3&#10;lr48cuSDGKfTu4KKzY0ZMzace+45YeSoUWH6DTPD/EwPKs2adWvUZ9KM6iueN29RRTtqXbHHu++5&#10;P1wwYkTUcNKojz32pzBtamuMe1566YSw99kXovaUBpXW01I60/Jqn/TkmjVr43W0XzpR8U7tf/HF&#10;l+M5Ok8xTZWlPFqqbPV///nJjVFLf/zxsXcvNZ7G3nms9ZgZ1f21115f2F99yimnfGUd1ZsZK89T&#10;v3mWbb+fJc9rGIABGIABGOjKgPqs0zl5pCEVc9R7j7KX9XFLG2p+xIuzY0OyWObo0WNi3HLRoqVx&#10;/Iz6stUvvXDhkvh+44IFv47res/w3nsfiPqtdfrM7H2+7bEfe/LkKVkf+YagpeKT0njq0929+9nY&#10;L67rKL333vthwoTL475tWTxSY3X0DqXKe+CB38dt5dF+pRVZPDLmyd5rbG29Oc4fNCLTjnrPUeNr&#10;Nm/ZHqZMuSaO8/7ss//Gsdeat6ceulH21Jhr6aJ8KsvY6tRHPPWbZ9mpDVjv+szAJtgEBmAABpqb&#10;gcWLl8bx1xZ31FL93Io9zp49Nx47Nm/PkKAY5cCBA2O/tfqWW1qGhaVLfxNjf1u3PhV12ZIld4Qt&#10;mT6bObMtpk1/3Rquu3ZauOuu32Xja9aFceMviv3FiodKx82YMSsoT3v7srj+n2wci/KPGDky040f&#10;xPEsii3quooV6jzpL23rWmvXrq/s1xjxNI/uaXyWZ+7chXGct95tfDqLUV6V9Y3b/JAaJyNNXOtx&#10;1qmfjRx5YRftqN+U5inDuqd+8yy7DLbnHpr7uUz9U/8wAANlZ0A6UbFGja3WGBlpx/b25VE3Kiap&#10;8demH/WtwwmXTQyDBv04vie5o2NXHJuiuRMPHjwctZnih5W07M7YR633Im+6aXb2XuSLMeanGKXy&#10;L8+OKy1btiLmUx+y9N2qR9ZU5ozUtXT9L774Iu63spbfsbJqv66X5lG+O7I8hw4drszt+M6772V9&#10;3o8HxRqV6jG+Ol//GkudfuN67NjxpdONumdP/eZZdr6+2OYZDgMwAAMwAAPVDBybt2dIJf5o7zxq&#10;rIzFI2+7bX4ch62+5bYsHtnWdls4fPidigazubaLll9+2TkXt9bTbctv+4uOWZ6vszSNaEtpRfs2&#10;Yb3jjSl3er9R+kgaUloyPVaWdU/95ll2WezPfVQ/p7AH9oABGICBcjAg3aiY4ujR47qMmZFeNO2o&#10;peaEVN5hw86LfcfSXmmSLqtnUtnHKy+9P63be43WR62lB4s2ZqaMY2TMHp76zbNs+/0sy/GMoh6o&#10;BxiAARjwYcC+LSP7a/yLkubqMe2ofmr7lrXmeUw1o62bdpw4cVI2f+KGyjuCpsOky+qZ8uVqu0gb&#10;Wr6ipRePGvMtfVTGMTJmE0/95lm2/X6WPs8q7I7dYQAGYKAcDGguR42dtnHTx8bDDI5zg+s9R/VT&#10;K6aopHcfTS/ml8prY7CLtFjZ95WJxwsvHBvnDSrTPaX34qnfPMtObcB6OZ5f1AP1AAMwAAO+DEzN&#10;5lTUN60VZ9Q7jaseXl3pt5Z2zPdVp/pRmlP6kzrsfR2WcWx1Wq+e+s2z7NQGrPeec2yIDWEABmCg&#10;MRjQvN+a70ZaUPpR8zzOmjUnaBz1wYNvd4k7avy1fe8aBmrHgL4t09Z2SzaX+X3u+txTv3mWDd+1&#10;4xvbYlsYgAEY6P8MKAYp3Tht2o1xWRRzVD+19WdrPkjqvbjeNV76zLMGhzPO+GFM+j615nJc3L7k&#10;uH3TOlffK7TvXS/P5iXytrOnfvMs29vulF/sX9gFu8AADMBAeRiw+cGlD6UTi+KOOiaNSb11X2/S&#10;fCcNGNBl7m9poUmTf15oP8UaddyS5u0h7viNQlvBX/f8YR/sAwMwAAMwUC8G9P1qiy2m8zrau44a&#10;P6Mx2fW6n/5cjsZQK45oSZrR9GR+HvBPPvm0ckwxR5szXDFLbxt4xv48y/a2O+Xz3IcBGIABGOgP&#10;DHR07I7vPpp+TPuutX5e9k4kY2S+PsvSkdJDA75VPS9P+n3Cy7Lv9UgzHsv3zfD883931Y+e+s2z&#10;7P7gr9zj1/dFbIftYAAGYKDvGND4GWnHwYMHx2/IWMxRY2QUl8TWJ25rzf2tfmfFFc1uij9KEykG&#10;qf2KT1qc0fbpHHvnUbrSzvVYeuo3z7I9bE2ZJ+5b2ApbwQAMwEC5GDD9KL1oc4FLT9Jf3bN6kvaR&#10;BjxpwElB7zOK87R/WnOCpzFHac18Hl1D+tLLRzz1m2fZXvam3J75GPbCXjAAAzBQHgbUN625e6z/&#10;Gt3Y87qR9lEa8pOzq7SffYvw1FNP7RJzNB+w+KTOv/jin1adb3nqsfTUb55l18O2lNFzn8Jm2AwG&#10;YAAGys2Avleob9FoSV31vK40Jkb6Z/jwC6reW0xjjzquZDFHs7NijTa2Rse93ntU2XZP9V56ll3v&#10;30p5PfcvbIbNYAAGYAAGGo0BacRBg86M2lA6SEn915r7MdWF9p5j/ve33jij8t7jD04/veq9yXze&#10;Wm176jfPsmtlT67Lcw4GYAAGYAAGYOB4DGjsy9nnDI3a0cbFSBfZeJh8zDG9nmKXlk/zhuu9SWlS&#10;pTRfrdY99Ztn2bWyJ9fleQEDMAADMAADMNATBtJ5H6UD1Z99vLEwqX6MmjObN1yxynr0Y3vqN8+y&#10;e1Kn5OUZAAMwAAMwAAMwUDYGNm/eFqQhTzvt+5U+8JO/ffJxdWdvf4enfvMsu7d243yeITAAAzAA&#10;AzAAA83IgKd+8yy7Geua38wzDgZgAAZgAAZgoLcMeOo3z7J7azfOx/dgAAZgAAZgAAaakQFP/eZZ&#10;djPWNb+ZZxwMwAAMwAAMwEBvGfDUb55l99ZunI/vwQAMwAAMwAAMNCMDnvrNs+xmrGt+c98841au&#10;vDsc/fCjqjm0tK/Ivp9//r/w+ONPhNmz54Z9+96qyqNraP+DDz4clC9/vq6ZT/k8bPdNnWLHxrRj&#10;6pdbtmyP/iZ/LPI37VP+RYuWdvHvvXufr/hqnhX5cd5PVUY+H9uNyViz1qunfvMsu1nrm9/d++dX&#10;y7CWoLYktaX2pdu2Lm14w7QZsW0ZOWpUpc1Se6NzpBsnTpwU2ys7x5Y6nm+T7BjL3tcjNmx8G5pf&#10;SjfKz+S3v7j6V9Gv8vWv/earymvH9T+ffNd8Na8Ldc28r+bz2LVYNj5zzVLHnvrNs+xmqV9+Z988&#10;q6Th1D6kSW1Nuq31vL3V5liMUvlNc6pt0bbyW3uWP7foevk8bPdN/WLHxrFj3i+1bfFE1XPqe2m9&#10;p/6W/p+XnisNKn2ZnmfaMd3HeuPwRF0W16WnfvMsGx6KecAuxXax2IP6tdTGqL1QO3LRRZfEWGLa&#10;7qQ2TPen2jFtj+ya6Xla17k6xxKxjOK6yduN7ea2k8UYzYe0lL/KV9UPoKXypJzk9V/eV+Wvdh0d&#10;KzrX/FTL/PspaX7Wm5vPRql/T/3mWXaj1B+/o37PIbUfijmYdpTt9W6UUqoRpfFM56XxC2uP1Pel&#10;tsvaILUzas8Un1QbZudaOdqnZPFL6rx+dY6t+6etpRHlr+aX8h35onxVS/mf/meTL8q3VM+WV+vy&#10;R/mlfFHXyWtHnaNrmG/mfVXXhp3+yQ71dmL15qnfPMuGjxPjAztV20nvQVk7IduojbB92lZbIn2p&#10;pLZHS7VP1nZpqXZJbZLpRdOkOlfXUtuma6VtGfVQXQ/YA3t0x4D8Uv5lPiTf0rbOsfFppgvlc+af&#10;pgdTH1Q+5dE1da7pUl1PSde2crq7J47BbCMx4KnfPMtupDrkt9TvmWRtjNoLs7s0orUdOq52Rm2K&#10;2hqLKeq4xS4Ub5Se1LbaKOVVPruO9ll7pPMsWZzSymVZv3rH1v3P1uZDVnfWZyA/km/quHzV/Eq6&#10;Ub4o/5Ne1HmmDaUX5YemIZVX+bRPec1HbWm+bmWz7H/8UGfd15mnfvMsGy665wL7YB8YgAEYgAEY&#10;gIEiBjz1m2fZRbZgHz4CAzAAAzAAAzAAA90z4KnfPMuGi+65wD7YBwZgAAZgAAZgoIgBT/3mWXaR&#10;LdiHj9SSAXiHr1ryxbX7ji98te9sCZeNaUtPH/EsG54bk+cy1yu8w1yZ+eTeOvnEVzttARfYoogB&#10;Tx/xLLvIFuzDR2rJALzDVy354tp9xxe+2ne2hMvGtKWnj3iWDc+NyXOZ6xXeYa7MfHJvnXziq522&#10;gAtsUcSAp494ll1kC/bhI7VkAN7hq5Z8ce2+4wtf7TtbwmVj2tLTRzzLhufG5LnM9QrvMFdmPrm3&#10;Tj7x1U5bwAW2KGLA00dUNgkbwAAMwAAMwAAMwED/YqBIU7KP/zVgAAZgAAZgAAZgAAZgAAZgAAZg&#10;AAZgAAZgAAZgAAZgAAZgAAZgAAZgAAZgAAZgAAZgAAZgAAZgAAZgAAZgAAZgAAZgAAZgAAZgAAZg&#10;AAZgAAZgAAZgAAZgAAZgAAZgAAZgAAZgAAZgAAZgAAZgAAZgAAZgAAZgAAZgAAZgAAZgAAZgAAZg&#10;AAZgAAZgAAZgAAZgAAZgAAZgAAZgAAZgAAZgAAZgAAZgAAZgAAZgAAZgAAZgAAZgAAZgAAZgAAZg&#10;AAZgAAZgAAZgAAZgAAZgAAZgAAZgAAZgAAZgAAZgAAZgAAY8GfhOCOF7WdLfd7Ok9f8DAAD//wMA&#10;UEsDBBQABgAIAAAAIQCdx2qR3QAAAAYBAAAPAAAAZHJzL2Rvd25yZXYueG1sTI9PS8NAEMXvgt9h&#10;GcGb3cT6p8ZsSinqqRRshdLbNJkmodnZkN0m6bd39KKXgcd7vPm9dD7aRvXU+dqxgXgSgSLOXVFz&#10;aeBr+343A+UDcoGNYzJwIQ/z7PoqxaRwA39SvwmlkhL2CRqoQmgTrX1ekUU/cS2xeEfXWQwiu1IX&#10;HQ5Sbht9H0VP2mLN8qHClpYV5afN2Rr4GHBYTOO3fnU6Li/77eN6t4rJmNubcfEKKtAY/sLwgy/o&#10;kAnTwZ258KoxIEPC7xVvNn0QeZBQ/PwSgc5S/R8/+wYAAP//AwBQSwMEFAAGAAgAAAAhAI4iCUK6&#10;AAAAIQEAABkAAABkcnMvX3JlbHMvZTJvRG9jLnhtbC5yZWxzhI/LCsIwEEX3gv8QZm/TuhCRpt2I&#10;0K3UDxiSaRtsHiRR7N8bcGNBcDn3cs9h6vZlZvakELWzAqqiBEZWOqXtKODWX3ZHYDGhVTg7SwIW&#10;itA22019pRlTHsVJ+8gyxUYBU0r+xHmUExmMhfNkczO4YDDlM4zco7zjSHxflgcevhnQrJisUwJC&#10;pypg/eKz+T/bDYOWdHbyYcimHwquTXZnIIaRkgBDSuMnrAoyA/Cm5qvHmjcAAAD//wMAUEsBAi0A&#10;FAAGAAgAAAAhAKbmUfsMAQAAFQIAABMAAAAAAAAAAAAAAAAAAAAAAFtDb250ZW50X1R5cGVzXS54&#10;bWxQSwECLQAUAAYACAAAACEAOP0h/9YAAACUAQAACwAAAAAAAAAAAAAAAAA9AQAAX3JlbHMvLnJl&#10;bHNQSwECLQAUAAYACAAAACEAL//abUUCAAAwBQAADgAAAAAAAAAAAAAAAAA8AgAAZHJzL2Uyb0Rv&#10;Yy54bWxQSwECLQAUAAYACAAAACEAIIQzNbFVAwA8ECUAFAAAAAAAAAAAAAAAAACtBAAAZHJzL21l&#10;ZGlhL2ltYWdlMS5lbWZQSwECLQAUAAYACAAAACEAncdqkd0AAAAGAQAADwAAAAAAAAAAAAAAAACQ&#10;WgMAZHJzL2Rvd25yZXYueG1sUEsBAi0AFAAGAAgAAAAhAI4iCUK6AAAAIQEAABkAAAAAAAAAAAAA&#10;AAAAmlsDAGRycy9fcmVscy9lMm9Eb2MueG1sLnJlbHNQSwUGAAAAAAYABgB8AQAAi1wDAAAA&#10;">
                <v:shape id="Image 25" style="position:absolute;width:52959;height:74866;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EUygAAAOMAAAAPAAAAZHJzL2Rvd25yZXYueG1sRE/NasJA&#10;EL4LfYdlCr3ppkajpK4ihRIvCtoe9DZmp0na7GzIrjH26btCocf5/mex6k0tOmpdZVnB8ygCQZxb&#10;XXGh4OP9bTgH4TyyxtoyKbiRg9XyYbDAVNsr76k7+EKEEHYpKii9b1IpXV6SQTeyDXHgPm1r0Iez&#10;LaRu8RrCTS3HUZRIgxWHhhIbei0p/z5cjIL1Wc62543Nfk7x8fSV7bJ4V7NST4/9+gWEp97/i//c&#10;Gx3mJ/FskoynkyncfwoAyOUvAAAA//8DAFBLAQItABQABgAIAAAAIQDb4fbL7gAAAIUBAAATAAAA&#10;AAAAAAAAAAAAAAAAAABbQ29udGVudF9UeXBlc10ueG1sUEsBAi0AFAAGAAgAAAAhAFr0LFu/AAAA&#10;FQEAAAsAAAAAAAAAAAAAAAAAHwEAAF9yZWxzLy5yZWxzUEsBAi0AFAAGAAgAAAAhAEXP8RTKAAAA&#10;4wAAAA8AAAAAAAAAAAAAAAAABwIAAGRycy9kb3ducmV2LnhtbFBLBQYAAAAAAwADALcAAAD+AgAA&#10;AAA=&#10;">
                  <v:imagedata o:title="" r:id="rId31"/>
                </v:shape>
                <w10:anchorlock/>
              </v:group>
            </w:pict>
          </mc:Fallback>
        </mc:AlternateContent>
      </w:r>
    </w:p>
    <w:p w14:paraId="6B51260D" w14:textId="10FDB6AF" w:rsidR="005745FE" w:rsidDel="00026415" w:rsidRDefault="00B820EF" w:rsidP="00B820EF">
      <w:pPr>
        <w:pStyle w:val="Caption"/>
        <w:rPr>
          <w:color w:val="auto"/>
        </w:rPr>
      </w:pPr>
      <w:bookmarkStart w:id="71" w:name="_Toc230426699"/>
      <w:r>
        <w:t xml:space="preserve">Figure </w:t>
      </w:r>
      <w:r>
        <w:rPr>
          <w:b w:val="0"/>
          <w:caps w:val="0"/>
        </w:rPr>
        <w:fldChar w:fldCharType="begin"/>
      </w:r>
      <w:r>
        <w:instrText xml:space="preserve"> SEQ Figure \* ARABIC </w:instrText>
      </w:r>
      <w:r>
        <w:rPr>
          <w:b w:val="0"/>
          <w:caps w:val="0"/>
        </w:rPr>
        <w:fldChar w:fldCharType="separate"/>
      </w:r>
      <w:r w:rsidR="00132821">
        <w:rPr>
          <w:noProof/>
        </w:rPr>
        <w:t>4</w:t>
      </w:r>
      <w:r>
        <w:rPr>
          <w:b w:val="0"/>
          <w:caps w:val="0"/>
        </w:rPr>
        <w:fldChar w:fldCharType="end"/>
      </w:r>
      <w:r>
        <w:t xml:space="preserve"> : </w:t>
      </w:r>
      <w:r w:rsidR="005745FE" w:rsidRPr="5A47F785">
        <w:rPr>
          <w:color w:val="auto"/>
        </w:rPr>
        <w:t>Localisation de la RNP 4</w:t>
      </w:r>
      <w:r w:rsidR="05096495" w:rsidRPr="5A47F785">
        <w:rPr>
          <w:color w:val="auto"/>
        </w:rPr>
        <w:t xml:space="preserve"> (SECTION 1)</w:t>
      </w:r>
      <w:bookmarkEnd w:id="71"/>
    </w:p>
    <w:p w14:paraId="2096F8C1" w14:textId="5AFB03DC" w:rsidR="005745FE" w:rsidRDefault="005745FE" w:rsidP="00575CDF">
      <w:pPr>
        <w:rPr>
          <w:color w:val="auto"/>
        </w:rPr>
      </w:pPr>
    </w:p>
    <w:p w14:paraId="0F2A5CBE" w14:textId="77777777" w:rsidR="00EF4097" w:rsidRDefault="00EF4097" w:rsidP="00EF4097"/>
    <w:p w14:paraId="6ACAB5A4" w14:textId="77777777" w:rsidR="00EF4097" w:rsidRDefault="00EF4097" w:rsidP="00EF4097"/>
    <w:p w14:paraId="136FDC3E" w14:textId="77777777" w:rsidR="00EF4097" w:rsidRDefault="7F02E3A1" w:rsidP="00EF4097">
      <w:r>
        <w:rPr>
          <w:noProof/>
        </w:rPr>
        <w:lastRenderedPageBreak/>
        <w:drawing>
          <wp:inline distT="0" distB="0" distL="0" distR="0" wp14:anchorId="201F0371" wp14:editId="0DE9A6E5">
            <wp:extent cx="5761219" cy="3840813"/>
            <wp:effectExtent l="0" t="0" r="0" b="0"/>
            <wp:docPr id="205563245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632455" name="Picture 2055632455"/>
                    <pic:cNvPicPr/>
                  </pic:nvPicPr>
                  <pic:blipFill>
                    <a:blip r:embed="rId32">
                      <a:extLst>
                        <a:ext uri="{28A0092B-C50C-407E-A947-70E740481C1C}">
                          <a14:useLocalDpi xmlns:a14="http://schemas.microsoft.com/office/drawing/2010/main"/>
                        </a:ext>
                      </a:extLst>
                    </a:blip>
                    <a:stretch>
                      <a:fillRect/>
                    </a:stretch>
                  </pic:blipFill>
                  <pic:spPr>
                    <a:xfrm>
                      <a:off x="0" y="0"/>
                      <a:ext cx="5761219" cy="3840813"/>
                    </a:xfrm>
                    <a:prstGeom prst="rect">
                      <a:avLst/>
                    </a:prstGeom>
                  </pic:spPr>
                </pic:pic>
              </a:graphicData>
            </a:graphic>
          </wp:inline>
        </w:drawing>
      </w:r>
    </w:p>
    <w:p w14:paraId="6074E08F" w14:textId="1F568DC1" w:rsidR="004233C4" w:rsidRPr="00D13682" w:rsidRDefault="00B820EF" w:rsidP="00EF4097">
      <w:pPr>
        <w:rPr>
          <w:b/>
          <w:bCs/>
        </w:rPr>
      </w:pPr>
      <w:bookmarkStart w:id="72" w:name="_Toc230426700"/>
      <w:r w:rsidRPr="00D13682">
        <w:rPr>
          <w:b/>
          <w:bCs/>
        </w:rPr>
        <w:t xml:space="preserve">Figure </w:t>
      </w:r>
      <w:r w:rsidRPr="00D13682">
        <w:rPr>
          <w:b/>
          <w:bCs/>
          <w:caps/>
        </w:rPr>
        <w:fldChar w:fldCharType="begin"/>
      </w:r>
      <w:r w:rsidRPr="00D13682">
        <w:rPr>
          <w:b/>
          <w:bCs/>
        </w:rPr>
        <w:instrText xml:space="preserve"> SEQ Figure \* ARABIC </w:instrText>
      </w:r>
      <w:r w:rsidRPr="00D13682">
        <w:rPr>
          <w:b/>
          <w:bCs/>
          <w:caps/>
        </w:rPr>
        <w:fldChar w:fldCharType="separate"/>
      </w:r>
      <w:r w:rsidR="00132821" w:rsidRPr="00D13682">
        <w:rPr>
          <w:b/>
          <w:bCs/>
          <w:noProof/>
        </w:rPr>
        <w:t>5</w:t>
      </w:r>
      <w:r w:rsidRPr="00D13682">
        <w:rPr>
          <w:b/>
          <w:bCs/>
          <w:caps/>
        </w:rPr>
        <w:fldChar w:fldCharType="end"/>
      </w:r>
      <w:r w:rsidRPr="00D13682">
        <w:rPr>
          <w:b/>
          <w:bCs/>
        </w:rPr>
        <w:t xml:space="preserve"> : </w:t>
      </w:r>
      <w:r w:rsidRPr="00D13682">
        <w:rPr>
          <w:b/>
          <w:bCs/>
          <w:color w:val="auto"/>
        </w:rPr>
        <w:t>Localisation du port de Mahajanga</w:t>
      </w:r>
      <w:bookmarkEnd w:id="72"/>
    </w:p>
    <w:p w14:paraId="7E1B04CF" w14:textId="4242B104" w:rsidR="004233C4" w:rsidRDefault="69D4E05F" w:rsidP="3DFFDF8A">
      <w:pPr>
        <w:rPr>
          <w:color w:val="auto"/>
        </w:rPr>
      </w:pPr>
      <w:r w:rsidRPr="3DFFDF8A">
        <w:rPr>
          <w:color w:val="auto"/>
        </w:rPr>
        <w:t xml:space="preserve">Les cartes suivantes </w:t>
      </w:r>
      <w:r w:rsidR="004233C4" w:rsidRPr="3DFFDF8A">
        <w:rPr>
          <w:color w:val="auto"/>
        </w:rPr>
        <w:t>montrent l’emplacement des zones d’interventions à entreprendre dans le cadre de la mise en œuvre de la composante CERC/PCMCI, phase 2.</w:t>
      </w:r>
    </w:p>
    <w:p w14:paraId="3ACF7C78" w14:textId="3AFC003A" w:rsidR="004233C4" w:rsidRDefault="004233C4">
      <w:pPr>
        <w:spacing w:line="259" w:lineRule="auto"/>
        <w:jc w:val="left"/>
        <w:rPr>
          <w:color w:val="auto"/>
        </w:rPr>
      </w:pPr>
      <w:r>
        <w:rPr>
          <w:color w:val="auto"/>
        </w:rPr>
        <w:br w:type="page"/>
      </w:r>
    </w:p>
    <w:p w14:paraId="115A1D5C" w14:textId="54DFECCC" w:rsidR="004233C4" w:rsidRDefault="004233C4" w:rsidP="004233C4">
      <w:r>
        <w:rPr>
          <w:noProof/>
        </w:rPr>
        <w:lastRenderedPageBreak/>
        <w:drawing>
          <wp:inline distT="0" distB="0" distL="0" distR="0" wp14:anchorId="6009C85F" wp14:editId="494CE62A">
            <wp:extent cx="5182553" cy="7775830"/>
            <wp:effectExtent l="0" t="0" r="0" b="0"/>
            <wp:docPr id="708973225"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193108" cy="7791666"/>
                    </a:xfrm>
                    <a:prstGeom prst="rect">
                      <a:avLst/>
                    </a:prstGeom>
                    <a:noFill/>
                    <a:ln>
                      <a:noFill/>
                    </a:ln>
                  </pic:spPr>
                </pic:pic>
              </a:graphicData>
            </a:graphic>
          </wp:inline>
        </w:drawing>
      </w:r>
    </w:p>
    <w:p w14:paraId="5C1A1C0E" w14:textId="6119358E" w:rsidR="004233C4" w:rsidRDefault="004233C4" w:rsidP="004233C4">
      <w:pPr>
        <w:pStyle w:val="Caption"/>
      </w:pPr>
      <w:bookmarkStart w:id="73" w:name="_Toc230426701"/>
      <w:r>
        <w:t xml:space="preserve">Figure </w:t>
      </w:r>
      <w:r>
        <w:fldChar w:fldCharType="begin"/>
      </w:r>
      <w:r>
        <w:instrText xml:space="preserve"> SEQ Figure \* ARABIC </w:instrText>
      </w:r>
      <w:r>
        <w:fldChar w:fldCharType="separate"/>
      </w:r>
      <w:r w:rsidR="00D13682">
        <w:rPr>
          <w:noProof/>
        </w:rPr>
        <w:t>6</w:t>
      </w:r>
      <w:r>
        <w:fldChar w:fldCharType="end"/>
      </w:r>
      <w:r>
        <w:t xml:space="preserve"> : </w:t>
      </w:r>
      <w:r w:rsidR="00D13682">
        <w:rPr>
          <w:caps w:val="0"/>
        </w:rPr>
        <w:t>Localisation de la RNP7</w:t>
      </w:r>
      <w:bookmarkEnd w:id="73"/>
    </w:p>
    <w:p w14:paraId="42C3387A" w14:textId="77777777" w:rsidR="00026415" w:rsidRDefault="00026415" w:rsidP="00026415">
      <w:pPr>
        <w:rPr>
          <w:color w:val="auto"/>
        </w:rPr>
      </w:pPr>
      <w:r>
        <w:rPr>
          <w:noProof/>
        </w:rPr>
        <w:lastRenderedPageBreak/>
        <w:drawing>
          <wp:inline distT="0" distB="0" distL="0" distR="0" wp14:anchorId="69A29654" wp14:editId="1D6E0EA7">
            <wp:extent cx="5760085" cy="3839210"/>
            <wp:effectExtent l="0" t="0" r="0" b="8890"/>
            <wp:docPr id="2007511650"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085" cy="3839210"/>
                    </a:xfrm>
                    <a:prstGeom prst="rect">
                      <a:avLst/>
                    </a:prstGeom>
                    <a:noFill/>
                    <a:ln>
                      <a:noFill/>
                    </a:ln>
                  </pic:spPr>
                </pic:pic>
              </a:graphicData>
            </a:graphic>
          </wp:inline>
        </w:drawing>
      </w:r>
    </w:p>
    <w:p w14:paraId="565A84B9" w14:textId="1CE936EC" w:rsidR="00026415" w:rsidRDefault="00026415" w:rsidP="00026415">
      <w:pPr>
        <w:pStyle w:val="Caption"/>
        <w:rPr>
          <w:color w:val="auto"/>
        </w:rPr>
      </w:pPr>
      <w:bookmarkStart w:id="74" w:name="_Toc230426702"/>
      <w:r>
        <w:t xml:space="preserve">Figure </w:t>
      </w:r>
      <w:r>
        <w:fldChar w:fldCharType="begin"/>
      </w:r>
      <w:r>
        <w:instrText xml:space="preserve"> SEQ Figure \* ARABIC </w:instrText>
      </w:r>
      <w:r>
        <w:fldChar w:fldCharType="separate"/>
      </w:r>
      <w:r w:rsidR="00D13682">
        <w:rPr>
          <w:noProof/>
        </w:rPr>
        <w:t>7</w:t>
      </w:r>
      <w:r>
        <w:fldChar w:fldCharType="end"/>
      </w:r>
      <w:r>
        <w:rPr>
          <w:color w:val="auto"/>
        </w:rPr>
        <w:t> : L</w:t>
      </w:r>
      <w:r w:rsidR="00D13682">
        <w:rPr>
          <w:caps w:val="0"/>
          <w:color w:val="auto"/>
        </w:rPr>
        <w:t xml:space="preserve">ocalisation de la </w:t>
      </w:r>
      <w:r>
        <w:rPr>
          <w:color w:val="auto"/>
        </w:rPr>
        <w:t>RNP 6</w:t>
      </w:r>
      <w:bookmarkEnd w:id="74"/>
    </w:p>
    <w:p w14:paraId="09389FFE" w14:textId="77777777" w:rsidR="00026415" w:rsidRPr="00026415" w:rsidRDefault="00026415" w:rsidP="00D42025"/>
    <w:p w14:paraId="197F5B97" w14:textId="05C7AB96" w:rsidR="004233C4" w:rsidRDefault="004233C4" w:rsidP="004233C4">
      <w:r>
        <w:rPr>
          <w:noProof/>
        </w:rPr>
        <w:drawing>
          <wp:inline distT="0" distB="0" distL="0" distR="0" wp14:anchorId="61A404DD" wp14:editId="15D0FF95">
            <wp:extent cx="5760085" cy="3839210"/>
            <wp:effectExtent l="0" t="0" r="0" b="8890"/>
            <wp:docPr id="620914901"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0085" cy="3839210"/>
                    </a:xfrm>
                    <a:prstGeom prst="rect">
                      <a:avLst/>
                    </a:prstGeom>
                    <a:noFill/>
                    <a:ln>
                      <a:noFill/>
                    </a:ln>
                  </pic:spPr>
                </pic:pic>
              </a:graphicData>
            </a:graphic>
          </wp:inline>
        </w:drawing>
      </w:r>
    </w:p>
    <w:p w14:paraId="146936F8" w14:textId="64F32A88" w:rsidR="004233C4" w:rsidRDefault="00D13682" w:rsidP="004233C4">
      <w:pPr>
        <w:pStyle w:val="Caption"/>
      </w:pPr>
      <w:bookmarkStart w:id="75" w:name="_Toc230426703"/>
      <w:r>
        <w:rPr>
          <w:caps w:val="0"/>
        </w:rPr>
        <w:t xml:space="preserve">FIGURE </w:t>
      </w:r>
      <w:r w:rsidR="004233C4">
        <w:fldChar w:fldCharType="begin"/>
      </w:r>
      <w:r w:rsidR="004233C4">
        <w:instrText xml:space="preserve"> SEQ Figure \* ARABIC </w:instrText>
      </w:r>
      <w:r w:rsidR="004233C4">
        <w:fldChar w:fldCharType="separate"/>
      </w:r>
      <w:r>
        <w:rPr>
          <w:caps w:val="0"/>
          <w:noProof/>
        </w:rPr>
        <w:t>8</w:t>
      </w:r>
      <w:r w:rsidR="004233C4">
        <w:fldChar w:fldCharType="end"/>
      </w:r>
      <w:r>
        <w:rPr>
          <w:rFonts w:hint="eastAsia"/>
          <w:caps w:val="0"/>
        </w:rPr>
        <w:t> </w:t>
      </w:r>
      <w:r>
        <w:rPr>
          <w:caps w:val="0"/>
        </w:rPr>
        <w:t>: Localisation de la RNS30</w:t>
      </w:r>
      <w:bookmarkEnd w:id="75"/>
    </w:p>
    <w:p w14:paraId="303C1D74" w14:textId="68EC0EC1" w:rsidR="004233C4" w:rsidRDefault="004233C4" w:rsidP="004233C4">
      <w:r>
        <w:rPr>
          <w:noProof/>
        </w:rPr>
        <w:lastRenderedPageBreak/>
        <w:drawing>
          <wp:inline distT="0" distB="0" distL="0" distR="0" wp14:anchorId="7A9BA922" wp14:editId="34A5C223">
            <wp:extent cx="5269548" cy="3512257"/>
            <wp:effectExtent l="0" t="0" r="7620" b="0"/>
            <wp:docPr id="977996809"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73471" cy="3514872"/>
                    </a:xfrm>
                    <a:prstGeom prst="rect">
                      <a:avLst/>
                    </a:prstGeom>
                    <a:noFill/>
                    <a:ln>
                      <a:noFill/>
                    </a:ln>
                  </pic:spPr>
                </pic:pic>
              </a:graphicData>
            </a:graphic>
          </wp:inline>
        </w:drawing>
      </w:r>
    </w:p>
    <w:p w14:paraId="37BBD7D6" w14:textId="6B00CD3F" w:rsidR="004233C4" w:rsidRDefault="004233C4" w:rsidP="004233C4">
      <w:pPr>
        <w:pStyle w:val="Caption"/>
      </w:pPr>
      <w:bookmarkStart w:id="76" w:name="_Toc230426704"/>
      <w:r>
        <w:t xml:space="preserve">Figure </w:t>
      </w:r>
      <w:r>
        <w:fldChar w:fldCharType="begin"/>
      </w:r>
      <w:r>
        <w:instrText xml:space="preserve"> SEQ Figure \* ARABIC </w:instrText>
      </w:r>
      <w:r>
        <w:fldChar w:fldCharType="separate"/>
      </w:r>
      <w:r w:rsidR="00D13682">
        <w:rPr>
          <w:noProof/>
        </w:rPr>
        <w:t>9</w:t>
      </w:r>
      <w:r>
        <w:fldChar w:fldCharType="end"/>
      </w:r>
      <w:r>
        <w:t> : L</w:t>
      </w:r>
      <w:r w:rsidR="00D13682">
        <w:rPr>
          <w:caps w:val="0"/>
        </w:rPr>
        <w:t>ocalisation de la RNS44 ET RNT3A</w:t>
      </w:r>
      <w:bookmarkEnd w:id="76"/>
    </w:p>
    <w:p w14:paraId="7281671D" w14:textId="77777777" w:rsidR="00026415" w:rsidRPr="00026415" w:rsidRDefault="00026415" w:rsidP="00D42025"/>
    <w:p w14:paraId="2786325D" w14:textId="0F8E383A" w:rsidR="004233C4" w:rsidRDefault="004233C4" w:rsidP="004233C4">
      <w:r>
        <w:rPr>
          <w:noProof/>
        </w:rPr>
        <w:drawing>
          <wp:inline distT="0" distB="0" distL="0" distR="0" wp14:anchorId="5CD12D8C" wp14:editId="6173EE88">
            <wp:extent cx="5760085" cy="3839210"/>
            <wp:effectExtent l="0" t="0" r="0" b="8890"/>
            <wp:docPr id="1869866093"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0085" cy="3839210"/>
                    </a:xfrm>
                    <a:prstGeom prst="rect">
                      <a:avLst/>
                    </a:prstGeom>
                    <a:noFill/>
                    <a:ln>
                      <a:noFill/>
                    </a:ln>
                  </pic:spPr>
                </pic:pic>
              </a:graphicData>
            </a:graphic>
          </wp:inline>
        </w:drawing>
      </w:r>
    </w:p>
    <w:p w14:paraId="291091BF" w14:textId="25CECD16" w:rsidR="004233C4" w:rsidRPr="003617DE" w:rsidRDefault="004233C4" w:rsidP="00D42025">
      <w:pPr>
        <w:pStyle w:val="Caption"/>
      </w:pPr>
      <w:bookmarkStart w:id="77" w:name="_Toc230426705"/>
      <w:r>
        <w:t xml:space="preserve">Figure </w:t>
      </w:r>
      <w:r>
        <w:rPr>
          <w:b w:val="0"/>
          <w:caps w:val="0"/>
        </w:rPr>
        <w:fldChar w:fldCharType="begin"/>
      </w:r>
      <w:r>
        <w:instrText xml:space="preserve"> SEQ Figure \* ARABIC </w:instrText>
      </w:r>
      <w:r>
        <w:rPr>
          <w:b w:val="0"/>
          <w:caps w:val="0"/>
        </w:rPr>
        <w:fldChar w:fldCharType="separate"/>
      </w:r>
      <w:r w:rsidR="00D13682">
        <w:rPr>
          <w:noProof/>
        </w:rPr>
        <w:t>10</w:t>
      </w:r>
      <w:r>
        <w:rPr>
          <w:b w:val="0"/>
          <w:caps w:val="0"/>
        </w:rPr>
        <w:fldChar w:fldCharType="end"/>
      </w:r>
      <w:r>
        <w:t xml:space="preserve"> : </w:t>
      </w:r>
      <w:r w:rsidR="00AA6329">
        <w:rPr>
          <w:caps w:val="0"/>
        </w:rPr>
        <w:t>Localisation du boulevard Ratsimilaho et route en pavé entre Brickaville et Ambila</w:t>
      </w:r>
      <w:bookmarkEnd w:id="77"/>
    </w:p>
    <w:p w14:paraId="3947498B" w14:textId="6B00DF69" w:rsidR="00575CDF" w:rsidRPr="00C801A6" w:rsidRDefault="00575CDF" w:rsidP="00014BC0">
      <w:pPr>
        <w:pStyle w:val="Heading1"/>
      </w:pPr>
      <w:bookmarkStart w:id="78" w:name="_Toc106320278"/>
      <w:bookmarkStart w:id="79" w:name="_Toc230425989"/>
      <w:r w:rsidRPr="00C801A6">
        <w:lastRenderedPageBreak/>
        <w:t>CADRE BIOPHYSIQUE ET SOCIOECONOMIQUE</w:t>
      </w:r>
      <w:bookmarkEnd w:id="78"/>
      <w:bookmarkEnd w:id="79"/>
    </w:p>
    <w:p w14:paraId="7EDD1FA0" w14:textId="77777777" w:rsidR="00575CDF" w:rsidRPr="00C801A6" w:rsidRDefault="00575CDF" w:rsidP="00014BC0">
      <w:pPr>
        <w:pStyle w:val="Heading2"/>
      </w:pPr>
      <w:bookmarkStart w:id="80" w:name="_Toc106320279"/>
      <w:bookmarkStart w:id="81" w:name="_Toc230425990"/>
      <w:r w:rsidRPr="00C801A6">
        <w:t>DONNEES GENERALES</w:t>
      </w:r>
      <w:bookmarkEnd w:id="80"/>
      <w:bookmarkEnd w:id="81"/>
    </w:p>
    <w:p w14:paraId="04133DEE" w14:textId="0E7CCA2B" w:rsidR="00575CDF" w:rsidRPr="00C801A6" w:rsidRDefault="00575CDF" w:rsidP="00575CDF">
      <w:pPr>
        <w:rPr>
          <w:color w:val="auto"/>
        </w:rPr>
      </w:pPr>
      <w:r w:rsidRPr="00C801A6">
        <w:rPr>
          <w:color w:val="auto"/>
        </w:rPr>
        <w:t xml:space="preserve">Le Projet </w:t>
      </w:r>
      <w:r w:rsidR="007A637B">
        <w:rPr>
          <w:color w:val="auto"/>
        </w:rPr>
        <w:t>PCMCI</w:t>
      </w:r>
      <w:r w:rsidRPr="00C801A6">
        <w:rPr>
          <w:color w:val="auto"/>
        </w:rPr>
        <w:t xml:space="preserve"> est un projet </w:t>
      </w:r>
      <w:r w:rsidR="00853CFE">
        <w:rPr>
          <w:color w:val="auto"/>
        </w:rPr>
        <w:t xml:space="preserve">d’envergure </w:t>
      </w:r>
      <w:r w:rsidRPr="00C801A6">
        <w:rPr>
          <w:color w:val="auto"/>
        </w:rPr>
        <w:t>national</w:t>
      </w:r>
      <w:r w:rsidR="00853CFE">
        <w:rPr>
          <w:color w:val="auto"/>
        </w:rPr>
        <w:t>e</w:t>
      </w:r>
      <w:r w:rsidRPr="00C801A6">
        <w:rPr>
          <w:color w:val="auto"/>
        </w:rPr>
        <w:t xml:space="preserve"> car il touchera toutes les régions de Madagascar.</w:t>
      </w:r>
      <w:r w:rsidR="00B820EF">
        <w:rPr>
          <w:color w:val="auto"/>
        </w:rPr>
        <w:t xml:space="preserve"> Par ailleurs, à ce stade, les détails des travaux à entreprendre dans le cadre de la composante 4 de ce projet </w:t>
      </w:r>
      <w:r w:rsidR="00853CFE">
        <w:rPr>
          <w:color w:val="auto"/>
        </w:rPr>
        <w:t xml:space="preserve">ne sont </w:t>
      </w:r>
      <w:r w:rsidR="00B820EF">
        <w:rPr>
          <w:color w:val="auto"/>
        </w:rPr>
        <w:t xml:space="preserve">pas encore clairement définis et susceptibles de modification. </w:t>
      </w:r>
      <w:r w:rsidRPr="00C801A6">
        <w:rPr>
          <w:color w:val="auto"/>
        </w:rPr>
        <w:t>Ainsi, afin de pouvoir mieux saisir les enjeux environnementaux et sociaux, il s’avère important de donner une vue synoptique des cinq grandes régions écologiques de l’ile.</w:t>
      </w:r>
      <w:r w:rsidR="00C301A2" w:rsidRPr="00C801A6">
        <w:rPr>
          <w:color w:val="auto"/>
        </w:rPr>
        <w:t xml:space="preserve"> </w:t>
      </w:r>
      <w:r w:rsidRPr="00C801A6">
        <w:rPr>
          <w:color w:val="auto"/>
        </w:rPr>
        <w:t>Les mangroves constituent la sixième écorégion.</w:t>
      </w:r>
    </w:p>
    <w:p w14:paraId="713B903A" w14:textId="77777777" w:rsidR="00575CDF" w:rsidRPr="00C801A6" w:rsidRDefault="00575CDF" w:rsidP="00575CDF">
      <w:pPr>
        <w:spacing w:after="0" w:line="240" w:lineRule="auto"/>
        <w:jc w:val="center"/>
        <w:rPr>
          <w:color w:val="auto"/>
        </w:rPr>
      </w:pPr>
      <w:r w:rsidRPr="00C801A6">
        <w:rPr>
          <w:noProof/>
          <w:color w:val="auto"/>
          <w:lang w:eastAsia="fr-FR"/>
        </w:rPr>
        <w:drawing>
          <wp:inline distT="0" distB="0" distL="0" distR="0" wp14:anchorId="4A7A8991" wp14:editId="59FC5804">
            <wp:extent cx="3943350" cy="4501227"/>
            <wp:effectExtent l="0" t="0" r="0" b="0"/>
            <wp:docPr id="406508162" name="Image 406508162" descr="E:\Harizo_Secci_Lanto Project\Routes EIES Madagascar\Madagascar_Ecoregion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Harizo_Secci_Lanto Project\Routes EIES Madagascar\Madagascar_Ecoregions.gif"/>
                    <pic:cNvPicPr>
                      <a:picLocks noChangeAspect="1" noChangeArrowheads="1"/>
                    </pic:cNvPicPr>
                  </pic:nvPicPr>
                  <pic:blipFill rotWithShape="1">
                    <a:blip r:embed="rId38" cstate="email">
                      <a:extLst>
                        <a:ext uri="{28A0092B-C50C-407E-A947-70E740481C1C}">
                          <a14:useLocalDpi xmlns:a14="http://schemas.microsoft.com/office/drawing/2010/main"/>
                        </a:ext>
                      </a:extLst>
                    </a:blip>
                    <a:srcRect l="374" t="7332" r="2795" b="2674"/>
                    <a:stretch/>
                  </pic:blipFill>
                  <pic:spPr bwMode="auto">
                    <a:xfrm>
                      <a:off x="0" y="0"/>
                      <a:ext cx="3961998" cy="4522514"/>
                    </a:xfrm>
                    <a:prstGeom prst="rect">
                      <a:avLst/>
                    </a:prstGeom>
                    <a:noFill/>
                    <a:ln>
                      <a:noFill/>
                    </a:ln>
                    <a:extLst>
                      <a:ext uri="{53640926-AAD7-44D8-BBD7-CCE9431645EC}">
                        <a14:shadowObscured xmlns:a14="http://schemas.microsoft.com/office/drawing/2010/main"/>
                      </a:ext>
                    </a:extLst>
                  </pic:spPr>
                </pic:pic>
              </a:graphicData>
            </a:graphic>
          </wp:inline>
        </w:drawing>
      </w:r>
    </w:p>
    <w:p w14:paraId="1518E6D3" w14:textId="5F0195B1" w:rsidR="00575CDF" w:rsidRPr="00C801A6" w:rsidRDefault="00B820EF" w:rsidP="00B820EF">
      <w:pPr>
        <w:pStyle w:val="Caption"/>
        <w:rPr>
          <w:color w:val="auto"/>
        </w:rPr>
      </w:pPr>
      <w:bookmarkStart w:id="82" w:name="_Toc230426706"/>
      <w:r>
        <w:t xml:space="preserve">Figure </w:t>
      </w:r>
      <w:r w:rsidR="004233C4">
        <w:fldChar w:fldCharType="begin"/>
      </w:r>
      <w:r w:rsidR="004233C4">
        <w:instrText xml:space="preserve"> SEQ Figure \* ARABIC </w:instrText>
      </w:r>
      <w:r w:rsidR="004233C4">
        <w:fldChar w:fldCharType="separate"/>
      </w:r>
      <w:r w:rsidR="00D13682">
        <w:rPr>
          <w:noProof/>
        </w:rPr>
        <w:t>11</w:t>
      </w:r>
      <w:r w:rsidR="004233C4">
        <w:rPr>
          <w:noProof/>
        </w:rPr>
        <w:fldChar w:fldCharType="end"/>
      </w:r>
      <w:r w:rsidR="00575CDF" w:rsidRPr="00C801A6">
        <w:rPr>
          <w:color w:val="auto"/>
        </w:rPr>
        <w:t> : Ecorégions de Madagascar</w:t>
      </w:r>
      <w:bookmarkEnd w:id="82"/>
    </w:p>
    <w:p w14:paraId="775BF9E6" w14:textId="77777777" w:rsidR="00575CDF" w:rsidRPr="00C801A6" w:rsidRDefault="00575CDF" w:rsidP="00C65572">
      <w:pPr>
        <w:pStyle w:val="Heading3"/>
      </w:pPr>
      <w:bookmarkStart w:id="83" w:name="_Toc440199193"/>
      <w:bookmarkStart w:id="84" w:name="_Toc106320280"/>
      <w:bookmarkStart w:id="85" w:name="_Toc230425991"/>
      <w:r w:rsidRPr="00C801A6">
        <w:t>Région</w:t>
      </w:r>
      <w:r w:rsidRPr="00C801A6">
        <w:rPr>
          <w:spacing w:val="-9"/>
        </w:rPr>
        <w:t xml:space="preserve"> </w:t>
      </w:r>
      <w:r w:rsidRPr="00C801A6">
        <w:t>Nord</w:t>
      </w:r>
      <w:bookmarkEnd w:id="83"/>
      <w:bookmarkEnd w:id="84"/>
      <w:bookmarkEnd w:id="85"/>
    </w:p>
    <w:p w14:paraId="1E8EF72D" w14:textId="77777777" w:rsidR="00575CDF" w:rsidRPr="00C801A6" w:rsidRDefault="00575CDF" w:rsidP="00575CDF">
      <w:pPr>
        <w:pStyle w:val="BodyText"/>
        <w:spacing w:after="160" w:line="276" w:lineRule="auto"/>
        <w:ind w:right="111"/>
        <w:jc w:val="both"/>
        <w:rPr>
          <w:rFonts w:ascii="Times New Roman" w:hAnsi="Times New Roman" w:cs="Times New Roman"/>
          <w:sz w:val="24"/>
          <w:szCs w:val="24"/>
        </w:rPr>
      </w:pPr>
      <w:r w:rsidRPr="00C801A6">
        <w:rPr>
          <w:rFonts w:ascii="Times New Roman" w:hAnsi="Times New Roman" w:cs="Times New Roman"/>
          <w:spacing w:val="-1"/>
          <w:sz w:val="24"/>
          <w:szCs w:val="24"/>
        </w:rPr>
        <w:t>On</w:t>
      </w:r>
      <w:r w:rsidRPr="00C801A6">
        <w:rPr>
          <w:rFonts w:ascii="Times New Roman" w:hAnsi="Times New Roman" w:cs="Times New Roman"/>
          <w:spacing w:val="-6"/>
          <w:sz w:val="24"/>
          <w:szCs w:val="24"/>
        </w:rPr>
        <w:t xml:space="preserve"> </w:t>
      </w:r>
      <w:r w:rsidRPr="00C801A6">
        <w:rPr>
          <w:rFonts w:ascii="Times New Roman" w:hAnsi="Times New Roman" w:cs="Times New Roman"/>
          <w:spacing w:val="-1"/>
          <w:sz w:val="24"/>
          <w:szCs w:val="24"/>
        </w:rPr>
        <w:t>rencontre</w:t>
      </w:r>
      <w:r w:rsidRPr="00C801A6">
        <w:rPr>
          <w:rFonts w:ascii="Times New Roman" w:hAnsi="Times New Roman" w:cs="Times New Roman"/>
          <w:spacing w:val="-7"/>
          <w:sz w:val="24"/>
          <w:szCs w:val="24"/>
        </w:rPr>
        <w:t xml:space="preserve"> </w:t>
      </w:r>
      <w:r w:rsidRPr="00C801A6">
        <w:rPr>
          <w:rFonts w:ascii="Times New Roman" w:hAnsi="Times New Roman" w:cs="Times New Roman"/>
          <w:spacing w:val="-1"/>
          <w:sz w:val="24"/>
          <w:szCs w:val="24"/>
        </w:rPr>
        <w:t>les</w:t>
      </w:r>
      <w:r w:rsidRPr="00C801A6">
        <w:rPr>
          <w:rFonts w:ascii="Times New Roman" w:hAnsi="Times New Roman" w:cs="Times New Roman"/>
          <w:spacing w:val="-4"/>
          <w:sz w:val="24"/>
          <w:szCs w:val="24"/>
        </w:rPr>
        <w:t xml:space="preserve"> </w:t>
      </w:r>
      <w:r w:rsidRPr="00C801A6">
        <w:rPr>
          <w:rFonts w:ascii="Times New Roman" w:hAnsi="Times New Roman" w:cs="Times New Roman"/>
          <w:spacing w:val="-1"/>
          <w:sz w:val="24"/>
          <w:szCs w:val="24"/>
        </w:rPr>
        <w:t>caractéristiques</w:t>
      </w:r>
      <w:r w:rsidRPr="00C801A6">
        <w:rPr>
          <w:rFonts w:ascii="Times New Roman" w:hAnsi="Times New Roman" w:cs="Times New Roman"/>
          <w:spacing w:val="-6"/>
          <w:sz w:val="24"/>
          <w:szCs w:val="24"/>
        </w:rPr>
        <w:t xml:space="preserve"> </w:t>
      </w:r>
      <w:r w:rsidRPr="00C801A6">
        <w:rPr>
          <w:rFonts w:ascii="Times New Roman" w:hAnsi="Times New Roman" w:cs="Times New Roman"/>
          <w:spacing w:val="-1"/>
          <w:sz w:val="24"/>
          <w:szCs w:val="24"/>
        </w:rPr>
        <w:t>des</w:t>
      </w:r>
      <w:r w:rsidRPr="00C801A6">
        <w:rPr>
          <w:rFonts w:ascii="Times New Roman" w:hAnsi="Times New Roman" w:cs="Times New Roman"/>
          <w:spacing w:val="-5"/>
          <w:sz w:val="24"/>
          <w:szCs w:val="24"/>
        </w:rPr>
        <w:t xml:space="preserve"> </w:t>
      </w:r>
      <w:r w:rsidRPr="00C801A6">
        <w:rPr>
          <w:rFonts w:ascii="Times New Roman" w:hAnsi="Times New Roman" w:cs="Times New Roman"/>
          <w:sz w:val="24"/>
          <w:szCs w:val="24"/>
        </w:rPr>
        <w:t>zones</w:t>
      </w:r>
      <w:r w:rsidRPr="00C801A6">
        <w:rPr>
          <w:rFonts w:ascii="Times New Roman" w:hAnsi="Times New Roman" w:cs="Times New Roman"/>
          <w:spacing w:val="-6"/>
          <w:sz w:val="24"/>
          <w:szCs w:val="24"/>
        </w:rPr>
        <w:t xml:space="preserve"> </w:t>
      </w:r>
      <w:r w:rsidRPr="00C801A6">
        <w:rPr>
          <w:rFonts w:ascii="Times New Roman" w:hAnsi="Times New Roman" w:cs="Times New Roman"/>
          <w:spacing w:val="-1"/>
          <w:sz w:val="24"/>
          <w:szCs w:val="24"/>
        </w:rPr>
        <w:t>subarides</w:t>
      </w:r>
      <w:r w:rsidRPr="00C801A6">
        <w:rPr>
          <w:rFonts w:ascii="Times New Roman" w:hAnsi="Times New Roman" w:cs="Times New Roman"/>
          <w:spacing w:val="-6"/>
          <w:sz w:val="24"/>
          <w:szCs w:val="24"/>
        </w:rPr>
        <w:t xml:space="preserve"> </w:t>
      </w:r>
      <w:r w:rsidRPr="00C801A6">
        <w:rPr>
          <w:rFonts w:ascii="Times New Roman" w:hAnsi="Times New Roman" w:cs="Times New Roman"/>
          <w:spacing w:val="-1"/>
          <w:sz w:val="24"/>
          <w:szCs w:val="24"/>
        </w:rPr>
        <w:t>(extrême</w:t>
      </w:r>
      <w:r w:rsidRPr="00C801A6">
        <w:rPr>
          <w:rFonts w:ascii="Times New Roman" w:hAnsi="Times New Roman" w:cs="Times New Roman"/>
          <w:spacing w:val="-6"/>
          <w:sz w:val="24"/>
          <w:szCs w:val="24"/>
        </w:rPr>
        <w:t xml:space="preserve"> </w:t>
      </w:r>
      <w:r w:rsidRPr="00C801A6">
        <w:rPr>
          <w:rFonts w:ascii="Times New Roman" w:hAnsi="Times New Roman" w:cs="Times New Roman"/>
          <w:spacing w:val="-1"/>
          <w:sz w:val="24"/>
          <w:szCs w:val="24"/>
        </w:rPr>
        <w:t>Nord),</w:t>
      </w:r>
      <w:r w:rsidRPr="00C801A6">
        <w:rPr>
          <w:rFonts w:ascii="Times New Roman" w:hAnsi="Times New Roman" w:cs="Times New Roman"/>
          <w:spacing w:val="-6"/>
          <w:sz w:val="24"/>
          <w:szCs w:val="24"/>
        </w:rPr>
        <w:t xml:space="preserve"> </w:t>
      </w:r>
      <w:r w:rsidRPr="00C801A6">
        <w:rPr>
          <w:rFonts w:ascii="Times New Roman" w:hAnsi="Times New Roman" w:cs="Times New Roman"/>
          <w:sz w:val="24"/>
          <w:szCs w:val="24"/>
        </w:rPr>
        <w:t>humides</w:t>
      </w:r>
      <w:r w:rsidRPr="00C801A6">
        <w:rPr>
          <w:rFonts w:ascii="Times New Roman" w:hAnsi="Times New Roman" w:cs="Times New Roman"/>
          <w:spacing w:val="-6"/>
          <w:sz w:val="24"/>
          <w:szCs w:val="24"/>
        </w:rPr>
        <w:t xml:space="preserve"> </w:t>
      </w:r>
      <w:r w:rsidRPr="00C801A6">
        <w:rPr>
          <w:rFonts w:ascii="Times New Roman" w:hAnsi="Times New Roman" w:cs="Times New Roman"/>
          <w:spacing w:val="-1"/>
          <w:sz w:val="24"/>
          <w:szCs w:val="24"/>
        </w:rPr>
        <w:t>dans</w:t>
      </w:r>
      <w:r w:rsidRPr="00C801A6">
        <w:rPr>
          <w:rFonts w:ascii="Times New Roman" w:hAnsi="Times New Roman" w:cs="Times New Roman"/>
          <w:spacing w:val="-6"/>
          <w:sz w:val="24"/>
          <w:szCs w:val="24"/>
        </w:rPr>
        <w:t xml:space="preserve"> </w:t>
      </w:r>
      <w:r w:rsidRPr="00C801A6">
        <w:rPr>
          <w:rFonts w:ascii="Times New Roman" w:hAnsi="Times New Roman" w:cs="Times New Roman"/>
          <w:spacing w:val="-1"/>
          <w:sz w:val="24"/>
          <w:szCs w:val="24"/>
        </w:rPr>
        <w:t>ses</w:t>
      </w:r>
      <w:r w:rsidRPr="00C801A6">
        <w:rPr>
          <w:rFonts w:ascii="Times New Roman" w:hAnsi="Times New Roman" w:cs="Times New Roman"/>
          <w:spacing w:val="-5"/>
          <w:sz w:val="24"/>
          <w:szCs w:val="24"/>
        </w:rPr>
        <w:t xml:space="preserve"> </w:t>
      </w:r>
      <w:r w:rsidRPr="00C801A6">
        <w:rPr>
          <w:rFonts w:ascii="Times New Roman" w:hAnsi="Times New Roman" w:cs="Times New Roman"/>
          <w:spacing w:val="-1"/>
          <w:sz w:val="24"/>
          <w:szCs w:val="24"/>
        </w:rPr>
        <w:t>parties</w:t>
      </w:r>
      <w:r w:rsidRPr="00C801A6">
        <w:rPr>
          <w:rFonts w:ascii="Times New Roman" w:hAnsi="Times New Roman" w:cs="Times New Roman"/>
          <w:spacing w:val="113"/>
          <w:w w:val="99"/>
          <w:sz w:val="24"/>
          <w:szCs w:val="24"/>
        </w:rPr>
        <w:t xml:space="preserve"> </w:t>
      </w:r>
      <w:r w:rsidRPr="00C801A6">
        <w:rPr>
          <w:rFonts w:ascii="Times New Roman" w:hAnsi="Times New Roman" w:cs="Times New Roman"/>
          <w:spacing w:val="-1"/>
          <w:sz w:val="24"/>
          <w:szCs w:val="24"/>
        </w:rPr>
        <w:t>Est</w:t>
      </w:r>
      <w:r w:rsidRPr="00C801A6">
        <w:rPr>
          <w:rFonts w:ascii="Times New Roman" w:hAnsi="Times New Roman" w:cs="Times New Roman"/>
          <w:spacing w:val="40"/>
          <w:sz w:val="24"/>
          <w:szCs w:val="24"/>
        </w:rPr>
        <w:t xml:space="preserve"> </w:t>
      </w:r>
      <w:r w:rsidRPr="00C801A6">
        <w:rPr>
          <w:rFonts w:ascii="Times New Roman" w:hAnsi="Times New Roman" w:cs="Times New Roman"/>
          <w:spacing w:val="-1"/>
          <w:sz w:val="24"/>
          <w:szCs w:val="24"/>
        </w:rPr>
        <w:t>et</w:t>
      </w:r>
      <w:r w:rsidRPr="00C801A6">
        <w:rPr>
          <w:rFonts w:ascii="Times New Roman" w:hAnsi="Times New Roman" w:cs="Times New Roman"/>
          <w:spacing w:val="40"/>
          <w:sz w:val="24"/>
          <w:szCs w:val="24"/>
        </w:rPr>
        <w:t xml:space="preserve"> </w:t>
      </w:r>
      <w:r w:rsidRPr="00C801A6">
        <w:rPr>
          <w:rFonts w:ascii="Times New Roman" w:hAnsi="Times New Roman" w:cs="Times New Roman"/>
          <w:spacing w:val="-1"/>
          <w:sz w:val="24"/>
          <w:szCs w:val="24"/>
        </w:rPr>
        <w:t>Ouest</w:t>
      </w:r>
      <w:r w:rsidRPr="00C801A6">
        <w:rPr>
          <w:rFonts w:ascii="Times New Roman" w:hAnsi="Times New Roman" w:cs="Times New Roman"/>
          <w:spacing w:val="40"/>
          <w:sz w:val="24"/>
          <w:szCs w:val="24"/>
        </w:rPr>
        <w:t xml:space="preserve"> </w:t>
      </w:r>
      <w:r w:rsidRPr="00C801A6">
        <w:rPr>
          <w:rFonts w:ascii="Times New Roman" w:hAnsi="Times New Roman" w:cs="Times New Roman"/>
          <w:spacing w:val="-1"/>
          <w:sz w:val="24"/>
          <w:szCs w:val="24"/>
        </w:rPr>
        <w:t>et</w:t>
      </w:r>
      <w:r w:rsidRPr="00C801A6">
        <w:rPr>
          <w:rFonts w:ascii="Times New Roman" w:hAnsi="Times New Roman" w:cs="Times New Roman"/>
          <w:spacing w:val="40"/>
          <w:sz w:val="24"/>
          <w:szCs w:val="24"/>
        </w:rPr>
        <w:t xml:space="preserve"> </w:t>
      </w:r>
      <w:r w:rsidRPr="00C801A6">
        <w:rPr>
          <w:rFonts w:ascii="Times New Roman" w:hAnsi="Times New Roman" w:cs="Times New Roman"/>
          <w:spacing w:val="-1"/>
          <w:sz w:val="24"/>
          <w:szCs w:val="24"/>
        </w:rPr>
        <w:t>perhumides</w:t>
      </w:r>
      <w:r w:rsidRPr="00C801A6">
        <w:rPr>
          <w:rFonts w:ascii="Times New Roman" w:hAnsi="Times New Roman" w:cs="Times New Roman"/>
          <w:spacing w:val="39"/>
          <w:sz w:val="24"/>
          <w:szCs w:val="24"/>
        </w:rPr>
        <w:t xml:space="preserve"> </w:t>
      </w:r>
      <w:r w:rsidRPr="00C801A6">
        <w:rPr>
          <w:rFonts w:ascii="Times New Roman" w:hAnsi="Times New Roman" w:cs="Times New Roman"/>
          <w:spacing w:val="-1"/>
          <w:sz w:val="24"/>
          <w:szCs w:val="24"/>
        </w:rPr>
        <w:t>dans</w:t>
      </w:r>
      <w:r w:rsidRPr="00C801A6">
        <w:rPr>
          <w:rFonts w:ascii="Times New Roman" w:hAnsi="Times New Roman" w:cs="Times New Roman"/>
          <w:spacing w:val="39"/>
          <w:sz w:val="24"/>
          <w:szCs w:val="24"/>
        </w:rPr>
        <w:t xml:space="preserve"> </w:t>
      </w:r>
      <w:r w:rsidRPr="00C801A6">
        <w:rPr>
          <w:rFonts w:ascii="Times New Roman" w:hAnsi="Times New Roman" w:cs="Times New Roman"/>
          <w:sz w:val="24"/>
          <w:szCs w:val="24"/>
        </w:rPr>
        <w:t>sa</w:t>
      </w:r>
      <w:r w:rsidRPr="00C801A6">
        <w:rPr>
          <w:rFonts w:ascii="Times New Roman" w:hAnsi="Times New Roman" w:cs="Times New Roman"/>
          <w:spacing w:val="38"/>
          <w:sz w:val="24"/>
          <w:szCs w:val="24"/>
        </w:rPr>
        <w:t xml:space="preserve"> </w:t>
      </w:r>
      <w:r w:rsidRPr="00C801A6">
        <w:rPr>
          <w:rFonts w:ascii="Times New Roman" w:hAnsi="Times New Roman" w:cs="Times New Roman"/>
          <w:sz w:val="24"/>
          <w:szCs w:val="24"/>
        </w:rPr>
        <w:t>partie</w:t>
      </w:r>
      <w:r w:rsidRPr="00C801A6">
        <w:rPr>
          <w:rFonts w:ascii="Times New Roman" w:hAnsi="Times New Roman" w:cs="Times New Roman"/>
          <w:spacing w:val="39"/>
          <w:sz w:val="24"/>
          <w:szCs w:val="24"/>
        </w:rPr>
        <w:t xml:space="preserve"> </w:t>
      </w:r>
      <w:r w:rsidRPr="00C801A6">
        <w:rPr>
          <w:rFonts w:ascii="Times New Roman" w:hAnsi="Times New Roman" w:cs="Times New Roman"/>
          <w:spacing w:val="-1"/>
          <w:sz w:val="24"/>
          <w:szCs w:val="24"/>
        </w:rPr>
        <w:t>centrale</w:t>
      </w:r>
      <w:r w:rsidRPr="00C801A6">
        <w:rPr>
          <w:rFonts w:ascii="Times New Roman" w:hAnsi="Times New Roman" w:cs="Times New Roman"/>
          <w:spacing w:val="38"/>
          <w:sz w:val="24"/>
          <w:szCs w:val="24"/>
        </w:rPr>
        <w:t xml:space="preserve"> </w:t>
      </w:r>
      <w:r w:rsidRPr="00C801A6">
        <w:rPr>
          <w:rFonts w:ascii="Times New Roman" w:hAnsi="Times New Roman" w:cs="Times New Roman"/>
          <w:spacing w:val="-1"/>
          <w:sz w:val="24"/>
          <w:szCs w:val="24"/>
        </w:rPr>
        <w:t>(Montagne</w:t>
      </w:r>
      <w:r w:rsidRPr="00C801A6">
        <w:rPr>
          <w:rFonts w:ascii="Times New Roman" w:hAnsi="Times New Roman" w:cs="Times New Roman"/>
          <w:spacing w:val="38"/>
          <w:sz w:val="24"/>
          <w:szCs w:val="24"/>
        </w:rPr>
        <w:t xml:space="preserve"> </w:t>
      </w:r>
      <w:r w:rsidRPr="00C801A6">
        <w:rPr>
          <w:rFonts w:ascii="Times New Roman" w:hAnsi="Times New Roman" w:cs="Times New Roman"/>
          <w:sz w:val="24"/>
          <w:szCs w:val="24"/>
        </w:rPr>
        <w:t>d’Ambre).</w:t>
      </w:r>
      <w:r w:rsidRPr="00C801A6">
        <w:rPr>
          <w:rFonts w:ascii="Times New Roman" w:hAnsi="Times New Roman" w:cs="Times New Roman"/>
          <w:spacing w:val="42"/>
          <w:sz w:val="24"/>
          <w:szCs w:val="24"/>
        </w:rPr>
        <w:t xml:space="preserve"> </w:t>
      </w:r>
      <w:r w:rsidRPr="00C801A6">
        <w:rPr>
          <w:rFonts w:ascii="Times New Roman" w:hAnsi="Times New Roman" w:cs="Times New Roman"/>
          <w:spacing w:val="-2"/>
          <w:sz w:val="24"/>
          <w:szCs w:val="24"/>
        </w:rPr>
        <w:t>Les</w:t>
      </w:r>
      <w:r w:rsidRPr="00C801A6">
        <w:rPr>
          <w:rFonts w:ascii="Times New Roman" w:hAnsi="Times New Roman" w:cs="Times New Roman"/>
          <w:spacing w:val="39"/>
          <w:sz w:val="24"/>
          <w:szCs w:val="24"/>
        </w:rPr>
        <w:t xml:space="preserve"> </w:t>
      </w:r>
      <w:r w:rsidRPr="00C801A6">
        <w:rPr>
          <w:rFonts w:ascii="Times New Roman" w:hAnsi="Times New Roman" w:cs="Times New Roman"/>
          <w:spacing w:val="-1"/>
          <w:sz w:val="24"/>
          <w:szCs w:val="24"/>
        </w:rPr>
        <w:t>précipitations</w:t>
      </w:r>
      <w:r w:rsidRPr="00C801A6">
        <w:rPr>
          <w:rFonts w:ascii="Times New Roman" w:hAnsi="Times New Roman" w:cs="Times New Roman"/>
          <w:spacing w:val="89"/>
          <w:w w:val="99"/>
          <w:sz w:val="24"/>
          <w:szCs w:val="24"/>
        </w:rPr>
        <w:t xml:space="preserve"> </w:t>
      </w:r>
      <w:r w:rsidRPr="00C801A6">
        <w:rPr>
          <w:rFonts w:ascii="Times New Roman" w:hAnsi="Times New Roman" w:cs="Times New Roman"/>
          <w:spacing w:val="-1"/>
          <w:sz w:val="24"/>
          <w:szCs w:val="24"/>
        </w:rPr>
        <w:t>moyennes</w:t>
      </w:r>
      <w:r w:rsidRPr="00C801A6">
        <w:rPr>
          <w:rFonts w:ascii="Times New Roman" w:hAnsi="Times New Roman" w:cs="Times New Roman"/>
          <w:spacing w:val="1"/>
          <w:sz w:val="24"/>
          <w:szCs w:val="24"/>
        </w:rPr>
        <w:t xml:space="preserve"> </w:t>
      </w:r>
      <w:r w:rsidRPr="00C801A6">
        <w:rPr>
          <w:rFonts w:ascii="Times New Roman" w:hAnsi="Times New Roman" w:cs="Times New Roman"/>
          <w:spacing w:val="-1"/>
          <w:sz w:val="24"/>
          <w:szCs w:val="24"/>
        </w:rPr>
        <w:t>annuelles</w:t>
      </w:r>
      <w:r w:rsidRPr="00C801A6">
        <w:rPr>
          <w:rFonts w:ascii="Times New Roman" w:hAnsi="Times New Roman" w:cs="Times New Roman"/>
          <w:spacing w:val="1"/>
          <w:sz w:val="24"/>
          <w:szCs w:val="24"/>
        </w:rPr>
        <w:t xml:space="preserve"> </w:t>
      </w:r>
      <w:r w:rsidRPr="00C801A6">
        <w:rPr>
          <w:rFonts w:ascii="Times New Roman" w:hAnsi="Times New Roman" w:cs="Times New Roman"/>
          <w:sz w:val="24"/>
          <w:szCs w:val="24"/>
        </w:rPr>
        <w:t>varient</w:t>
      </w:r>
      <w:r w:rsidRPr="00C801A6">
        <w:rPr>
          <w:rFonts w:ascii="Times New Roman" w:hAnsi="Times New Roman" w:cs="Times New Roman"/>
          <w:spacing w:val="1"/>
          <w:sz w:val="24"/>
          <w:szCs w:val="24"/>
        </w:rPr>
        <w:t xml:space="preserve"> </w:t>
      </w:r>
      <w:r w:rsidRPr="00C801A6">
        <w:rPr>
          <w:rFonts w:ascii="Times New Roman" w:hAnsi="Times New Roman" w:cs="Times New Roman"/>
          <w:spacing w:val="-1"/>
          <w:sz w:val="24"/>
          <w:szCs w:val="24"/>
        </w:rPr>
        <w:t>entre</w:t>
      </w:r>
      <w:r w:rsidRPr="00C801A6">
        <w:rPr>
          <w:rFonts w:ascii="Times New Roman" w:hAnsi="Times New Roman" w:cs="Times New Roman"/>
          <w:sz w:val="24"/>
          <w:szCs w:val="24"/>
        </w:rPr>
        <w:t xml:space="preserve"> 1 000mm</w:t>
      </w:r>
      <w:r w:rsidRPr="00C801A6">
        <w:rPr>
          <w:rFonts w:ascii="Times New Roman" w:hAnsi="Times New Roman" w:cs="Times New Roman"/>
          <w:spacing w:val="1"/>
          <w:sz w:val="24"/>
          <w:szCs w:val="24"/>
        </w:rPr>
        <w:t xml:space="preserve"> </w:t>
      </w:r>
      <w:r w:rsidRPr="00C801A6">
        <w:rPr>
          <w:rFonts w:ascii="Times New Roman" w:hAnsi="Times New Roman" w:cs="Times New Roman"/>
          <w:spacing w:val="-1"/>
          <w:sz w:val="24"/>
          <w:szCs w:val="24"/>
        </w:rPr>
        <w:t>et</w:t>
      </w:r>
      <w:r w:rsidRPr="00C801A6">
        <w:rPr>
          <w:rFonts w:ascii="Times New Roman" w:hAnsi="Times New Roman" w:cs="Times New Roman"/>
          <w:spacing w:val="1"/>
          <w:sz w:val="24"/>
          <w:szCs w:val="24"/>
        </w:rPr>
        <w:t xml:space="preserve"> </w:t>
      </w:r>
      <w:r w:rsidRPr="00C801A6">
        <w:rPr>
          <w:rFonts w:ascii="Times New Roman" w:hAnsi="Times New Roman" w:cs="Times New Roman"/>
          <w:sz w:val="24"/>
          <w:szCs w:val="24"/>
        </w:rPr>
        <w:t>3 000mm</w:t>
      </w:r>
      <w:r w:rsidRPr="00C801A6">
        <w:rPr>
          <w:rFonts w:ascii="Times New Roman" w:hAnsi="Times New Roman" w:cs="Times New Roman"/>
          <w:spacing w:val="1"/>
          <w:sz w:val="24"/>
          <w:szCs w:val="24"/>
        </w:rPr>
        <w:t xml:space="preserve"> </w:t>
      </w:r>
      <w:r w:rsidRPr="00C801A6">
        <w:rPr>
          <w:rFonts w:ascii="Times New Roman" w:hAnsi="Times New Roman" w:cs="Times New Roman"/>
          <w:spacing w:val="-1"/>
          <w:sz w:val="24"/>
          <w:szCs w:val="24"/>
        </w:rPr>
        <w:t>et</w:t>
      </w:r>
      <w:r w:rsidRPr="00C801A6">
        <w:rPr>
          <w:rFonts w:ascii="Times New Roman" w:hAnsi="Times New Roman" w:cs="Times New Roman"/>
          <w:spacing w:val="1"/>
          <w:sz w:val="24"/>
          <w:szCs w:val="24"/>
        </w:rPr>
        <w:t xml:space="preserve"> </w:t>
      </w:r>
      <w:r w:rsidRPr="00C801A6">
        <w:rPr>
          <w:rFonts w:ascii="Times New Roman" w:hAnsi="Times New Roman" w:cs="Times New Roman"/>
          <w:sz w:val="24"/>
          <w:szCs w:val="24"/>
        </w:rPr>
        <w:t xml:space="preserve">la </w:t>
      </w:r>
      <w:r w:rsidRPr="00C801A6">
        <w:rPr>
          <w:rFonts w:ascii="Times New Roman" w:hAnsi="Times New Roman" w:cs="Times New Roman"/>
          <w:spacing w:val="-1"/>
          <w:sz w:val="24"/>
          <w:szCs w:val="24"/>
        </w:rPr>
        <w:t>température</w:t>
      </w:r>
      <w:r w:rsidRPr="00C801A6">
        <w:rPr>
          <w:rFonts w:ascii="Times New Roman" w:hAnsi="Times New Roman" w:cs="Times New Roman"/>
          <w:sz w:val="24"/>
          <w:szCs w:val="24"/>
        </w:rPr>
        <w:t xml:space="preserve"> moyenne annuelle est de</w:t>
      </w:r>
      <w:r w:rsidRPr="00C801A6">
        <w:rPr>
          <w:rFonts w:ascii="Times New Roman" w:hAnsi="Times New Roman" w:cs="Times New Roman"/>
          <w:spacing w:val="56"/>
          <w:w w:val="99"/>
          <w:sz w:val="24"/>
          <w:szCs w:val="24"/>
        </w:rPr>
        <w:t xml:space="preserve"> </w:t>
      </w:r>
      <w:r w:rsidRPr="00C801A6">
        <w:rPr>
          <w:rFonts w:ascii="Times New Roman" w:hAnsi="Times New Roman" w:cs="Times New Roman"/>
          <w:sz w:val="24"/>
          <w:szCs w:val="24"/>
        </w:rPr>
        <w:t>26°C</w:t>
      </w:r>
      <w:r w:rsidRPr="00C801A6">
        <w:rPr>
          <w:rFonts w:ascii="Times New Roman" w:hAnsi="Times New Roman" w:cs="Times New Roman"/>
          <w:spacing w:val="9"/>
          <w:sz w:val="24"/>
          <w:szCs w:val="24"/>
        </w:rPr>
        <w:t>.</w:t>
      </w:r>
    </w:p>
    <w:p w14:paraId="6DAD2E52" w14:textId="77777777" w:rsidR="00575CDF" w:rsidRPr="00C801A6" w:rsidRDefault="00575CDF" w:rsidP="00575CDF">
      <w:pPr>
        <w:pStyle w:val="BodyText"/>
        <w:spacing w:after="160" w:line="276" w:lineRule="auto"/>
        <w:ind w:right="114"/>
        <w:jc w:val="both"/>
        <w:rPr>
          <w:rFonts w:ascii="Times New Roman" w:hAnsi="Times New Roman" w:cs="Times New Roman"/>
          <w:spacing w:val="15"/>
          <w:sz w:val="24"/>
          <w:szCs w:val="24"/>
        </w:rPr>
      </w:pPr>
      <w:r w:rsidRPr="00C801A6">
        <w:rPr>
          <w:rFonts w:ascii="Times New Roman" w:hAnsi="Times New Roman" w:cs="Times New Roman"/>
          <w:spacing w:val="-2"/>
          <w:sz w:val="24"/>
          <w:szCs w:val="24"/>
        </w:rPr>
        <w:t>Le</w:t>
      </w:r>
      <w:r w:rsidRPr="00C801A6">
        <w:rPr>
          <w:rFonts w:ascii="Times New Roman" w:hAnsi="Times New Roman" w:cs="Times New Roman"/>
          <w:spacing w:val="21"/>
          <w:sz w:val="24"/>
          <w:szCs w:val="24"/>
        </w:rPr>
        <w:t xml:space="preserve"> </w:t>
      </w:r>
      <w:r w:rsidRPr="00C801A6">
        <w:rPr>
          <w:rFonts w:ascii="Times New Roman" w:hAnsi="Times New Roman" w:cs="Times New Roman"/>
          <w:spacing w:val="-1"/>
          <w:sz w:val="24"/>
          <w:szCs w:val="24"/>
        </w:rPr>
        <w:t>relief</w:t>
      </w:r>
      <w:r w:rsidRPr="00C801A6">
        <w:rPr>
          <w:rFonts w:ascii="Times New Roman" w:hAnsi="Times New Roman" w:cs="Times New Roman"/>
          <w:spacing w:val="20"/>
          <w:sz w:val="24"/>
          <w:szCs w:val="24"/>
        </w:rPr>
        <w:t xml:space="preserve"> </w:t>
      </w:r>
      <w:r w:rsidRPr="00C801A6">
        <w:rPr>
          <w:rFonts w:ascii="Times New Roman" w:hAnsi="Times New Roman" w:cs="Times New Roman"/>
          <w:spacing w:val="-1"/>
          <w:sz w:val="24"/>
          <w:szCs w:val="24"/>
        </w:rPr>
        <w:t>est</w:t>
      </w:r>
      <w:r w:rsidRPr="00C801A6">
        <w:rPr>
          <w:rFonts w:ascii="Times New Roman" w:hAnsi="Times New Roman" w:cs="Times New Roman"/>
          <w:spacing w:val="21"/>
          <w:sz w:val="24"/>
          <w:szCs w:val="24"/>
        </w:rPr>
        <w:t xml:space="preserve"> </w:t>
      </w:r>
      <w:r w:rsidRPr="00C801A6">
        <w:rPr>
          <w:rFonts w:ascii="Times New Roman" w:hAnsi="Times New Roman" w:cs="Times New Roman"/>
          <w:sz w:val="24"/>
          <w:szCs w:val="24"/>
        </w:rPr>
        <w:t>accidenté</w:t>
      </w:r>
      <w:r w:rsidRPr="00C801A6">
        <w:rPr>
          <w:rFonts w:ascii="Times New Roman" w:hAnsi="Times New Roman" w:cs="Times New Roman"/>
          <w:spacing w:val="20"/>
          <w:sz w:val="24"/>
          <w:szCs w:val="24"/>
        </w:rPr>
        <w:t xml:space="preserve"> </w:t>
      </w:r>
      <w:r w:rsidRPr="00C801A6">
        <w:rPr>
          <w:rFonts w:ascii="Times New Roman" w:hAnsi="Times New Roman" w:cs="Times New Roman"/>
          <w:spacing w:val="-1"/>
          <w:sz w:val="24"/>
          <w:szCs w:val="24"/>
        </w:rPr>
        <w:t>dans</w:t>
      </w:r>
      <w:r w:rsidRPr="00C801A6">
        <w:rPr>
          <w:rFonts w:ascii="Times New Roman" w:hAnsi="Times New Roman" w:cs="Times New Roman"/>
          <w:spacing w:val="21"/>
          <w:sz w:val="24"/>
          <w:szCs w:val="24"/>
        </w:rPr>
        <w:t xml:space="preserve"> </w:t>
      </w:r>
      <w:r w:rsidRPr="00C801A6">
        <w:rPr>
          <w:rFonts w:ascii="Times New Roman" w:hAnsi="Times New Roman" w:cs="Times New Roman"/>
          <w:sz w:val="24"/>
          <w:szCs w:val="24"/>
        </w:rPr>
        <w:t>la</w:t>
      </w:r>
      <w:r w:rsidRPr="00C801A6">
        <w:rPr>
          <w:rFonts w:ascii="Times New Roman" w:hAnsi="Times New Roman" w:cs="Times New Roman"/>
          <w:spacing w:val="20"/>
          <w:sz w:val="24"/>
          <w:szCs w:val="24"/>
        </w:rPr>
        <w:t xml:space="preserve"> </w:t>
      </w:r>
      <w:r w:rsidRPr="00C801A6">
        <w:rPr>
          <w:rFonts w:ascii="Times New Roman" w:hAnsi="Times New Roman" w:cs="Times New Roman"/>
          <w:spacing w:val="-1"/>
          <w:sz w:val="24"/>
          <w:szCs w:val="24"/>
        </w:rPr>
        <w:t>partie</w:t>
      </w:r>
      <w:r w:rsidRPr="00C801A6">
        <w:rPr>
          <w:rFonts w:ascii="Times New Roman" w:hAnsi="Times New Roman" w:cs="Times New Roman"/>
          <w:spacing w:val="20"/>
          <w:sz w:val="24"/>
          <w:szCs w:val="24"/>
        </w:rPr>
        <w:t xml:space="preserve"> </w:t>
      </w:r>
      <w:r w:rsidRPr="00C801A6">
        <w:rPr>
          <w:rFonts w:ascii="Times New Roman" w:hAnsi="Times New Roman" w:cs="Times New Roman"/>
          <w:spacing w:val="-1"/>
          <w:sz w:val="24"/>
          <w:szCs w:val="24"/>
        </w:rPr>
        <w:t>centrale,</w:t>
      </w:r>
      <w:r w:rsidRPr="00C801A6">
        <w:rPr>
          <w:rFonts w:ascii="Times New Roman" w:hAnsi="Times New Roman" w:cs="Times New Roman"/>
          <w:spacing w:val="21"/>
          <w:sz w:val="24"/>
          <w:szCs w:val="24"/>
        </w:rPr>
        <w:t xml:space="preserve"> </w:t>
      </w:r>
      <w:r w:rsidRPr="00C801A6">
        <w:rPr>
          <w:rFonts w:ascii="Times New Roman" w:hAnsi="Times New Roman" w:cs="Times New Roman"/>
          <w:sz w:val="24"/>
          <w:szCs w:val="24"/>
        </w:rPr>
        <w:t>disséqué</w:t>
      </w:r>
      <w:r w:rsidRPr="00C801A6">
        <w:rPr>
          <w:rFonts w:ascii="Times New Roman" w:hAnsi="Times New Roman" w:cs="Times New Roman"/>
          <w:spacing w:val="20"/>
          <w:sz w:val="24"/>
          <w:szCs w:val="24"/>
        </w:rPr>
        <w:t xml:space="preserve"> </w:t>
      </w:r>
      <w:r w:rsidRPr="00C801A6">
        <w:rPr>
          <w:rFonts w:ascii="Times New Roman" w:hAnsi="Times New Roman" w:cs="Times New Roman"/>
          <w:spacing w:val="-1"/>
          <w:sz w:val="24"/>
          <w:szCs w:val="24"/>
        </w:rPr>
        <w:t>par</w:t>
      </w:r>
      <w:r w:rsidRPr="00C801A6">
        <w:rPr>
          <w:rFonts w:ascii="Times New Roman" w:hAnsi="Times New Roman" w:cs="Times New Roman"/>
          <w:spacing w:val="20"/>
          <w:sz w:val="24"/>
          <w:szCs w:val="24"/>
        </w:rPr>
        <w:t xml:space="preserve"> </w:t>
      </w:r>
      <w:r w:rsidRPr="00C801A6">
        <w:rPr>
          <w:rFonts w:ascii="Times New Roman" w:hAnsi="Times New Roman" w:cs="Times New Roman"/>
          <w:spacing w:val="-1"/>
          <w:sz w:val="24"/>
          <w:szCs w:val="24"/>
        </w:rPr>
        <w:t>des</w:t>
      </w:r>
      <w:r w:rsidRPr="00C801A6">
        <w:rPr>
          <w:rFonts w:ascii="Times New Roman" w:hAnsi="Times New Roman" w:cs="Times New Roman"/>
          <w:spacing w:val="21"/>
          <w:sz w:val="24"/>
          <w:szCs w:val="24"/>
        </w:rPr>
        <w:t xml:space="preserve"> </w:t>
      </w:r>
      <w:r w:rsidRPr="00C801A6">
        <w:rPr>
          <w:rFonts w:ascii="Times New Roman" w:hAnsi="Times New Roman" w:cs="Times New Roman"/>
          <w:spacing w:val="-1"/>
          <w:sz w:val="24"/>
          <w:szCs w:val="24"/>
        </w:rPr>
        <w:t>ruisseaux</w:t>
      </w:r>
      <w:r w:rsidRPr="00C801A6">
        <w:rPr>
          <w:rFonts w:ascii="Times New Roman" w:hAnsi="Times New Roman" w:cs="Times New Roman"/>
          <w:spacing w:val="23"/>
          <w:sz w:val="24"/>
          <w:szCs w:val="24"/>
        </w:rPr>
        <w:t xml:space="preserve"> </w:t>
      </w:r>
      <w:r w:rsidRPr="00C801A6">
        <w:rPr>
          <w:rFonts w:ascii="Times New Roman" w:hAnsi="Times New Roman" w:cs="Times New Roman"/>
          <w:spacing w:val="-1"/>
          <w:sz w:val="24"/>
          <w:szCs w:val="24"/>
        </w:rPr>
        <w:t>encaissés</w:t>
      </w:r>
      <w:r w:rsidRPr="00C801A6">
        <w:rPr>
          <w:rFonts w:ascii="Times New Roman" w:hAnsi="Times New Roman" w:cs="Times New Roman"/>
          <w:spacing w:val="21"/>
          <w:sz w:val="24"/>
          <w:szCs w:val="24"/>
        </w:rPr>
        <w:t xml:space="preserve"> </w:t>
      </w:r>
      <w:r w:rsidRPr="00C801A6">
        <w:rPr>
          <w:rFonts w:ascii="Times New Roman" w:hAnsi="Times New Roman" w:cs="Times New Roman"/>
          <w:spacing w:val="-1"/>
          <w:sz w:val="24"/>
          <w:szCs w:val="24"/>
        </w:rPr>
        <w:t>dans</w:t>
      </w:r>
      <w:r w:rsidRPr="00C801A6">
        <w:rPr>
          <w:rFonts w:ascii="Times New Roman" w:hAnsi="Times New Roman" w:cs="Times New Roman"/>
          <w:spacing w:val="21"/>
          <w:sz w:val="24"/>
          <w:szCs w:val="24"/>
        </w:rPr>
        <w:t xml:space="preserve"> </w:t>
      </w:r>
      <w:r w:rsidRPr="00C801A6">
        <w:rPr>
          <w:rFonts w:ascii="Times New Roman" w:hAnsi="Times New Roman" w:cs="Times New Roman"/>
          <w:spacing w:val="-1"/>
          <w:sz w:val="24"/>
          <w:szCs w:val="24"/>
        </w:rPr>
        <w:t>des</w:t>
      </w:r>
      <w:r w:rsidRPr="00C801A6">
        <w:rPr>
          <w:rFonts w:ascii="Times New Roman" w:hAnsi="Times New Roman" w:cs="Times New Roman"/>
          <w:spacing w:val="85"/>
          <w:w w:val="99"/>
          <w:sz w:val="24"/>
          <w:szCs w:val="24"/>
        </w:rPr>
        <w:t xml:space="preserve"> </w:t>
      </w:r>
      <w:r w:rsidRPr="00C801A6">
        <w:rPr>
          <w:rFonts w:ascii="Times New Roman" w:hAnsi="Times New Roman" w:cs="Times New Roman"/>
          <w:spacing w:val="-1"/>
          <w:sz w:val="24"/>
          <w:szCs w:val="24"/>
        </w:rPr>
        <w:t>vallées</w:t>
      </w:r>
      <w:r w:rsidRPr="00C801A6">
        <w:rPr>
          <w:rFonts w:ascii="Times New Roman" w:hAnsi="Times New Roman" w:cs="Times New Roman"/>
          <w:spacing w:val="42"/>
          <w:sz w:val="24"/>
          <w:szCs w:val="24"/>
        </w:rPr>
        <w:t xml:space="preserve"> </w:t>
      </w:r>
      <w:r w:rsidRPr="00C801A6">
        <w:rPr>
          <w:rFonts w:ascii="Times New Roman" w:hAnsi="Times New Roman" w:cs="Times New Roman"/>
          <w:spacing w:val="-1"/>
          <w:sz w:val="24"/>
          <w:szCs w:val="24"/>
        </w:rPr>
        <w:t>étroites</w:t>
      </w:r>
      <w:r w:rsidRPr="00C801A6">
        <w:rPr>
          <w:rFonts w:ascii="Times New Roman" w:hAnsi="Times New Roman" w:cs="Times New Roman"/>
          <w:spacing w:val="42"/>
          <w:sz w:val="24"/>
          <w:szCs w:val="24"/>
        </w:rPr>
        <w:t xml:space="preserve"> </w:t>
      </w:r>
      <w:r w:rsidRPr="00C801A6">
        <w:rPr>
          <w:rFonts w:ascii="Times New Roman" w:hAnsi="Times New Roman" w:cs="Times New Roman"/>
          <w:spacing w:val="-1"/>
          <w:sz w:val="24"/>
          <w:szCs w:val="24"/>
        </w:rPr>
        <w:t>aux</w:t>
      </w:r>
      <w:r w:rsidRPr="00C801A6">
        <w:rPr>
          <w:rFonts w:ascii="Times New Roman" w:hAnsi="Times New Roman" w:cs="Times New Roman"/>
          <w:spacing w:val="44"/>
          <w:sz w:val="24"/>
          <w:szCs w:val="24"/>
        </w:rPr>
        <w:t xml:space="preserve"> </w:t>
      </w:r>
      <w:r w:rsidRPr="00C801A6">
        <w:rPr>
          <w:rFonts w:ascii="Times New Roman" w:hAnsi="Times New Roman" w:cs="Times New Roman"/>
          <w:spacing w:val="-1"/>
          <w:sz w:val="24"/>
          <w:szCs w:val="24"/>
        </w:rPr>
        <w:t>versants</w:t>
      </w:r>
      <w:r w:rsidRPr="00C801A6">
        <w:rPr>
          <w:rFonts w:ascii="Times New Roman" w:hAnsi="Times New Roman" w:cs="Times New Roman"/>
          <w:spacing w:val="42"/>
          <w:sz w:val="24"/>
          <w:szCs w:val="24"/>
        </w:rPr>
        <w:t xml:space="preserve"> </w:t>
      </w:r>
      <w:r w:rsidRPr="00C801A6">
        <w:rPr>
          <w:rFonts w:ascii="Times New Roman" w:hAnsi="Times New Roman" w:cs="Times New Roman"/>
          <w:spacing w:val="-1"/>
          <w:sz w:val="24"/>
          <w:szCs w:val="24"/>
        </w:rPr>
        <w:t>raides.</w:t>
      </w:r>
      <w:r w:rsidRPr="00C801A6">
        <w:rPr>
          <w:rFonts w:ascii="Times New Roman" w:hAnsi="Times New Roman" w:cs="Times New Roman"/>
          <w:spacing w:val="42"/>
          <w:sz w:val="24"/>
          <w:szCs w:val="24"/>
        </w:rPr>
        <w:t xml:space="preserve"> </w:t>
      </w:r>
      <w:r w:rsidRPr="00C801A6">
        <w:rPr>
          <w:rFonts w:ascii="Times New Roman" w:hAnsi="Times New Roman" w:cs="Times New Roman"/>
          <w:spacing w:val="-1"/>
          <w:sz w:val="24"/>
          <w:szCs w:val="24"/>
        </w:rPr>
        <w:t>On</w:t>
      </w:r>
      <w:r w:rsidRPr="00C801A6">
        <w:rPr>
          <w:rFonts w:ascii="Times New Roman" w:hAnsi="Times New Roman" w:cs="Times New Roman"/>
          <w:spacing w:val="46"/>
          <w:sz w:val="24"/>
          <w:szCs w:val="24"/>
        </w:rPr>
        <w:t xml:space="preserve"> </w:t>
      </w:r>
      <w:r w:rsidRPr="00C801A6">
        <w:rPr>
          <w:rFonts w:ascii="Times New Roman" w:hAnsi="Times New Roman" w:cs="Times New Roman"/>
          <w:sz w:val="24"/>
          <w:szCs w:val="24"/>
        </w:rPr>
        <w:t>y</w:t>
      </w:r>
      <w:r w:rsidRPr="00C801A6">
        <w:rPr>
          <w:rFonts w:ascii="Times New Roman" w:hAnsi="Times New Roman" w:cs="Times New Roman"/>
          <w:spacing w:val="37"/>
          <w:sz w:val="24"/>
          <w:szCs w:val="24"/>
        </w:rPr>
        <w:t xml:space="preserve"> </w:t>
      </w:r>
      <w:r w:rsidRPr="00C801A6">
        <w:rPr>
          <w:rFonts w:ascii="Times New Roman" w:hAnsi="Times New Roman" w:cs="Times New Roman"/>
          <w:sz w:val="24"/>
          <w:szCs w:val="24"/>
        </w:rPr>
        <w:t>rencontre</w:t>
      </w:r>
      <w:r w:rsidRPr="00C801A6">
        <w:rPr>
          <w:rFonts w:ascii="Times New Roman" w:hAnsi="Times New Roman" w:cs="Times New Roman"/>
          <w:spacing w:val="41"/>
          <w:sz w:val="24"/>
          <w:szCs w:val="24"/>
        </w:rPr>
        <w:t xml:space="preserve"> </w:t>
      </w:r>
      <w:r w:rsidRPr="00C801A6">
        <w:rPr>
          <w:rFonts w:ascii="Times New Roman" w:hAnsi="Times New Roman" w:cs="Times New Roman"/>
          <w:spacing w:val="-1"/>
          <w:sz w:val="24"/>
          <w:szCs w:val="24"/>
        </w:rPr>
        <w:t>d</w:t>
      </w:r>
      <w:r w:rsidRPr="00C801A6">
        <w:rPr>
          <w:rFonts w:ascii="Times New Roman" w:hAnsi="Times New Roman" w:cs="Times New Roman"/>
          <w:sz w:val="24"/>
          <w:szCs w:val="24"/>
        </w:rPr>
        <w:t>’</w:t>
      </w:r>
      <w:r w:rsidRPr="00C801A6">
        <w:rPr>
          <w:rFonts w:ascii="Times New Roman" w:hAnsi="Times New Roman" w:cs="Times New Roman"/>
          <w:spacing w:val="-1"/>
          <w:sz w:val="24"/>
          <w:szCs w:val="24"/>
        </w:rPr>
        <w:t>étroites</w:t>
      </w:r>
      <w:r w:rsidRPr="00C801A6">
        <w:rPr>
          <w:rFonts w:ascii="Times New Roman" w:hAnsi="Times New Roman" w:cs="Times New Roman"/>
          <w:spacing w:val="43"/>
          <w:sz w:val="24"/>
          <w:szCs w:val="24"/>
        </w:rPr>
        <w:t xml:space="preserve"> </w:t>
      </w:r>
      <w:r w:rsidRPr="00C801A6">
        <w:rPr>
          <w:rFonts w:ascii="Times New Roman" w:hAnsi="Times New Roman" w:cs="Times New Roman"/>
          <w:sz w:val="24"/>
          <w:szCs w:val="24"/>
        </w:rPr>
        <w:t>plaines</w:t>
      </w:r>
      <w:r w:rsidRPr="00C801A6">
        <w:rPr>
          <w:rFonts w:ascii="Times New Roman" w:hAnsi="Times New Roman" w:cs="Times New Roman"/>
          <w:spacing w:val="42"/>
          <w:sz w:val="24"/>
          <w:szCs w:val="24"/>
        </w:rPr>
        <w:t xml:space="preserve"> </w:t>
      </w:r>
      <w:r w:rsidRPr="00C801A6">
        <w:rPr>
          <w:rFonts w:ascii="Times New Roman" w:hAnsi="Times New Roman" w:cs="Times New Roman"/>
          <w:spacing w:val="-1"/>
          <w:sz w:val="24"/>
          <w:szCs w:val="24"/>
        </w:rPr>
        <w:t>alluviales</w:t>
      </w:r>
      <w:r w:rsidRPr="00C801A6">
        <w:rPr>
          <w:rFonts w:ascii="Times New Roman" w:hAnsi="Times New Roman" w:cs="Times New Roman"/>
          <w:spacing w:val="42"/>
          <w:sz w:val="24"/>
          <w:szCs w:val="24"/>
        </w:rPr>
        <w:t xml:space="preserve"> </w:t>
      </w:r>
      <w:r w:rsidRPr="00C801A6">
        <w:rPr>
          <w:rFonts w:ascii="Times New Roman" w:hAnsi="Times New Roman" w:cs="Times New Roman"/>
          <w:spacing w:val="-1"/>
          <w:sz w:val="24"/>
          <w:szCs w:val="24"/>
        </w:rPr>
        <w:t>souvent</w:t>
      </w:r>
      <w:r w:rsidRPr="00C801A6">
        <w:rPr>
          <w:rFonts w:ascii="Times New Roman" w:hAnsi="Times New Roman" w:cs="Times New Roman"/>
          <w:spacing w:val="87"/>
          <w:w w:val="99"/>
          <w:sz w:val="24"/>
          <w:szCs w:val="24"/>
        </w:rPr>
        <w:t xml:space="preserve"> </w:t>
      </w:r>
      <w:r w:rsidRPr="00C801A6">
        <w:rPr>
          <w:rFonts w:ascii="Times New Roman" w:hAnsi="Times New Roman" w:cs="Times New Roman"/>
          <w:spacing w:val="-1"/>
          <w:sz w:val="24"/>
          <w:szCs w:val="24"/>
        </w:rPr>
        <w:t>marécageuses</w:t>
      </w:r>
      <w:r w:rsidRPr="00C801A6">
        <w:rPr>
          <w:rFonts w:ascii="Times New Roman" w:hAnsi="Times New Roman" w:cs="Times New Roman"/>
          <w:spacing w:val="-5"/>
          <w:sz w:val="24"/>
          <w:szCs w:val="24"/>
        </w:rPr>
        <w:t xml:space="preserve"> </w:t>
      </w:r>
      <w:r w:rsidRPr="00C801A6">
        <w:rPr>
          <w:rFonts w:ascii="Times New Roman" w:hAnsi="Times New Roman" w:cs="Times New Roman"/>
          <w:spacing w:val="-1"/>
          <w:sz w:val="24"/>
          <w:szCs w:val="24"/>
        </w:rPr>
        <w:t>ensablées,</w:t>
      </w:r>
      <w:r w:rsidRPr="00C801A6">
        <w:rPr>
          <w:rFonts w:ascii="Times New Roman" w:hAnsi="Times New Roman" w:cs="Times New Roman"/>
          <w:spacing w:val="-7"/>
          <w:sz w:val="24"/>
          <w:szCs w:val="24"/>
        </w:rPr>
        <w:t xml:space="preserve"> </w:t>
      </w:r>
      <w:r w:rsidRPr="00C801A6">
        <w:rPr>
          <w:rFonts w:ascii="Times New Roman" w:hAnsi="Times New Roman" w:cs="Times New Roman"/>
          <w:sz w:val="24"/>
          <w:szCs w:val="24"/>
        </w:rPr>
        <w:t>à</w:t>
      </w:r>
      <w:r w:rsidRPr="00C801A6">
        <w:rPr>
          <w:rFonts w:ascii="Times New Roman" w:hAnsi="Times New Roman" w:cs="Times New Roman"/>
          <w:spacing w:val="-8"/>
          <w:sz w:val="24"/>
          <w:szCs w:val="24"/>
        </w:rPr>
        <w:t xml:space="preserve"> </w:t>
      </w:r>
      <w:r w:rsidRPr="00C801A6">
        <w:rPr>
          <w:rFonts w:ascii="Times New Roman" w:hAnsi="Times New Roman" w:cs="Times New Roman"/>
          <w:spacing w:val="-1"/>
          <w:sz w:val="24"/>
          <w:szCs w:val="24"/>
        </w:rPr>
        <w:t>drainage</w:t>
      </w:r>
      <w:r w:rsidRPr="00C801A6">
        <w:rPr>
          <w:rFonts w:ascii="Times New Roman" w:hAnsi="Times New Roman" w:cs="Times New Roman"/>
          <w:spacing w:val="-7"/>
          <w:sz w:val="24"/>
          <w:szCs w:val="24"/>
        </w:rPr>
        <w:t xml:space="preserve"> </w:t>
      </w:r>
      <w:r w:rsidRPr="00C801A6">
        <w:rPr>
          <w:rFonts w:ascii="Times New Roman" w:hAnsi="Times New Roman" w:cs="Times New Roman"/>
          <w:spacing w:val="-1"/>
          <w:sz w:val="24"/>
          <w:szCs w:val="24"/>
        </w:rPr>
        <w:t>difficile</w:t>
      </w:r>
      <w:r w:rsidRPr="00C801A6">
        <w:rPr>
          <w:rFonts w:ascii="Times New Roman" w:hAnsi="Times New Roman" w:cs="Times New Roman"/>
          <w:spacing w:val="-6"/>
          <w:sz w:val="24"/>
          <w:szCs w:val="24"/>
        </w:rPr>
        <w:t xml:space="preserve"> </w:t>
      </w:r>
      <w:r w:rsidRPr="00C801A6">
        <w:rPr>
          <w:rFonts w:ascii="Times New Roman" w:hAnsi="Times New Roman" w:cs="Times New Roman"/>
          <w:spacing w:val="-1"/>
          <w:sz w:val="24"/>
          <w:szCs w:val="24"/>
        </w:rPr>
        <w:t>au</w:t>
      </w:r>
      <w:r w:rsidRPr="00C801A6">
        <w:rPr>
          <w:rFonts w:ascii="Times New Roman" w:hAnsi="Times New Roman" w:cs="Times New Roman"/>
          <w:spacing w:val="-6"/>
          <w:sz w:val="24"/>
          <w:szCs w:val="24"/>
        </w:rPr>
        <w:t xml:space="preserve"> </w:t>
      </w:r>
      <w:r w:rsidRPr="00C801A6">
        <w:rPr>
          <w:rFonts w:ascii="Times New Roman" w:hAnsi="Times New Roman" w:cs="Times New Roman"/>
          <w:spacing w:val="-1"/>
          <w:sz w:val="24"/>
          <w:szCs w:val="24"/>
        </w:rPr>
        <w:t>voisinage</w:t>
      </w:r>
      <w:r w:rsidRPr="00C801A6">
        <w:rPr>
          <w:rFonts w:ascii="Times New Roman" w:hAnsi="Times New Roman" w:cs="Times New Roman"/>
          <w:spacing w:val="-8"/>
          <w:sz w:val="24"/>
          <w:szCs w:val="24"/>
        </w:rPr>
        <w:t xml:space="preserve"> </w:t>
      </w:r>
      <w:r w:rsidRPr="00C801A6">
        <w:rPr>
          <w:rFonts w:ascii="Times New Roman" w:hAnsi="Times New Roman" w:cs="Times New Roman"/>
          <w:spacing w:val="1"/>
          <w:sz w:val="24"/>
          <w:szCs w:val="24"/>
        </w:rPr>
        <w:t>de</w:t>
      </w:r>
      <w:r w:rsidRPr="00C801A6">
        <w:rPr>
          <w:rFonts w:ascii="Times New Roman" w:hAnsi="Times New Roman" w:cs="Times New Roman"/>
          <w:spacing w:val="-7"/>
          <w:sz w:val="24"/>
          <w:szCs w:val="24"/>
        </w:rPr>
        <w:t xml:space="preserve"> </w:t>
      </w:r>
      <w:r w:rsidRPr="00C801A6">
        <w:rPr>
          <w:rFonts w:ascii="Times New Roman" w:hAnsi="Times New Roman" w:cs="Times New Roman"/>
          <w:sz w:val="24"/>
          <w:szCs w:val="24"/>
        </w:rPr>
        <w:t>la</w:t>
      </w:r>
      <w:r w:rsidRPr="00C801A6">
        <w:rPr>
          <w:rFonts w:ascii="Times New Roman" w:hAnsi="Times New Roman" w:cs="Times New Roman"/>
          <w:spacing w:val="-8"/>
          <w:sz w:val="24"/>
          <w:szCs w:val="24"/>
        </w:rPr>
        <w:t xml:space="preserve"> </w:t>
      </w:r>
      <w:r w:rsidRPr="00C801A6">
        <w:rPr>
          <w:rFonts w:ascii="Times New Roman" w:hAnsi="Times New Roman" w:cs="Times New Roman"/>
          <w:spacing w:val="-1"/>
          <w:sz w:val="24"/>
          <w:szCs w:val="24"/>
        </w:rPr>
        <w:t xml:space="preserve">côte. </w:t>
      </w:r>
      <w:r w:rsidRPr="00C801A6">
        <w:rPr>
          <w:rFonts w:ascii="Times New Roman" w:hAnsi="Times New Roman" w:cs="Times New Roman"/>
          <w:spacing w:val="-2"/>
          <w:sz w:val="24"/>
          <w:szCs w:val="24"/>
        </w:rPr>
        <w:t>Le</w:t>
      </w:r>
      <w:r w:rsidRPr="00C801A6">
        <w:rPr>
          <w:rFonts w:ascii="Times New Roman" w:hAnsi="Times New Roman" w:cs="Times New Roman"/>
          <w:sz w:val="24"/>
          <w:szCs w:val="24"/>
        </w:rPr>
        <w:t xml:space="preserve"> </w:t>
      </w:r>
      <w:r w:rsidRPr="00C801A6">
        <w:rPr>
          <w:rFonts w:ascii="Times New Roman" w:hAnsi="Times New Roman" w:cs="Times New Roman"/>
          <w:spacing w:val="-1"/>
          <w:sz w:val="24"/>
          <w:szCs w:val="24"/>
        </w:rPr>
        <w:t>relief</w:t>
      </w:r>
      <w:r w:rsidRPr="00C801A6">
        <w:rPr>
          <w:rFonts w:ascii="Times New Roman" w:hAnsi="Times New Roman" w:cs="Times New Roman"/>
          <w:spacing w:val="1"/>
          <w:sz w:val="24"/>
          <w:szCs w:val="24"/>
        </w:rPr>
        <w:t xml:space="preserve"> </w:t>
      </w:r>
      <w:r w:rsidRPr="00C801A6">
        <w:rPr>
          <w:rFonts w:ascii="Times New Roman" w:hAnsi="Times New Roman" w:cs="Times New Roman"/>
          <w:spacing w:val="-1"/>
          <w:sz w:val="24"/>
          <w:szCs w:val="24"/>
        </w:rPr>
        <w:t>est</w:t>
      </w:r>
      <w:r w:rsidRPr="00C801A6">
        <w:rPr>
          <w:rFonts w:ascii="Times New Roman" w:hAnsi="Times New Roman" w:cs="Times New Roman"/>
          <w:sz w:val="24"/>
          <w:szCs w:val="24"/>
        </w:rPr>
        <w:t xml:space="preserve"> dominé</w:t>
      </w:r>
      <w:r w:rsidRPr="00C801A6">
        <w:rPr>
          <w:rFonts w:ascii="Times New Roman" w:hAnsi="Times New Roman" w:cs="Times New Roman"/>
          <w:spacing w:val="-2"/>
          <w:sz w:val="24"/>
          <w:szCs w:val="24"/>
        </w:rPr>
        <w:t xml:space="preserve"> </w:t>
      </w:r>
      <w:r w:rsidRPr="00C801A6">
        <w:rPr>
          <w:rFonts w:ascii="Times New Roman" w:hAnsi="Times New Roman" w:cs="Times New Roman"/>
          <w:spacing w:val="-1"/>
          <w:sz w:val="24"/>
          <w:szCs w:val="24"/>
        </w:rPr>
        <w:t xml:space="preserve">par </w:t>
      </w:r>
      <w:r w:rsidRPr="00C801A6">
        <w:rPr>
          <w:rFonts w:ascii="Times New Roman" w:hAnsi="Times New Roman" w:cs="Times New Roman"/>
          <w:spacing w:val="1"/>
          <w:sz w:val="24"/>
          <w:szCs w:val="24"/>
        </w:rPr>
        <w:lastRenderedPageBreak/>
        <w:t>le</w:t>
      </w:r>
      <w:r w:rsidRPr="00C801A6">
        <w:rPr>
          <w:rFonts w:ascii="Times New Roman" w:hAnsi="Times New Roman" w:cs="Times New Roman"/>
          <w:spacing w:val="-2"/>
          <w:sz w:val="24"/>
          <w:szCs w:val="24"/>
        </w:rPr>
        <w:t xml:space="preserve"> </w:t>
      </w:r>
      <w:r w:rsidRPr="00C801A6">
        <w:rPr>
          <w:rFonts w:ascii="Times New Roman" w:hAnsi="Times New Roman" w:cs="Times New Roman"/>
          <w:spacing w:val="-1"/>
          <w:sz w:val="24"/>
          <w:szCs w:val="24"/>
        </w:rPr>
        <w:t xml:space="preserve">massif </w:t>
      </w:r>
      <w:r w:rsidRPr="00C801A6">
        <w:rPr>
          <w:rFonts w:ascii="Times New Roman" w:hAnsi="Times New Roman" w:cs="Times New Roman"/>
          <w:sz w:val="24"/>
          <w:szCs w:val="24"/>
        </w:rPr>
        <w:t>du</w:t>
      </w:r>
      <w:r w:rsidRPr="00C801A6">
        <w:rPr>
          <w:rFonts w:ascii="Times New Roman" w:hAnsi="Times New Roman" w:cs="Times New Roman"/>
          <w:spacing w:val="-1"/>
          <w:sz w:val="24"/>
          <w:szCs w:val="24"/>
        </w:rPr>
        <w:t xml:space="preserve"> Tsaratanana</w:t>
      </w:r>
      <w:r w:rsidRPr="00C801A6">
        <w:rPr>
          <w:rFonts w:ascii="Times New Roman" w:hAnsi="Times New Roman" w:cs="Times New Roman"/>
          <w:spacing w:val="1"/>
          <w:sz w:val="24"/>
          <w:szCs w:val="24"/>
        </w:rPr>
        <w:t xml:space="preserve"> </w:t>
      </w:r>
      <w:r w:rsidRPr="00C801A6">
        <w:rPr>
          <w:rFonts w:ascii="Times New Roman" w:hAnsi="Times New Roman" w:cs="Times New Roman"/>
          <w:spacing w:val="-1"/>
          <w:sz w:val="24"/>
          <w:szCs w:val="24"/>
        </w:rPr>
        <w:t>et</w:t>
      </w:r>
      <w:r w:rsidRPr="00C801A6">
        <w:rPr>
          <w:rFonts w:ascii="Times New Roman" w:hAnsi="Times New Roman" w:cs="Times New Roman"/>
          <w:sz w:val="24"/>
          <w:szCs w:val="24"/>
        </w:rPr>
        <w:t xml:space="preserve"> la</w:t>
      </w:r>
      <w:r w:rsidRPr="00C801A6">
        <w:rPr>
          <w:rFonts w:ascii="Times New Roman" w:hAnsi="Times New Roman" w:cs="Times New Roman"/>
          <w:spacing w:val="-2"/>
          <w:sz w:val="24"/>
          <w:szCs w:val="24"/>
        </w:rPr>
        <w:t xml:space="preserve"> </w:t>
      </w:r>
      <w:r w:rsidRPr="00C801A6">
        <w:rPr>
          <w:rFonts w:ascii="Times New Roman" w:hAnsi="Times New Roman" w:cs="Times New Roman"/>
          <w:spacing w:val="-1"/>
          <w:sz w:val="24"/>
          <w:szCs w:val="24"/>
        </w:rPr>
        <w:t>montagne</w:t>
      </w:r>
      <w:r w:rsidRPr="00C801A6">
        <w:rPr>
          <w:rFonts w:ascii="Times New Roman" w:hAnsi="Times New Roman" w:cs="Times New Roman"/>
          <w:spacing w:val="-2"/>
          <w:sz w:val="24"/>
          <w:szCs w:val="24"/>
        </w:rPr>
        <w:t xml:space="preserve"> </w:t>
      </w:r>
      <w:r w:rsidRPr="00C801A6">
        <w:rPr>
          <w:rFonts w:ascii="Times New Roman" w:hAnsi="Times New Roman" w:cs="Times New Roman"/>
          <w:spacing w:val="-1"/>
          <w:sz w:val="24"/>
          <w:szCs w:val="24"/>
        </w:rPr>
        <w:t>d’Ambre d’où</w:t>
      </w:r>
      <w:r w:rsidRPr="00C801A6">
        <w:rPr>
          <w:rFonts w:ascii="Times New Roman" w:hAnsi="Times New Roman" w:cs="Times New Roman"/>
          <w:spacing w:val="15"/>
          <w:sz w:val="24"/>
          <w:szCs w:val="24"/>
        </w:rPr>
        <w:t xml:space="preserve"> </w:t>
      </w:r>
      <w:r w:rsidRPr="00C801A6">
        <w:rPr>
          <w:rFonts w:ascii="Times New Roman" w:hAnsi="Times New Roman" w:cs="Times New Roman"/>
          <w:spacing w:val="-1"/>
          <w:sz w:val="24"/>
          <w:szCs w:val="24"/>
        </w:rPr>
        <w:t>divergent</w:t>
      </w:r>
      <w:r w:rsidRPr="00C801A6">
        <w:rPr>
          <w:rFonts w:ascii="Times New Roman" w:hAnsi="Times New Roman" w:cs="Times New Roman"/>
          <w:spacing w:val="13"/>
          <w:sz w:val="24"/>
          <w:szCs w:val="24"/>
        </w:rPr>
        <w:t xml:space="preserve"> </w:t>
      </w:r>
      <w:r w:rsidRPr="00C801A6">
        <w:rPr>
          <w:rFonts w:ascii="Times New Roman" w:hAnsi="Times New Roman" w:cs="Times New Roman"/>
          <w:sz w:val="24"/>
          <w:szCs w:val="24"/>
        </w:rPr>
        <w:t>tous</w:t>
      </w:r>
      <w:r w:rsidRPr="00C801A6">
        <w:rPr>
          <w:rFonts w:ascii="Times New Roman" w:hAnsi="Times New Roman" w:cs="Times New Roman"/>
          <w:spacing w:val="13"/>
          <w:sz w:val="24"/>
          <w:szCs w:val="24"/>
        </w:rPr>
        <w:t xml:space="preserve"> </w:t>
      </w:r>
      <w:r w:rsidRPr="00C801A6">
        <w:rPr>
          <w:rFonts w:ascii="Times New Roman" w:hAnsi="Times New Roman" w:cs="Times New Roman"/>
          <w:spacing w:val="-1"/>
          <w:sz w:val="24"/>
          <w:szCs w:val="24"/>
        </w:rPr>
        <w:t>les</w:t>
      </w:r>
      <w:r w:rsidRPr="00C801A6">
        <w:rPr>
          <w:rFonts w:ascii="Times New Roman" w:hAnsi="Times New Roman" w:cs="Times New Roman"/>
          <w:spacing w:val="14"/>
          <w:sz w:val="24"/>
          <w:szCs w:val="24"/>
        </w:rPr>
        <w:t xml:space="preserve"> </w:t>
      </w:r>
      <w:r w:rsidRPr="00C801A6">
        <w:rPr>
          <w:rFonts w:ascii="Times New Roman" w:hAnsi="Times New Roman" w:cs="Times New Roman"/>
          <w:spacing w:val="-1"/>
          <w:sz w:val="24"/>
          <w:szCs w:val="24"/>
        </w:rPr>
        <w:t>cours</w:t>
      </w:r>
      <w:r w:rsidRPr="00C801A6">
        <w:rPr>
          <w:rFonts w:ascii="Times New Roman" w:hAnsi="Times New Roman" w:cs="Times New Roman"/>
          <w:spacing w:val="15"/>
          <w:sz w:val="24"/>
          <w:szCs w:val="24"/>
        </w:rPr>
        <w:t xml:space="preserve"> </w:t>
      </w:r>
      <w:r w:rsidRPr="00C801A6">
        <w:rPr>
          <w:rFonts w:ascii="Times New Roman" w:hAnsi="Times New Roman" w:cs="Times New Roman"/>
          <w:sz w:val="24"/>
          <w:szCs w:val="24"/>
        </w:rPr>
        <w:t>d’eau</w:t>
      </w:r>
      <w:r w:rsidRPr="00C801A6">
        <w:rPr>
          <w:rFonts w:ascii="Times New Roman" w:hAnsi="Times New Roman" w:cs="Times New Roman"/>
          <w:spacing w:val="28"/>
          <w:sz w:val="24"/>
          <w:szCs w:val="24"/>
        </w:rPr>
        <w:t xml:space="preserve"> </w:t>
      </w:r>
      <w:r w:rsidRPr="00C801A6">
        <w:rPr>
          <w:rFonts w:ascii="Times New Roman" w:hAnsi="Times New Roman" w:cs="Times New Roman"/>
          <w:spacing w:val="-1"/>
          <w:sz w:val="24"/>
          <w:szCs w:val="24"/>
        </w:rPr>
        <w:t>importants</w:t>
      </w:r>
      <w:r w:rsidRPr="00C801A6">
        <w:rPr>
          <w:rFonts w:ascii="Times New Roman" w:hAnsi="Times New Roman" w:cs="Times New Roman"/>
          <w:spacing w:val="13"/>
          <w:sz w:val="24"/>
          <w:szCs w:val="24"/>
        </w:rPr>
        <w:t xml:space="preserve"> </w:t>
      </w:r>
      <w:r w:rsidRPr="00C801A6">
        <w:rPr>
          <w:rFonts w:ascii="Times New Roman" w:hAnsi="Times New Roman" w:cs="Times New Roman"/>
          <w:sz w:val="24"/>
          <w:szCs w:val="24"/>
        </w:rPr>
        <w:t>de</w:t>
      </w:r>
      <w:r w:rsidRPr="00C801A6">
        <w:rPr>
          <w:rFonts w:ascii="Times New Roman" w:hAnsi="Times New Roman" w:cs="Times New Roman"/>
          <w:spacing w:val="14"/>
          <w:sz w:val="24"/>
          <w:szCs w:val="24"/>
        </w:rPr>
        <w:t xml:space="preserve"> </w:t>
      </w:r>
      <w:r w:rsidRPr="00C801A6">
        <w:rPr>
          <w:rFonts w:ascii="Times New Roman" w:hAnsi="Times New Roman" w:cs="Times New Roman"/>
          <w:spacing w:val="-1"/>
          <w:sz w:val="24"/>
          <w:szCs w:val="24"/>
        </w:rPr>
        <w:t>cette</w:t>
      </w:r>
      <w:r w:rsidRPr="00C801A6">
        <w:rPr>
          <w:rFonts w:ascii="Times New Roman" w:hAnsi="Times New Roman" w:cs="Times New Roman"/>
          <w:spacing w:val="15"/>
          <w:sz w:val="24"/>
          <w:szCs w:val="24"/>
        </w:rPr>
        <w:t xml:space="preserve"> </w:t>
      </w:r>
      <w:r w:rsidRPr="00C801A6">
        <w:rPr>
          <w:rFonts w:ascii="Times New Roman" w:hAnsi="Times New Roman" w:cs="Times New Roman"/>
          <w:spacing w:val="-1"/>
          <w:sz w:val="24"/>
          <w:szCs w:val="24"/>
        </w:rPr>
        <w:t>partie</w:t>
      </w:r>
      <w:r w:rsidRPr="00C801A6">
        <w:rPr>
          <w:rFonts w:ascii="Times New Roman" w:hAnsi="Times New Roman" w:cs="Times New Roman"/>
          <w:spacing w:val="11"/>
          <w:sz w:val="24"/>
          <w:szCs w:val="24"/>
        </w:rPr>
        <w:t xml:space="preserve"> </w:t>
      </w:r>
      <w:r w:rsidRPr="00C801A6">
        <w:rPr>
          <w:rFonts w:ascii="Times New Roman" w:hAnsi="Times New Roman" w:cs="Times New Roman"/>
          <w:sz w:val="24"/>
          <w:szCs w:val="24"/>
        </w:rPr>
        <w:t>de</w:t>
      </w:r>
      <w:r w:rsidRPr="00C801A6">
        <w:rPr>
          <w:rFonts w:ascii="Times New Roman" w:hAnsi="Times New Roman" w:cs="Times New Roman"/>
          <w:spacing w:val="14"/>
          <w:sz w:val="24"/>
          <w:szCs w:val="24"/>
        </w:rPr>
        <w:t xml:space="preserve"> </w:t>
      </w:r>
      <w:r w:rsidRPr="00C801A6">
        <w:rPr>
          <w:rFonts w:ascii="Times New Roman" w:hAnsi="Times New Roman" w:cs="Times New Roman"/>
          <w:sz w:val="24"/>
          <w:szCs w:val="24"/>
        </w:rPr>
        <w:t>la</w:t>
      </w:r>
      <w:r w:rsidRPr="00C801A6">
        <w:rPr>
          <w:rFonts w:ascii="Times New Roman" w:hAnsi="Times New Roman" w:cs="Times New Roman"/>
          <w:spacing w:val="14"/>
          <w:sz w:val="24"/>
          <w:szCs w:val="24"/>
        </w:rPr>
        <w:t xml:space="preserve"> </w:t>
      </w:r>
      <w:r w:rsidRPr="00C801A6">
        <w:rPr>
          <w:rFonts w:ascii="Times New Roman" w:hAnsi="Times New Roman" w:cs="Times New Roman"/>
          <w:spacing w:val="-1"/>
          <w:sz w:val="24"/>
          <w:szCs w:val="24"/>
        </w:rPr>
        <w:t>grande</w:t>
      </w:r>
      <w:r w:rsidRPr="00C801A6">
        <w:rPr>
          <w:rFonts w:ascii="Times New Roman" w:hAnsi="Times New Roman" w:cs="Times New Roman"/>
          <w:spacing w:val="81"/>
          <w:w w:val="99"/>
          <w:sz w:val="24"/>
          <w:szCs w:val="24"/>
        </w:rPr>
        <w:t xml:space="preserve"> </w:t>
      </w:r>
      <w:r w:rsidRPr="00C801A6">
        <w:rPr>
          <w:rFonts w:ascii="Times New Roman" w:hAnsi="Times New Roman" w:cs="Times New Roman"/>
          <w:spacing w:val="-2"/>
          <w:sz w:val="24"/>
          <w:szCs w:val="24"/>
        </w:rPr>
        <w:t>Ile.</w:t>
      </w:r>
      <w:r w:rsidRPr="00C801A6">
        <w:rPr>
          <w:rFonts w:ascii="Times New Roman" w:hAnsi="Times New Roman" w:cs="Times New Roman"/>
          <w:spacing w:val="15"/>
          <w:sz w:val="24"/>
          <w:szCs w:val="24"/>
        </w:rPr>
        <w:t xml:space="preserve"> </w:t>
      </w:r>
    </w:p>
    <w:p w14:paraId="27D6E9BD" w14:textId="77777777" w:rsidR="00575CDF" w:rsidRPr="00C801A6" w:rsidRDefault="00575CDF" w:rsidP="00575CDF">
      <w:pPr>
        <w:pStyle w:val="BodyText"/>
        <w:spacing w:after="160" w:line="276" w:lineRule="auto"/>
        <w:ind w:right="111"/>
        <w:jc w:val="both"/>
        <w:rPr>
          <w:rFonts w:ascii="Times New Roman" w:hAnsi="Times New Roman" w:cs="Times New Roman"/>
          <w:sz w:val="24"/>
          <w:szCs w:val="24"/>
        </w:rPr>
      </w:pPr>
      <w:r w:rsidRPr="00C801A6">
        <w:rPr>
          <w:rFonts w:ascii="Times New Roman" w:hAnsi="Times New Roman" w:cs="Times New Roman"/>
          <w:spacing w:val="-2"/>
          <w:sz w:val="24"/>
          <w:szCs w:val="24"/>
        </w:rPr>
        <w:t>Les</w:t>
      </w:r>
      <w:r w:rsidRPr="00C801A6">
        <w:rPr>
          <w:rFonts w:ascii="Times New Roman" w:hAnsi="Times New Roman" w:cs="Times New Roman"/>
          <w:spacing w:val="12"/>
          <w:sz w:val="24"/>
          <w:szCs w:val="24"/>
        </w:rPr>
        <w:t xml:space="preserve"> </w:t>
      </w:r>
      <w:r w:rsidRPr="00C801A6">
        <w:rPr>
          <w:rFonts w:ascii="Times New Roman" w:hAnsi="Times New Roman" w:cs="Times New Roman"/>
          <w:sz w:val="24"/>
          <w:szCs w:val="24"/>
        </w:rPr>
        <w:t>sols</w:t>
      </w:r>
      <w:r w:rsidRPr="00C801A6">
        <w:rPr>
          <w:rFonts w:ascii="Times New Roman" w:hAnsi="Times New Roman" w:cs="Times New Roman"/>
          <w:spacing w:val="12"/>
          <w:sz w:val="24"/>
          <w:szCs w:val="24"/>
        </w:rPr>
        <w:t xml:space="preserve"> </w:t>
      </w:r>
      <w:r w:rsidRPr="00C801A6">
        <w:rPr>
          <w:rFonts w:ascii="Times New Roman" w:hAnsi="Times New Roman" w:cs="Times New Roman"/>
          <w:sz w:val="24"/>
          <w:szCs w:val="24"/>
        </w:rPr>
        <w:t>sont</w:t>
      </w:r>
      <w:r w:rsidRPr="00C801A6">
        <w:rPr>
          <w:rFonts w:ascii="Times New Roman" w:hAnsi="Times New Roman" w:cs="Times New Roman"/>
          <w:spacing w:val="14"/>
          <w:sz w:val="24"/>
          <w:szCs w:val="24"/>
        </w:rPr>
        <w:t xml:space="preserve"> </w:t>
      </w:r>
      <w:r w:rsidRPr="00C801A6">
        <w:rPr>
          <w:rFonts w:ascii="Times New Roman" w:hAnsi="Times New Roman" w:cs="Times New Roman"/>
          <w:sz w:val="24"/>
          <w:szCs w:val="24"/>
        </w:rPr>
        <w:t>à</w:t>
      </w:r>
      <w:r w:rsidRPr="00C801A6">
        <w:rPr>
          <w:rFonts w:ascii="Times New Roman" w:hAnsi="Times New Roman" w:cs="Times New Roman"/>
          <w:spacing w:val="10"/>
          <w:sz w:val="24"/>
          <w:szCs w:val="24"/>
        </w:rPr>
        <w:t xml:space="preserve"> </w:t>
      </w:r>
      <w:r w:rsidRPr="00C801A6">
        <w:rPr>
          <w:rFonts w:ascii="Times New Roman" w:hAnsi="Times New Roman" w:cs="Times New Roman"/>
          <w:spacing w:val="-1"/>
          <w:sz w:val="24"/>
          <w:szCs w:val="24"/>
        </w:rPr>
        <w:t>dominance</w:t>
      </w:r>
      <w:r w:rsidRPr="00C801A6">
        <w:rPr>
          <w:rFonts w:ascii="Times New Roman" w:hAnsi="Times New Roman" w:cs="Times New Roman"/>
          <w:spacing w:val="13"/>
          <w:sz w:val="24"/>
          <w:szCs w:val="24"/>
        </w:rPr>
        <w:t xml:space="preserve"> </w:t>
      </w:r>
      <w:r w:rsidRPr="00C801A6">
        <w:rPr>
          <w:rFonts w:ascii="Times New Roman" w:hAnsi="Times New Roman" w:cs="Times New Roman"/>
          <w:spacing w:val="-1"/>
          <w:sz w:val="24"/>
          <w:szCs w:val="24"/>
        </w:rPr>
        <w:t>ferralitiques</w:t>
      </w:r>
      <w:r w:rsidRPr="00C801A6">
        <w:rPr>
          <w:rFonts w:ascii="Times New Roman" w:hAnsi="Times New Roman" w:cs="Times New Roman"/>
          <w:spacing w:val="12"/>
          <w:sz w:val="24"/>
          <w:szCs w:val="24"/>
        </w:rPr>
        <w:t xml:space="preserve"> </w:t>
      </w:r>
      <w:r w:rsidRPr="00C801A6">
        <w:rPr>
          <w:rFonts w:ascii="Times New Roman" w:hAnsi="Times New Roman" w:cs="Times New Roman"/>
          <w:sz w:val="24"/>
          <w:szCs w:val="24"/>
        </w:rPr>
        <w:t>sous</w:t>
      </w:r>
      <w:r w:rsidRPr="00C801A6">
        <w:rPr>
          <w:rFonts w:ascii="Times New Roman" w:hAnsi="Times New Roman" w:cs="Times New Roman"/>
          <w:spacing w:val="14"/>
          <w:sz w:val="24"/>
          <w:szCs w:val="24"/>
        </w:rPr>
        <w:t xml:space="preserve"> </w:t>
      </w:r>
      <w:r w:rsidRPr="00C801A6">
        <w:rPr>
          <w:rFonts w:ascii="Times New Roman" w:hAnsi="Times New Roman" w:cs="Times New Roman"/>
          <w:spacing w:val="-1"/>
          <w:sz w:val="24"/>
          <w:szCs w:val="24"/>
        </w:rPr>
        <w:t>les</w:t>
      </w:r>
      <w:r w:rsidRPr="00C801A6">
        <w:rPr>
          <w:rFonts w:ascii="Times New Roman" w:hAnsi="Times New Roman" w:cs="Times New Roman"/>
          <w:spacing w:val="12"/>
          <w:sz w:val="24"/>
          <w:szCs w:val="24"/>
        </w:rPr>
        <w:t xml:space="preserve"> </w:t>
      </w:r>
      <w:r w:rsidRPr="00C801A6">
        <w:rPr>
          <w:rFonts w:ascii="Times New Roman" w:hAnsi="Times New Roman" w:cs="Times New Roman"/>
          <w:spacing w:val="-1"/>
          <w:sz w:val="24"/>
          <w:szCs w:val="24"/>
        </w:rPr>
        <w:t>forêts</w:t>
      </w:r>
      <w:r w:rsidRPr="00C801A6">
        <w:rPr>
          <w:rFonts w:ascii="Times New Roman" w:hAnsi="Times New Roman" w:cs="Times New Roman"/>
          <w:spacing w:val="12"/>
          <w:sz w:val="24"/>
          <w:szCs w:val="24"/>
        </w:rPr>
        <w:t xml:space="preserve"> </w:t>
      </w:r>
      <w:r w:rsidRPr="00C801A6">
        <w:rPr>
          <w:rFonts w:ascii="Times New Roman" w:hAnsi="Times New Roman" w:cs="Times New Roman"/>
          <w:spacing w:val="-1"/>
          <w:sz w:val="24"/>
          <w:szCs w:val="24"/>
        </w:rPr>
        <w:t>jusqu’à</w:t>
      </w:r>
      <w:r w:rsidRPr="00C801A6">
        <w:rPr>
          <w:rFonts w:ascii="Times New Roman" w:hAnsi="Times New Roman" w:cs="Times New Roman"/>
          <w:spacing w:val="13"/>
          <w:sz w:val="24"/>
          <w:szCs w:val="24"/>
        </w:rPr>
        <w:t xml:space="preserve"> </w:t>
      </w:r>
      <w:r w:rsidRPr="00C801A6">
        <w:rPr>
          <w:rFonts w:ascii="Times New Roman" w:hAnsi="Times New Roman" w:cs="Times New Roman"/>
          <w:sz w:val="24"/>
          <w:szCs w:val="24"/>
        </w:rPr>
        <w:t>1 800m</w:t>
      </w:r>
      <w:r w:rsidRPr="00C801A6">
        <w:rPr>
          <w:rFonts w:ascii="Times New Roman" w:hAnsi="Times New Roman" w:cs="Times New Roman"/>
          <w:spacing w:val="12"/>
          <w:sz w:val="24"/>
          <w:szCs w:val="24"/>
        </w:rPr>
        <w:t xml:space="preserve"> </w:t>
      </w:r>
      <w:r w:rsidRPr="00C801A6">
        <w:rPr>
          <w:rFonts w:ascii="Times New Roman" w:hAnsi="Times New Roman" w:cs="Times New Roman"/>
          <w:spacing w:val="-1"/>
          <w:sz w:val="24"/>
          <w:szCs w:val="24"/>
        </w:rPr>
        <w:t>d’altitude.</w:t>
      </w:r>
      <w:r w:rsidRPr="00C801A6">
        <w:rPr>
          <w:rFonts w:ascii="Times New Roman" w:hAnsi="Times New Roman" w:cs="Times New Roman"/>
          <w:spacing w:val="14"/>
          <w:sz w:val="24"/>
          <w:szCs w:val="24"/>
        </w:rPr>
        <w:t xml:space="preserve"> </w:t>
      </w:r>
      <w:r w:rsidRPr="00C801A6">
        <w:rPr>
          <w:rFonts w:ascii="Times New Roman" w:hAnsi="Times New Roman" w:cs="Times New Roman"/>
          <w:spacing w:val="-2"/>
          <w:sz w:val="24"/>
          <w:szCs w:val="24"/>
        </w:rPr>
        <w:t>La</w:t>
      </w:r>
      <w:r w:rsidRPr="00C801A6">
        <w:rPr>
          <w:rFonts w:ascii="Times New Roman" w:hAnsi="Times New Roman" w:cs="Times New Roman"/>
          <w:spacing w:val="10"/>
          <w:sz w:val="24"/>
          <w:szCs w:val="24"/>
        </w:rPr>
        <w:t xml:space="preserve"> </w:t>
      </w:r>
      <w:r w:rsidRPr="00C801A6">
        <w:rPr>
          <w:rFonts w:ascii="Times New Roman" w:hAnsi="Times New Roman" w:cs="Times New Roman"/>
          <w:spacing w:val="-1"/>
          <w:sz w:val="24"/>
          <w:szCs w:val="24"/>
        </w:rPr>
        <w:t>forêt</w:t>
      </w:r>
      <w:r w:rsidRPr="00C801A6">
        <w:rPr>
          <w:rFonts w:ascii="Times New Roman" w:hAnsi="Times New Roman" w:cs="Times New Roman"/>
          <w:spacing w:val="95"/>
          <w:w w:val="99"/>
          <w:sz w:val="24"/>
          <w:szCs w:val="24"/>
        </w:rPr>
        <w:t xml:space="preserve"> </w:t>
      </w:r>
      <w:r w:rsidRPr="00C801A6">
        <w:rPr>
          <w:rFonts w:ascii="Times New Roman" w:hAnsi="Times New Roman" w:cs="Times New Roman"/>
          <w:spacing w:val="-1"/>
          <w:sz w:val="24"/>
          <w:szCs w:val="24"/>
        </w:rPr>
        <w:t>ombrophile</w:t>
      </w:r>
      <w:r w:rsidRPr="00C801A6">
        <w:rPr>
          <w:rFonts w:ascii="Times New Roman" w:hAnsi="Times New Roman" w:cs="Times New Roman"/>
          <w:spacing w:val="-6"/>
          <w:sz w:val="24"/>
          <w:szCs w:val="24"/>
        </w:rPr>
        <w:t xml:space="preserve"> </w:t>
      </w:r>
      <w:r w:rsidRPr="00C801A6">
        <w:rPr>
          <w:rFonts w:ascii="Times New Roman" w:hAnsi="Times New Roman" w:cs="Times New Roman"/>
          <w:spacing w:val="-1"/>
          <w:sz w:val="24"/>
          <w:szCs w:val="24"/>
        </w:rPr>
        <w:t>couvre</w:t>
      </w:r>
      <w:r w:rsidRPr="00C801A6">
        <w:rPr>
          <w:rFonts w:ascii="Times New Roman" w:hAnsi="Times New Roman" w:cs="Times New Roman"/>
          <w:spacing w:val="-5"/>
          <w:sz w:val="24"/>
          <w:szCs w:val="24"/>
        </w:rPr>
        <w:t xml:space="preserve"> </w:t>
      </w:r>
      <w:r w:rsidRPr="00C801A6">
        <w:rPr>
          <w:rFonts w:ascii="Times New Roman" w:hAnsi="Times New Roman" w:cs="Times New Roman"/>
          <w:spacing w:val="-1"/>
          <w:sz w:val="24"/>
          <w:szCs w:val="24"/>
        </w:rPr>
        <w:t>les</w:t>
      </w:r>
      <w:r w:rsidRPr="00C801A6">
        <w:rPr>
          <w:rFonts w:ascii="Times New Roman" w:hAnsi="Times New Roman" w:cs="Times New Roman"/>
          <w:spacing w:val="-5"/>
          <w:sz w:val="24"/>
          <w:szCs w:val="24"/>
        </w:rPr>
        <w:t xml:space="preserve"> </w:t>
      </w:r>
      <w:r w:rsidRPr="00C801A6">
        <w:rPr>
          <w:rFonts w:ascii="Times New Roman" w:hAnsi="Times New Roman" w:cs="Times New Roman"/>
          <w:sz w:val="24"/>
          <w:szCs w:val="24"/>
        </w:rPr>
        <w:t>sommets</w:t>
      </w:r>
      <w:r w:rsidRPr="00C801A6">
        <w:rPr>
          <w:rFonts w:ascii="Times New Roman" w:hAnsi="Times New Roman" w:cs="Times New Roman"/>
          <w:spacing w:val="-5"/>
          <w:sz w:val="24"/>
          <w:szCs w:val="24"/>
        </w:rPr>
        <w:t xml:space="preserve"> </w:t>
      </w:r>
      <w:r w:rsidRPr="00C801A6">
        <w:rPr>
          <w:rFonts w:ascii="Times New Roman" w:hAnsi="Times New Roman" w:cs="Times New Roman"/>
          <w:spacing w:val="-1"/>
          <w:sz w:val="24"/>
          <w:szCs w:val="24"/>
        </w:rPr>
        <w:t>et</w:t>
      </w:r>
      <w:r w:rsidRPr="00C801A6">
        <w:rPr>
          <w:rFonts w:ascii="Times New Roman" w:hAnsi="Times New Roman" w:cs="Times New Roman"/>
          <w:spacing w:val="-5"/>
          <w:sz w:val="24"/>
          <w:szCs w:val="24"/>
        </w:rPr>
        <w:t xml:space="preserve"> </w:t>
      </w:r>
      <w:r w:rsidRPr="00C801A6">
        <w:rPr>
          <w:rFonts w:ascii="Times New Roman" w:hAnsi="Times New Roman" w:cs="Times New Roman"/>
          <w:spacing w:val="-1"/>
          <w:sz w:val="24"/>
          <w:szCs w:val="24"/>
        </w:rPr>
        <w:t>leurs</w:t>
      </w:r>
      <w:r w:rsidRPr="00C801A6">
        <w:rPr>
          <w:rFonts w:ascii="Times New Roman" w:hAnsi="Times New Roman" w:cs="Times New Roman"/>
          <w:spacing w:val="-5"/>
          <w:sz w:val="24"/>
          <w:szCs w:val="24"/>
        </w:rPr>
        <w:t xml:space="preserve"> </w:t>
      </w:r>
      <w:r w:rsidRPr="00C801A6">
        <w:rPr>
          <w:rFonts w:ascii="Times New Roman" w:hAnsi="Times New Roman" w:cs="Times New Roman"/>
          <w:spacing w:val="-1"/>
          <w:sz w:val="24"/>
          <w:szCs w:val="24"/>
        </w:rPr>
        <w:t>périphéries</w:t>
      </w:r>
      <w:r w:rsidRPr="00C801A6">
        <w:rPr>
          <w:rFonts w:ascii="Times New Roman" w:hAnsi="Times New Roman" w:cs="Times New Roman"/>
          <w:spacing w:val="-5"/>
          <w:sz w:val="24"/>
          <w:szCs w:val="24"/>
        </w:rPr>
        <w:t xml:space="preserve"> </w:t>
      </w:r>
      <w:r w:rsidRPr="00C801A6">
        <w:rPr>
          <w:rFonts w:ascii="Times New Roman" w:hAnsi="Times New Roman" w:cs="Times New Roman"/>
          <w:spacing w:val="-1"/>
          <w:sz w:val="24"/>
          <w:szCs w:val="24"/>
        </w:rPr>
        <w:t>tandis</w:t>
      </w:r>
      <w:r w:rsidRPr="00C801A6">
        <w:rPr>
          <w:rFonts w:ascii="Times New Roman" w:hAnsi="Times New Roman" w:cs="Times New Roman"/>
          <w:spacing w:val="-5"/>
          <w:sz w:val="24"/>
          <w:szCs w:val="24"/>
        </w:rPr>
        <w:t xml:space="preserve"> </w:t>
      </w:r>
      <w:r w:rsidRPr="00C801A6">
        <w:rPr>
          <w:rFonts w:ascii="Times New Roman" w:hAnsi="Times New Roman" w:cs="Times New Roman"/>
          <w:sz w:val="24"/>
          <w:szCs w:val="24"/>
        </w:rPr>
        <w:t>que</w:t>
      </w:r>
      <w:r w:rsidRPr="00C801A6">
        <w:rPr>
          <w:rFonts w:ascii="Times New Roman" w:hAnsi="Times New Roman" w:cs="Times New Roman"/>
          <w:spacing w:val="-6"/>
          <w:sz w:val="24"/>
          <w:szCs w:val="24"/>
        </w:rPr>
        <w:t xml:space="preserve"> </w:t>
      </w:r>
      <w:r w:rsidRPr="00C801A6">
        <w:rPr>
          <w:rFonts w:ascii="Times New Roman" w:hAnsi="Times New Roman" w:cs="Times New Roman"/>
          <w:sz w:val="24"/>
          <w:szCs w:val="24"/>
        </w:rPr>
        <w:t>la</w:t>
      </w:r>
      <w:r w:rsidRPr="00C801A6">
        <w:rPr>
          <w:rFonts w:ascii="Times New Roman" w:hAnsi="Times New Roman" w:cs="Times New Roman"/>
          <w:spacing w:val="-4"/>
          <w:sz w:val="24"/>
          <w:szCs w:val="24"/>
        </w:rPr>
        <w:t xml:space="preserve"> </w:t>
      </w:r>
      <w:r w:rsidRPr="00C801A6">
        <w:rPr>
          <w:rFonts w:ascii="Times New Roman" w:hAnsi="Times New Roman" w:cs="Times New Roman"/>
          <w:sz w:val="24"/>
          <w:szCs w:val="24"/>
        </w:rPr>
        <w:t>savane</w:t>
      </w:r>
      <w:r w:rsidRPr="00C801A6">
        <w:rPr>
          <w:rFonts w:ascii="Times New Roman" w:hAnsi="Times New Roman" w:cs="Times New Roman"/>
          <w:spacing w:val="-6"/>
          <w:sz w:val="24"/>
          <w:szCs w:val="24"/>
        </w:rPr>
        <w:t xml:space="preserve"> </w:t>
      </w:r>
      <w:r w:rsidRPr="00C801A6">
        <w:rPr>
          <w:rFonts w:ascii="Times New Roman" w:hAnsi="Times New Roman" w:cs="Times New Roman"/>
          <w:sz w:val="24"/>
          <w:szCs w:val="24"/>
        </w:rPr>
        <w:t>plus</w:t>
      </w:r>
      <w:r w:rsidRPr="00C801A6">
        <w:rPr>
          <w:rFonts w:ascii="Times New Roman" w:hAnsi="Times New Roman" w:cs="Times New Roman"/>
          <w:spacing w:val="-5"/>
          <w:sz w:val="24"/>
          <w:szCs w:val="24"/>
        </w:rPr>
        <w:t xml:space="preserve"> </w:t>
      </w:r>
      <w:r w:rsidRPr="00C801A6">
        <w:rPr>
          <w:rFonts w:ascii="Times New Roman" w:hAnsi="Times New Roman" w:cs="Times New Roman"/>
          <w:sz w:val="24"/>
          <w:szCs w:val="24"/>
        </w:rPr>
        <w:t>ou</w:t>
      </w:r>
      <w:r w:rsidRPr="00C801A6">
        <w:rPr>
          <w:rFonts w:ascii="Times New Roman" w:hAnsi="Times New Roman" w:cs="Times New Roman"/>
          <w:spacing w:val="-5"/>
          <w:sz w:val="24"/>
          <w:szCs w:val="24"/>
        </w:rPr>
        <w:t xml:space="preserve"> </w:t>
      </w:r>
      <w:r w:rsidRPr="00C801A6">
        <w:rPr>
          <w:rFonts w:ascii="Times New Roman" w:hAnsi="Times New Roman" w:cs="Times New Roman"/>
          <w:sz w:val="24"/>
          <w:szCs w:val="24"/>
        </w:rPr>
        <w:t>moins</w:t>
      </w:r>
      <w:r w:rsidRPr="00C801A6">
        <w:rPr>
          <w:rFonts w:ascii="Times New Roman" w:hAnsi="Times New Roman" w:cs="Times New Roman"/>
          <w:spacing w:val="-5"/>
          <w:sz w:val="24"/>
          <w:szCs w:val="24"/>
        </w:rPr>
        <w:t xml:space="preserve"> </w:t>
      </w:r>
      <w:r w:rsidRPr="00C801A6">
        <w:rPr>
          <w:rFonts w:ascii="Times New Roman" w:hAnsi="Times New Roman" w:cs="Times New Roman"/>
          <w:spacing w:val="-1"/>
          <w:sz w:val="24"/>
          <w:szCs w:val="24"/>
        </w:rPr>
        <w:t>arborée,</w:t>
      </w:r>
      <w:r w:rsidRPr="00C801A6">
        <w:rPr>
          <w:rFonts w:ascii="Times New Roman" w:hAnsi="Times New Roman" w:cs="Times New Roman"/>
          <w:spacing w:val="85"/>
          <w:w w:val="99"/>
          <w:sz w:val="24"/>
          <w:szCs w:val="24"/>
        </w:rPr>
        <w:t xml:space="preserve"> </w:t>
      </w:r>
      <w:r w:rsidRPr="00C801A6">
        <w:rPr>
          <w:rFonts w:ascii="Times New Roman" w:hAnsi="Times New Roman" w:cs="Times New Roman"/>
          <w:spacing w:val="-1"/>
          <w:sz w:val="24"/>
          <w:szCs w:val="24"/>
        </w:rPr>
        <w:t>les</w:t>
      </w:r>
      <w:r w:rsidRPr="00C801A6">
        <w:rPr>
          <w:rFonts w:ascii="Times New Roman" w:hAnsi="Times New Roman" w:cs="Times New Roman"/>
          <w:spacing w:val="-7"/>
          <w:sz w:val="24"/>
          <w:szCs w:val="24"/>
        </w:rPr>
        <w:t xml:space="preserve"> </w:t>
      </w:r>
      <w:r w:rsidRPr="00C801A6">
        <w:rPr>
          <w:rFonts w:ascii="Times New Roman" w:hAnsi="Times New Roman" w:cs="Times New Roman"/>
          <w:spacing w:val="-1"/>
          <w:sz w:val="24"/>
          <w:szCs w:val="24"/>
        </w:rPr>
        <w:t>collines,</w:t>
      </w:r>
      <w:r w:rsidRPr="00C801A6">
        <w:rPr>
          <w:rFonts w:ascii="Times New Roman" w:hAnsi="Times New Roman" w:cs="Times New Roman"/>
          <w:spacing w:val="-6"/>
          <w:sz w:val="24"/>
          <w:szCs w:val="24"/>
        </w:rPr>
        <w:t xml:space="preserve"> </w:t>
      </w:r>
      <w:r w:rsidRPr="00C801A6">
        <w:rPr>
          <w:rFonts w:ascii="Times New Roman" w:hAnsi="Times New Roman" w:cs="Times New Roman"/>
          <w:spacing w:val="-1"/>
          <w:sz w:val="24"/>
          <w:szCs w:val="24"/>
        </w:rPr>
        <w:t>et</w:t>
      </w:r>
      <w:r w:rsidRPr="00C801A6">
        <w:rPr>
          <w:rFonts w:ascii="Times New Roman" w:hAnsi="Times New Roman" w:cs="Times New Roman"/>
          <w:spacing w:val="-6"/>
          <w:sz w:val="24"/>
          <w:szCs w:val="24"/>
        </w:rPr>
        <w:t xml:space="preserve"> </w:t>
      </w:r>
      <w:r w:rsidRPr="00C801A6">
        <w:rPr>
          <w:rFonts w:ascii="Times New Roman" w:hAnsi="Times New Roman" w:cs="Times New Roman"/>
          <w:spacing w:val="-1"/>
          <w:sz w:val="24"/>
          <w:szCs w:val="24"/>
        </w:rPr>
        <w:t>les</w:t>
      </w:r>
      <w:r w:rsidRPr="00C801A6">
        <w:rPr>
          <w:rFonts w:ascii="Times New Roman" w:hAnsi="Times New Roman" w:cs="Times New Roman"/>
          <w:spacing w:val="-6"/>
          <w:sz w:val="24"/>
          <w:szCs w:val="24"/>
        </w:rPr>
        <w:t xml:space="preserve"> </w:t>
      </w:r>
      <w:r w:rsidRPr="00C801A6">
        <w:rPr>
          <w:rFonts w:ascii="Times New Roman" w:hAnsi="Times New Roman" w:cs="Times New Roman"/>
          <w:spacing w:val="-1"/>
          <w:sz w:val="24"/>
          <w:szCs w:val="24"/>
        </w:rPr>
        <w:t>mangroves</w:t>
      </w:r>
      <w:r w:rsidRPr="00C801A6">
        <w:rPr>
          <w:rFonts w:ascii="Times New Roman" w:hAnsi="Times New Roman" w:cs="Times New Roman"/>
          <w:spacing w:val="-6"/>
          <w:sz w:val="24"/>
          <w:szCs w:val="24"/>
        </w:rPr>
        <w:t xml:space="preserve"> </w:t>
      </w:r>
      <w:r w:rsidRPr="00C801A6">
        <w:rPr>
          <w:rFonts w:ascii="Times New Roman" w:hAnsi="Times New Roman" w:cs="Times New Roman"/>
          <w:spacing w:val="-1"/>
          <w:sz w:val="24"/>
          <w:szCs w:val="24"/>
        </w:rPr>
        <w:t>occupent</w:t>
      </w:r>
      <w:r w:rsidRPr="00C801A6">
        <w:rPr>
          <w:rFonts w:ascii="Times New Roman" w:hAnsi="Times New Roman" w:cs="Times New Roman"/>
          <w:spacing w:val="-6"/>
          <w:sz w:val="24"/>
          <w:szCs w:val="24"/>
        </w:rPr>
        <w:t xml:space="preserve"> </w:t>
      </w:r>
      <w:r w:rsidRPr="00C801A6">
        <w:rPr>
          <w:rFonts w:ascii="Times New Roman" w:hAnsi="Times New Roman" w:cs="Times New Roman"/>
          <w:sz w:val="24"/>
          <w:szCs w:val="24"/>
        </w:rPr>
        <w:t>le</w:t>
      </w:r>
      <w:r w:rsidRPr="00C801A6">
        <w:rPr>
          <w:rFonts w:ascii="Times New Roman" w:hAnsi="Times New Roman" w:cs="Times New Roman"/>
          <w:spacing w:val="-7"/>
          <w:sz w:val="24"/>
          <w:szCs w:val="24"/>
        </w:rPr>
        <w:t xml:space="preserve"> </w:t>
      </w:r>
      <w:r w:rsidRPr="00C801A6">
        <w:rPr>
          <w:rFonts w:ascii="Times New Roman" w:hAnsi="Times New Roman" w:cs="Times New Roman"/>
          <w:spacing w:val="-1"/>
          <w:sz w:val="24"/>
          <w:szCs w:val="24"/>
        </w:rPr>
        <w:t>littoral</w:t>
      </w:r>
      <w:r w:rsidRPr="00C801A6">
        <w:rPr>
          <w:rFonts w:ascii="Times New Roman" w:hAnsi="Times New Roman" w:cs="Times New Roman"/>
          <w:spacing w:val="-4"/>
          <w:sz w:val="24"/>
          <w:szCs w:val="24"/>
        </w:rPr>
        <w:t xml:space="preserve"> </w:t>
      </w:r>
      <w:r w:rsidRPr="00C801A6">
        <w:rPr>
          <w:rFonts w:ascii="Times New Roman" w:hAnsi="Times New Roman" w:cs="Times New Roman"/>
          <w:spacing w:val="-1"/>
          <w:sz w:val="24"/>
          <w:szCs w:val="24"/>
        </w:rPr>
        <w:t>Ouest.</w:t>
      </w:r>
    </w:p>
    <w:p w14:paraId="7AD1CB80" w14:textId="77777777" w:rsidR="00575CDF" w:rsidRPr="00C801A6" w:rsidRDefault="00575CDF" w:rsidP="00C65572">
      <w:pPr>
        <w:pStyle w:val="Heading3"/>
      </w:pPr>
      <w:bookmarkStart w:id="86" w:name="_Toc440199194"/>
      <w:bookmarkStart w:id="87" w:name="_Toc106320281"/>
      <w:bookmarkStart w:id="88" w:name="_Toc230425992"/>
      <w:r w:rsidRPr="00C801A6">
        <w:t>Hautes Terres</w:t>
      </w:r>
      <w:bookmarkEnd w:id="86"/>
      <w:bookmarkEnd w:id="87"/>
      <w:bookmarkEnd w:id="88"/>
    </w:p>
    <w:p w14:paraId="5D78F784" w14:textId="77777777" w:rsidR="00575CDF" w:rsidRPr="00C801A6" w:rsidRDefault="00575CDF" w:rsidP="00575CDF">
      <w:pPr>
        <w:pStyle w:val="BodyText"/>
        <w:spacing w:after="160" w:line="276" w:lineRule="auto"/>
        <w:ind w:right="114"/>
        <w:jc w:val="both"/>
        <w:rPr>
          <w:rFonts w:ascii="Times New Roman" w:hAnsi="Times New Roman" w:cs="Times New Roman"/>
          <w:spacing w:val="-2"/>
          <w:sz w:val="24"/>
          <w:szCs w:val="24"/>
        </w:rPr>
      </w:pPr>
      <w:r w:rsidRPr="00C801A6">
        <w:rPr>
          <w:rFonts w:ascii="Times New Roman" w:hAnsi="Times New Roman" w:cs="Times New Roman"/>
          <w:spacing w:val="-2"/>
          <w:sz w:val="24"/>
          <w:szCs w:val="24"/>
        </w:rPr>
        <w:t xml:space="preserve">Elles occupent toute la partie centrale du pays sur presque toute sa longueur et portent des espaces tempérés plus ou moins étendus dans son ensemble. </w:t>
      </w:r>
    </w:p>
    <w:p w14:paraId="04BC7346" w14:textId="77777777" w:rsidR="00575CDF" w:rsidRPr="00C801A6" w:rsidRDefault="00575CDF" w:rsidP="00575CDF">
      <w:pPr>
        <w:pStyle w:val="BodyText"/>
        <w:spacing w:after="160" w:line="276" w:lineRule="auto"/>
        <w:ind w:right="114"/>
        <w:jc w:val="both"/>
        <w:rPr>
          <w:rFonts w:ascii="Times New Roman" w:hAnsi="Times New Roman" w:cs="Times New Roman"/>
          <w:spacing w:val="-2"/>
          <w:sz w:val="24"/>
          <w:szCs w:val="24"/>
        </w:rPr>
      </w:pPr>
      <w:r w:rsidRPr="00C801A6">
        <w:rPr>
          <w:rFonts w:ascii="Times New Roman" w:hAnsi="Times New Roman" w:cs="Times New Roman"/>
          <w:spacing w:val="-2"/>
          <w:sz w:val="24"/>
          <w:szCs w:val="24"/>
        </w:rPr>
        <w:t>Les parties cultivées se situent essentiellement entre 1 200m et 1 400m d’altitude à l’exception de quelques dépressions comme celle du Lac Alaotra (à 900m d’altitude). Avec des précipitations moyennes annuelles de 1 500mm et une température moyenne annuelle de 16°C, la région a un climat tropical d’altitude où prédomine la riziculture.</w:t>
      </w:r>
    </w:p>
    <w:p w14:paraId="4C9F029F" w14:textId="77777777" w:rsidR="00575CDF" w:rsidRPr="00C801A6" w:rsidRDefault="00575CDF" w:rsidP="00575CDF">
      <w:pPr>
        <w:pStyle w:val="BodyText"/>
        <w:spacing w:after="160" w:line="276" w:lineRule="auto"/>
        <w:ind w:right="114"/>
        <w:jc w:val="both"/>
        <w:rPr>
          <w:rFonts w:ascii="Times New Roman" w:hAnsi="Times New Roman" w:cs="Times New Roman"/>
          <w:spacing w:val="-2"/>
          <w:sz w:val="24"/>
          <w:szCs w:val="24"/>
        </w:rPr>
      </w:pPr>
      <w:r w:rsidRPr="00C801A6">
        <w:rPr>
          <w:rFonts w:ascii="Times New Roman" w:hAnsi="Times New Roman" w:cs="Times New Roman"/>
          <w:spacing w:val="-2"/>
          <w:sz w:val="24"/>
          <w:szCs w:val="24"/>
        </w:rPr>
        <w:t xml:space="preserve">Les sols latéritiques prédominent. La végétation est riche et le réseau hydrographique très dense. Le relief est très accidenté dans la partie orientale et douce dans la partie occidentale. Cependant, </w:t>
      </w:r>
      <w:r w:rsidRPr="00C801A6">
        <w:rPr>
          <w:rFonts w:ascii="Times New Roman" w:hAnsi="Times New Roman" w:cs="Times New Roman"/>
          <w:sz w:val="24"/>
          <w:szCs w:val="24"/>
        </w:rPr>
        <w:t>on</w:t>
      </w:r>
      <w:r w:rsidRPr="00C801A6">
        <w:rPr>
          <w:rFonts w:ascii="Times New Roman" w:hAnsi="Times New Roman" w:cs="Times New Roman"/>
          <w:spacing w:val="-2"/>
          <w:sz w:val="24"/>
          <w:szCs w:val="24"/>
        </w:rPr>
        <w:t xml:space="preserve"> note la présence de nombreux « lavaka ».</w:t>
      </w:r>
    </w:p>
    <w:p w14:paraId="0B345E77" w14:textId="77777777" w:rsidR="00575CDF" w:rsidRPr="00C801A6" w:rsidRDefault="00575CDF" w:rsidP="00C65572">
      <w:pPr>
        <w:pStyle w:val="Heading3"/>
      </w:pPr>
      <w:bookmarkStart w:id="89" w:name="_Toc440199196"/>
      <w:bookmarkStart w:id="90" w:name="_Toc106320282"/>
      <w:bookmarkStart w:id="91" w:name="_Toc230425993"/>
      <w:r w:rsidRPr="00C801A6">
        <w:t>Région côtière de l’Est</w:t>
      </w:r>
      <w:bookmarkEnd w:id="89"/>
      <w:bookmarkEnd w:id="90"/>
      <w:bookmarkEnd w:id="91"/>
    </w:p>
    <w:p w14:paraId="7318A064" w14:textId="77777777" w:rsidR="00575CDF" w:rsidRPr="00C801A6" w:rsidRDefault="00575CDF" w:rsidP="00575CDF">
      <w:pPr>
        <w:pStyle w:val="BodyText"/>
        <w:spacing w:after="160" w:line="276" w:lineRule="auto"/>
        <w:ind w:right="114"/>
        <w:jc w:val="both"/>
        <w:rPr>
          <w:rFonts w:ascii="Times New Roman" w:hAnsi="Times New Roman" w:cs="Times New Roman"/>
          <w:spacing w:val="-2"/>
          <w:sz w:val="24"/>
          <w:szCs w:val="24"/>
        </w:rPr>
      </w:pPr>
      <w:r w:rsidRPr="00C801A6">
        <w:rPr>
          <w:rFonts w:ascii="Times New Roman" w:hAnsi="Times New Roman" w:cs="Times New Roman"/>
          <w:spacing w:val="-2"/>
          <w:sz w:val="24"/>
          <w:szCs w:val="24"/>
        </w:rPr>
        <w:t>Le climat est de type tropical humide caractérisé par une pluviométrie étalée sur toute l’année atteignant une moyenne annuelle supérieure à 2 100mm et une température moyenne annuelle de 20°C.</w:t>
      </w:r>
    </w:p>
    <w:p w14:paraId="12CE2021" w14:textId="77777777" w:rsidR="00575CDF" w:rsidRPr="00C801A6" w:rsidRDefault="00575CDF" w:rsidP="00575CDF">
      <w:pPr>
        <w:pStyle w:val="BodyText"/>
        <w:spacing w:after="160" w:line="276" w:lineRule="auto"/>
        <w:ind w:right="114"/>
        <w:jc w:val="both"/>
        <w:rPr>
          <w:rFonts w:ascii="Times New Roman" w:hAnsi="Times New Roman" w:cs="Times New Roman"/>
          <w:spacing w:val="-2"/>
          <w:sz w:val="24"/>
          <w:szCs w:val="24"/>
        </w:rPr>
      </w:pPr>
      <w:r w:rsidRPr="00C801A6">
        <w:rPr>
          <w:rFonts w:ascii="Times New Roman" w:hAnsi="Times New Roman" w:cs="Times New Roman"/>
          <w:spacing w:val="-2"/>
          <w:sz w:val="24"/>
          <w:szCs w:val="24"/>
        </w:rPr>
        <w:t>Le réseau hydrographique est formé par des rivières quasi rectilignes, à pente forte en dévalant les falaises et arros</w:t>
      </w:r>
      <w:r w:rsidRPr="00C801A6">
        <w:rPr>
          <w:rFonts w:ascii="Times New Roman" w:hAnsi="Times New Roman" w:cs="Times New Roman"/>
          <w:sz w:val="24"/>
          <w:szCs w:val="24"/>
        </w:rPr>
        <w:t>a</w:t>
      </w:r>
      <w:r w:rsidRPr="00C801A6">
        <w:rPr>
          <w:rFonts w:ascii="Times New Roman" w:hAnsi="Times New Roman" w:cs="Times New Roman"/>
          <w:spacing w:val="-2"/>
          <w:sz w:val="24"/>
          <w:szCs w:val="24"/>
        </w:rPr>
        <w:t>nt une plaine littorale étroite marécageuse, avec de nombreux lacs, avant de se jeter dans l’Océan Indien. Ces lacs ont été interconnectés pour former le canal des Pangalanes.</w:t>
      </w:r>
    </w:p>
    <w:p w14:paraId="08B358F3" w14:textId="77777777" w:rsidR="00575CDF" w:rsidRPr="00C801A6" w:rsidRDefault="00575CDF" w:rsidP="00575CDF">
      <w:pPr>
        <w:pStyle w:val="BodyText"/>
        <w:spacing w:after="160" w:line="276" w:lineRule="auto"/>
        <w:ind w:right="114"/>
        <w:jc w:val="both"/>
        <w:rPr>
          <w:rFonts w:ascii="Times New Roman" w:hAnsi="Times New Roman" w:cs="Times New Roman"/>
          <w:spacing w:val="-2"/>
          <w:sz w:val="24"/>
          <w:szCs w:val="24"/>
        </w:rPr>
      </w:pPr>
      <w:r w:rsidRPr="00C801A6">
        <w:rPr>
          <w:rFonts w:ascii="Times New Roman" w:hAnsi="Times New Roman" w:cs="Times New Roman"/>
          <w:spacing w:val="-2"/>
          <w:sz w:val="24"/>
          <w:szCs w:val="24"/>
        </w:rPr>
        <w:t>Le relief est caractérisé par des versants raides aux vallées profondes et étroites encaissant des rapides dangereuses.</w:t>
      </w:r>
    </w:p>
    <w:p w14:paraId="63681647" w14:textId="77777777" w:rsidR="00575CDF" w:rsidRPr="00C801A6" w:rsidRDefault="00575CDF" w:rsidP="00C65572">
      <w:pPr>
        <w:pStyle w:val="Heading3"/>
      </w:pPr>
      <w:bookmarkStart w:id="92" w:name="_Toc440199195"/>
      <w:bookmarkStart w:id="93" w:name="_Toc106320283"/>
      <w:bookmarkStart w:id="94" w:name="_Toc230425994"/>
      <w:r w:rsidRPr="00C801A6">
        <w:t>Région côtière de l’Ouest</w:t>
      </w:r>
      <w:bookmarkEnd w:id="92"/>
      <w:bookmarkEnd w:id="93"/>
      <w:bookmarkEnd w:id="94"/>
    </w:p>
    <w:p w14:paraId="2B2B7DE2" w14:textId="77777777" w:rsidR="00575CDF" w:rsidRPr="00C801A6" w:rsidRDefault="00575CDF" w:rsidP="00575CDF">
      <w:pPr>
        <w:pStyle w:val="BodyText"/>
        <w:spacing w:after="160" w:line="276" w:lineRule="auto"/>
        <w:ind w:right="114"/>
        <w:jc w:val="both"/>
        <w:rPr>
          <w:rFonts w:ascii="Times New Roman" w:hAnsi="Times New Roman" w:cs="Times New Roman"/>
          <w:spacing w:val="-2"/>
          <w:sz w:val="24"/>
          <w:szCs w:val="24"/>
        </w:rPr>
      </w:pPr>
      <w:r w:rsidRPr="00C801A6">
        <w:rPr>
          <w:rFonts w:ascii="Times New Roman" w:hAnsi="Times New Roman" w:cs="Times New Roman"/>
          <w:spacing w:val="-2"/>
          <w:sz w:val="24"/>
          <w:szCs w:val="24"/>
        </w:rPr>
        <w:t>Elle fait face au Canal de Mozambique. Elle est constituée de larges plaines sédimentaires drainées par de nombreuses rivières issues des Hautes Terres Centrales. Elle est drainée par les cours inférieurs des grands fleuves malagasy (Betsiboka, Mahavavy, Tsiribihina, Mangoky) aux larges plaines d’inondations, à pente moyenne à faible et se terminant par des deltas.</w:t>
      </w:r>
    </w:p>
    <w:p w14:paraId="3E8903A5" w14:textId="77777777" w:rsidR="00575CDF" w:rsidRPr="00C801A6" w:rsidRDefault="00575CDF" w:rsidP="00575CDF">
      <w:pPr>
        <w:pStyle w:val="BodyText"/>
        <w:spacing w:after="160" w:line="276" w:lineRule="auto"/>
        <w:ind w:right="114"/>
        <w:jc w:val="both"/>
        <w:rPr>
          <w:rFonts w:ascii="Times New Roman" w:hAnsi="Times New Roman" w:cs="Times New Roman"/>
          <w:spacing w:val="-2"/>
          <w:sz w:val="24"/>
          <w:szCs w:val="24"/>
        </w:rPr>
      </w:pPr>
      <w:r w:rsidRPr="00C801A6">
        <w:rPr>
          <w:rFonts w:ascii="Times New Roman" w:hAnsi="Times New Roman" w:cs="Times New Roman"/>
          <w:spacing w:val="-2"/>
          <w:sz w:val="24"/>
          <w:szCs w:val="24"/>
        </w:rPr>
        <w:t>La pluviométrie atteint environ 1 500mm/an dans la partie Nord pour descendre à 800-900mm dans la partie Sud. Les températures enregistrent une moyenne annuelle de 30°C environ et des minima de 23</w:t>
      </w:r>
      <w:r w:rsidRPr="00C801A6">
        <w:rPr>
          <w:rFonts w:ascii="Times New Roman" w:hAnsi="Times New Roman" w:cs="Times New Roman"/>
          <w:sz w:val="24"/>
          <w:szCs w:val="24"/>
        </w:rPr>
        <w:t>°</w:t>
      </w:r>
      <w:r w:rsidRPr="00C801A6">
        <w:rPr>
          <w:rFonts w:ascii="Times New Roman" w:hAnsi="Times New Roman" w:cs="Times New Roman"/>
          <w:spacing w:val="-2"/>
          <w:sz w:val="24"/>
          <w:szCs w:val="24"/>
        </w:rPr>
        <w:t>C en Janvier et 13°C en Juillet – Août. C’est une région à vocation agro-pastorale.</w:t>
      </w:r>
    </w:p>
    <w:p w14:paraId="295DA1CA" w14:textId="77777777" w:rsidR="00575CDF" w:rsidRPr="00C801A6" w:rsidRDefault="00575CDF" w:rsidP="00575CDF">
      <w:pPr>
        <w:pStyle w:val="BodyText"/>
        <w:spacing w:after="160" w:line="276" w:lineRule="auto"/>
        <w:ind w:right="114"/>
        <w:jc w:val="both"/>
        <w:rPr>
          <w:rFonts w:ascii="Times New Roman" w:hAnsi="Times New Roman" w:cs="Times New Roman"/>
          <w:spacing w:val="-2"/>
          <w:sz w:val="24"/>
          <w:szCs w:val="24"/>
        </w:rPr>
      </w:pPr>
      <w:r w:rsidRPr="00C801A6">
        <w:rPr>
          <w:rFonts w:ascii="Times New Roman" w:hAnsi="Times New Roman" w:cs="Times New Roman"/>
          <w:spacing w:val="-2"/>
          <w:sz w:val="24"/>
          <w:szCs w:val="24"/>
        </w:rPr>
        <w:t>Cette région est le domaine des savanes et elle possède aussi d’aires importantes à protéger (parcs nationaux, réserves naturelles, mangroves sur le littoral, forêts classées,</w:t>
      </w:r>
      <w:r w:rsidRPr="00C801A6">
        <w:rPr>
          <w:rFonts w:ascii="Times New Roman" w:hAnsi="Times New Roman" w:cs="Times New Roman"/>
          <w:sz w:val="24"/>
          <w:szCs w:val="24"/>
        </w:rPr>
        <w:t xml:space="preserve"> </w:t>
      </w:r>
      <w:r w:rsidRPr="00C801A6">
        <w:rPr>
          <w:rFonts w:ascii="Times New Roman" w:hAnsi="Times New Roman" w:cs="Times New Roman"/>
          <w:spacing w:val="-2"/>
          <w:sz w:val="24"/>
          <w:szCs w:val="24"/>
        </w:rPr>
        <w:t>…)</w:t>
      </w:r>
    </w:p>
    <w:p w14:paraId="08149BDA" w14:textId="77777777" w:rsidR="00575CDF" w:rsidRPr="00C801A6" w:rsidRDefault="00575CDF" w:rsidP="00575CDF">
      <w:pPr>
        <w:pStyle w:val="BodyText"/>
        <w:spacing w:after="160" w:line="276" w:lineRule="auto"/>
        <w:ind w:right="114"/>
        <w:jc w:val="both"/>
        <w:rPr>
          <w:rFonts w:ascii="Times New Roman" w:hAnsi="Times New Roman" w:cs="Times New Roman"/>
          <w:spacing w:val="-2"/>
          <w:sz w:val="24"/>
          <w:szCs w:val="24"/>
        </w:rPr>
      </w:pPr>
      <w:r w:rsidRPr="00C801A6">
        <w:rPr>
          <w:rFonts w:ascii="Times New Roman" w:hAnsi="Times New Roman" w:cs="Times New Roman"/>
          <w:spacing w:val="-2"/>
          <w:sz w:val="24"/>
          <w:szCs w:val="24"/>
        </w:rPr>
        <w:t>Le relief est très accidenté au voisinage du socle et s’adoucit au fur et à mesure que l’on s’avance vers l’Ouest.</w:t>
      </w:r>
    </w:p>
    <w:p w14:paraId="19ABA907" w14:textId="77777777" w:rsidR="00575CDF" w:rsidRPr="00C801A6" w:rsidRDefault="00575CDF" w:rsidP="00C65572">
      <w:pPr>
        <w:pStyle w:val="Heading3"/>
      </w:pPr>
      <w:bookmarkStart w:id="95" w:name="_Toc440199197"/>
      <w:bookmarkStart w:id="96" w:name="_Toc106320284"/>
      <w:bookmarkStart w:id="97" w:name="_Toc230425995"/>
      <w:r w:rsidRPr="00C801A6">
        <w:lastRenderedPageBreak/>
        <w:t>Région du Sud et du Sud-Ouest</w:t>
      </w:r>
      <w:bookmarkEnd w:id="95"/>
      <w:bookmarkEnd w:id="96"/>
      <w:bookmarkEnd w:id="97"/>
    </w:p>
    <w:p w14:paraId="6980392C" w14:textId="77777777" w:rsidR="00575CDF" w:rsidRPr="00C801A6" w:rsidRDefault="00575CDF" w:rsidP="00575CDF">
      <w:pPr>
        <w:pStyle w:val="BodyText"/>
        <w:spacing w:after="160" w:line="276" w:lineRule="auto"/>
        <w:ind w:right="114"/>
        <w:jc w:val="both"/>
        <w:rPr>
          <w:rFonts w:ascii="Times New Roman" w:hAnsi="Times New Roman" w:cs="Times New Roman"/>
          <w:spacing w:val="-2"/>
          <w:sz w:val="24"/>
          <w:szCs w:val="24"/>
        </w:rPr>
      </w:pPr>
      <w:r w:rsidRPr="00C801A6">
        <w:rPr>
          <w:rFonts w:ascii="Times New Roman" w:hAnsi="Times New Roman" w:cs="Times New Roman"/>
          <w:spacing w:val="-2"/>
          <w:sz w:val="24"/>
          <w:szCs w:val="24"/>
        </w:rPr>
        <w:t>Elle se caractérise par sa sécheresse car la région souffre d’une pluviométrie très faible et mal répartie (400 à 600mm/an) avec 8 à 9 mois de saison sèche. L’élevage extensif est l’activité économique principale. La majeure partie de la région est formée par des plateaux de basse altitude se terminant par des plaines littorales entre Morondava et Toliar</w:t>
      </w:r>
      <w:r w:rsidRPr="00C801A6">
        <w:rPr>
          <w:rFonts w:ascii="Times New Roman" w:hAnsi="Times New Roman" w:cs="Times New Roman"/>
          <w:sz w:val="24"/>
          <w:szCs w:val="24"/>
        </w:rPr>
        <w:t>a</w:t>
      </w:r>
      <w:r w:rsidRPr="00C801A6">
        <w:rPr>
          <w:rFonts w:ascii="Times New Roman" w:hAnsi="Times New Roman" w:cs="Times New Roman"/>
          <w:spacing w:val="-2"/>
          <w:sz w:val="24"/>
          <w:szCs w:val="24"/>
        </w:rPr>
        <w:t xml:space="preserve"> et des épandages sableux importants dans l’extrême Sud. </w:t>
      </w:r>
    </w:p>
    <w:p w14:paraId="771E3FB2" w14:textId="77777777" w:rsidR="00575CDF" w:rsidRPr="00C801A6" w:rsidRDefault="00575CDF" w:rsidP="00575CDF">
      <w:pPr>
        <w:pStyle w:val="BodyText"/>
        <w:spacing w:after="160" w:line="276" w:lineRule="auto"/>
        <w:ind w:right="114"/>
        <w:jc w:val="both"/>
        <w:rPr>
          <w:rFonts w:ascii="Times New Roman" w:hAnsi="Times New Roman" w:cs="Times New Roman"/>
          <w:spacing w:val="-2"/>
          <w:sz w:val="24"/>
          <w:szCs w:val="24"/>
        </w:rPr>
      </w:pPr>
      <w:r w:rsidRPr="00C801A6">
        <w:rPr>
          <w:rFonts w:ascii="Times New Roman" w:hAnsi="Times New Roman" w:cs="Times New Roman"/>
          <w:spacing w:val="-2"/>
          <w:sz w:val="24"/>
          <w:szCs w:val="24"/>
        </w:rPr>
        <w:t>Le réseau hydrographique est constitué par des rivières à pente faible, charriant d’énormes quantités de sable, aux larges plaines d’inondation avec un régime irrégulier, au bilan hydrique déficitaire et à écoulement très faible, voire nul en période sèche. C’est aussi le domaine de forte endémicité faunistique et floristique. Le bush xérophytique et la forêt dense sèche couvrent une grande partie de cette région.</w:t>
      </w:r>
    </w:p>
    <w:p w14:paraId="5E7E9363" w14:textId="77777777" w:rsidR="00575CDF" w:rsidRPr="00C801A6" w:rsidRDefault="00575CDF" w:rsidP="00014BC0">
      <w:pPr>
        <w:pStyle w:val="Heading2"/>
      </w:pPr>
      <w:bookmarkStart w:id="98" w:name="_Toc440199198"/>
      <w:bookmarkStart w:id="99" w:name="_Toc106320285"/>
      <w:bookmarkStart w:id="100" w:name="_Toc429311437"/>
      <w:bookmarkStart w:id="101" w:name="_Toc230425996"/>
      <w:r w:rsidRPr="00C801A6">
        <w:t>Caractéristiques physiques</w:t>
      </w:r>
      <w:bookmarkEnd w:id="98"/>
      <w:bookmarkEnd w:id="99"/>
      <w:bookmarkEnd w:id="101"/>
    </w:p>
    <w:p w14:paraId="38E92364" w14:textId="77777777" w:rsidR="00575CDF" w:rsidRPr="00C801A6" w:rsidRDefault="00575CDF" w:rsidP="00C65572">
      <w:pPr>
        <w:pStyle w:val="Heading3"/>
      </w:pPr>
      <w:bookmarkStart w:id="102" w:name="_Toc440199199"/>
      <w:bookmarkStart w:id="103" w:name="_Toc106320286"/>
      <w:bookmarkStart w:id="104" w:name="_Toc230425997"/>
      <w:bookmarkEnd w:id="100"/>
      <w:r w:rsidRPr="00C801A6">
        <w:t>Climat</w:t>
      </w:r>
      <w:bookmarkEnd w:id="102"/>
      <w:bookmarkEnd w:id="103"/>
      <w:bookmarkEnd w:id="104"/>
    </w:p>
    <w:p w14:paraId="62FF98C7" w14:textId="77777777" w:rsidR="00575CDF" w:rsidRPr="00C801A6" w:rsidRDefault="00575CDF" w:rsidP="00575CDF">
      <w:pPr>
        <w:rPr>
          <w:rFonts w:cs="Arial"/>
          <w:color w:val="auto"/>
        </w:rPr>
      </w:pPr>
      <w:r w:rsidRPr="00C801A6">
        <w:rPr>
          <w:rFonts w:cs="Arial"/>
          <w:color w:val="auto"/>
        </w:rPr>
        <w:t>Madagascar est soumis à un climat tropical avec des variantes allant du type équatorial jusqu’au type tropical semi-aride, suivant la latitude et l’altitude.</w:t>
      </w:r>
    </w:p>
    <w:p w14:paraId="02950840" w14:textId="77777777" w:rsidR="00575CDF" w:rsidRPr="00C801A6" w:rsidRDefault="00575CDF" w:rsidP="00575CDF">
      <w:pPr>
        <w:rPr>
          <w:rFonts w:cs="Arial"/>
          <w:color w:val="auto"/>
        </w:rPr>
      </w:pPr>
      <w:r w:rsidRPr="00C801A6">
        <w:rPr>
          <w:rFonts w:eastAsia="Times New Roman" w:cs="Times New Roman"/>
          <w:color w:val="auto"/>
        </w:rPr>
        <w:t>Les 11 bioclimats régionaux observés à Madagascar peuvent être regroupés globalement en quatre grands types</w:t>
      </w:r>
      <w:r w:rsidRPr="00C801A6">
        <w:rPr>
          <w:rFonts w:cs="Arial"/>
          <w:color w:val="auto"/>
        </w:rPr>
        <w:t> :</w:t>
      </w:r>
    </w:p>
    <w:p w14:paraId="2A6A3FB1" w14:textId="77777777" w:rsidR="00575CDF" w:rsidRPr="00C801A6" w:rsidRDefault="00575CDF" w:rsidP="003042DB">
      <w:pPr>
        <w:pStyle w:val="Heading4"/>
        <w:rPr>
          <w:color w:val="auto"/>
        </w:rPr>
      </w:pPr>
      <w:bookmarkStart w:id="105" w:name="_Toc230298733"/>
      <w:r w:rsidRPr="00C801A6">
        <w:rPr>
          <w:color w:val="auto"/>
        </w:rPr>
        <w:t>Climat</w:t>
      </w:r>
      <w:r w:rsidRPr="00C801A6">
        <w:rPr>
          <w:color w:val="auto"/>
          <w:spacing w:val="-17"/>
        </w:rPr>
        <w:t xml:space="preserve"> </w:t>
      </w:r>
      <w:r w:rsidRPr="00C801A6">
        <w:rPr>
          <w:color w:val="auto"/>
        </w:rPr>
        <w:t>perhumide</w:t>
      </w:r>
      <w:bookmarkEnd w:id="105"/>
    </w:p>
    <w:p w14:paraId="491A24DF" w14:textId="77777777" w:rsidR="00575CDF" w:rsidRPr="00C801A6" w:rsidRDefault="00575CDF" w:rsidP="00575CDF">
      <w:pPr>
        <w:rPr>
          <w:rFonts w:cs="Times New Roman"/>
          <w:color w:val="auto"/>
          <w:szCs w:val="24"/>
        </w:rPr>
      </w:pPr>
      <w:bookmarkStart w:id="106" w:name="_Hlk71686494"/>
      <w:r w:rsidRPr="00C801A6">
        <w:rPr>
          <w:rFonts w:cs="Times New Roman"/>
          <w:color w:val="auto"/>
          <w:szCs w:val="24"/>
        </w:rPr>
        <w:t>Ce type de climat couvre l’ensemble de la région orientale de l’île.</w:t>
      </w:r>
    </w:p>
    <w:p w14:paraId="0B055901" w14:textId="77777777" w:rsidR="00575CDF" w:rsidRPr="00C801A6" w:rsidRDefault="00575CDF" w:rsidP="00575CDF">
      <w:pPr>
        <w:rPr>
          <w:rFonts w:cs="Times New Roman"/>
          <w:color w:val="auto"/>
          <w:szCs w:val="24"/>
        </w:rPr>
      </w:pPr>
      <w:bookmarkStart w:id="107" w:name="_Hlk71685963"/>
      <w:bookmarkEnd w:id="106"/>
      <w:r w:rsidRPr="00C801A6">
        <w:rPr>
          <w:rFonts w:cs="Times New Roman"/>
          <w:color w:val="auto"/>
          <w:szCs w:val="24"/>
        </w:rPr>
        <w:t>Il se caractérise par une précipitation annuelle supérieure à 2 000mm, abondante de janvier à avril, et une absence de période sèche. La température varie suivant l’altitude, d’où découlent les subdivisions :</w:t>
      </w:r>
    </w:p>
    <w:p w14:paraId="6734349B" w14:textId="77777777" w:rsidR="00575CDF" w:rsidRPr="00C801A6" w:rsidRDefault="00575CDF" w:rsidP="00844538">
      <w:pPr>
        <w:pStyle w:val="ListParagraph"/>
        <w:numPr>
          <w:ilvl w:val="0"/>
          <w:numId w:val="13"/>
        </w:numPr>
        <w:tabs>
          <w:tab w:val="left" w:pos="567"/>
        </w:tabs>
        <w:spacing w:line="276" w:lineRule="auto"/>
        <w:ind w:left="426" w:hanging="284"/>
        <w:contextualSpacing w:val="0"/>
        <w:rPr>
          <w:rFonts w:cs="Times New Roman"/>
          <w:color w:val="auto"/>
          <w:szCs w:val="24"/>
        </w:rPr>
      </w:pPr>
      <w:r w:rsidRPr="00C801A6">
        <w:rPr>
          <w:rFonts w:cs="Times New Roman"/>
          <w:color w:val="auto"/>
          <w:szCs w:val="24"/>
        </w:rPr>
        <w:t>0 à 500 m : perhumide chaud, avec une température moyenne annuelle de 21°C à 24°C durant le mois le plus frais, elle varie entre 12°C et 14°C ;</w:t>
      </w:r>
    </w:p>
    <w:p w14:paraId="58D315D1" w14:textId="77777777" w:rsidR="00575CDF" w:rsidRPr="00C801A6" w:rsidRDefault="00575CDF" w:rsidP="00844538">
      <w:pPr>
        <w:pStyle w:val="ListParagraph"/>
        <w:numPr>
          <w:ilvl w:val="0"/>
          <w:numId w:val="13"/>
        </w:numPr>
        <w:tabs>
          <w:tab w:val="left" w:pos="567"/>
        </w:tabs>
        <w:spacing w:line="276" w:lineRule="auto"/>
        <w:ind w:left="426" w:hanging="284"/>
        <w:contextualSpacing w:val="0"/>
        <w:rPr>
          <w:rFonts w:cs="Times New Roman"/>
          <w:color w:val="auto"/>
        </w:rPr>
      </w:pPr>
      <w:r w:rsidRPr="00C801A6">
        <w:rPr>
          <w:rFonts w:cs="Times New Roman"/>
          <w:color w:val="auto"/>
        </w:rPr>
        <w:t>500 – 800 m : perhumide frais, avec une température moyenne annuelle de 21°C à 23° et pendant la période fraîche, elle peut descendre jusqu’à 10°C ;</w:t>
      </w:r>
    </w:p>
    <w:p w14:paraId="34F8E844" w14:textId="498312BE" w:rsidR="00575CDF" w:rsidRPr="00C801A6" w:rsidRDefault="006111E8" w:rsidP="00844538">
      <w:pPr>
        <w:pStyle w:val="ListParagraph"/>
        <w:numPr>
          <w:ilvl w:val="0"/>
          <w:numId w:val="13"/>
        </w:numPr>
        <w:tabs>
          <w:tab w:val="left" w:pos="567"/>
        </w:tabs>
        <w:spacing w:line="276" w:lineRule="auto"/>
        <w:ind w:left="426" w:hanging="284"/>
        <w:contextualSpacing w:val="0"/>
        <w:rPr>
          <w:rFonts w:cs="Times New Roman"/>
          <w:color w:val="auto"/>
        </w:rPr>
      </w:pPr>
      <w:r w:rsidRPr="00C801A6">
        <w:rPr>
          <w:rFonts w:cs="Times New Roman"/>
          <w:color w:val="auto"/>
        </w:rPr>
        <w:t>E</w:t>
      </w:r>
      <w:r w:rsidR="00575CDF" w:rsidRPr="00C801A6">
        <w:rPr>
          <w:rFonts w:cs="Times New Roman"/>
          <w:color w:val="auto"/>
        </w:rPr>
        <w:t>ntre 800 et 1 600m d’altitude</w:t>
      </w:r>
      <w:r w:rsidRPr="00C801A6">
        <w:rPr>
          <w:rFonts w:cs="Times New Roman"/>
          <w:color w:val="auto"/>
        </w:rPr>
        <w:t> :</w:t>
      </w:r>
      <w:r w:rsidR="00575CDF" w:rsidRPr="00C801A6">
        <w:rPr>
          <w:rFonts w:cs="Times New Roman"/>
          <w:color w:val="auto"/>
        </w:rPr>
        <w:t xml:space="preserve"> le climat est de type humide (voir la section ci-dessous)</w:t>
      </w:r>
    </w:p>
    <w:p w14:paraId="4BF33D69" w14:textId="73D40299" w:rsidR="00575CDF" w:rsidRPr="00C801A6" w:rsidRDefault="00575CDF" w:rsidP="00844538">
      <w:pPr>
        <w:pStyle w:val="ListParagraph"/>
        <w:numPr>
          <w:ilvl w:val="0"/>
          <w:numId w:val="13"/>
        </w:numPr>
        <w:tabs>
          <w:tab w:val="left" w:pos="567"/>
        </w:tabs>
        <w:spacing w:line="276" w:lineRule="auto"/>
        <w:ind w:left="426" w:hanging="284"/>
        <w:contextualSpacing w:val="0"/>
        <w:rPr>
          <w:rFonts w:cs="Times New Roman"/>
          <w:color w:val="auto"/>
        </w:rPr>
      </w:pPr>
      <w:r w:rsidRPr="00C801A6">
        <w:rPr>
          <w:rFonts w:cs="Times New Roman"/>
          <w:color w:val="auto"/>
        </w:rPr>
        <w:t>Altitude supérieure à 1</w:t>
      </w:r>
      <w:r w:rsidR="006111E8" w:rsidRPr="00C801A6">
        <w:rPr>
          <w:rFonts w:cs="Times New Roman"/>
          <w:color w:val="auto"/>
        </w:rPr>
        <w:t> </w:t>
      </w:r>
      <w:r w:rsidRPr="00C801A6">
        <w:rPr>
          <w:rFonts w:cs="Times New Roman"/>
          <w:color w:val="auto"/>
        </w:rPr>
        <w:t>600</w:t>
      </w:r>
      <w:r w:rsidR="006111E8" w:rsidRPr="00C801A6">
        <w:rPr>
          <w:rFonts w:cs="Times New Roman"/>
          <w:color w:val="auto"/>
        </w:rPr>
        <w:t xml:space="preserve"> – </w:t>
      </w:r>
      <w:r w:rsidRPr="00C801A6">
        <w:rPr>
          <w:rFonts w:cs="Times New Roman"/>
          <w:color w:val="auto"/>
        </w:rPr>
        <w:t>1</w:t>
      </w:r>
      <w:r w:rsidR="006111E8" w:rsidRPr="00C801A6">
        <w:rPr>
          <w:rFonts w:cs="Times New Roman"/>
          <w:color w:val="auto"/>
        </w:rPr>
        <w:t xml:space="preserve"> </w:t>
      </w:r>
      <w:r w:rsidRPr="00C801A6">
        <w:rPr>
          <w:rFonts w:cs="Times New Roman"/>
          <w:color w:val="auto"/>
        </w:rPr>
        <w:t>800m, perhumide froid (montagnard), avec une température moyenne annuelle de 15,5°C et pendant la période fraîche, elle descend à 8,9°C, le minimum peut aller jusqu’à –1°C.</w:t>
      </w:r>
    </w:p>
    <w:p w14:paraId="4D87D4A3" w14:textId="77777777" w:rsidR="00575CDF" w:rsidRPr="00C801A6" w:rsidRDefault="00575CDF" w:rsidP="003042DB">
      <w:pPr>
        <w:pStyle w:val="Heading4"/>
        <w:rPr>
          <w:color w:val="auto"/>
        </w:rPr>
      </w:pPr>
      <w:bookmarkStart w:id="108" w:name="_Toc230298734"/>
      <w:bookmarkEnd w:id="107"/>
      <w:r w:rsidRPr="00C801A6">
        <w:rPr>
          <w:color w:val="auto"/>
        </w:rPr>
        <w:t>Type humide</w:t>
      </w:r>
      <w:bookmarkEnd w:id="108"/>
    </w:p>
    <w:p w14:paraId="6EF555D7" w14:textId="2774931B" w:rsidR="00575CDF" w:rsidRPr="00C801A6" w:rsidRDefault="00575CDF" w:rsidP="00575CDF">
      <w:pPr>
        <w:rPr>
          <w:rFonts w:cs="Times New Roman"/>
          <w:color w:val="auto"/>
        </w:rPr>
      </w:pPr>
      <w:bookmarkStart w:id="109" w:name="_Hlk71689390"/>
      <w:r w:rsidRPr="00C801A6">
        <w:rPr>
          <w:rFonts w:cs="Times New Roman"/>
          <w:color w:val="auto"/>
        </w:rPr>
        <w:t>Ce type de climat couvre l’ensemble des Hautes Terres à une altitude supérieure à 700m qui s’élève à plus de 2800m dans le massif de Tsaratanàna et à 2</w:t>
      </w:r>
      <w:r w:rsidR="006111E8" w:rsidRPr="00C801A6">
        <w:rPr>
          <w:rFonts w:cs="Times New Roman"/>
          <w:color w:val="auto"/>
        </w:rPr>
        <w:t xml:space="preserve"> </w:t>
      </w:r>
      <w:r w:rsidRPr="00C801A6">
        <w:rPr>
          <w:rFonts w:cs="Times New Roman"/>
          <w:color w:val="auto"/>
        </w:rPr>
        <w:t xml:space="preserve">600 mètres dans l’Andringitra. </w:t>
      </w:r>
    </w:p>
    <w:p w14:paraId="54EB1722" w14:textId="77777777" w:rsidR="00575CDF" w:rsidRPr="00C801A6" w:rsidRDefault="00575CDF" w:rsidP="00575CDF">
      <w:pPr>
        <w:rPr>
          <w:rFonts w:cs="Times New Roman"/>
          <w:color w:val="auto"/>
          <w:szCs w:val="24"/>
        </w:rPr>
      </w:pPr>
      <w:r w:rsidRPr="00C801A6">
        <w:rPr>
          <w:rFonts w:cs="Times New Roman"/>
          <w:color w:val="auto"/>
          <w:szCs w:val="24"/>
        </w:rPr>
        <w:t xml:space="preserve">Il se caractérise par une précipitation annuelle comprise entre 1 500 et 2 000mm, (octobre et avril) et une période sèche de moins de trois mois. </w:t>
      </w:r>
    </w:p>
    <w:p w14:paraId="59E36145" w14:textId="77777777" w:rsidR="00575CDF" w:rsidRPr="00C801A6" w:rsidRDefault="00575CDF" w:rsidP="00575CDF">
      <w:pPr>
        <w:rPr>
          <w:rFonts w:cs="Times New Roman"/>
          <w:color w:val="auto"/>
        </w:rPr>
      </w:pPr>
      <w:r w:rsidRPr="00C801A6">
        <w:rPr>
          <w:rFonts w:cs="Times New Roman"/>
          <w:color w:val="auto"/>
        </w:rPr>
        <w:lastRenderedPageBreak/>
        <w:t xml:space="preserve">Vers 1200 mètres, la température moyenne annuelle oscille entre 18°C et 22°C. Les variations locales du climat sont très importantes suivant l’exposition et l’altitude. Ainsi, ce type de climat se subdivise en quatre : chaud, tempéré, frais et froid. </w:t>
      </w:r>
    </w:p>
    <w:p w14:paraId="03177FD1" w14:textId="77777777" w:rsidR="00575CDF" w:rsidRPr="00C801A6" w:rsidRDefault="00575CDF" w:rsidP="003042DB">
      <w:pPr>
        <w:pStyle w:val="Heading4"/>
        <w:rPr>
          <w:color w:val="auto"/>
        </w:rPr>
      </w:pPr>
      <w:bookmarkStart w:id="110" w:name="_Toc230298735"/>
      <w:bookmarkEnd w:id="109"/>
      <w:r w:rsidRPr="00C801A6">
        <w:rPr>
          <w:color w:val="auto"/>
        </w:rPr>
        <w:t>Type subhumide</w:t>
      </w:r>
      <w:bookmarkEnd w:id="110"/>
    </w:p>
    <w:p w14:paraId="378F300C" w14:textId="77777777" w:rsidR="00575CDF" w:rsidRPr="00C801A6" w:rsidRDefault="00575CDF" w:rsidP="00575CDF">
      <w:pPr>
        <w:rPr>
          <w:rFonts w:cs="Times New Roman"/>
          <w:color w:val="auto"/>
          <w:szCs w:val="24"/>
        </w:rPr>
      </w:pPr>
      <w:r w:rsidRPr="00C801A6">
        <w:rPr>
          <w:rFonts w:cs="Times New Roman"/>
          <w:color w:val="auto"/>
          <w:szCs w:val="24"/>
        </w:rPr>
        <w:t>Ce type climatique couvre l’ensemble du versant occidental nord-ouest de l’Ile.</w:t>
      </w:r>
    </w:p>
    <w:p w14:paraId="0B32FBE8" w14:textId="77777777" w:rsidR="00575CDF" w:rsidRPr="00C801A6" w:rsidRDefault="00575CDF" w:rsidP="00575CDF">
      <w:pPr>
        <w:rPr>
          <w:rFonts w:cs="Times New Roman"/>
          <w:color w:val="auto"/>
          <w:szCs w:val="24"/>
        </w:rPr>
      </w:pPr>
      <w:r w:rsidRPr="00C801A6">
        <w:rPr>
          <w:rFonts w:cs="Times New Roman"/>
          <w:color w:val="auto"/>
          <w:szCs w:val="24"/>
        </w:rPr>
        <w:t>Il se caractérise par une précipitation annuelle variant de 1000 à 1500mm. Le maximum de précipitations est observé en janvier dans la moitié Nord et en février dans la moitié Sud de cette région.</w:t>
      </w:r>
    </w:p>
    <w:p w14:paraId="3DF69899" w14:textId="77777777" w:rsidR="00575CDF" w:rsidRPr="00C801A6" w:rsidRDefault="00575CDF" w:rsidP="00575CDF">
      <w:pPr>
        <w:rPr>
          <w:rFonts w:cs="Times New Roman"/>
          <w:color w:val="auto"/>
          <w:szCs w:val="24"/>
        </w:rPr>
      </w:pPr>
      <w:r w:rsidRPr="00C801A6">
        <w:rPr>
          <w:rFonts w:cs="Times New Roman"/>
          <w:color w:val="auto"/>
          <w:szCs w:val="24"/>
        </w:rPr>
        <w:t>La période sèche est particulièrement bien marquée et s’étend de mai à octobre. Elle peut durer 5 à 6 mois, sur la pente occidentale de l’île et elle est plus longue, 6 à 7 mois pour la zone côtière.</w:t>
      </w:r>
    </w:p>
    <w:p w14:paraId="3848EA97" w14:textId="77777777" w:rsidR="00575CDF" w:rsidRPr="00C801A6" w:rsidRDefault="00575CDF" w:rsidP="00575CDF">
      <w:pPr>
        <w:rPr>
          <w:rFonts w:cs="Times New Roman"/>
          <w:color w:val="auto"/>
          <w:szCs w:val="24"/>
        </w:rPr>
      </w:pPr>
      <w:r w:rsidRPr="00C801A6">
        <w:rPr>
          <w:rFonts w:cs="Times New Roman"/>
          <w:color w:val="auto"/>
          <w:szCs w:val="24"/>
        </w:rPr>
        <w:t xml:space="preserve">La température varie sensiblement entre ces deux zones : fraîche pour la première et chaude pour la deuxième dont la température annuelle moyenne est comprise entre 24°C et 27°C. </w:t>
      </w:r>
    </w:p>
    <w:p w14:paraId="605C87DB" w14:textId="77777777" w:rsidR="00575CDF" w:rsidRPr="00C801A6" w:rsidRDefault="00575CDF" w:rsidP="003042DB">
      <w:pPr>
        <w:pStyle w:val="Heading4"/>
        <w:rPr>
          <w:color w:val="auto"/>
        </w:rPr>
      </w:pPr>
      <w:bookmarkStart w:id="111" w:name="_Toc230298736"/>
      <w:r w:rsidRPr="00C801A6">
        <w:rPr>
          <w:color w:val="auto"/>
        </w:rPr>
        <w:t>Type semi-aride.</w:t>
      </w:r>
      <w:bookmarkEnd w:id="111"/>
    </w:p>
    <w:p w14:paraId="58D4D711" w14:textId="77777777" w:rsidR="00575CDF" w:rsidRPr="00C801A6" w:rsidRDefault="00575CDF" w:rsidP="00575CDF">
      <w:pPr>
        <w:rPr>
          <w:rFonts w:cs="Times New Roman"/>
          <w:color w:val="auto"/>
          <w:szCs w:val="24"/>
        </w:rPr>
      </w:pPr>
      <w:bookmarkStart w:id="112" w:name="_Hlk71689533"/>
      <w:r w:rsidRPr="00C801A6">
        <w:rPr>
          <w:rFonts w:cs="Times New Roman"/>
          <w:color w:val="auto"/>
          <w:szCs w:val="24"/>
        </w:rPr>
        <w:t>Ce type de climat couvre la partie sud de l’île.</w:t>
      </w:r>
    </w:p>
    <w:p w14:paraId="784B8056" w14:textId="77777777" w:rsidR="00575CDF" w:rsidRPr="00C801A6" w:rsidRDefault="00575CDF" w:rsidP="00575CDF">
      <w:pPr>
        <w:rPr>
          <w:rFonts w:cs="Times New Roman"/>
          <w:color w:val="auto"/>
          <w:szCs w:val="24"/>
        </w:rPr>
      </w:pPr>
      <w:r w:rsidRPr="00C801A6">
        <w:rPr>
          <w:rFonts w:cs="Times New Roman"/>
          <w:color w:val="auto"/>
          <w:szCs w:val="24"/>
        </w:rPr>
        <w:t xml:space="preserve">Il est caractérisé par une précipitation qui varie entre 350 et 700mm. La période sèche est très longue 7 à 8 mois (Avril à Octobre). </w:t>
      </w:r>
    </w:p>
    <w:p w14:paraId="0387694B" w14:textId="77777777" w:rsidR="00575CDF" w:rsidRPr="00C801A6" w:rsidRDefault="00575CDF" w:rsidP="00575CDF">
      <w:pPr>
        <w:rPr>
          <w:rFonts w:cs="Times New Roman"/>
          <w:color w:val="auto"/>
          <w:szCs w:val="24"/>
        </w:rPr>
      </w:pPr>
      <w:r w:rsidRPr="00C801A6">
        <w:rPr>
          <w:rFonts w:cs="Times New Roman"/>
          <w:color w:val="auto"/>
          <w:szCs w:val="24"/>
        </w:rPr>
        <w:t xml:space="preserve">Ce type de climat est subdivisé en : </w:t>
      </w:r>
    </w:p>
    <w:p w14:paraId="7CDF1412" w14:textId="2519557B" w:rsidR="00575CDF" w:rsidRPr="00C801A6" w:rsidRDefault="00B820EF" w:rsidP="00844538">
      <w:pPr>
        <w:pStyle w:val="ListParagraph"/>
        <w:numPr>
          <w:ilvl w:val="0"/>
          <w:numId w:val="13"/>
        </w:numPr>
        <w:tabs>
          <w:tab w:val="left" w:pos="567"/>
        </w:tabs>
        <w:spacing w:line="276" w:lineRule="auto"/>
        <w:ind w:left="426" w:hanging="284"/>
        <w:contextualSpacing w:val="0"/>
        <w:rPr>
          <w:rFonts w:cs="Times New Roman"/>
          <w:color w:val="auto"/>
        </w:rPr>
      </w:pPr>
      <w:r>
        <w:rPr>
          <w:rFonts w:cs="Times New Roman"/>
          <w:color w:val="auto"/>
        </w:rPr>
        <w:t>B</w:t>
      </w:r>
      <w:r w:rsidR="00575CDF" w:rsidRPr="00C801A6">
        <w:rPr>
          <w:rFonts w:cs="Times New Roman"/>
          <w:color w:val="auto"/>
        </w:rPr>
        <w:t>ioclimat semi-aride avec une précipitation annuelle de l’ordre de 500 à 700mm et se rencontre dans l’ensemble du Sud-Ouest ;</w:t>
      </w:r>
    </w:p>
    <w:p w14:paraId="1511EEBA" w14:textId="5540DFFC" w:rsidR="00575CDF" w:rsidRPr="00C801A6" w:rsidRDefault="00B820EF" w:rsidP="00844538">
      <w:pPr>
        <w:pStyle w:val="ListParagraph"/>
        <w:numPr>
          <w:ilvl w:val="0"/>
          <w:numId w:val="13"/>
        </w:numPr>
        <w:tabs>
          <w:tab w:val="left" w:pos="567"/>
        </w:tabs>
        <w:spacing w:line="276" w:lineRule="auto"/>
        <w:ind w:left="426" w:hanging="284"/>
        <w:contextualSpacing w:val="0"/>
        <w:rPr>
          <w:rFonts w:cs="Times New Roman"/>
          <w:color w:val="auto"/>
          <w:szCs w:val="24"/>
        </w:rPr>
      </w:pPr>
      <w:r>
        <w:rPr>
          <w:rFonts w:cs="Times New Roman"/>
          <w:color w:val="auto"/>
          <w:szCs w:val="24"/>
        </w:rPr>
        <w:t>B</w:t>
      </w:r>
      <w:r w:rsidR="00575CDF" w:rsidRPr="00C801A6">
        <w:rPr>
          <w:rFonts w:cs="Times New Roman"/>
          <w:color w:val="auto"/>
          <w:szCs w:val="24"/>
        </w:rPr>
        <w:t xml:space="preserve">ioclimat subaride avec une précipitation annuelle de 350 à 500 mm et s’observe dans les zones côtières du Sud-Ouest et l’extrême Sud de l’Ile où la période sèche peut atteindre 10 à 12 mois. </w:t>
      </w:r>
    </w:p>
    <w:p w14:paraId="6C001688" w14:textId="77777777" w:rsidR="00575CDF" w:rsidRPr="00C801A6" w:rsidRDefault="00575CDF" w:rsidP="00575CDF">
      <w:pPr>
        <w:rPr>
          <w:rFonts w:cs="Times New Roman"/>
          <w:color w:val="auto"/>
        </w:rPr>
      </w:pPr>
      <w:r w:rsidRPr="00C801A6">
        <w:rPr>
          <w:rFonts w:cs="Times New Roman"/>
          <w:color w:val="auto"/>
        </w:rPr>
        <w:t>La température moyenne reste élevée (23°C à 26°C).</w:t>
      </w:r>
    </w:p>
    <w:p w14:paraId="5A6D4BC0" w14:textId="77777777" w:rsidR="00575CDF" w:rsidRPr="00C801A6" w:rsidRDefault="00575CDF" w:rsidP="00C65572">
      <w:pPr>
        <w:pStyle w:val="Heading3"/>
      </w:pPr>
      <w:bookmarkStart w:id="113" w:name="_Toc429311442"/>
      <w:bookmarkStart w:id="114" w:name="_Toc440199200"/>
      <w:bookmarkStart w:id="115" w:name="_Toc106320287"/>
      <w:bookmarkStart w:id="116" w:name="_Toc230425998"/>
      <w:bookmarkEnd w:id="112"/>
      <w:r w:rsidRPr="00C801A6">
        <w:t>Relief</w:t>
      </w:r>
      <w:bookmarkEnd w:id="113"/>
      <w:r w:rsidRPr="00C801A6">
        <w:t xml:space="preserve"> et géomorphologie</w:t>
      </w:r>
      <w:bookmarkEnd w:id="114"/>
      <w:bookmarkEnd w:id="115"/>
      <w:bookmarkEnd w:id="116"/>
    </w:p>
    <w:p w14:paraId="2DFFF7C4" w14:textId="77777777" w:rsidR="00575CDF" w:rsidRPr="00C801A6" w:rsidRDefault="00575CDF" w:rsidP="00575CDF">
      <w:pPr>
        <w:rPr>
          <w:rFonts w:cs="Arial"/>
          <w:color w:val="auto"/>
        </w:rPr>
      </w:pPr>
      <w:r w:rsidRPr="00C801A6">
        <w:rPr>
          <w:rFonts w:cs="Arial"/>
          <w:color w:val="auto"/>
        </w:rPr>
        <w:t>Madagascar présente un relief très accidenté. Etiré sur 1 500 km du Nord au Sud et environ 500 km d’Est en Ouest, elle est constituée par un ensemble de hautes terres de plus de 800m d’altitude occupant les deux tiers du pays où les surfaces planes sont rares et de zones côtières très étroites à l’Est et plus étendues à l’Ouest.</w:t>
      </w:r>
    </w:p>
    <w:p w14:paraId="4FD0ED13" w14:textId="77777777" w:rsidR="00575CDF" w:rsidRPr="00C801A6" w:rsidRDefault="00575CDF" w:rsidP="00575CDF">
      <w:pPr>
        <w:rPr>
          <w:rFonts w:cs="Arial"/>
          <w:color w:val="auto"/>
        </w:rPr>
      </w:pPr>
      <w:r w:rsidRPr="00C801A6">
        <w:rPr>
          <w:rFonts w:cs="Arial"/>
          <w:color w:val="auto"/>
        </w:rPr>
        <w:t>La grande Ile présente ainsi une dissymétrie entre l’Ouest et l’Est, caractérisée par quatre grandes zones de base.</w:t>
      </w:r>
    </w:p>
    <w:p w14:paraId="1D23C7B3" w14:textId="64647EA1" w:rsidR="00575CDF" w:rsidRPr="00C801A6" w:rsidRDefault="00575CDF" w:rsidP="00844538">
      <w:pPr>
        <w:pStyle w:val="ListParagraph"/>
        <w:numPr>
          <w:ilvl w:val="0"/>
          <w:numId w:val="13"/>
        </w:numPr>
        <w:tabs>
          <w:tab w:val="left" w:pos="567"/>
        </w:tabs>
        <w:spacing w:line="276" w:lineRule="auto"/>
        <w:ind w:left="426" w:hanging="284"/>
        <w:contextualSpacing w:val="0"/>
        <w:rPr>
          <w:rFonts w:cs="Arial"/>
          <w:color w:val="auto"/>
        </w:rPr>
      </w:pPr>
      <w:r w:rsidRPr="00C801A6">
        <w:rPr>
          <w:rFonts w:cs="Arial"/>
          <w:color w:val="auto"/>
        </w:rPr>
        <w:t>Les Hautes Terres centrales qui se prolongent du nord au sud et présentent un relief tourmenté, faillé et soumis à de forte érosion. Elles s’élèvent en moyenne entre 800m et 1600m d’altitude avec des points culminants à plus de 2500m environ (</w:t>
      </w:r>
    </w:p>
    <w:p w14:paraId="00B0D0AF" w14:textId="77777777" w:rsidR="00575CDF" w:rsidRPr="00C801A6" w:rsidRDefault="00575CDF" w:rsidP="00844538">
      <w:pPr>
        <w:pStyle w:val="ListParagraph"/>
        <w:numPr>
          <w:ilvl w:val="0"/>
          <w:numId w:val="13"/>
        </w:numPr>
        <w:tabs>
          <w:tab w:val="left" w:pos="567"/>
        </w:tabs>
        <w:spacing w:line="276" w:lineRule="auto"/>
        <w:ind w:left="426" w:hanging="284"/>
        <w:contextualSpacing w:val="0"/>
        <w:rPr>
          <w:rFonts w:cs="Arial"/>
          <w:color w:val="auto"/>
        </w:rPr>
      </w:pPr>
      <w:bookmarkStart w:id="117" w:name="_Hlk71686743"/>
      <w:r w:rsidRPr="00C801A6">
        <w:rPr>
          <w:rFonts w:cs="Arial"/>
          <w:color w:val="auto"/>
        </w:rPr>
        <w:lastRenderedPageBreak/>
        <w:t>Le versant oriental, présente une pente très forte, caractérisée par les escarpements de deux falaises, l’Angavo et le Betsimisaraka, jusqu’à une étroite plaine côtière rectiligne.</w:t>
      </w:r>
    </w:p>
    <w:bookmarkEnd w:id="117"/>
    <w:p w14:paraId="1A4274F6" w14:textId="77777777" w:rsidR="00575CDF" w:rsidRPr="00C801A6" w:rsidRDefault="00575CDF" w:rsidP="00844538">
      <w:pPr>
        <w:pStyle w:val="ListParagraph"/>
        <w:numPr>
          <w:ilvl w:val="0"/>
          <w:numId w:val="13"/>
        </w:numPr>
        <w:tabs>
          <w:tab w:val="left" w:pos="567"/>
        </w:tabs>
        <w:spacing w:line="276" w:lineRule="auto"/>
        <w:ind w:left="426" w:hanging="284"/>
        <w:contextualSpacing w:val="0"/>
        <w:rPr>
          <w:rFonts w:cs="Arial"/>
          <w:color w:val="auto"/>
        </w:rPr>
      </w:pPr>
      <w:r w:rsidRPr="00C801A6">
        <w:rPr>
          <w:rFonts w:cs="Arial"/>
          <w:color w:val="auto"/>
        </w:rPr>
        <w:t>Le versant occidental descend en pente douce depuis les hautes terres centrales, formant un paysage de cuestas gréseuses ou calcaires. Cette zone se caractérise par des massifs ruiniformes comme l’Isalo et des faciès karstiques très prononcés comme le Bemaraha. Les plaines côtières y sont plus vastes.</w:t>
      </w:r>
    </w:p>
    <w:p w14:paraId="028DBB5E" w14:textId="77777777" w:rsidR="00575CDF" w:rsidRPr="00C801A6" w:rsidRDefault="00575CDF" w:rsidP="00844538">
      <w:pPr>
        <w:pStyle w:val="ListParagraph"/>
        <w:numPr>
          <w:ilvl w:val="0"/>
          <w:numId w:val="13"/>
        </w:numPr>
        <w:tabs>
          <w:tab w:val="left" w:pos="567"/>
        </w:tabs>
        <w:spacing w:line="276" w:lineRule="auto"/>
        <w:ind w:left="426" w:hanging="284"/>
        <w:contextualSpacing w:val="0"/>
        <w:rPr>
          <w:rFonts w:cs="Arial"/>
          <w:color w:val="auto"/>
        </w:rPr>
      </w:pPr>
      <w:r w:rsidRPr="00C801A6">
        <w:rPr>
          <w:rFonts w:cs="Arial"/>
          <w:color w:val="auto"/>
        </w:rPr>
        <w:t>Les régions méridionales, se présentent comme une pénéplaine caractérisée d’une part, par le massif volcanique de l’Androy et le Plateau calcaire Mahafaly et d’autre part, par le cordon dunaire côtier de l’Extrême sud.</w:t>
      </w:r>
    </w:p>
    <w:p w14:paraId="1259B465" w14:textId="4AD54688" w:rsidR="00575CDF" w:rsidRPr="00C801A6" w:rsidRDefault="00575CDF" w:rsidP="00575CDF">
      <w:pPr>
        <w:rPr>
          <w:rFonts w:cs="Arial"/>
          <w:color w:val="auto"/>
        </w:rPr>
      </w:pPr>
      <w:r w:rsidRPr="00C801A6">
        <w:rPr>
          <w:rFonts w:cs="Arial"/>
          <w:color w:val="auto"/>
        </w:rPr>
        <w:t>La carte</w:t>
      </w:r>
      <w:r w:rsidR="00D66491" w:rsidRPr="00C801A6">
        <w:rPr>
          <w:rFonts w:cs="Arial"/>
          <w:color w:val="auto"/>
        </w:rPr>
        <w:t xml:space="preserve"> </w:t>
      </w:r>
      <w:r w:rsidRPr="00C801A6">
        <w:rPr>
          <w:rFonts w:cs="Arial"/>
          <w:color w:val="auto"/>
        </w:rPr>
        <w:t>suivante montre les routes nationales revêtues par rapport aux reliefs.</w:t>
      </w:r>
    </w:p>
    <w:p w14:paraId="166A3B1C" w14:textId="77777777" w:rsidR="00575CDF" w:rsidRPr="00C801A6" w:rsidRDefault="00575CDF" w:rsidP="00575CDF">
      <w:pPr>
        <w:rPr>
          <w:rFonts w:cs="Arial"/>
          <w:color w:val="auto"/>
        </w:rPr>
      </w:pPr>
    </w:p>
    <w:p w14:paraId="046A5AAF" w14:textId="77777777" w:rsidR="00575CDF" w:rsidRPr="00C801A6" w:rsidRDefault="00575CDF" w:rsidP="00575CDF">
      <w:pPr>
        <w:tabs>
          <w:tab w:val="left" w:pos="567"/>
        </w:tabs>
        <w:spacing w:after="0" w:line="240" w:lineRule="auto"/>
        <w:ind w:hanging="425"/>
        <w:jc w:val="center"/>
        <w:rPr>
          <w:rFonts w:cs="Arial"/>
          <w:color w:val="auto"/>
        </w:rPr>
      </w:pPr>
      <w:r w:rsidRPr="00C801A6">
        <w:rPr>
          <w:noProof/>
          <w:color w:val="auto"/>
          <w:lang w:eastAsia="fr-FR"/>
        </w:rPr>
        <w:lastRenderedPageBreak/>
        <w:drawing>
          <wp:inline distT="0" distB="0" distL="0" distR="0" wp14:anchorId="40C97136" wp14:editId="72CDF34E">
            <wp:extent cx="5497520" cy="7445357"/>
            <wp:effectExtent l="0" t="0" r="8255" b="3810"/>
            <wp:docPr id="406508163" name="Image 406508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pic:nvPicPr>
                  <pic:blipFill>
                    <a:blip r:embed="rId39" cstate="email">
                      <a:extLst>
                        <a:ext uri="{28A0092B-C50C-407E-A947-70E740481C1C}">
                          <a14:useLocalDpi xmlns:a14="http://schemas.microsoft.com/office/drawing/2010/main"/>
                        </a:ext>
                      </a:extLst>
                    </a:blip>
                    <a:srcRect/>
                    <a:stretch>
                      <a:fillRect/>
                    </a:stretch>
                  </pic:blipFill>
                  <pic:spPr>
                    <a:xfrm>
                      <a:off x="0" y="0"/>
                      <a:ext cx="5504564" cy="7454897"/>
                    </a:xfrm>
                    <a:prstGeom prst="rect">
                      <a:avLst/>
                    </a:prstGeom>
                  </pic:spPr>
                </pic:pic>
              </a:graphicData>
            </a:graphic>
          </wp:inline>
        </w:drawing>
      </w:r>
    </w:p>
    <w:p w14:paraId="60CDDD68" w14:textId="1EF06BD4" w:rsidR="00575CDF" w:rsidRPr="00C801A6" w:rsidRDefault="00B820EF" w:rsidP="00B820EF">
      <w:pPr>
        <w:pStyle w:val="Caption"/>
        <w:rPr>
          <w:rFonts w:cs="Arial"/>
          <w:color w:val="auto"/>
        </w:rPr>
      </w:pPr>
      <w:bookmarkStart w:id="118" w:name="_Toc230426707"/>
      <w:r>
        <w:t xml:space="preserve">Figure </w:t>
      </w:r>
      <w:r w:rsidR="004233C4">
        <w:fldChar w:fldCharType="begin"/>
      </w:r>
      <w:r w:rsidR="004233C4">
        <w:instrText xml:space="preserve"> SEQ Figure \* ARABIC </w:instrText>
      </w:r>
      <w:r w:rsidR="004233C4">
        <w:fldChar w:fldCharType="separate"/>
      </w:r>
      <w:r w:rsidR="00D13682">
        <w:rPr>
          <w:noProof/>
        </w:rPr>
        <w:t>12</w:t>
      </w:r>
      <w:r w:rsidR="004233C4">
        <w:rPr>
          <w:noProof/>
        </w:rPr>
        <w:fldChar w:fldCharType="end"/>
      </w:r>
      <w:r w:rsidR="00575CDF" w:rsidRPr="00C801A6">
        <w:rPr>
          <w:color w:val="auto"/>
        </w:rPr>
        <w:t> : Carte relief vs routes nationales revêtues</w:t>
      </w:r>
      <w:bookmarkEnd w:id="118"/>
    </w:p>
    <w:p w14:paraId="54B3CB34" w14:textId="77777777" w:rsidR="00575CDF" w:rsidRPr="00C801A6" w:rsidRDefault="00575CDF" w:rsidP="00C65572">
      <w:pPr>
        <w:pStyle w:val="Heading3"/>
      </w:pPr>
      <w:bookmarkStart w:id="119" w:name="_Toc440199201"/>
      <w:bookmarkStart w:id="120" w:name="_Toc106320288"/>
      <w:bookmarkStart w:id="121" w:name="_Toc230425999"/>
      <w:r w:rsidRPr="00C801A6">
        <w:t>Géologie</w:t>
      </w:r>
      <w:bookmarkEnd w:id="119"/>
      <w:bookmarkEnd w:id="120"/>
      <w:bookmarkEnd w:id="121"/>
    </w:p>
    <w:p w14:paraId="10875D5D" w14:textId="77777777" w:rsidR="00575CDF" w:rsidRPr="00C801A6" w:rsidRDefault="00575CDF" w:rsidP="00575CDF">
      <w:pPr>
        <w:rPr>
          <w:rFonts w:cs="Arial"/>
          <w:color w:val="auto"/>
        </w:rPr>
      </w:pPr>
      <w:r w:rsidRPr="00C801A6">
        <w:rPr>
          <w:rFonts w:cs="Arial"/>
          <w:color w:val="auto"/>
        </w:rPr>
        <w:t>L’île de Madagascar est constituée de deux grands types fondamentaux de formation : </w:t>
      </w:r>
    </w:p>
    <w:p w14:paraId="34157999" w14:textId="77777777" w:rsidR="00575CDF" w:rsidRPr="00C801A6" w:rsidRDefault="00575CDF" w:rsidP="003042DB">
      <w:pPr>
        <w:pStyle w:val="Heading4"/>
        <w:rPr>
          <w:color w:val="auto"/>
        </w:rPr>
      </w:pPr>
      <w:bookmarkStart w:id="122" w:name="_Toc230298737"/>
      <w:r w:rsidRPr="00C801A6">
        <w:rPr>
          <w:color w:val="auto"/>
        </w:rPr>
        <w:lastRenderedPageBreak/>
        <w:t>Socle cristallin</w:t>
      </w:r>
      <w:bookmarkEnd w:id="122"/>
    </w:p>
    <w:p w14:paraId="36E6C0FE" w14:textId="77777777" w:rsidR="00575CDF" w:rsidRPr="00C801A6" w:rsidRDefault="00575CDF" w:rsidP="00575CDF">
      <w:pPr>
        <w:pStyle w:val="BodyText"/>
        <w:spacing w:after="160" w:line="276" w:lineRule="auto"/>
        <w:ind w:right="112"/>
        <w:jc w:val="both"/>
        <w:rPr>
          <w:rFonts w:ascii="Times New Roman" w:hAnsi="Times New Roman" w:cs="Times New Roman"/>
          <w:sz w:val="24"/>
          <w:szCs w:val="24"/>
        </w:rPr>
      </w:pPr>
      <w:r w:rsidRPr="00C801A6">
        <w:rPr>
          <w:rFonts w:ascii="Times New Roman" w:hAnsi="Times New Roman" w:cs="Times New Roman"/>
          <w:sz w:val="24"/>
          <w:szCs w:val="24"/>
        </w:rPr>
        <w:t>Ce vieux socle couvre toute la partie centrale et presque toute la partie orientale et affleure sur une surface de 400 000 km</w:t>
      </w:r>
      <w:r w:rsidRPr="00C801A6">
        <w:rPr>
          <w:rFonts w:ascii="Times New Roman" w:hAnsi="Times New Roman" w:cs="Times New Roman"/>
          <w:sz w:val="24"/>
          <w:szCs w:val="24"/>
          <w:vertAlign w:val="superscript"/>
        </w:rPr>
        <w:t>2</w:t>
      </w:r>
      <w:r w:rsidRPr="00C801A6">
        <w:rPr>
          <w:rFonts w:ascii="Times New Roman" w:hAnsi="Times New Roman" w:cs="Times New Roman"/>
          <w:sz w:val="24"/>
          <w:szCs w:val="24"/>
        </w:rPr>
        <w:t xml:space="preserve"> (environ 2/3 de l’île). Il date du Précambrien et constitue le substratum. Il est formé par des roches métamorphiques et éruptives. Ayant subi successivement des métamorphismes accompagnés d’orogenèses différentes, il est très plissé et très complexe.</w:t>
      </w:r>
    </w:p>
    <w:p w14:paraId="4D86A504" w14:textId="77777777" w:rsidR="00575CDF" w:rsidRPr="00C801A6" w:rsidRDefault="00575CDF" w:rsidP="00575CDF">
      <w:pPr>
        <w:pStyle w:val="BodyText"/>
        <w:spacing w:after="160" w:line="276" w:lineRule="auto"/>
        <w:ind w:right="112"/>
        <w:jc w:val="both"/>
        <w:rPr>
          <w:rFonts w:ascii="Times New Roman" w:hAnsi="Times New Roman" w:cs="Times New Roman"/>
          <w:sz w:val="24"/>
          <w:szCs w:val="24"/>
        </w:rPr>
      </w:pPr>
      <w:r w:rsidRPr="00C801A6">
        <w:rPr>
          <w:rFonts w:ascii="Times New Roman" w:hAnsi="Times New Roman" w:cs="Times New Roman"/>
          <w:sz w:val="24"/>
          <w:szCs w:val="24"/>
        </w:rPr>
        <w:t>Ces formations du socle cristallin se répartissent suivant la ligne de dislocation Bongolava-Ranotsara, orientée NW-SE.</w:t>
      </w:r>
    </w:p>
    <w:p w14:paraId="41757500" w14:textId="77777777" w:rsidR="00575CDF" w:rsidRPr="00C801A6" w:rsidRDefault="00575CDF" w:rsidP="00844538">
      <w:pPr>
        <w:pStyle w:val="BodyText"/>
        <w:numPr>
          <w:ilvl w:val="0"/>
          <w:numId w:val="14"/>
        </w:numPr>
        <w:adjustRightInd/>
        <w:spacing w:after="160" w:line="276" w:lineRule="auto"/>
        <w:ind w:left="721" w:right="113" w:hanging="437"/>
        <w:jc w:val="both"/>
        <w:rPr>
          <w:rFonts w:ascii="Times New Roman" w:hAnsi="Times New Roman" w:cs="Times New Roman"/>
          <w:sz w:val="24"/>
          <w:szCs w:val="24"/>
          <w:u w:val="single"/>
        </w:rPr>
      </w:pPr>
      <w:r w:rsidRPr="00C801A6">
        <w:rPr>
          <w:rFonts w:ascii="Times New Roman" w:hAnsi="Times New Roman" w:cs="Times New Roman"/>
          <w:sz w:val="24"/>
          <w:szCs w:val="24"/>
          <w:u w:val="single"/>
        </w:rPr>
        <w:t>Au Nord de la ligne Bongolava-Ranotsara</w:t>
      </w:r>
    </w:p>
    <w:p w14:paraId="52166614" w14:textId="77777777" w:rsidR="00575CDF" w:rsidRPr="00C801A6" w:rsidRDefault="00575CDF" w:rsidP="00844538">
      <w:pPr>
        <w:pStyle w:val="BodyText"/>
        <w:numPr>
          <w:ilvl w:val="0"/>
          <w:numId w:val="15"/>
        </w:numPr>
        <w:adjustRightInd/>
        <w:spacing w:after="60" w:line="276" w:lineRule="auto"/>
        <w:ind w:right="113" w:hanging="357"/>
        <w:jc w:val="both"/>
        <w:rPr>
          <w:rFonts w:ascii="Times New Roman" w:hAnsi="Times New Roman" w:cs="Times New Roman"/>
          <w:sz w:val="24"/>
          <w:szCs w:val="24"/>
        </w:rPr>
      </w:pPr>
      <w:r w:rsidRPr="00C801A6">
        <w:rPr>
          <w:rFonts w:ascii="Times New Roman" w:hAnsi="Times New Roman" w:cs="Times New Roman"/>
          <w:sz w:val="24"/>
          <w:szCs w:val="24"/>
        </w:rPr>
        <w:t>A la base, le système Antongilien essentiellement granitique et magmatique (groupe Antongilien et groupe Masora)</w:t>
      </w:r>
    </w:p>
    <w:p w14:paraId="4056E861" w14:textId="77777777" w:rsidR="00575CDF" w:rsidRPr="00C801A6" w:rsidRDefault="00575CDF" w:rsidP="00844538">
      <w:pPr>
        <w:pStyle w:val="BodyText"/>
        <w:numPr>
          <w:ilvl w:val="0"/>
          <w:numId w:val="15"/>
        </w:numPr>
        <w:adjustRightInd/>
        <w:spacing w:after="60" w:line="276" w:lineRule="auto"/>
        <w:ind w:right="113" w:hanging="357"/>
        <w:jc w:val="both"/>
        <w:rPr>
          <w:rFonts w:ascii="Times New Roman" w:hAnsi="Times New Roman" w:cs="Times New Roman"/>
          <w:sz w:val="24"/>
          <w:szCs w:val="24"/>
        </w:rPr>
      </w:pPr>
      <w:r w:rsidRPr="00C801A6">
        <w:rPr>
          <w:rFonts w:ascii="Times New Roman" w:hAnsi="Times New Roman" w:cs="Times New Roman"/>
          <w:sz w:val="24"/>
          <w:szCs w:val="24"/>
        </w:rPr>
        <w:t>Au-dessus, le système Andriamena-Manampotsy (groupe Manampotsy ; série Andriamena-Alaotra ; série Androna)</w:t>
      </w:r>
    </w:p>
    <w:p w14:paraId="611DA648" w14:textId="77777777" w:rsidR="00575CDF" w:rsidRPr="00C801A6" w:rsidRDefault="00575CDF" w:rsidP="00844538">
      <w:pPr>
        <w:pStyle w:val="BodyText"/>
        <w:numPr>
          <w:ilvl w:val="0"/>
          <w:numId w:val="15"/>
        </w:numPr>
        <w:adjustRightInd/>
        <w:spacing w:after="160" w:line="276" w:lineRule="auto"/>
        <w:ind w:right="113" w:hanging="357"/>
        <w:jc w:val="both"/>
        <w:rPr>
          <w:rFonts w:ascii="Times New Roman" w:hAnsi="Times New Roman" w:cs="Times New Roman"/>
          <w:sz w:val="24"/>
          <w:szCs w:val="24"/>
        </w:rPr>
      </w:pPr>
      <w:r w:rsidRPr="00C801A6">
        <w:rPr>
          <w:rFonts w:ascii="Times New Roman" w:hAnsi="Times New Roman" w:cs="Times New Roman"/>
          <w:sz w:val="24"/>
          <w:szCs w:val="24"/>
        </w:rPr>
        <w:t>Au sommet, le système Vohibory (complexes de Vohémar-Ambohipato et de Daraina-Milanoa ; les migmatites de Brickaville et granites de Tampoketsa)</w:t>
      </w:r>
    </w:p>
    <w:p w14:paraId="4980F837" w14:textId="77777777" w:rsidR="00575CDF" w:rsidRPr="00C801A6" w:rsidRDefault="00575CDF" w:rsidP="00844538">
      <w:pPr>
        <w:pStyle w:val="BodyText"/>
        <w:numPr>
          <w:ilvl w:val="0"/>
          <w:numId w:val="14"/>
        </w:numPr>
        <w:adjustRightInd/>
        <w:spacing w:after="160" w:line="276" w:lineRule="auto"/>
        <w:ind w:left="721" w:right="113" w:hanging="437"/>
        <w:jc w:val="both"/>
        <w:rPr>
          <w:rFonts w:ascii="Times New Roman" w:hAnsi="Times New Roman" w:cs="Times New Roman"/>
          <w:sz w:val="24"/>
          <w:szCs w:val="24"/>
          <w:u w:val="single"/>
        </w:rPr>
      </w:pPr>
      <w:r w:rsidRPr="00C801A6">
        <w:rPr>
          <w:rFonts w:ascii="Times New Roman" w:hAnsi="Times New Roman" w:cs="Times New Roman"/>
          <w:sz w:val="24"/>
          <w:szCs w:val="24"/>
          <w:u w:val="single"/>
        </w:rPr>
        <w:t>Au niveau de la ligne Bongolava-Ranotsara</w:t>
      </w:r>
    </w:p>
    <w:p w14:paraId="73BF2A92" w14:textId="77777777" w:rsidR="00575CDF" w:rsidRPr="00C801A6" w:rsidRDefault="00575CDF" w:rsidP="00844538">
      <w:pPr>
        <w:pStyle w:val="BodyText"/>
        <w:numPr>
          <w:ilvl w:val="0"/>
          <w:numId w:val="15"/>
        </w:numPr>
        <w:adjustRightInd/>
        <w:spacing w:after="160" w:line="276" w:lineRule="auto"/>
        <w:ind w:right="113" w:hanging="357"/>
        <w:contextualSpacing/>
        <w:jc w:val="both"/>
        <w:rPr>
          <w:rFonts w:ascii="Times New Roman" w:hAnsi="Times New Roman" w:cs="Times New Roman"/>
          <w:sz w:val="24"/>
          <w:szCs w:val="24"/>
        </w:rPr>
      </w:pPr>
      <w:r w:rsidRPr="00C801A6">
        <w:rPr>
          <w:rFonts w:ascii="Times New Roman" w:hAnsi="Times New Roman" w:cs="Times New Roman"/>
          <w:sz w:val="24"/>
          <w:szCs w:val="24"/>
        </w:rPr>
        <w:t>Série Schisto-Quartzo-Calcaire à stromatolites</w:t>
      </w:r>
    </w:p>
    <w:p w14:paraId="07D12604" w14:textId="77777777" w:rsidR="00575CDF" w:rsidRPr="00C801A6" w:rsidRDefault="00575CDF" w:rsidP="00844538">
      <w:pPr>
        <w:pStyle w:val="BodyText"/>
        <w:numPr>
          <w:ilvl w:val="0"/>
          <w:numId w:val="15"/>
        </w:numPr>
        <w:adjustRightInd/>
        <w:spacing w:after="160" w:line="276" w:lineRule="auto"/>
        <w:ind w:right="113" w:hanging="357"/>
        <w:jc w:val="both"/>
        <w:rPr>
          <w:rFonts w:ascii="Times New Roman" w:hAnsi="Times New Roman" w:cs="Times New Roman"/>
          <w:sz w:val="24"/>
          <w:szCs w:val="24"/>
        </w:rPr>
      </w:pPr>
      <w:r w:rsidRPr="00C801A6">
        <w:rPr>
          <w:rFonts w:ascii="Times New Roman" w:hAnsi="Times New Roman" w:cs="Times New Roman"/>
          <w:sz w:val="24"/>
          <w:szCs w:val="24"/>
        </w:rPr>
        <w:t xml:space="preserve">Série Amborompotsy-Ikalamavony </w:t>
      </w:r>
    </w:p>
    <w:p w14:paraId="7DAC2E68" w14:textId="77777777" w:rsidR="00575CDF" w:rsidRPr="00C801A6" w:rsidRDefault="00575CDF" w:rsidP="00844538">
      <w:pPr>
        <w:pStyle w:val="BodyText"/>
        <w:numPr>
          <w:ilvl w:val="0"/>
          <w:numId w:val="14"/>
        </w:numPr>
        <w:adjustRightInd/>
        <w:spacing w:after="160" w:line="276" w:lineRule="auto"/>
        <w:ind w:left="721" w:right="113" w:hanging="437"/>
        <w:jc w:val="both"/>
        <w:rPr>
          <w:rFonts w:ascii="Times New Roman" w:hAnsi="Times New Roman" w:cs="Times New Roman"/>
          <w:sz w:val="24"/>
          <w:szCs w:val="24"/>
          <w:u w:val="single"/>
        </w:rPr>
      </w:pPr>
      <w:r w:rsidRPr="00C801A6">
        <w:rPr>
          <w:rFonts w:ascii="Times New Roman" w:hAnsi="Times New Roman" w:cs="Times New Roman"/>
          <w:sz w:val="24"/>
          <w:szCs w:val="24"/>
          <w:u w:val="single"/>
        </w:rPr>
        <w:t>Au Sud de la ligne Bongolava-Ranotsara</w:t>
      </w:r>
    </w:p>
    <w:p w14:paraId="517D4C82" w14:textId="77777777" w:rsidR="00575CDF" w:rsidRPr="00C801A6" w:rsidRDefault="00575CDF" w:rsidP="00844538">
      <w:pPr>
        <w:pStyle w:val="BodyText"/>
        <w:numPr>
          <w:ilvl w:val="0"/>
          <w:numId w:val="15"/>
        </w:numPr>
        <w:adjustRightInd/>
        <w:spacing w:after="60" w:line="276" w:lineRule="auto"/>
        <w:ind w:right="113" w:hanging="357"/>
        <w:jc w:val="both"/>
        <w:rPr>
          <w:rFonts w:ascii="Times New Roman" w:hAnsi="Times New Roman" w:cs="Times New Roman"/>
          <w:sz w:val="24"/>
          <w:szCs w:val="24"/>
        </w:rPr>
      </w:pPr>
      <w:r w:rsidRPr="00C801A6">
        <w:rPr>
          <w:rFonts w:ascii="Times New Roman" w:hAnsi="Times New Roman" w:cs="Times New Roman"/>
          <w:sz w:val="24"/>
          <w:szCs w:val="24"/>
        </w:rPr>
        <w:t>Système Androyen à dominance ultra-métamorphique (leptynite-charnockite)</w:t>
      </w:r>
    </w:p>
    <w:p w14:paraId="4EECF376" w14:textId="77777777" w:rsidR="00575CDF" w:rsidRPr="00C801A6" w:rsidRDefault="00575CDF" w:rsidP="00844538">
      <w:pPr>
        <w:pStyle w:val="BodyText"/>
        <w:numPr>
          <w:ilvl w:val="0"/>
          <w:numId w:val="15"/>
        </w:numPr>
        <w:adjustRightInd/>
        <w:spacing w:after="60" w:line="276" w:lineRule="auto"/>
        <w:ind w:right="113" w:hanging="357"/>
        <w:jc w:val="both"/>
        <w:rPr>
          <w:rFonts w:ascii="Times New Roman" w:hAnsi="Times New Roman" w:cs="Times New Roman"/>
          <w:sz w:val="24"/>
          <w:szCs w:val="24"/>
        </w:rPr>
      </w:pPr>
      <w:r w:rsidRPr="00C801A6">
        <w:rPr>
          <w:rFonts w:ascii="Times New Roman" w:hAnsi="Times New Roman" w:cs="Times New Roman"/>
          <w:sz w:val="24"/>
          <w:szCs w:val="24"/>
        </w:rPr>
        <w:t>Système de graphite recouvert par la série de gneiss, de leptynites à graphite d’Ampanihy.</w:t>
      </w:r>
    </w:p>
    <w:p w14:paraId="7344E6B5" w14:textId="77777777" w:rsidR="00575CDF" w:rsidRPr="00C801A6" w:rsidRDefault="00575CDF" w:rsidP="00844538">
      <w:pPr>
        <w:pStyle w:val="BodyText"/>
        <w:numPr>
          <w:ilvl w:val="0"/>
          <w:numId w:val="15"/>
        </w:numPr>
        <w:adjustRightInd/>
        <w:spacing w:after="160" w:line="276" w:lineRule="auto"/>
        <w:ind w:right="113" w:hanging="357"/>
        <w:jc w:val="both"/>
        <w:rPr>
          <w:rFonts w:ascii="Times New Roman" w:hAnsi="Times New Roman" w:cs="Times New Roman"/>
          <w:sz w:val="24"/>
          <w:szCs w:val="24"/>
        </w:rPr>
      </w:pPr>
      <w:r w:rsidRPr="00C801A6">
        <w:rPr>
          <w:rFonts w:ascii="Times New Roman" w:hAnsi="Times New Roman" w:cs="Times New Roman"/>
          <w:sz w:val="24"/>
          <w:szCs w:val="24"/>
        </w:rPr>
        <w:t>Système de Vohibory (série amphibolique de Vohibory et série de Vohimena)</w:t>
      </w:r>
    </w:p>
    <w:p w14:paraId="35539CB9" w14:textId="77777777" w:rsidR="00575CDF" w:rsidRPr="00C801A6" w:rsidRDefault="00575CDF" w:rsidP="003042DB">
      <w:pPr>
        <w:pStyle w:val="Heading4"/>
        <w:rPr>
          <w:color w:val="auto"/>
        </w:rPr>
      </w:pPr>
      <w:bookmarkStart w:id="123" w:name="_Toc230298738"/>
      <w:r w:rsidRPr="00C801A6">
        <w:rPr>
          <w:color w:val="auto"/>
        </w:rPr>
        <w:t>Couverture sédimentaire</w:t>
      </w:r>
      <w:bookmarkEnd w:id="123"/>
    </w:p>
    <w:p w14:paraId="63B03F7E" w14:textId="60F4C032" w:rsidR="00575CDF" w:rsidRPr="00C801A6" w:rsidRDefault="00575CDF" w:rsidP="00575CDF">
      <w:pPr>
        <w:pStyle w:val="BodyText"/>
        <w:spacing w:after="160" w:line="276" w:lineRule="auto"/>
        <w:ind w:right="112"/>
        <w:jc w:val="both"/>
        <w:rPr>
          <w:rFonts w:ascii="Times New Roman" w:hAnsi="Times New Roman" w:cs="Times New Roman"/>
          <w:sz w:val="24"/>
          <w:szCs w:val="24"/>
        </w:rPr>
      </w:pPr>
      <w:r w:rsidRPr="00C801A6">
        <w:rPr>
          <w:rFonts w:ascii="Times New Roman" w:hAnsi="Times New Roman" w:cs="Times New Roman"/>
          <w:sz w:val="24"/>
          <w:szCs w:val="24"/>
        </w:rPr>
        <w:t>La couverture sédimentaire se présente comme une plate-forme inclinée vers l’Ouest, couvrant le tiers occidental de l’île. Elle est plus récente car elle s’étend du Carbonifère supérieur jusqu’à l’actuel</w:t>
      </w:r>
      <w:r w:rsidR="00D66491" w:rsidRPr="00C801A6">
        <w:rPr>
          <w:rFonts w:ascii="Times New Roman" w:hAnsi="Times New Roman" w:cs="Times New Roman"/>
          <w:sz w:val="24"/>
          <w:szCs w:val="24"/>
        </w:rPr>
        <w:t xml:space="preserve"> (figure 10 ci-dessous)</w:t>
      </w:r>
      <w:r w:rsidRPr="00C801A6">
        <w:rPr>
          <w:rFonts w:ascii="Times New Roman" w:hAnsi="Times New Roman" w:cs="Times New Roman"/>
          <w:sz w:val="24"/>
          <w:szCs w:val="24"/>
        </w:rPr>
        <w:t>. Elle résulte d’une succession de cycles de régression marqués par des dépôts d’origine continentale ou marine.</w:t>
      </w:r>
    </w:p>
    <w:p w14:paraId="7B80C040" w14:textId="77777777" w:rsidR="00575CDF" w:rsidRPr="00C801A6" w:rsidRDefault="00575CDF" w:rsidP="00844538">
      <w:pPr>
        <w:pStyle w:val="BodyText"/>
        <w:numPr>
          <w:ilvl w:val="0"/>
          <w:numId w:val="16"/>
        </w:numPr>
        <w:adjustRightInd/>
        <w:spacing w:after="160" w:line="276" w:lineRule="auto"/>
        <w:ind w:left="850" w:right="113" w:hanging="425"/>
        <w:jc w:val="both"/>
        <w:rPr>
          <w:rFonts w:ascii="Times New Roman" w:hAnsi="Times New Roman" w:cs="Times New Roman"/>
          <w:sz w:val="24"/>
          <w:szCs w:val="24"/>
        </w:rPr>
      </w:pPr>
      <w:r w:rsidRPr="00C801A6">
        <w:rPr>
          <w:rFonts w:ascii="Times New Roman" w:hAnsi="Times New Roman" w:cs="Times New Roman"/>
          <w:sz w:val="24"/>
          <w:szCs w:val="24"/>
          <w:u w:val="single"/>
        </w:rPr>
        <w:t>Formations du Karroo :</w:t>
      </w:r>
      <w:r w:rsidRPr="00C801A6">
        <w:rPr>
          <w:rFonts w:ascii="Times New Roman" w:hAnsi="Times New Roman" w:cs="Times New Roman"/>
          <w:sz w:val="24"/>
          <w:szCs w:val="24"/>
        </w:rPr>
        <w:t xml:space="preserve"> de l’ère primaire à l’ère secondaire</w:t>
      </w:r>
    </w:p>
    <w:p w14:paraId="155C64A5" w14:textId="77777777" w:rsidR="00575CDF" w:rsidRPr="00C801A6" w:rsidRDefault="00575CDF" w:rsidP="00844538">
      <w:pPr>
        <w:pStyle w:val="BodyText"/>
        <w:numPr>
          <w:ilvl w:val="0"/>
          <w:numId w:val="15"/>
        </w:numPr>
        <w:adjustRightInd/>
        <w:spacing w:after="160" w:line="276" w:lineRule="auto"/>
        <w:ind w:right="113" w:hanging="357"/>
        <w:contextualSpacing/>
        <w:jc w:val="both"/>
        <w:rPr>
          <w:rFonts w:ascii="Times New Roman" w:hAnsi="Times New Roman" w:cs="Times New Roman"/>
          <w:sz w:val="24"/>
          <w:szCs w:val="24"/>
        </w:rPr>
      </w:pPr>
      <w:r w:rsidRPr="00C801A6">
        <w:rPr>
          <w:rFonts w:ascii="Times New Roman" w:hAnsi="Times New Roman" w:cs="Times New Roman"/>
          <w:sz w:val="24"/>
          <w:szCs w:val="24"/>
        </w:rPr>
        <w:t>Groupe de la Sakoa : Carbonifère supérieur et Permien inférieur</w:t>
      </w:r>
    </w:p>
    <w:p w14:paraId="148DB821" w14:textId="77777777" w:rsidR="00575CDF" w:rsidRPr="00C801A6" w:rsidRDefault="00575CDF" w:rsidP="00844538">
      <w:pPr>
        <w:pStyle w:val="BodyText"/>
        <w:numPr>
          <w:ilvl w:val="0"/>
          <w:numId w:val="15"/>
        </w:numPr>
        <w:adjustRightInd/>
        <w:spacing w:after="160" w:line="276" w:lineRule="auto"/>
        <w:ind w:right="113" w:hanging="357"/>
        <w:contextualSpacing/>
        <w:jc w:val="both"/>
        <w:rPr>
          <w:rFonts w:ascii="Times New Roman" w:hAnsi="Times New Roman" w:cs="Times New Roman"/>
          <w:sz w:val="24"/>
          <w:szCs w:val="24"/>
        </w:rPr>
      </w:pPr>
      <w:r w:rsidRPr="00C801A6">
        <w:rPr>
          <w:rFonts w:ascii="Times New Roman" w:hAnsi="Times New Roman" w:cs="Times New Roman"/>
          <w:sz w:val="24"/>
          <w:szCs w:val="24"/>
        </w:rPr>
        <w:t>Groupe de Sakamena : Permien au secondaire.</w:t>
      </w:r>
    </w:p>
    <w:p w14:paraId="1BDD8795" w14:textId="77777777" w:rsidR="00575CDF" w:rsidRPr="00C801A6" w:rsidRDefault="00575CDF" w:rsidP="00844538">
      <w:pPr>
        <w:pStyle w:val="BodyText"/>
        <w:numPr>
          <w:ilvl w:val="0"/>
          <w:numId w:val="15"/>
        </w:numPr>
        <w:adjustRightInd/>
        <w:spacing w:after="160" w:line="276" w:lineRule="auto"/>
        <w:ind w:right="113" w:hanging="357"/>
        <w:jc w:val="both"/>
        <w:rPr>
          <w:rFonts w:ascii="Times New Roman" w:hAnsi="Times New Roman" w:cs="Times New Roman"/>
          <w:sz w:val="24"/>
          <w:szCs w:val="24"/>
        </w:rPr>
      </w:pPr>
      <w:r w:rsidRPr="00C801A6">
        <w:rPr>
          <w:rFonts w:ascii="Times New Roman" w:hAnsi="Times New Roman" w:cs="Times New Roman"/>
          <w:sz w:val="24"/>
          <w:szCs w:val="24"/>
        </w:rPr>
        <w:t>Groupe de l’Isalo.</w:t>
      </w:r>
    </w:p>
    <w:p w14:paraId="1CA71E72" w14:textId="77777777" w:rsidR="00575CDF" w:rsidRPr="00C801A6" w:rsidRDefault="00575CDF" w:rsidP="00844538">
      <w:pPr>
        <w:pStyle w:val="BodyText"/>
        <w:numPr>
          <w:ilvl w:val="0"/>
          <w:numId w:val="16"/>
        </w:numPr>
        <w:adjustRightInd/>
        <w:spacing w:after="160" w:line="276" w:lineRule="auto"/>
        <w:ind w:left="850" w:right="113" w:hanging="425"/>
        <w:jc w:val="both"/>
        <w:rPr>
          <w:rFonts w:ascii="Times New Roman" w:hAnsi="Times New Roman" w:cs="Times New Roman"/>
          <w:sz w:val="24"/>
          <w:szCs w:val="24"/>
        </w:rPr>
      </w:pPr>
      <w:r w:rsidRPr="00C801A6">
        <w:rPr>
          <w:rFonts w:ascii="Times New Roman" w:hAnsi="Times New Roman" w:cs="Times New Roman"/>
          <w:sz w:val="24"/>
          <w:szCs w:val="24"/>
          <w:u w:val="single"/>
        </w:rPr>
        <w:t>Formations Post-Karroo :</w:t>
      </w:r>
      <w:r w:rsidRPr="00C801A6">
        <w:rPr>
          <w:rFonts w:ascii="Times New Roman" w:hAnsi="Times New Roman" w:cs="Times New Roman"/>
          <w:sz w:val="24"/>
          <w:szCs w:val="24"/>
        </w:rPr>
        <w:t xml:space="preserve"> du Jurassique Supérieur au quaternaire.</w:t>
      </w:r>
    </w:p>
    <w:p w14:paraId="5247C18C" w14:textId="77777777" w:rsidR="00575CDF" w:rsidRPr="00C801A6" w:rsidRDefault="00575CDF" w:rsidP="00575CDF">
      <w:pPr>
        <w:pStyle w:val="BodyText"/>
        <w:adjustRightInd/>
        <w:spacing w:after="160" w:line="276" w:lineRule="auto"/>
        <w:ind w:left="0" w:right="113" w:hanging="284"/>
        <w:jc w:val="center"/>
        <w:rPr>
          <w:rFonts w:ascii="Times New Roman" w:hAnsi="Times New Roman" w:cs="Times New Roman"/>
          <w:sz w:val="24"/>
          <w:szCs w:val="24"/>
        </w:rPr>
      </w:pPr>
      <w:r w:rsidRPr="00C801A6">
        <w:rPr>
          <w:noProof/>
          <w:lang w:eastAsia="fr-FR"/>
        </w:rPr>
        <w:lastRenderedPageBreak/>
        <w:drawing>
          <wp:inline distT="0" distB="0" distL="0" distR="0" wp14:anchorId="73DFD71F" wp14:editId="5ED0CB14">
            <wp:extent cx="4690690" cy="6343650"/>
            <wp:effectExtent l="0" t="0" r="0" b="0"/>
            <wp:docPr id="406508164" name="Image 406508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pic:nvPicPr>
                  <pic:blipFill>
                    <a:blip r:embed="rId40" cstate="email">
                      <a:extLst>
                        <a:ext uri="{28A0092B-C50C-407E-A947-70E740481C1C}">
                          <a14:useLocalDpi xmlns:a14="http://schemas.microsoft.com/office/drawing/2010/main"/>
                        </a:ext>
                      </a:extLst>
                    </a:blip>
                    <a:srcRect/>
                    <a:stretch>
                      <a:fillRect/>
                    </a:stretch>
                  </pic:blipFill>
                  <pic:spPr>
                    <a:xfrm>
                      <a:off x="0" y="0"/>
                      <a:ext cx="4697154" cy="6352392"/>
                    </a:xfrm>
                    <a:prstGeom prst="rect">
                      <a:avLst/>
                    </a:prstGeom>
                  </pic:spPr>
                </pic:pic>
              </a:graphicData>
            </a:graphic>
          </wp:inline>
        </w:drawing>
      </w:r>
    </w:p>
    <w:p w14:paraId="25D8F24D" w14:textId="4E4FEDE7" w:rsidR="00575CDF" w:rsidRPr="00C801A6" w:rsidRDefault="00B820EF" w:rsidP="00B820EF">
      <w:pPr>
        <w:pStyle w:val="Caption"/>
        <w:rPr>
          <w:color w:val="auto"/>
        </w:rPr>
      </w:pPr>
      <w:bookmarkStart w:id="124" w:name="_Toc230426708"/>
      <w:r>
        <w:t xml:space="preserve">Figure </w:t>
      </w:r>
      <w:r w:rsidR="004233C4">
        <w:fldChar w:fldCharType="begin"/>
      </w:r>
      <w:r w:rsidR="004233C4">
        <w:instrText xml:space="preserve"> SEQ Figure \* ARABIC </w:instrText>
      </w:r>
      <w:r w:rsidR="004233C4">
        <w:fldChar w:fldCharType="separate"/>
      </w:r>
      <w:r w:rsidR="00D13682">
        <w:rPr>
          <w:noProof/>
        </w:rPr>
        <w:t>13</w:t>
      </w:r>
      <w:r w:rsidR="004233C4">
        <w:rPr>
          <w:noProof/>
        </w:rPr>
        <w:fldChar w:fldCharType="end"/>
      </w:r>
      <w:r w:rsidR="00575CDF" w:rsidRPr="00C801A6">
        <w:rPr>
          <w:color w:val="auto"/>
        </w:rPr>
        <w:t> : Carte géologique vs routes nationales revêtues</w:t>
      </w:r>
      <w:bookmarkEnd w:id="124"/>
    </w:p>
    <w:p w14:paraId="0ED430AB" w14:textId="77777777" w:rsidR="00575CDF" w:rsidRPr="00C801A6" w:rsidRDefault="00575CDF" w:rsidP="00575CDF">
      <w:pPr>
        <w:rPr>
          <w:color w:val="auto"/>
        </w:rPr>
      </w:pPr>
    </w:p>
    <w:p w14:paraId="7D5BC88A" w14:textId="77777777" w:rsidR="00575CDF" w:rsidRPr="00C801A6" w:rsidRDefault="00575CDF" w:rsidP="00C65572">
      <w:pPr>
        <w:pStyle w:val="Heading3"/>
      </w:pPr>
      <w:bookmarkStart w:id="125" w:name="_Toc440199202"/>
      <w:bookmarkStart w:id="126" w:name="_Toc106320289"/>
      <w:bookmarkStart w:id="127" w:name="_Toc230426000"/>
      <w:r w:rsidRPr="00C801A6">
        <w:t>Pédologie</w:t>
      </w:r>
      <w:bookmarkEnd w:id="125"/>
      <w:bookmarkEnd w:id="126"/>
      <w:bookmarkEnd w:id="127"/>
    </w:p>
    <w:p w14:paraId="45294DB8" w14:textId="26440299" w:rsidR="00575CDF" w:rsidRPr="00C801A6" w:rsidRDefault="00575CDF" w:rsidP="00575CDF">
      <w:pPr>
        <w:shd w:val="clear" w:color="auto" w:fill="FFFFFF"/>
        <w:rPr>
          <w:rFonts w:cs="Times New Roman"/>
          <w:color w:val="auto"/>
          <w:szCs w:val="24"/>
        </w:rPr>
      </w:pPr>
      <w:r w:rsidRPr="00C801A6">
        <w:rPr>
          <w:rFonts w:cs="Times New Roman"/>
          <w:color w:val="auto"/>
          <w:szCs w:val="24"/>
        </w:rPr>
        <w:t>Les travaux de Roederer (1971) répartissent les sols malgaches en quatre types différents</w:t>
      </w:r>
      <w:r w:rsidR="00D66491" w:rsidRPr="00C801A6">
        <w:rPr>
          <w:rFonts w:cs="Times New Roman"/>
          <w:color w:val="auto"/>
          <w:szCs w:val="24"/>
        </w:rPr>
        <w:t xml:space="preserve"> sur lesquels les routes nationales sont revêtues (figure 11 ci-dessous)</w:t>
      </w:r>
      <w:r w:rsidRPr="00C801A6">
        <w:rPr>
          <w:rFonts w:cs="Times New Roman"/>
          <w:color w:val="auto"/>
          <w:szCs w:val="24"/>
        </w:rPr>
        <w:t> :</w:t>
      </w:r>
    </w:p>
    <w:p w14:paraId="5C9761C9" w14:textId="77777777" w:rsidR="00575CDF" w:rsidRPr="00C801A6" w:rsidRDefault="00575CDF" w:rsidP="00844538">
      <w:pPr>
        <w:pStyle w:val="BodyText"/>
        <w:widowControl w:val="0"/>
        <w:numPr>
          <w:ilvl w:val="0"/>
          <w:numId w:val="17"/>
        </w:numPr>
        <w:tabs>
          <w:tab w:val="left" w:pos="426"/>
        </w:tabs>
        <w:autoSpaceDE/>
        <w:autoSpaceDN/>
        <w:adjustRightInd/>
        <w:spacing w:after="160" w:line="276" w:lineRule="auto"/>
        <w:ind w:hanging="2126"/>
        <w:jc w:val="both"/>
        <w:rPr>
          <w:rFonts w:ascii="Times New Roman" w:hAnsi="Times New Roman" w:cs="Times New Roman"/>
          <w:b/>
          <w:spacing w:val="-1"/>
          <w:sz w:val="24"/>
          <w:szCs w:val="24"/>
        </w:rPr>
      </w:pPr>
      <w:r w:rsidRPr="00C801A6">
        <w:rPr>
          <w:rFonts w:ascii="Times New Roman" w:hAnsi="Times New Roman" w:cs="Times New Roman"/>
          <w:b/>
          <w:spacing w:val="-1"/>
          <w:sz w:val="24"/>
          <w:szCs w:val="24"/>
        </w:rPr>
        <w:t>Sols ferralitiques</w:t>
      </w:r>
    </w:p>
    <w:p w14:paraId="368F42F9" w14:textId="77777777" w:rsidR="00575CDF" w:rsidRPr="00C801A6" w:rsidRDefault="00575CDF" w:rsidP="00575CDF">
      <w:pPr>
        <w:pStyle w:val="BodyText"/>
        <w:spacing w:after="160" w:line="276" w:lineRule="auto"/>
        <w:ind w:right="112"/>
        <w:jc w:val="both"/>
        <w:rPr>
          <w:rFonts w:ascii="Times New Roman" w:hAnsi="Times New Roman" w:cs="Times New Roman"/>
          <w:sz w:val="24"/>
          <w:szCs w:val="24"/>
        </w:rPr>
      </w:pPr>
      <w:r w:rsidRPr="00C801A6">
        <w:rPr>
          <w:rFonts w:ascii="Times New Roman" w:hAnsi="Times New Roman" w:cs="Times New Roman"/>
          <w:sz w:val="24"/>
          <w:szCs w:val="24"/>
        </w:rPr>
        <w:t>Ces sols présentent plusieurs variantes, en fonction de la roche mère. Il s’agit des sols les plus répandus sur les Hautes-Terres et la Côte Est. Ils occupent environ 46% de la superficie de l’Ile.</w:t>
      </w:r>
    </w:p>
    <w:p w14:paraId="310913F7" w14:textId="77777777" w:rsidR="00575CDF" w:rsidRPr="00C801A6" w:rsidRDefault="00575CDF" w:rsidP="00844538">
      <w:pPr>
        <w:pStyle w:val="BodyText"/>
        <w:widowControl w:val="0"/>
        <w:numPr>
          <w:ilvl w:val="0"/>
          <w:numId w:val="17"/>
        </w:numPr>
        <w:tabs>
          <w:tab w:val="left" w:pos="426"/>
        </w:tabs>
        <w:autoSpaceDE/>
        <w:autoSpaceDN/>
        <w:adjustRightInd/>
        <w:spacing w:after="160" w:line="276" w:lineRule="auto"/>
        <w:ind w:hanging="2126"/>
        <w:jc w:val="both"/>
        <w:rPr>
          <w:rFonts w:ascii="Times New Roman" w:hAnsi="Times New Roman" w:cs="Times New Roman"/>
          <w:b/>
          <w:spacing w:val="-1"/>
          <w:sz w:val="24"/>
          <w:szCs w:val="24"/>
        </w:rPr>
      </w:pPr>
      <w:r w:rsidRPr="00C801A6">
        <w:rPr>
          <w:rFonts w:ascii="Times New Roman" w:hAnsi="Times New Roman" w:cs="Times New Roman"/>
          <w:b/>
          <w:spacing w:val="-1"/>
          <w:sz w:val="24"/>
          <w:szCs w:val="24"/>
        </w:rPr>
        <w:lastRenderedPageBreak/>
        <w:t>Sols ferrugineux tropicaux</w:t>
      </w:r>
    </w:p>
    <w:p w14:paraId="444FA579" w14:textId="77777777" w:rsidR="00575CDF" w:rsidRPr="00C801A6" w:rsidRDefault="00575CDF" w:rsidP="00575CDF">
      <w:pPr>
        <w:pStyle w:val="BodyText"/>
        <w:spacing w:after="160" w:line="276" w:lineRule="auto"/>
        <w:ind w:right="112"/>
        <w:jc w:val="both"/>
        <w:rPr>
          <w:rFonts w:ascii="Times New Roman" w:hAnsi="Times New Roman" w:cs="Times New Roman"/>
          <w:sz w:val="24"/>
          <w:szCs w:val="24"/>
        </w:rPr>
      </w:pPr>
      <w:r w:rsidRPr="00C801A6">
        <w:rPr>
          <w:rFonts w:ascii="Times New Roman" w:hAnsi="Times New Roman" w:cs="Times New Roman"/>
          <w:sz w:val="24"/>
          <w:szCs w:val="24"/>
        </w:rPr>
        <w:t>Ce type de sols forme de très grandes surfaces dans l’ouest et le sud et représentent 27,5% de l’Ile.</w:t>
      </w:r>
    </w:p>
    <w:p w14:paraId="3E8BFC62" w14:textId="77777777" w:rsidR="00575CDF" w:rsidRPr="00C801A6" w:rsidRDefault="00575CDF" w:rsidP="00575CDF">
      <w:pPr>
        <w:shd w:val="clear" w:color="auto" w:fill="FFFFFF"/>
        <w:rPr>
          <w:rFonts w:cs="Times New Roman"/>
          <w:color w:val="auto"/>
          <w:szCs w:val="24"/>
        </w:rPr>
      </w:pPr>
      <w:r w:rsidRPr="00C801A6">
        <w:rPr>
          <w:rFonts w:cs="Times New Roman"/>
          <w:color w:val="auto"/>
          <w:szCs w:val="24"/>
        </w:rPr>
        <w:t>Ces deux types de sols continuent à subir, à des degrés divers, un phénomène érosif, d’une part en raison des situations topographiques et d’autre part, à cause des actions anthropiques telles que les feux de brousse et le déboisement.</w:t>
      </w:r>
    </w:p>
    <w:p w14:paraId="1B5E04E2" w14:textId="77777777" w:rsidR="00575CDF" w:rsidRPr="00C801A6" w:rsidRDefault="00575CDF" w:rsidP="00844538">
      <w:pPr>
        <w:pStyle w:val="BodyText"/>
        <w:widowControl w:val="0"/>
        <w:numPr>
          <w:ilvl w:val="0"/>
          <w:numId w:val="17"/>
        </w:numPr>
        <w:tabs>
          <w:tab w:val="left" w:pos="426"/>
        </w:tabs>
        <w:autoSpaceDE/>
        <w:autoSpaceDN/>
        <w:adjustRightInd/>
        <w:spacing w:after="160" w:line="276" w:lineRule="auto"/>
        <w:ind w:hanging="2126"/>
        <w:jc w:val="both"/>
        <w:rPr>
          <w:rFonts w:ascii="Times New Roman" w:hAnsi="Times New Roman" w:cs="Times New Roman"/>
          <w:b/>
          <w:spacing w:val="-1"/>
          <w:sz w:val="24"/>
          <w:szCs w:val="24"/>
        </w:rPr>
      </w:pPr>
      <w:r w:rsidRPr="00C801A6">
        <w:rPr>
          <w:rFonts w:ascii="Times New Roman" w:hAnsi="Times New Roman" w:cs="Times New Roman"/>
          <w:b/>
          <w:spacing w:val="-1"/>
          <w:sz w:val="24"/>
          <w:szCs w:val="24"/>
        </w:rPr>
        <w:t>Sols hydromorphes</w:t>
      </w:r>
    </w:p>
    <w:p w14:paraId="00EE1E4F" w14:textId="77777777" w:rsidR="00575CDF" w:rsidRPr="00C801A6" w:rsidRDefault="00575CDF" w:rsidP="00575CDF">
      <w:pPr>
        <w:shd w:val="clear" w:color="auto" w:fill="FFFFFF"/>
        <w:rPr>
          <w:rFonts w:cs="Times New Roman"/>
          <w:color w:val="auto"/>
          <w:szCs w:val="24"/>
        </w:rPr>
      </w:pPr>
      <w:r w:rsidRPr="00C801A6">
        <w:rPr>
          <w:rFonts w:cs="Times New Roman"/>
          <w:color w:val="auto"/>
          <w:szCs w:val="24"/>
        </w:rPr>
        <w:t>Ces sols, plus ou moins tourbeux, occupent les bas- fonds et sont prioritairement utilisés pour la riziculture. Ils occupent 6,5% de la surface de l’Ile.</w:t>
      </w:r>
    </w:p>
    <w:p w14:paraId="4A0D65C2" w14:textId="406536E2" w:rsidR="00575CDF" w:rsidRPr="00C801A6" w:rsidRDefault="00575CDF" w:rsidP="00844538">
      <w:pPr>
        <w:pStyle w:val="BodyText"/>
        <w:widowControl w:val="0"/>
        <w:numPr>
          <w:ilvl w:val="0"/>
          <w:numId w:val="17"/>
        </w:numPr>
        <w:tabs>
          <w:tab w:val="left" w:pos="426"/>
        </w:tabs>
        <w:autoSpaceDE/>
        <w:autoSpaceDN/>
        <w:adjustRightInd/>
        <w:spacing w:after="160" w:line="276" w:lineRule="auto"/>
        <w:ind w:hanging="2126"/>
        <w:jc w:val="both"/>
        <w:rPr>
          <w:rFonts w:ascii="Times New Roman" w:hAnsi="Times New Roman" w:cs="Times New Roman"/>
          <w:b/>
          <w:spacing w:val="-1"/>
          <w:sz w:val="24"/>
          <w:szCs w:val="24"/>
        </w:rPr>
      </w:pPr>
      <w:r w:rsidRPr="00C801A6">
        <w:rPr>
          <w:rFonts w:ascii="Times New Roman" w:hAnsi="Times New Roman" w:cs="Times New Roman"/>
          <w:b/>
          <w:spacing w:val="-1"/>
          <w:sz w:val="24"/>
          <w:szCs w:val="24"/>
        </w:rPr>
        <w:t>Sols alluviona</w:t>
      </w:r>
      <w:r w:rsidR="00E87A90">
        <w:rPr>
          <w:rFonts w:ascii="Times New Roman" w:hAnsi="Times New Roman" w:cs="Times New Roman"/>
          <w:b/>
          <w:spacing w:val="-1"/>
          <w:sz w:val="24"/>
          <w:szCs w:val="24"/>
        </w:rPr>
        <w:t>ires</w:t>
      </w:r>
    </w:p>
    <w:p w14:paraId="7F05B1FE" w14:textId="77777777" w:rsidR="00575CDF" w:rsidRPr="00C801A6" w:rsidRDefault="00575CDF" w:rsidP="00575CDF">
      <w:pPr>
        <w:shd w:val="clear" w:color="auto" w:fill="FFFFFF"/>
        <w:rPr>
          <w:rFonts w:cs="Times New Roman"/>
          <w:color w:val="auto"/>
          <w:szCs w:val="24"/>
        </w:rPr>
      </w:pPr>
      <w:r w:rsidRPr="00C801A6">
        <w:rPr>
          <w:rFonts w:cs="Times New Roman"/>
          <w:color w:val="auto"/>
          <w:szCs w:val="24"/>
        </w:rPr>
        <w:t>Ce sont des sols peu évolués, mais très fertiles. Ils se trouvent surtout dans les environs immédiats des grands fleuves de la région occidentale et occupent 20% de la surface de l’île.</w:t>
      </w:r>
    </w:p>
    <w:p w14:paraId="188A65DF" w14:textId="77777777" w:rsidR="00575CDF" w:rsidRPr="00C801A6" w:rsidRDefault="00575CDF" w:rsidP="00575CDF">
      <w:pPr>
        <w:spacing w:line="259" w:lineRule="auto"/>
        <w:jc w:val="left"/>
        <w:rPr>
          <w:rFonts w:cs="Times New Roman"/>
          <w:color w:val="auto"/>
          <w:szCs w:val="24"/>
        </w:rPr>
      </w:pPr>
      <w:r w:rsidRPr="00C801A6">
        <w:rPr>
          <w:rFonts w:cs="Times New Roman"/>
          <w:color w:val="auto"/>
          <w:szCs w:val="24"/>
        </w:rPr>
        <w:br w:type="page"/>
      </w:r>
    </w:p>
    <w:p w14:paraId="1072D496" w14:textId="77777777" w:rsidR="00575CDF" w:rsidRPr="00C801A6" w:rsidRDefault="00575CDF" w:rsidP="00575CDF">
      <w:pPr>
        <w:shd w:val="clear" w:color="auto" w:fill="FFFFFF"/>
        <w:jc w:val="center"/>
        <w:rPr>
          <w:rFonts w:cs="Times New Roman"/>
          <w:color w:val="auto"/>
          <w:szCs w:val="24"/>
        </w:rPr>
      </w:pPr>
      <w:r w:rsidRPr="00C801A6">
        <w:rPr>
          <w:rFonts w:cs="Times New Roman"/>
          <w:noProof/>
          <w:color w:val="auto"/>
          <w:szCs w:val="24"/>
          <w:lang w:eastAsia="fr-FR"/>
        </w:rPr>
        <w:lastRenderedPageBreak/>
        <w:drawing>
          <wp:inline distT="0" distB="0" distL="0" distR="0" wp14:anchorId="31728A28" wp14:editId="04A4F645">
            <wp:extent cx="5397829" cy="7272337"/>
            <wp:effectExtent l="0" t="0" r="0" b="5080"/>
            <wp:docPr id="406508165" name="Image 406508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1" cstate="email">
                      <a:extLst>
                        <a:ext uri="{28A0092B-C50C-407E-A947-70E740481C1C}">
                          <a14:useLocalDpi xmlns:a14="http://schemas.microsoft.com/office/drawing/2010/main"/>
                        </a:ext>
                      </a:extLst>
                    </a:blip>
                    <a:srcRect/>
                    <a:stretch/>
                  </pic:blipFill>
                  <pic:spPr bwMode="auto">
                    <a:xfrm>
                      <a:off x="0" y="0"/>
                      <a:ext cx="5404832" cy="7281773"/>
                    </a:xfrm>
                    <a:prstGeom prst="rect">
                      <a:avLst/>
                    </a:prstGeom>
                    <a:noFill/>
                    <a:ln>
                      <a:noFill/>
                    </a:ln>
                    <a:extLst>
                      <a:ext uri="{53640926-AAD7-44D8-BBD7-CCE9431645EC}">
                        <a14:shadowObscured xmlns:a14="http://schemas.microsoft.com/office/drawing/2010/main"/>
                      </a:ext>
                    </a:extLst>
                  </pic:spPr>
                </pic:pic>
              </a:graphicData>
            </a:graphic>
          </wp:inline>
        </w:drawing>
      </w:r>
    </w:p>
    <w:p w14:paraId="2052374A" w14:textId="7993FEAE" w:rsidR="00575CDF" w:rsidRPr="00C801A6" w:rsidRDefault="00691CB0" w:rsidP="00691CB0">
      <w:pPr>
        <w:pStyle w:val="Caption"/>
        <w:rPr>
          <w:rFonts w:cs="Times New Roman"/>
          <w:color w:val="auto"/>
          <w:szCs w:val="24"/>
        </w:rPr>
      </w:pPr>
      <w:bookmarkStart w:id="128" w:name="_Toc230426709"/>
      <w:r>
        <w:t xml:space="preserve">Figure </w:t>
      </w:r>
      <w:r w:rsidR="004233C4">
        <w:fldChar w:fldCharType="begin"/>
      </w:r>
      <w:r w:rsidR="004233C4">
        <w:instrText xml:space="preserve"> SEQ Figure \* ARABIC </w:instrText>
      </w:r>
      <w:r w:rsidR="004233C4">
        <w:fldChar w:fldCharType="separate"/>
      </w:r>
      <w:r w:rsidR="00D13682">
        <w:rPr>
          <w:noProof/>
        </w:rPr>
        <w:t>14</w:t>
      </w:r>
      <w:r w:rsidR="004233C4">
        <w:rPr>
          <w:noProof/>
        </w:rPr>
        <w:fldChar w:fldCharType="end"/>
      </w:r>
      <w:r w:rsidR="00575CDF" w:rsidRPr="00C801A6">
        <w:rPr>
          <w:color w:val="auto"/>
        </w:rPr>
        <w:t> : Carte pédologique vs routes nationales revêtues</w:t>
      </w:r>
      <w:bookmarkEnd w:id="128"/>
    </w:p>
    <w:p w14:paraId="0D1FDF96" w14:textId="77777777" w:rsidR="00575CDF" w:rsidRPr="00C801A6" w:rsidRDefault="00575CDF" w:rsidP="00C65572">
      <w:pPr>
        <w:pStyle w:val="Heading3"/>
      </w:pPr>
      <w:bookmarkStart w:id="129" w:name="_Toc429311443"/>
      <w:bookmarkStart w:id="130" w:name="_Toc440199203"/>
      <w:bookmarkStart w:id="131" w:name="_Toc106320290"/>
      <w:bookmarkStart w:id="132" w:name="_Toc230426001"/>
      <w:r w:rsidRPr="00C801A6">
        <w:t>Hydrologie</w:t>
      </w:r>
      <w:bookmarkEnd w:id="129"/>
      <w:bookmarkEnd w:id="130"/>
      <w:bookmarkEnd w:id="131"/>
      <w:bookmarkEnd w:id="132"/>
    </w:p>
    <w:p w14:paraId="1AD13ED5" w14:textId="77777777" w:rsidR="00575CDF" w:rsidRPr="00C801A6" w:rsidRDefault="00575CDF" w:rsidP="00575CDF">
      <w:pPr>
        <w:pStyle w:val="BodyText"/>
        <w:spacing w:after="160" w:line="276" w:lineRule="auto"/>
        <w:ind w:right="113"/>
        <w:jc w:val="both"/>
        <w:rPr>
          <w:rFonts w:ascii="Times New Roman" w:hAnsi="Times New Roman" w:cs="Times New Roman"/>
          <w:spacing w:val="-1"/>
          <w:sz w:val="24"/>
          <w:szCs w:val="24"/>
        </w:rPr>
      </w:pPr>
      <w:r w:rsidRPr="00C801A6">
        <w:rPr>
          <w:rFonts w:ascii="Times New Roman" w:hAnsi="Times New Roman" w:cs="Times New Roman"/>
          <w:spacing w:val="-1"/>
          <w:sz w:val="24"/>
          <w:szCs w:val="24"/>
        </w:rPr>
        <w:t xml:space="preserve">Les formes du réseau hydrographique de Madagascar présentent une </w:t>
      </w:r>
      <w:r w:rsidRPr="00C801A6">
        <w:rPr>
          <w:rFonts w:ascii="Times New Roman" w:hAnsi="Times New Roman" w:cs="Times New Roman"/>
          <w:sz w:val="24"/>
          <w:szCs w:val="24"/>
        </w:rPr>
        <w:t xml:space="preserve">grande </w:t>
      </w:r>
      <w:r w:rsidRPr="00C801A6">
        <w:rPr>
          <w:rFonts w:ascii="Times New Roman" w:hAnsi="Times New Roman" w:cs="Times New Roman"/>
          <w:spacing w:val="-1"/>
          <w:sz w:val="24"/>
          <w:szCs w:val="24"/>
        </w:rPr>
        <w:t>variété par suite du contexte géomorphologique de la grande Ile (Chaperon et al., 1993).</w:t>
      </w:r>
    </w:p>
    <w:p w14:paraId="686433D7" w14:textId="196B2E1C" w:rsidR="00575CDF" w:rsidRPr="00C801A6" w:rsidRDefault="00575CDF" w:rsidP="00575CDF">
      <w:pPr>
        <w:rPr>
          <w:rFonts w:cs="Times New Roman"/>
          <w:color w:val="auto"/>
        </w:rPr>
      </w:pPr>
      <w:r w:rsidRPr="00C801A6">
        <w:rPr>
          <w:color w:val="auto"/>
        </w:rPr>
        <w:t xml:space="preserve">Les facteurs orographiques précités influencent énormément sur le régime hydrographique. Ainsi, Madagascar dispose d'un réseau hydrographique important </w:t>
      </w:r>
      <w:r w:rsidR="00D66491" w:rsidRPr="00C801A6">
        <w:rPr>
          <w:color w:val="auto"/>
        </w:rPr>
        <w:t xml:space="preserve">(figure 12 ci-dessous) </w:t>
      </w:r>
      <w:r w:rsidRPr="00C801A6">
        <w:rPr>
          <w:color w:val="auto"/>
        </w:rPr>
        <w:t xml:space="preserve">qui est </w:t>
      </w:r>
      <w:r w:rsidRPr="00C801A6">
        <w:rPr>
          <w:color w:val="auto"/>
        </w:rPr>
        <w:lastRenderedPageBreak/>
        <w:t>tributaire des conditions du relief et des conditions climatiques. Environ 3000 km de fleuves et rivières</w:t>
      </w:r>
      <w:r w:rsidRPr="00C801A6">
        <w:rPr>
          <w:rFonts w:cs="Times New Roman"/>
          <w:color w:val="auto"/>
          <w:spacing w:val="21"/>
        </w:rPr>
        <w:t xml:space="preserve"> </w:t>
      </w:r>
      <w:r w:rsidRPr="00C801A6">
        <w:rPr>
          <w:rFonts w:cs="Times New Roman"/>
          <w:color w:val="auto"/>
        </w:rPr>
        <w:t>qui</w:t>
      </w:r>
      <w:r w:rsidRPr="00C801A6">
        <w:rPr>
          <w:rFonts w:cs="Times New Roman"/>
          <w:color w:val="auto"/>
          <w:spacing w:val="21"/>
        </w:rPr>
        <w:t xml:space="preserve"> </w:t>
      </w:r>
      <w:r w:rsidRPr="00C801A6">
        <w:rPr>
          <w:rFonts w:cs="Times New Roman"/>
          <w:color w:val="auto"/>
          <w:spacing w:val="1"/>
        </w:rPr>
        <w:t>se</w:t>
      </w:r>
      <w:r w:rsidRPr="00C801A6">
        <w:rPr>
          <w:rFonts w:cs="Times New Roman"/>
          <w:color w:val="auto"/>
          <w:spacing w:val="20"/>
        </w:rPr>
        <w:t xml:space="preserve"> </w:t>
      </w:r>
      <w:r w:rsidRPr="00C801A6">
        <w:rPr>
          <w:rFonts w:cs="Times New Roman"/>
          <w:color w:val="auto"/>
        </w:rPr>
        <w:t>jettent</w:t>
      </w:r>
      <w:r w:rsidRPr="00C801A6">
        <w:rPr>
          <w:rFonts w:cs="Times New Roman"/>
          <w:color w:val="auto"/>
          <w:spacing w:val="21"/>
        </w:rPr>
        <w:t xml:space="preserve"> </w:t>
      </w:r>
      <w:r w:rsidRPr="00C801A6">
        <w:rPr>
          <w:rFonts w:cs="Times New Roman"/>
          <w:color w:val="auto"/>
        </w:rPr>
        <w:t>soit</w:t>
      </w:r>
      <w:r w:rsidRPr="00C801A6">
        <w:rPr>
          <w:rFonts w:cs="Times New Roman"/>
          <w:color w:val="auto"/>
          <w:spacing w:val="21"/>
        </w:rPr>
        <w:t xml:space="preserve"> </w:t>
      </w:r>
      <w:r w:rsidRPr="00C801A6">
        <w:rPr>
          <w:rFonts w:cs="Times New Roman"/>
          <w:color w:val="auto"/>
          <w:spacing w:val="-1"/>
        </w:rPr>
        <w:t>dans</w:t>
      </w:r>
      <w:r w:rsidRPr="00C801A6">
        <w:rPr>
          <w:rFonts w:cs="Times New Roman"/>
          <w:color w:val="auto"/>
          <w:spacing w:val="20"/>
        </w:rPr>
        <w:t xml:space="preserve"> </w:t>
      </w:r>
      <w:r w:rsidRPr="00C801A6">
        <w:rPr>
          <w:rFonts w:cs="Times New Roman"/>
          <w:color w:val="auto"/>
          <w:spacing w:val="-1"/>
        </w:rPr>
        <w:t>l’Océan</w:t>
      </w:r>
      <w:r w:rsidRPr="00C801A6">
        <w:rPr>
          <w:rFonts w:cs="Times New Roman"/>
          <w:color w:val="auto"/>
          <w:spacing w:val="63"/>
          <w:w w:val="99"/>
        </w:rPr>
        <w:t xml:space="preserve"> </w:t>
      </w:r>
      <w:r w:rsidRPr="00C801A6">
        <w:rPr>
          <w:rFonts w:cs="Times New Roman"/>
          <w:color w:val="auto"/>
          <w:spacing w:val="-1"/>
        </w:rPr>
        <w:t>Indien</w:t>
      </w:r>
      <w:r w:rsidRPr="00C801A6">
        <w:rPr>
          <w:rFonts w:cs="Times New Roman"/>
          <w:color w:val="auto"/>
          <w:spacing w:val="15"/>
        </w:rPr>
        <w:t xml:space="preserve"> </w:t>
      </w:r>
      <w:r w:rsidRPr="00C801A6">
        <w:rPr>
          <w:rFonts w:cs="Times New Roman"/>
          <w:color w:val="auto"/>
        </w:rPr>
        <w:t>soit</w:t>
      </w:r>
      <w:r w:rsidRPr="00C801A6">
        <w:rPr>
          <w:rFonts w:cs="Times New Roman"/>
          <w:color w:val="auto"/>
          <w:spacing w:val="14"/>
        </w:rPr>
        <w:t xml:space="preserve"> </w:t>
      </w:r>
      <w:r w:rsidRPr="00C801A6">
        <w:rPr>
          <w:rFonts w:cs="Times New Roman"/>
          <w:color w:val="auto"/>
          <w:spacing w:val="-1"/>
        </w:rPr>
        <w:t>dans</w:t>
      </w:r>
      <w:r w:rsidRPr="00C801A6">
        <w:rPr>
          <w:rFonts w:cs="Times New Roman"/>
          <w:color w:val="auto"/>
          <w:spacing w:val="14"/>
        </w:rPr>
        <w:t xml:space="preserve"> </w:t>
      </w:r>
      <w:r w:rsidRPr="00C801A6">
        <w:rPr>
          <w:rFonts w:cs="Times New Roman"/>
          <w:color w:val="auto"/>
        </w:rPr>
        <w:t>le</w:t>
      </w:r>
      <w:r w:rsidRPr="00C801A6">
        <w:rPr>
          <w:rFonts w:cs="Times New Roman"/>
          <w:color w:val="auto"/>
          <w:spacing w:val="13"/>
        </w:rPr>
        <w:t xml:space="preserve"> </w:t>
      </w:r>
      <w:r w:rsidRPr="00C801A6">
        <w:rPr>
          <w:rFonts w:cs="Times New Roman"/>
          <w:color w:val="auto"/>
          <w:spacing w:val="-1"/>
        </w:rPr>
        <w:t>Canal</w:t>
      </w:r>
      <w:r w:rsidRPr="00C801A6">
        <w:rPr>
          <w:rFonts w:cs="Times New Roman"/>
          <w:color w:val="auto"/>
          <w:spacing w:val="17"/>
        </w:rPr>
        <w:t xml:space="preserve"> </w:t>
      </w:r>
      <w:r w:rsidRPr="00C801A6">
        <w:rPr>
          <w:rFonts w:cs="Times New Roman"/>
          <w:color w:val="auto"/>
        </w:rPr>
        <w:t>de</w:t>
      </w:r>
      <w:r w:rsidRPr="00C801A6">
        <w:rPr>
          <w:rFonts w:cs="Times New Roman"/>
          <w:color w:val="auto"/>
          <w:spacing w:val="13"/>
        </w:rPr>
        <w:t xml:space="preserve"> </w:t>
      </w:r>
      <w:r w:rsidRPr="00C801A6">
        <w:rPr>
          <w:rFonts w:cs="Times New Roman"/>
          <w:color w:val="auto"/>
          <w:spacing w:val="-1"/>
        </w:rPr>
        <w:t>Mozambique.</w:t>
      </w:r>
      <w:r w:rsidRPr="00C801A6">
        <w:rPr>
          <w:rFonts w:cs="Times New Roman"/>
          <w:color w:val="auto"/>
          <w:spacing w:val="16"/>
        </w:rPr>
        <w:t xml:space="preserve"> </w:t>
      </w:r>
      <w:r w:rsidRPr="00C801A6">
        <w:rPr>
          <w:rFonts w:cs="Times New Roman"/>
          <w:color w:val="auto"/>
          <w:spacing w:val="-2"/>
        </w:rPr>
        <w:t>Ils</w:t>
      </w:r>
      <w:r w:rsidRPr="00C801A6">
        <w:rPr>
          <w:rFonts w:cs="Times New Roman"/>
          <w:color w:val="auto"/>
          <w:spacing w:val="14"/>
        </w:rPr>
        <w:t xml:space="preserve"> </w:t>
      </w:r>
      <w:r w:rsidRPr="00C801A6">
        <w:rPr>
          <w:rFonts w:cs="Times New Roman"/>
          <w:color w:val="auto"/>
        </w:rPr>
        <w:t>sont</w:t>
      </w:r>
      <w:r w:rsidRPr="00C801A6">
        <w:rPr>
          <w:rFonts w:cs="Times New Roman"/>
          <w:color w:val="auto"/>
          <w:spacing w:val="14"/>
        </w:rPr>
        <w:t xml:space="preserve"> </w:t>
      </w:r>
      <w:r w:rsidRPr="00C801A6">
        <w:rPr>
          <w:rFonts w:cs="Times New Roman"/>
          <w:color w:val="auto"/>
        </w:rPr>
        <w:t>tous</w:t>
      </w:r>
      <w:r w:rsidRPr="00C801A6">
        <w:rPr>
          <w:rFonts w:cs="Times New Roman"/>
          <w:color w:val="auto"/>
          <w:spacing w:val="14"/>
        </w:rPr>
        <w:t xml:space="preserve"> </w:t>
      </w:r>
      <w:r w:rsidRPr="00C801A6">
        <w:rPr>
          <w:rFonts w:cs="Times New Roman"/>
          <w:color w:val="auto"/>
          <w:spacing w:val="-1"/>
        </w:rPr>
        <w:t>tributaires</w:t>
      </w:r>
      <w:r w:rsidRPr="00C801A6">
        <w:rPr>
          <w:rFonts w:cs="Times New Roman"/>
          <w:color w:val="auto"/>
          <w:spacing w:val="14"/>
        </w:rPr>
        <w:t xml:space="preserve"> </w:t>
      </w:r>
      <w:r w:rsidRPr="00C801A6">
        <w:rPr>
          <w:rFonts w:cs="Times New Roman"/>
          <w:color w:val="auto"/>
          <w:spacing w:val="-1"/>
        </w:rPr>
        <w:t>des</w:t>
      </w:r>
      <w:r w:rsidRPr="00C801A6">
        <w:rPr>
          <w:rFonts w:cs="Times New Roman"/>
          <w:color w:val="auto"/>
          <w:spacing w:val="13"/>
        </w:rPr>
        <w:t xml:space="preserve"> </w:t>
      </w:r>
      <w:r w:rsidRPr="00C801A6">
        <w:rPr>
          <w:rFonts w:cs="Times New Roman"/>
          <w:color w:val="auto"/>
        </w:rPr>
        <w:t>hautes</w:t>
      </w:r>
      <w:r w:rsidRPr="00C801A6">
        <w:rPr>
          <w:rFonts w:cs="Times New Roman"/>
          <w:color w:val="auto"/>
          <w:spacing w:val="14"/>
        </w:rPr>
        <w:t xml:space="preserve"> </w:t>
      </w:r>
      <w:r w:rsidRPr="00C801A6">
        <w:rPr>
          <w:rFonts w:cs="Times New Roman"/>
          <w:color w:val="auto"/>
          <w:spacing w:val="-1"/>
        </w:rPr>
        <w:t>terres</w:t>
      </w:r>
      <w:r w:rsidRPr="00C801A6">
        <w:rPr>
          <w:rFonts w:cs="Times New Roman"/>
          <w:color w:val="auto"/>
          <w:spacing w:val="16"/>
        </w:rPr>
        <w:t xml:space="preserve"> </w:t>
      </w:r>
      <w:r w:rsidRPr="00C801A6">
        <w:rPr>
          <w:rFonts w:cs="Times New Roman"/>
          <w:color w:val="auto"/>
          <w:spacing w:val="-1"/>
        </w:rPr>
        <w:t>centrales</w:t>
      </w:r>
      <w:r w:rsidRPr="00C801A6">
        <w:rPr>
          <w:rFonts w:cs="Times New Roman"/>
          <w:color w:val="auto"/>
          <w:spacing w:val="73"/>
          <w:w w:val="99"/>
        </w:rPr>
        <w:t xml:space="preserve"> </w:t>
      </w:r>
      <w:r w:rsidRPr="00C801A6">
        <w:rPr>
          <w:rFonts w:cs="Times New Roman"/>
          <w:color w:val="auto"/>
        </w:rPr>
        <w:t xml:space="preserve">qui </w:t>
      </w:r>
      <w:r w:rsidRPr="00C801A6">
        <w:rPr>
          <w:rFonts w:cs="Times New Roman"/>
          <w:color w:val="auto"/>
          <w:spacing w:val="-1"/>
        </w:rPr>
        <w:t>constituent</w:t>
      </w:r>
      <w:r w:rsidRPr="00C801A6">
        <w:rPr>
          <w:rFonts w:cs="Times New Roman"/>
          <w:color w:val="auto"/>
        </w:rPr>
        <w:t xml:space="preserve"> le</w:t>
      </w:r>
      <w:r w:rsidRPr="00C801A6">
        <w:rPr>
          <w:rFonts w:cs="Times New Roman"/>
          <w:color w:val="auto"/>
          <w:spacing w:val="-2"/>
        </w:rPr>
        <w:t xml:space="preserve"> </w:t>
      </w:r>
      <w:r w:rsidRPr="00C801A6">
        <w:rPr>
          <w:rFonts w:cs="Times New Roman"/>
          <w:color w:val="auto"/>
          <w:spacing w:val="-1"/>
        </w:rPr>
        <w:t>dorsal</w:t>
      </w:r>
      <w:r w:rsidRPr="00C801A6">
        <w:rPr>
          <w:rFonts w:cs="Times New Roman"/>
          <w:color w:val="auto"/>
          <w:spacing w:val="1"/>
        </w:rPr>
        <w:t xml:space="preserve"> </w:t>
      </w:r>
      <w:r w:rsidRPr="00C801A6">
        <w:rPr>
          <w:rFonts w:cs="Times New Roman"/>
          <w:color w:val="auto"/>
        </w:rPr>
        <w:t>de</w:t>
      </w:r>
      <w:r w:rsidRPr="00C801A6">
        <w:rPr>
          <w:rFonts w:cs="Times New Roman"/>
          <w:color w:val="auto"/>
          <w:spacing w:val="-2"/>
        </w:rPr>
        <w:t xml:space="preserve"> </w:t>
      </w:r>
      <w:r w:rsidRPr="00C801A6">
        <w:rPr>
          <w:rFonts w:cs="Times New Roman"/>
          <w:color w:val="auto"/>
          <w:spacing w:val="-1"/>
        </w:rPr>
        <w:t>partage</w:t>
      </w:r>
      <w:r w:rsidRPr="00C801A6">
        <w:rPr>
          <w:rFonts w:cs="Times New Roman"/>
          <w:color w:val="auto"/>
          <w:spacing w:val="-2"/>
        </w:rPr>
        <w:t xml:space="preserve"> </w:t>
      </w:r>
      <w:r w:rsidRPr="00C801A6">
        <w:rPr>
          <w:rFonts w:cs="Times New Roman"/>
          <w:color w:val="auto"/>
        </w:rPr>
        <w:t>de</w:t>
      </w:r>
      <w:r w:rsidRPr="00C801A6">
        <w:rPr>
          <w:rFonts w:cs="Times New Roman"/>
          <w:color w:val="auto"/>
          <w:spacing w:val="-1"/>
        </w:rPr>
        <w:t xml:space="preserve"> l’écoulement</w:t>
      </w:r>
      <w:r w:rsidRPr="00C801A6">
        <w:rPr>
          <w:rFonts w:cs="Times New Roman"/>
          <w:color w:val="auto"/>
        </w:rPr>
        <w:t xml:space="preserve"> </w:t>
      </w:r>
      <w:r w:rsidRPr="00C801A6">
        <w:rPr>
          <w:rFonts w:cs="Times New Roman"/>
          <w:color w:val="auto"/>
          <w:spacing w:val="-1"/>
        </w:rPr>
        <w:t>en deux</w:t>
      </w:r>
      <w:r w:rsidRPr="00C801A6">
        <w:rPr>
          <w:rFonts w:cs="Times New Roman"/>
          <w:color w:val="auto"/>
          <w:spacing w:val="-2"/>
        </w:rPr>
        <w:t> </w:t>
      </w:r>
      <w:r w:rsidRPr="00C801A6">
        <w:rPr>
          <w:rFonts w:cs="Times New Roman"/>
          <w:color w:val="auto"/>
        </w:rPr>
        <w:t xml:space="preserve">: </w:t>
      </w:r>
      <w:r w:rsidRPr="00C801A6">
        <w:rPr>
          <w:rFonts w:cs="Times New Roman"/>
          <w:color w:val="auto"/>
          <w:spacing w:val="-1"/>
        </w:rPr>
        <w:t>oriental</w:t>
      </w:r>
      <w:r w:rsidRPr="00C801A6">
        <w:rPr>
          <w:rFonts w:cs="Times New Roman"/>
          <w:color w:val="auto"/>
        </w:rPr>
        <w:t xml:space="preserve"> </w:t>
      </w:r>
      <w:r w:rsidRPr="00C801A6">
        <w:rPr>
          <w:rFonts w:cs="Times New Roman"/>
          <w:color w:val="auto"/>
          <w:spacing w:val="-1"/>
        </w:rPr>
        <w:t>et</w:t>
      </w:r>
      <w:r w:rsidRPr="00C801A6">
        <w:rPr>
          <w:rFonts w:cs="Times New Roman"/>
          <w:color w:val="auto"/>
          <w:spacing w:val="1"/>
        </w:rPr>
        <w:t xml:space="preserve"> </w:t>
      </w:r>
      <w:r w:rsidRPr="00C801A6">
        <w:rPr>
          <w:rFonts w:cs="Times New Roman"/>
          <w:color w:val="auto"/>
          <w:spacing w:val="-1"/>
        </w:rPr>
        <w:t>occidental.</w:t>
      </w:r>
      <w:r w:rsidRPr="00C801A6">
        <w:rPr>
          <w:rFonts w:cs="Times New Roman"/>
          <w:color w:val="auto"/>
          <w:spacing w:val="2"/>
        </w:rPr>
        <w:t xml:space="preserve"> </w:t>
      </w:r>
      <w:r w:rsidRPr="00C801A6">
        <w:rPr>
          <w:rFonts w:cs="Times New Roman"/>
          <w:color w:val="auto"/>
          <w:spacing w:val="-2"/>
        </w:rPr>
        <w:t>Le</w:t>
      </w:r>
      <w:r w:rsidRPr="00C801A6">
        <w:rPr>
          <w:rFonts w:cs="Times New Roman"/>
          <w:color w:val="auto"/>
          <w:spacing w:val="1"/>
        </w:rPr>
        <w:t xml:space="preserve"> </w:t>
      </w:r>
      <w:r w:rsidRPr="00C801A6">
        <w:rPr>
          <w:rFonts w:cs="Times New Roman"/>
          <w:color w:val="auto"/>
          <w:spacing w:val="-1"/>
        </w:rPr>
        <w:t>régime</w:t>
      </w:r>
      <w:r w:rsidRPr="00C801A6">
        <w:rPr>
          <w:rFonts w:cs="Times New Roman"/>
          <w:color w:val="auto"/>
          <w:spacing w:val="103"/>
          <w:w w:val="99"/>
        </w:rPr>
        <w:t xml:space="preserve"> </w:t>
      </w:r>
      <w:r w:rsidRPr="00C801A6">
        <w:rPr>
          <w:rFonts w:cs="Times New Roman"/>
          <w:color w:val="auto"/>
          <w:spacing w:val="-1"/>
        </w:rPr>
        <w:t>d’écoulement</w:t>
      </w:r>
      <w:r w:rsidRPr="00C801A6">
        <w:rPr>
          <w:rFonts w:cs="Times New Roman"/>
          <w:color w:val="auto"/>
          <w:spacing w:val="23"/>
        </w:rPr>
        <w:t xml:space="preserve"> </w:t>
      </w:r>
      <w:r w:rsidRPr="00C801A6">
        <w:rPr>
          <w:rFonts w:cs="Times New Roman"/>
          <w:color w:val="auto"/>
          <w:spacing w:val="-1"/>
        </w:rPr>
        <w:t>est</w:t>
      </w:r>
      <w:r w:rsidRPr="00C801A6">
        <w:rPr>
          <w:rFonts w:cs="Times New Roman"/>
          <w:color w:val="auto"/>
          <w:spacing w:val="21"/>
        </w:rPr>
        <w:t xml:space="preserve"> </w:t>
      </w:r>
      <w:r w:rsidRPr="00C801A6">
        <w:rPr>
          <w:rFonts w:cs="Times New Roman"/>
          <w:color w:val="auto"/>
        </w:rPr>
        <w:t>souvent</w:t>
      </w:r>
      <w:r w:rsidRPr="00C801A6">
        <w:rPr>
          <w:rFonts w:cs="Times New Roman"/>
          <w:color w:val="auto"/>
          <w:spacing w:val="21"/>
        </w:rPr>
        <w:t xml:space="preserve"> </w:t>
      </w:r>
      <w:r w:rsidRPr="00C801A6">
        <w:rPr>
          <w:rFonts w:cs="Times New Roman"/>
          <w:color w:val="auto"/>
          <w:spacing w:val="-1"/>
        </w:rPr>
        <w:t>torrentiel</w:t>
      </w:r>
      <w:r w:rsidRPr="00C801A6">
        <w:rPr>
          <w:rFonts w:cs="Times New Roman"/>
          <w:color w:val="auto"/>
          <w:spacing w:val="21"/>
        </w:rPr>
        <w:t xml:space="preserve"> </w:t>
      </w:r>
      <w:r w:rsidRPr="00C801A6">
        <w:rPr>
          <w:rFonts w:cs="Times New Roman"/>
          <w:color w:val="auto"/>
        </w:rPr>
        <w:t>sur</w:t>
      </w:r>
      <w:r w:rsidRPr="00C801A6">
        <w:rPr>
          <w:rFonts w:cs="Times New Roman"/>
          <w:color w:val="auto"/>
          <w:spacing w:val="20"/>
        </w:rPr>
        <w:t xml:space="preserve"> </w:t>
      </w:r>
      <w:r w:rsidRPr="00C801A6">
        <w:rPr>
          <w:rFonts w:cs="Times New Roman"/>
          <w:color w:val="auto"/>
        </w:rPr>
        <w:t>le</w:t>
      </w:r>
      <w:r w:rsidRPr="00C801A6">
        <w:rPr>
          <w:rFonts w:cs="Times New Roman"/>
          <w:color w:val="auto"/>
          <w:spacing w:val="22"/>
        </w:rPr>
        <w:t xml:space="preserve"> </w:t>
      </w:r>
      <w:r w:rsidRPr="00C801A6">
        <w:rPr>
          <w:rFonts w:cs="Times New Roman"/>
          <w:color w:val="auto"/>
          <w:spacing w:val="-1"/>
        </w:rPr>
        <w:t>versant</w:t>
      </w:r>
      <w:r w:rsidRPr="00C801A6">
        <w:rPr>
          <w:rFonts w:cs="Times New Roman"/>
          <w:color w:val="auto"/>
          <w:spacing w:val="21"/>
        </w:rPr>
        <w:t xml:space="preserve"> </w:t>
      </w:r>
      <w:r w:rsidRPr="00C801A6">
        <w:rPr>
          <w:rFonts w:cs="Times New Roman"/>
          <w:color w:val="auto"/>
          <w:spacing w:val="-1"/>
        </w:rPr>
        <w:t>oriental,</w:t>
      </w:r>
      <w:r w:rsidRPr="00C801A6">
        <w:rPr>
          <w:rFonts w:cs="Times New Roman"/>
          <w:color w:val="auto"/>
          <w:spacing w:val="21"/>
        </w:rPr>
        <w:t xml:space="preserve"> </w:t>
      </w:r>
      <w:r w:rsidRPr="00C801A6">
        <w:rPr>
          <w:rFonts w:cs="Times New Roman"/>
          <w:color w:val="auto"/>
          <w:spacing w:val="-1"/>
        </w:rPr>
        <w:t>et</w:t>
      </w:r>
      <w:r w:rsidRPr="00C801A6">
        <w:rPr>
          <w:rFonts w:cs="Times New Roman"/>
          <w:color w:val="auto"/>
          <w:spacing w:val="21"/>
        </w:rPr>
        <w:t xml:space="preserve"> </w:t>
      </w:r>
      <w:r w:rsidRPr="00C801A6">
        <w:rPr>
          <w:rFonts w:cs="Times New Roman"/>
          <w:color w:val="auto"/>
          <w:spacing w:val="-1"/>
        </w:rPr>
        <w:t>lent</w:t>
      </w:r>
      <w:r w:rsidRPr="00C801A6">
        <w:rPr>
          <w:rFonts w:cs="Times New Roman"/>
          <w:color w:val="auto"/>
          <w:spacing w:val="24"/>
        </w:rPr>
        <w:t xml:space="preserve"> </w:t>
      </w:r>
      <w:r w:rsidRPr="00C801A6">
        <w:rPr>
          <w:rFonts w:cs="Times New Roman"/>
          <w:color w:val="auto"/>
          <w:spacing w:val="-1"/>
        </w:rPr>
        <w:t>et</w:t>
      </w:r>
      <w:r w:rsidRPr="00C801A6">
        <w:rPr>
          <w:rFonts w:cs="Times New Roman"/>
          <w:color w:val="auto"/>
          <w:spacing w:val="21"/>
        </w:rPr>
        <w:t xml:space="preserve"> </w:t>
      </w:r>
      <w:r w:rsidRPr="00C801A6">
        <w:rPr>
          <w:rFonts w:cs="Times New Roman"/>
          <w:color w:val="auto"/>
        </w:rPr>
        <w:t>irrégulier</w:t>
      </w:r>
      <w:r w:rsidRPr="00C801A6">
        <w:rPr>
          <w:rFonts w:cs="Times New Roman"/>
          <w:color w:val="auto"/>
          <w:spacing w:val="20"/>
        </w:rPr>
        <w:t xml:space="preserve"> </w:t>
      </w:r>
      <w:r w:rsidRPr="00C801A6">
        <w:rPr>
          <w:rFonts w:cs="Times New Roman"/>
          <w:color w:val="auto"/>
        </w:rPr>
        <w:t>sur</w:t>
      </w:r>
      <w:r w:rsidRPr="00C801A6">
        <w:rPr>
          <w:rFonts w:cs="Times New Roman"/>
          <w:color w:val="auto"/>
          <w:spacing w:val="20"/>
        </w:rPr>
        <w:t xml:space="preserve"> </w:t>
      </w:r>
      <w:r w:rsidRPr="00C801A6">
        <w:rPr>
          <w:rFonts w:cs="Times New Roman"/>
          <w:color w:val="auto"/>
        </w:rPr>
        <w:t>le</w:t>
      </w:r>
      <w:r w:rsidRPr="00C801A6">
        <w:rPr>
          <w:rFonts w:cs="Times New Roman"/>
          <w:color w:val="auto"/>
          <w:spacing w:val="20"/>
        </w:rPr>
        <w:t xml:space="preserve"> </w:t>
      </w:r>
      <w:r w:rsidRPr="00C801A6">
        <w:rPr>
          <w:rFonts w:cs="Times New Roman"/>
          <w:color w:val="auto"/>
          <w:spacing w:val="-1"/>
        </w:rPr>
        <w:t>versant</w:t>
      </w:r>
      <w:r w:rsidRPr="00C801A6">
        <w:rPr>
          <w:rFonts w:cs="Times New Roman"/>
          <w:color w:val="auto"/>
          <w:spacing w:val="79"/>
          <w:w w:val="99"/>
        </w:rPr>
        <w:t xml:space="preserve"> </w:t>
      </w:r>
      <w:r w:rsidRPr="00C801A6">
        <w:rPr>
          <w:rFonts w:cs="Times New Roman"/>
          <w:color w:val="auto"/>
          <w:spacing w:val="-1"/>
        </w:rPr>
        <w:t>occidental.</w:t>
      </w:r>
      <w:r w:rsidRPr="00C801A6">
        <w:rPr>
          <w:rFonts w:cs="Times New Roman"/>
          <w:color w:val="auto"/>
          <w:spacing w:val="-7"/>
        </w:rPr>
        <w:t xml:space="preserve"> </w:t>
      </w:r>
      <w:r w:rsidRPr="00C801A6">
        <w:rPr>
          <w:rFonts w:cs="Times New Roman"/>
          <w:color w:val="auto"/>
          <w:spacing w:val="-1"/>
        </w:rPr>
        <w:t>L’écoulement</w:t>
      </w:r>
      <w:r w:rsidRPr="00C801A6">
        <w:rPr>
          <w:rFonts w:cs="Times New Roman"/>
          <w:color w:val="auto"/>
          <w:spacing w:val="-7"/>
        </w:rPr>
        <w:t xml:space="preserve"> </w:t>
      </w:r>
      <w:r w:rsidRPr="00C801A6">
        <w:rPr>
          <w:rFonts w:cs="Times New Roman"/>
          <w:color w:val="auto"/>
          <w:spacing w:val="-1"/>
        </w:rPr>
        <w:t>est</w:t>
      </w:r>
      <w:r w:rsidRPr="00C801A6">
        <w:rPr>
          <w:rFonts w:cs="Times New Roman"/>
          <w:color w:val="auto"/>
          <w:spacing w:val="-9"/>
        </w:rPr>
        <w:t xml:space="preserve"> </w:t>
      </w:r>
      <w:r w:rsidRPr="00C801A6">
        <w:rPr>
          <w:rFonts w:cs="Times New Roman"/>
          <w:color w:val="auto"/>
          <w:spacing w:val="-1"/>
        </w:rPr>
        <w:t>généralement</w:t>
      </w:r>
      <w:r w:rsidRPr="00C801A6">
        <w:rPr>
          <w:rFonts w:cs="Times New Roman"/>
          <w:color w:val="auto"/>
          <w:spacing w:val="-8"/>
        </w:rPr>
        <w:t xml:space="preserve"> </w:t>
      </w:r>
      <w:r w:rsidRPr="00C801A6">
        <w:rPr>
          <w:rFonts w:cs="Times New Roman"/>
          <w:color w:val="auto"/>
          <w:spacing w:val="-1"/>
        </w:rPr>
        <w:t>temporaire</w:t>
      </w:r>
      <w:r w:rsidRPr="00C801A6">
        <w:rPr>
          <w:rFonts w:cs="Times New Roman"/>
          <w:color w:val="auto"/>
          <w:spacing w:val="-10"/>
        </w:rPr>
        <w:t xml:space="preserve"> </w:t>
      </w:r>
      <w:r w:rsidRPr="00C801A6">
        <w:rPr>
          <w:rFonts w:cs="Times New Roman"/>
          <w:color w:val="auto"/>
          <w:spacing w:val="-1"/>
        </w:rPr>
        <w:t>dans</w:t>
      </w:r>
      <w:r w:rsidRPr="00C801A6">
        <w:rPr>
          <w:rFonts w:cs="Times New Roman"/>
          <w:color w:val="auto"/>
          <w:spacing w:val="-8"/>
        </w:rPr>
        <w:t xml:space="preserve"> </w:t>
      </w:r>
      <w:r w:rsidRPr="00C801A6">
        <w:rPr>
          <w:rFonts w:cs="Times New Roman"/>
          <w:color w:val="auto"/>
        </w:rPr>
        <w:t>le</w:t>
      </w:r>
      <w:r w:rsidRPr="00C801A6">
        <w:rPr>
          <w:rFonts w:cs="Times New Roman"/>
          <w:color w:val="auto"/>
          <w:spacing w:val="-10"/>
        </w:rPr>
        <w:t xml:space="preserve"> </w:t>
      </w:r>
      <w:r w:rsidRPr="00C801A6">
        <w:rPr>
          <w:rFonts w:cs="Times New Roman"/>
          <w:color w:val="auto"/>
        </w:rPr>
        <w:t>Sud.</w:t>
      </w:r>
    </w:p>
    <w:p w14:paraId="67259D5D" w14:textId="77777777" w:rsidR="00575CDF" w:rsidRPr="00C801A6" w:rsidRDefault="00575CDF" w:rsidP="00575CDF">
      <w:pPr>
        <w:rPr>
          <w:rFonts w:cs="Times New Roman"/>
          <w:color w:val="auto"/>
          <w:szCs w:val="24"/>
        </w:rPr>
      </w:pPr>
      <w:r w:rsidRPr="00C801A6">
        <w:rPr>
          <w:rFonts w:cs="Times New Roman"/>
          <w:color w:val="auto"/>
          <w:szCs w:val="24"/>
        </w:rPr>
        <w:t>De multiples cours d’eau traversent ainsi des routes nationales revêtues.</w:t>
      </w:r>
    </w:p>
    <w:tbl>
      <w:tblPr>
        <w:tblStyle w:val="TableGrid"/>
        <w:tblW w:w="87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28"/>
        <w:gridCol w:w="6156"/>
      </w:tblGrid>
      <w:tr w:rsidR="00C801A6" w:rsidRPr="00C801A6" w14:paraId="4BDAB2D6" w14:textId="77777777" w:rsidTr="00347FDB">
        <w:tc>
          <w:tcPr>
            <w:tcW w:w="2830" w:type="dxa"/>
          </w:tcPr>
          <w:p w14:paraId="2912E5F5" w14:textId="77777777" w:rsidR="00575CDF" w:rsidRPr="00C801A6" w:rsidRDefault="00575CDF" w:rsidP="00347FDB">
            <w:pPr>
              <w:pStyle w:val="BodyText"/>
              <w:spacing w:after="120" w:line="276" w:lineRule="auto"/>
              <w:ind w:right="113"/>
              <w:rPr>
                <w:rFonts w:ascii="Times New Roman" w:hAnsi="Times New Roman" w:cs="Times New Roman"/>
                <w:spacing w:val="-1"/>
                <w:sz w:val="24"/>
                <w:szCs w:val="24"/>
              </w:rPr>
            </w:pPr>
            <w:r w:rsidRPr="00C801A6">
              <w:rPr>
                <w:rFonts w:ascii="Times New Roman" w:hAnsi="Times New Roman" w:cs="Times New Roman"/>
                <w:spacing w:val="-1"/>
                <w:sz w:val="24"/>
                <w:szCs w:val="24"/>
              </w:rPr>
              <w:t>Le réseau hydrographique de l’île est naturellement subdivisé en cinq grands bassins fluviaux sur les versants suivants :</w:t>
            </w:r>
          </w:p>
          <w:p w14:paraId="550CB46E" w14:textId="77777777" w:rsidR="00575CDF" w:rsidRPr="00C801A6" w:rsidRDefault="00575CDF" w:rsidP="00844538">
            <w:pPr>
              <w:pStyle w:val="BodyText"/>
              <w:numPr>
                <w:ilvl w:val="0"/>
                <w:numId w:val="15"/>
              </w:numPr>
              <w:adjustRightInd/>
              <w:spacing w:after="60" w:line="276" w:lineRule="auto"/>
              <w:ind w:left="176" w:right="113" w:hanging="176"/>
              <w:rPr>
                <w:rFonts w:ascii="Times New Roman" w:hAnsi="Times New Roman" w:cs="Times New Roman"/>
                <w:sz w:val="24"/>
                <w:szCs w:val="24"/>
              </w:rPr>
            </w:pPr>
            <w:r w:rsidRPr="00C801A6">
              <w:rPr>
                <w:rFonts w:ascii="Times New Roman" w:hAnsi="Times New Roman" w:cs="Times New Roman"/>
                <w:sz w:val="24"/>
                <w:szCs w:val="24"/>
              </w:rPr>
              <w:t>Le versant Nord-Est et Montagne d’Ambre</w:t>
            </w:r>
          </w:p>
          <w:p w14:paraId="6372C44A" w14:textId="77777777" w:rsidR="00575CDF" w:rsidRPr="00C801A6" w:rsidRDefault="00575CDF" w:rsidP="00844538">
            <w:pPr>
              <w:pStyle w:val="BodyText"/>
              <w:numPr>
                <w:ilvl w:val="0"/>
                <w:numId w:val="15"/>
              </w:numPr>
              <w:adjustRightInd/>
              <w:spacing w:after="60" w:line="276" w:lineRule="auto"/>
              <w:ind w:left="176" w:right="113" w:hanging="176"/>
              <w:rPr>
                <w:rFonts w:ascii="Times New Roman" w:hAnsi="Times New Roman" w:cs="Times New Roman"/>
                <w:sz w:val="24"/>
                <w:szCs w:val="24"/>
              </w:rPr>
            </w:pPr>
            <w:r w:rsidRPr="00C801A6">
              <w:rPr>
                <w:rFonts w:ascii="Times New Roman" w:hAnsi="Times New Roman" w:cs="Times New Roman"/>
                <w:sz w:val="24"/>
                <w:szCs w:val="24"/>
              </w:rPr>
              <w:t>Le versant du Tsaratanana</w:t>
            </w:r>
          </w:p>
          <w:p w14:paraId="44E12D0A" w14:textId="77777777" w:rsidR="00575CDF" w:rsidRPr="00C801A6" w:rsidRDefault="00575CDF" w:rsidP="00844538">
            <w:pPr>
              <w:pStyle w:val="BodyText"/>
              <w:numPr>
                <w:ilvl w:val="0"/>
                <w:numId w:val="15"/>
              </w:numPr>
              <w:adjustRightInd/>
              <w:spacing w:after="60" w:line="276" w:lineRule="auto"/>
              <w:ind w:left="176" w:right="113" w:hanging="176"/>
              <w:rPr>
                <w:rFonts w:ascii="Times New Roman" w:hAnsi="Times New Roman" w:cs="Times New Roman"/>
                <w:sz w:val="24"/>
                <w:szCs w:val="24"/>
              </w:rPr>
            </w:pPr>
            <w:r w:rsidRPr="00C801A6">
              <w:rPr>
                <w:rFonts w:ascii="Times New Roman" w:hAnsi="Times New Roman" w:cs="Times New Roman"/>
                <w:sz w:val="24"/>
                <w:szCs w:val="24"/>
              </w:rPr>
              <w:t>Le versant Est</w:t>
            </w:r>
          </w:p>
          <w:p w14:paraId="0D89B087" w14:textId="77777777" w:rsidR="00575CDF" w:rsidRPr="00C801A6" w:rsidRDefault="00575CDF" w:rsidP="00844538">
            <w:pPr>
              <w:pStyle w:val="BodyText"/>
              <w:numPr>
                <w:ilvl w:val="0"/>
                <w:numId w:val="15"/>
              </w:numPr>
              <w:adjustRightInd/>
              <w:spacing w:after="60" w:line="276" w:lineRule="auto"/>
              <w:ind w:left="176" w:right="113" w:hanging="176"/>
              <w:rPr>
                <w:rFonts w:ascii="Times New Roman" w:hAnsi="Times New Roman" w:cs="Times New Roman"/>
                <w:sz w:val="24"/>
                <w:szCs w:val="24"/>
              </w:rPr>
            </w:pPr>
            <w:r w:rsidRPr="00C801A6">
              <w:rPr>
                <w:rFonts w:ascii="Times New Roman" w:hAnsi="Times New Roman" w:cs="Times New Roman"/>
                <w:sz w:val="24"/>
                <w:szCs w:val="24"/>
              </w:rPr>
              <w:t>Le versant Ouest</w:t>
            </w:r>
          </w:p>
          <w:p w14:paraId="7645E0FD" w14:textId="77777777" w:rsidR="00575CDF" w:rsidRPr="00C801A6" w:rsidRDefault="00575CDF" w:rsidP="00844538">
            <w:pPr>
              <w:pStyle w:val="BodyText"/>
              <w:numPr>
                <w:ilvl w:val="0"/>
                <w:numId w:val="15"/>
              </w:numPr>
              <w:adjustRightInd/>
              <w:spacing w:after="60" w:line="276" w:lineRule="auto"/>
              <w:ind w:left="176" w:right="112" w:hanging="176"/>
              <w:rPr>
                <w:rFonts w:cs="Times New Roman"/>
                <w:szCs w:val="24"/>
              </w:rPr>
            </w:pPr>
            <w:r w:rsidRPr="00C801A6">
              <w:rPr>
                <w:rFonts w:ascii="Times New Roman" w:hAnsi="Times New Roman" w:cs="Times New Roman"/>
                <w:sz w:val="24"/>
                <w:szCs w:val="24"/>
              </w:rPr>
              <w:t>Le versant Sud</w:t>
            </w:r>
          </w:p>
        </w:tc>
        <w:tc>
          <w:tcPr>
            <w:tcW w:w="5954" w:type="dxa"/>
          </w:tcPr>
          <w:p w14:paraId="71D541B8" w14:textId="77777777" w:rsidR="00575CDF" w:rsidRPr="00C801A6" w:rsidRDefault="00575CDF" w:rsidP="00347FDB">
            <w:pPr>
              <w:spacing w:line="240" w:lineRule="auto"/>
              <w:jc w:val="right"/>
              <w:rPr>
                <w:rFonts w:cs="Times New Roman"/>
                <w:color w:val="auto"/>
                <w:szCs w:val="24"/>
              </w:rPr>
            </w:pPr>
            <w:r w:rsidRPr="00C801A6">
              <w:rPr>
                <w:noProof/>
                <w:color w:val="auto"/>
                <w:lang w:eastAsia="fr-FR"/>
              </w:rPr>
              <w:drawing>
                <wp:inline distT="0" distB="0" distL="0" distR="0" wp14:anchorId="12530889" wp14:editId="167B3694">
                  <wp:extent cx="3771900" cy="5441950"/>
                  <wp:effectExtent l="0" t="0" r="0" b="6350"/>
                  <wp:docPr id="406508166" name="Image 406508166"/>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rotWithShape="1">
                          <a:blip r:embed="rId42" cstate="email">
                            <a:extLst>
                              <a:ext uri="{28A0092B-C50C-407E-A947-70E740481C1C}">
                                <a14:useLocalDpi xmlns:a14="http://schemas.microsoft.com/office/drawing/2010/main"/>
                              </a:ext>
                            </a:extLst>
                          </a:blip>
                          <a:srcRect/>
                          <a:stretch/>
                        </pic:blipFill>
                        <pic:spPr bwMode="auto">
                          <a:xfrm>
                            <a:off x="0" y="0"/>
                            <a:ext cx="3771900" cy="5441950"/>
                          </a:xfrm>
                          <a:prstGeom prst="rect">
                            <a:avLst/>
                          </a:prstGeom>
                          <a:noFill/>
                          <a:ln>
                            <a:noFill/>
                          </a:ln>
                          <a:extLst>
                            <a:ext uri="{53640926-AAD7-44D8-BBD7-CCE9431645EC}">
                              <a14:shadowObscured xmlns:a14="http://schemas.microsoft.com/office/drawing/2010/main"/>
                            </a:ext>
                          </a:extLst>
                        </pic:spPr>
                      </pic:pic>
                    </a:graphicData>
                  </a:graphic>
                </wp:inline>
              </w:drawing>
            </w:r>
          </w:p>
          <w:p w14:paraId="1D471AC5" w14:textId="099CAFD9" w:rsidR="00575CDF" w:rsidRPr="00C801A6" w:rsidRDefault="00575CDF" w:rsidP="003609CC">
            <w:pPr>
              <w:pStyle w:val="Caption"/>
              <w:rPr>
                <w:rFonts w:cs="Times New Roman"/>
                <w:color w:val="auto"/>
                <w:szCs w:val="24"/>
              </w:rPr>
            </w:pPr>
            <w:bookmarkStart w:id="133" w:name="_Toc230426710"/>
            <w:r w:rsidRPr="00C801A6">
              <w:rPr>
                <w:color w:val="auto"/>
              </w:rPr>
              <w:t xml:space="preserve">Figure </w:t>
            </w:r>
            <w:r w:rsidRPr="00C801A6">
              <w:rPr>
                <w:color w:val="auto"/>
              </w:rPr>
              <w:fldChar w:fldCharType="begin"/>
            </w:r>
            <w:r w:rsidRPr="00C801A6">
              <w:rPr>
                <w:color w:val="auto"/>
              </w:rPr>
              <w:instrText>SEQ Figure \* ARABIC</w:instrText>
            </w:r>
            <w:r w:rsidRPr="00C801A6">
              <w:rPr>
                <w:color w:val="auto"/>
              </w:rPr>
              <w:fldChar w:fldCharType="separate"/>
            </w:r>
            <w:r w:rsidR="00D13682">
              <w:rPr>
                <w:noProof/>
                <w:color w:val="auto"/>
              </w:rPr>
              <w:t>15</w:t>
            </w:r>
            <w:r w:rsidRPr="00C801A6">
              <w:rPr>
                <w:color w:val="auto"/>
              </w:rPr>
              <w:fldChar w:fldCharType="end"/>
            </w:r>
            <w:r w:rsidRPr="00C801A6">
              <w:rPr>
                <w:color w:val="auto"/>
              </w:rPr>
              <w:t> : Réseaux hydrographiques et principaux bassins fluviaux de Madagascar</w:t>
            </w:r>
            <w:bookmarkEnd w:id="133"/>
          </w:p>
        </w:tc>
      </w:tr>
    </w:tbl>
    <w:p w14:paraId="200B8938" w14:textId="77777777" w:rsidR="00575CDF" w:rsidRPr="00C801A6" w:rsidRDefault="00575CDF" w:rsidP="00014BC0">
      <w:pPr>
        <w:pStyle w:val="Heading2"/>
      </w:pPr>
      <w:bookmarkStart w:id="134" w:name="_Toc440199204"/>
      <w:bookmarkStart w:id="135" w:name="_Toc106320291"/>
      <w:bookmarkStart w:id="136" w:name="_Toc230426002"/>
      <w:r w:rsidRPr="00C801A6">
        <w:t>Caractéristiques biologiques</w:t>
      </w:r>
      <w:bookmarkEnd w:id="134"/>
      <w:bookmarkEnd w:id="135"/>
      <w:bookmarkEnd w:id="136"/>
    </w:p>
    <w:p w14:paraId="759BFC23" w14:textId="77777777" w:rsidR="00575CDF" w:rsidRPr="00C801A6" w:rsidRDefault="00575CDF" w:rsidP="00C65572">
      <w:pPr>
        <w:pStyle w:val="Heading3"/>
      </w:pPr>
      <w:bookmarkStart w:id="137" w:name="_Toc440199205"/>
      <w:bookmarkStart w:id="138" w:name="_Toc106320292"/>
      <w:bookmarkStart w:id="139" w:name="_Toc230426003"/>
      <w:r w:rsidRPr="00C801A6">
        <w:t>Situation environnementale</w:t>
      </w:r>
      <w:bookmarkEnd w:id="137"/>
      <w:bookmarkEnd w:id="138"/>
      <w:bookmarkEnd w:id="139"/>
    </w:p>
    <w:p w14:paraId="7C24BFE6" w14:textId="5D83221F" w:rsidR="00575CDF" w:rsidRPr="00C801A6" w:rsidRDefault="00575CDF" w:rsidP="00575CDF">
      <w:pPr>
        <w:rPr>
          <w:color w:val="auto"/>
        </w:rPr>
      </w:pPr>
      <w:r w:rsidRPr="00C801A6">
        <w:rPr>
          <w:color w:val="auto"/>
        </w:rPr>
        <w:t>Madagascar</w:t>
      </w:r>
      <w:r w:rsidR="00781159">
        <w:rPr>
          <w:color w:val="auto"/>
        </w:rPr>
        <w:t xml:space="preserve"> </w:t>
      </w:r>
      <w:r w:rsidRPr="00C801A6">
        <w:rPr>
          <w:color w:val="auto"/>
        </w:rPr>
        <w:t xml:space="preserve">abrite un patrimoine naturel unique avec un haut niveau d’endémicité de la flore et de la faune. </w:t>
      </w:r>
      <w:r w:rsidR="00781159" w:rsidRPr="00C801A6">
        <w:rPr>
          <w:color w:val="auto"/>
        </w:rPr>
        <w:t xml:space="preserve">Cette </w:t>
      </w:r>
      <w:r w:rsidRPr="00C801A6">
        <w:rPr>
          <w:color w:val="auto"/>
        </w:rPr>
        <w:t xml:space="preserve">biodiversité est fortement menacée de disparition. Aussi, le pays fasse partie des dix premiers </w:t>
      </w:r>
      <w:r w:rsidRPr="00C801A6">
        <w:rPr>
          <w:i/>
          <w:color w:val="auto"/>
        </w:rPr>
        <w:t>hot spots</w:t>
      </w:r>
      <w:r w:rsidRPr="00C801A6">
        <w:rPr>
          <w:color w:val="auto"/>
        </w:rPr>
        <w:t xml:space="preserve"> de la biodiversité dans le monde. En 2005, on estimait qu’il </w:t>
      </w:r>
      <w:r w:rsidRPr="00C801A6">
        <w:rPr>
          <w:color w:val="auto"/>
        </w:rPr>
        <w:lastRenderedPageBreak/>
        <w:t>ne restait plus que 9,4 millions d’hectares de forêts naturelles à Madagascar alors qu’il y une centaine d’années, elles recouvraient encore près de 11% du territoire. En effet, avec la disparition progressive d’habitats écologiques, de nombreuses espèces se trouvent davantage en danger.</w:t>
      </w:r>
    </w:p>
    <w:p w14:paraId="28E2DE0E" w14:textId="77777777" w:rsidR="00575CDF" w:rsidRPr="00C801A6" w:rsidRDefault="00575CDF" w:rsidP="00575CDF">
      <w:pPr>
        <w:rPr>
          <w:color w:val="auto"/>
        </w:rPr>
      </w:pPr>
      <w:r w:rsidRPr="00C801A6">
        <w:rPr>
          <w:color w:val="auto"/>
        </w:rPr>
        <w:t>Le fait marquant relatif à la végétation primaire malgache est sa disparition rapide très alarmante.</w:t>
      </w:r>
    </w:p>
    <w:p w14:paraId="226D9089" w14:textId="77777777" w:rsidR="00575CDF" w:rsidRPr="00C801A6" w:rsidRDefault="00575CDF" w:rsidP="00575CDF">
      <w:pPr>
        <w:rPr>
          <w:color w:val="auto"/>
        </w:rPr>
      </w:pPr>
      <w:r w:rsidRPr="00C801A6">
        <w:rPr>
          <w:color w:val="auto"/>
        </w:rPr>
        <w:t>En outre, la déforestation laisse derrière elle des sols nus qui ont une structure fragile. L’érosion subséquente est extrêmement importante, entraînant une dégradation importante des milieux lacustres, côtiers et marins qui par ailleurs sont déjà soumis à des fortes pressions de transformation dues à des fins agricoles (pratique courante de la culture sur brûlis, expansion agricole), à l’érosion et à la sédimentation, aux feux de forêt, à des espèces envahissantes, au changement climatique, à la surexploitation des ressources naturelles ou autres causes d’origine anthropique.</w:t>
      </w:r>
    </w:p>
    <w:p w14:paraId="604E9C41" w14:textId="0C482999" w:rsidR="00575CDF" w:rsidRPr="00C801A6" w:rsidRDefault="00575CDF" w:rsidP="00575CDF">
      <w:pPr>
        <w:rPr>
          <w:color w:val="auto"/>
        </w:rPr>
      </w:pPr>
      <w:r w:rsidRPr="00C801A6">
        <w:rPr>
          <w:color w:val="auto"/>
        </w:rPr>
        <w:t xml:space="preserve">Face à ce danger, Madagascar a adopté la stratégie du SAPM (Système d’aires protégées de Madagascar) qui inclut le Réseau existant de 132 aires protégées </w:t>
      </w:r>
      <w:r w:rsidR="00D66491" w:rsidRPr="00C801A6">
        <w:rPr>
          <w:color w:val="auto"/>
        </w:rPr>
        <w:t xml:space="preserve">(figure 12 ci-dessous) </w:t>
      </w:r>
      <w:r w:rsidRPr="00C801A6">
        <w:rPr>
          <w:color w:val="auto"/>
        </w:rPr>
        <w:t xml:space="preserve">déjà existantes (totalisant plus de 7 millions d’hectares), soit 14% de la superficie totale du pays en 2018. La finalité du SAPM est de conserver la biodiversité tout en contribuant à la réduction de la pauvreté et au développement du pays. </w:t>
      </w:r>
    </w:p>
    <w:p w14:paraId="42CD4434" w14:textId="372D0A81" w:rsidR="00575CDF" w:rsidRPr="00C801A6" w:rsidRDefault="00575CDF" w:rsidP="00575CDF">
      <w:pPr>
        <w:rPr>
          <w:color w:val="auto"/>
        </w:rPr>
      </w:pPr>
      <w:r w:rsidRPr="00C801A6">
        <w:rPr>
          <w:color w:val="auto"/>
        </w:rPr>
        <w:t xml:space="preserve">Quelques-unes de ces aires protégées sont traversées par des routes nationales revêtues telles que le montre le tableau </w:t>
      </w:r>
      <w:r w:rsidR="00691CB0">
        <w:rPr>
          <w:color w:val="auto"/>
        </w:rPr>
        <w:t>8</w:t>
      </w:r>
      <w:r w:rsidR="00D66491" w:rsidRPr="00C801A6">
        <w:rPr>
          <w:color w:val="auto"/>
        </w:rPr>
        <w:t xml:space="preserve"> </w:t>
      </w:r>
      <w:r w:rsidRPr="00C801A6">
        <w:rPr>
          <w:color w:val="auto"/>
        </w:rPr>
        <w:t>suivant.</w:t>
      </w:r>
    </w:p>
    <w:p w14:paraId="57BE4985" w14:textId="0A2F4966" w:rsidR="00575CDF" w:rsidRPr="00C801A6" w:rsidRDefault="00691CB0" w:rsidP="00691CB0">
      <w:pPr>
        <w:pStyle w:val="Caption"/>
        <w:rPr>
          <w:color w:val="auto"/>
        </w:rPr>
      </w:pPr>
      <w:bookmarkStart w:id="140" w:name="_Toc230427726"/>
      <w:r>
        <w:t xml:space="preserve">Tableau </w:t>
      </w:r>
      <w:r w:rsidR="00E44887">
        <w:fldChar w:fldCharType="begin"/>
      </w:r>
      <w:r w:rsidR="00E44887">
        <w:instrText xml:space="preserve"> SEQ Tableau \* ARABIC </w:instrText>
      </w:r>
      <w:r w:rsidR="00E44887">
        <w:fldChar w:fldCharType="separate"/>
      </w:r>
      <w:r w:rsidR="00253F1A">
        <w:rPr>
          <w:noProof/>
        </w:rPr>
        <w:t>6</w:t>
      </w:r>
      <w:r w:rsidR="00E44887">
        <w:rPr>
          <w:noProof/>
        </w:rPr>
        <w:fldChar w:fldCharType="end"/>
      </w:r>
      <w:r w:rsidR="00575CDF" w:rsidRPr="00C801A6">
        <w:rPr>
          <w:color w:val="auto"/>
        </w:rPr>
        <w:t> : Liste des principales aires protégées traversées par les routes nationales</w:t>
      </w:r>
      <w:bookmarkEnd w:id="140"/>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40"/>
        <w:gridCol w:w="4142"/>
        <w:gridCol w:w="3685"/>
      </w:tblGrid>
      <w:tr w:rsidR="00C801A6" w:rsidRPr="00C801A6" w14:paraId="13C33476" w14:textId="77777777" w:rsidTr="55280A2F">
        <w:trPr>
          <w:trHeight w:val="288"/>
          <w:tblHeader/>
        </w:trPr>
        <w:tc>
          <w:tcPr>
            <w:tcW w:w="1240" w:type="dxa"/>
            <w:shd w:val="clear" w:color="auto" w:fill="E2EFD9" w:themeFill="accent6" w:themeFillTint="33"/>
            <w:noWrap/>
            <w:vAlign w:val="center"/>
            <w:hideMark/>
          </w:tcPr>
          <w:p w14:paraId="3A1749DC" w14:textId="77777777" w:rsidR="00575CDF" w:rsidRPr="00C801A6" w:rsidRDefault="00575CDF" w:rsidP="00347FDB">
            <w:pPr>
              <w:spacing w:before="40" w:after="40" w:line="240" w:lineRule="auto"/>
              <w:jc w:val="center"/>
              <w:rPr>
                <w:rFonts w:eastAsia="Times New Roman" w:cs="Times New Roman"/>
                <w:b/>
                <w:bCs/>
                <w:color w:val="auto"/>
                <w:sz w:val="21"/>
                <w:szCs w:val="21"/>
                <w:lang w:eastAsia="fr-FR"/>
              </w:rPr>
            </w:pPr>
            <w:r w:rsidRPr="00C801A6">
              <w:rPr>
                <w:rFonts w:eastAsia="Times New Roman" w:cs="Times New Roman"/>
                <w:b/>
                <w:bCs/>
                <w:color w:val="auto"/>
                <w:sz w:val="21"/>
                <w:szCs w:val="21"/>
                <w:lang w:eastAsia="fr-FR"/>
              </w:rPr>
              <w:t>RN</w:t>
            </w:r>
          </w:p>
        </w:tc>
        <w:tc>
          <w:tcPr>
            <w:tcW w:w="4142" w:type="dxa"/>
            <w:shd w:val="clear" w:color="auto" w:fill="E2EFD9" w:themeFill="accent6" w:themeFillTint="33"/>
            <w:noWrap/>
            <w:vAlign w:val="bottom"/>
            <w:hideMark/>
          </w:tcPr>
          <w:p w14:paraId="2A794EE5" w14:textId="626DC2E2" w:rsidR="00575CDF" w:rsidRPr="00C801A6" w:rsidRDefault="64C26F39" w:rsidP="00347FDB">
            <w:pPr>
              <w:spacing w:before="40" w:after="40" w:line="240" w:lineRule="auto"/>
              <w:rPr>
                <w:rFonts w:eastAsia="Times New Roman" w:cs="Times New Roman"/>
                <w:b/>
                <w:bCs/>
                <w:color w:val="auto"/>
                <w:sz w:val="21"/>
                <w:szCs w:val="21"/>
                <w:lang w:eastAsia="fr-FR"/>
              </w:rPr>
            </w:pPr>
            <w:r w:rsidRPr="00C801A6">
              <w:rPr>
                <w:rFonts w:eastAsia="Times New Roman" w:cs="Times New Roman"/>
                <w:b/>
                <w:bCs/>
                <w:color w:val="auto"/>
                <w:sz w:val="21"/>
                <w:szCs w:val="21"/>
                <w:lang w:eastAsia="fr-FR"/>
              </w:rPr>
              <w:t>Aires Protégées</w:t>
            </w:r>
          </w:p>
        </w:tc>
        <w:tc>
          <w:tcPr>
            <w:tcW w:w="3685" w:type="dxa"/>
            <w:shd w:val="clear" w:color="auto" w:fill="E2EFD9" w:themeFill="accent6" w:themeFillTint="33"/>
            <w:noWrap/>
            <w:vAlign w:val="bottom"/>
            <w:hideMark/>
          </w:tcPr>
          <w:p w14:paraId="0AD47618" w14:textId="77777777" w:rsidR="00575CDF" w:rsidRPr="00C801A6" w:rsidRDefault="00575CDF" w:rsidP="00347FDB">
            <w:pPr>
              <w:spacing w:before="40" w:after="40" w:line="240" w:lineRule="auto"/>
              <w:rPr>
                <w:rFonts w:eastAsia="Times New Roman" w:cs="Times New Roman"/>
                <w:b/>
                <w:bCs/>
                <w:color w:val="auto"/>
                <w:sz w:val="21"/>
                <w:szCs w:val="21"/>
                <w:lang w:eastAsia="fr-FR"/>
              </w:rPr>
            </w:pPr>
            <w:r w:rsidRPr="00C801A6">
              <w:rPr>
                <w:rFonts w:eastAsia="Times New Roman" w:cs="Times New Roman"/>
                <w:b/>
                <w:bCs/>
                <w:color w:val="auto"/>
                <w:sz w:val="21"/>
                <w:szCs w:val="21"/>
                <w:lang w:eastAsia="fr-FR"/>
              </w:rPr>
              <w:t>Statut</w:t>
            </w:r>
          </w:p>
        </w:tc>
      </w:tr>
      <w:tr w:rsidR="00C801A6" w:rsidRPr="00C801A6" w14:paraId="63F72112" w14:textId="77777777" w:rsidTr="55280A2F">
        <w:trPr>
          <w:trHeight w:val="288"/>
        </w:trPr>
        <w:tc>
          <w:tcPr>
            <w:tcW w:w="1240" w:type="dxa"/>
            <w:vMerge w:val="restart"/>
            <w:noWrap/>
            <w:vAlign w:val="center"/>
          </w:tcPr>
          <w:p w14:paraId="42C0601E" w14:textId="77777777" w:rsidR="00575CDF" w:rsidRPr="00C801A6" w:rsidRDefault="00575CDF" w:rsidP="00347FDB">
            <w:pPr>
              <w:spacing w:before="40" w:after="40" w:line="240" w:lineRule="auto"/>
              <w:jc w:val="center"/>
              <w:rPr>
                <w:rFonts w:eastAsia="Times New Roman" w:cs="Times New Roman"/>
                <w:color w:val="auto"/>
                <w:sz w:val="21"/>
                <w:szCs w:val="21"/>
                <w:lang w:eastAsia="fr-FR"/>
              </w:rPr>
            </w:pPr>
            <w:r w:rsidRPr="00C801A6">
              <w:rPr>
                <w:rFonts w:eastAsia="Times New Roman" w:cs="Times New Roman"/>
                <w:color w:val="auto"/>
                <w:sz w:val="21"/>
                <w:szCs w:val="21"/>
                <w:lang w:eastAsia="fr-FR"/>
              </w:rPr>
              <w:t>2</w:t>
            </w:r>
          </w:p>
        </w:tc>
        <w:tc>
          <w:tcPr>
            <w:tcW w:w="4142" w:type="dxa"/>
            <w:noWrap/>
            <w:vAlign w:val="bottom"/>
          </w:tcPr>
          <w:p w14:paraId="69344326" w14:textId="433E7B33" w:rsidR="00575CDF" w:rsidRPr="00C801A6" w:rsidRDefault="006A7BF9" w:rsidP="00347FDB">
            <w:pPr>
              <w:spacing w:before="40" w:after="40" w:line="240" w:lineRule="auto"/>
              <w:rPr>
                <w:rFonts w:eastAsia="Times New Roman" w:cs="Times New Roman"/>
                <w:color w:val="auto"/>
                <w:sz w:val="21"/>
                <w:szCs w:val="21"/>
                <w:lang w:eastAsia="fr-FR"/>
              </w:rPr>
            </w:pPr>
            <w:r>
              <w:rPr>
                <w:rFonts w:eastAsia="Times New Roman" w:cs="Times New Roman"/>
                <w:color w:val="auto"/>
                <w:sz w:val="21"/>
                <w:szCs w:val="21"/>
                <w:lang w:eastAsia="fr-FR"/>
              </w:rPr>
              <w:t xml:space="preserve">Andasibe </w:t>
            </w:r>
            <w:r w:rsidR="00575CDF" w:rsidRPr="00C801A6">
              <w:rPr>
                <w:rFonts w:eastAsia="Times New Roman" w:cs="Times New Roman"/>
                <w:color w:val="auto"/>
                <w:sz w:val="21"/>
                <w:szCs w:val="21"/>
                <w:lang w:eastAsia="fr-FR"/>
              </w:rPr>
              <w:t>Analamazaotra</w:t>
            </w:r>
          </w:p>
        </w:tc>
        <w:tc>
          <w:tcPr>
            <w:tcW w:w="3685" w:type="dxa"/>
            <w:noWrap/>
            <w:vAlign w:val="bottom"/>
          </w:tcPr>
          <w:p w14:paraId="15010A5C" w14:textId="77777777" w:rsidR="00575CDF" w:rsidRPr="00C801A6" w:rsidRDefault="00575CDF" w:rsidP="00347FDB">
            <w:pPr>
              <w:spacing w:before="40" w:after="40" w:line="240"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Parc National</w:t>
            </w:r>
          </w:p>
        </w:tc>
      </w:tr>
      <w:tr w:rsidR="00C801A6" w:rsidRPr="00C801A6" w14:paraId="4A7B782C" w14:textId="77777777" w:rsidTr="55280A2F">
        <w:trPr>
          <w:trHeight w:val="288"/>
        </w:trPr>
        <w:tc>
          <w:tcPr>
            <w:tcW w:w="1240" w:type="dxa"/>
            <w:vMerge/>
            <w:noWrap/>
            <w:vAlign w:val="center"/>
          </w:tcPr>
          <w:p w14:paraId="1ABC8B7B" w14:textId="77777777" w:rsidR="00575CDF" w:rsidRPr="00C801A6" w:rsidRDefault="00575CDF" w:rsidP="00347FDB">
            <w:pPr>
              <w:spacing w:before="40" w:after="40" w:line="240" w:lineRule="auto"/>
              <w:jc w:val="center"/>
              <w:rPr>
                <w:rFonts w:eastAsia="Times New Roman" w:cs="Times New Roman"/>
                <w:color w:val="auto"/>
                <w:sz w:val="21"/>
                <w:szCs w:val="21"/>
                <w:lang w:eastAsia="fr-FR"/>
              </w:rPr>
            </w:pPr>
          </w:p>
        </w:tc>
        <w:tc>
          <w:tcPr>
            <w:tcW w:w="4142" w:type="dxa"/>
            <w:noWrap/>
            <w:vAlign w:val="bottom"/>
          </w:tcPr>
          <w:p w14:paraId="4E3F9C4A" w14:textId="77777777" w:rsidR="00575CDF" w:rsidRPr="00C801A6" w:rsidRDefault="00575CDF" w:rsidP="00347FDB">
            <w:pPr>
              <w:spacing w:before="40" w:after="40" w:line="240"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Maromizaha</w:t>
            </w:r>
          </w:p>
        </w:tc>
        <w:tc>
          <w:tcPr>
            <w:tcW w:w="3685" w:type="dxa"/>
            <w:noWrap/>
            <w:vAlign w:val="bottom"/>
          </w:tcPr>
          <w:p w14:paraId="795B9BF8" w14:textId="77777777" w:rsidR="00575CDF" w:rsidRPr="00C801A6" w:rsidRDefault="00575CDF" w:rsidP="00347FDB">
            <w:pPr>
              <w:spacing w:before="40" w:after="40" w:line="240"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Reserve de Ressources Naturelles</w:t>
            </w:r>
          </w:p>
        </w:tc>
      </w:tr>
      <w:tr w:rsidR="00C801A6" w:rsidRPr="00C801A6" w14:paraId="29090B07" w14:textId="77777777" w:rsidTr="55280A2F">
        <w:trPr>
          <w:trHeight w:val="288"/>
        </w:trPr>
        <w:tc>
          <w:tcPr>
            <w:tcW w:w="1240" w:type="dxa"/>
            <w:noWrap/>
            <w:vAlign w:val="center"/>
          </w:tcPr>
          <w:p w14:paraId="7DBE0C38" w14:textId="77777777" w:rsidR="00575CDF" w:rsidRPr="00C801A6" w:rsidRDefault="00575CDF" w:rsidP="00347FDB">
            <w:pPr>
              <w:spacing w:before="40" w:after="40" w:line="240" w:lineRule="auto"/>
              <w:jc w:val="center"/>
              <w:rPr>
                <w:rFonts w:eastAsia="Times New Roman" w:cs="Times New Roman"/>
                <w:color w:val="auto"/>
                <w:sz w:val="21"/>
                <w:szCs w:val="21"/>
                <w:lang w:eastAsia="fr-FR"/>
              </w:rPr>
            </w:pPr>
            <w:r w:rsidRPr="00C801A6">
              <w:rPr>
                <w:rFonts w:eastAsia="Times New Roman" w:cs="Times New Roman"/>
                <w:color w:val="auto"/>
                <w:sz w:val="21"/>
                <w:szCs w:val="21"/>
                <w:lang w:eastAsia="fr-FR"/>
              </w:rPr>
              <w:t>4</w:t>
            </w:r>
          </w:p>
        </w:tc>
        <w:tc>
          <w:tcPr>
            <w:tcW w:w="4142" w:type="dxa"/>
            <w:noWrap/>
            <w:vAlign w:val="bottom"/>
          </w:tcPr>
          <w:p w14:paraId="7EE7B12F" w14:textId="77777777" w:rsidR="00575CDF" w:rsidRPr="00C801A6" w:rsidRDefault="00575CDF" w:rsidP="00347FDB">
            <w:pPr>
              <w:spacing w:before="40" w:after="40" w:line="240"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Ankarafantsika</w:t>
            </w:r>
          </w:p>
        </w:tc>
        <w:tc>
          <w:tcPr>
            <w:tcW w:w="3685" w:type="dxa"/>
            <w:noWrap/>
            <w:vAlign w:val="bottom"/>
          </w:tcPr>
          <w:p w14:paraId="19854732" w14:textId="77777777" w:rsidR="00575CDF" w:rsidRPr="00C801A6" w:rsidRDefault="00575CDF" w:rsidP="00347FDB">
            <w:pPr>
              <w:spacing w:before="40" w:after="40" w:line="240"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Parc National</w:t>
            </w:r>
          </w:p>
        </w:tc>
      </w:tr>
      <w:tr w:rsidR="00C801A6" w:rsidRPr="00C801A6" w14:paraId="7D72136F" w14:textId="77777777" w:rsidTr="55280A2F">
        <w:trPr>
          <w:trHeight w:val="288"/>
        </w:trPr>
        <w:tc>
          <w:tcPr>
            <w:tcW w:w="1240" w:type="dxa"/>
            <w:vMerge w:val="restart"/>
            <w:noWrap/>
            <w:vAlign w:val="center"/>
          </w:tcPr>
          <w:p w14:paraId="5AF8D86B" w14:textId="77777777" w:rsidR="00575CDF" w:rsidRPr="00C801A6" w:rsidRDefault="00575CDF" w:rsidP="00347FDB">
            <w:pPr>
              <w:spacing w:before="40" w:after="40" w:line="240" w:lineRule="auto"/>
              <w:jc w:val="center"/>
              <w:rPr>
                <w:rFonts w:eastAsia="Times New Roman" w:cs="Times New Roman"/>
                <w:color w:val="auto"/>
                <w:sz w:val="21"/>
                <w:szCs w:val="21"/>
                <w:lang w:eastAsia="fr-FR"/>
              </w:rPr>
            </w:pPr>
            <w:r w:rsidRPr="00C801A6">
              <w:rPr>
                <w:rFonts w:eastAsia="Times New Roman" w:cs="Times New Roman"/>
                <w:color w:val="auto"/>
                <w:sz w:val="21"/>
                <w:szCs w:val="21"/>
                <w:lang w:eastAsia="fr-FR"/>
              </w:rPr>
              <w:t>5a</w:t>
            </w:r>
          </w:p>
        </w:tc>
        <w:tc>
          <w:tcPr>
            <w:tcW w:w="4142" w:type="dxa"/>
            <w:noWrap/>
            <w:vAlign w:val="bottom"/>
          </w:tcPr>
          <w:p w14:paraId="179368A6" w14:textId="77777777" w:rsidR="00575CDF" w:rsidRPr="00C801A6" w:rsidRDefault="00575CDF" w:rsidP="00347FDB">
            <w:pPr>
              <w:spacing w:before="40" w:after="40" w:line="240"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Makirovana Tsihomanaomby</w:t>
            </w:r>
          </w:p>
        </w:tc>
        <w:tc>
          <w:tcPr>
            <w:tcW w:w="3685" w:type="dxa"/>
            <w:noWrap/>
            <w:vAlign w:val="bottom"/>
          </w:tcPr>
          <w:p w14:paraId="0D2271BD" w14:textId="77777777" w:rsidR="00575CDF" w:rsidRPr="00C801A6" w:rsidRDefault="00575CDF" w:rsidP="00347FDB">
            <w:pPr>
              <w:spacing w:before="40" w:after="40" w:line="240"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Réserve de ressources naturelles</w:t>
            </w:r>
          </w:p>
        </w:tc>
      </w:tr>
      <w:tr w:rsidR="00C801A6" w:rsidRPr="00C801A6" w14:paraId="25193488" w14:textId="77777777" w:rsidTr="55280A2F">
        <w:trPr>
          <w:trHeight w:val="288"/>
        </w:trPr>
        <w:tc>
          <w:tcPr>
            <w:tcW w:w="1240" w:type="dxa"/>
            <w:vMerge/>
            <w:noWrap/>
            <w:vAlign w:val="center"/>
          </w:tcPr>
          <w:p w14:paraId="1C6076DF" w14:textId="77777777" w:rsidR="00575CDF" w:rsidRPr="00C801A6" w:rsidRDefault="00575CDF" w:rsidP="00347FDB">
            <w:pPr>
              <w:spacing w:before="40" w:after="40" w:line="240" w:lineRule="auto"/>
              <w:jc w:val="center"/>
              <w:rPr>
                <w:rFonts w:eastAsia="Times New Roman" w:cs="Times New Roman"/>
                <w:color w:val="auto"/>
                <w:sz w:val="21"/>
                <w:szCs w:val="21"/>
                <w:lang w:eastAsia="fr-FR"/>
              </w:rPr>
            </w:pPr>
          </w:p>
        </w:tc>
        <w:tc>
          <w:tcPr>
            <w:tcW w:w="4142" w:type="dxa"/>
            <w:noWrap/>
            <w:vAlign w:val="bottom"/>
          </w:tcPr>
          <w:p w14:paraId="3BBD1211" w14:textId="77777777" w:rsidR="00575CDF" w:rsidRPr="00C801A6" w:rsidRDefault="00575CDF" w:rsidP="00347FDB">
            <w:pPr>
              <w:spacing w:before="40" w:after="40" w:line="240"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Loky Manambato</w:t>
            </w:r>
          </w:p>
        </w:tc>
        <w:tc>
          <w:tcPr>
            <w:tcW w:w="3685" w:type="dxa"/>
            <w:noWrap/>
            <w:vAlign w:val="bottom"/>
          </w:tcPr>
          <w:p w14:paraId="5F6AF3D6" w14:textId="77777777" w:rsidR="00575CDF" w:rsidRPr="00C801A6" w:rsidRDefault="00575CDF" w:rsidP="00347FDB">
            <w:pPr>
              <w:spacing w:before="40" w:after="40" w:line="240"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Paysage Harmonieux Protégé</w:t>
            </w:r>
          </w:p>
        </w:tc>
      </w:tr>
      <w:tr w:rsidR="00C801A6" w:rsidRPr="00C801A6" w14:paraId="4EB66CF0" w14:textId="77777777" w:rsidTr="55280A2F">
        <w:trPr>
          <w:trHeight w:val="288"/>
        </w:trPr>
        <w:tc>
          <w:tcPr>
            <w:tcW w:w="1240" w:type="dxa"/>
            <w:vMerge w:val="restart"/>
            <w:noWrap/>
            <w:vAlign w:val="center"/>
          </w:tcPr>
          <w:p w14:paraId="53010C70" w14:textId="77777777" w:rsidR="00575CDF" w:rsidRPr="00C801A6" w:rsidRDefault="00575CDF" w:rsidP="00347FDB">
            <w:pPr>
              <w:spacing w:before="40" w:after="40" w:line="240" w:lineRule="auto"/>
              <w:jc w:val="center"/>
              <w:rPr>
                <w:rFonts w:eastAsia="Times New Roman" w:cs="Times New Roman"/>
                <w:color w:val="auto"/>
                <w:sz w:val="21"/>
                <w:szCs w:val="21"/>
                <w:lang w:eastAsia="fr-FR"/>
              </w:rPr>
            </w:pPr>
            <w:r w:rsidRPr="00C801A6">
              <w:rPr>
                <w:rFonts w:eastAsia="Times New Roman" w:cs="Times New Roman"/>
                <w:color w:val="auto"/>
                <w:sz w:val="21"/>
                <w:szCs w:val="21"/>
                <w:lang w:eastAsia="fr-FR"/>
              </w:rPr>
              <w:t>6</w:t>
            </w:r>
          </w:p>
        </w:tc>
        <w:tc>
          <w:tcPr>
            <w:tcW w:w="4142" w:type="dxa"/>
            <w:noWrap/>
            <w:vAlign w:val="bottom"/>
          </w:tcPr>
          <w:p w14:paraId="6A470604" w14:textId="77777777" w:rsidR="00575CDF" w:rsidRPr="00C801A6" w:rsidRDefault="00575CDF" w:rsidP="00347FDB">
            <w:pPr>
              <w:spacing w:before="40" w:after="40" w:line="240"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Sahamalaza</w:t>
            </w:r>
          </w:p>
        </w:tc>
        <w:tc>
          <w:tcPr>
            <w:tcW w:w="3685" w:type="dxa"/>
            <w:noWrap/>
            <w:vAlign w:val="bottom"/>
          </w:tcPr>
          <w:p w14:paraId="41BEC5C8" w14:textId="77777777" w:rsidR="00575CDF" w:rsidRPr="00C801A6" w:rsidRDefault="00575CDF" w:rsidP="00347FDB">
            <w:pPr>
              <w:spacing w:before="40" w:after="40" w:line="240"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Parc National</w:t>
            </w:r>
          </w:p>
        </w:tc>
      </w:tr>
      <w:tr w:rsidR="00C801A6" w:rsidRPr="00C801A6" w14:paraId="1FCDA2E1" w14:textId="77777777" w:rsidTr="55280A2F">
        <w:trPr>
          <w:trHeight w:val="288"/>
        </w:trPr>
        <w:tc>
          <w:tcPr>
            <w:tcW w:w="1240" w:type="dxa"/>
            <w:vMerge/>
            <w:noWrap/>
            <w:vAlign w:val="center"/>
          </w:tcPr>
          <w:p w14:paraId="477E0083" w14:textId="77777777" w:rsidR="00575CDF" w:rsidRPr="00C801A6" w:rsidRDefault="00575CDF" w:rsidP="00347FDB">
            <w:pPr>
              <w:spacing w:before="40" w:after="40" w:line="240" w:lineRule="auto"/>
              <w:jc w:val="center"/>
              <w:rPr>
                <w:rFonts w:eastAsia="Times New Roman" w:cs="Times New Roman"/>
                <w:color w:val="auto"/>
                <w:sz w:val="21"/>
                <w:szCs w:val="21"/>
                <w:lang w:eastAsia="fr-FR"/>
              </w:rPr>
            </w:pPr>
          </w:p>
        </w:tc>
        <w:tc>
          <w:tcPr>
            <w:tcW w:w="4142" w:type="dxa"/>
            <w:noWrap/>
            <w:vAlign w:val="bottom"/>
          </w:tcPr>
          <w:p w14:paraId="47E68CD0" w14:textId="77777777" w:rsidR="00575CDF" w:rsidRPr="00C801A6" w:rsidRDefault="00575CDF" w:rsidP="00347FDB">
            <w:pPr>
              <w:spacing w:before="40" w:after="40" w:line="240"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Galoko-Kalabinono</w:t>
            </w:r>
          </w:p>
        </w:tc>
        <w:tc>
          <w:tcPr>
            <w:tcW w:w="3685" w:type="dxa"/>
            <w:noWrap/>
            <w:vAlign w:val="bottom"/>
          </w:tcPr>
          <w:p w14:paraId="72B4DEA0" w14:textId="77777777" w:rsidR="00575CDF" w:rsidRPr="00C801A6" w:rsidRDefault="00575CDF" w:rsidP="00347FDB">
            <w:pPr>
              <w:spacing w:before="40" w:after="40" w:line="240"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Paysage Harmonieux Protégé</w:t>
            </w:r>
          </w:p>
        </w:tc>
      </w:tr>
      <w:tr w:rsidR="00C801A6" w:rsidRPr="00C801A6" w14:paraId="4BDEEA06" w14:textId="77777777" w:rsidTr="55280A2F">
        <w:trPr>
          <w:trHeight w:val="288"/>
        </w:trPr>
        <w:tc>
          <w:tcPr>
            <w:tcW w:w="1240" w:type="dxa"/>
            <w:vMerge/>
            <w:noWrap/>
            <w:vAlign w:val="center"/>
          </w:tcPr>
          <w:p w14:paraId="2EEE43DE" w14:textId="77777777" w:rsidR="00575CDF" w:rsidRPr="00C801A6" w:rsidRDefault="00575CDF" w:rsidP="00347FDB">
            <w:pPr>
              <w:spacing w:before="40" w:after="40" w:line="240" w:lineRule="auto"/>
              <w:jc w:val="center"/>
              <w:rPr>
                <w:rFonts w:eastAsia="Times New Roman" w:cs="Times New Roman"/>
                <w:color w:val="auto"/>
                <w:sz w:val="21"/>
                <w:szCs w:val="21"/>
                <w:lang w:eastAsia="fr-FR"/>
              </w:rPr>
            </w:pPr>
          </w:p>
        </w:tc>
        <w:tc>
          <w:tcPr>
            <w:tcW w:w="4142" w:type="dxa"/>
            <w:noWrap/>
            <w:vAlign w:val="bottom"/>
          </w:tcPr>
          <w:p w14:paraId="05AE62FC" w14:textId="77777777" w:rsidR="00575CDF" w:rsidRPr="00C801A6" w:rsidRDefault="00575CDF" w:rsidP="00347FDB">
            <w:pPr>
              <w:spacing w:before="40" w:after="40" w:line="240"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Ankarana</w:t>
            </w:r>
          </w:p>
        </w:tc>
        <w:tc>
          <w:tcPr>
            <w:tcW w:w="3685" w:type="dxa"/>
            <w:noWrap/>
            <w:vAlign w:val="bottom"/>
          </w:tcPr>
          <w:p w14:paraId="0E180E07" w14:textId="77777777" w:rsidR="00575CDF" w:rsidRPr="00C801A6" w:rsidRDefault="00575CDF" w:rsidP="00347FDB">
            <w:pPr>
              <w:spacing w:before="40" w:after="40" w:line="240"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Reserve spéciale</w:t>
            </w:r>
          </w:p>
        </w:tc>
      </w:tr>
      <w:tr w:rsidR="00C801A6" w:rsidRPr="00C801A6" w14:paraId="5E3DAB4D" w14:textId="77777777" w:rsidTr="55280A2F">
        <w:trPr>
          <w:trHeight w:val="288"/>
        </w:trPr>
        <w:tc>
          <w:tcPr>
            <w:tcW w:w="1240" w:type="dxa"/>
            <w:vMerge w:val="restart"/>
            <w:noWrap/>
            <w:vAlign w:val="center"/>
          </w:tcPr>
          <w:p w14:paraId="41C4CCF5" w14:textId="77777777" w:rsidR="00575CDF" w:rsidRPr="00C801A6" w:rsidRDefault="00575CDF" w:rsidP="00347FDB">
            <w:pPr>
              <w:spacing w:before="40" w:after="40" w:line="240" w:lineRule="auto"/>
              <w:jc w:val="center"/>
              <w:rPr>
                <w:rFonts w:eastAsia="Times New Roman" w:cs="Times New Roman"/>
                <w:color w:val="auto"/>
                <w:sz w:val="21"/>
                <w:szCs w:val="21"/>
                <w:lang w:eastAsia="fr-FR"/>
              </w:rPr>
            </w:pPr>
            <w:r w:rsidRPr="00C801A6">
              <w:rPr>
                <w:rFonts w:eastAsia="Times New Roman" w:cs="Times New Roman"/>
                <w:color w:val="auto"/>
                <w:sz w:val="21"/>
                <w:szCs w:val="21"/>
                <w:lang w:eastAsia="fr-FR"/>
              </w:rPr>
              <w:t>7</w:t>
            </w:r>
          </w:p>
        </w:tc>
        <w:tc>
          <w:tcPr>
            <w:tcW w:w="4142" w:type="dxa"/>
            <w:noWrap/>
            <w:vAlign w:val="bottom"/>
          </w:tcPr>
          <w:p w14:paraId="35F7B89C" w14:textId="77777777" w:rsidR="00575CDF" w:rsidRPr="00C801A6" w:rsidRDefault="00575CDF" w:rsidP="00347FDB">
            <w:pPr>
              <w:spacing w:before="40" w:after="40" w:line="240"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Isalo</w:t>
            </w:r>
          </w:p>
        </w:tc>
        <w:tc>
          <w:tcPr>
            <w:tcW w:w="3685" w:type="dxa"/>
            <w:noWrap/>
            <w:vAlign w:val="bottom"/>
          </w:tcPr>
          <w:p w14:paraId="7B71F7D5" w14:textId="77777777" w:rsidR="00575CDF" w:rsidRPr="00C801A6" w:rsidRDefault="00575CDF" w:rsidP="00347FDB">
            <w:pPr>
              <w:spacing w:before="40" w:after="40" w:line="240"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Parc National</w:t>
            </w:r>
          </w:p>
        </w:tc>
      </w:tr>
      <w:tr w:rsidR="00C801A6" w:rsidRPr="00C801A6" w14:paraId="1C02A1BD" w14:textId="77777777" w:rsidTr="55280A2F">
        <w:trPr>
          <w:trHeight w:val="288"/>
        </w:trPr>
        <w:tc>
          <w:tcPr>
            <w:tcW w:w="1240" w:type="dxa"/>
            <w:vMerge/>
            <w:noWrap/>
            <w:vAlign w:val="center"/>
          </w:tcPr>
          <w:p w14:paraId="7EE18BCD" w14:textId="77777777" w:rsidR="00575CDF" w:rsidRPr="00C801A6" w:rsidRDefault="00575CDF" w:rsidP="00347FDB">
            <w:pPr>
              <w:spacing w:before="40" w:after="40" w:line="240" w:lineRule="auto"/>
              <w:jc w:val="center"/>
              <w:rPr>
                <w:rFonts w:eastAsia="Times New Roman" w:cs="Times New Roman"/>
                <w:color w:val="auto"/>
                <w:sz w:val="21"/>
                <w:szCs w:val="21"/>
                <w:lang w:eastAsia="fr-FR"/>
              </w:rPr>
            </w:pPr>
          </w:p>
        </w:tc>
        <w:tc>
          <w:tcPr>
            <w:tcW w:w="4142" w:type="dxa"/>
            <w:noWrap/>
            <w:vAlign w:val="bottom"/>
          </w:tcPr>
          <w:p w14:paraId="2DBD27B7" w14:textId="77777777" w:rsidR="00575CDF" w:rsidRPr="00C801A6" w:rsidRDefault="00575CDF" w:rsidP="00347FDB">
            <w:pPr>
              <w:spacing w:before="40" w:after="40" w:line="240"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Zombitse-Vohibasia</w:t>
            </w:r>
          </w:p>
        </w:tc>
        <w:tc>
          <w:tcPr>
            <w:tcW w:w="3685" w:type="dxa"/>
            <w:noWrap/>
            <w:vAlign w:val="bottom"/>
          </w:tcPr>
          <w:p w14:paraId="4CA97537" w14:textId="77777777" w:rsidR="00575CDF" w:rsidRPr="00C801A6" w:rsidRDefault="00575CDF" w:rsidP="00347FDB">
            <w:pPr>
              <w:spacing w:before="40" w:after="40" w:line="240"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Parc National</w:t>
            </w:r>
          </w:p>
        </w:tc>
      </w:tr>
      <w:tr w:rsidR="00C801A6" w:rsidRPr="00C801A6" w14:paraId="51F3AD0E" w14:textId="77777777" w:rsidTr="55280A2F">
        <w:trPr>
          <w:trHeight w:val="288"/>
        </w:trPr>
        <w:tc>
          <w:tcPr>
            <w:tcW w:w="1240" w:type="dxa"/>
            <w:vMerge/>
            <w:noWrap/>
            <w:vAlign w:val="center"/>
          </w:tcPr>
          <w:p w14:paraId="2C039293" w14:textId="77777777" w:rsidR="00575CDF" w:rsidRPr="00C801A6" w:rsidRDefault="00575CDF" w:rsidP="00347FDB">
            <w:pPr>
              <w:spacing w:before="40" w:after="40" w:line="240" w:lineRule="auto"/>
              <w:jc w:val="center"/>
              <w:rPr>
                <w:rFonts w:eastAsia="Times New Roman" w:cs="Times New Roman"/>
                <w:color w:val="auto"/>
                <w:sz w:val="21"/>
                <w:szCs w:val="21"/>
                <w:lang w:eastAsia="fr-FR"/>
              </w:rPr>
            </w:pPr>
          </w:p>
        </w:tc>
        <w:tc>
          <w:tcPr>
            <w:tcW w:w="4142" w:type="dxa"/>
            <w:noWrap/>
            <w:vAlign w:val="bottom"/>
          </w:tcPr>
          <w:p w14:paraId="201ACCBF" w14:textId="77777777" w:rsidR="00575CDF" w:rsidRPr="00C801A6" w:rsidRDefault="00575CDF" w:rsidP="00347FDB">
            <w:pPr>
              <w:spacing w:before="40" w:after="40" w:line="240"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Amoron'i Onilahy</w:t>
            </w:r>
          </w:p>
        </w:tc>
        <w:tc>
          <w:tcPr>
            <w:tcW w:w="3685" w:type="dxa"/>
            <w:noWrap/>
            <w:vAlign w:val="bottom"/>
          </w:tcPr>
          <w:p w14:paraId="3F2D8FD5" w14:textId="77777777" w:rsidR="00575CDF" w:rsidRPr="00C801A6" w:rsidRDefault="00575CDF" w:rsidP="00347FDB">
            <w:pPr>
              <w:spacing w:before="40" w:after="40" w:line="240"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Paysage Harmonieux Protégé</w:t>
            </w:r>
          </w:p>
        </w:tc>
      </w:tr>
      <w:tr w:rsidR="00C801A6" w:rsidRPr="00C801A6" w14:paraId="1ECEE283" w14:textId="77777777" w:rsidTr="55280A2F">
        <w:trPr>
          <w:trHeight w:val="288"/>
        </w:trPr>
        <w:tc>
          <w:tcPr>
            <w:tcW w:w="1240" w:type="dxa"/>
            <w:vMerge/>
            <w:noWrap/>
            <w:vAlign w:val="center"/>
          </w:tcPr>
          <w:p w14:paraId="0C42C14A" w14:textId="77777777" w:rsidR="00575CDF" w:rsidRPr="00C801A6" w:rsidRDefault="00575CDF" w:rsidP="00347FDB">
            <w:pPr>
              <w:spacing w:before="40" w:after="40" w:line="240" w:lineRule="auto"/>
              <w:jc w:val="center"/>
              <w:rPr>
                <w:rFonts w:eastAsia="Times New Roman" w:cs="Times New Roman"/>
                <w:color w:val="auto"/>
                <w:sz w:val="21"/>
                <w:szCs w:val="21"/>
                <w:lang w:eastAsia="fr-FR"/>
              </w:rPr>
            </w:pPr>
          </w:p>
        </w:tc>
        <w:tc>
          <w:tcPr>
            <w:tcW w:w="4142" w:type="dxa"/>
            <w:noWrap/>
            <w:vAlign w:val="bottom"/>
          </w:tcPr>
          <w:p w14:paraId="77FDE721" w14:textId="77777777" w:rsidR="00575CDF" w:rsidRPr="00C801A6" w:rsidRDefault="00575CDF" w:rsidP="00347FDB">
            <w:pPr>
              <w:spacing w:before="40" w:after="40" w:line="240"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Tsinjoriake</w:t>
            </w:r>
          </w:p>
        </w:tc>
        <w:tc>
          <w:tcPr>
            <w:tcW w:w="3685" w:type="dxa"/>
            <w:noWrap/>
            <w:vAlign w:val="bottom"/>
          </w:tcPr>
          <w:p w14:paraId="6298E67B" w14:textId="77777777" w:rsidR="00575CDF" w:rsidRPr="00C801A6" w:rsidRDefault="00575CDF" w:rsidP="00347FDB">
            <w:pPr>
              <w:spacing w:before="40" w:after="40" w:line="240"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Paysage Harmonieux Protégé</w:t>
            </w:r>
          </w:p>
        </w:tc>
      </w:tr>
      <w:tr w:rsidR="00C801A6" w:rsidRPr="00C801A6" w14:paraId="47C80E23" w14:textId="77777777" w:rsidTr="55280A2F">
        <w:trPr>
          <w:trHeight w:val="288"/>
        </w:trPr>
        <w:tc>
          <w:tcPr>
            <w:tcW w:w="1240" w:type="dxa"/>
            <w:noWrap/>
            <w:vAlign w:val="center"/>
          </w:tcPr>
          <w:p w14:paraId="01D48FAA" w14:textId="77777777" w:rsidR="00575CDF" w:rsidRPr="00C801A6" w:rsidRDefault="00575CDF" w:rsidP="00347FDB">
            <w:pPr>
              <w:spacing w:before="40" w:after="40" w:line="240" w:lineRule="auto"/>
              <w:jc w:val="center"/>
              <w:rPr>
                <w:rFonts w:eastAsia="Times New Roman" w:cs="Times New Roman"/>
                <w:color w:val="auto"/>
                <w:sz w:val="21"/>
                <w:szCs w:val="21"/>
                <w:lang w:eastAsia="fr-FR"/>
              </w:rPr>
            </w:pPr>
            <w:r w:rsidRPr="00C801A6">
              <w:rPr>
                <w:rFonts w:eastAsia="Times New Roman" w:cs="Times New Roman"/>
                <w:color w:val="auto"/>
                <w:sz w:val="21"/>
                <w:szCs w:val="21"/>
                <w:lang w:eastAsia="fr-FR"/>
              </w:rPr>
              <w:t>9</w:t>
            </w:r>
          </w:p>
        </w:tc>
        <w:tc>
          <w:tcPr>
            <w:tcW w:w="4142" w:type="dxa"/>
            <w:noWrap/>
            <w:vAlign w:val="bottom"/>
          </w:tcPr>
          <w:p w14:paraId="52981897" w14:textId="77777777" w:rsidR="00575CDF" w:rsidRPr="00C801A6" w:rsidRDefault="00575CDF" w:rsidP="00347FDB">
            <w:pPr>
              <w:spacing w:before="40" w:after="40" w:line="240"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PK 32 Ranobe</w:t>
            </w:r>
          </w:p>
        </w:tc>
        <w:tc>
          <w:tcPr>
            <w:tcW w:w="3685" w:type="dxa"/>
            <w:noWrap/>
            <w:vAlign w:val="bottom"/>
          </w:tcPr>
          <w:p w14:paraId="2FF43CAA" w14:textId="77777777" w:rsidR="00575CDF" w:rsidRPr="00C801A6" w:rsidRDefault="00575CDF" w:rsidP="00347FDB">
            <w:pPr>
              <w:spacing w:before="40" w:after="40" w:line="240"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Non identifié</w:t>
            </w:r>
          </w:p>
        </w:tc>
      </w:tr>
      <w:tr w:rsidR="00C801A6" w:rsidRPr="00C801A6" w14:paraId="4EA8A4A2" w14:textId="77777777" w:rsidTr="55280A2F">
        <w:trPr>
          <w:trHeight w:val="288"/>
        </w:trPr>
        <w:tc>
          <w:tcPr>
            <w:tcW w:w="1240" w:type="dxa"/>
            <w:noWrap/>
            <w:vAlign w:val="center"/>
          </w:tcPr>
          <w:p w14:paraId="60D34063" w14:textId="77777777" w:rsidR="00575CDF" w:rsidRPr="00C801A6" w:rsidRDefault="00575CDF" w:rsidP="00347FDB">
            <w:pPr>
              <w:spacing w:before="40" w:after="40" w:line="240" w:lineRule="auto"/>
              <w:jc w:val="center"/>
              <w:rPr>
                <w:rFonts w:eastAsia="Times New Roman" w:cs="Times New Roman"/>
                <w:color w:val="auto"/>
                <w:sz w:val="21"/>
                <w:szCs w:val="21"/>
                <w:lang w:eastAsia="fr-FR"/>
              </w:rPr>
            </w:pPr>
            <w:r w:rsidRPr="00C801A6">
              <w:rPr>
                <w:rFonts w:eastAsia="Times New Roman" w:cs="Times New Roman"/>
                <w:color w:val="auto"/>
                <w:sz w:val="21"/>
                <w:szCs w:val="21"/>
                <w:lang w:eastAsia="fr-FR"/>
              </w:rPr>
              <w:t>10</w:t>
            </w:r>
          </w:p>
        </w:tc>
        <w:tc>
          <w:tcPr>
            <w:tcW w:w="4142" w:type="dxa"/>
            <w:noWrap/>
            <w:vAlign w:val="bottom"/>
          </w:tcPr>
          <w:p w14:paraId="2359F07B" w14:textId="77777777" w:rsidR="00575CDF" w:rsidRPr="00C801A6" w:rsidRDefault="00575CDF" w:rsidP="00347FDB">
            <w:pPr>
              <w:spacing w:before="40" w:after="40" w:line="240"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Amoron'i Onilahy</w:t>
            </w:r>
          </w:p>
        </w:tc>
        <w:tc>
          <w:tcPr>
            <w:tcW w:w="3685" w:type="dxa"/>
            <w:noWrap/>
            <w:vAlign w:val="bottom"/>
          </w:tcPr>
          <w:p w14:paraId="4C6B6258" w14:textId="77777777" w:rsidR="00575CDF" w:rsidRPr="00C801A6" w:rsidRDefault="00575CDF" w:rsidP="00347FDB">
            <w:pPr>
              <w:spacing w:before="40" w:after="40" w:line="240"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Paysage Harmonieux Protégé</w:t>
            </w:r>
          </w:p>
        </w:tc>
      </w:tr>
      <w:tr w:rsidR="00C801A6" w:rsidRPr="00C801A6" w14:paraId="443394C1" w14:textId="77777777" w:rsidTr="55280A2F">
        <w:trPr>
          <w:trHeight w:val="288"/>
        </w:trPr>
        <w:tc>
          <w:tcPr>
            <w:tcW w:w="1240" w:type="dxa"/>
            <w:noWrap/>
            <w:vAlign w:val="center"/>
            <w:hideMark/>
          </w:tcPr>
          <w:p w14:paraId="36C0AC73" w14:textId="77777777" w:rsidR="00575CDF" w:rsidRPr="00C801A6" w:rsidRDefault="00575CDF" w:rsidP="00347FDB">
            <w:pPr>
              <w:spacing w:before="40" w:after="40" w:line="240" w:lineRule="auto"/>
              <w:jc w:val="center"/>
              <w:rPr>
                <w:rFonts w:eastAsia="Times New Roman" w:cs="Times New Roman"/>
                <w:color w:val="auto"/>
                <w:sz w:val="21"/>
                <w:szCs w:val="21"/>
                <w:lang w:eastAsia="fr-FR"/>
              </w:rPr>
            </w:pPr>
            <w:r w:rsidRPr="00C801A6">
              <w:rPr>
                <w:rFonts w:eastAsia="Times New Roman" w:cs="Times New Roman"/>
                <w:color w:val="auto"/>
                <w:sz w:val="21"/>
                <w:szCs w:val="21"/>
                <w:lang w:eastAsia="fr-FR"/>
              </w:rPr>
              <w:t>12</w:t>
            </w:r>
          </w:p>
        </w:tc>
        <w:tc>
          <w:tcPr>
            <w:tcW w:w="4142" w:type="dxa"/>
            <w:noWrap/>
            <w:vAlign w:val="bottom"/>
            <w:hideMark/>
          </w:tcPr>
          <w:p w14:paraId="18A48A34" w14:textId="77777777" w:rsidR="00575CDF" w:rsidRPr="00C801A6" w:rsidRDefault="00575CDF" w:rsidP="00347FDB">
            <w:pPr>
              <w:spacing w:before="40" w:after="40" w:line="240"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Manombo</w:t>
            </w:r>
          </w:p>
        </w:tc>
        <w:tc>
          <w:tcPr>
            <w:tcW w:w="3685" w:type="dxa"/>
            <w:noWrap/>
            <w:vAlign w:val="bottom"/>
            <w:hideMark/>
          </w:tcPr>
          <w:p w14:paraId="7B5698DF" w14:textId="77777777" w:rsidR="00575CDF" w:rsidRPr="00C801A6" w:rsidRDefault="00575CDF" w:rsidP="00347FDB">
            <w:pPr>
              <w:spacing w:before="40" w:after="40" w:line="240"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Reserve Spéciale</w:t>
            </w:r>
          </w:p>
        </w:tc>
      </w:tr>
      <w:tr w:rsidR="00C801A6" w:rsidRPr="00C801A6" w14:paraId="46DDF1CA" w14:textId="77777777" w:rsidTr="55280A2F">
        <w:trPr>
          <w:trHeight w:val="288"/>
        </w:trPr>
        <w:tc>
          <w:tcPr>
            <w:tcW w:w="1240" w:type="dxa"/>
            <w:vMerge w:val="restart"/>
            <w:vAlign w:val="center"/>
            <w:hideMark/>
          </w:tcPr>
          <w:p w14:paraId="09DE7FC4" w14:textId="77777777" w:rsidR="00575CDF" w:rsidRPr="00C801A6" w:rsidRDefault="00575CDF" w:rsidP="00347FDB">
            <w:pPr>
              <w:spacing w:before="40" w:after="40" w:line="240" w:lineRule="auto"/>
              <w:jc w:val="center"/>
              <w:rPr>
                <w:rFonts w:eastAsia="Times New Roman" w:cs="Times New Roman"/>
                <w:color w:val="auto"/>
                <w:sz w:val="21"/>
                <w:szCs w:val="21"/>
                <w:lang w:eastAsia="fr-FR"/>
              </w:rPr>
            </w:pPr>
            <w:r w:rsidRPr="00C801A6">
              <w:rPr>
                <w:rFonts w:eastAsia="Times New Roman" w:cs="Times New Roman"/>
                <w:color w:val="auto"/>
                <w:sz w:val="21"/>
                <w:szCs w:val="21"/>
                <w:lang w:eastAsia="fr-FR"/>
              </w:rPr>
              <w:t>13 et 15</w:t>
            </w:r>
          </w:p>
        </w:tc>
        <w:tc>
          <w:tcPr>
            <w:tcW w:w="4142" w:type="dxa"/>
            <w:noWrap/>
            <w:vAlign w:val="bottom"/>
            <w:hideMark/>
          </w:tcPr>
          <w:p w14:paraId="37D838E7" w14:textId="77777777" w:rsidR="00575CDF" w:rsidRPr="00C801A6" w:rsidRDefault="00575CDF" w:rsidP="00347FDB">
            <w:pPr>
              <w:spacing w:before="40" w:after="40" w:line="240"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Ankodida</w:t>
            </w:r>
          </w:p>
        </w:tc>
        <w:tc>
          <w:tcPr>
            <w:tcW w:w="3685" w:type="dxa"/>
            <w:noWrap/>
            <w:vAlign w:val="bottom"/>
            <w:hideMark/>
          </w:tcPr>
          <w:p w14:paraId="7D0BC052" w14:textId="77777777" w:rsidR="00575CDF" w:rsidRPr="00C801A6" w:rsidRDefault="00575CDF" w:rsidP="00347FDB">
            <w:pPr>
              <w:spacing w:before="40" w:after="40" w:line="240"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Paysage Harmonieux Protégé</w:t>
            </w:r>
          </w:p>
        </w:tc>
      </w:tr>
      <w:tr w:rsidR="00C801A6" w:rsidRPr="00C801A6" w14:paraId="036FECE2" w14:textId="77777777" w:rsidTr="55280A2F">
        <w:trPr>
          <w:trHeight w:val="288"/>
        </w:trPr>
        <w:tc>
          <w:tcPr>
            <w:tcW w:w="1240" w:type="dxa"/>
            <w:vMerge/>
            <w:vAlign w:val="center"/>
            <w:hideMark/>
          </w:tcPr>
          <w:p w14:paraId="4B91B0B8" w14:textId="77777777" w:rsidR="00575CDF" w:rsidRPr="00C801A6" w:rsidRDefault="00575CDF" w:rsidP="00347FDB">
            <w:pPr>
              <w:spacing w:before="40" w:after="40" w:line="240" w:lineRule="auto"/>
              <w:jc w:val="center"/>
              <w:rPr>
                <w:rFonts w:eastAsia="Times New Roman" w:cs="Times New Roman"/>
                <w:color w:val="auto"/>
                <w:sz w:val="21"/>
                <w:szCs w:val="21"/>
                <w:lang w:eastAsia="fr-FR"/>
              </w:rPr>
            </w:pPr>
          </w:p>
        </w:tc>
        <w:tc>
          <w:tcPr>
            <w:tcW w:w="4142" w:type="dxa"/>
            <w:noWrap/>
            <w:vAlign w:val="bottom"/>
            <w:hideMark/>
          </w:tcPr>
          <w:p w14:paraId="2F35509F" w14:textId="77777777" w:rsidR="00575CDF" w:rsidRPr="00C801A6" w:rsidRDefault="00575CDF" w:rsidP="00347FDB">
            <w:pPr>
              <w:spacing w:before="40" w:after="40" w:line="240"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Andohahela</w:t>
            </w:r>
          </w:p>
        </w:tc>
        <w:tc>
          <w:tcPr>
            <w:tcW w:w="3685" w:type="dxa"/>
            <w:noWrap/>
            <w:vAlign w:val="bottom"/>
            <w:hideMark/>
          </w:tcPr>
          <w:p w14:paraId="2B62AC12" w14:textId="77777777" w:rsidR="00575CDF" w:rsidRPr="00C801A6" w:rsidRDefault="00575CDF" w:rsidP="00347FDB">
            <w:pPr>
              <w:spacing w:before="40" w:after="40" w:line="240"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Parc National</w:t>
            </w:r>
          </w:p>
        </w:tc>
      </w:tr>
      <w:tr w:rsidR="00C801A6" w:rsidRPr="00C801A6" w14:paraId="563B2C35" w14:textId="77777777" w:rsidTr="55280A2F">
        <w:trPr>
          <w:trHeight w:val="288"/>
        </w:trPr>
        <w:tc>
          <w:tcPr>
            <w:tcW w:w="1240" w:type="dxa"/>
            <w:vMerge w:val="restart"/>
            <w:noWrap/>
            <w:vAlign w:val="center"/>
            <w:hideMark/>
          </w:tcPr>
          <w:p w14:paraId="77DF525F" w14:textId="77777777" w:rsidR="00575CDF" w:rsidRPr="00C801A6" w:rsidRDefault="00575CDF" w:rsidP="00347FDB">
            <w:pPr>
              <w:spacing w:before="40" w:after="40" w:line="240" w:lineRule="auto"/>
              <w:jc w:val="center"/>
              <w:rPr>
                <w:rFonts w:eastAsia="Times New Roman" w:cs="Times New Roman"/>
                <w:color w:val="auto"/>
                <w:sz w:val="21"/>
                <w:szCs w:val="21"/>
                <w:lang w:eastAsia="fr-FR"/>
              </w:rPr>
            </w:pPr>
            <w:r w:rsidRPr="00C801A6">
              <w:rPr>
                <w:rFonts w:eastAsia="Times New Roman" w:cs="Times New Roman"/>
                <w:color w:val="auto"/>
                <w:sz w:val="21"/>
                <w:szCs w:val="21"/>
                <w:lang w:eastAsia="fr-FR"/>
              </w:rPr>
              <w:lastRenderedPageBreak/>
              <w:t>25</w:t>
            </w:r>
          </w:p>
        </w:tc>
        <w:tc>
          <w:tcPr>
            <w:tcW w:w="4142" w:type="dxa"/>
            <w:noWrap/>
            <w:vAlign w:val="bottom"/>
            <w:hideMark/>
          </w:tcPr>
          <w:p w14:paraId="4D67F029" w14:textId="77777777" w:rsidR="00575CDF" w:rsidRPr="00C801A6" w:rsidRDefault="00575CDF" w:rsidP="00347FDB">
            <w:pPr>
              <w:spacing w:before="40" w:after="40" w:line="240"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Ambositra-Vondrozo</w:t>
            </w:r>
          </w:p>
        </w:tc>
        <w:tc>
          <w:tcPr>
            <w:tcW w:w="3685" w:type="dxa"/>
            <w:noWrap/>
            <w:vAlign w:val="bottom"/>
            <w:hideMark/>
          </w:tcPr>
          <w:p w14:paraId="2775333B" w14:textId="77777777" w:rsidR="00575CDF" w:rsidRPr="00C801A6" w:rsidRDefault="00575CDF" w:rsidP="00347FDB">
            <w:pPr>
              <w:spacing w:before="40" w:after="40" w:line="240"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Reserve spéciale</w:t>
            </w:r>
          </w:p>
        </w:tc>
      </w:tr>
      <w:tr w:rsidR="00C801A6" w:rsidRPr="00C801A6" w14:paraId="6AE9F770" w14:textId="77777777" w:rsidTr="55280A2F">
        <w:trPr>
          <w:trHeight w:val="288"/>
        </w:trPr>
        <w:tc>
          <w:tcPr>
            <w:tcW w:w="1240" w:type="dxa"/>
            <w:vMerge/>
            <w:vAlign w:val="center"/>
            <w:hideMark/>
          </w:tcPr>
          <w:p w14:paraId="371BDBED" w14:textId="77777777" w:rsidR="00575CDF" w:rsidRPr="00C801A6" w:rsidRDefault="00575CDF" w:rsidP="00347FDB">
            <w:pPr>
              <w:spacing w:before="40" w:after="40" w:line="240" w:lineRule="auto"/>
              <w:jc w:val="center"/>
              <w:rPr>
                <w:rFonts w:eastAsia="Times New Roman" w:cs="Times New Roman"/>
                <w:color w:val="auto"/>
                <w:sz w:val="21"/>
                <w:szCs w:val="21"/>
                <w:lang w:eastAsia="fr-FR"/>
              </w:rPr>
            </w:pPr>
          </w:p>
        </w:tc>
        <w:tc>
          <w:tcPr>
            <w:tcW w:w="4142" w:type="dxa"/>
            <w:noWrap/>
            <w:vAlign w:val="bottom"/>
            <w:hideMark/>
          </w:tcPr>
          <w:p w14:paraId="42D0D170" w14:textId="77777777" w:rsidR="00575CDF" w:rsidRPr="00C801A6" w:rsidRDefault="00575CDF" w:rsidP="00347FDB">
            <w:pPr>
              <w:spacing w:before="40" w:after="40" w:line="240"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Ranomafana</w:t>
            </w:r>
          </w:p>
        </w:tc>
        <w:tc>
          <w:tcPr>
            <w:tcW w:w="3685" w:type="dxa"/>
            <w:noWrap/>
            <w:vAlign w:val="bottom"/>
            <w:hideMark/>
          </w:tcPr>
          <w:p w14:paraId="5FFF9452" w14:textId="77777777" w:rsidR="00575CDF" w:rsidRPr="00C801A6" w:rsidRDefault="00575CDF" w:rsidP="00347FDB">
            <w:pPr>
              <w:spacing w:before="40" w:after="40" w:line="240"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Parc National</w:t>
            </w:r>
          </w:p>
        </w:tc>
      </w:tr>
      <w:tr w:rsidR="00C801A6" w:rsidRPr="00C801A6" w14:paraId="46F41CE3" w14:textId="77777777" w:rsidTr="55280A2F">
        <w:trPr>
          <w:trHeight w:val="288"/>
        </w:trPr>
        <w:tc>
          <w:tcPr>
            <w:tcW w:w="1240" w:type="dxa"/>
            <w:noWrap/>
            <w:vAlign w:val="center"/>
          </w:tcPr>
          <w:p w14:paraId="2CC661E0" w14:textId="77777777" w:rsidR="00575CDF" w:rsidRPr="00C801A6" w:rsidRDefault="00575CDF" w:rsidP="00347FDB">
            <w:pPr>
              <w:spacing w:before="40" w:after="40" w:line="240" w:lineRule="auto"/>
              <w:jc w:val="center"/>
              <w:rPr>
                <w:rFonts w:eastAsia="Times New Roman" w:cs="Times New Roman"/>
                <w:color w:val="auto"/>
                <w:sz w:val="21"/>
                <w:szCs w:val="21"/>
                <w:lang w:eastAsia="fr-FR"/>
              </w:rPr>
            </w:pPr>
            <w:r w:rsidRPr="00C801A6">
              <w:rPr>
                <w:rFonts w:eastAsia="Times New Roman" w:cs="Times New Roman"/>
                <w:color w:val="auto"/>
                <w:sz w:val="21"/>
                <w:szCs w:val="21"/>
                <w:lang w:eastAsia="fr-FR"/>
              </w:rPr>
              <w:t>45</w:t>
            </w:r>
          </w:p>
        </w:tc>
        <w:tc>
          <w:tcPr>
            <w:tcW w:w="4142" w:type="dxa"/>
            <w:noWrap/>
            <w:vAlign w:val="bottom"/>
          </w:tcPr>
          <w:p w14:paraId="51A58E4A" w14:textId="77777777" w:rsidR="00575CDF" w:rsidRPr="00C801A6" w:rsidRDefault="00575CDF" w:rsidP="00347FDB">
            <w:pPr>
              <w:spacing w:before="40" w:after="40" w:line="240"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Ranomafana</w:t>
            </w:r>
          </w:p>
        </w:tc>
        <w:tc>
          <w:tcPr>
            <w:tcW w:w="3685" w:type="dxa"/>
            <w:noWrap/>
            <w:vAlign w:val="bottom"/>
          </w:tcPr>
          <w:p w14:paraId="57508466" w14:textId="77777777" w:rsidR="00575CDF" w:rsidRPr="00C801A6" w:rsidRDefault="00575CDF" w:rsidP="00347FDB">
            <w:pPr>
              <w:spacing w:before="40" w:after="40" w:line="240"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Parc National</w:t>
            </w:r>
          </w:p>
        </w:tc>
      </w:tr>
    </w:tbl>
    <w:p w14:paraId="345CD6ED" w14:textId="77777777" w:rsidR="00781159" w:rsidRDefault="00781159" w:rsidP="00575CDF">
      <w:pPr>
        <w:spacing w:line="259" w:lineRule="auto"/>
        <w:jc w:val="left"/>
        <w:rPr>
          <w:color w:val="auto"/>
        </w:rPr>
      </w:pPr>
      <w:bookmarkStart w:id="141" w:name="_Toc440199206"/>
    </w:p>
    <w:p w14:paraId="5B248F4C" w14:textId="432B41D6" w:rsidR="00781159" w:rsidRDefault="00026415" w:rsidP="00D42025">
      <w:pPr>
        <w:spacing w:line="259" w:lineRule="auto"/>
        <w:rPr>
          <w:color w:val="auto"/>
        </w:rPr>
      </w:pPr>
      <w:r w:rsidRPr="00026415">
        <w:rPr>
          <w:noProof/>
          <w:color w:val="auto"/>
        </w:rPr>
        <mc:AlternateContent>
          <mc:Choice Requires="wps">
            <w:drawing>
              <wp:inline distT="0" distB="0" distL="0" distR="0" wp14:anchorId="47E1C2BC" wp14:editId="6FDEC2A5">
                <wp:extent cx="6289548" cy="2065866"/>
                <wp:effectExtent l="38100" t="38100" r="35560" b="31115"/>
                <wp:docPr id="215"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9548" cy="2065866"/>
                        </a:xfrm>
                        <a:prstGeom prst="rect">
                          <a:avLst/>
                        </a:prstGeom>
                        <a:solidFill>
                          <a:schemeClr val="accent4">
                            <a:lumMod val="20000"/>
                            <a:lumOff val="80000"/>
                          </a:schemeClr>
                        </a:solidFill>
                        <a:ln w="76200" cmpd="dbl">
                          <a:solidFill>
                            <a:schemeClr val="tx1"/>
                          </a:solidFill>
                          <a:miter lim="800000"/>
                          <a:headEnd/>
                          <a:tailEnd/>
                        </a:ln>
                      </wps:spPr>
                      <wps:txbx>
                        <w:txbxContent>
                          <w:p w14:paraId="5A293C87" w14:textId="33182FEE" w:rsidR="00026415" w:rsidRPr="00AE759D" w:rsidRDefault="00026415" w:rsidP="00D42025">
                            <w:pPr>
                              <w:spacing w:after="0"/>
                              <w:rPr>
                                <w:i/>
                                <w:iCs/>
                                <w:caps/>
                                <w:color w:val="FFFFFF" w:themeColor="background1"/>
                                <w:sz w:val="28"/>
                              </w:rPr>
                            </w:pPr>
                            <w:r w:rsidRPr="00781159">
                              <w:rPr>
                                <w:color w:val="auto"/>
                              </w:rPr>
                              <w:t xml:space="preserve">Malgré la richesse exceptionnelle de la biodiversité de Madagascar, reconnue à l’échelle mondiale par un fort taux d’endémisme et la présence d’écosystèmes sensibles, l’analyse environnementale conduite dans le cadre de la Composante CERC2 du Projet PCMCI indique que les sites identifiés pour les interventions d’urgence ne se situent pas au sein d’habitats critiques au sens des Normes Environnementales et Sociales </w:t>
                            </w:r>
                            <w:r>
                              <w:rPr>
                                <w:color w:val="auto"/>
                              </w:rPr>
                              <w:t xml:space="preserve">(NES) </w:t>
                            </w:r>
                            <w:r w:rsidRPr="00781159">
                              <w:rPr>
                                <w:color w:val="auto"/>
                              </w:rPr>
                              <w:t xml:space="preserve">de la Banque mondiale. Conformément aux exigences de la NES1 relatives à l’identification et à l’évaluation des risques et impacts environnementaux, une revue préalable de la sensibilité écologique des zones d’intervention a été réalisée à partir des données disponibles et des connaissances locales. Les sites concernés correspondent principalement à des habitats modifiés ou </w:t>
                            </w:r>
                            <w:r w:rsidR="003B71BB">
                              <w:rPr>
                                <w:color w:val="auto"/>
                              </w:rPr>
                              <w:t>anthropisés</w:t>
                            </w:r>
                            <w:r w:rsidR="00C05A73">
                              <w:rPr>
                                <w:color w:val="auto"/>
                              </w:rPr>
                              <w:t xml:space="preserve"> </w:t>
                            </w:r>
                            <w:r w:rsidRPr="00781159">
                              <w:rPr>
                                <w:color w:val="auto"/>
                              </w:rPr>
                              <w:t xml:space="preserve">, déjà affectés par des infrastructures </w:t>
                            </w:r>
                            <w:r>
                              <w:rPr>
                                <w:color w:val="auto"/>
                              </w:rPr>
                              <w:t xml:space="preserve">routières principales </w:t>
                            </w:r>
                            <w:r w:rsidRPr="00781159">
                              <w:rPr>
                                <w:color w:val="auto"/>
                              </w:rPr>
                              <w:t>existantes ou des usages anthropiques. Aucun des sites CERC2 n’a été classé comme habitat critique, tel que défini par la présence d’espèces menacées de niveau élevé, de zones irremplaçables pour la biodiversité, ou de fonctions écologiques d’importance mondiale. Les interventions prévues visent essentiellement la remise en état d’infrastructures existantes, limitant ainsi l’empreinte spatiale et les risques d’atteinte à des habitats à haute valeur de conservation. Par ailleurs, les travaux d’urgence sont de portée localisée et temporaire, ce qui réduit significativement les impacts potentiels sur les écosystèmes environnants. Dans une logique de précaution, les instruments de gestion environnementale et sociale du projet prévoient néanmoins des mesures de criblage et de suivi afin de détecter et de gérer tout risque non anticipé. Ainsi, au regard des analyses menées, les interventions CERC2 du PCMCI sont considérées comme compatibles avec les exigences de la NES1, sans incidence sur des habitats critiques.</w:t>
                            </w:r>
                          </w:p>
                        </w:txbxContent>
                      </wps:txbx>
                      <wps:bodyPr rot="0" vert="horz" wrap="square" lIns="182880" tIns="182880" rIns="182880" bIns="182880" anchor="ctr" anchorCtr="0" upright="1">
                        <a:spAutoFit/>
                      </wps:bodyPr>
                    </wps:wsp>
                  </a:graphicData>
                </a:graphic>
              </wp:inline>
            </w:drawing>
          </mc:Choice>
          <mc:Fallback>
            <w:pict>
              <v:rect w14:anchorId="47E1C2BC" id="Rectangle 4" o:spid="_x0000_s1026" style="width:495.25pt;height:162.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fiCNAIAAHEEAAAOAAAAZHJzL2Uyb0RvYy54bWysVNuO0zAQfUfiHyy/06TVbghR09WqSxHS&#10;cpEWPsBxnMbCN8Zuk+XrGTtpt4U3xIvlGdtnzsyc8fpu1IocBXhpTU2Xi5wSYbhtpdnX9Pu33ZuS&#10;Eh+YaZmyRtT0WXh6t3n9aj24Sqxsb1UrgCCI8dXgatqH4Kos87wXmvmFdcLgYWdBs4Am7LMW2IDo&#10;WmWrPC+ywULrwHLhPXofpkO6SfhdJ3j40nVeBKJqitxCWiGtTVyzzZpVe2Cul3ymwf6BhWbSYNAz&#10;1AMLjBxA/gWlJQfrbRcW3OrMdp3kIuWA2SzzP7J56pkTKRcsjnfnMvn/B8s/H5/cV4jUvXu0/Icn&#10;xm57ZvbiHsAOvWAthlvGQmWD89X5QTQ8PiXN8Mm22Fp2CDbVYOxAR0DMjoyp1M/nUosxEI7OYlW+&#10;u71BcXA8W+XFbVkUKQarTs8d+PBBWE3ipqaAvUzw7PjoQ6TDqtOVRN8q2e6kUsmI+hFbBeTIsPOM&#10;c2HCTXquDhr5Tn5UUD5rAN2olMldntwYIikxIqWA/jKIMmSo6dsCUTAP7dqato1KQa7unSEm9DBO&#10;1UTsSzQtA06CkrqmKf7MKzbgvWmTTgOTatojMWXmjsQmRL37KozNiBfjtrHtM/YG7KR4nFDc9BZ+&#10;UTKg2mvqfx4YCErURxP7W67KMs7HlQVXVnNlMcMRrqY8ACWTsQ3TYB0cyH2P8ZZTLdw9KmMnU89e&#10;uM3sUdepsvMMxsG5tNOtl59i8xsAAP//AwBQSwMEFAAGAAgAAAAhAK6rjyrdAAAABQEAAA8AAABk&#10;cnMvZG93bnJldi54bWxMj0tPwzAQhO9I/Q/WVuJGHVqCaIhTVZXgwkMiPM7beBtHjddR7LTJv8dw&#10;gctKoxnNfJtvRtuKE/W+cazgepGAIK6cbrhW8PH+cHUHwgdkja1jUjCRh00xu8gx0+7Mb3QqQy1i&#10;CfsMFZgQukxKXxmy6BeuI47ewfUWQ5R9LXWP51huW7lMkltpseG4YLCjnaHqWA5WwdPXy+M29dXz&#10;dHMopak/X80wkVKX83F7DyLQGP7C8IMf0aGITHs3sPaiVRAfCb83eut1koLYK1gt0xXIIpf/6Ytv&#10;AAAA//8DAFBLAQItABQABgAIAAAAIQC2gziS/gAAAOEBAAATAAAAAAAAAAAAAAAAAAAAAABbQ29u&#10;dGVudF9UeXBlc10ueG1sUEsBAi0AFAAGAAgAAAAhADj9If/WAAAAlAEAAAsAAAAAAAAAAAAAAAAA&#10;LwEAAF9yZWxzLy5yZWxzUEsBAi0AFAAGAAgAAAAhAOsh+II0AgAAcQQAAA4AAAAAAAAAAAAAAAAA&#10;LgIAAGRycy9lMm9Eb2MueG1sUEsBAi0AFAAGAAgAAAAhAK6rjyrdAAAABQEAAA8AAAAAAAAAAAAA&#10;AAAAjgQAAGRycy9kb3ducmV2LnhtbFBLBQYAAAAABAAEAPMAAACYBQAAAAA=&#10;" fillcolor="#fff2cc [663]" strokecolor="black [3213]" strokeweight="6pt">
                <v:stroke linestyle="thinThin"/>
                <v:textbox style="mso-fit-shape-to-text:t" inset="14.4pt,14.4pt,14.4pt,14.4pt">
                  <w:txbxContent>
                    <w:p w14:paraId="5A293C87" w14:textId="33182FEE" w:rsidR="00026415" w:rsidRPr="00AE759D" w:rsidRDefault="00026415" w:rsidP="00D42025">
                      <w:pPr>
                        <w:spacing w:after="0"/>
                        <w:rPr>
                          <w:i/>
                          <w:iCs/>
                          <w:caps/>
                          <w:color w:val="FFFFFF" w:themeColor="background1"/>
                          <w:sz w:val="28"/>
                        </w:rPr>
                      </w:pPr>
                      <w:r w:rsidRPr="00781159">
                        <w:rPr>
                          <w:color w:val="auto"/>
                        </w:rPr>
                        <w:t xml:space="preserve">Malgré la richesse exceptionnelle de la biodiversité de Madagascar, reconnue à l’échelle mondiale par un fort taux d’endémisme et la présence d’écosystèmes sensibles, l’analyse environnementale conduite dans le cadre de la Composante CERC2 du Projet PCMCI indique que les sites identifiés pour les interventions d’urgence ne se situent pas au sein d’habitats critiques au sens des Normes Environnementales et Sociales </w:t>
                      </w:r>
                      <w:r>
                        <w:rPr>
                          <w:color w:val="auto"/>
                        </w:rPr>
                        <w:t xml:space="preserve">(NES) </w:t>
                      </w:r>
                      <w:r w:rsidRPr="00781159">
                        <w:rPr>
                          <w:color w:val="auto"/>
                        </w:rPr>
                        <w:t xml:space="preserve">de la Banque mondiale. Conformément aux exigences de la NES1 relatives à l’identification et à l’évaluation des risques et impacts environnementaux, une revue préalable de la sensibilité écologique des zones d’intervention a été réalisée à partir des données disponibles et des connaissances locales. Les sites concernés correspondent principalement à des habitats modifiés ou </w:t>
                      </w:r>
                      <w:r w:rsidR="003B71BB">
                        <w:rPr>
                          <w:color w:val="auto"/>
                        </w:rPr>
                        <w:t>anthropisés</w:t>
                      </w:r>
                      <w:r w:rsidR="00C05A73">
                        <w:rPr>
                          <w:color w:val="auto"/>
                        </w:rPr>
                        <w:t xml:space="preserve"> </w:t>
                      </w:r>
                      <w:r w:rsidRPr="00781159">
                        <w:rPr>
                          <w:color w:val="auto"/>
                        </w:rPr>
                        <w:t xml:space="preserve">, déjà affectés par des infrastructures </w:t>
                      </w:r>
                      <w:r>
                        <w:rPr>
                          <w:color w:val="auto"/>
                        </w:rPr>
                        <w:t xml:space="preserve">routières principales </w:t>
                      </w:r>
                      <w:r w:rsidRPr="00781159">
                        <w:rPr>
                          <w:color w:val="auto"/>
                        </w:rPr>
                        <w:t>existantes ou des usages anthropiques. Aucun des sites CERC2 n’a été classé comme habitat critique, tel que défini par la présence d’espèces menacées de niveau élevé, de zones irremplaçables pour la biodiversité, ou de fonctions écologiques d’importance mondiale. Les interventions prévues visent essentiellement la remise en état d’infrastructures existantes, limitant ainsi l’empreinte spatiale et les risques d’atteinte à des habitats à haute valeur de conservation. Par ailleurs, les travaux d’urgence sont de portée localisée et temporaire, ce qui réduit significativement les impacts potentiels sur les écosystèmes environnants. Dans une logique de précaution, les instruments de gestion environnementale et sociale du projet prévoient néanmoins des mesures de criblage et de suivi afin de détecter et de gérer tout risque non anticipé. Ainsi, au regard des analyses menées, les interventions CERC2 du PCMCI sont considérées comme compatibles avec les exigences de la NES1, sans incidence sur des habitats critiques.</w:t>
                      </w:r>
                    </w:p>
                  </w:txbxContent>
                </v:textbox>
                <w10:anchorlock/>
              </v:rect>
            </w:pict>
          </mc:Fallback>
        </mc:AlternateContent>
      </w:r>
    </w:p>
    <w:p w14:paraId="1E051685" w14:textId="2AD79BEF" w:rsidR="00575CDF" w:rsidRPr="00C801A6" w:rsidRDefault="00575CDF" w:rsidP="00575CDF">
      <w:pPr>
        <w:spacing w:line="259" w:lineRule="auto"/>
        <w:jc w:val="left"/>
        <w:rPr>
          <w:color w:val="auto"/>
        </w:rPr>
      </w:pPr>
      <w:r w:rsidRPr="00C801A6">
        <w:rPr>
          <w:color w:val="auto"/>
        </w:rPr>
        <w:br w:type="page"/>
      </w:r>
    </w:p>
    <w:p w14:paraId="443DAEED" w14:textId="77777777" w:rsidR="00575CDF" w:rsidRPr="00C801A6" w:rsidRDefault="00575CDF" w:rsidP="00575CDF">
      <w:pPr>
        <w:spacing w:line="259" w:lineRule="auto"/>
        <w:ind w:hanging="426"/>
        <w:jc w:val="center"/>
        <w:rPr>
          <w:color w:val="auto"/>
        </w:rPr>
      </w:pPr>
      <w:r w:rsidRPr="00C801A6">
        <w:rPr>
          <w:noProof/>
          <w:color w:val="auto"/>
          <w:lang w:eastAsia="fr-FR"/>
        </w:rPr>
        <w:lastRenderedPageBreak/>
        <w:drawing>
          <wp:inline distT="0" distB="0" distL="0" distR="0" wp14:anchorId="0FE99832" wp14:editId="70FCC825">
            <wp:extent cx="5646460" cy="7653337"/>
            <wp:effectExtent l="0" t="0" r="0" b="5080"/>
            <wp:docPr id="268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43" cstate="email">
                      <a:extLst>
                        <a:ext uri="{28A0092B-C50C-407E-A947-70E740481C1C}">
                          <a14:useLocalDpi xmlns:a14="http://schemas.microsoft.com/office/drawing/2010/main"/>
                        </a:ext>
                      </a:extLst>
                    </a:blip>
                    <a:srcRect/>
                    <a:stretch>
                      <a:fillRect/>
                    </a:stretch>
                  </pic:blipFill>
                  <pic:spPr>
                    <a:xfrm>
                      <a:off x="0" y="0"/>
                      <a:ext cx="5651734" cy="7660485"/>
                    </a:xfrm>
                    <a:prstGeom prst="rect">
                      <a:avLst/>
                    </a:prstGeom>
                  </pic:spPr>
                </pic:pic>
              </a:graphicData>
            </a:graphic>
          </wp:inline>
        </w:drawing>
      </w:r>
    </w:p>
    <w:p w14:paraId="0D6CA64C" w14:textId="54E842CD" w:rsidR="00575CDF" w:rsidRPr="00C801A6" w:rsidRDefault="00575CDF" w:rsidP="003609CC">
      <w:pPr>
        <w:pStyle w:val="Caption"/>
        <w:rPr>
          <w:color w:val="auto"/>
        </w:rPr>
      </w:pPr>
      <w:bookmarkStart w:id="142" w:name="_Toc230426711"/>
      <w:r w:rsidRPr="00C801A6">
        <w:rPr>
          <w:color w:val="auto"/>
        </w:rPr>
        <w:t xml:space="preserve">Figure </w:t>
      </w:r>
      <w:r w:rsidRPr="00C801A6">
        <w:rPr>
          <w:color w:val="auto"/>
        </w:rPr>
        <w:fldChar w:fldCharType="begin"/>
      </w:r>
      <w:r w:rsidRPr="00C801A6">
        <w:rPr>
          <w:color w:val="auto"/>
        </w:rPr>
        <w:instrText>SEQ Figure \* ARABIC</w:instrText>
      </w:r>
      <w:r w:rsidRPr="00C801A6">
        <w:rPr>
          <w:color w:val="auto"/>
        </w:rPr>
        <w:fldChar w:fldCharType="separate"/>
      </w:r>
      <w:r w:rsidR="00D13682">
        <w:rPr>
          <w:noProof/>
          <w:color w:val="auto"/>
        </w:rPr>
        <w:t>16</w:t>
      </w:r>
      <w:r w:rsidRPr="00C801A6">
        <w:rPr>
          <w:color w:val="auto"/>
        </w:rPr>
        <w:fldChar w:fldCharType="end"/>
      </w:r>
      <w:r w:rsidRPr="00C801A6">
        <w:rPr>
          <w:color w:val="auto"/>
        </w:rPr>
        <w:t> : Carte des aires protégées vs routes nationales revêtues</w:t>
      </w:r>
      <w:bookmarkEnd w:id="142"/>
      <w:r w:rsidRPr="00C801A6">
        <w:rPr>
          <w:color w:val="auto"/>
        </w:rPr>
        <w:t xml:space="preserve"> </w:t>
      </w:r>
      <w:r w:rsidRPr="00C801A6">
        <w:rPr>
          <w:color w:val="auto"/>
        </w:rPr>
        <w:br w:type="page"/>
      </w:r>
    </w:p>
    <w:p w14:paraId="1C34702D" w14:textId="77777777" w:rsidR="00575CDF" w:rsidRPr="00C801A6" w:rsidRDefault="00575CDF" w:rsidP="00C65572">
      <w:pPr>
        <w:pStyle w:val="Heading3"/>
      </w:pPr>
      <w:bookmarkStart w:id="143" w:name="_Toc106320293"/>
      <w:bookmarkStart w:id="144" w:name="_Toc230426004"/>
      <w:r w:rsidRPr="00C801A6">
        <w:lastRenderedPageBreak/>
        <w:t>Ecosystèmes</w:t>
      </w:r>
      <w:bookmarkEnd w:id="141"/>
      <w:bookmarkEnd w:id="143"/>
      <w:bookmarkEnd w:id="144"/>
    </w:p>
    <w:p w14:paraId="22C03B87" w14:textId="77777777" w:rsidR="00575CDF" w:rsidRPr="00C801A6" w:rsidRDefault="00575CDF" w:rsidP="003042DB">
      <w:pPr>
        <w:pStyle w:val="Heading4"/>
        <w:rPr>
          <w:color w:val="auto"/>
        </w:rPr>
      </w:pPr>
      <w:bookmarkStart w:id="145" w:name="_Toc440199207"/>
      <w:bookmarkStart w:id="146" w:name="_Toc230298739"/>
      <w:r w:rsidRPr="00C801A6">
        <w:rPr>
          <w:color w:val="auto"/>
        </w:rPr>
        <w:t>Ecosystèmes terrestres</w:t>
      </w:r>
      <w:bookmarkEnd w:id="145"/>
      <w:bookmarkEnd w:id="146"/>
    </w:p>
    <w:p w14:paraId="43B860F7" w14:textId="77777777" w:rsidR="00575CDF" w:rsidRPr="00C801A6" w:rsidRDefault="00575CDF" w:rsidP="00575CDF">
      <w:pPr>
        <w:rPr>
          <w:color w:val="auto"/>
        </w:rPr>
      </w:pPr>
      <w:r w:rsidRPr="00C801A6">
        <w:rPr>
          <w:color w:val="auto"/>
        </w:rPr>
        <w:t xml:space="preserve">Les principaux écosystèmes terrestres de Madagascar sont regroupés en quatre catégories </w:t>
      </w:r>
    </w:p>
    <w:p w14:paraId="136CC30B" w14:textId="77777777" w:rsidR="00575CDF" w:rsidRPr="00C801A6" w:rsidRDefault="00575CDF" w:rsidP="00844538">
      <w:pPr>
        <w:pStyle w:val="ListParagraph"/>
        <w:numPr>
          <w:ilvl w:val="0"/>
          <w:numId w:val="29"/>
        </w:numPr>
        <w:ind w:hanging="578"/>
        <w:contextualSpacing w:val="0"/>
        <w:rPr>
          <w:color w:val="auto"/>
          <w:u w:val="single"/>
        </w:rPr>
      </w:pPr>
      <w:r w:rsidRPr="00C801A6">
        <w:rPr>
          <w:color w:val="auto"/>
          <w:u w:val="single"/>
        </w:rPr>
        <w:t>Formations primaires</w:t>
      </w:r>
    </w:p>
    <w:p w14:paraId="4E833245" w14:textId="77777777" w:rsidR="00575CDF" w:rsidRPr="00C801A6" w:rsidRDefault="00575CDF" w:rsidP="00844538">
      <w:pPr>
        <w:pStyle w:val="ListParagraph"/>
        <w:numPr>
          <w:ilvl w:val="0"/>
          <w:numId w:val="30"/>
        </w:numPr>
        <w:rPr>
          <w:color w:val="auto"/>
        </w:rPr>
      </w:pPr>
      <w:r w:rsidRPr="00C801A6">
        <w:rPr>
          <w:i/>
          <w:iCs/>
          <w:color w:val="auto"/>
        </w:rPr>
        <w:t>Forêts primaires</w:t>
      </w:r>
      <w:r w:rsidRPr="00C801A6">
        <w:rPr>
          <w:color w:val="auto"/>
        </w:rPr>
        <w:t> : ayant une forte diversité biologique de la faune et de la flore caractérisées par un taux élevé d’endémicité. Ce sont les :</w:t>
      </w:r>
    </w:p>
    <w:p w14:paraId="1A2C6087" w14:textId="77777777" w:rsidR="00575CDF" w:rsidRPr="00C801A6" w:rsidRDefault="00575CDF" w:rsidP="00844538">
      <w:pPr>
        <w:numPr>
          <w:ilvl w:val="0"/>
          <w:numId w:val="25"/>
        </w:numPr>
        <w:tabs>
          <w:tab w:val="clear" w:pos="720"/>
          <w:tab w:val="num" w:pos="1560"/>
        </w:tabs>
        <w:spacing w:after="80"/>
        <w:ind w:left="1560" w:hanging="142"/>
        <w:rPr>
          <w:rFonts w:cs="Arial"/>
          <w:color w:val="auto"/>
        </w:rPr>
      </w:pPr>
      <w:r w:rsidRPr="00C801A6">
        <w:rPr>
          <w:rFonts w:cs="Arial"/>
          <w:color w:val="auto"/>
        </w:rPr>
        <w:t>Forêts denses humides sempervirentes (Versant oriental, Sambirano et extrémité Nord)</w:t>
      </w:r>
    </w:p>
    <w:p w14:paraId="337FDE41" w14:textId="77777777" w:rsidR="00575CDF" w:rsidRPr="00C801A6" w:rsidRDefault="00575CDF" w:rsidP="00844538">
      <w:pPr>
        <w:numPr>
          <w:ilvl w:val="0"/>
          <w:numId w:val="25"/>
        </w:numPr>
        <w:tabs>
          <w:tab w:val="clear" w:pos="720"/>
          <w:tab w:val="num" w:pos="1560"/>
        </w:tabs>
        <w:spacing w:after="80"/>
        <w:ind w:left="1560" w:hanging="142"/>
        <w:rPr>
          <w:rFonts w:cs="Arial"/>
          <w:color w:val="auto"/>
        </w:rPr>
      </w:pPr>
      <w:r w:rsidRPr="00C801A6">
        <w:rPr>
          <w:rFonts w:cs="Arial"/>
          <w:color w:val="auto"/>
        </w:rPr>
        <w:t>Forêts sclérophylles de montagne (Hautes Terres Centrales)</w:t>
      </w:r>
    </w:p>
    <w:p w14:paraId="4B7E3AD4" w14:textId="77777777" w:rsidR="00575CDF" w:rsidRPr="00C801A6" w:rsidRDefault="00575CDF" w:rsidP="00844538">
      <w:pPr>
        <w:numPr>
          <w:ilvl w:val="0"/>
          <w:numId w:val="25"/>
        </w:numPr>
        <w:tabs>
          <w:tab w:val="clear" w:pos="720"/>
          <w:tab w:val="num" w:pos="1560"/>
        </w:tabs>
        <w:spacing w:line="360" w:lineRule="auto"/>
        <w:ind w:left="1560" w:hanging="142"/>
        <w:rPr>
          <w:rFonts w:cs="Arial"/>
          <w:color w:val="auto"/>
        </w:rPr>
      </w:pPr>
      <w:r w:rsidRPr="00C801A6">
        <w:rPr>
          <w:rFonts w:cs="Arial"/>
          <w:color w:val="auto"/>
        </w:rPr>
        <w:t>Forêts denses sèches caducifoliées (Nord-Ouest, Ouest et Sud-Ouest)</w:t>
      </w:r>
    </w:p>
    <w:p w14:paraId="44A3C157" w14:textId="77777777" w:rsidR="00575CDF" w:rsidRPr="00C801A6" w:rsidRDefault="00575CDF" w:rsidP="00844538">
      <w:pPr>
        <w:pStyle w:val="ListParagraph"/>
        <w:numPr>
          <w:ilvl w:val="0"/>
          <w:numId w:val="30"/>
        </w:numPr>
        <w:rPr>
          <w:color w:val="auto"/>
        </w:rPr>
      </w:pPr>
      <w:r w:rsidRPr="00C801A6">
        <w:rPr>
          <w:i/>
          <w:iCs/>
          <w:color w:val="auto"/>
        </w:rPr>
        <w:t>Fourrés</w:t>
      </w:r>
      <w:r w:rsidRPr="00C801A6">
        <w:rPr>
          <w:color w:val="auto"/>
        </w:rPr>
        <w:t> : formations végétales soum</w:t>
      </w:r>
      <w:r w:rsidRPr="00C801A6">
        <w:rPr>
          <w:rFonts w:eastAsia="Times New Roman" w:cs="Times New Roman"/>
          <w:color w:val="auto"/>
        </w:rPr>
        <w:t>ises à des condition</w:t>
      </w:r>
      <w:r w:rsidRPr="00C801A6">
        <w:rPr>
          <w:color w:val="auto"/>
        </w:rPr>
        <w:t>s climatiques sévères.</w:t>
      </w:r>
    </w:p>
    <w:p w14:paraId="593CF6C7" w14:textId="77777777" w:rsidR="00575CDF" w:rsidRPr="00C801A6" w:rsidRDefault="00575CDF" w:rsidP="00844538">
      <w:pPr>
        <w:numPr>
          <w:ilvl w:val="0"/>
          <w:numId w:val="25"/>
        </w:numPr>
        <w:tabs>
          <w:tab w:val="clear" w:pos="720"/>
          <w:tab w:val="num" w:pos="1560"/>
        </w:tabs>
        <w:spacing w:after="80"/>
        <w:ind w:left="1560" w:hanging="142"/>
        <w:rPr>
          <w:rFonts w:cs="Arial"/>
          <w:color w:val="auto"/>
        </w:rPr>
      </w:pPr>
      <w:r w:rsidRPr="00C801A6">
        <w:rPr>
          <w:rFonts w:cs="Arial"/>
          <w:color w:val="auto"/>
        </w:rPr>
        <w:t>Fourrés de montagne (Hautes Terres)</w:t>
      </w:r>
    </w:p>
    <w:p w14:paraId="12D417C6" w14:textId="77777777" w:rsidR="00575CDF" w:rsidRPr="00C801A6" w:rsidRDefault="00575CDF" w:rsidP="00844538">
      <w:pPr>
        <w:numPr>
          <w:ilvl w:val="0"/>
          <w:numId w:val="25"/>
        </w:numPr>
        <w:tabs>
          <w:tab w:val="clear" w:pos="720"/>
          <w:tab w:val="num" w:pos="1560"/>
        </w:tabs>
        <w:ind w:left="1560" w:hanging="142"/>
        <w:rPr>
          <w:rFonts w:cs="Arial"/>
          <w:color w:val="auto"/>
        </w:rPr>
      </w:pPr>
      <w:r w:rsidRPr="00C801A6">
        <w:rPr>
          <w:rFonts w:cs="Arial"/>
          <w:color w:val="auto"/>
        </w:rPr>
        <w:t>Fourrés xérophiles ou bush (sud-ouest et sud)</w:t>
      </w:r>
    </w:p>
    <w:p w14:paraId="6DA0B47C" w14:textId="77777777" w:rsidR="00575CDF" w:rsidRPr="00C801A6" w:rsidRDefault="00575CDF" w:rsidP="00844538">
      <w:pPr>
        <w:pStyle w:val="ListParagraph"/>
        <w:numPr>
          <w:ilvl w:val="0"/>
          <w:numId w:val="29"/>
        </w:numPr>
        <w:spacing w:line="276" w:lineRule="auto"/>
        <w:ind w:hanging="578"/>
        <w:contextualSpacing w:val="0"/>
        <w:rPr>
          <w:color w:val="auto"/>
        </w:rPr>
      </w:pPr>
      <w:r w:rsidRPr="00C801A6">
        <w:rPr>
          <w:color w:val="auto"/>
          <w:u w:val="single"/>
        </w:rPr>
        <w:t xml:space="preserve">Formations secondaires : </w:t>
      </w:r>
    </w:p>
    <w:p w14:paraId="4938E3AB" w14:textId="77777777" w:rsidR="00575CDF" w:rsidRPr="00C801A6" w:rsidRDefault="00575CDF" w:rsidP="00575CDF">
      <w:pPr>
        <w:pStyle w:val="ListParagraph"/>
        <w:spacing w:line="276" w:lineRule="auto"/>
        <w:contextualSpacing w:val="0"/>
        <w:rPr>
          <w:color w:val="auto"/>
        </w:rPr>
      </w:pPr>
      <w:r w:rsidRPr="00C801A6">
        <w:rPr>
          <w:color w:val="auto"/>
        </w:rPr>
        <w:t>Ce sont des formes de dégradation des forêts primaires et se manifestant par différents stades évolutifs allant du stade ligneux (arbres, arbustes) au stade herbeux (savanes et steppes)</w:t>
      </w:r>
    </w:p>
    <w:p w14:paraId="2683033F" w14:textId="77777777" w:rsidR="00575CDF" w:rsidRPr="00C801A6" w:rsidRDefault="00575CDF" w:rsidP="00844538">
      <w:pPr>
        <w:pStyle w:val="ListParagraph"/>
        <w:numPr>
          <w:ilvl w:val="0"/>
          <w:numId w:val="31"/>
        </w:numPr>
        <w:spacing w:line="276" w:lineRule="auto"/>
        <w:ind w:left="1417" w:hanging="425"/>
        <w:contextualSpacing w:val="0"/>
        <w:rPr>
          <w:color w:val="auto"/>
        </w:rPr>
      </w:pPr>
      <w:r w:rsidRPr="00C801A6">
        <w:rPr>
          <w:i/>
          <w:iCs/>
          <w:color w:val="auto"/>
        </w:rPr>
        <w:t xml:space="preserve">Savoka : </w:t>
      </w:r>
      <w:r w:rsidRPr="00C801A6">
        <w:rPr>
          <w:color w:val="auto"/>
        </w:rPr>
        <w:t xml:space="preserve">formations arborées de la région orientale et du Sambirano qui s’installent après la destruction de la formation primaire par la pratique des cultures sur-brûlis ou « tavy ». </w:t>
      </w:r>
    </w:p>
    <w:p w14:paraId="0B203F7D" w14:textId="77777777" w:rsidR="00575CDF" w:rsidRPr="00C801A6" w:rsidRDefault="00575CDF" w:rsidP="00844538">
      <w:pPr>
        <w:pStyle w:val="ListParagraph"/>
        <w:numPr>
          <w:ilvl w:val="0"/>
          <w:numId w:val="31"/>
        </w:numPr>
        <w:spacing w:line="276" w:lineRule="auto"/>
        <w:ind w:left="1417" w:hanging="425"/>
        <w:contextualSpacing w:val="0"/>
        <w:rPr>
          <w:color w:val="auto"/>
        </w:rPr>
      </w:pPr>
      <w:r w:rsidRPr="00C801A6">
        <w:rPr>
          <w:i/>
          <w:iCs/>
          <w:color w:val="auto"/>
        </w:rPr>
        <w:t>Savanes </w:t>
      </w:r>
      <w:r w:rsidRPr="00C801A6">
        <w:rPr>
          <w:color w:val="auto"/>
        </w:rPr>
        <w:t>: formations herbeuses pouvant comporter des bouquets d’arbres et arbustes plus ou moins isolés, et occupant de grandes espaces dans les régions occidentales, sur les Hautes Terres centrales et des zones assez limitées dans la région orientale. Elles proviennent de la destruction des forêts secondaires après défrichement et passages répétés des feux.</w:t>
      </w:r>
    </w:p>
    <w:p w14:paraId="6F304957" w14:textId="77777777" w:rsidR="00575CDF" w:rsidRPr="00C801A6" w:rsidRDefault="00575CDF" w:rsidP="00575CDF">
      <w:pPr>
        <w:ind w:left="1418"/>
        <w:rPr>
          <w:color w:val="auto"/>
        </w:rPr>
      </w:pPr>
      <w:r w:rsidRPr="00C801A6">
        <w:rPr>
          <w:color w:val="auto"/>
        </w:rPr>
        <w:t>A haute altitude où les conditions climatiques et pédologiques sont assez spéciales, la formation rencontrée est constituée par la prairie qui n’a pas la même composition floristique que la savane.</w:t>
      </w:r>
    </w:p>
    <w:p w14:paraId="2A7A91E2" w14:textId="77777777" w:rsidR="00575CDF" w:rsidRPr="00C801A6" w:rsidRDefault="00575CDF" w:rsidP="00844538">
      <w:pPr>
        <w:pStyle w:val="ListParagraph"/>
        <w:numPr>
          <w:ilvl w:val="0"/>
          <w:numId w:val="31"/>
        </w:numPr>
        <w:spacing w:line="276" w:lineRule="auto"/>
        <w:ind w:left="1417" w:hanging="425"/>
        <w:contextualSpacing w:val="0"/>
        <w:rPr>
          <w:color w:val="auto"/>
        </w:rPr>
      </w:pPr>
      <w:r w:rsidRPr="00C801A6">
        <w:rPr>
          <w:i/>
          <w:iCs/>
          <w:color w:val="auto"/>
        </w:rPr>
        <w:t>Steppes </w:t>
      </w:r>
      <w:r w:rsidRPr="00C801A6">
        <w:rPr>
          <w:color w:val="auto"/>
        </w:rPr>
        <w:t>: formations herbeuses ouvertes du sud résultant du défrichement et de la dégradation des fourrés xérophiles.</w:t>
      </w:r>
    </w:p>
    <w:p w14:paraId="3B3B4792" w14:textId="77777777" w:rsidR="00575CDF" w:rsidRPr="00C801A6" w:rsidRDefault="00575CDF" w:rsidP="00844538">
      <w:pPr>
        <w:pStyle w:val="ListParagraph"/>
        <w:numPr>
          <w:ilvl w:val="0"/>
          <w:numId w:val="29"/>
        </w:numPr>
        <w:ind w:hanging="578"/>
        <w:contextualSpacing w:val="0"/>
        <w:rPr>
          <w:color w:val="auto"/>
          <w:u w:val="single"/>
        </w:rPr>
      </w:pPr>
      <w:r w:rsidRPr="00C801A6">
        <w:rPr>
          <w:color w:val="auto"/>
          <w:u w:val="single"/>
        </w:rPr>
        <w:t>Formations particulières</w:t>
      </w:r>
    </w:p>
    <w:p w14:paraId="6C3575EA" w14:textId="77777777" w:rsidR="00575CDF" w:rsidRPr="00C801A6" w:rsidRDefault="00575CDF" w:rsidP="00575CDF">
      <w:pPr>
        <w:pStyle w:val="ListParagraph"/>
        <w:spacing w:line="276" w:lineRule="auto"/>
        <w:contextualSpacing w:val="0"/>
        <w:rPr>
          <w:color w:val="auto"/>
        </w:rPr>
      </w:pPr>
      <w:r w:rsidRPr="00C801A6">
        <w:rPr>
          <w:color w:val="auto"/>
        </w:rPr>
        <w:t>Ce sont des formations végétales spécialisées qui sont régies par des conditions écologiques particulières. On distingue :</w:t>
      </w:r>
    </w:p>
    <w:p w14:paraId="59F995F5" w14:textId="77777777" w:rsidR="00575CDF" w:rsidRPr="00C801A6" w:rsidRDefault="00575CDF" w:rsidP="00844538">
      <w:pPr>
        <w:pStyle w:val="ListParagraph"/>
        <w:numPr>
          <w:ilvl w:val="1"/>
          <w:numId w:val="25"/>
        </w:numPr>
        <w:spacing w:line="276" w:lineRule="auto"/>
        <w:ind w:left="1418" w:hanging="709"/>
        <w:contextualSpacing w:val="0"/>
        <w:rPr>
          <w:color w:val="auto"/>
        </w:rPr>
      </w:pPr>
      <w:r w:rsidRPr="00C801A6">
        <w:rPr>
          <w:i/>
          <w:iCs/>
          <w:color w:val="auto"/>
        </w:rPr>
        <w:t>Formations rupicoles </w:t>
      </w:r>
      <w:r w:rsidRPr="00C801A6">
        <w:rPr>
          <w:color w:val="auto"/>
        </w:rPr>
        <w:t xml:space="preserve">: formées par des végétations des affleurements rocheux. Elles sont très importantes sur les dômes granitiques de la région centrale. </w:t>
      </w:r>
    </w:p>
    <w:p w14:paraId="56FAACE6" w14:textId="77777777" w:rsidR="00575CDF" w:rsidRPr="00C801A6" w:rsidRDefault="00575CDF" w:rsidP="00844538">
      <w:pPr>
        <w:pStyle w:val="ListParagraph"/>
        <w:numPr>
          <w:ilvl w:val="1"/>
          <w:numId w:val="25"/>
        </w:numPr>
        <w:spacing w:line="276" w:lineRule="auto"/>
        <w:ind w:left="1418" w:hanging="709"/>
        <w:contextualSpacing w:val="0"/>
        <w:rPr>
          <w:color w:val="auto"/>
        </w:rPr>
      </w:pPr>
      <w:r w:rsidRPr="00C801A6">
        <w:rPr>
          <w:i/>
          <w:iCs/>
          <w:color w:val="auto"/>
        </w:rPr>
        <w:lastRenderedPageBreak/>
        <w:t>Végétations des marais et marécages</w:t>
      </w:r>
      <w:r w:rsidRPr="00C801A6">
        <w:rPr>
          <w:color w:val="auto"/>
        </w:rPr>
        <w:t> : très diversifiées surtout dans la région orientale, les régions centrale et occidentale, et dans les vallées humides et les dépressions temporairement inondables. Elles couvrent environ 0,5% de l’île.</w:t>
      </w:r>
    </w:p>
    <w:p w14:paraId="69C7C5AD" w14:textId="77777777" w:rsidR="00575CDF" w:rsidRPr="00C801A6" w:rsidRDefault="00575CDF" w:rsidP="00844538">
      <w:pPr>
        <w:pStyle w:val="ListParagraph"/>
        <w:numPr>
          <w:ilvl w:val="0"/>
          <w:numId w:val="29"/>
        </w:numPr>
        <w:ind w:hanging="578"/>
        <w:contextualSpacing w:val="0"/>
        <w:rPr>
          <w:color w:val="auto"/>
          <w:u w:val="single"/>
        </w:rPr>
      </w:pPr>
      <w:r w:rsidRPr="00C801A6">
        <w:rPr>
          <w:color w:val="auto"/>
          <w:u w:val="single"/>
        </w:rPr>
        <w:t>Plantations et cultures</w:t>
      </w:r>
    </w:p>
    <w:p w14:paraId="2FF75AAF" w14:textId="77777777" w:rsidR="00575CDF" w:rsidRPr="00C801A6" w:rsidRDefault="00575CDF" w:rsidP="00844538">
      <w:pPr>
        <w:pStyle w:val="ListParagraph"/>
        <w:numPr>
          <w:ilvl w:val="0"/>
          <w:numId w:val="32"/>
        </w:numPr>
        <w:spacing w:line="276" w:lineRule="auto"/>
        <w:ind w:left="1418" w:hanging="709"/>
        <w:contextualSpacing w:val="0"/>
        <w:rPr>
          <w:color w:val="auto"/>
        </w:rPr>
      </w:pPr>
      <w:r w:rsidRPr="00C801A6">
        <w:rPr>
          <w:i/>
          <w:iCs/>
          <w:color w:val="auto"/>
        </w:rPr>
        <w:t>Reboisements</w:t>
      </w:r>
      <w:r w:rsidRPr="00C801A6">
        <w:rPr>
          <w:color w:val="auto"/>
        </w:rPr>
        <w:t xml:space="preserve"> constitués en grande partie par des plantations d’essences exotiques à croissance rapide (Eucalyptus et Pins) réparties essentiellement dans les régions des hautes terres.</w:t>
      </w:r>
    </w:p>
    <w:p w14:paraId="3F5EC770" w14:textId="77777777" w:rsidR="00575CDF" w:rsidRPr="00C801A6" w:rsidRDefault="00575CDF" w:rsidP="00844538">
      <w:pPr>
        <w:pStyle w:val="ListParagraph"/>
        <w:numPr>
          <w:ilvl w:val="0"/>
          <w:numId w:val="32"/>
        </w:numPr>
        <w:spacing w:line="276" w:lineRule="auto"/>
        <w:ind w:left="1418" w:hanging="709"/>
        <w:contextualSpacing w:val="0"/>
        <w:rPr>
          <w:color w:val="auto"/>
        </w:rPr>
      </w:pPr>
      <w:r w:rsidRPr="00C801A6">
        <w:rPr>
          <w:i/>
          <w:iCs/>
          <w:color w:val="auto"/>
        </w:rPr>
        <w:t>Plantations</w:t>
      </w:r>
      <w:r w:rsidRPr="00C801A6">
        <w:rPr>
          <w:color w:val="auto"/>
        </w:rPr>
        <w:t> : surtout formées par les plantations d’Anacardes localisées dans les régions de Mahajanga et d’Antsiranana.</w:t>
      </w:r>
    </w:p>
    <w:p w14:paraId="3215E1B0" w14:textId="77777777" w:rsidR="00575CDF" w:rsidRPr="00C801A6" w:rsidRDefault="00575CDF" w:rsidP="00844538">
      <w:pPr>
        <w:pStyle w:val="ListParagraph"/>
        <w:numPr>
          <w:ilvl w:val="0"/>
          <w:numId w:val="32"/>
        </w:numPr>
        <w:spacing w:line="276" w:lineRule="auto"/>
        <w:ind w:left="1418" w:hanging="709"/>
        <w:contextualSpacing w:val="0"/>
        <w:rPr>
          <w:color w:val="auto"/>
          <w:lang w:eastAsia="en-US"/>
        </w:rPr>
      </w:pPr>
      <w:r w:rsidRPr="00C801A6">
        <w:rPr>
          <w:i/>
          <w:iCs/>
          <w:color w:val="auto"/>
        </w:rPr>
        <w:t>Cultures </w:t>
      </w:r>
      <w:r w:rsidRPr="00C801A6">
        <w:rPr>
          <w:color w:val="auto"/>
        </w:rPr>
        <w:t xml:space="preserve">: </w:t>
      </w:r>
      <w:r w:rsidRPr="00C801A6">
        <w:rPr>
          <w:color w:val="auto"/>
          <w:lang w:eastAsia="en-US"/>
        </w:rPr>
        <w:t>se rencontrent dans toute l’île et sont souvent pratiquées sur les anciens emplacements des différents types de formation forestière déjà détruite par l’homme : cultures vivrières, riziculture, cultures de rente, cultures maraîchères.</w:t>
      </w:r>
    </w:p>
    <w:p w14:paraId="0C7FFA27" w14:textId="77777777" w:rsidR="00575CDF" w:rsidRPr="00C801A6" w:rsidRDefault="00575CDF" w:rsidP="003042DB">
      <w:pPr>
        <w:pStyle w:val="Heading4"/>
        <w:rPr>
          <w:color w:val="auto"/>
        </w:rPr>
      </w:pPr>
      <w:bookmarkStart w:id="147" w:name="_Toc440199208"/>
      <w:bookmarkStart w:id="148" w:name="_Toc230298740"/>
      <w:r w:rsidRPr="00C801A6">
        <w:rPr>
          <w:color w:val="auto"/>
        </w:rPr>
        <w:t>Ecosystèmes aquatiques</w:t>
      </w:r>
      <w:bookmarkEnd w:id="147"/>
      <w:bookmarkEnd w:id="148"/>
    </w:p>
    <w:p w14:paraId="24AC5C26" w14:textId="77777777" w:rsidR="00575CDF" w:rsidRPr="00C801A6" w:rsidRDefault="00575CDF" w:rsidP="00575CDF">
      <w:pPr>
        <w:pStyle w:val="NormalWeb"/>
        <w:spacing w:before="0" w:beforeAutospacing="0" w:after="160" w:afterAutospacing="0" w:line="276" w:lineRule="auto"/>
        <w:jc w:val="both"/>
        <w:rPr>
          <w:rFonts w:eastAsiaTheme="minorHAnsi" w:cstheme="minorBidi"/>
          <w:szCs w:val="22"/>
          <w:lang w:eastAsia="en-US"/>
        </w:rPr>
      </w:pPr>
      <w:r w:rsidRPr="00C801A6">
        <w:rPr>
          <w:rFonts w:eastAsiaTheme="minorHAnsi" w:cstheme="minorBidi"/>
          <w:szCs w:val="22"/>
          <w:lang w:eastAsia="en-US"/>
        </w:rPr>
        <w:t>Les principaux écosystèmes aquatiques de Madagascar sont formés par les eaux souterraines et les eaux continentales de surface ou zones humides d’eau douce. Ces dernières sont les plus importantes en matière de diversité biologique et comprennent deux grandes catégories de milieux :</w:t>
      </w:r>
    </w:p>
    <w:p w14:paraId="0357D734" w14:textId="77777777" w:rsidR="00575CDF" w:rsidRPr="00C801A6" w:rsidRDefault="00575CDF" w:rsidP="00844538">
      <w:pPr>
        <w:pStyle w:val="ListParagraph"/>
        <w:numPr>
          <w:ilvl w:val="0"/>
          <w:numId w:val="15"/>
        </w:numPr>
        <w:spacing w:line="276" w:lineRule="auto"/>
        <w:ind w:left="851" w:hanging="425"/>
        <w:contextualSpacing w:val="0"/>
        <w:rPr>
          <w:color w:val="auto"/>
          <w:lang w:eastAsia="en-US"/>
        </w:rPr>
      </w:pPr>
      <w:r w:rsidRPr="00C801A6">
        <w:rPr>
          <w:color w:val="auto"/>
        </w:rPr>
        <w:t xml:space="preserve">Milieux d’eau courante ou lotiques : </w:t>
      </w:r>
      <w:r w:rsidRPr="00C801A6">
        <w:rPr>
          <w:color w:val="auto"/>
          <w:lang w:eastAsia="en-US"/>
        </w:rPr>
        <w:t>formés par les ruisseaux, rivières et fleuves.</w:t>
      </w:r>
    </w:p>
    <w:p w14:paraId="5BE79E9C" w14:textId="77777777" w:rsidR="00575CDF" w:rsidRPr="00C801A6" w:rsidRDefault="00575CDF" w:rsidP="00844538">
      <w:pPr>
        <w:pStyle w:val="ListParagraph"/>
        <w:numPr>
          <w:ilvl w:val="0"/>
          <w:numId w:val="15"/>
        </w:numPr>
        <w:spacing w:line="276" w:lineRule="auto"/>
        <w:ind w:left="851" w:hanging="425"/>
        <w:contextualSpacing w:val="0"/>
        <w:rPr>
          <w:color w:val="auto"/>
          <w:lang w:eastAsia="en-US"/>
        </w:rPr>
      </w:pPr>
      <w:r w:rsidRPr="00C801A6">
        <w:rPr>
          <w:color w:val="auto"/>
        </w:rPr>
        <w:t xml:space="preserve">Milieux d’eau stagnante ou lentiques : </w:t>
      </w:r>
      <w:r w:rsidRPr="00C801A6">
        <w:rPr>
          <w:color w:val="auto"/>
          <w:lang w:eastAsia="en-US"/>
        </w:rPr>
        <w:t>formés par les étangs, marais, marécages, tourbières, lacs, etc.</w:t>
      </w:r>
    </w:p>
    <w:p w14:paraId="5FBCB3C4" w14:textId="77777777" w:rsidR="00575CDF" w:rsidRPr="00C801A6" w:rsidRDefault="00575CDF" w:rsidP="003042DB">
      <w:pPr>
        <w:pStyle w:val="Heading4"/>
        <w:rPr>
          <w:color w:val="auto"/>
        </w:rPr>
      </w:pPr>
      <w:bookmarkStart w:id="149" w:name="_Toc440199209"/>
      <w:bookmarkStart w:id="150" w:name="_Toc230298741"/>
      <w:r w:rsidRPr="00C801A6">
        <w:rPr>
          <w:color w:val="auto"/>
        </w:rPr>
        <w:t>Ecosystèmes côtiers et marins</w:t>
      </w:r>
      <w:bookmarkEnd w:id="149"/>
      <w:bookmarkEnd w:id="150"/>
    </w:p>
    <w:p w14:paraId="65495206" w14:textId="77777777" w:rsidR="00575CDF" w:rsidRPr="00C801A6" w:rsidRDefault="00575CDF" w:rsidP="00575CDF">
      <w:pPr>
        <w:pStyle w:val="NormalWeb"/>
        <w:spacing w:before="0" w:beforeAutospacing="0" w:after="160" w:afterAutospacing="0" w:line="312" w:lineRule="auto"/>
        <w:jc w:val="both"/>
        <w:rPr>
          <w:rFonts w:eastAsiaTheme="minorHAnsi" w:cstheme="minorBidi"/>
          <w:szCs w:val="22"/>
          <w:lang w:eastAsia="en-US"/>
        </w:rPr>
      </w:pPr>
      <w:r w:rsidRPr="00C801A6">
        <w:rPr>
          <w:rFonts w:eastAsiaTheme="minorHAnsi" w:cstheme="minorBidi"/>
          <w:szCs w:val="22"/>
          <w:lang w:eastAsia="en-US"/>
        </w:rPr>
        <w:t xml:space="preserve">Étant une île, Madagascar possède une potentialité élevée en matière de biodiversité côtière et marine. </w:t>
      </w:r>
    </w:p>
    <w:p w14:paraId="48DC98A1" w14:textId="77777777" w:rsidR="00575CDF" w:rsidRPr="00C801A6" w:rsidRDefault="00575CDF" w:rsidP="00575CDF">
      <w:pPr>
        <w:pStyle w:val="NormalWeb"/>
        <w:spacing w:before="0" w:beforeAutospacing="0" w:after="160" w:afterAutospacing="0" w:line="312" w:lineRule="auto"/>
        <w:jc w:val="both"/>
        <w:rPr>
          <w:rFonts w:eastAsiaTheme="minorEastAsia" w:cstheme="minorBidi"/>
          <w:lang w:eastAsia="en-US"/>
        </w:rPr>
      </w:pPr>
      <w:r w:rsidRPr="00C801A6">
        <w:rPr>
          <w:rFonts w:eastAsiaTheme="minorEastAsia" w:cstheme="minorBidi"/>
          <w:lang w:eastAsia="en-US"/>
        </w:rPr>
        <w:t>Les principaux écosystèmes marins et côtiers comprennent les mangroves, les récifs coralliens, les herbiers à phanérogames, les lagunes, les plages sableuses, les plages de galets et les affleurements rocheux.</w:t>
      </w:r>
    </w:p>
    <w:p w14:paraId="51D83A45" w14:textId="77777777" w:rsidR="00575CDF" w:rsidRPr="00C801A6" w:rsidRDefault="00575CDF" w:rsidP="00C65572">
      <w:pPr>
        <w:pStyle w:val="Heading3"/>
      </w:pPr>
      <w:bookmarkStart w:id="151" w:name="_Toc440199210"/>
      <w:bookmarkStart w:id="152" w:name="_Toc106320294"/>
      <w:bookmarkStart w:id="153" w:name="_Toc230426005"/>
      <w:r w:rsidRPr="00C801A6">
        <w:t>Végétation</w:t>
      </w:r>
      <w:bookmarkEnd w:id="151"/>
      <w:bookmarkEnd w:id="152"/>
      <w:bookmarkEnd w:id="153"/>
    </w:p>
    <w:p w14:paraId="6F40447A" w14:textId="05E9427D" w:rsidR="00575CDF" w:rsidRPr="00C801A6" w:rsidRDefault="00575CDF" w:rsidP="00575CDF">
      <w:pPr>
        <w:pStyle w:val="NormalWeb"/>
        <w:spacing w:before="0" w:beforeAutospacing="0" w:after="160" w:afterAutospacing="0" w:line="312" w:lineRule="auto"/>
        <w:jc w:val="both"/>
        <w:rPr>
          <w:rFonts w:eastAsiaTheme="minorHAnsi" w:cstheme="minorBidi"/>
          <w:szCs w:val="22"/>
          <w:lang w:eastAsia="en-US"/>
        </w:rPr>
      </w:pPr>
      <w:r w:rsidRPr="00C801A6">
        <w:rPr>
          <w:rFonts w:eastAsiaTheme="minorHAnsi" w:cstheme="minorBidi"/>
          <w:szCs w:val="22"/>
          <w:lang w:eastAsia="en-US"/>
        </w:rPr>
        <w:t xml:space="preserve">Globalement, les types de végétation de l’île se répartissent dans les domaines phytogéographiques ou régions écologiques </w:t>
      </w:r>
      <w:r w:rsidR="00D66491" w:rsidRPr="00C801A6">
        <w:rPr>
          <w:rFonts w:eastAsiaTheme="minorHAnsi" w:cstheme="minorBidi"/>
          <w:szCs w:val="22"/>
          <w:lang w:eastAsia="en-US"/>
        </w:rPr>
        <w:t xml:space="preserve">(figure 13 ci-dessous) </w:t>
      </w:r>
      <w:r w:rsidRPr="00C801A6">
        <w:rPr>
          <w:rFonts w:eastAsiaTheme="minorHAnsi" w:cstheme="minorBidi"/>
          <w:szCs w:val="22"/>
          <w:lang w:eastAsia="en-US"/>
        </w:rPr>
        <w:t>suivantes :</w:t>
      </w:r>
    </w:p>
    <w:p w14:paraId="0F8FED3E" w14:textId="77777777" w:rsidR="00575CDF" w:rsidRPr="00C801A6" w:rsidRDefault="00575CDF" w:rsidP="003042DB">
      <w:pPr>
        <w:pStyle w:val="Heading4"/>
        <w:rPr>
          <w:color w:val="auto"/>
        </w:rPr>
      </w:pPr>
      <w:bookmarkStart w:id="154" w:name="_Toc230298742"/>
      <w:r w:rsidRPr="00C801A6">
        <w:rPr>
          <w:color w:val="auto"/>
        </w:rPr>
        <w:t>Domaine de l’Est et du Sambirano</w:t>
      </w:r>
      <w:bookmarkEnd w:id="154"/>
    </w:p>
    <w:p w14:paraId="1F8D0CD0" w14:textId="77777777" w:rsidR="00575CDF" w:rsidRPr="00C801A6" w:rsidRDefault="00575CDF" w:rsidP="00575CDF">
      <w:pPr>
        <w:pStyle w:val="NormalWeb"/>
        <w:spacing w:before="0" w:beforeAutospacing="0" w:after="160" w:afterAutospacing="0" w:line="312" w:lineRule="auto"/>
        <w:jc w:val="both"/>
        <w:rPr>
          <w:rFonts w:eastAsiaTheme="minorHAnsi" w:cstheme="minorBidi"/>
          <w:szCs w:val="22"/>
          <w:lang w:eastAsia="en-US"/>
        </w:rPr>
      </w:pPr>
      <w:r w:rsidRPr="00C801A6">
        <w:rPr>
          <w:rFonts w:eastAsiaTheme="minorHAnsi" w:cstheme="minorBidi"/>
          <w:szCs w:val="22"/>
          <w:lang w:eastAsia="en-US"/>
        </w:rPr>
        <w:t>Il correspond au climat très humide et permet le développement de la forêt dense humide sempervirente pluristratifiée. Elle est constituée essentiellement par des espèces autochtones avec un taux d’endémisme élevé.</w:t>
      </w:r>
    </w:p>
    <w:p w14:paraId="01313E44" w14:textId="77777777" w:rsidR="00575CDF" w:rsidRPr="00C801A6" w:rsidRDefault="00575CDF" w:rsidP="00575CDF">
      <w:pPr>
        <w:pStyle w:val="NormalWeb"/>
        <w:spacing w:before="0" w:beforeAutospacing="0" w:after="160" w:afterAutospacing="0" w:line="276" w:lineRule="auto"/>
        <w:jc w:val="both"/>
        <w:rPr>
          <w:rFonts w:eastAsiaTheme="minorHAnsi"/>
          <w:lang w:eastAsia="en-US"/>
        </w:rPr>
      </w:pPr>
      <w:r w:rsidRPr="00C801A6">
        <w:rPr>
          <w:rFonts w:eastAsiaTheme="minorHAnsi"/>
          <w:lang w:eastAsia="en-US"/>
        </w:rPr>
        <w:lastRenderedPageBreak/>
        <w:t xml:space="preserve">Dans l’ensemble, ce type de forêt subit une très forte pression liée à la déforestation pour la culture sur défriche-brûlis. </w:t>
      </w:r>
    </w:p>
    <w:p w14:paraId="592E5ABE" w14:textId="77777777" w:rsidR="00575CDF" w:rsidRPr="00C801A6" w:rsidRDefault="00575CDF" w:rsidP="003042DB">
      <w:pPr>
        <w:pStyle w:val="Heading4"/>
        <w:rPr>
          <w:color w:val="auto"/>
        </w:rPr>
      </w:pPr>
      <w:bookmarkStart w:id="155" w:name="_Toc230298743"/>
      <w:r w:rsidRPr="00C801A6">
        <w:rPr>
          <w:color w:val="auto"/>
        </w:rPr>
        <w:t>Domaine du Centre</w:t>
      </w:r>
      <w:bookmarkEnd w:id="155"/>
    </w:p>
    <w:p w14:paraId="625C1306" w14:textId="77777777" w:rsidR="00575CDF" w:rsidRPr="00C801A6" w:rsidRDefault="00575CDF" w:rsidP="00575CDF">
      <w:pPr>
        <w:autoSpaceDE w:val="0"/>
        <w:autoSpaceDN w:val="0"/>
        <w:adjustRightInd w:val="0"/>
        <w:rPr>
          <w:rFonts w:cs="Times New Roman"/>
          <w:color w:val="auto"/>
          <w:szCs w:val="24"/>
          <w:lang w:val="fr-CH"/>
        </w:rPr>
      </w:pPr>
      <w:r w:rsidRPr="00C801A6">
        <w:rPr>
          <w:rFonts w:cs="Times New Roman"/>
          <w:color w:val="auto"/>
          <w:szCs w:val="24"/>
          <w:lang w:val="fr-CH"/>
        </w:rPr>
        <w:t xml:space="preserve">Il correspond aux zones soumises au climat subhumide. Il abrite deux types de formations forestières originelles : </w:t>
      </w:r>
    </w:p>
    <w:p w14:paraId="0152B6FC" w14:textId="77777777" w:rsidR="00575CDF" w:rsidRPr="00C801A6" w:rsidRDefault="00575CDF" w:rsidP="00844538">
      <w:pPr>
        <w:pStyle w:val="ListParagraph"/>
        <w:numPr>
          <w:ilvl w:val="0"/>
          <w:numId w:val="26"/>
        </w:numPr>
        <w:tabs>
          <w:tab w:val="left" w:pos="567"/>
        </w:tabs>
        <w:autoSpaceDE w:val="0"/>
        <w:autoSpaceDN w:val="0"/>
        <w:adjustRightInd w:val="0"/>
        <w:spacing w:line="276" w:lineRule="auto"/>
        <w:ind w:left="714" w:hanging="357"/>
        <w:contextualSpacing w:val="0"/>
        <w:rPr>
          <w:rFonts w:cs="Times New Roman"/>
          <w:color w:val="auto"/>
          <w:szCs w:val="24"/>
          <w:lang w:val="fr-CH"/>
        </w:rPr>
      </w:pPr>
      <w:r w:rsidRPr="00C801A6">
        <w:rPr>
          <w:rFonts w:cs="Times New Roman"/>
          <w:i/>
          <w:color w:val="auto"/>
          <w:szCs w:val="24"/>
          <w:lang w:val="fr-CH"/>
        </w:rPr>
        <w:t>La forêt dense humide sempervirente saisonnière</w:t>
      </w:r>
      <w:r w:rsidRPr="00C801A6">
        <w:rPr>
          <w:rFonts w:cs="Times New Roman"/>
          <w:color w:val="auto"/>
          <w:szCs w:val="24"/>
          <w:lang w:val="fr-CH"/>
        </w:rPr>
        <w:t> : elle occupe le versant oriental des hautes terres de 800m à 1200 m. Il s’agit d’une variante plus sèche et plus réduite en hauteur de la forêt dense humide sempervirente.</w:t>
      </w:r>
    </w:p>
    <w:p w14:paraId="5D4280F1" w14:textId="77777777" w:rsidR="00575CDF" w:rsidRPr="00C801A6" w:rsidRDefault="00575CDF" w:rsidP="00844538">
      <w:pPr>
        <w:pStyle w:val="ListParagraph"/>
        <w:numPr>
          <w:ilvl w:val="0"/>
          <w:numId w:val="26"/>
        </w:numPr>
        <w:tabs>
          <w:tab w:val="left" w:pos="567"/>
        </w:tabs>
        <w:autoSpaceDE w:val="0"/>
        <w:autoSpaceDN w:val="0"/>
        <w:adjustRightInd w:val="0"/>
        <w:spacing w:line="276" w:lineRule="auto"/>
        <w:contextualSpacing w:val="0"/>
        <w:rPr>
          <w:rFonts w:cs="Times New Roman"/>
          <w:color w:val="auto"/>
          <w:szCs w:val="24"/>
          <w:lang w:val="fr-CH"/>
        </w:rPr>
      </w:pPr>
      <w:r w:rsidRPr="00C801A6">
        <w:rPr>
          <w:rFonts w:cs="Times New Roman"/>
          <w:i/>
          <w:color w:val="auto"/>
          <w:szCs w:val="24"/>
          <w:lang w:val="fr-CH"/>
        </w:rPr>
        <w:t>La forêt dense sclérophylle basse</w:t>
      </w:r>
      <w:r w:rsidRPr="00C801A6">
        <w:rPr>
          <w:rFonts w:cs="Times New Roman"/>
          <w:color w:val="auto"/>
          <w:szCs w:val="24"/>
          <w:lang w:val="fr-CH"/>
        </w:rPr>
        <w:t xml:space="preserve"> : </w:t>
      </w:r>
      <w:r w:rsidRPr="00C801A6">
        <w:rPr>
          <w:rFonts w:cs="Times New Roman"/>
          <w:color w:val="auto"/>
          <w:szCs w:val="24"/>
        </w:rPr>
        <w:t>elle occupe le versant occidental du Domaine du Centre d’une altitude variant entre 800m et 1200 m. Le mécanisme d’adaptation à la sécheresse est déjà assez marqué. Il s’agit d’une formation assez basse, sa hauteur reste moins de 10 – 12 m.</w:t>
      </w:r>
    </w:p>
    <w:p w14:paraId="5B597B83" w14:textId="77777777" w:rsidR="00575CDF" w:rsidRPr="00C801A6" w:rsidRDefault="00575CDF" w:rsidP="003042DB">
      <w:pPr>
        <w:pStyle w:val="Heading4"/>
        <w:rPr>
          <w:color w:val="auto"/>
        </w:rPr>
      </w:pPr>
      <w:bookmarkStart w:id="156" w:name="_Toc230298744"/>
      <w:r w:rsidRPr="00C801A6">
        <w:rPr>
          <w:color w:val="auto"/>
        </w:rPr>
        <w:t>Domaine de l’Ouest</w:t>
      </w:r>
      <w:bookmarkEnd w:id="156"/>
    </w:p>
    <w:p w14:paraId="12E42D5B" w14:textId="77777777" w:rsidR="00575CDF" w:rsidRPr="00C801A6" w:rsidRDefault="00575CDF" w:rsidP="00575CDF">
      <w:pPr>
        <w:autoSpaceDE w:val="0"/>
        <w:autoSpaceDN w:val="0"/>
        <w:adjustRightInd w:val="0"/>
        <w:rPr>
          <w:rFonts w:cs="Times New Roman"/>
          <w:color w:val="auto"/>
          <w:szCs w:val="24"/>
          <w:lang w:val="fr-CH"/>
        </w:rPr>
      </w:pPr>
      <w:r w:rsidRPr="00C801A6">
        <w:rPr>
          <w:rFonts w:cs="Times New Roman"/>
          <w:color w:val="auto"/>
          <w:szCs w:val="24"/>
          <w:lang w:val="fr-CH"/>
        </w:rPr>
        <w:t>Il correspond à l’ensemble des régions occidentales d’altitude inférieure à 800 m, soumises au climat subhumide à semi-aride. C’est le domaine de la forêt dense sèche qui est une formation pluristratifiée. Elle présente des faciès liés au substrat abritant tous une faune très riche telle que les Lémuriens, les Oiseaux divers, les Reptiles, …</w:t>
      </w:r>
    </w:p>
    <w:p w14:paraId="56ACAA97" w14:textId="77777777" w:rsidR="00575CDF" w:rsidRPr="00C801A6" w:rsidRDefault="00575CDF" w:rsidP="003042DB">
      <w:pPr>
        <w:pStyle w:val="Heading4"/>
        <w:rPr>
          <w:color w:val="auto"/>
        </w:rPr>
      </w:pPr>
      <w:bookmarkStart w:id="157" w:name="_Toc230298745"/>
      <w:r w:rsidRPr="00C801A6">
        <w:rPr>
          <w:color w:val="auto"/>
        </w:rPr>
        <w:t>Domaine du Sud</w:t>
      </w:r>
      <w:bookmarkEnd w:id="157"/>
    </w:p>
    <w:p w14:paraId="391934FA" w14:textId="77777777" w:rsidR="00575CDF" w:rsidRPr="00C801A6" w:rsidRDefault="00575CDF" w:rsidP="00575CDF">
      <w:pPr>
        <w:autoSpaceDE w:val="0"/>
        <w:autoSpaceDN w:val="0"/>
        <w:adjustRightInd w:val="0"/>
        <w:rPr>
          <w:rFonts w:cs="Times New Roman"/>
          <w:color w:val="auto"/>
          <w:lang w:val="fr-CH"/>
        </w:rPr>
      </w:pPr>
      <w:r w:rsidRPr="00C801A6">
        <w:rPr>
          <w:rFonts w:cs="Times New Roman"/>
          <w:color w:val="auto"/>
          <w:lang w:val="fr-CH"/>
        </w:rPr>
        <w:t>Il correspond aux zones les plus sèches de Madagascar. Deux types de formations végétales climaciques s’y rencontrent : le fourré xérophile et la forêt dense sèche à Didieracées et Euphorbiacées. Ce sont des formations végétales épineuses et faiblement stratifiées, soumises à un stress hydrique très sévère.</w:t>
      </w:r>
    </w:p>
    <w:p w14:paraId="171237A9" w14:textId="77777777" w:rsidR="00575CDF" w:rsidRPr="00C801A6" w:rsidRDefault="00575CDF" w:rsidP="00575CDF">
      <w:pPr>
        <w:autoSpaceDE w:val="0"/>
        <w:autoSpaceDN w:val="0"/>
        <w:adjustRightInd w:val="0"/>
        <w:rPr>
          <w:rFonts w:cs="Times New Roman"/>
          <w:color w:val="auto"/>
          <w:szCs w:val="24"/>
          <w:lang w:val="fr-CH"/>
        </w:rPr>
      </w:pPr>
      <w:r w:rsidRPr="00C801A6">
        <w:rPr>
          <w:rFonts w:cs="Times New Roman"/>
          <w:color w:val="auto"/>
          <w:szCs w:val="24"/>
          <w:u w:val="single"/>
          <w:lang w:val="fr-CH"/>
        </w:rPr>
        <w:t>Remarque </w:t>
      </w:r>
      <w:r w:rsidRPr="00C801A6">
        <w:rPr>
          <w:rFonts w:cs="Times New Roman"/>
          <w:color w:val="auto"/>
          <w:szCs w:val="24"/>
          <w:lang w:val="fr-CH"/>
        </w:rPr>
        <w:t>: Deux types de formation restent indépendants des conditions climatiques majeures de leur milieu. Il s’agit des mangroves et des formations rupicoles. Ils sont fortement liés à leurs substrats.</w:t>
      </w:r>
    </w:p>
    <w:p w14:paraId="30EE03E5" w14:textId="77777777" w:rsidR="00575CDF" w:rsidRPr="00C801A6" w:rsidRDefault="00575CDF" w:rsidP="00C65572">
      <w:pPr>
        <w:pStyle w:val="Heading3"/>
      </w:pPr>
      <w:bookmarkStart w:id="158" w:name="_Toc440199211"/>
      <w:bookmarkStart w:id="159" w:name="_Toc106320295"/>
      <w:bookmarkStart w:id="160" w:name="_Toc230426006"/>
      <w:r w:rsidRPr="00C801A6">
        <w:t>Faune</w:t>
      </w:r>
      <w:bookmarkEnd w:id="158"/>
      <w:bookmarkEnd w:id="159"/>
      <w:bookmarkEnd w:id="160"/>
    </w:p>
    <w:p w14:paraId="36183631" w14:textId="77777777" w:rsidR="00575CDF" w:rsidRPr="00C801A6" w:rsidRDefault="00575CDF" w:rsidP="00575CDF">
      <w:pPr>
        <w:autoSpaceDE w:val="0"/>
        <w:autoSpaceDN w:val="0"/>
        <w:adjustRightInd w:val="0"/>
        <w:rPr>
          <w:rFonts w:cs="Times New Roman"/>
          <w:color w:val="auto"/>
          <w:szCs w:val="24"/>
          <w:lang w:val="fr-CH"/>
        </w:rPr>
      </w:pPr>
      <w:r w:rsidRPr="00C801A6">
        <w:rPr>
          <w:rFonts w:cs="Times New Roman"/>
          <w:color w:val="auto"/>
          <w:szCs w:val="24"/>
          <w:lang w:val="fr-CH"/>
        </w:rPr>
        <w:t>La faune de Madagascar est très riche et se caractérise par une endémicité exceptionnelle. La plupart des espèces sont forestières.</w:t>
      </w:r>
    </w:p>
    <w:p w14:paraId="59E3D303" w14:textId="77777777" w:rsidR="00575CDF" w:rsidRPr="00C801A6" w:rsidRDefault="00575CDF" w:rsidP="00844538">
      <w:pPr>
        <w:pStyle w:val="ListParagraph"/>
        <w:numPr>
          <w:ilvl w:val="0"/>
          <w:numId w:val="26"/>
        </w:numPr>
        <w:tabs>
          <w:tab w:val="left" w:pos="567"/>
        </w:tabs>
        <w:autoSpaceDE w:val="0"/>
        <w:autoSpaceDN w:val="0"/>
        <w:adjustRightInd w:val="0"/>
        <w:spacing w:line="276" w:lineRule="auto"/>
        <w:ind w:left="385" w:right="112" w:hanging="357"/>
        <w:contextualSpacing w:val="0"/>
        <w:rPr>
          <w:rFonts w:cs="Times New Roman"/>
          <w:color w:val="auto"/>
          <w:szCs w:val="24"/>
          <w:lang w:val="fr-CH"/>
        </w:rPr>
      </w:pPr>
      <w:r w:rsidRPr="00C801A6">
        <w:rPr>
          <w:rFonts w:cs="Times New Roman"/>
          <w:i/>
          <w:color w:val="auto"/>
          <w:szCs w:val="24"/>
          <w:lang w:val="fr-CH"/>
        </w:rPr>
        <w:t>Amphibiens</w:t>
      </w:r>
      <w:r w:rsidRPr="00C801A6">
        <w:rPr>
          <w:rFonts w:cs="Times New Roman"/>
          <w:color w:val="auto"/>
          <w:szCs w:val="24"/>
          <w:lang w:val="fr-CH"/>
        </w:rPr>
        <w:t xml:space="preserve"> : Ils se caractérisent par un taux d’endémisme spécifique très élevé de 98%. </w:t>
      </w:r>
    </w:p>
    <w:p w14:paraId="1422F26F" w14:textId="77777777" w:rsidR="00575CDF" w:rsidRPr="00C801A6" w:rsidRDefault="00575CDF" w:rsidP="00844538">
      <w:pPr>
        <w:pStyle w:val="ListParagraph"/>
        <w:numPr>
          <w:ilvl w:val="0"/>
          <w:numId w:val="26"/>
        </w:numPr>
        <w:tabs>
          <w:tab w:val="left" w:pos="567"/>
        </w:tabs>
        <w:autoSpaceDE w:val="0"/>
        <w:autoSpaceDN w:val="0"/>
        <w:adjustRightInd w:val="0"/>
        <w:spacing w:line="276" w:lineRule="auto"/>
        <w:ind w:left="385" w:right="112" w:hanging="357"/>
        <w:contextualSpacing w:val="0"/>
        <w:rPr>
          <w:rFonts w:cs="Times New Roman"/>
          <w:color w:val="auto"/>
          <w:szCs w:val="24"/>
        </w:rPr>
      </w:pPr>
      <w:r w:rsidRPr="00C801A6">
        <w:rPr>
          <w:rFonts w:cs="Times New Roman"/>
          <w:i/>
          <w:color w:val="auto"/>
          <w:szCs w:val="24"/>
          <w:lang w:val="fr-CH"/>
        </w:rPr>
        <w:t>Reptiles</w:t>
      </w:r>
      <w:r w:rsidRPr="00C801A6">
        <w:rPr>
          <w:rFonts w:cs="Times New Roman"/>
          <w:color w:val="auto"/>
          <w:szCs w:val="24"/>
          <w:lang w:val="fr-CH"/>
        </w:rPr>
        <w:t> : C</w:t>
      </w:r>
      <w:r w:rsidRPr="00C801A6">
        <w:rPr>
          <w:rFonts w:cs="Times New Roman"/>
          <w:color w:val="auto"/>
          <w:szCs w:val="24"/>
        </w:rPr>
        <w:t>e</w:t>
      </w:r>
      <w:r w:rsidRPr="00C801A6">
        <w:rPr>
          <w:rFonts w:cs="Times New Roman"/>
          <w:color w:val="auto"/>
          <w:spacing w:val="-4"/>
          <w:szCs w:val="24"/>
        </w:rPr>
        <w:t xml:space="preserve"> </w:t>
      </w:r>
      <w:r w:rsidRPr="00C801A6">
        <w:rPr>
          <w:rFonts w:cs="Times New Roman"/>
          <w:color w:val="auto"/>
          <w:spacing w:val="-1"/>
          <w:szCs w:val="24"/>
        </w:rPr>
        <w:t>groupe</w:t>
      </w:r>
      <w:r w:rsidRPr="00C801A6">
        <w:rPr>
          <w:rFonts w:cs="Times New Roman"/>
          <w:color w:val="auto"/>
          <w:spacing w:val="-6"/>
          <w:szCs w:val="24"/>
        </w:rPr>
        <w:t xml:space="preserve"> </w:t>
      </w:r>
      <w:r w:rsidRPr="00C801A6">
        <w:rPr>
          <w:rFonts w:cs="Times New Roman"/>
          <w:color w:val="auto"/>
          <w:spacing w:val="-1"/>
          <w:szCs w:val="24"/>
        </w:rPr>
        <w:t>manifeste</w:t>
      </w:r>
      <w:r w:rsidRPr="00C801A6">
        <w:rPr>
          <w:rFonts w:cs="Times New Roman"/>
          <w:color w:val="auto"/>
          <w:spacing w:val="-6"/>
          <w:szCs w:val="24"/>
        </w:rPr>
        <w:t xml:space="preserve"> </w:t>
      </w:r>
      <w:r w:rsidRPr="00C801A6">
        <w:rPr>
          <w:rFonts w:cs="Times New Roman"/>
          <w:color w:val="auto"/>
          <w:spacing w:val="1"/>
          <w:szCs w:val="24"/>
        </w:rPr>
        <w:t>un</w:t>
      </w:r>
      <w:r w:rsidRPr="00C801A6">
        <w:rPr>
          <w:rFonts w:cs="Times New Roman"/>
          <w:color w:val="auto"/>
          <w:spacing w:val="97"/>
          <w:w w:val="99"/>
          <w:szCs w:val="24"/>
        </w:rPr>
        <w:t xml:space="preserve"> </w:t>
      </w:r>
      <w:r w:rsidRPr="00C801A6">
        <w:rPr>
          <w:rFonts w:cs="Times New Roman"/>
          <w:color w:val="auto"/>
          <w:spacing w:val="-1"/>
          <w:szCs w:val="24"/>
        </w:rPr>
        <w:t>endémisme</w:t>
      </w:r>
      <w:r w:rsidRPr="00C801A6">
        <w:rPr>
          <w:rFonts w:cs="Times New Roman"/>
          <w:color w:val="auto"/>
          <w:spacing w:val="12"/>
          <w:szCs w:val="24"/>
        </w:rPr>
        <w:t xml:space="preserve"> </w:t>
      </w:r>
      <w:r w:rsidRPr="00C801A6">
        <w:rPr>
          <w:rFonts w:cs="Times New Roman"/>
          <w:color w:val="auto"/>
          <w:szCs w:val="24"/>
        </w:rPr>
        <w:t>élevé</w:t>
      </w:r>
      <w:r w:rsidRPr="00C801A6">
        <w:rPr>
          <w:rFonts w:cs="Times New Roman"/>
          <w:color w:val="auto"/>
          <w:spacing w:val="12"/>
          <w:szCs w:val="24"/>
        </w:rPr>
        <w:t xml:space="preserve"> </w:t>
      </w:r>
      <w:r w:rsidRPr="00C801A6">
        <w:rPr>
          <w:rFonts w:cs="Times New Roman"/>
          <w:color w:val="auto"/>
          <w:szCs w:val="24"/>
        </w:rPr>
        <w:t>de</w:t>
      </w:r>
      <w:r w:rsidRPr="00C801A6">
        <w:rPr>
          <w:rFonts w:cs="Times New Roman"/>
          <w:color w:val="auto"/>
          <w:spacing w:val="12"/>
          <w:szCs w:val="24"/>
        </w:rPr>
        <w:t xml:space="preserve"> </w:t>
      </w:r>
      <w:r w:rsidRPr="00C801A6">
        <w:rPr>
          <w:rFonts w:cs="Times New Roman"/>
          <w:color w:val="auto"/>
          <w:szCs w:val="24"/>
        </w:rPr>
        <w:t>plus</w:t>
      </w:r>
      <w:r w:rsidRPr="00C801A6">
        <w:rPr>
          <w:rFonts w:cs="Times New Roman"/>
          <w:color w:val="auto"/>
          <w:spacing w:val="14"/>
          <w:szCs w:val="24"/>
        </w:rPr>
        <w:t xml:space="preserve"> </w:t>
      </w:r>
      <w:r w:rsidRPr="00C801A6">
        <w:rPr>
          <w:rFonts w:cs="Times New Roman"/>
          <w:color w:val="auto"/>
          <w:szCs w:val="24"/>
        </w:rPr>
        <w:t>de</w:t>
      </w:r>
      <w:r w:rsidRPr="00C801A6">
        <w:rPr>
          <w:rFonts w:cs="Times New Roman"/>
          <w:color w:val="auto"/>
          <w:spacing w:val="12"/>
          <w:szCs w:val="24"/>
        </w:rPr>
        <w:t xml:space="preserve"> </w:t>
      </w:r>
      <w:r w:rsidRPr="00C801A6">
        <w:rPr>
          <w:rFonts w:cs="Times New Roman"/>
          <w:color w:val="auto"/>
          <w:spacing w:val="-1"/>
          <w:szCs w:val="24"/>
        </w:rPr>
        <w:t>90%,</w:t>
      </w:r>
      <w:r w:rsidRPr="00C801A6">
        <w:rPr>
          <w:rFonts w:cs="Times New Roman"/>
          <w:color w:val="auto"/>
          <w:spacing w:val="13"/>
          <w:szCs w:val="24"/>
        </w:rPr>
        <w:t xml:space="preserve"> </w:t>
      </w:r>
      <w:r w:rsidRPr="00C801A6">
        <w:rPr>
          <w:rFonts w:cs="Times New Roman"/>
          <w:color w:val="auto"/>
          <w:szCs w:val="24"/>
        </w:rPr>
        <w:t>avec</w:t>
      </w:r>
      <w:r w:rsidRPr="00C801A6">
        <w:rPr>
          <w:rFonts w:cs="Times New Roman"/>
          <w:color w:val="auto"/>
          <w:spacing w:val="13"/>
          <w:szCs w:val="24"/>
        </w:rPr>
        <w:t xml:space="preserve"> </w:t>
      </w:r>
      <w:r w:rsidRPr="00C801A6">
        <w:rPr>
          <w:rFonts w:cs="Times New Roman"/>
          <w:color w:val="auto"/>
          <w:szCs w:val="24"/>
        </w:rPr>
        <w:t>une</w:t>
      </w:r>
      <w:r w:rsidRPr="00C801A6">
        <w:rPr>
          <w:rFonts w:cs="Times New Roman"/>
          <w:color w:val="auto"/>
          <w:spacing w:val="12"/>
          <w:szCs w:val="24"/>
        </w:rPr>
        <w:t xml:space="preserve"> </w:t>
      </w:r>
      <w:r w:rsidRPr="00C801A6">
        <w:rPr>
          <w:rFonts w:cs="Times New Roman"/>
          <w:color w:val="auto"/>
          <w:spacing w:val="-1"/>
          <w:szCs w:val="24"/>
        </w:rPr>
        <w:t>richesse</w:t>
      </w:r>
      <w:r w:rsidRPr="00C801A6">
        <w:rPr>
          <w:rFonts w:cs="Times New Roman"/>
          <w:color w:val="auto"/>
          <w:spacing w:val="12"/>
          <w:szCs w:val="24"/>
        </w:rPr>
        <w:t xml:space="preserve"> </w:t>
      </w:r>
      <w:r w:rsidRPr="00C801A6">
        <w:rPr>
          <w:rFonts w:cs="Times New Roman"/>
          <w:color w:val="auto"/>
          <w:spacing w:val="-1"/>
          <w:szCs w:val="24"/>
        </w:rPr>
        <w:t>spécifique</w:t>
      </w:r>
      <w:r w:rsidRPr="00C801A6">
        <w:rPr>
          <w:rFonts w:cs="Times New Roman"/>
          <w:color w:val="auto"/>
          <w:spacing w:val="12"/>
          <w:szCs w:val="24"/>
        </w:rPr>
        <w:t xml:space="preserve"> </w:t>
      </w:r>
      <w:r w:rsidRPr="00C801A6">
        <w:rPr>
          <w:rFonts w:cs="Times New Roman"/>
          <w:color w:val="auto"/>
          <w:spacing w:val="-1"/>
          <w:szCs w:val="24"/>
        </w:rPr>
        <w:t>exceptionnelle.</w:t>
      </w:r>
      <w:r w:rsidRPr="00C801A6">
        <w:rPr>
          <w:rFonts w:cs="Times New Roman"/>
          <w:color w:val="auto"/>
          <w:spacing w:val="16"/>
          <w:szCs w:val="24"/>
        </w:rPr>
        <w:t xml:space="preserve"> </w:t>
      </w:r>
    </w:p>
    <w:p w14:paraId="1BBB45B9" w14:textId="77777777" w:rsidR="00575CDF" w:rsidRPr="00C801A6" w:rsidRDefault="00575CDF" w:rsidP="00844538">
      <w:pPr>
        <w:pStyle w:val="ListParagraph"/>
        <w:numPr>
          <w:ilvl w:val="0"/>
          <w:numId w:val="26"/>
        </w:numPr>
        <w:tabs>
          <w:tab w:val="left" w:pos="567"/>
        </w:tabs>
        <w:autoSpaceDE w:val="0"/>
        <w:autoSpaceDN w:val="0"/>
        <w:adjustRightInd w:val="0"/>
        <w:spacing w:line="276" w:lineRule="auto"/>
        <w:ind w:left="385" w:right="108" w:hanging="357"/>
        <w:contextualSpacing w:val="0"/>
        <w:rPr>
          <w:rFonts w:cs="Times New Roman"/>
          <w:color w:val="auto"/>
          <w:szCs w:val="24"/>
        </w:rPr>
      </w:pPr>
      <w:r w:rsidRPr="00C801A6">
        <w:rPr>
          <w:rFonts w:cs="Times New Roman"/>
          <w:i/>
          <w:color w:val="auto"/>
          <w:szCs w:val="24"/>
          <w:lang w:val="fr-CH"/>
        </w:rPr>
        <w:t>Oiseaux</w:t>
      </w:r>
      <w:r w:rsidRPr="00C801A6">
        <w:rPr>
          <w:rFonts w:cs="Times New Roman"/>
          <w:color w:val="auto"/>
          <w:szCs w:val="24"/>
          <w:lang w:val="fr-CH"/>
        </w:rPr>
        <w:t xml:space="preserve"> : </w:t>
      </w:r>
      <w:r w:rsidRPr="00C801A6">
        <w:rPr>
          <w:rFonts w:cs="Times New Roman"/>
          <w:color w:val="auto"/>
          <w:spacing w:val="-1"/>
          <w:szCs w:val="24"/>
        </w:rPr>
        <w:t>L’avifaune</w:t>
      </w:r>
      <w:r w:rsidRPr="00C801A6">
        <w:rPr>
          <w:rFonts w:cs="Times New Roman"/>
          <w:color w:val="auto"/>
          <w:spacing w:val="-5"/>
          <w:szCs w:val="24"/>
        </w:rPr>
        <w:t xml:space="preserve"> </w:t>
      </w:r>
      <w:r w:rsidRPr="00C801A6">
        <w:rPr>
          <w:rFonts w:cs="Times New Roman"/>
          <w:color w:val="auto"/>
          <w:spacing w:val="1"/>
          <w:szCs w:val="24"/>
        </w:rPr>
        <w:t>se</w:t>
      </w:r>
      <w:r w:rsidRPr="00C801A6">
        <w:rPr>
          <w:rFonts w:cs="Times New Roman"/>
          <w:color w:val="auto"/>
          <w:spacing w:val="-2"/>
          <w:szCs w:val="24"/>
        </w:rPr>
        <w:t xml:space="preserve"> </w:t>
      </w:r>
      <w:r w:rsidRPr="00C801A6">
        <w:rPr>
          <w:rFonts w:cs="Times New Roman"/>
          <w:color w:val="auto"/>
          <w:spacing w:val="-1"/>
          <w:szCs w:val="24"/>
        </w:rPr>
        <w:t>caractérise</w:t>
      </w:r>
      <w:r w:rsidRPr="00C801A6">
        <w:rPr>
          <w:rFonts w:cs="Times New Roman"/>
          <w:color w:val="auto"/>
          <w:spacing w:val="-2"/>
          <w:szCs w:val="24"/>
        </w:rPr>
        <w:t xml:space="preserve"> </w:t>
      </w:r>
      <w:r w:rsidRPr="00C801A6">
        <w:rPr>
          <w:rFonts w:cs="Times New Roman"/>
          <w:color w:val="auto"/>
          <w:spacing w:val="-1"/>
          <w:szCs w:val="24"/>
        </w:rPr>
        <w:t xml:space="preserve">par </w:t>
      </w:r>
      <w:r w:rsidRPr="00C801A6">
        <w:rPr>
          <w:rFonts w:cs="Times New Roman"/>
          <w:color w:val="auto"/>
          <w:szCs w:val="24"/>
        </w:rPr>
        <w:t>une</w:t>
      </w:r>
      <w:r w:rsidRPr="00C801A6">
        <w:rPr>
          <w:rFonts w:cs="Times New Roman"/>
          <w:color w:val="auto"/>
          <w:spacing w:val="-2"/>
          <w:szCs w:val="24"/>
        </w:rPr>
        <w:t xml:space="preserve"> </w:t>
      </w:r>
      <w:r w:rsidRPr="00C801A6">
        <w:rPr>
          <w:rFonts w:cs="Times New Roman"/>
          <w:color w:val="auto"/>
          <w:spacing w:val="-1"/>
          <w:szCs w:val="24"/>
        </w:rPr>
        <w:t>relative</w:t>
      </w:r>
      <w:r w:rsidRPr="00C801A6">
        <w:rPr>
          <w:rFonts w:cs="Times New Roman"/>
          <w:color w:val="auto"/>
          <w:spacing w:val="-5"/>
          <w:szCs w:val="24"/>
        </w:rPr>
        <w:t xml:space="preserve"> </w:t>
      </w:r>
      <w:r w:rsidRPr="00C801A6">
        <w:rPr>
          <w:rFonts w:cs="Times New Roman"/>
          <w:color w:val="auto"/>
          <w:spacing w:val="-1"/>
          <w:szCs w:val="24"/>
        </w:rPr>
        <w:t>pauvreté</w:t>
      </w:r>
      <w:r w:rsidRPr="00C801A6">
        <w:rPr>
          <w:rFonts w:cs="Times New Roman"/>
          <w:color w:val="auto"/>
          <w:spacing w:val="-4"/>
          <w:szCs w:val="24"/>
        </w:rPr>
        <w:t xml:space="preserve"> </w:t>
      </w:r>
      <w:r w:rsidRPr="00C801A6">
        <w:rPr>
          <w:rFonts w:cs="Times New Roman"/>
          <w:color w:val="auto"/>
          <w:szCs w:val="24"/>
        </w:rPr>
        <w:t>du</w:t>
      </w:r>
      <w:r w:rsidRPr="00C801A6">
        <w:rPr>
          <w:rFonts w:cs="Times New Roman"/>
          <w:color w:val="auto"/>
          <w:spacing w:val="-1"/>
          <w:szCs w:val="24"/>
        </w:rPr>
        <w:t xml:space="preserve"> nombre</w:t>
      </w:r>
      <w:r w:rsidRPr="00C801A6">
        <w:rPr>
          <w:rFonts w:cs="Times New Roman"/>
          <w:color w:val="auto"/>
          <w:spacing w:val="-2"/>
          <w:szCs w:val="24"/>
        </w:rPr>
        <w:t xml:space="preserve"> </w:t>
      </w:r>
      <w:r w:rsidRPr="00C801A6">
        <w:rPr>
          <w:rFonts w:cs="Times New Roman"/>
          <w:color w:val="auto"/>
          <w:spacing w:val="-1"/>
          <w:szCs w:val="24"/>
        </w:rPr>
        <w:t>d’espèces</w:t>
      </w:r>
      <w:r w:rsidRPr="00C801A6">
        <w:rPr>
          <w:rFonts w:cs="Times New Roman"/>
          <w:color w:val="auto"/>
          <w:spacing w:val="-3"/>
          <w:szCs w:val="24"/>
        </w:rPr>
        <w:t xml:space="preserve"> </w:t>
      </w:r>
      <w:r w:rsidRPr="00C801A6">
        <w:rPr>
          <w:rFonts w:cs="Times New Roman"/>
          <w:color w:val="auto"/>
          <w:spacing w:val="-1"/>
          <w:szCs w:val="24"/>
        </w:rPr>
        <w:t xml:space="preserve">mais par </w:t>
      </w:r>
      <w:r w:rsidRPr="00C801A6">
        <w:rPr>
          <w:rFonts w:cs="Times New Roman"/>
          <w:color w:val="auto"/>
          <w:szCs w:val="24"/>
        </w:rPr>
        <w:t>un</w:t>
      </w:r>
      <w:r w:rsidRPr="00C801A6">
        <w:rPr>
          <w:rFonts w:cs="Times New Roman"/>
          <w:color w:val="auto"/>
          <w:spacing w:val="103"/>
          <w:w w:val="99"/>
          <w:szCs w:val="24"/>
        </w:rPr>
        <w:t xml:space="preserve"> </w:t>
      </w:r>
      <w:r w:rsidRPr="00C801A6">
        <w:rPr>
          <w:rFonts w:cs="Times New Roman"/>
          <w:color w:val="auto"/>
          <w:spacing w:val="-1"/>
          <w:szCs w:val="24"/>
        </w:rPr>
        <w:t>haut</w:t>
      </w:r>
      <w:r w:rsidRPr="00C801A6">
        <w:rPr>
          <w:rFonts w:cs="Times New Roman"/>
          <w:color w:val="auto"/>
          <w:spacing w:val="48"/>
          <w:szCs w:val="24"/>
        </w:rPr>
        <w:t xml:space="preserve"> </w:t>
      </w:r>
      <w:r w:rsidRPr="00C801A6">
        <w:rPr>
          <w:rFonts w:cs="Times New Roman"/>
          <w:color w:val="auto"/>
          <w:spacing w:val="-1"/>
          <w:szCs w:val="24"/>
        </w:rPr>
        <w:t>niveau</w:t>
      </w:r>
      <w:r w:rsidRPr="00C801A6">
        <w:rPr>
          <w:rFonts w:cs="Times New Roman"/>
          <w:color w:val="auto"/>
          <w:spacing w:val="48"/>
          <w:szCs w:val="24"/>
        </w:rPr>
        <w:t xml:space="preserve"> </w:t>
      </w:r>
      <w:r w:rsidRPr="00C801A6">
        <w:rPr>
          <w:rFonts w:cs="Times New Roman"/>
          <w:color w:val="auto"/>
          <w:szCs w:val="24"/>
        </w:rPr>
        <w:t>d’endémisme.</w:t>
      </w:r>
    </w:p>
    <w:p w14:paraId="7A6E82ED" w14:textId="77777777" w:rsidR="00575CDF" w:rsidRPr="00C801A6" w:rsidRDefault="00575CDF" w:rsidP="00844538">
      <w:pPr>
        <w:pStyle w:val="ListParagraph"/>
        <w:numPr>
          <w:ilvl w:val="0"/>
          <w:numId w:val="26"/>
        </w:numPr>
        <w:tabs>
          <w:tab w:val="left" w:pos="567"/>
        </w:tabs>
        <w:autoSpaceDE w:val="0"/>
        <w:autoSpaceDN w:val="0"/>
        <w:adjustRightInd w:val="0"/>
        <w:spacing w:line="276" w:lineRule="auto"/>
        <w:ind w:left="383" w:right="114" w:hanging="357"/>
        <w:contextualSpacing w:val="0"/>
        <w:rPr>
          <w:rFonts w:cs="Times New Roman"/>
          <w:color w:val="auto"/>
          <w:szCs w:val="24"/>
        </w:rPr>
      </w:pPr>
      <w:r w:rsidRPr="00C801A6">
        <w:rPr>
          <w:rFonts w:cs="Times New Roman"/>
          <w:i/>
          <w:color w:val="auto"/>
          <w:szCs w:val="24"/>
          <w:lang w:val="fr-CH"/>
        </w:rPr>
        <w:lastRenderedPageBreak/>
        <w:t>Mammifères</w:t>
      </w:r>
      <w:r w:rsidRPr="00C801A6">
        <w:rPr>
          <w:rFonts w:cs="Times New Roman"/>
          <w:color w:val="auto"/>
          <w:szCs w:val="24"/>
          <w:lang w:val="fr-CH"/>
        </w:rPr>
        <w:t> : C</w:t>
      </w:r>
      <w:r w:rsidRPr="00C801A6">
        <w:rPr>
          <w:rFonts w:cs="Times New Roman"/>
          <w:color w:val="auto"/>
          <w:szCs w:val="24"/>
        </w:rPr>
        <w:t>e</w:t>
      </w:r>
      <w:r w:rsidRPr="00C801A6">
        <w:rPr>
          <w:rFonts w:cs="Times New Roman"/>
          <w:color w:val="auto"/>
          <w:spacing w:val="31"/>
          <w:szCs w:val="24"/>
        </w:rPr>
        <w:t xml:space="preserve"> </w:t>
      </w:r>
      <w:r w:rsidRPr="00C801A6">
        <w:rPr>
          <w:rFonts w:cs="Times New Roman"/>
          <w:color w:val="auto"/>
          <w:spacing w:val="-1"/>
          <w:szCs w:val="24"/>
        </w:rPr>
        <w:t>groupe</w:t>
      </w:r>
      <w:r w:rsidRPr="00C801A6">
        <w:rPr>
          <w:rFonts w:cs="Times New Roman"/>
          <w:color w:val="auto"/>
          <w:spacing w:val="32"/>
          <w:szCs w:val="24"/>
        </w:rPr>
        <w:t xml:space="preserve"> </w:t>
      </w:r>
      <w:r w:rsidRPr="00C801A6">
        <w:rPr>
          <w:rFonts w:cs="Times New Roman"/>
          <w:color w:val="auto"/>
          <w:spacing w:val="-1"/>
          <w:szCs w:val="24"/>
        </w:rPr>
        <w:t>comprend</w:t>
      </w:r>
      <w:r w:rsidRPr="00C801A6">
        <w:rPr>
          <w:rFonts w:cs="Times New Roman"/>
          <w:color w:val="auto"/>
          <w:spacing w:val="31"/>
          <w:szCs w:val="24"/>
        </w:rPr>
        <w:t xml:space="preserve"> </w:t>
      </w:r>
      <w:r w:rsidRPr="00C801A6">
        <w:rPr>
          <w:rFonts w:cs="Times New Roman"/>
          <w:color w:val="auto"/>
          <w:szCs w:val="24"/>
        </w:rPr>
        <w:t>plusieurs</w:t>
      </w:r>
      <w:r w:rsidRPr="00C801A6">
        <w:rPr>
          <w:rFonts w:cs="Times New Roman"/>
          <w:color w:val="auto"/>
          <w:spacing w:val="31"/>
          <w:szCs w:val="24"/>
        </w:rPr>
        <w:t xml:space="preserve"> </w:t>
      </w:r>
      <w:r w:rsidRPr="00C801A6">
        <w:rPr>
          <w:rFonts w:cs="Times New Roman"/>
          <w:color w:val="auto"/>
          <w:spacing w:val="-1"/>
          <w:szCs w:val="24"/>
        </w:rPr>
        <w:t>espèces</w:t>
      </w:r>
      <w:r w:rsidRPr="00C801A6">
        <w:rPr>
          <w:rFonts w:cs="Times New Roman"/>
          <w:color w:val="auto"/>
          <w:spacing w:val="33"/>
          <w:szCs w:val="24"/>
        </w:rPr>
        <w:t xml:space="preserve"> </w:t>
      </w:r>
      <w:r w:rsidRPr="00C801A6">
        <w:rPr>
          <w:rFonts w:cs="Times New Roman"/>
          <w:color w:val="auto"/>
          <w:spacing w:val="-1"/>
          <w:szCs w:val="24"/>
        </w:rPr>
        <w:t>réparties</w:t>
      </w:r>
      <w:r w:rsidRPr="00C801A6">
        <w:rPr>
          <w:rFonts w:cs="Times New Roman"/>
          <w:color w:val="auto"/>
          <w:spacing w:val="31"/>
          <w:szCs w:val="24"/>
        </w:rPr>
        <w:t xml:space="preserve"> </w:t>
      </w:r>
      <w:r w:rsidRPr="00C801A6">
        <w:rPr>
          <w:rFonts w:cs="Times New Roman"/>
          <w:color w:val="auto"/>
          <w:spacing w:val="-1"/>
          <w:szCs w:val="24"/>
        </w:rPr>
        <w:t>dans</w:t>
      </w:r>
      <w:r w:rsidRPr="00C801A6">
        <w:rPr>
          <w:rFonts w:cs="Times New Roman"/>
          <w:color w:val="auto"/>
          <w:spacing w:val="32"/>
          <w:szCs w:val="24"/>
        </w:rPr>
        <w:t xml:space="preserve"> </w:t>
      </w:r>
      <w:r w:rsidRPr="00C801A6">
        <w:rPr>
          <w:rFonts w:cs="Times New Roman"/>
          <w:color w:val="auto"/>
          <w:spacing w:val="-1"/>
          <w:szCs w:val="24"/>
        </w:rPr>
        <w:t>cinq</w:t>
      </w:r>
      <w:r w:rsidRPr="00C801A6">
        <w:rPr>
          <w:rFonts w:cs="Times New Roman"/>
          <w:color w:val="auto"/>
          <w:spacing w:val="31"/>
          <w:szCs w:val="24"/>
        </w:rPr>
        <w:t xml:space="preserve"> </w:t>
      </w:r>
      <w:r w:rsidRPr="00C801A6">
        <w:rPr>
          <w:rFonts w:cs="Times New Roman"/>
          <w:color w:val="auto"/>
          <w:szCs w:val="24"/>
        </w:rPr>
        <w:t>sous</w:t>
      </w:r>
      <w:r w:rsidRPr="00C801A6">
        <w:rPr>
          <w:rFonts w:cs="Times New Roman"/>
          <w:color w:val="auto"/>
          <w:spacing w:val="31"/>
          <w:szCs w:val="24"/>
        </w:rPr>
        <w:t xml:space="preserve"> </w:t>
      </w:r>
      <w:r w:rsidRPr="00C801A6">
        <w:rPr>
          <w:rFonts w:cs="Times New Roman"/>
          <w:color w:val="auto"/>
          <w:spacing w:val="-1"/>
          <w:szCs w:val="24"/>
        </w:rPr>
        <w:t>ordres</w:t>
      </w:r>
      <w:r w:rsidRPr="00C801A6">
        <w:rPr>
          <w:rFonts w:cs="Times New Roman"/>
          <w:color w:val="auto"/>
          <w:spacing w:val="-3"/>
          <w:szCs w:val="24"/>
        </w:rPr>
        <w:t> </w:t>
      </w:r>
      <w:r w:rsidRPr="00C801A6">
        <w:rPr>
          <w:rFonts w:cs="Times New Roman"/>
          <w:color w:val="auto"/>
          <w:szCs w:val="24"/>
        </w:rPr>
        <w:t>:</w:t>
      </w:r>
      <w:r w:rsidRPr="00C801A6">
        <w:rPr>
          <w:rFonts w:cs="Times New Roman"/>
          <w:color w:val="auto"/>
          <w:spacing w:val="33"/>
          <w:szCs w:val="24"/>
        </w:rPr>
        <w:t xml:space="preserve"> </w:t>
      </w:r>
      <w:r w:rsidRPr="00C801A6">
        <w:rPr>
          <w:rFonts w:cs="Times New Roman"/>
          <w:color w:val="auto"/>
          <w:spacing w:val="-1"/>
          <w:szCs w:val="24"/>
        </w:rPr>
        <w:t>les</w:t>
      </w:r>
      <w:r w:rsidRPr="00C801A6">
        <w:rPr>
          <w:rFonts w:cs="Times New Roman"/>
          <w:color w:val="auto"/>
          <w:spacing w:val="32"/>
          <w:szCs w:val="24"/>
        </w:rPr>
        <w:t xml:space="preserve"> </w:t>
      </w:r>
      <w:r w:rsidRPr="00C801A6">
        <w:rPr>
          <w:rFonts w:cs="Times New Roman"/>
          <w:color w:val="auto"/>
          <w:spacing w:val="-1"/>
          <w:szCs w:val="24"/>
        </w:rPr>
        <w:t>Carnivores,</w:t>
      </w:r>
      <w:r w:rsidRPr="00C801A6">
        <w:rPr>
          <w:rFonts w:cs="Times New Roman"/>
          <w:color w:val="auto"/>
          <w:spacing w:val="31"/>
          <w:szCs w:val="24"/>
        </w:rPr>
        <w:t xml:space="preserve"> </w:t>
      </w:r>
      <w:r w:rsidRPr="00C801A6">
        <w:rPr>
          <w:rFonts w:cs="Times New Roman"/>
          <w:color w:val="auto"/>
          <w:szCs w:val="24"/>
        </w:rPr>
        <w:t>les</w:t>
      </w:r>
      <w:r w:rsidRPr="00C801A6">
        <w:rPr>
          <w:rFonts w:cs="Times New Roman"/>
          <w:color w:val="auto"/>
          <w:spacing w:val="91"/>
          <w:w w:val="99"/>
          <w:szCs w:val="24"/>
        </w:rPr>
        <w:t xml:space="preserve"> </w:t>
      </w:r>
      <w:r w:rsidRPr="00C801A6">
        <w:rPr>
          <w:rFonts w:cs="Times New Roman"/>
          <w:color w:val="auto"/>
          <w:spacing w:val="-1"/>
          <w:szCs w:val="24"/>
        </w:rPr>
        <w:t>Chiroptères,</w:t>
      </w:r>
      <w:r w:rsidRPr="00C801A6">
        <w:rPr>
          <w:rFonts w:cs="Times New Roman"/>
          <w:color w:val="auto"/>
          <w:spacing w:val="4"/>
          <w:szCs w:val="24"/>
        </w:rPr>
        <w:t xml:space="preserve"> </w:t>
      </w:r>
      <w:r w:rsidRPr="00C801A6">
        <w:rPr>
          <w:rFonts w:cs="Times New Roman"/>
          <w:color w:val="auto"/>
          <w:spacing w:val="-1"/>
          <w:szCs w:val="24"/>
        </w:rPr>
        <w:t>les</w:t>
      </w:r>
      <w:r w:rsidRPr="00C801A6">
        <w:rPr>
          <w:rFonts w:cs="Times New Roman"/>
          <w:color w:val="auto"/>
          <w:spacing w:val="7"/>
          <w:szCs w:val="24"/>
        </w:rPr>
        <w:t xml:space="preserve"> </w:t>
      </w:r>
      <w:r w:rsidRPr="00C801A6">
        <w:rPr>
          <w:rFonts w:cs="Times New Roman"/>
          <w:color w:val="auto"/>
          <w:spacing w:val="-1"/>
          <w:szCs w:val="24"/>
        </w:rPr>
        <w:t>Insectivores,</w:t>
      </w:r>
      <w:r w:rsidRPr="00C801A6">
        <w:rPr>
          <w:rFonts w:cs="Times New Roman"/>
          <w:color w:val="auto"/>
          <w:spacing w:val="4"/>
          <w:szCs w:val="24"/>
        </w:rPr>
        <w:t xml:space="preserve"> </w:t>
      </w:r>
      <w:r w:rsidRPr="00C801A6">
        <w:rPr>
          <w:rFonts w:cs="Times New Roman"/>
          <w:color w:val="auto"/>
          <w:spacing w:val="-1"/>
          <w:szCs w:val="24"/>
        </w:rPr>
        <w:t>les</w:t>
      </w:r>
      <w:r w:rsidRPr="00C801A6">
        <w:rPr>
          <w:rFonts w:cs="Times New Roman"/>
          <w:color w:val="auto"/>
          <w:spacing w:val="4"/>
          <w:szCs w:val="24"/>
        </w:rPr>
        <w:t xml:space="preserve"> </w:t>
      </w:r>
      <w:r w:rsidRPr="00C801A6">
        <w:rPr>
          <w:rFonts w:cs="Times New Roman"/>
          <w:color w:val="auto"/>
          <w:spacing w:val="-1"/>
          <w:szCs w:val="24"/>
        </w:rPr>
        <w:t>Rongeurs</w:t>
      </w:r>
      <w:r w:rsidRPr="00C801A6">
        <w:rPr>
          <w:rFonts w:cs="Times New Roman"/>
          <w:color w:val="auto"/>
          <w:spacing w:val="3"/>
          <w:szCs w:val="24"/>
        </w:rPr>
        <w:t xml:space="preserve"> </w:t>
      </w:r>
      <w:r w:rsidRPr="00C801A6">
        <w:rPr>
          <w:rFonts w:cs="Times New Roman"/>
          <w:color w:val="auto"/>
          <w:spacing w:val="-1"/>
          <w:szCs w:val="24"/>
        </w:rPr>
        <w:t>et</w:t>
      </w:r>
      <w:r w:rsidRPr="00C801A6">
        <w:rPr>
          <w:rFonts w:cs="Times New Roman"/>
          <w:color w:val="auto"/>
          <w:spacing w:val="5"/>
          <w:szCs w:val="24"/>
        </w:rPr>
        <w:t xml:space="preserve"> </w:t>
      </w:r>
      <w:r w:rsidRPr="00C801A6">
        <w:rPr>
          <w:rFonts w:cs="Times New Roman"/>
          <w:color w:val="auto"/>
          <w:spacing w:val="-1"/>
          <w:szCs w:val="24"/>
        </w:rPr>
        <w:t>les</w:t>
      </w:r>
      <w:r w:rsidRPr="00C801A6">
        <w:rPr>
          <w:rFonts w:cs="Times New Roman"/>
          <w:color w:val="auto"/>
          <w:spacing w:val="4"/>
          <w:szCs w:val="24"/>
        </w:rPr>
        <w:t xml:space="preserve"> </w:t>
      </w:r>
      <w:r w:rsidRPr="00C801A6">
        <w:rPr>
          <w:rFonts w:cs="Times New Roman"/>
          <w:color w:val="auto"/>
          <w:spacing w:val="-1"/>
          <w:szCs w:val="24"/>
        </w:rPr>
        <w:t>Primates</w:t>
      </w:r>
      <w:r w:rsidRPr="00C801A6">
        <w:rPr>
          <w:rFonts w:cs="Times New Roman"/>
          <w:color w:val="auto"/>
          <w:spacing w:val="3"/>
          <w:szCs w:val="24"/>
        </w:rPr>
        <w:t>.</w:t>
      </w:r>
      <w:r w:rsidRPr="00C801A6">
        <w:rPr>
          <w:rFonts w:cs="Times New Roman"/>
          <w:color w:val="auto"/>
          <w:spacing w:val="7"/>
          <w:szCs w:val="24"/>
        </w:rPr>
        <w:t xml:space="preserve"> </w:t>
      </w:r>
      <w:r w:rsidRPr="00C801A6">
        <w:rPr>
          <w:rFonts w:cs="Times New Roman"/>
          <w:color w:val="auto"/>
          <w:spacing w:val="-3"/>
          <w:szCs w:val="24"/>
        </w:rPr>
        <w:t>Le</w:t>
      </w:r>
      <w:r w:rsidRPr="00C801A6">
        <w:rPr>
          <w:rFonts w:cs="Times New Roman"/>
          <w:color w:val="auto"/>
          <w:spacing w:val="3"/>
          <w:szCs w:val="24"/>
        </w:rPr>
        <w:t xml:space="preserve"> </w:t>
      </w:r>
      <w:r w:rsidRPr="00C801A6">
        <w:rPr>
          <w:rFonts w:cs="Times New Roman"/>
          <w:color w:val="auto"/>
          <w:spacing w:val="-1"/>
          <w:szCs w:val="24"/>
        </w:rPr>
        <w:t>taux</w:t>
      </w:r>
      <w:r w:rsidRPr="00C801A6">
        <w:rPr>
          <w:rFonts w:cs="Times New Roman"/>
          <w:color w:val="auto"/>
          <w:spacing w:val="87"/>
          <w:w w:val="99"/>
          <w:szCs w:val="24"/>
        </w:rPr>
        <w:t xml:space="preserve"> </w:t>
      </w:r>
      <w:r w:rsidRPr="00C801A6">
        <w:rPr>
          <w:rFonts w:cs="Times New Roman"/>
          <w:color w:val="auto"/>
          <w:spacing w:val="-1"/>
          <w:szCs w:val="24"/>
        </w:rPr>
        <w:t>d’endémicité</w:t>
      </w:r>
      <w:r w:rsidRPr="00C801A6">
        <w:rPr>
          <w:rFonts w:cs="Times New Roman"/>
          <w:color w:val="auto"/>
          <w:spacing w:val="-10"/>
          <w:szCs w:val="24"/>
        </w:rPr>
        <w:t xml:space="preserve"> </w:t>
      </w:r>
      <w:r w:rsidRPr="00C801A6">
        <w:rPr>
          <w:rFonts w:cs="Times New Roman"/>
          <w:color w:val="auto"/>
          <w:spacing w:val="-1"/>
          <w:szCs w:val="24"/>
        </w:rPr>
        <w:t>est</w:t>
      </w:r>
      <w:r w:rsidRPr="00C801A6">
        <w:rPr>
          <w:rFonts w:cs="Times New Roman"/>
          <w:color w:val="auto"/>
          <w:spacing w:val="-9"/>
          <w:szCs w:val="24"/>
        </w:rPr>
        <w:t xml:space="preserve"> </w:t>
      </w:r>
      <w:r w:rsidRPr="00C801A6">
        <w:rPr>
          <w:rFonts w:cs="Times New Roman"/>
          <w:color w:val="auto"/>
          <w:spacing w:val="1"/>
          <w:szCs w:val="24"/>
        </w:rPr>
        <w:t>de</w:t>
      </w:r>
      <w:r w:rsidRPr="00C801A6">
        <w:rPr>
          <w:rFonts w:cs="Times New Roman"/>
          <w:color w:val="auto"/>
          <w:spacing w:val="-9"/>
          <w:szCs w:val="24"/>
        </w:rPr>
        <w:t xml:space="preserve"> </w:t>
      </w:r>
      <w:r w:rsidRPr="00C801A6">
        <w:rPr>
          <w:rFonts w:cs="Times New Roman"/>
          <w:color w:val="auto"/>
          <w:szCs w:val="24"/>
        </w:rPr>
        <w:t>97,14%.</w:t>
      </w:r>
    </w:p>
    <w:p w14:paraId="7CA1AB31" w14:textId="77777777" w:rsidR="00575CDF" w:rsidRPr="00C801A6" w:rsidRDefault="00575CDF" w:rsidP="00575CDF">
      <w:pPr>
        <w:pStyle w:val="ListParagraph"/>
        <w:tabs>
          <w:tab w:val="left" w:pos="567"/>
        </w:tabs>
        <w:autoSpaceDE w:val="0"/>
        <w:autoSpaceDN w:val="0"/>
        <w:adjustRightInd w:val="0"/>
        <w:spacing w:line="276" w:lineRule="auto"/>
        <w:ind w:left="383" w:right="114" w:hanging="667"/>
        <w:contextualSpacing w:val="0"/>
        <w:jc w:val="center"/>
        <w:rPr>
          <w:rFonts w:cs="Times New Roman"/>
          <w:color w:val="auto"/>
        </w:rPr>
      </w:pPr>
      <w:r w:rsidRPr="00C801A6">
        <w:rPr>
          <w:noProof/>
          <w:color w:val="auto"/>
          <w:lang w:eastAsia="fr-FR"/>
        </w:rPr>
        <w:drawing>
          <wp:inline distT="0" distB="0" distL="0" distR="0" wp14:anchorId="4DF3F825" wp14:editId="00A1ED48">
            <wp:extent cx="5682933" cy="7673935"/>
            <wp:effectExtent l="0" t="0" r="0" b="3810"/>
            <wp:docPr id="406508167" name="Image 406508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pic:cNvPicPr/>
                  </pic:nvPicPr>
                  <pic:blipFill>
                    <a:blip r:embed="rId44" cstate="email">
                      <a:extLst>
                        <a:ext uri="{28A0092B-C50C-407E-A947-70E740481C1C}">
                          <a14:useLocalDpi xmlns:a14="http://schemas.microsoft.com/office/drawing/2010/main"/>
                        </a:ext>
                      </a:extLst>
                    </a:blip>
                    <a:srcRect/>
                    <a:stretch>
                      <a:fillRect/>
                    </a:stretch>
                  </pic:blipFill>
                  <pic:spPr>
                    <a:xfrm>
                      <a:off x="0" y="0"/>
                      <a:ext cx="5685673" cy="7677635"/>
                    </a:xfrm>
                    <a:prstGeom prst="rect">
                      <a:avLst/>
                    </a:prstGeom>
                  </pic:spPr>
                </pic:pic>
              </a:graphicData>
            </a:graphic>
          </wp:inline>
        </w:drawing>
      </w:r>
    </w:p>
    <w:p w14:paraId="6131629F" w14:textId="4901190D" w:rsidR="00575CDF" w:rsidRPr="00C801A6" w:rsidRDefault="00575CDF" w:rsidP="003609CC">
      <w:pPr>
        <w:pStyle w:val="Caption"/>
        <w:rPr>
          <w:rFonts w:cs="Times New Roman"/>
          <w:color w:val="auto"/>
          <w:szCs w:val="24"/>
        </w:rPr>
      </w:pPr>
      <w:bookmarkStart w:id="161" w:name="_Toc230426712"/>
      <w:r w:rsidRPr="00C801A6">
        <w:rPr>
          <w:color w:val="auto"/>
        </w:rPr>
        <w:t xml:space="preserve">Figure </w:t>
      </w:r>
      <w:r w:rsidRPr="00C801A6">
        <w:rPr>
          <w:color w:val="auto"/>
        </w:rPr>
        <w:fldChar w:fldCharType="begin"/>
      </w:r>
      <w:r w:rsidRPr="00C801A6">
        <w:rPr>
          <w:color w:val="auto"/>
        </w:rPr>
        <w:instrText>SEQ Figure \* ARABIC</w:instrText>
      </w:r>
      <w:r w:rsidRPr="00C801A6">
        <w:rPr>
          <w:color w:val="auto"/>
        </w:rPr>
        <w:fldChar w:fldCharType="separate"/>
      </w:r>
      <w:r w:rsidR="00D13682">
        <w:rPr>
          <w:noProof/>
          <w:color w:val="auto"/>
        </w:rPr>
        <w:t>17</w:t>
      </w:r>
      <w:r w:rsidRPr="00C801A6">
        <w:rPr>
          <w:color w:val="auto"/>
        </w:rPr>
        <w:fldChar w:fldCharType="end"/>
      </w:r>
      <w:r w:rsidRPr="00C801A6">
        <w:rPr>
          <w:color w:val="auto"/>
        </w:rPr>
        <w:t xml:space="preserve"> : Carte </w:t>
      </w:r>
      <w:r w:rsidR="0069115D" w:rsidRPr="00C801A6">
        <w:rPr>
          <w:color w:val="auto"/>
        </w:rPr>
        <w:t>« </w:t>
      </w:r>
      <w:r w:rsidRPr="00C801A6">
        <w:rPr>
          <w:color w:val="auto"/>
        </w:rPr>
        <w:t>écorégions</w:t>
      </w:r>
      <w:r w:rsidR="0069115D" w:rsidRPr="00C801A6">
        <w:rPr>
          <w:color w:val="auto"/>
        </w:rPr>
        <w:t> »</w:t>
      </w:r>
      <w:r w:rsidRPr="00C801A6">
        <w:rPr>
          <w:color w:val="auto"/>
        </w:rPr>
        <w:t xml:space="preserve"> v</w:t>
      </w:r>
      <w:r w:rsidR="0069115D" w:rsidRPr="00C801A6">
        <w:rPr>
          <w:color w:val="auto"/>
        </w:rPr>
        <w:t>ersus</w:t>
      </w:r>
      <w:r w:rsidRPr="00C801A6">
        <w:rPr>
          <w:color w:val="auto"/>
        </w:rPr>
        <w:t xml:space="preserve"> </w:t>
      </w:r>
      <w:r w:rsidR="0069115D" w:rsidRPr="00C801A6">
        <w:rPr>
          <w:color w:val="auto"/>
        </w:rPr>
        <w:t>« </w:t>
      </w:r>
      <w:r w:rsidRPr="00C801A6">
        <w:rPr>
          <w:color w:val="auto"/>
        </w:rPr>
        <w:t>routes nationales revêtues</w:t>
      </w:r>
      <w:r w:rsidR="0069115D" w:rsidRPr="00C801A6">
        <w:rPr>
          <w:color w:val="auto"/>
        </w:rPr>
        <w:t> »</w:t>
      </w:r>
      <w:bookmarkEnd w:id="161"/>
    </w:p>
    <w:p w14:paraId="3EA15649" w14:textId="77777777" w:rsidR="00575CDF" w:rsidRPr="00C801A6" w:rsidRDefault="00575CDF" w:rsidP="00014BC0">
      <w:pPr>
        <w:pStyle w:val="Heading2"/>
      </w:pPr>
      <w:bookmarkStart w:id="162" w:name="_Toc440199212"/>
      <w:bookmarkStart w:id="163" w:name="_Toc106320296"/>
      <w:bookmarkStart w:id="164" w:name="_Toc230426007"/>
      <w:r w:rsidRPr="00C801A6">
        <w:lastRenderedPageBreak/>
        <w:t>Zones sensibles</w:t>
      </w:r>
      <w:bookmarkEnd w:id="162"/>
      <w:bookmarkEnd w:id="163"/>
      <w:bookmarkEnd w:id="164"/>
    </w:p>
    <w:p w14:paraId="4E781745" w14:textId="77777777" w:rsidR="00575CDF" w:rsidRPr="00C801A6" w:rsidRDefault="00575CDF" w:rsidP="00575CDF">
      <w:pPr>
        <w:autoSpaceDE w:val="0"/>
        <w:autoSpaceDN w:val="0"/>
        <w:adjustRightInd w:val="0"/>
        <w:rPr>
          <w:color w:val="auto"/>
        </w:rPr>
      </w:pPr>
      <w:r w:rsidRPr="00C801A6">
        <w:rPr>
          <w:rFonts w:cs="Arial"/>
          <w:color w:val="auto"/>
        </w:rPr>
        <w:t xml:space="preserve">Les différents types de zones sensibles rencontrées à Madagascar sont : </w:t>
      </w:r>
      <w:r w:rsidRPr="00C801A6">
        <w:rPr>
          <w:color w:val="auto"/>
        </w:rPr>
        <w:t>les récifs coralliens, les mangroves, les îlots, les forêts tropicales, les zones sujettes à érosion, les zones arides ou semi-arides sujettes à désertification, les zones marécageuses, les zones de conservation naturelle, les périmètres de protection des eaux potables, minérales ou souterraines et les sites paléontologiques, archéologiques, historiques ainsi que leurs périmètres de protection.</w:t>
      </w:r>
    </w:p>
    <w:p w14:paraId="7DE681FC" w14:textId="77777777" w:rsidR="00EF6701" w:rsidRDefault="00EF6701" w:rsidP="00EF6701">
      <w:pPr>
        <w:rPr>
          <w:color w:val="auto"/>
        </w:rPr>
      </w:pPr>
      <w:r w:rsidRPr="00EF6701">
        <w:rPr>
          <w:color w:val="auto"/>
        </w:rPr>
        <w:t xml:space="preserve">Les axes routiers concernés par le </w:t>
      </w:r>
      <w:r>
        <w:rPr>
          <w:color w:val="auto"/>
        </w:rPr>
        <w:t>CERC2</w:t>
      </w:r>
      <w:r w:rsidRPr="00EF6701">
        <w:rPr>
          <w:color w:val="auto"/>
        </w:rPr>
        <w:t xml:space="preserve"> ont fait l’objet d’un examen au regard du Décret MECIE relatif à la Mise en Compatibilité des Investissements avec l’Environnement, ainsi que de l’arrêté définissant les zones sensibles à Madagascar. Cette analyse indique que les tracés retenus ne traversent pas de zones classées sensibles, telles que </w:t>
      </w:r>
      <w:r>
        <w:rPr>
          <w:color w:val="auto"/>
        </w:rPr>
        <w:t>listées ci-dessus</w:t>
      </w:r>
      <w:r w:rsidRPr="00EF6701">
        <w:rPr>
          <w:color w:val="auto"/>
        </w:rPr>
        <w:t>. Ainsi, les interventions prévues sur ces routes sont considérées comme conformes au cadre réglementaire national, sous réserve de la mise en œuvre des mesures standards de gestion environnementale prévues par les instruments du projet.</w:t>
      </w:r>
      <w:r>
        <w:rPr>
          <w:color w:val="auto"/>
        </w:rPr>
        <w:t xml:space="preserve"> </w:t>
      </w:r>
    </w:p>
    <w:p w14:paraId="7021895B" w14:textId="399891CE" w:rsidR="00575CDF" w:rsidRPr="00C801A6" w:rsidRDefault="00EF6701" w:rsidP="00EF6701">
      <w:pPr>
        <w:rPr>
          <w:color w:val="auto"/>
        </w:rPr>
      </w:pPr>
      <w:r w:rsidRPr="00D42025">
        <w:rPr>
          <w:rFonts w:cs="Times New Roman"/>
          <w:color w:val="000000"/>
        </w:rPr>
        <w:t>Toutefois, lors de la mise en œuvre du projet, il est possible qu’une partie des sections de routes nationales revêtues à réhabiliter traverse ou soit située à proximité de zones sensibles. Des mesures spécifiques seront proposées afin d’éviter toute perturbation ou destruction de ces zones sensibles.</w:t>
      </w:r>
      <w:r>
        <w:rPr>
          <w:rFonts w:cs="Times New Roman"/>
          <w:color w:val="000000"/>
        </w:rPr>
        <w:t xml:space="preserve"> </w:t>
      </w:r>
    </w:p>
    <w:p w14:paraId="519F5959" w14:textId="77777777" w:rsidR="00575CDF" w:rsidRPr="00C801A6" w:rsidRDefault="00575CDF" w:rsidP="00014BC0">
      <w:pPr>
        <w:pStyle w:val="Heading2"/>
      </w:pPr>
      <w:bookmarkStart w:id="165" w:name="_Toc440199215"/>
      <w:bookmarkStart w:id="166" w:name="_Toc106320297"/>
      <w:bookmarkStart w:id="167" w:name="_Toc230426008"/>
      <w:r w:rsidRPr="00C801A6">
        <w:t>Aspects humains</w:t>
      </w:r>
      <w:bookmarkEnd w:id="165"/>
      <w:bookmarkEnd w:id="166"/>
      <w:bookmarkEnd w:id="167"/>
    </w:p>
    <w:p w14:paraId="69339DBF" w14:textId="77777777" w:rsidR="00575CDF" w:rsidRPr="00C801A6" w:rsidRDefault="00575CDF" w:rsidP="00C65572">
      <w:pPr>
        <w:pStyle w:val="Heading3"/>
      </w:pPr>
      <w:bookmarkStart w:id="168" w:name="_Toc440199216"/>
      <w:bookmarkStart w:id="169" w:name="_Toc106320298"/>
      <w:bookmarkStart w:id="170" w:name="_Toc230426009"/>
      <w:r w:rsidRPr="00C801A6">
        <w:t>Contexte géographique et administratif</w:t>
      </w:r>
      <w:bookmarkStart w:id="171" w:name="_Hlk71690477"/>
      <w:bookmarkEnd w:id="168"/>
      <w:bookmarkEnd w:id="169"/>
      <w:bookmarkEnd w:id="170"/>
    </w:p>
    <w:p w14:paraId="7C37903C" w14:textId="7C4CD45C" w:rsidR="00575CDF" w:rsidRPr="00C801A6" w:rsidRDefault="00575CDF" w:rsidP="00575CDF">
      <w:pPr>
        <w:rPr>
          <w:color w:val="auto"/>
        </w:rPr>
      </w:pPr>
      <w:r w:rsidRPr="00C801A6">
        <w:rPr>
          <w:color w:val="auto"/>
        </w:rPr>
        <w:t>D’une superficie de 587 040km², la Grande Ile est découpée en 2</w:t>
      </w:r>
      <w:r w:rsidR="00E87A90">
        <w:rPr>
          <w:color w:val="auto"/>
        </w:rPr>
        <w:t>3</w:t>
      </w:r>
      <w:r w:rsidRPr="00C801A6">
        <w:rPr>
          <w:color w:val="auto"/>
        </w:rPr>
        <w:t xml:space="preserve"> Régions et possède 119 districts, 1 693 communes dont 76 communes urbaines et 18 251 Fokontany. </w:t>
      </w:r>
    </w:p>
    <w:p w14:paraId="7AA5448E" w14:textId="673F2AE4" w:rsidR="00575CDF" w:rsidRPr="00C801A6" w:rsidRDefault="00575CDF" w:rsidP="00575CDF">
      <w:pPr>
        <w:rPr>
          <w:color w:val="auto"/>
        </w:rPr>
      </w:pPr>
      <w:r w:rsidRPr="00C801A6">
        <w:rPr>
          <w:color w:val="auto"/>
        </w:rPr>
        <w:t xml:space="preserve">Le </w:t>
      </w:r>
      <w:r w:rsidR="000D273E" w:rsidRPr="00C801A6">
        <w:rPr>
          <w:color w:val="auto"/>
        </w:rPr>
        <w:t xml:space="preserve">Projet de Développement Durable des </w:t>
      </w:r>
      <w:r w:rsidR="00EF2B79" w:rsidRPr="00C801A6">
        <w:rPr>
          <w:color w:val="auto"/>
        </w:rPr>
        <w:t>R</w:t>
      </w:r>
      <w:r w:rsidR="000D273E" w:rsidRPr="00C801A6">
        <w:rPr>
          <w:color w:val="auto"/>
        </w:rPr>
        <w:t>outes</w:t>
      </w:r>
      <w:r w:rsidRPr="00C801A6">
        <w:rPr>
          <w:color w:val="auto"/>
        </w:rPr>
        <w:t xml:space="preserve"> couvre 58 districts répartis dans les 2</w:t>
      </w:r>
      <w:r w:rsidR="00E87A90">
        <w:rPr>
          <w:color w:val="auto"/>
        </w:rPr>
        <w:t>3</w:t>
      </w:r>
      <w:r w:rsidRPr="00C801A6">
        <w:rPr>
          <w:color w:val="auto"/>
        </w:rPr>
        <w:t xml:space="preserve"> régions et les six provinces que compte le pays</w:t>
      </w:r>
      <w:r w:rsidR="00D66491" w:rsidRPr="00C801A6">
        <w:rPr>
          <w:color w:val="auto"/>
        </w:rPr>
        <w:t>, comme l’indique la figure 14 ci-dessous</w:t>
      </w:r>
      <w:r w:rsidRPr="00C801A6">
        <w:rPr>
          <w:color w:val="auto"/>
        </w:rPr>
        <w:t>.</w:t>
      </w:r>
    </w:p>
    <w:p w14:paraId="613C49F2" w14:textId="77777777" w:rsidR="008B73B7" w:rsidRPr="00C801A6" w:rsidRDefault="008B73B7" w:rsidP="00575CDF">
      <w:pPr>
        <w:rPr>
          <w:color w:val="auto"/>
        </w:rPr>
        <w:sectPr w:rsidR="008B73B7" w:rsidRPr="00C801A6" w:rsidSect="00635A10">
          <w:pgSz w:w="11907" w:h="16840" w:code="9"/>
          <w:pgMar w:top="1418" w:right="1418" w:bottom="1418" w:left="1418" w:header="709" w:footer="709" w:gutter="0"/>
          <w:cols w:space="708"/>
          <w:docGrid w:linePitch="360"/>
        </w:sectPr>
      </w:pPr>
    </w:p>
    <w:p w14:paraId="178F8C99" w14:textId="77777777" w:rsidR="00575CDF" w:rsidRPr="00C801A6" w:rsidRDefault="00575CDF" w:rsidP="008B73B7">
      <w:pPr>
        <w:jc w:val="center"/>
        <w:rPr>
          <w:color w:val="auto"/>
        </w:rPr>
      </w:pPr>
      <w:r w:rsidRPr="00C801A6">
        <w:rPr>
          <w:noProof/>
          <w:color w:val="auto"/>
          <w:lang w:eastAsia="fr-FR"/>
        </w:rPr>
        <w:lastRenderedPageBreak/>
        <w:drawing>
          <wp:inline distT="0" distB="0" distL="0" distR="0" wp14:anchorId="061F4832" wp14:editId="6E8216FE">
            <wp:extent cx="5178632" cy="7019925"/>
            <wp:effectExtent l="0" t="0" r="3175" b="0"/>
            <wp:docPr id="406508168" name="Image 406508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45" cstate="email">
                      <a:extLst>
                        <a:ext uri="{28A0092B-C50C-407E-A947-70E740481C1C}">
                          <a14:useLocalDpi xmlns:a14="http://schemas.microsoft.com/office/drawing/2010/main"/>
                        </a:ext>
                      </a:extLst>
                    </a:blip>
                    <a:srcRect/>
                    <a:stretch/>
                  </pic:blipFill>
                  <pic:spPr bwMode="auto">
                    <a:xfrm>
                      <a:off x="0" y="0"/>
                      <a:ext cx="5229801" cy="7089287"/>
                    </a:xfrm>
                    <a:prstGeom prst="rect">
                      <a:avLst/>
                    </a:prstGeom>
                    <a:noFill/>
                    <a:ln>
                      <a:noFill/>
                    </a:ln>
                    <a:extLst>
                      <a:ext uri="{53640926-AAD7-44D8-BBD7-CCE9431645EC}">
                        <a14:shadowObscured xmlns:a14="http://schemas.microsoft.com/office/drawing/2010/main"/>
                      </a:ext>
                    </a:extLst>
                  </pic:spPr>
                </pic:pic>
              </a:graphicData>
            </a:graphic>
          </wp:inline>
        </w:drawing>
      </w:r>
    </w:p>
    <w:p w14:paraId="76EEFE38" w14:textId="044D16C0" w:rsidR="008B73B7" w:rsidRPr="00C801A6" w:rsidRDefault="00575CDF" w:rsidP="003609CC">
      <w:pPr>
        <w:pStyle w:val="Caption"/>
        <w:rPr>
          <w:color w:val="auto"/>
        </w:rPr>
        <w:sectPr w:rsidR="008B73B7" w:rsidRPr="00C801A6" w:rsidSect="00D13682">
          <w:pgSz w:w="11907" w:h="16840" w:code="9"/>
          <w:pgMar w:top="1418" w:right="1418" w:bottom="1418" w:left="1418" w:header="709" w:footer="0" w:gutter="0"/>
          <w:cols w:space="708"/>
          <w:docGrid w:linePitch="360"/>
        </w:sectPr>
      </w:pPr>
      <w:bookmarkStart w:id="172" w:name="_Toc230426713"/>
      <w:r w:rsidRPr="00C801A6">
        <w:rPr>
          <w:color w:val="auto"/>
        </w:rPr>
        <w:t xml:space="preserve">Figure </w:t>
      </w:r>
      <w:r w:rsidRPr="00C801A6">
        <w:rPr>
          <w:color w:val="auto"/>
        </w:rPr>
        <w:fldChar w:fldCharType="begin"/>
      </w:r>
      <w:r w:rsidRPr="00C801A6">
        <w:rPr>
          <w:color w:val="auto"/>
        </w:rPr>
        <w:instrText>SEQ Figure \* ARABIC</w:instrText>
      </w:r>
      <w:r w:rsidRPr="00C801A6">
        <w:rPr>
          <w:color w:val="auto"/>
        </w:rPr>
        <w:fldChar w:fldCharType="separate"/>
      </w:r>
      <w:r w:rsidR="00D13682">
        <w:rPr>
          <w:noProof/>
          <w:color w:val="auto"/>
        </w:rPr>
        <w:t>18</w:t>
      </w:r>
      <w:r w:rsidRPr="00C801A6">
        <w:rPr>
          <w:color w:val="auto"/>
        </w:rPr>
        <w:fldChar w:fldCharType="end"/>
      </w:r>
      <w:r w:rsidRPr="00C801A6">
        <w:rPr>
          <w:color w:val="auto"/>
        </w:rPr>
        <w:t> : Limite administrative vs routes nationales revêtues</w:t>
      </w:r>
      <w:bookmarkEnd w:id="172"/>
    </w:p>
    <w:p w14:paraId="3213B64D" w14:textId="77777777" w:rsidR="00575CDF" w:rsidRPr="00C801A6" w:rsidRDefault="00575CDF" w:rsidP="00C65572">
      <w:pPr>
        <w:pStyle w:val="Heading3"/>
      </w:pPr>
      <w:bookmarkStart w:id="173" w:name="_Toc429311440"/>
      <w:bookmarkStart w:id="174" w:name="_Toc440199217"/>
      <w:bookmarkStart w:id="175" w:name="_Toc106320299"/>
      <w:bookmarkStart w:id="176" w:name="_Toc230426010"/>
      <w:r w:rsidRPr="00C801A6">
        <w:lastRenderedPageBreak/>
        <w:t>Population et démographie</w:t>
      </w:r>
      <w:bookmarkEnd w:id="173"/>
      <w:bookmarkEnd w:id="174"/>
      <w:bookmarkEnd w:id="175"/>
      <w:bookmarkEnd w:id="176"/>
    </w:p>
    <w:p w14:paraId="39456471" w14:textId="77777777" w:rsidR="00575CDF" w:rsidRPr="00C801A6" w:rsidRDefault="00575CDF" w:rsidP="003042DB">
      <w:pPr>
        <w:pStyle w:val="Heading4"/>
        <w:rPr>
          <w:color w:val="auto"/>
        </w:rPr>
      </w:pPr>
      <w:bookmarkStart w:id="177" w:name="_Toc440199218"/>
      <w:bookmarkStart w:id="178" w:name="_Toc230298746"/>
      <w:r w:rsidRPr="00C801A6">
        <w:rPr>
          <w:color w:val="auto"/>
        </w:rPr>
        <w:t>Ethnies et cultures</w:t>
      </w:r>
      <w:bookmarkEnd w:id="177"/>
      <w:bookmarkEnd w:id="178"/>
    </w:p>
    <w:p w14:paraId="362B0CEE" w14:textId="77777777" w:rsidR="00575CDF" w:rsidRPr="00C801A6" w:rsidRDefault="00575CDF" w:rsidP="00575CDF">
      <w:pPr>
        <w:rPr>
          <w:color w:val="auto"/>
        </w:rPr>
      </w:pPr>
      <w:r w:rsidRPr="00C801A6">
        <w:rPr>
          <w:color w:val="auto"/>
        </w:rPr>
        <w:t>La population de Madagascar a des origines diverses et on compte 18 ethnies réparties dans toute l’île :</w:t>
      </w:r>
    </w:p>
    <w:p w14:paraId="2C9BE40C" w14:textId="77777777" w:rsidR="00575CDF" w:rsidRPr="00C801A6" w:rsidRDefault="00575CDF" w:rsidP="00844538">
      <w:pPr>
        <w:pStyle w:val="ListParagraph"/>
        <w:numPr>
          <w:ilvl w:val="0"/>
          <w:numId w:val="26"/>
        </w:numPr>
        <w:tabs>
          <w:tab w:val="left" w:pos="567"/>
        </w:tabs>
        <w:spacing w:after="80" w:line="276" w:lineRule="auto"/>
        <w:ind w:left="568" w:hanging="284"/>
        <w:contextualSpacing w:val="0"/>
        <w:rPr>
          <w:color w:val="auto"/>
        </w:rPr>
      </w:pPr>
      <w:r w:rsidRPr="00C801A6">
        <w:rPr>
          <w:color w:val="auto"/>
        </w:rPr>
        <w:t>Nord : Antakarana</w:t>
      </w:r>
    </w:p>
    <w:p w14:paraId="7388752D" w14:textId="77777777" w:rsidR="00575CDF" w:rsidRPr="00C801A6" w:rsidRDefault="00575CDF" w:rsidP="00844538">
      <w:pPr>
        <w:pStyle w:val="ListParagraph"/>
        <w:numPr>
          <w:ilvl w:val="0"/>
          <w:numId w:val="26"/>
        </w:numPr>
        <w:tabs>
          <w:tab w:val="left" w:pos="567"/>
        </w:tabs>
        <w:spacing w:after="80" w:line="276" w:lineRule="auto"/>
        <w:ind w:left="568" w:hanging="284"/>
        <w:contextualSpacing w:val="0"/>
        <w:rPr>
          <w:color w:val="auto"/>
        </w:rPr>
      </w:pPr>
      <w:r w:rsidRPr="00C801A6">
        <w:rPr>
          <w:color w:val="auto"/>
        </w:rPr>
        <w:t>Centre : Merina (Antananarivo)</w:t>
      </w:r>
    </w:p>
    <w:p w14:paraId="550430DD" w14:textId="77777777" w:rsidR="00575CDF" w:rsidRPr="00C801A6" w:rsidRDefault="00575CDF" w:rsidP="00844538">
      <w:pPr>
        <w:pStyle w:val="ListParagraph"/>
        <w:numPr>
          <w:ilvl w:val="0"/>
          <w:numId w:val="26"/>
        </w:numPr>
        <w:tabs>
          <w:tab w:val="left" w:pos="567"/>
        </w:tabs>
        <w:spacing w:after="80" w:line="276" w:lineRule="auto"/>
        <w:ind w:left="568" w:hanging="284"/>
        <w:contextualSpacing w:val="0"/>
        <w:rPr>
          <w:color w:val="auto"/>
        </w:rPr>
      </w:pPr>
      <w:r w:rsidRPr="00C801A6">
        <w:rPr>
          <w:color w:val="auto"/>
        </w:rPr>
        <w:t>Ouest : Sakalava</w:t>
      </w:r>
    </w:p>
    <w:p w14:paraId="1CD36F52" w14:textId="77777777" w:rsidR="00575CDF" w:rsidRPr="00C801A6" w:rsidRDefault="00575CDF" w:rsidP="00844538">
      <w:pPr>
        <w:pStyle w:val="ListParagraph"/>
        <w:numPr>
          <w:ilvl w:val="0"/>
          <w:numId w:val="26"/>
        </w:numPr>
        <w:tabs>
          <w:tab w:val="left" w:pos="567"/>
        </w:tabs>
        <w:spacing w:after="80" w:line="276" w:lineRule="auto"/>
        <w:ind w:left="568" w:hanging="284"/>
        <w:contextualSpacing w:val="0"/>
        <w:rPr>
          <w:color w:val="auto"/>
        </w:rPr>
      </w:pPr>
      <w:r w:rsidRPr="00C801A6">
        <w:rPr>
          <w:color w:val="auto"/>
        </w:rPr>
        <w:t>Sud-Ouest : Mahafaly</w:t>
      </w:r>
    </w:p>
    <w:p w14:paraId="766258E1" w14:textId="77777777" w:rsidR="00575CDF" w:rsidRPr="00C801A6" w:rsidRDefault="00575CDF" w:rsidP="00844538">
      <w:pPr>
        <w:pStyle w:val="ListParagraph"/>
        <w:numPr>
          <w:ilvl w:val="0"/>
          <w:numId w:val="26"/>
        </w:numPr>
        <w:tabs>
          <w:tab w:val="left" w:pos="567"/>
        </w:tabs>
        <w:spacing w:after="80" w:line="276" w:lineRule="auto"/>
        <w:ind w:left="568" w:hanging="284"/>
        <w:contextualSpacing w:val="0"/>
        <w:rPr>
          <w:color w:val="auto"/>
        </w:rPr>
      </w:pPr>
      <w:r w:rsidRPr="00C801A6">
        <w:rPr>
          <w:color w:val="auto"/>
        </w:rPr>
        <w:t>Nord-Ouest : Tsimihety</w:t>
      </w:r>
    </w:p>
    <w:p w14:paraId="35F8A381" w14:textId="431B2722" w:rsidR="00575CDF" w:rsidRPr="00F66E10" w:rsidRDefault="00575CDF" w:rsidP="00844538">
      <w:pPr>
        <w:pStyle w:val="ListParagraph"/>
        <w:numPr>
          <w:ilvl w:val="0"/>
          <w:numId w:val="26"/>
        </w:numPr>
        <w:tabs>
          <w:tab w:val="left" w:pos="567"/>
        </w:tabs>
        <w:spacing w:after="80" w:line="276" w:lineRule="auto"/>
        <w:ind w:left="568" w:hanging="284"/>
        <w:contextualSpacing w:val="0"/>
        <w:rPr>
          <w:color w:val="auto"/>
          <w:lang w:val="pt-BR"/>
        </w:rPr>
      </w:pPr>
      <w:r w:rsidRPr="00F66E10">
        <w:rPr>
          <w:color w:val="auto"/>
          <w:lang w:val="pt-BR"/>
        </w:rPr>
        <w:t>Est : Betsimisaraka (Toamasina),</w:t>
      </w:r>
      <w:r w:rsidR="003349AF" w:rsidRPr="00F66E10">
        <w:rPr>
          <w:color w:val="auto"/>
          <w:lang w:val="pt-BR"/>
        </w:rPr>
        <w:t xml:space="preserve"> </w:t>
      </w:r>
      <w:r w:rsidRPr="00F66E10">
        <w:rPr>
          <w:color w:val="auto"/>
          <w:lang w:val="pt-BR"/>
        </w:rPr>
        <w:t>Antaimbahoaka, Bezanozano, Sihanaka (Ambatondrazaka), Tanala, .</w:t>
      </w:r>
    </w:p>
    <w:p w14:paraId="1EA557C5" w14:textId="77777777" w:rsidR="00575CDF" w:rsidRPr="00C801A6" w:rsidRDefault="00575CDF" w:rsidP="00844538">
      <w:pPr>
        <w:pStyle w:val="ListParagraph"/>
        <w:numPr>
          <w:ilvl w:val="0"/>
          <w:numId w:val="26"/>
        </w:numPr>
        <w:tabs>
          <w:tab w:val="left" w:pos="567"/>
        </w:tabs>
        <w:spacing w:after="80" w:line="276" w:lineRule="auto"/>
        <w:ind w:left="568" w:hanging="284"/>
        <w:contextualSpacing w:val="0"/>
        <w:rPr>
          <w:color w:val="auto"/>
        </w:rPr>
      </w:pPr>
      <w:r w:rsidRPr="00C801A6">
        <w:rPr>
          <w:color w:val="auto"/>
        </w:rPr>
        <w:t>Sud-Est : Antaifasy, Antaisaka, Antaimoro, Zafisoro</w:t>
      </w:r>
    </w:p>
    <w:p w14:paraId="4824D41E" w14:textId="77777777" w:rsidR="00575CDF" w:rsidRPr="00C801A6" w:rsidRDefault="00575CDF" w:rsidP="00844538">
      <w:pPr>
        <w:pStyle w:val="ListParagraph"/>
        <w:numPr>
          <w:ilvl w:val="0"/>
          <w:numId w:val="26"/>
        </w:numPr>
        <w:tabs>
          <w:tab w:val="left" w:pos="567"/>
        </w:tabs>
        <w:spacing w:after="80" w:line="276" w:lineRule="auto"/>
        <w:ind w:left="568" w:hanging="284"/>
        <w:contextualSpacing w:val="0"/>
        <w:rPr>
          <w:color w:val="auto"/>
        </w:rPr>
      </w:pPr>
      <w:r w:rsidRPr="00C801A6">
        <w:rPr>
          <w:color w:val="auto"/>
        </w:rPr>
        <w:t>Sud : Antandroy, Antanosy (Taolagnaro)</w:t>
      </w:r>
    </w:p>
    <w:p w14:paraId="47EA5B8A" w14:textId="77777777" w:rsidR="00575CDF" w:rsidRPr="00F66E10" w:rsidRDefault="00575CDF" w:rsidP="00844538">
      <w:pPr>
        <w:pStyle w:val="ListParagraph"/>
        <w:numPr>
          <w:ilvl w:val="0"/>
          <w:numId w:val="26"/>
        </w:numPr>
        <w:tabs>
          <w:tab w:val="left" w:pos="567"/>
        </w:tabs>
        <w:spacing w:line="276" w:lineRule="auto"/>
        <w:ind w:left="567" w:hanging="283"/>
        <w:contextualSpacing w:val="0"/>
        <w:rPr>
          <w:color w:val="auto"/>
          <w:lang w:val="pt-BR"/>
        </w:rPr>
      </w:pPr>
      <w:r w:rsidRPr="00F66E10">
        <w:rPr>
          <w:color w:val="auto"/>
          <w:lang w:val="pt-BR"/>
        </w:rPr>
        <w:t>Centre-Sud : Bara, Betsileo (Fianarantsoa)</w:t>
      </w:r>
    </w:p>
    <w:p w14:paraId="04C69268" w14:textId="77777777" w:rsidR="00575CDF" w:rsidRPr="00C801A6" w:rsidRDefault="00575CDF" w:rsidP="00575CDF">
      <w:pPr>
        <w:rPr>
          <w:color w:val="auto"/>
        </w:rPr>
      </w:pPr>
      <w:r w:rsidRPr="00C801A6">
        <w:rPr>
          <w:color w:val="auto"/>
        </w:rPr>
        <w:t xml:space="preserve">Malgré la présence de migrants et d’autres ethnies, dans chaque région, chaque population respecte encore leurs traditions respectives. </w:t>
      </w:r>
    </w:p>
    <w:p w14:paraId="50EB4804" w14:textId="77777777" w:rsidR="00575CDF" w:rsidRPr="00C801A6" w:rsidRDefault="00575CDF" w:rsidP="00575CDF">
      <w:pPr>
        <w:rPr>
          <w:color w:val="auto"/>
        </w:rPr>
      </w:pPr>
      <w:r w:rsidRPr="00C801A6">
        <w:rPr>
          <w:color w:val="auto"/>
        </w:rPr>
        <w:t>Sur le plan culturel, les zones ciblées par le projet sont caractérisées par le respect des traditions et des rites basés sur le culte des ancêtres, en particulier en milieu rural. On y rencontre ainsi des lieux de cultes chrétiens, tombeaux, pierres sacrées. Ces derniers pourraient se trouver le long des tracés des routes revêtues.</w:t>
      </w:r>
    </w:p>
    <w:p w14:paraId="6D36B00B" w14:textId="77777777" w:rsidR="00575CDF" w:rsidRPr="00C801A6" w:rsidRDefault="00575CDF" w:rsidP="00575CDF">
      <w:pPr>
        <w:rPr>
          <w:color w:val="auto"/>
        </w:rPr>
      </w:pPr>
      <w:r w:rsidRPr="00C801A6">
        <w:rPr>
          <w:color w:val="auto"/>
        </w:rPr>
        <w:t>Parfois, les croyances et les traditions sont intimement liées aux « divinités naturelles » qui peuvent être incarnées par un arbre, une plante, une montagne, une chute d’eau, un lac ou autre élément de la nature.</w:t>
      </w:r>
    </w:p>
    <w:p w14:paraId="660C9A18" w14:textId="77777777" w:rsidR="00575CDF" w:rsidRPr="00C801A6" w:rsidRDefault="00575CDF" w:rsidP="003042DB">
      <w:pPr>
        <w:pStyle w:val="Heading4"/>
        <w:rPr>
          <w:color w:val="auto"/>
        </w:rPr>
      </w:pPr>
      <w:bookmarkStart w:id="179" w:name="_Toc440199219"/>
      <w:bookmarkStart w:id="180" w:name="_Toc230298747"/>
      <w:r w:rsidRPr="00C801A6">
        <w:rPr>
          <w:color w:val="auto"/>
        </w:rPr>
        <w:t>Caractéristiques de la population</w:t>
      </w:r>
      <w:bookmarkEnd w:id="179"/>
      <w:bookmarkEnd w:id="180"/>
    </w:p>
    <w:p w14:paraId="0C806D8D" w14:textId="72145647" w:rsidR="00575CDF" w:rsidRPr="00C801A6" w:rsidRDefault="00575CDF" w:rsidP="00575CDF">
      <w:pPr>
        <w:rPr>
          <w:color w:val="auto"/>
        </w:rPr>
      </w:pPr>
      <w:r w:rsidRPr="00C801A6">
        <w:rPr>
          <w:color w:val="auto"/>
        </w:rPr>
        <w:t>Depuis 1960, le rythme annuel de croissance de la population de la Grande Ile s’est accéléré et il en résulte une croissance démographique importante.</w:t>
      </w:r>
      <w:r w:rsidR="003349AF" w:rsidRPr="00C801A6">
        <w:rPr>
          <w:color w:val="auto"/>
        </w:rPr>
        <w:t xml:space="preserve"> </w:t>
      </w:r>
      <w:r w:rsidRPr="00C801A6">
        <w:rPr>
          <w:color w:val="auto"/>
        </w:rPr>
        <w:t>Ainsi, selon les résultats du recensement général mené en 1993 et en 2018, la population de Madagascar a doublé en l’espace de 25 ans :</w:t>
      </w:r>
    </w:p>
    <w:p w14:paraId="35F7841A" w14:textId="77777777" w:rsidR="00575CDF" w:rsidRPr="00C801A6" w:rsidRDefault="00575CDF" w:rsidP="00575CDF">
      <w:pPr>
        <w:rPr>
          <w:color w:val="auto"/>
        </w:rPr>
      </w:pPr>
      <w:r w:rsidRPr="00C801A6">
        <w:rPr>
          <w:color w:val="auto"/>
        </w:rPr>
        <w:t xml:space="preserve">Les </w:t>
      </w:r>
      <w:r w:rsidRPr="00C801A6">
        <w:rPr>
          <w:rFonts w:eastAsia="Times New Roman" w:cs="Times New Roman"/>
          <w:color w:val="auto"/>
        </w:rPr>
        <w:t>trois Régions les plus peuplées de Madagascar sont Analama</w:t>
      </w:r>
      <w:r w:rsidRPr="00C801A6">
        <w:rPr>
          <w:color w:val="auto"/>
        </w:rPr>
        <w:t xml:space="preserve">nga, Vakinankaratra et Sofia représentant respectivement 14,11%, 8,10% et 5,87% de la population totale. </w:t>
      </w:r>
    </w:p>
    <w:p w14:paraId="7393B707" w14:textId="77777777" w:rsidR="00575CDF" w:rsidRDefault="00575CDF" w:rsidP="00575CDF">
      <w:pPr>
        <w:rPr>
          <w:color w:val="auto"/>
        </w:rPr>
      </w:pPr>
      <w:r w:rsidRPr="00C801A6">
        <w:rPr>
          <w:color w:val="auto"/>
        </w:rPr>
        <w:t>La population est très jeune car près de 45% ont moins de 15 ans.</w:t>
      </w:r>
    </w:p>
    <w:p w14:paraId="04E182BB" w14:textId="14EEA8A5" w:rsidR="00575CDF" w:rsidRPr="00C801A6" w:rsidRDefault="00691CB0" w:rsidP="00691CB0">
      <w:pPr>
        <w:pStyle w:val="Caption"/>
        <w:rPr>
          <w:color w:val="auto"/>
        </w:rPr>
      </w:pPr>
      <w:bookmarkStart w:id="181" w:name="_Toc71731714"/>
      <w:bookmarkStart w:id="182" w:name="_Toc230427727"/>
      <w:r>
        <w:t xml:space="preserve">Tableau </w:t>
      </w:r>
      <w:r w:rsidR="00E44887">
        <w:fldChar w:fldCharType="begin"/>
      </w:r>
      <w:r w:rsidR="00E44887">
        <w:instrText xml:space="preserve"> SEQ Tableau \* ARABIC </w:instrText>
      </w:r>
      <w:r w:rsidR="00E44887">
        <w:fldChar w:fldCharType="separate"/>
      </w:r>
      <w:r w:rsidR="00253F1A">
        <w:rPr>
          <w:noProof/>
        </w:rPr>
        <w:t>7</w:t>
      </w:r>
      <w:r w:rsidR="00E44887">
        <w:rPr>
          <w:noProof/>
        </w:rPr>
        <w:fldChar w:fldCharType="end"/>
      </w:r>
      <w:r w:rsidR="00575CDF" w:rsidRPr="00C801A6">
        <w:rPr>
          <w:color w:val="auto"/>
        </w:rPr>
        <w:t> : Historique et perspective d’évolution de la population de Madagascar</w:t>
      </w:r>
      <w:bookmarkEnd w:id="181"/>
      <w:bookmarkEnd w:id="182"/>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43"/>
        <w:gridCol w:w="1204"/>
        <w:gridCol w:w="1204"/>
        <w:gridCol w:w="1204"/>
        <w:gridCol w:w="1204"/>
        <w:gridCol w:w="1204"/>
        <w:gridCol w:w="1204"/>
      </w:tblGrid>
      <w:tr w:rsidR="00C801A6" w:rsidRPr="00C801A6" w14:paraId="3C812717" w14:textId="77777777" w:rsidTr="00347FDB">
        <w:trPr>
          <w:tblHeader/>
        </w:trPr>
        <w:tc>
          <w:tcPr>
            <w:tcW w:w="1843" w:type="dxa"/>
            <w:shd w:val="clear" w:color="auto" w:fill="E2EFD9" w:themeFill="accent6" w:themeFillTint="33"/>
            <w:vAlign w:val="bottom"/>
            <w:hideMark/>
          </w:tcPr>
          <w:p w14:paraId="5A60E4B9" w14:textId="77777777" w:rsidR="00575CDF" w:rsidRPr="00C801A6" w:rsidRDefault="00575CDF" w:rsidP="00347FDB">
            <w:pPr>
              <w:spacing w:before="20" w:after="20" w:line="264" w:lineRule="auto"/>
              <w:rPr>
                <w:rFonts w:cs="Times New Roman"/>
                <w:b/>
                <w:color w:val="auto"/>
                <w:sz w:val="20"/>
                <w:szCs w:val="20"/>
              </w:rPr>
            </w:pPr>
            <w:r w:rsidRPr="00C801A6">
              <w:rPr>
                <w:rFonts w:cs="Times New Roman"/>
                <w:b/>
                <w:color w:val="auto"/>
                <w:sz w:val="20"/>
                <w:szCs w:val="20"/>
              </w:rPr>
              <w:t>REGION</w:t>
            </w:r>
          </w:p>
        </w:tc>
        <w:tc>
          <w:tcPr>
            <w:tcW w:w="1204" w:type="dxa"/>
            <w:shd w:val="clear" w:color="auto" w:fill="E2EFD9" w:themeFill="accent6" w:themeFillTint="33"/>
            <w:vAlign w:val="bottom"/>
            <w:hideMark/>
          </w:tcPr>
          <w:p w14:paraId="52336E2A" w14:textId="77777777" w:rsidR="00575CDF" w:rsidRPr="00C801A6" w:rsidRDefault="00575CDF" w:rsidP="00347FDB">
            <w:pPr>
              <w:spacing w:before="20" w:after="20" w:line="264" w:lineRule="auto"/>
              <w:jc w:val="center"/>
              <w:rPr>
                <w:rFonts w:cs="Times New Roman"/>
                <w:b/>
                <w:color w:val="auto"/>
                <w:sz w:val="20"/>
                <w:szCs w:val="20"/>
              </w:rPr>
            </w:pPr>
            <w:r w:rsidRPr="00C801A6">
              <w:rPr>
                <w:rFonts w:cs="Times New Roman"/>
                <w:b/>
                <w:color w:val="auto"/>
                <w:sz w:val="20"/>
                <w:szCs w:val="20"/>
              </w:rPr>
              <w:t>1993</w:t>
            </w:r>
          </w:p>
        </w:tc>
        <w:tc>
          <w:tcPr>
            <w:tcW w:w="1204" w:type="dxa"/>
            <w:shd w:val="clear" w:color="auto" w:fill="E2EFD9" w:themeFill="accent6" w:themeFillTint="33"/>
            <w:vAlign w:val="bottom"/>
            <w:hideMark/>
          </w:tcPr>
          <w:p w14:paraId="1A161CBF" w14:textId="77777777" w:rsidR="00575CDF" w:rsidRPr="00C801A6" w:rsidRDefault="00575CDF" w:rsidP="00347FDB">
            <w:pPr>
              <w:spacing w:before="20" w:after="20" w:line="264" w:lineRule="auto"/>
              <w:jc w:val="center"/>
              <w:rPr>
                <w:rFonts w:cs="Times New Roman"/>
                <w:b/>
                <w:color w:val="auto"/>
                <w:sz w:val="20"/>
                <w:szCs w:val="20"/>
              </w:rPr>
            </w:pPr>
            <w:r w:rsidRPr="00C801A6">
              <w:rPr>
                <w:rFonts w:cs="Times New Roman"/>
                <w:b/>
                <w:color w:val="auto"/>
                <w:sz w:val="20"/>
                <w:szCs w:val="20"/>
              </w:rPr>
              <w:t>2018</w:t>
            </w:r>
          </w:p>
        </w:tc>
        <w:tc>
          <w:tcPr>
            <w:tcW w:w="1204" w:type="dxa"/>
            <w:shd w:val="clear" w:color="auto" w:fill="E2EFD9" w:themeFill="accent6" w:themeFillTint="33"/>
            <w:vAlign w:val="bottom"/>
            <w:hideMark/>
          </w:tcPr>
          <w:p w14:paraId="5D599CE8" w14:textId="77777777" w:rsidR="00575CDF" w:rsidRPr="00C801A6" w:rsidRDefault="00575CDF" w:rsidP="00347FDB">
            <w:pPr>
              <w:spacing w:before="20" w:after="20" w:line="264" w:lineRule="auto"/>
              <w:jc w:val="center"/>
              <w:rPr>
                <w:rFonts w:cs="Times New Roman"/>
                <w:b/>
                <w:color w:val="auto"/>
                <w:sz w:val="20"/>
                <w:szCs w:val="20"/>
              </w:rPr>
            </w:pPr>
            <w:r w:rsidRPr="00C801A6">
              <w:rPr>
                <w:rFonts w:cs="Times New Roman"/>
                <w:b/>
                <w:color w:val="auto"/>
                <w:sz w:val="20"/>
                <w:szCs w:val="20"/>
              </w:rPr>
              <w:t>2020</w:t>
            </w:r>
          </w:p>
        </w:tc>
        <w:tc>
          <w:tcPr>
            <w:tcW w:w="1204" w:type="dxa"/>
            <w:shd w:val="clear" w:color="auto" w:fill="E2EFD9" w:themeFill="accent6" w:themeFillTint="33"/>
            <w:vAlign w:val="bottom"/>
            <w:hideMark/>
          </w:tcPr>
          <w:p w14:paraId="51E56219" w14:textId="77777777" w:rsidR="00575CDF" w:rsidRPr="00C801A6" w:rsidRDefault="00575CDF" w:rsidP="00347FDB">
            <w:pPr>
              <w:spacing w:before="20" w:after="20" w:line="264" w:lineRule="auto"/>
              <w:jc w:val="center"/>
              <w:rPr>
                <w:rFonts w:cs="Times New Roman"/>
                <w:b/>
                <w:color w:val="auto"/>
                <w:sz w:val="20"/>
                <w:szCs w:val="20"/>
              </w:rPr>
            </w:pPr>
            <w:r w:rsidRPr="00C801A6">
              <w:rPr>
                <w:rFonts w:cs="Times New Roman"/>
                <w:b/>
                <w:color w:val="auto"/>
                <w:sz w:val="20"/>
                <w:szCs w:val="20"/>
              </w:rPr>
              <w:t>2021</w:t>
            </w:r>
          </w:p>
        </w:tc>
        <w:tc>
          <w:tcPr>
            <w:tcW w:w="1204" w:type="dxa"/>
            <w:shd w:val="clear" w:color="auto" w:fill="E2EFD9" w:themeFill="accent6" w:themeFillTint="33"/>
            <w:vAlign w:val="bottom"/>
            <w:hideMark/>
          </w:tcPr>
          <w:p w14:paraId="67F12F8C" w14:textId="77777777" w:rsidR="00575CDF" w:rsidRPr="00C801A6" w:rsidRDefault="00575CDF" w:rsidP="00347FDB">
            <w:pPr>
              <w:spacing w:before="20" w:after="20" w:line="264" w:lineRule="auto"/>
              <w:jc w:val="center"/>
              <w:rPr>
                <w:rFonts w:cs="Times New Roman"/>
                <w:b/>
                <w:color w:val="auto"/>
                <w:sz w:val="20"/>
                <w:szCs w:val="20"/>
              </w:rPr>
            </w:pPr>
            <w:r w:rsidRPr="00C801A6">
              <w:rPr>
                <w:rFonts w:cs="Times New Roman"/>
                <w:b/>
                <w:color w:val="auto"/>
                <w:sz w:val="20"/>
                <w:szCs w:val="20"/>
              </w:rPr>
              <w:t>2022</w:t>
            </w:r>
          </w:p>
        </w:tc>
        <w:tc>
          <w:tcPr>
            <w:tcW w:w="1204" w:type="dxa"/>
            <w:shd w:val="clear" w:color="auto" w:fill="E2EFD9" w:themeFill="accent6" w:themeFillTint="33"/>
            <w:vAlign w:val="bottom"/>
            <w:hideMark/>
          </w:tcPr>
          <w:p w14:paraId="2AB9FF3A" w14:textId="77777777" w:rsidR="00575CDF" w:rsidRPr="00C801A6" w:rsidRDefault="00575CDF" w:rsidP="00347FDB">
            <w:pPr>
              <w:spacing w:before="20" w:after="20" w:line="264" w:lineRule="auto"/>
              <w:jc w:val="center"/>
              <w:rPr>
                <w:rFonts w:cs="Times New Roman"/>
                <w:b/>
                <w:color w:val="auto"/>
                <w:sz w:val="20"/>
                <w:szCs w:val="20"/>
              </w:rPr>
            </w:pPr>
            <w:r w:rsidRPr="00C801A6">
              <w:rPr>
                <w:rFonts w:cs="Times New Roman"/>
                <w:b/>
                <w:color w:val="auto"/>
                <w:sz w:val="20"/>
                <w:szCs w:val="20"/>
              </w:rPr>
              <w:t>2023</w:t>
            </w:r>
          </w:p>
        </w:tc>
      </w:tr>
      <w:tr w:rsidR="00C801A6" w:rsidRPr="00C801A6" w14:paraId="7E008C5B" w14:textId="77777777" w:rsidTr="00347FDB">
        <w:tc>
          <w:tcPr>
            <w:tcW w:w="1843" w:type="dxa"/>
            <w:vAlign w:val="bottom"/>
            <w:hideMark/>
          </w:tcPr>
          <w:p w14:paraId="41C58116"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Alaotra Mangoro</w:t>
            </w:r>
          </w:p>
        </w:tc>
        <w:tc>
          <w:tcPr>
            <w:tcW w:w="1204" w:type="dxa"/>
            <w:vAlign w:val="bottom"/>
            <w:hideMark/>
          </w:tcPr>
          <w:p w14:paraId="50F5F9C4"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611 954</w:t>
            </w:r>
          </w:p>
        </w:tc>
        <w:tc>
          <w:tcPr>
            <w:tcW w:w="1204" w:type="dxa"/>
            <w:vAlign w:val="bottom"/>
            <w:hideMark/>
          </w:tcPr>
          <w:p w14:paraId="077BA6B4"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1 249 931</w:t>
            </w:r>
          </w:p>
        </w:tc>
        <w:tc>
          <w:tcPr>
            <w:tcW w:w="1204" w:type="dxa"/>
            <w:vAlign w:val="bottom"/>
            <w:hideMark/>
          </w:tcPr>
          <w:p w14:paraId="2DB6FA58"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1 234 447</w:t>
            </w:r>
          </w:p>
        </w:tc>
        <w:tc>
          <w:tcPr>
            <w:tcW w:w="1204" w:type="dxa"/>
            <w:vAlign w:val="bottom"/>
            <w:hideMark/>
          </w:tcPr>
          <w:p w14:paraId="5FAEC939"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1 266 049</w:t>
            </w:r>
          </w:p>
        </w:tc>
        <w:tc>
          <w:tcPr>
            <w:tcW w:w="1204" w:type="dxa"/>
            <w:vAlign w:val="bottom"/>
            <w:hideMark/>
          </w:tcPr>
          <w:p w14:paraId="4F6A85F1"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1 298 058</w:t>
            </w:r>
          </w:p>
        </w:tc>
        <w:tc>
          <w:tcPr>
            <w:tcW w:w="1204" w:type="dxa"/>
            <w:vAlign w:val="bottom"/>
            <w:hideMark/>
          </w:tcPr>
          <w:p w14:paraId="44A16084"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1 330 356</w:t>
            </w:r>
          </w:p>
        </w:tc>
      </w:tr>
      <w:tr w:rsidR="00C801A6" w:rsidRPr="00C801A6" w14:paraId="41BD3E92" w14:textId="77777777" w:rsidTr="00347FDB">
        <w:tc>
          <w:tcPr>
            <w:tcW w:w="1843" w:type="dxa"/>
            <w:vAlign w:val="bottom"/>
            <w:hideMark/>
          </w:tcPr>
          <w:p w14:paraId="7615682E"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Amoron'i Mania</w:t>
            </w:r>
          </w:p>
        </w:tc>
        <w:tc>
          <w:tcPr>
            <w:tcW w:w="1204" w:type="dxa"/>
            <w:vAlign w:val="bottom"/>
            <w:hideMark/>
          </w:tcPr>
          <w:p w14:paraId="2E4AA6EC"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472 677</w:t>
            </w:r>
          </w:p>
        </w:tc>
        <w:tc>
          <w:tcPr>
            <w:tcW w:w="1204" w:type="dxa"/>
            <w:vAlign w:val="bottom"/>
            <w:hideMark/>
          </w:tcPr>
          <w:p w14:paraId="00F2691B"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837 116</w:t>
            </w:r>
          </w:p>
        </w:tc>
        <w:tc>
          <w:tcPr>
            <w:tcW w:w="1204" w:type="dxa"/>
            <w:vAlign w:val="bottom"/>
            <w:hideMark/>
          </w:tcPr>
          <w:p w14:paraId="6EB6DB37"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859 365</w:t>
            </w:r>
          </w:p>
        </w:tc>
        <w:tc>
          <w:tcPr>
            <w:tcW w:w="1204" w:type="dxa"/>
            <w:vAlign w:val="bottom"/>
            <w:hideMark/>
          </w:tcPr>
          <w:p w14:paraId="7804C5D6"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881 365</w:t>
            </w:r>
          </w:p>
        </w:tc>
        <w:tc>
          <w:tcPr>
            <w:tcW w:w="1204" w:type="dxa"/>
            <w:vAlign w:val="bottom"/>
            <w:hideMark/>
          </w:tcPr>
          <w:p w14:paraId="6A26AE08"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903 648</w:t>
            </w:r>
          </w:p>
        </w:tc>
        <w:tc>
          <w:tcPr>
            <w:tcW w:w="1204" w:type="dxa"/>
            <w:vAlign w:val="bottom"/>
            <w:hideMark/>
          </w:tcPr>
          <w:p w14:paraId="68EF5C85"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926 132</w:t>
            </w:r>
          </w:p>
        </w:tc>
      </w:tr>
      <w:tr w:rsidR="00C801A6" w:rsidRPr="00C801A6" w14:paraId="1E63177B" w14:textId="77777777" w:rsidTr="00347FDB">
        <w:tc>
          <w:tcPr>
            <w:tcW w:w="1843" w:type="dxa"/>
            <w:vAlign w:val="bottom"/>
            <w:hideMark/>
          </w:tcPr>
          <w:p w14:paraId="1416423B"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lastRenderedPageBreak/>
              <w:t>Analamanga</w:t>
            </w:r>
          </w:p>
        </w:tc>
        <w:tc>
          <w:tcPr>
            <w:tcW w:w="1204" w:type="dxa"/>
            <w:vAlign w:val="bottom"/>
            <w:hideMark/>
          </w:tcPr>
          <w:p w14:paraId="34F78715"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1 754 749</w:t>
            </w:r>
          </w:p>
        </w:tc>
        <w:tc>
          <w:tcPr>
            <w:tcW w:w="1204" w:type="dxa"/>
            <w:vAlign w:val="bottom"/>
            <w:hideMark/>
          </w:tcPr>
          <w:p w14:paraId="17060C92"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3 623 925</w:t>
            </w:r>
          </w:p>
        </w:tc>
        <w:tc>
          <w:tcPr>
            <w:tcW w:w="1204" w:type="dxa"/>
            <w:vAlign w:val="bottom"/>
            <w:hideMark/>
          </w:tcPr>
          <w:p w14:paraId="5E1CEBA5"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4 024 795</w:t>
            </w:r>
          </w:p>
        </w:tc>
        <w:tc>
          <w:tcPr>
            <w:tcW w:w="1204" w:type="dxa"/>
            <w:vAlign w:val="bottom"/>
            <w:hideMark/>
          </w:tcPr>
          <w:p w14:paraId="1688F209"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4 127 831</w:t>
            </w:r>
          </w:p>
        </w:tc>
        <w:tc>
          <w:tcPr>
            <w:tcW w:w="1204" w:type="dxa"/>
            <w:vAlign w:val="bottom"/>
            <w:hideMark/>
          </w:tcPr>
          <w:p w14:paraId="1EB9F5A0"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4 232 194</w:t>
            </w:r>
          </w:p>
        </w:tc>
        <w:tc>
          <w:tcPr>
            <w:tcW w:w="1204" w:type="dxa"/>
            <w:vAlign w:val="bottom"/>
            <w:hideMark/>
          </w:tcPr>
          <w:p w14:paraId="5F10B0FF"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4 337 497</w:t>
            </w:r>
          </w:p>
        </w:tc>
      </w:tr>
      <w:tr w:rsidR="00C801A6" w:rsidRPr="00C801A6" w14:paraId="28CCFEFA" w14:textId="77777777" w:rsidTr="00347FDB">
        <w:tc>
          <w:tcPr>
            <w:tcW w:w="1843" w:type="dxa"/>
            <w:vAlign w:val="bottom"/>
            <w:hideMark/>
          </w:tcPr>
          <w:p w14:paraId="5A88924A"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Analanjirofo</w:t>
            </w:r>
          </w:p>
        </w:tc>
        <w:tc>
          <w:tcPr>
            <w:tcW w:w="1204" w:type="dxa"/>
            <w:vAlign w:val="bottom"/>
            <w:hideMark/>
          </w:tcPr>
          <w:p w14:paraId="4460FB19"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600 138</w:t>
            </w:r>
          </w:p>
        </w:tc>
        <w:tc>
          <w:tcPr>
            <w:tcW w:w="1204" w:type="dxa"/>
            <w:vAlign w:val="bottom"/>
            <w:hideMark/>
          </w:tcPr>
          <w:p w14:paraId="578DBC3B"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1 150 089</w:t>
            </w:r>
          </w:p>
        </w:tc>
        <w:tc>
          <w:tcPr>
            <w:tcW w:w="1204" w:type="dxa"/>
            <w:vAlign w:val="bottom"/>
            <w:hideMark/>
          </w:tcPr>
          <w:p w14:paraId="737B0E94"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1 244 087</w:t>
            </w:r>
          </w:p>
        </w:tc>
        <w:tc>
          <w:tcPr>
            <w:tcW w:w="1204" w:type="dxa"/>
            <w:vAlign w:val="bottom"/>
            <w:hideMark/>
          </w:tcPr>
          <w:p w14:paraId="52EB3A3A"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1 275 936</w:t>
            </w:r>
          </w:p>
        </w:tc>
        <w:tc>
          <w:tcPr>
            <w:tcW w:w="1204" w:type="dxa"/>
            <w:vAlign w:val="bottom"/>
            <w:hideMark/>
          </w:tcPr>
          <w:p w14:paraId="2525A3A8"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1 308 196</w:t>
            </w:r>
          </w:p>
        </w:tc>
        <w:tc>
          <w:tcPr>
            <w:tcW w:w="1204" w:type="dxa"/>
            <w:vAlign w:val="bottom"/>
            <w:hideMark/>
          </w:tcPr>
          <w:p w14:paraId="30041CAE"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1 340 745</w:t>
            </w:r>
          </w:p>
        </w:tc>
      </w:tr>
      <w:tr w:rsidR="00C801A6" w:rsidRPr="00C801A6" w14:paraId="4E671BF5" w14:textId="77777777" w:rsidTr="00347FDB">
        <w:tc>
          <w:tcPr>
            <w:tcW w:w="1843" w:type="dxa"/>
            <w:vAlign w:val="bottom"/>
            <w:hideMark/>
          </w:tcPr>
          <w:p w14:paraId="5B5E8666"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Androy</w:t>
            </w:r>
          </w:p>
        </w:tc>
        <w:tc>
          <w:tcPr>
            <w:tcW w:w="1204" w:type="dxa"/>
            <w:vAlign w:val="bottom"/>
            <w:hideMark/>
          </w:tcPr>
          <w:p w14:paraId="5456DF21"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346 695</w:t>
            </w:r>
          </w:p>
        </w:tc>
        <w:tc>
          <w:tcPr>
            <w:tcW w:w="1204" w:type="dxa"/>
            <w:vAlign w:val="bottom"/>
            <w:hideMark/>
          </w:tcPr>
          <w:p w14:paraId="23BADA4B"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900 235</w:t>
            </w:r>
          </w:p>
        </w:tc>
        <w:tc>
          <w:tcPr>
            <w:tcW w:w="1204" w:type="dxa"/>
            <w:vAlign w:val="bottom"/>
            <w:hideMark/>
          </w:tcPr>
          <w:p w14:paraId="525538E6"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882 088</w:t>
            </w:r>
          </w:p>
        </w:tc>
        <w:tc>
          <w:tcPr>
            <w:tcW w:w="1204" w:type="dxa"/>
            <w:vAlign w:val="bottom"/>
            <w:hideMark/>
          </w:tcPr>
          <w:p w14:paraId="2A74BE9A"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904 670</w:t>
            </w:r>
          </w:p>
        </w:tc>
        <w:tc>
          <w:tcPr>
            <w:tcW w:w="1204" w:type="dxa"/>
            <w:vAlign w:val="bottom"/>
            <w:hideMark/>
          </w:tcPr>
          <w:p w14:paraId="5BC0D4C3"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927 542</w:t>
            </w:r>
          </w:p>
        </w:tc>
        <w:tc>
          <w:tcPr>
            <w:tcW w:w="1204" w:type="dxa"/>
            <w:vAlign w:val="bottom"/>
            <w:hideMark/>
          </w:tcPr>
          <w:p w14:paraId="0FAF2D3C"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950 621</w:t>
            </w:r>
          </w:p>
        </w:tc>
      </w:tr>
      <w:tr w:rsidR="00C801A6" w:rsidRPr="00C801A6" w14:paraId="2F7D22BD" w14:textId="77777777" w:rsidTr="00347FDB">
        <w:tc>
          <w:tcPr>
            <w:tcW w:w="1843" w:type="dxa"/>
            <w:vAlign w:val="bottom"/>
            <w:hideMark/>
          </w:tcPr>
          <w:p w14:paraId="64A85294"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Anosy</w:t>
            </w:r>
          </w:p>
        </w:tc>
        <w:tc>
          <w:tcPr>
            <w:tcW w:w="1204" w:type="dxa"/>
            <w:vAlign w:val="bottom"/>
            <w:hideMark/>
          </w:tcPr>
          <w:p w14:paraId="2874EA08"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396 016</w:t>
            </w:r>
          </w:p>
        </w:tc>
        <w:tc>
          <w:tcPr>
            <w:tcW w:w="1204" w:type="dxa"/>
            <w:vAlign w:val="bottom"/>
            <w:hideMark/>
          </w:tcPr>
          <w:p w14:paraId="28430ED2"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809 051</w:t>
            </w:r>
          </w:p>
        </w:tc>
        <w:tc>
          <w:tcPr>
            <w:tcW w:w="1204" w:type="dxa"/>
            <w:vAlign w:val="bottom"/>
            <w:hideMark/>
          </w:tcPr>
          <w:p w14:paraId="2F9C66EE"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807 418</w:t>
            </w:r>
          </w:p>
        </w:tc>
        <w:tc>
          <w:tcPr>
            <w:tcW w:w="1204" w:type="dxa"/>
            <w:vAlign w:val="bottom"/>
            <w:hideMark/>
          </w:tcPr>
          <w:p w14:paraId="1E258DBB"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828 088</w:t>
            </w:r>
          </w:p>
        </w:tc>
        <w:tc>
          <w:tcPr>
            <w:tcW w:w="1204" w:type="dxa"/>
            <w:vAlign w:val="bottom"/>
            <w:hideMark/>
          </w:tcPr>
          <w:p w14:paraId="21BB0D89"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849 024</w:t>
            </w:r>
          </w:p>
        </w:tc>
        <w:tc>
          <w:tcPr>
            <w:tcW w:w="1204" w:type="dxa"/>
            <w:vAlign w:val="bottom"/>
            <w:hideMark/>
          </w:tcPr>
          <w:p w14:paraId="20030901"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870 149</w:t>
            </w:r>
          </w:p>
        </w:tc>
      </w:tr>
      <w:tr w:rsidR="00C801A6" w:rsidRPr="00C801A6" w14:paraId="5AC48208" w14:textId="77777777" w:rsidTr="00347FDB">
        <w:tc>
          <w:tcPr>
            <w:tcW w:w="1843" w:type="dxa"/>
            <w:vAlign w:val="bottom"/>
            <w:hideMark/>
          </w:tcPr>
          <w:p w14:paraId="6EAA690D"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Atsimo Andrefana</w:t>
            </w:r>
          </w:p>
        </w:tc>
        <w:tc>
          <w:tcPr>
            <w:tcW w:w="1204" w:type="dxa"/>
            <w:vAlign w:val="bottom"/>
            <w:hideMark/>
          </w:tcPr>
          <w:p w14:paraId="1A8D0100"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741 243</w:t>
            </w:r>
          </w:p>
        </w:tc>
        <w:tc>
          <w:tcPr>
            <w:tcW w:w="1204" w:type="dxa"/>
            <w:vAlign w:val="bottom"/>
            <w:hideMark/>
          </w:tcPr>
          <w:p w14:paraId="2E6C186B"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1 797 894</w:t>
            </w:r>
          </w:p>
        </w:tc>
        <w:tc>
          <w:tcPr>
            <w:tcW w:w="1204" w:type="dxa"/>
            <w:vAlign w:val="bottom"/>
            <w:hideMark/>
          </w:tcPr>
          <w:p w14:paraId="03F19C4A"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1 582 561</w:t>
            </w:r>
          </w:p>
        </w:tc>
        <w:tc>
          <w:tcPr>
            <w:tcW w:w="1204" w:type="dxa"/>
            <w:vAlign w:val="bottom"/>
            <w:hideMark/>
          </w:tcPr>
          <w:p w14:paraId="67056712"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1 623 075</w:t>
            </w:r>
          </w:p>
        </w:tc>
        <w:tc>
          <w:tcPr>
            <w:tcW w:w="1204" w:type="dxa"/>
            <w:vAlign w:val="bottom"/>
            <w:hideMark/>
          </w:tcPr>
          <w:p w14:paraId="5550137A"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1 664 111</w:t>
            </w:r>
          </w:p>
        </w:tc>
        <w:tc>
          <w:tcPr>
            <w:tcW w:w="1204" w:type="dxa"/>
            <w:vAlign w:val="bottom"/>
            <w:hideMark/>
          </w:tcPr>
          <w:p w14:paraId="7C080569"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1 705 516</w:t>
            </w:r>
          </w:p>
        </w:tc>
      </w:tr>
      <w:tr w:rsidR="00C801A6" w:rsidRPr="00C801A6" w14:paraId="671035FF" w14:textId="77777777" w:rsidTr="00347FDB">
        <w:tc>
          <w:tcPr>
            <w:tcW w:w="1843" w:type="dxa"/>
            <w:vAlign w:val="bottom"/>
            <w:hideMark/>
          </w:tcPr>
          <w:p w14:paraId="3FBD5488"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Atsimo Atsinanana</w:t>
            </w:r>
          </w:p>
        </w:tc>
        <w:tc>
          <w:tcPr>
            <w:tcW w:w="1204" w:type="dxa"/>
            <w:vAlign w:val="bottom"/>
            <w:hideMark/>
          </w:tcPr>
          <w:p w14:paraId="5D60C743"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423 757</w:t>
            </w:r>
          </w:p>
        </w:tc>
        <w:tc>
          <w:tcPr>
            <w:tcW w:w="1204" w:type="dxa"/>
            <w:vAlign w:val="bottom"/>
            <w:hideMark/>
          </w:tcPr>
          <w:p w14:paraId="64C937B8"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1 030 404</w:t>
            </w:r>
          </w:p>
        </w:tc>
        <w:tc>
          <w:tcPr>
            <w:tcW w:w="1204" w:type="dxa"/>
            <w:vAlign w:val="bottom"/>
            <w:hideMark/>
          </w:tcPr>
          <w:p w14:paraId="166B7AA4"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1 080 117</w:t>
            </w:r>
          </w:p>
        </w:tc>
        <w:tc>
          <w:tcPr>
            <w:tcW w:w="1204" w:type="dxa"/>
            <w:vAlign w:val="bottom"/>
            <w:hideMark/>
          </w:tcPr>
          <w:p w14:paraId="344CB587" w14:textId="31F861D6" w:rsidR="00575CDF" w:rsidRPr="00C801A6" w:rsidRDefault="003349AF" w:rsidP="00347FDB">
            <w:pPr>
              <w:spacing w:before="20" w:after="20" w:line="264" w:lineRule="auto"/>
              <w:jc w:val="right"/>
              <w:rPr>
                <w:rFonts w:cs="Times New Roman"/>
                <w:color w:val="auto"/>
                <w:sz w:val="20"/>
                <w:szCs w:val="20"/>
              </w:rPr>
            </w:pPr>
            <w:r w:rsidRPr="00C801A6">
              <w:rPr>
                <w:rFonts w:cs="Times New Roman"/>
                <w:color w:val="auto"/>
                <w:sz w:val="20"/>
                <w:szCs w:val="20"/>
              </w:rPr>
              <w:t xml:space="preserve"> </w:t>
            </w:r>
            <w:r w:rsidR="00575CDF" w:rsidRPr="00C801A6">
              <w:rPr>
                <w:rFonts w:cs="Times New Roman"/>
                <w:color w:val="auto"/>
                <w:sz w:val="20"/>
                <w:szCs w:val="20"/>
              </w:rPr>
              <w:t>1 107 769</w:t>
            </w:r>
          </w:p>
        </w:tc>
        <w:tc>
          <w:tcPr>
            <w:tcW w:w="1204" w:type="dxa"/>
            <w:vAlign w:val="bottom"/>
            <w:hideMark/>
          </w:tcPr>
          <w:p w14:paraId="7DDCCE9C"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1 135 776</w:t>
            </w:r>
          </w:p>
        </w:tc>
        <w:tc>
          <w:tcPr>
            <w:tcW w:w="1204" w:type="dxa"/>
            <w:vAlign w:val="bottom"/>
            <w:hideMark/>
          </w:tcPr>
          <w:p w14:paraId="1AEF3D52"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1 164 036</w:t>
            </w:r>
          </w:p>
        </w:tc>
      </w:tr>
      <w:tr w:rsidR="00C801A6" w:rsidRPr="00C801A6" w14:paraId="1C016389" w14:textId="77777777" w:rsidTr="00347FDB">
        <w:tc>
          <w:tcPr>
            <w:tcW w:w="1843" w:type="dxa"/>
            <w:vAlign w:val="bottom"/>
            <w:hideMark/>
          </w:tcPr>
          <w:p w14:paraId="73F47537"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Atsinanana</w:t>
            </w:r>
          </w:p>
        </w:tc>
        <w:tc>
          <w:tcPr>
            <w:tcW w:w="1204" w:type="dxa"/>
            <w:vAlign w:val="bottom"/>
            <w:hideMark/>
          </w:tcPr>
          <w:p w14:paraId="0441A94F"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778 630</w:t>
            </w:r>
          </w:p>
        </w:tc>
        <w:tc>
          <w:tcPr>
            <w:tcW w:w="1204" w:type="dxa"/>
            <w:vAlign w:val="bottom"/>
            <w:hideMark/>
          </w:tcPr>
          <w:p w14:paraId="6608E595"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1 478 472</w:t>
            </w:r>
          </w:p>
        </w:tc>
        <w:tc>
          <w:tcPr>
            <w:tcW w:w="1204" w:type="dxa"/>
            <w:vAlign w:val="bottom"/>
            <w:hideMark/>
          </w:tcPr>
          <w:p w14:paraId="7E5C7392"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1 527 185</w:t>
            </w:r>
          </w:p>
        </w:tc>
        <w:tc>
          <w:tcPr>
            <w:tcW w:w="1204" w:type="dxa"/>
            <w:vAlign w:val="bottom"/>
            <w:hideMark/>
          </w:tcPr>
          <w:p w14:paraId="3BCA9E34"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1 566 281</w:t>
            </w:r>
          </w:p>
        </w:tc>
        <w:tc>
          <w:tcPr>
            <w:tcW w:w="1204" w:type="dxa"/>
            <w:vAlign w:val="bottom"/>
            <w:hideMark/>
          </w:tcPr>
          <w:p w14:paraId="6723F599"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1 605 881</w:t>
            </w:r>
          </w:p>
        </w:tc>
        <w:tc>
          <w:tcPr>
            <w:tcW w:w="1204" w:type="dxa"/>
            <w:vAlign w:val="bottom"/>
            <w:hideMark/>
          </w:tcPr>
          <w:p w14:paraId="6991DE13"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1 645 838</w:t>
            </w:r>
          </w:p>
        </w:tc>
      </w:tr>
      <w:tr w:rsidR="00C801A6" w:rsidRPr="00C801A6" w14:paraId="067F2975" w14:textId="77777777" w:rsidTr="00347FDB">
        <w:tc>
          <w:tcPr>
            <w:tcW w:w="1843" w:type="dxa"/>
            <w:vAlign w:val="bottom"/>
            <w:hideMark/>
          </w:tcPr>
          <w:p w14:paraId="7C543012"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Betsiboka</w:t>
            </w:r>
          </w:p>
        </w:tc>
        <w:tc>
          <w:tcPr>
            <w:tcW w:w="1204" w:type="dxa"/>
            <w:vAlign w:val="bottom"/>
            <w:hideMark/>
          </w:tcPr>
          <w:p w14:paraId="44C5104F"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169 770</w:t>
            </w:r>
          </w:p>
        </w:tc>
        <w:tc>
          <w:tcPr>
            <w:tcW w:w="1204" w:type="dxa"/>
            <w:vAlign w:val="bottom"/>
            <w:hideMark/>
          </w:tcPr>
          <w:p w14:paraId="570F8495"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393 278</w:t>
            </w:r>
          </w:p>
        </w:tc>
        <w:tc>
          <w:tcPr>
            <w:tcW w:w="1204" w:type="dxa"/>
            <w:vAlign w:val="bottom"/>
            <w:hideMark/>
          </w:tcPr>
          <w:p w14:paraId="095E38D3"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352 773</w:t>
            </w:r>
          </w:p>
        </w:tc>
        <w:tc>
          <w:tcPr>
            <w:tcW w:w="1204" w:type="dxa"/>
            <w:vAlign w:val="bottom"/>
            <w:hideMark/>
          </w:tcPr>
          <w:p w14:paraId="7EB6B151"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361 804</w:t>
            </w:r>
          </w:p>
        </w:tc>
        <w:tc>
          <w:tcPr>
            <w:tcW w:w="1204" w:type="dxa"/>
            <w:vAlign w:val="bottom"/>
            <w:hideMark/>
          </w:tcPr>
          <w:p w14:paraId="41BD793F"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370 952</w:t>
            </w:r>
          </w:p>
        </w:tc>
        <w:tc>
          <w:tcPr>
            <w:tcW w:w="1204" w:type="dxa"/>
            <w:vAlign w:val="bottom"/>
            <w:hideMark/>
          </w:tcPr>
          <w:p w14:paraId="1CE13371"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380 181</w:t>
            </w:r>
          </w:p>
        </w:tc>
      </w:tr>
      <w:tr w:rsidR="00C801A6" w:rsidRPr="00C801A6" w14:paraId="7426F2A5" w14:textId="77777777" w:rsidTr="00347FDB">
        <w:tc>
          <w:tcPr>
            <w:tcW w:w="1843" w:type="dxa"/>
            <w:vAlign w:val="bottom"/>
            <w:hideMark/>
          </w:tcPr>
          <w:p w14:paraId="576611D8"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Boeny</w:t>
            </w:r>
          </w:p>
        </w:tc>
        <w:tc>
          <w:tcPr>
            <w:tcW w:w="1204" w:type="dxa"/>
            <w:vAlign w:val="bottom"/>
            <w:hideMark/>
          </w:tcPr>
          <w:p w14:paraId="01C768FC"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390 138</w:t>
            </w:r>
          </w:p>
        </w:tc>
        <w:tc>
          <w:tcPr>
            <w:tcW w:w="1204" w:type="dxa"/>
            <w:vAlign w:val="bottom"/>
            <w:hideMark/>
          </w:tcPr>
          <w:p w14:paraId="5A133308"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929 312</w:t>
            </w:r>
          </w:p>
        </w:tc>
        <w:tc>
          <w:tcPr>
            <w:tcW w:w="1204" w:type="dxa"/>
            <w:vAlign w:val="bottom"/>
            <w:hideMark/>
          </w:tcPr>
          <w:p w14:paraId="2D99AF8C"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961 100</w:t>
            </w:r>
          </w:p>
        </w:tc>
        <w:tc>
          <w:tcPr>
            <w:tcW w:w="1204" w:type="dxa"/>
            <w:vAlign w:val="bottom"/>
            <w:hideMark/>
          </w:tcPr>
          <w:p w14:paraId="7BF05F14"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985 705</w:t>
            </w:r>
          </w:p>
        </w:tc>
        <w:tc>
          <w:tcPr>
            <w:tcW w:w="1204" w:type="dxa"/>
            <w:vAlign w:val="bottom"/>
            <w:hideMark/>
          </w:tcPr>
          <w:p w14:paraId="4F7C7E92"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1 010 626</w:t>
            </w:r>
          </w:p>
        </w:tc>
        <w:tc>
          <w:tcPr>
            <w:tcW w:w="1204" w:type="dxa"/>
            <w:vAlign w:val="bottom"/>
            <w:hideMark/>
          </w:tcPr>
          <w:p w14:paraId="76108E10"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1 035 772</w:t>
            </w:r>
          </w:p>
        </w:tc>
      </w:tr>
      <w:tr w:rsidR="00C801A6" w:rsidRPr="00C801A6" w14:paraId="246E8837" w14:textId="77777777" w:rsidTr="00347FDB">
        <w:tc>
          <w:tcPr>
            <w:tcW w:w="1843" w:type="dxa"/>
            <w:vAlign w:val="bottom"/>
            <w:hideMark/>
          </w:tcPr>
          <w:p w14:paraId="1537A772"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Bongolava</w:t>
            </w:r>
          </w:p>
        </w:tc>
        <w:tc>
          <w:tcPr>
            <w:tcW w:w="1204" w:type="dxa"/>
            <w:vAlign w:val="bottom"/>
            <w:hideMark/>
          </w:tcPr>
          <w:p w14:paraId="131F6B80"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234 531</w:t>
            </w:r>
          </w:p>
        </w:tc>
        <w:tc>
          <w:tcPr>
            <w:tcW w:w="1204" w:type="dxa"/>
            <w:vAlign w:val="bottom"/>
            <w:hideMark/>
          </w:tcPr>
          <w:p w14:paraId="376BD1FC"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670 993</w:t>
            </w:r>
          </w:p>
        </w:tc>
        <w:tc>
          <w:tcPr>
            <w:tcW w:w="1204" w:type="dxa"/>
            <w:vAlign w:val="bottom"/>
            <w:hideMark/>
          </w:tcPr>
          <w:p w14:paraId="3E638B23"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549 694</w:t>
            </w:r>
          </w:p>
        </w:tc>
        <w:tc>
          <w:tcPr>
            <w:tcW w:w="1204" w:type="dxa"/>
            <w:vAlign w:val="bottom"/>
            <w:hideMark/>
          </w:tcPr>
          <w:p w14:paraId="0BDD8859"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563 767</w:t>
            </w:r>
          </w:p>
        </w:tc>
        <w:tc>
          <w:tcPr>
            <w:tcW w:w="1204" w:type="dxa"/>
            <w:vAlign w:val="bottom"/>
            <w:hideMark/>
          </w:tcPr>
          <w:p w14:paraId="4CC46E83"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578 020</w:t>
            </w:r>
          </w:p>
        </w:tc>
        <w:tc>
          <w:tcPr>
            <w:tcW w:w="1204" w:type="dxa"/>
            <w:vAlign w:val="bottom"/>
            <w:hideMark/>
          </w:tcPr>
          <w:p w14:paraId="26D06990"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592 402</w:t>
            </w:r>
          </w:p>
        </w:tc>
      </w:tr>
      <w:tr w:rsidR="00C801A6" w:rsidRPr="00C801A6" w14:paraId="20550957" w14:textId="77777777" w:rsidTr="00347FDB">
        <w:tc>
          <w:tcPr>
            <w:tcW w:w="1843" w:type="dxa"/>
            <w:vAlign w:val="bottom"/>
            <w:hideMark/>
          </w:tcPr>
          <w:p w14:paraId="3F6C63B9"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Diana</w:t>
            </w:r>
          </w:p>
        </w:tc>
        <w:tc>
          <w:tcPr>
            <w:tcW w:w="1204" w:type="dxa"/>
            <w:vAlign w:val="bottom"/>
            <w:hideMark/>
          </w:tcPr>
          <w:p w14:paraId="3C3A7D75"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358 374</w:t>
            </w:r>
          </w:p>
        </w:tc>
        <w:tc>
          <w:tcPr>
            <w:tcW w:w="1204" w:type="dxa"/>
            <w:vAlign w:val="bottom"/>
            <w:hideMark/>
          </w:tcPr>
          <w:p w14:paraId="2AEBD5C2"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889 962</w:t>
            </w:r>
          </w:p>
        </w:tc>
        <w:tc>
          <w:tcPr>
            <w:tcW w:w="1204" w:type="dxa"/>
            <w:vAlign w:val="bottom"/>
            <w:hideMark/>
          </w:tcPr>
          <w:p w14:paraId="34744EAA"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841 329</w:t>
            </w:r>
          </w:p>
        </w:tc>
        <w:tc>
          <w:tcPr>
            <w:tcW w:w="1204" w:type="dxa"/>
            <w:vAlign w:val="bottom"/>
            <w:hideMark/>
          </w:tcPr>
          <w:p w14:paraId="6CFAABC4"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862 868</w:t>
            </w:r>
          </w:p>
        </w:tc>
        <w:tc>
          <w:tcPr>
            <w:tcW w:w="1204" w:type="dxa"/>
            <w:vAlign w:val="bottom"/>
            <w:hideMark/>
          </w:tcPr>
          <w:p w14:paraId="679C8080"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884 683</w:t>
            </w:r>
          </w:p>
        </w:tc>
        <w:tc>
          <w:tcPr>
            <w:tcW w:w="1204" w:type="dxa"/>
            <w:vAlign w:val="bottom"/>
            <w:hideMark/>
          </w:tcPr>
          <w:p w14:paraId="79FAA9E7"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906 695</w:t>
            </w:r>
          </w:p>
        </w:tc>
      </w:tr>
      <w:tr w:rsidR="00C801A6" w:rsidRPr="00C801A6" w14:paraId="61F543CC" w14:textId="77777777" w:rsidTr="00347FDB">
        <w:tc>
          <w:tcPr>
            <w:tcW w:w="1843" w:type="dxa"/>
            <w:vAlign w:val="bottom"/>
            <w:hideMark/>
          </w:tcPr>
          <w:p w14:paraId="79542359"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Haute Matsiatra</w:t>
            </w:r>
          </w:p>
        </w:tc>
        <w:tc>
          <w:tcPr>
            <w:tcW w:w="1204" w:type="dxa"/>
            <w:vAlign w:val="bottom"/>
            <w:hideMark/>
          </w:tcPr>
          <w:p w14:paraId="2BDCF7E2"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769 882</w:t>
            </w:r>
          </w:p>
        </w:tc>
        <w:tc>
          <w:tcPr>
            <w:tcW w:w="1204" w:type="dxa"/>
            <w:vAlign w:val="bottom"/>
            <w:hideMark/>
          </w:tcPr>
          <w:p w14:paraId="571E57F7"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1 444 587</w:t>
            </w:r>
          </w:p>
        </w:tc>
        <w:tc>
          <w:tcPr>
            <w:tcW w:w="1204" w:type="dxa"/>
            <w:vAlign w:val="bottom"/>
            <w:hideMark/>
          </w:tcPr>
          <w:p w14:paraId="422187C8"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1 441 255</w:t>
            </w:r>
          </w:p>
        </w:tc>
        <w:tc>
          <w:tcPr>
            <w:tcW w:w="1204" w:type="dxa"/>
            <w:vAlign w:val="bottom"/>
            <w:hideMark/>
          </w:tcPr>
          <w:p w14:paraId="1B62D076"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1 478 152</w:t>
            </w:r>
          </w:p>
        </w:tc>
        <w:tc>
          <w:tcPr>
            <w:tcW w:w="1204" w:type="dxa"/>
            <w:vAlign w:val="bottom"/>
            <w:hideMark/>
          </w:tcPr>
          <w:p w14:paraId="38E3F950"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1 515 523</w:t>
            </w:r>
          </w:p>
        </w:tc>
        <w:tc>
          <w:tcPr>
            <w:tcW w:w="1204" w:type="dxa"/>
            <w:vAlign w:val="bottom"/>
            <w:hideMark/>
          </w:tcPr>
          <w:p w14:paraId="1CE03F9E"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1 553 232</w:t>
            </w:r>
          </w:p>
        </w:tc>
      </w:tr>
      <w:tr w:rsidR="00C801A6" w:rsidRPr="00C801A6" w14:paraId="1B128E81" w14:textId="77777777" w:rsidTr="00347FDB">
        <w:tc>
          <w:tcPr>
            <w:tcW w:w="1843" w:type="dxa"/>
            <w:vAlign w:val="bottom"/>
            <w:hideMark/>
          </w:tcPr>
          <w:p w14:paraId="1936DA2E"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Ihorombe</w:t>
            </w:r>
          </w:p>
        </w:tc>
        <w:tc>
          <w:tcPr>
            <w:tcW w:w="1204" w:type="dxa"/>
            <w:vAlign w:val="bottom"/>
            <w:hideMark/>
          </w:tcPr>
          <w:p w14:paraId="685CCDDB"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129 136</w:t>
            </w:r>
          </w:p>
        </w:tc>
        <w:tc>
          <w:tcPr>
            <w:tcW w:w="1204" w:type="dxa"/>
            <w:vAlign w:val="bottom"/>
            <w:hideMark/>
          </w:tcPr>
          <w:p w14:paraId="4B523EC6"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417 312</w:t>
            </w:r>
          </w:p>
        </w:tc>
        <w:tc>
          <w:tcPr>
            <w:tcW w:w="1204" w:type="dxa"/>
            <w:vAlign w:val="bottom"/>
            <w:hideMark/>
          </w:tcPr>
          <w:p w14:paraId="2D3F0135"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375 351</w:t>
            </w:r>
          </w:p>
        </w:tc>
        <w:tc>
          <w:tcPr>
            <w:tcW w:w="1204" w:type="dxa"/>
            <w:vAlign w:val="bottom"/>
            <w:hideMark/>
          </w:tcPr>
          <w:p w14:paraId="651E0879"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384 960</w:t>
            </w:r>
          </w:p>
        </w:tc>
        <w:tc>
          <w:tcPr>
            <w:tcW w:w="1204" w:type="dxa"/>
            <w:vAlign w:val="bottom"/>
            <w:hideMark/>
          </w:tcPr>
          <w:p w14:paraId="4C37E8F7"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394 693</w:t>
            </w:r>
          </w:p>
        </w:tc>
        <w:tc>
          <w:tcPr>
            <w:tcW w:w="1204" w:type="dxa"/>
            <w:vAlign w:val="bottom"/>
            <w:hideMark/>
          </w:tcPr>
          <w:p w14:paraId="17F131DC"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404 514</w:t>
            </w:r>
          </w:p>
        </w:tc>
      </w:tr>
      <w:tr w:rsidR="00C801A6" w:rsidRPr="00C801A6" w14:paraId="52C15B02" w14:textId="77777777" w:rsidTr="00347FDB">
        <w:tc>
          <w:tcPr>
            <w:tcW w:w="1843" w:type="dxa"/>
            <w:vAlign w:val="bottom"/>
            <w:hideMark/>
          </w:tcPr>
          <w:p w14:paraId="31F1AC94"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Itasy</w:t>
            </w:r>
          </w:p>
        </w:tc>
        <w:tc>
          <w:tcPr>
            <w:tcW w:w="1204" w:type="dxa"/>
            <w:vAlign w:val="bottom"/>
            <w:hideMark/>
          </w:tcPr>
          <w:p w14:paraId="1F7668B5"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461 697</w:t>
            </w:r>
          </w:p>
        </w:tc>
        <w:tc>
          <w:tcPr>
            <w:tcW w:w="1204" w:type="dxa"/>
            <w:vAlign w:val="bottom"/>
            <w:hideMark/>
          </w:tcPr>
          <w:p w14:paraId="1C9BB169"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898 549</w:t>
            </w:r>
          </w:p>
        </w:tc>
        <w:tc>
          <w:tcPr>
            <w:tcW w:w="1204" w:type="dxa"/>
            <w:vAlign w:val="bottom"/>
            <w:hideMark/>
          </w:tcPr>
          <w:p w14:paraId="1BF1D1D4"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880 767</w:t>
            </w:r>
          </w:p>
        </w:tc>
        <w:tc>
          <w:tcPr>
            <w:tcW w:w="1204" w:type="dxa"/>
            <w:vAlign w:val="bottom"/>
            <w:hideMark/>
          </w:tcPr>
          <w:p w14:paraId="270B6CD6"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903 315</w:t>
            </w:r>
          </w:p>
        </w:tc>
        <w:tc>
          <w:tcPr>
            <w:tcW w:w="1204" w:type="dxa"/>
            <w:vAlign w:val="bottom"/>
            <w:hideMark/>
          </w:tcPr>
          <w:p w14:paraId="7C5B17C5"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926 153</w:t>
            </w:r>
          </w:p>
        </w:tc>
        <w:tc>
          <w:tcPr>
            <w:tcW w:w="1204" w:type="dxa"/>
            <w:vAlign w:val="bottom"/>
            <w:hideMark/>
          </w:tcPr>
          <w:p w14:paraId="4DABCC17"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949 197</w:t>
            </w:r>
          </w:p>
        </w:tc>
      </w:tr>
      <w:tr w:rsidR="00C801A6" w:rsidRPr="00C801A6" w14:paraId="640FCF16" w14:textId="77777777" w:rsidTr="00347FDB">
        <w:tc>
          <w:tcPr>
            <w:tcW w:w="1843" w:type="dxa"/>
            <w:vAlign w:val="bottom"/>
            <w:hideMark/>
          </w:tcPr>
          <w:p w14:paraId="5ECD2E98"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Melaky</w:t>
            </w:r>
          </w:p>
        </w:tc>
        <w:tc>
          <w:tcPr>
            <w:tcW w:w="1204" w:type="dxa"/>
            <w:vAlign w:val="bottom"/>
            <w:hideMark/>
          </w:tcPr>
          <w:p w14:paraId="00817961"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126 054</w:t>
            </w:r>
          </w:p>
        </w:tc>
        <w:tc>
          <w:tcPr>
            <w:tcW w:w="1204" w:type="dxa"/>
            <w:vAlign w:val="bottom"/>
            <w:hideMark/>
          </w:tcPr>
          <w:p w14:paraId="021A30E5"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308 944</w:t>
            </w:r>
          </w:p>
        </w:tc>
        <w:tc>
          <w:tcPr>
            <w:tcW w:w="1204" w:type="dxa"/>
            <w:vAlign w:val="bottom"/>
            <w:hideMark/>
          </w:tcPr>
          <w:p w14:paraId="41D26C94"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348 053</w:t>
            </w:r>
          </w:p>
        </w:tc>
        <w:tc>
          <w:tcPr>
            <w:tcW w:w="1204" w:type="dxa"/>
            <w:vAlign w:val="bottom"/>
            <w:hideMark/>
          </w:tcPr>
          <w:p w14:paraId="409C2F42"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356 963</w:t>
            </w:r>
          </w:p>
        </w:tc>
        <w:tc>
          <w:tcPr>
            <w:tcW w:w="1204" w:type="dxa"/>
            <w:vAlign w:val="bottom"/>
            <w:hideMark/>
          </w:tcPr>
          <w:p w14:paraId="42CDDF21"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365 988</w:t>
            </w:r>
          </w:p>
        </w:tc>
        <w:tc>
          <w:tcPr>
            <w:tcW w:w="1204" w:type="dxa"/>
            <w:vAlign w:val="bottom"/>
            <w:hideMark/>
          </w:tcPr>
          <w:p w14:paraId="6EF5BAE5"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375 095</w:t>
            </w:r>
          </w:p>
        </w:tc>
      </w:tr>
      <w:tr w:rsidR="00C801A6" w:rsidRPr="00C801A6" w14:paraId="42ABBBBB" w14:textId="77777777" w:rsidTr="00347FDB">
        <w:tc>
          <w:tcPr>
            <w:tcW w:w="1843" w:type="dxa"/>
            <w:vAlign w:val="bottom"/>
            <w:hideMark/>
          </w:tcPr>
          <w:p w14:paraId="4D886E69"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Menabe</w:t>
            </w:r>
          </w:p>
        </w:tc>
        <w:tc>
          <w:tcPr>
            <w:tcW w:w="1204" w:type="dxa"/>
            <w:vAlign w:val="bottom"/>
            <w:hideMark/>
          </w:tcPr>
          <w:p w14:paraId="06008FCF"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284 447</w:t>
            </w:r>
          </w:p>
        </w:tc>
        <w:tc>
          <w:tcPr>
            <w:tcW w:w="1204" w:type="dxa"/>
            <w:vAlign w:val="bottom"/>
            <w:hideMark/>
          </w:tcPr>
          <w:p w14:paraId="5E99AD9F"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692 463</w:t>
            </w:r>
          </w:p>
        </w:tc>
        <w:tc>
          <w:tcPr>
            <w:tcW w:w="1204" w:type="dxa"/>
            <w:vAlign w:val="bottom"/>
            <w:hideMark/>
          </w:tcPr>
          <w:p w14:paraId="48A69A28"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711 639</w:t>
            </w:r>
          </w:p>
        </w:tc>
        <w:tc>
          <w:tcPr>
            <w:tcW w:w="1204" w:type="dxa"/>
            <w:vAlign w:val="bottom"/>
            <w:hideMark/>
          </w:tcPr>
          <w:p w14:paraId="3A74D1DD"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729 857</w:t>
            </w:r>
          </w:p>
        </w:tc>
        <w:tc>
          <w:tcPr>
            <w:tcW w:w="1204" w:type="dxa"/>
            <w:vAlign w:val="bottom"/>
            <w:hideMark/>
          </w:tcPr>
          <w:p w14:paraId="2EA3E341"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748 310</w:t>
            </w:r>
          </w:p>
        </w:tc>
        <w:tc>
          <w:tcPr>
            <w:tcW w:w="1204" w:type="dxa"/>
            <w:vAlign w:val="bottom"/>
            <w:hideMark/>
          </w:tcPr>
          <w:p w14:paraId="6051F187"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766 929</w:t>
            </w:r>
          </w:p>
        </w:tc>
      </w:tr>
      <w:tr w:rsidR="00C801A6" w:rsidRPr="00C801A6" w14:paraId="2755F3CF" w14:textId="77777777" w:rsidTr="00347FDB">
        <w:tc>
          <w:tcPr>
            <w:tcW w:w="1843" w:type="dxa"/>
            <w:vAlign w:val="bottom"/>
            <w:hideMark/>
          </w:tcPr>
          <w:p w14:paraId="514DE028"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SAVA</w:t>
            </w:r>
          </w:p>
        </w:tc>
        <w:tc>
          <w:tcPr>
            <w:tcW w:w="1204" w:type="dxa"/>
            <w:vAlign w:val="bottom"/>
            <w:hideMark/>
          </w:tcPr>
          <w:p w14:paraId="339D3599"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594 091</w:t>
            </w:r>
          </w:p>
        </w:tc>
        <w:tc>
          <w:tcPr>
            <w:tcW w:w="1204" w:type="dxa"/>
            <w:vAlign w:val="bottom"/>
            <w:hideMark/>
          </w:tcPr>
          <w:p w14:paraId="311E0AF8"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1 123 772</w:t>
            </w:r>
          </w:p>
        </w:tc>
        <w:tc>
          <w:tcPr>
            <w:tcW w:w="1204" w:type="dxa"/>
            <w:vAlign w:val="bottom"/>
            <w:hideMark/>
          </w:tcPr>
          <w:p w14:paraId="6897A482"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1 178 796</w:t>
            </w:r>
          </w:p>
        </w:tc>
        <w:tc>
          <w:tcPr>
            <w:tcW w:w="1204" w:type="dxa"/>
            <w:vAlign w:val="bottom"/>
            <w:hideMark/>
          </w:tcPr>
          <w:p w14:paraId="1C8EF5F5"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1 208 974</w:t>
            </w:r>
          </w:p>
        </w:tc>
        <w:tc>
          <w:tcPr>
            <w:tcW w:w="1204" w:type="dxa"/>
            <w:vAlign w:val="bottom"/>
            <w:hideMark/>
          </w:tcPr>
          <w:p w14:paraId="337E6C9B"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1 239 540</w:t>
            </w:r>
          </w:p>
        </w:tc>
        <w:tc>
          <w:tcPr>
            <w:tcW w:w="1204" w:type="dxa"/>
            <w:vAlign w:val="bottom"/>
            <w:hideMark/>
          </w:tcPr>
          <w:p w14:paraId="14193D6B"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1 270 382</w:t>
            </w:r>
          </w:p>
        </w:tc>
      </w:tr>
      <w:tr w:rsidR="00C801A6" w:rsidRPr="00C801A6" w14:paraId="73D6A223" w14:textId="77777777" w:rsidTr="00347FDB">
        <w:tc>
          <w:tcPr>
            <w:tcW w:w="1843" w:type="dxa"/>
            <w:vAlign w:val="bottom"/>
            <w:hideMark/>
          </w:tcPr>
          <w:p w14:paraId="2777200C"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Sofia</w:t>
            </w:r>
          </w:p>
        </w:tc>
        <w:tc>
          <w:tcPr>
            <w:tcW w:w="1204" w:type="dxa"/>
            <w:vAlign w:val="bottom"/>
            <w:hideMark/>
          </w:tcPr>
          <w:p w14:paraId="201529A7"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675 588</w:t>
            </w:r>
          </w:p>
        </w:tc>
        <w:tc>
          <w:tcPr>
            <w:tcW w:w="1204" w:type="dxa"/>
            <w:vAlign w:val="bottom"/>
            <w:hideMark/>
          </w:tcPr>
          <w:p w14:paraId="66EBB578"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1 507 591</w:t>
            </w:r>
          </w:p>
        </w:tc>
        <w:tc>
          <w:tcPr>
            <w:tcW w:w="1204" w:type="dxa"/>
            <w:vAlign w:val="bottom"/>
            <w:hideMark/>
          </w:tcPr>
          <w:p w14:paraId="7B9DB992"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1 498 769</w:t>
            </w:r>
          </w:p>
        </w:tc>
        <w:tc>
          <w:tcPr>
            <w:tcW w:w="1204" w:type="dxa"/>
            <w:vAlign w:val="bottom"/>
            <w:hideMark/>
          </w:tcPr>
          <w:p w14:paraId="6CE51557"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1 537 138</w:t>
            </w:r>
          </w:p>
        </w:tc>
        <w:tc>
          <w:tcPr>
            <w:tcW w:w="1204" w:type="dxa"/>
            <w:vAlign w:val="bottom"/>
            <w:hideMark/>
          </w:tcPr>
          <w:p w14:paraId="2B709BD3"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1 576 001</w:t>
            </w:r>
          </w:p>
        </w:tc>
        <w:tc>
          <w:tcPr>
            <w:tcW w:w="1204" w:type="dxa"/>
            <w:vAlign w:val="bottom"/>
            <w:hideMark/>
          </w:tcPr>
          <w:p w14:paraId="1A16B2D0"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1 615 214</w:t>
            </w:r>
          </w:p>
        </w:tc>
      </w:tr>
      <w:tr w:rsidR="00C801A6" w:rsidRPr="00C801A6" w14:paraId="06032A59" w14:textId="77777777" w:rsidTr="00347FDB">
        <w:tc>
          <w:tcPr>
            <w:tcW w:w="1843" w:type="dxa"/>
            <w:vAlign w:val="bottom"/>
            <w:hideMark/>
          </w:tcPr>
          <w:p w14:paraId="0C170AFC"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Vakinankaratra</w:t>
            </w:r>
          </w:p>
        </w:tc>
        <w:tc>
          <w:tcPr>
            <w:tcW w:w="1204" w:type="dxa"/>
            <w:vAlign w:val="bottom"/>
            <w:hideMark/>
          </w:tcPr>
          <w:p w14:paraId="6B0D192C"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1 141 598</w:t>
            </w:r>
          </w:p>
        </w:tc>
        <w:tc>
          <w:tcPr>
            <w:tcW w:w="1204" w:type="dxa"/>
            <w:vAlign w:val="bottom"/>
            <w:hideMark/>
          </w:tcPr>
          <w:p w14:paraId="708B8C97"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2 079 659</w:t>
            </w:r>
          </w:p>
        </w:tc>
        <w:tc>
          <w:tcPr>
            <w:tcW w:w="1204" w:type="dxa"/>
            <w:vAlign w:val="bottom"/>
            <w:hideMark/>
          </w:tcPr>
          <w:p w14:paraId="349D745E"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2 167 330</w:t>
            </w:r>
          </w:p>
        </w:tc>
        <w:tc>
          <w:tcPr>
            <w:tcW w:w="1204" w:type="dxa"/>
            <w:vAlign w:val="bottom"/>
            <w:hideMark/>
          </w:tcPr>
          <w:p w14:paraId="17860933"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2 222 814</w:t>
            </w:r>
          </w:p>
        </w:tc>
        <w:tc>
          <w:tcPr>
            <w:tcW w:w="1204" w:type="dxa"/>
            <w:vAlign w:val="bottom"/>
            <w:hideMark/>
          </w:tcPr>
          <w:p w14:paraId="0C1BB535"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2 279 013</w:t>
            </w:r>
          </w:p>
        </w:tc>
        <w:tc>
          <w:tcPr>
            <w:tcW w:w="1204" w:type="dxa"/>
            <w:vAlign w:val="bottom"/>
            <w:hideMark/>
          </w:tcPr>
          <w:p w14:paraId="1E037744"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2 335 718</w:t>
            </w:r>
          </w:p>
        </w:tc>
      </w:tr>
      <w:tr w:rsidR="00C801A6" w:rsidRPr="00C801A6" w14:paraId="5DA65A1F" w14:textId="77777777" w:rsidTr="00347FDB">
        <w:tc>
          <w:tcPr>
            <w:tcW w:w="1843" w:type="dxa"/>
            <w:vAlign w:val="bottom"/>
            <w:hideMark/>
          </w:tcPr>
          <w:p w14:paraId="427C461D"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Vatovavy Fitovinany</w:t>
            </w:r>
          </w:p>
        </w:tc>
        <w:tc>
          <w:tcPr>
            <w:tcW w:w="1204" w:type="dxa"/>
            <w:vAlign w:val="bottom"/>
            <w:hideMark/>
          </w:tcPr>
          <w:p w14:paraId="349A9FB3"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748 682</w:t>
            </w:r>
          </w:p>
        </w:tc>
        <w:tc>
          <w:tcPr>
            <w:tcW w:w="1204" w:type="dxa"/>
            <w:vAlign w:val="bottom"/>
            <w:hideMark/>
          </w:tcPr>
          <w:p w14:paraId="2AED75B6"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1 440 657</w:t>
            </w:r>
          </w:p>
        </w:tc>
        <w:tc>
          <w:tcPr>
            <w:tcW w:w="1204" w:type="dxa"/>
            <w:vAlign w:val="bottom"/>
            <w:hideMark/>
          </w:tcPr>
          <w:p w14:paraId="72C99F3B"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1 702 391</w:t>
            </w:r>
          </w:p>
        </w:tc>
        <w:tc>
          <w:tcPr>
            <w:tcW w:w="1204" w:type="dxa"/>
            <w:vAlign w:val="bottom"/>
            <w:hideMark/>
          </w:tcPr>
          <w:p w14:paraId="3BEE8BA7"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1 745 972</w:t>
            </w:r>
          </w:p>
        </w:tc>
        <w:tc>
          <w:tcPr>
            <w:tcW w:w="1204" w:type="dxa"/>
            <w:vAlign w:val="bottom"/>
            <w:hideMark/>
          </w:tcPr>
          <w:p w14:paraId="49704AD4"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1 790 115</w:t>
            </w:r>
          </w:p>
        </w:tc>
        <w:tc>
          <w:tcPr>
            <w:tcW w:w="1204" w:type="dxa"/>
            <w:vAlign w:val="bottom"/>
            <w:hideMark/>
          </w:tcPr>
          <w:p w14:paraId="73F37397" w14:textId="77777777" w:rsidR="00575CDF" w:rsidRPr="00C801A6" w:rsidRDefault="00575CDF" w:rsidP="00347FDB">
            <w:pPr>
              <w:spacing w:before="20" w:after="20" w:line="264" w:lineRule="auto"/>
              <w:jc w:val="right"/>
              <w:rPr>
                <w:rFonts w:cs="Times New Roman"/>
                <w:color w:val="auto"/>
                <w:sz w:val="20"/>
                <w:szCs w:val="20"/>
              </w:rPr>
            </w:pPr>
            <w:r w:rsidRPr="00C801A6">
              <w:rPr>
                <w:rFonts w:cs="Times New Roman"/>
                <w:color w:val="auto"/>
                <w:sz w:val="20"/>
                <w:szCs w:val="20"/>
              </w:rPr>
              <w:t>1 834 656</w:t>
            </w:r>
          </w:p>
        </w:tc>
      </w:tr>
      <w:tr w:rsidR="00C801A6" w:rsidRPr="00C801A6" w14:paraId="51469462" w14:textId="77777777" w:rsidTr="00347FDB">
        <w:tc>
          <w:tcPr>
            <w:tcW w:w="1843" w:type="dxa"/>
            <w:shd w:val="clear" w:color="auto" w:fill="DEEAF6" w:themeFill="accent5" w:themeFillTint="33"/>
            <w:vAlign w:val="bottom"/>
            <w:hideMark/>
          </w:tcPr>
          <w:p w14:paraId="51DC3140" w14:textId="77777777" w:rsidR="00575CDF" w:rsidRPr="00C801A6" w:rsidRDefault="00575CDF" w:rsidP="00347FDB">
            <w:pPr>
              <w:spacing w:before="20" w:after="20" w:line="264" w:lineRule="auto"/>
              <w:rPr>
                <w:rFonts w:cs="Times New Roman"/>
                <w:b/>
                <w:bCs/>
                <w:color w:val="auto"/>
                <w:sz w:val="20"/>
                <w:szCs w:val="20"/>
              </w:rPr>
            </w:pPr>
            <w:r w:rsidRPr="00C801A6">
              <w:rPr>
                <w:rFonts w:cs="Times New Roman"/>
                <w:b/>
                <w:bCs/>
                <w:color w:val="auto"/>
                <w:sz w:val="20"/>
                <w:szCs w:val="20"/>
              </w:rPr>
              <w:t>Madagascar</w:t>
            </w:r>
          </w:p>
        </w:tc>
        <w:tc>
          <w:tcPr>
            <w:tcW w:w="1204" w:type="dxa"/>
            <w:shd w:val="clear" w:color="auto" w:fill="DEEAF6" w:themeFill="accent5" w:themeFillTint="33"/>
            <w:vAlign w:val="bottom"/>
            <w:hideMark/>
          </w:tcPr>
          <w:p w14:paraId="075A43DD" w14:textId="77777777" w:rsidR="00575CDF" w:rsidRPr="00C801A6" w:rsidRDefault="00575CDF" w:rsidP="00347FDB">
            <w:pPr>
              <w:spacing w:before="20" w:after="20" w:line="264" w:lineRule="auto"/>
              <w:jc w:val="right"/>
              <w:rPr>
                <w:rFonts w:cs="Times New Roman"/>
                <w:b/>
                <w:bCs/>
                <w:color w:val="auto"/>
                <w:sz w:val="20"/>
                <w:szCs w:val="20"/>
              </w:rPr>
            </w:pPr>
            <w:r w:rsidRPr="00C801A6">
              <w:rPr>
                <w:rFonts w:cs="Times New Roman"/>
                <w:b/>
                <w:bCs/>
                <w:color w:val="auto"/>
                <w:sz w:val="20"/>
                <w:szCs w:val="20"/>
              </w:rPr>
              <w:t>12 209 846</w:t>
            </w:r>
          </w:p>
        </w:tc>
        <w:tc>
          <w:tcPr>
            <w:tcW w:w="1204" w:type="dxa"/>
            <w:shd w:val="clear" w:color="auto" w:fill="DEEAF6" w:themeFill="accent5" w:themeFillTint="33"/>
            <w:vAlign w:val="bottom"/>
            <w:hideMark/>
          </w:tcPr>
          <w:p w14:paraId="2CEA2012" w14:textId="77777777" w:rsidR="00575CDF" w:rsidRPr="00C801A6" w:rsidRDefault="00575CDF" w:rsidP="00347FDB">
            <w:pPr>
              <w:spacing w:before="20" w:after="20" w:line="264" w:lineRule="auto"/>
              <w:jc w:val="right"/>
              <w:rPr>
                <w:rFonts w:cs="Times New Roman"/>
                <w:b/>
                <w:bCs/>
                <w:color w:val="auto"/>
                <w:sz w:val="20"/>
                <w:szCs w:val="20"/>
              </w:rPr>
            </w:pPr>
            <w:r w:rsidRPr="00C801A6">
              <w:rPr>
                <w:rFonts w:cs="Times New Roman"/>
                <w:b/>
                <w:bCs/>
                <w:color w:val="auto"/>
                <w:sz w:val="20"/>
                <w:szCs w:val="20"/>
              </w:rPr>
              <w:t>25 674 196</w:t>
            </w:r>
          </w:p>
        </w:tc>
        <w:tc>
          <w:tcPr>
            <w:tcW w:w="1204" w:type="dxa"/>
            <w:shd w:val="clear" w:color="auto" w:fill="DEEAF6" w:themeFill="accent5" w:themeFillTint="33"/>
            <w:vAlign w:val="bottom"/>
            <w:hideMark/>
          </w:tcPr>
          <w:p w14:paraId="2CDD2184" w14:textId="77777777" w:rsidR="00575CDF" w:rsidRPr="00C801A6" w:rsidRDefault="00575CDF" w:rsidP="00347FDB">
            <w:pPr>
              <w:spacing w:before="20" w:after="20" w:line="264" w:lineRule="auto"/>
              <w:jc w:val="right"/>
              <w:rPr>
                <w:rFonts w:cs="Times New Roman"/>
                <w:b/>
                <w:bCs/>
                <w:color w:val="auto"/>
                <w:sz w:val="20"/>
                <w:szCs w:val="20"/>
              </w:rPr>
            </w:pPr>
            <w:r w:rsidRPr="00C801A6">
              <w:rPr>
                <w:rFonts w:cs="Times New Roman"/>
                <w:b/>
                <w:bCs/>
                <w:color w:val="auto"/>
                <w:sz w:val="20"/>
                <w:szCs w:val="20"/>
              </w:rPr>
              <w:t>26 251 309</w:t>
            </w:r>
          </w:p>
        </w:tc>
        <w:tc>
          <w:tcPr>
            <w:tcW w:w="1204" w:type="dxa"/>
            <w:shd w:val="clear" w:color="auto" w:fill="DEEAF6" w:themeFill="accent5" w:themeFillTint="33"/>
            <w:vAlign w:val="bottom"/>
            <w:hideMark/>
          </w:tcPr>
          <w:p w14:paraId="3A5B89AA" w14:textId="77777777" w:rsidR="00575CDF" w:rsidRPr="00C801A6" w:rsidRDefault="00575CDF" w:rsidP="00347FDB">
            <w:pPr>
              <w:spacing w:before="20" w:after="20" w:line="264" w:lineRule="auto"/>
              <w:jc w:val="right"/>
              <w:rPr>
                <w:rFonts w:cs="Times New Roman"/>
                <w:b/>
                <w:bCs/>
                <w:color w:val="auto"/>
                <w:sz w:val="20"/>
                <w:szCs w:val="20"/>
              </w:rPr>
            </w:pPr>
            <w:r w:rsidRPr="00C801A6">
              <w:rPr>
                <w:rFonts w:cs="Times New Roman"/>
                <w:b/>
                <w:bCs/>
                <w:color w:val="auto"/>
                <w:sz w:val="20"/>
                <w:szCs w:val="20"/>
              </w:rPr>
              <w:t>26 923 353</w:t>
            </w:r>
          </w:p>
        </w:tc>
        <w:tc>
          <w:tcPr>
            <w:tcW w:w="1204" w:type="dxa"/>
            <w:shd w:val="clear" w:color="auto" w:fill="DEEAF6" w:themeFill="accent5" w:themeFillTint="33"/>
            <w:vAlign w:val="bottom"/>
            <w:hideMark/>
          </w:tcPr>
          <w:p w14:paraId="64BD07E3" w14:textId="77777777" w:rsidR="00575CDF" w:rsidRPr="00C801A6" w:rsidRDefault="00575CDF" w:rsidP="00347FDB">
            <w:pPr>
              <w:spacing w:before="20" w:after="20" w:line="264" w:lineRule="auto"/>
              <w:jc w:val="right"/>
              <w:rPr>
                <w:rFonts w:cs="Times New Roman"/>
                <w:b/>
                <w:bCs/>
                <w:color w:val="auto"/>
                <w:sz w:val="20"/>
                <w:szCs w:val="20"/>
              </w:rPr>
            </w:pPr>
            <w:r w:rsidRPr="00C801A6">
              <w:rPr>
                <w:rFonts w:cs="Times New Roman"/>
                <w:b/>
                <w:bCs/>
                <w:color w:val="auto"/>
                <w:sz w:val="20"/>
                <w:szCs w:val="20"/>
              </w:rPr>
              <w:t>27 604 047</w:t>
            </w:r>
          </w:p>
        </w:tc>
        <w:tc>
          <w:tcPr>
            <w:tcW w:w="1204" w:type="dxa"/>
            <w:shd w:val="clear" w:color="auto" w:fill="DEEAF6" w:themeFill="accent5" w:themeFillTint="33"/>
            <w:vAlign w:val="bottom"/>
            <w:hideMark/>
          </w:tcPr>
          <w:p w14:paraId="42E47418" w14:textId="77777777" w:rsidR="00575CDF" w:rsidRPr="00C801A6" w:rsidRDefault="00575CDF" w:rsidP="00347FDB">
            <w:pPr>
              <w:spacing w:before="20" w:after="20" w:line="264" w:lineRule="auto"/>
              <w:jc w:val="right"/>
              <w:rPr>
                <w:rFonts w:cs="Times New Roman"/>
                <w:b/>
                <w:bCs/>
                <w:color w:val="auto"/>
                <w:sz w:val="20"/>
                <w:szCs w:val="20"/>
              </w:rPr>
            </w:pPr>
            <w:r w:rsidRPr="00C801A6">
              <w:rPr>
                <w:rFonts w:cs="Times New Roman"/>
                <w:b/>
                <w:bCs/>
                <w:color w:val="auto"/>
                <w:sz w:val="20"/>
                <w:szCs w:val="20"/>
              </w:rPr>
              <w:t>28 290 875</w:t>
            </w:r>
          </w:p>
        </w:tc>
      </w:tr>
      <w:tr w:rsidR="00C801A6" w:rsidRPr="00C801A6" w14:paraId="0741B4A1" w14:textId="77777777" w:rsidTr="00347FDB">
        <w:tc>
          <w:tcPr>
            <w:tcW w:w="1843" w:type="dxa"/>
            <w:hideMark/>
          </w:tcPr>
          <w:p w14:paraId="1BB76160" w14:textId="77777777" w:rsidR="00575CDF" w:rsidRPr="00C801A6" w:rsidRDefault="00575CDF" w:rsidP="00347FDB">
            <w:pPr>
              <w:spacing w:before="20" w:after="20" w:line="264" w:lineRule="auto"/>
              <w:jc w:val="left"/>
              <w:rPr>
                <w:rFonts w:cs="Times New Roman"/>
                <w:b/>
                <w:color w:val="auto"/>
                <w:sz w:val="20"/>
                <w:szCs w:val="20"/>
              </w:rPr>
            </w:pPr>
            <w:r w:rsidRPr="00C801A6">
              <w:rPr>
                <w:rFonts w:cs="Times New Roman"/>
                <w:b/>
                <w:color w:val="auto"/>
                <w:sz w:val="20"/>
                <w:szCs w:val="20"/>
              </w:rPr>
              <w:t>Note</w:t>
            </w:r>
          </w:p>
        </w:tc>
        <w:tc>
          <w:tcPr>
            <w:tcW w:w="1204" w:type="dxa"/>
            <w:hideMark/>
          </w:tcPr>
          <w:p w14:paraId="651F5752" w14:textId="77777777" w:rsidR="00575CDF" w:rsidRPr="00C801A6" w:rsidRDefault="00575CDF" w:rsidP="00347FDB">
            <w:pPr>
              <w:spacing w:before="20" w:after="20" w:line="264" w:lineRule="auto"/>
              <w:jc w:val="right"/>
              <w:rPr>
                <w:rFonts w:cs="Times New Roman"/>
                <w:b/>
                <w:color w:val="auto"/>
                <w:sz w:val="18"/>
                <w:szCs w:val="18"/>
              </w:rPr>
            </w:pPr>
            <w:r w:rsidRPr="00C801A6">
              <w:rPr>
                <w:rFonts w:cs="Times New Roman"/>
                <w:b/>
                <w:color w:val="auto"/>
                <w:sz w:val="18"/>
                <w:szCs w:val="18"/>
              </w:rPr>
              <w:t>RGPH 2</w:t>
            </w:r>
          </w:p>
        </w:tc>
        <w:tc>
          <w:tcPr>
            <w:tcW w:w="1204" w:type="dxa"/>
            <w:hideMark/>
          </w:tcPr>
          <w:p w14:paraId="7E65CE82" w14:textId="77777777" w:rsidR="00575CDF" w:rsidRPr="00C801A6" w:rsidRDefault="00575CDF" w:rsidP="00347FDB">
            <w:pPr>
              <w:spacing w:before="20" w:after="20" w:line="264" w:lineRule="auto"/>
              <w:jc w:val="right"/>
              <w:rPr>
                <w:rFonts w:cs="Times New Roman"/>
                <w:b/>
                <w:color w:val="auto"/>
                <w:sz w:val="18"/>
                <w:szCs w:val="18"/>
              </w:rPr>
            </w:pPr>
            <w:r w:rsidRPr="00C801A6">
              <w:rPr>
                <w:rFonts w:cs="Times New Roman"/>
                <w:b/>
                <w:color w:val="auto"/>
                <w:sz w:val="18"/>
                <w:szCs w:val="18"/>
              </w:rPr>
              <w:t>RGPH 3</w:t>
            </w:r>
          </w:p>
        </w:tc>
        <w:tc>
          <w:tcPr>
            <w:tcW w:w="1204" w:type="dxa"/>
            <w:hideMark/>
          </w:tcPr>
          <w:p w14:paraId="22B05CBF" w14:textId="77777777" w:rsidR="00575CDF" w:rsidRPr="00C801A6" w:rsidRDefault="00575CDF" w:rsidP="00347FDB">
            <w:pPr>
              <w:spacing w:before="20" w:after="20" w:line="264" w:lineRule="auto"/>
              <w:jc w:val="right"/>
              <w:rPr>
                <w:rFonts w:cs="Times New Roman"/>
                <w:b/>
                <w:color w:val="auto"/>
                <w:sz w:val="18"/>
                <w:szCs w:val="18"/>
              </w:rPr>
            </w:pPr>
            <w:r w:rsidRPr="00C801A6">
              <w:rPr>
                <w:rFonts w:cs="Times New Roman"/>
                <w:b/>
                <w:color w:val="auto"/>
                <w:sz w:val="18"/>
                <w:szCs w:val="18"/>
              </w:rPr>
              <w:t>Projection INSTAT</w:t>
            </w:r>
          </w:p>
        </w:tc>
        <w:tc>
          <w:tcPr>
            <w:tcW w:w="1204" w:type="dxa"/>
            <w:hideMark/>
          </w:tcPr>
          <w:p w14:paraId="62E2C741" w14:textId="77777777" w:rsidR="00575CDF" w:rsidRPr="00C801A6" w:rsidRDefault="00575CDF" w:rsidP="00347FDB">
            <w:pPr>
              <w:spacing w:before="20" w:after="20" w:line="264" w:lineRule="auto"/>
              <w:jc w:val="right"/>
              <w:rPr>
                <w:rFonts w:cs="Times New Roman"/>
                <w:b/>
                <w:color w:val="auto"/>
                <w:sz w:val="18"/>
                <w:szCs w:val="18"/>
              </w:rPr>
            </w:pPr>
            <w:r w:rsidRPr="00C801A6">
              <w:rPr>
                <w:rFonts w:cs="Times New Roman"/>
                <w:b/>
                <w:color w:val="auto"/>
                <w:sz w:val="18"/>
                <w:szCs w:val="18"/>
              </w:rPr>
              <w:t>Projection INSTAT</w:t>
            </w:r>
          </w:p>
        </w:tc>
        <w:tc>
          <w:tcPr>
            <w:tcW w:w="1204" w:type="dxa"/>
            <w:hideMark/>
          </w:tcPr>
          <w:p w14:paraId="3102E779" w14:textId="77777777" w:rsidR="00575CDF" w:rsidRPr="00C801A6" w:rsidRDefault="00575CDF" w:rsidP="00347FDB">
            <w:pPr>
              <w:spacing w:before="20" w:after="20" w:line="264" w:lineRule="auto"/>
              <w:jc w:val="right"/>
              <w:rPr>
                <w:rFonts w:cs="Times New Roman"/>
                <w:b/>
                <w:color w:val="auto"/>
                <w:sz w:val="18"/>
                <w:szCs w:val="18"/>
              </w:rPr>
            </w:pPr>
            <w:r w:rsidRPr="00C801A6">
              <w:rPr>
                <w:rFonts w:cs="Times New Roman"/>
                <w:b/>
                <w:color w:val="auto"/>
                <w:sz w:val="18"/>
                <w:szCs w:val="18"/>
              </w:rPr>
              <w:t>Projection INSTAT</w:t>
            </w:r>
          </w:p>
        </w:tc>
        <w:tc>
          <w:tcPr>
            <w:tcW w:w="1204" w:type="dxa"/>
            <w:hideMark/>
          </w:tcPr>
          <w:p w14:paraId="5776E526" w14:textId="77777777" w:rsidR="00575CDF" w:rsidRPr="00C801A6" w:rsidRDefault="00575CDF" w:rsidP="00347FDB">
            <w:pPr>
              <w:spacing w:before="20" w:after="20" w:line="264" w:lineRule="auto"/>
              <w:jc w:val="right"/>
              <w:rPr>
                <w:rFonts w:cs="Times New Roman"/>
                <w:b/>
                <w:color w:val="auto"/>
                <w:sz w:val="18"/>
                <w:szCs w:val="18"/>
              </w:rPr>
            </w:pPr>
            <w:r w:rsidRPr="00C801A6">
              <w:rPr>
                <w:rFonts w:cs="Times New Roman"/>
                <w:b/>
                <w:color w:val="auto"/>
                <w:sz w:val="18"/>
                <w:szCs w:val="18"/>
              </w:rPr>
              <w:t>Projection INSTAT</w:t>
            </w:r>
          </w:p>
        </w:tc>
      </w:tr>
    </w:tbl>
    <w:p w14:paraId="7EBB4573" w14:textId="77777777" w:rsidR="00575CDF" w:rsidRPr="00C801A6" w:rsidRDefault="00575CDF" w:rsidP="00575CDF">
      <w:pPr>
        <w:spacing w:line="288" w:lineRule="auto"/>
        <w:ind w:left="567"/>
        <w:jc w:val="right"/>
        <w:rPr>
          <w:rFonts w:ascii="Book Antiqua" w:hAnsi="Book Antiqua" w:cs="Times New Roman"/>
          <w:i/>
          <w:iCs/>
          <w:color w:val="auto"/>
          <w:sz w:val="18"/>
          <w:szCs w:val="18"/>
        </w:rPr>
      </w:pPr>
      <w:r w:rsidRPr="00C801A6">
        <w:rPr>
          <w:rFonts w:ascii="Book Antiqua" w:hAnsi="Book Antiqua" w:cs="Times New Roman"/>
          <w:i/>
          <w:iCs/>
          <w:color w:val="auto"/>
          <w:sz w:val="18"/>
          <w:szCs w:val="18"/>
          <w:u w:val="single"/>
        </w:rPr>
        <w:t>Source</w:t>
      </w:r>
      <w:r w:rsidRPr="00C801A6">
        <w:rPr>
          <w:rFonts w:ascii="Book Antiqua" w:hAnsi="Book Antiqua" w:cs="Times New Roman"/>
          <w:i/>
          <w:iCs/>
          <w:color w:val="auto"/>
          <w:sz w:val="18"/>
          <w:szCs w:val="18"/>
        </w:rPr>
        <w:t xml:space="preserve"> : MDG - INSTAT – RGPH 2018</w:t>
      </w:r>
    </w:p>
    <w:p w14:paraId="7164391F" w14:textId="77777777" w:rsidR="00575CDF" w:rsidRPr="00C801A6" w:rsidRDefault="00575CDF" w:rsidP="00575CDF">
      <w:pPr>
        <w:rPr>
          <w:rFonts w:cs="Arial"/>
          <w:i/>
          <w:iCs/>
          <w:color w:val="auto"/>
          <w:sz w:val="20"/>
          <w:szCs w:val="20"/>
        </w:rPr>
      </w:pPr>
      <w:r w:rsidRPr="00C801A6">
        <w:rPr>
          <w:rFonts w:cs="Arial"/>
          <w:color w:val="auto"/>
        </w:rPr>
        <w:t>Les femmes représentent 50,69% de la population totale. Les quatre régions qui présentent les rapports de féminité les plus élevés sont Androy, Diana, Atsimo Atsinanana et Vatovavy Fitovinany avec des proportions respectives de 57,05%, 51,34%, 51,24% et de 51,14%. Celles possédant des rapports de féminité faibles sont Bongolava (49,20%), Itasy (49,53%) et Vakinankaratra (49,94%)</w:t>
      </w:r>
    </w:p>
    <w:p w14:paraId="2CF04D47" w14:textId="70009874" w:rsidR="00575CDF" w:rsidRPr="00C801A6" w:rsidRDefault="00691CB0" w:rsidP="00691CB0">
      <w:pPr>
        <w:pStyle w:val="Caption"/>
        <w:rPr>
          <w:color w:val="auto"/>
        </w:rPr>
      </w:pPr>
      <w:bookmarkStart w:id="183" w:name="_Toc230427728"/>
      <w:r>
        <w:t xml:space="preserve">Tableau </w:t>
      </w:r>
      <w:r w:rsidR="00E44887">
        <w:fldChar w:fldCharType="begin"/>
      </w:r>
      <w:r w:rsidR="00E44887">
        <w:instrText xml:space="preserve"> SEQ Tableau \* ARABIC </w:instrText>
      </w:r>
      <w:r w:rsidR="00E44887">
        <w:fldChar w:fldCharType="separate"/>
      </w:r>
      <w:r w:rsidR="00253F1A">
        <w:rPr>
          <w:noProof/>
        </w:rPr>
        <w:t>8</w:t>
      </w:r>
      <w:r w:rsidR="00E44887">
        <w:rPr>
          <w:noProof/>
        </w:rPr>
        <w:fldChar w:fldCharType="end"/>
      </w:r>
      <w:r w:rsidR="00575CDF" w:rsidRPr="00C801A6">
        <w:rPr>
          <w:color w:val="auto"/>
        </w:rPr>
        <w:t> : Répartition de la population par Région et par sexe</w:t>
      </w:r>
      <w:bookmarkEnd w:id="18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401"/>
        <w:gridCol w:w="1415"/>
        <w:gridCol w:w="1415"/>
        <w:gridCol w:w="1415"/>
        <w:gridCol w:w="1415"/>
      </w:tblGrid>
      <w:tr w:rsidR="00C801A6" w:rsidRPr="00C801A6" w14:paraId="56C1B596" w14:textId="77777777" w:rsidTr="00347FDB">
        <w:trPr>
          <w:trHeight w:val="315"/>
          <w:tblHeader/>
        </w:trPr>
        <w:tc>
          <w:tcPr>
            <w:tcW w:w="1876" w:type="pct"/>
            <w:shd w:val="clear" w:color="auto" w:fill="E2EFD9" w:themeFill="accent6" w:themeFillTint="33"/>
            <w:hideMark/>
          </w:tcPr>
          <w:p w14:paraId="19D16FBE" w14:textId="77777777" w:rsidR="00575CDF" w:rsidRPr="00C801A6" w:rsidRDefault="00575CDF" w:rsidP="00347FDB">
            <w:pPr>
              <w:spacing w:before="20" w:after="20" w:line="264" w:lineRule="auto"/>
              <w:jc w:val="left"/>
              <w:rPr>
                <w:rFonts w:eastAsia="Times New Roman" w:cs="Times New Roman"/>
                <w:b/>
                <w:bCs/>
                <w:color w:val="auto"/>
                <w:sz w:val="18"/>
                <w:szCs w:val="18"/>
                <w:lang w:eastAsia="fr-FR"/>
              </w:rPr>
            </w:pPr>
            <w:r w:rsidRPr="00C801A6">
              <w:rPr>
                <w:rFonts w:eastAsia="Times New Roman" w:cs="Times New Roman"/>
                <w:b/>
                <w:bCs/>
                <w:color w:val="auto"/>
                <w:sz w:val="18"/>
                <w:szCs w:val="18"/>
                <w:lang w:eastAsia="fr-FR"/>
              </w:rPr>
              <w:t>REGION</w:t>
            </w:r>
          </w:p>
        </w:tc>
        <w:tc>
          <w:tcPr>
            <w:tcW w:w="781" w:type="pct"/>
            <w:shd w:val="clear" w:color="auto" w:fill="E2EFD9" w:themeFill="accent6" w:themeFillTint="33"/>
            <w:hideMark/>
          </w:tcPr>
          <w:p w14:paraId="12B8826D" w14:textId="77777777" w:rsidR="00575CDF" w:rsidRPr="00C801A6" w:rsidRDefault="00575CDF" w:rsidP="00347FDB">
            <w:pPr>
              <w:spacing w:before="20" w:after="20" w:line="264" w:lineRule="auto"/>
              <w:jc w:val="center"/>
              <w:rPr>
                <w:rFonts w:eastAsia="Times New Roman" w:cs="Times New Roman"/>
                <w:b/>
                <w:bCs/>
                <w:color w:val="auto"/>
                <w:sz w:val="18"/>
                <w:szCs w:val="18"/>
                <w:lang w:eastAsia="fr-FR"/>
              </w:rPr>
            </w:pPr>
            <w:r w:rsidRPr="00C801A6">
              <w:rPr>
                <w:rFonts w:eastAsia="Times New Roman" w:cs="Times New Roman"/>
                <w:b/>
                <w:bCs/>
                <w:color w:val="auto"/>
                <w:sz w:val="18"/>
                <w:szCs w:val="18"/>
                <w:lang w:eastAsia="fr-FR"/>
              </w:rPr>
              <w:t>TOTAL</w:t>
            </w:r>
          </w:p>
        </w:tc>
        <w:tc>
          <w:tcPr>
            <w:tcW w:w="781" w:type="pct"/>
            <w:shd w:val="clear" w:color="auto" w:fill="E2EFD9" w:themeFill="accent6" w:themeFillTint="33"/>
            <w:hideMark/>
          </w:tcPr>
          <w:p w14:paraId="4B703E21" w14:textId="77777777" w:rsidR="00575CDF" w:rsidRPr="00C801A6" w:rsidRDefault="00575CDF" w:rsidP="00347FDB">
            <w:pPr>
              <w:spacing w:before="20" w:after="20" w:line="264" w:lineRule="auto"/>
              <w:jc w:val="center"/>
              <w:rPr>
                <w:rFonts w:eastAsia="Times New Roman" w:cs="Times New Roman"/>
                <w:b/>
                <w:bCs/>
                <w:color w:val="auto"/>
                <w:sz w:val="18"/>
                <w:szCs w:val="18"/>
                <w:lang w:eastAsia="fr-FR"/>
              </w:rPr>
            </w:pPr>
            <w:r w:rsidRPr="00C801A6">
              <w:rPr>
                <w:rFonts w:eastAsia="Times New Roman" w:cs="Times New Roman"/>
                <w:b/>
                <w:bCs/>
                <w:color w:val="auto"/>
                <w:sz w:val="18"/>
                <w:szCs w:val="18"/>
                <w:lang w:eastAsia="fr-FR"/>
              </w:rPr>
              <w:t>HOMME</w:t>
            </w:r>
          </w:p>
        </w:tc>
        <w:tc>
          <w:tcPr>
            <w:tcW w:w="781" w:type="pct"/>
            <w:shd w:val="clear" w:color="auto" w:fill="E2EFD9" w:themeFill="accent6" w:themeFillTint="33"/>
            <w:hideMark/>
          </w:tcPr>
          <w:p w14:paraId="2C0C4A1C" w14:textId="77777777" w:rsidR="00575CDF" w:rsidRPr="00C801A6" w:rsidRDefault="00575CDF" w:rsidP="00347FDB">
            <w:pPr>
              <w:spacing w:before="20" w:after="20" w:line="264" w:lineRule="auto"/>
              <w:jc w:val="center"/>
              <w:rPr>
                <w:rFonts w:eastAsia="Times New Roman" w:cs="Times New Roman"/>
                <w:b/>
                <w:bCs/>
                <w:color w:val="auto"/>
                <w:sz w:val="18"/>
                <w:szCs w:val="18"/>
                <w:lang w:eastAsia="fr-FR"/>
              </w:rPr>
            </w:pPr>
            <w:r w:rsidRPr="00C801A6">
              <w:rPr>
                <w:rFonts w:eastAsia="Times New Roman" w:cs="Times New Roman"/>
                <w:b/>
                <w:bCs/>
                <w:color w:val="auto"/>
                <w:sz w:val="18"/>
                <w:szCs w:val="18"/>
                <w:lang w:eastAsia="fr-FR"/>
              </w:rPr>
              <w:t>FEMME</w:t>
            </w:r>
          </w:p>
        </w:tc>
        <w:tc>
          <w:tcPr>
            <w:tcW w:w="781" w:type="pct"/>
            <w:shd w:val="clear" w:color="auto" w:fill="E2EFD9" w:themeFill="accent6" w:themeFillTint="33"/>
          </w:tcPr>
          <w:p w14:paraId="6E83F101" w14:textId="77777777" w:rsidR="00575CDF" w:rsidRPr="00C801A6" w:rsidRDefault="00575CDF" w:rsidP="00347FDB">
            <w:pPr>
              <w:spacing w:before="20" w:after="20" w:line="264" w:lineRule="auto"/>
              <w:jc w:val="center"/>
              <w:rPr>
                <w:rFonts w:eastAsia="Times New Roman" w:cs="Times New Roman"/>
                <w:b/>
                <w:bCs/>
                <w:color w:val="auto"/>
                <w:sz w:val="18"/>
                <w:szCs w:val="18"/>
                <w:lang w:eastAsia="fr-FR"/>
              </w:rPr>
            </w:pPr>
            <w:r w:rsidRPr="00C801A6">
              <w:rPr>
                <w:rFonts w:eastAsia="Times New Roman" w:cs="Times New Roman"/>
                <w:b/>
                <w:bCs/>
                <w:color w:val="auto"/>
                <w:sz w:val="18"/>
                <w:szCs w:val="18"/>
                <w:lang w:eastAsia="fr-FR"/>
              </w:rPr>
              <w:t>PROPORTION</w:t>
            </w:r>
          </w:p>
        </w:tc>
      </w:tr>
      <w:tr w:rsidR="00C801A6" w:rsidRPr="00C801A6" w14:paraId="68F52B76" w14:textId="77777777" w:rsidTr="00347FDB">
        <w:trPr>
          <w:trHeight w:val="300"/>
        </w:trPr>
        <w:tc>
          <w:tcPr>
            <w:tcW w:w="1876" w:type="pct"/>
            <w:noWrap/>
            <w:hideMark/>
          </w:tcPr>
          <w:p w14:paraId="60603001" w14:textId="77777777" w:rsidR="00575CDF" w:rsidRPr="00C801A6" w:rsidRDefault="00575CDF" w:rsidP="00347FDB">
            <w:pPr>
              <w:spacing w:before="20" w:after="20" w:line="264"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ALAOTRA MANGORO</w:t>
            </w:r>
          </w:p>
        </w:tc>
        <w:tc>
          <w:tcPr>
            <w:tcW w:w="781" w:type="pct"/>
            <w:hideMark/>
          </w:tcPr>
          <w:p w14:paraId="651E8182"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1 249 931</w:t>
            </w:r>
          </w:p>
        </w:tc>
        <w:tc>
          <w:tcPr>
            <w:tcW w:w="781" w:type="pct"/>
            <w:hideMark/>
          </w:tcPr>
          <w:p w14:paraId="5E5B4EB0"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622 913</w:t>
            </w:r>
          </w:p>
        </w:tc>
        <w:tc>
          <w:tcPr>
            <w:tcW w:w="781" w:type="pct"/>
            <w:hideMark/>
          </w:tcPr>
          <w:p w14:paraId="6FE69671"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627 018</w:t>
            </w:r>
          </w:p>
        </w:tc>
        <w:tc>
          <w:tcPr>
            <w:tcW w:w="781" w:type="pct"/>
            <w:vAlign w:val="bottom"/>
          </w:tcPr>
          <w:p w14:paraId="7C266B74"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cs="Times New Roman"/>
                <w:color w:val="auto"/>
                <w:sz w:val="21"/>
                <w:szCs w:val="21"/>
              </w:rPr>
              <w:t>50,16</w:t>
            </w:r>
          </w:p>
        </w:tc>
      </w:tr>
      <w:tr w:rsidR="00C801A6" w:rsidRPr="00C801A6" w14:paraId="1697698A" w14:textId="77777777" w:rsidTr="00347FDB">
        <w:trPr>
          <w:trHeight w:val="300"/>
        </w:trPr>
        <w:tc>
          <w:tcPr>
            <w:tcW w:w="1876" w:type="pct"/>
            <w:noWrap/>
            <w:hideMark/>
          </w:tcPr>
          <w:p w14:paraId="2091447B" w14:textId="77777777" w:rsidR="00575CDF" w:rsidRPr="00C801A6" w:rsidRDefault="00575CDF" w:rsidP="00347FDB">
            <w:pPr>
              <w:spacing w:before="20" w:after="20" w:line="264"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AMORON'I MANIA</w:t>
            </w:r>
          </w:p>
        </w:tc>
        <w:tc>
          <w:tcPr>
            <w:tcW w:w="781" w:type="pct"/>
            <w:hideMark/>
          </w:tcPr>
          <w:p w14:paraId="7FFCEAC3"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837 116</w:t>
            </w:r>
          </w:p>
        </w:tc>
        <w:tc>
          <w:tcPr>
            <w:tcW w:w="781" w:type="pct"/>
            <w:hideMark/>
          </w:tcPr>
          <w:p w14:paraId="24C73101"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412 492</w:t>
            </w:r>
          </w:p>
        </w:tc>
        <w:tc>
          <w:tcPr>
            <w:tcW w:w="781" w:type="pct"/>
            <w:hideMark/>
          </w:tcPr>
          <w:p w14:paraId="08AFB814"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424 624</w:t>
            </w:r>
          </w:p>
        </w:tc>
        <w:tc>
          <w:tcPr>
            <w:tcW w:w="781" w:type="pct"/>
            <w:vAlign w:val="bottom"/>
          </w:tcPr>
          <w:p w14:paraId="58357A08"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cs="Times New Roman"/>
                <w:color w:val="auto"/>
                <w:sz w:val="21"/>
                <w:szCs w:val="21"/>
              </w:rPr>
              <w:t>50,72</w:t>
            </w:r>
          </w:p>
        </w:tc>
      </w:tr>
      <w:tr w:rsidR="00C801A6" w:rsidRPr="00C801A6" w14:paraId="06806F04" w14:textId="77777777" w:rsidTr="00347FDB">
        <w:trPr>
          <w:trHeight w:val="300"/>
        </w:trPr>
        <w:tc>
          <w:tcPr>
            <w:tcW w:w="1876" w:type="pct"/>
            <w:hideMark/>
          </w:tcPr>
          <w:p w14:paraId="49B8846F" w14:textId="77777777" w:rsidR="00575CDF" w:rsidRPr="00C801A6" w:rsidRDefault="00575CDF" w:rsidP="00347FDB">
            <w:pPr>
              <w:spacing w:before="20" w:after="20" w:line="264"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ANALAMANGA</w:t>
            </w:r>
          </w:p>
        </w:tc>
        <w:tc>
          <w:tcPr>
            <w:tcW w:w="781" w:type="pct"/>
            <w:hideMark/>
          </w:tcPr>
          <w:p w14:paraId="46BD8418"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3 623 925</w:t>
            </w:r>
          </w:p>
        </w:tc>
        <w:tc>
          <w:tcPr>
            <w:tcW w:w="781" w:type="pct"/>
            <w:hideMark/>
          </w:tcPr>
          <w:p w14:paraId="6F816A87"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1 777 869</w:t>
            </w:r>
          </w:p>
        </w:tc>
        <w:tc>
          <w:tcPr>
            <w:tcW w:w="781" w:type="pct"/>
            <w:hideMark/>
          </w:tcPr>
          <w:p w14:paraId="52E0A6C4"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1 846 056</w:t>
            </w:r>
          </w:p>
        </w:tc>
        <w:tc>
          <w:tcPr>
            <w:tcW w:w="781" w:type="pct"/>
            <w:vAlign w:val="bottom"/>
          </w:tcPr>
          <w:p w14:paraId="0F6A926F"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cs="Times New Roman"/>
                <w:color w:val="auto"/>
                <w:sz w:val="21"/>
                <w:szCs w:val="21"/>
              </w:rPr>
              <w:t>50,94</w:t>
            </w:r>
          </w:p>
        </w:tc>
      </w:tr>
      <w:tr w:rsidR="00C801A6" w:rsidRPr="00C801A6" w14:paraId="572E126F" w14:textId="77777777" w:rsidTr="00347FDB">
        <w:trPr>
          <w:trHeight w:val="300"/>
        </w:trPr>
        <w:tc>
          <w:tcPr>
            <w:tcW w:w="1876" w:type="pct"/>
            <w:noWrap/>
            <w:hideMark/>
          </w:tcPr>
          <w:p w14:paraId="082F92E5" w14:textId="77777777" w:rsidR="00575CDF" w:rsidRPr="00C801A6" w:rsidRDefault="00575CDF" w:rsidP="00347FDB">
            <w:pPr>
              <w:spacing w:before="20" w:after="20" w:line="264"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ANALANJIROFO</w:t>
            </w:r>
          </w:p>
        </w:tc>
        <w:tc>
          <w:tcPr>
            <w:tcW w:w="781" w:type="pct"/>
            <w:hideMark/>
          </w:tcPr>
          <w:p w14:paraId="242315A3"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1 150 089</w:t>
            </w:r>
          </w:p>
        </w:tc>
        <w:tc>
          <w:tcPr>
            <w:tcW w:w="781" w:type="pct"/>
            <w:hideMark/>
          </w:tcPr>
          <w:p w14:paraId="7101DBC3"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566 503</w:t>
            </w:r>
          </w:p>
        </w:tc>
        <w:tc>
          <w:tcPr>
            <w:tcW w:w="781" w:type="pct"/>
            <w:hideMark/>
          </w:tcPr>
          <w:p w14:paraId="6F58C7F7"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583 586</w:t>
            </w:r>
          </w:p>
        </w:tc>
        <w:tc>
          <w:tcPr>
            <w:tcW w:w="781" w:type="pct"/>
            <w:vAlign w:val="bottom"/>
          </w:tcPr>
          <w:p w14:paraId="3BFC3FF3"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cs="Times New Roman"/>
                <w:color w:val="auto"/>
                <w:sz w:val="21"/>
                <w:szCs w:val="21"/>
              </w:rPr>
              <w:t>50,74</w:t>
            </w:r>
          </w:p>
        </w:tc>
      </w:tr>
      <w:tr w:rsidR="00C801A6" w:rsidRPr="00C801A6" w14:paraId="37540FB2" w14:textId="77777777" w:rsidTr="00347FDB">
        <w:trPr>
          <w:trHeight w:val="300"/>
        </w:trPr>
        <w:tc>
          <w:tcPr>
            <w:tcW w:w="1876" w:type="pct"/>
            <w:noWrap/>
            <w:hideMark/>
          </w:tcPr>
          <w:p w14:paraId="1D861F44" w14:textId="77777777" w:rsidR="00575CDF" w:rsidRPr="00C801A6" w:rsidRDefault="00575CDF" w:rsidP="00347FDB">
            <w:pPr>
              <w:spacing w:before="20" w:after="20" w:line="264"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ANDROY</w:t>
            </w:r>
          </w:p>
        </w:tc>
        <w:tc>
          <w:tcPr>
            <w:tcW w:w="781" w:type="pct"/>
            <w:hideMark/>
          </w:tcPr>
          <w:p w14:paraId="3D6A3F9B"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900 235</w:t>
            </w:r>
          </w:p>
        </w:tc>
        <w:tc>
          <w:tcPr>
            <w:tcW w:w="781" w:type="pct"/>
            <w:hideMark/>
          </w:tcPr>
          <w:p w14:paraId="3016F739"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431 588</w:t>
            </w:r>
          </w:p>
        </w:tc>
        <w:tc>
          <w:tcPr>
            <w:tcW w:w="781" w:type="pct"/>
            <w:hideMark/>
          </w:tcPr>
          <w:p w14:paraId="7C171E58"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468 647</w:t>
            </w:r>
          </w:p>
        </w:tc>
        <w:tc>
          <w:tcPr>
            <w:tcW w:w="781" w:type="pct"/>
            <w:vAlign w:val="bottom"/>
          </w:tcPr>
          <w:p w14:paraId="1DF4119A"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cs="Times New Roman"/>
                <w:color w:val="auto"/>
                <w:sz w:val="21"/>
                <w:szCs w:val="21"/>
              </w:rPr>
              <w:t>52,06</w:t>
            </w:r>
          </w:p>
        </w:tc>
      </w:tr>
      <w:tr w:rsidR="00C801A6" w:rsidRPr="00C801A6" w14:paraId="573ADF04" w14:textId="77777777" w:rsidTr="00347FDB">
        <w:trPr>
          <w:trHeight w:val="300"/>
        </w:trPr>
        <w:tc>
          <w:tcPr>
            <w:tcW w:w="1876" w:type="pct"/>
            <w:noWrap/>
            <w:hideMark/>
          </w:tcPr>
          <w:p w14:paraId="2EEAF5D5" w14:textId="77777777" w:rsidR="00575CDF" w:rsidRPr="00C801A6" w:rsidRDefault="00575CDF" w:rsidP="00347FDB">
            <w:pPr>
              <w:spacing w:before="20" w:after="20" w:line="264"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ANOSY</w:t>
            </w:r>
          </w:p>
        </w:tc>
        <w:tc>
          <w:tcPr>
            <w:tcW w:w="781" w:type="pct"/>
            <w:hideMark/>
          </w:tcPr>
          <w:p w14:paraId="06E5C1E0"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809 051</w:t>
            </w:r>
          </w:p>
        </w:tc>
        <w:tc>
          <w:tcPr>
            <w:tcW w:w="781" w:type="pct"/>
            <w:hideMark/>
          </w:tcPr>
          <w:p w14:paraId="374B6B84"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397 304</w:t>
            </w:r>
          </w:p>
        </w:tc>
        <w:tc>
          <w:tcPr>
            <w:tcW w:w="781" w:type="pct"/>
            <w:hideMark/>
          </w:tcPr>
          <w:p w14:paraId="6368892F"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411 747</w:t>
            </w:r>
          </w:p>
        </w:tc>
        <w:tc>
          <w:tcPr>
            <w:tcW w:w="781" w:type="pct"/>
            <w:vAlign w:val="bottom"/>
          </w:tcPr>
          <w:p w14:paraId="3C63AEEF"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cs="Times New Roman"/>
                <w:color w:val="auto"/>
                <w:sz w:val="21"/>
                <w:szCs w:val="21"/>
              </w:rPr>
              <w:t>50,89</w:t>
            </w:r>
          </w:p>
        </w:tc>
      </w:tr>
      <w:tr w:rsidR="00C801A6" w:rsidRPr="00C801A6" w14:paraId="23A69573" w14:textId="77777777" w:rsidTr="00347FDB">
        <w:trPr>
          <w:trHeight w:val="300"/>
        </w:trPr>
        <w:tc>
          <w:tcPr>
            <w:tcW w:w="1876" w:type="pct"/>
            <w:noWrap/>
            <w:hideMark/>
          </w:tcPr>
          <w:p w14:paraId="088A6E47" w14:textId="77777777" w:rsidR="00575CDF" w:rsidRPr="00C801A6" w:rsidRDefault="00575CDF" w:rsidP="00347FDB">
            <w:pPr>
              <w:spacing w:before="20" w:after="20" w:line="264"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ATSIMO ANDREFANA</w:t>
            </w:r>
          </w:p>
        </w:tc>
        <w:tc>
          <w:tcPr>
            <w:tcW w:w="781" w:type="pct"/>
            <w:hideMark/>
          </w:tcPr>
          <w:p w14:paraId="41B55AC2"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1 797 894</w:t>
            </w:r>
          </w:p>
        </w:tc>
        <w:tc>
          <w:tcPr>
            <w:tcW w:w="781" w:type="pct"/>
            <w:hideMark/>
          </w:tcPr>
          <w:p w14:paraId="65678A75"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881 858</w:t>
            </w:r>
          </w:p>
        </w:tc>
        <w:tc>
          <w:tcPr>
            <w:tcW w:w="781" w:type="pct"/>
            <w:hideMark/>
          </w:tcPr>
          <w:p w14:paraId="50379D5E"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916 036</w:t>
            </w:r>
          </w:p>
        </w:tc>
        <w:tc>
          <w:tcPr>
            <w:tcW w:w="781" w:type="pct"/>
            <w:vAlign w:val="bottom"/>
          </w:tcPr>
          <w:p w14:paraId="009D0A73"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cs="Times New Roman"/>
                <w:color w:val="auto"/>
                <w:sz w:val="21"/>
                <w:szCs w:val="21"/>
              </w:rPr>
              <w:t>50,95</w:t>
            </w:r>
          </w:p>
        </w:tc>
      </w:tr>
      <w:tr w:rsidR="00C801A6" w:rsidRPr="00C801A6" w14:paraId="67825B7C" w14:textId="77777777" w:rsidTr="00347FDB">
        <w:trPr>
          <w:trHeight w:val="300"/>
        </w:trPr>
        <w:tc>
          <w:tcPr>
            <w:tcW w:w="1876" w:type="pct"/>
            <w:noWrap/>
            <w:hideMark/>
          </w:tcPr>
          <w:p w14:paraId="48C0350B" w14:textId="77777777" w:rsidR="00575CDF" w:rsidRPr="00C801A6" w:rsidRDefault="00575CDF" w:rsidP="00347FDB">
            <w:pPr>
              <w:spacing w:before="20" w:after="20" w:line="264"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ATSIMO ATSINANANA</w:t>
            </w:r>
          </w:p>
        </w:tc>
        <w:tc>
          <w:tcPr>
            <w:tcW w:w="781" w:type="pct"/>
            <w:hideMark/>
          </w:tcPr>
          <w:p w14:paraId="10BFCB4A"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1 030 404</w:t>
            </w:r>
          </w:p>
        </w:tc>
        <w:tc>
          <w:tcPr>
            <w:tcW w:w="781" w:type="pct"/>
            <w:hideMark/>
          </w:tcPr>
          <w:p w14:paraId="28E6A16A"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502 390</w:t>
            </w:r>
          </w:p>
        </w:tc>
        <w:tc>
          <w:tcPr>
            <w:tcW w:w="781" w:type="pct"/>
            <w:hideMark/>
          </w:tcPr>
          <w:p w14:paraId="32CB1695"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528 014</w:t>
            </w:r>
          </w:p>
        </w:tc>
        <w:tc>
          <w:tcPr>
            <w:tcW w:w="781" w:type="pct"/>
            <w:vAlign w:val="bottom"/>
          </w:tcPr>
          <w:p w14:paraId="342E1903"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cs="Times New Roman"/>
                <w:color w:val="auto"/>
                <w:sz w:val="21"/>
                <w:szCs w:val="21"/>
              </w:rPr>
              <w:t>51,24</w:t>
            </w:r>
          </w:p>
        </w:tc>
      </w:tr>
      <w:tr w:rsidR="00C801A6" w:rsidRPr="00C801A6" w14:paraId="66D04B13" w14:textId="77777777" w:rsidTr="00347FDB">
        <w:trPr>
          <w:trHeight w:val="300"/>
        </w:trPr>
        <w:tc>
          <w:tcPr>
            <w:tcW w:w="1876" w:type="pct"/>
            <w:noWrap/>
            <w:hideMark/>
          </w:tcPr>
          <w:p w14:paraId="0EFC8442" w14:textId="77777777" w:rsidR="00575CDF" w:rsidRPr="00C801A6" w:rsidRDefault="00575CDF" w:rsidP="00347FDB">
            <w:pPr>
              <w:spacing w:before="20" w:after="20" w:line="264"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ATSINANANA</w:t>
            </w:r>
          </w:p>
        </w:tc>
        <w:tc>
          <w:tcPr>
            <w:tcW w:w="781" w:type="pct"/>
            <w:hideMark/>
          </w:tcPr>
          <w:p w14:paraId="086A9426"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1 478 472</w:t>
            </w:r>
          </w:p>
        </w:tc>
        <w:tc>
          <w:tcPr>
            <w:tcW w:w="781" w:type="pct"/>
            <w:hideMark/>
          </w:tcPr>
          <w:p w14:paraId="7BC223CF"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724 646</w:t>
            </w:r>
          </w:p>
        </w:tc>
        <w:tc>
          <w:tcPr>
            <w:tcW w:w="781" w:type="pct"/>
            <w:hideMark/>
          </w:tcPr>
          <w:p w14:paraId="61E4AA44"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753 826</w:t>
            </w:r>
          </w:p>
        </w:tc>
        <w:tc>
          <w:tcPr>
            <w:tcW w:w="781" w:type="pct"/>
            <w:vAlign w:val="bottom"/>
          </w:tcPr>
          <w:p w14:paraId="1C64EC77"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cs="Times New Roman"/>
                <w:color w:val="auto"/>
                <w:sz w:val="21"/>
                <w:szCs w:val="21"/>
              </w:rPr>
              <w:t>50,99</w:t>
            </w:r>
          </w:p>
        </w:tc>
      </w:tr>
      <w:tr w:rsidR="00C801A6" w:rsidRPr="00C801A6" w14:paraId="39E99B20" w14:textId="77777777" w:rsidTr="00347FDB">
        <w:trPr>
          <w:trHeight w:val="300"/>
        </w:trPr>
        <w:tc>
          <w:tcPr>
            <w:tcW w:w="1876" w:type="pct"/>
            <w:noWrap/>
            <w:hideMark/>
          </w:tcPr>
          <w:p w14:paraId="5FDCFA6E" w14:textId="77777777" w:rsidR="00575CDF" w:rsidRPr="00C801A6" w:rsidRDefault="00575CDF" w:rsidP="00347FDB">
            <w:pPr>
              <w:spacing w:before="20" w:after="20" w:line="264"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BETSIBOKA</w:t>
            </w:r>
          </w:p>
        </w:tc>
        <w:tc>
          <w:tcPr>
            <w:tcW w:w="781" w:type="pct"/>
            <w:hideMark/>
          </w:tcPr>
          <w:p w14:paraId="3B8048B2"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393 278</w:t>
            </w:r>
          </w:p>
        </w:tc>
        <w:tc>
          <w:tcPr>
            <w:tcW w:w="781" w:type="pct"/>
            <w:hideMark/>
          </w:tcPr>
          <w:p w14:paraId="43719C5F"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196 040</w:t>
            </w:r>
          </w:p>
        </w:tc>
        <w:tc>
          <w:tcPr>
            <w:tcW w:w="781" w:type="pct"/>
            <w:hideMark/>
          </w:tcPr>
          <w:p w14:paraId="7888BBD4"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197 238</w:t>
            </w:r>
          </w:p>
        </w:tc>
        <w:tc>
          <w:tcPr>
            <w:tcW w:w="781" w:type="pct"/>
            <w:vAlign w:val="bottom"/>
          </w:tcPr>
          <w:p w14:paraId="309AB39F"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cs="Times New Roman"/>
                <w:color w:val="auto"/>
                <w:sz w:val="21"/>
                <w:szCs w:val="21"/>
              </w:rPr>
              <w:t>50,15</w:t>
            </w:r>
          </w:p>
        </w:tc>
      </w:tr>
      <w:tr w:rsidR="00C801A6" w:rsidRPr="00C801A6" w14:paraId="4AD596EB" w14:textId="77777777" w:rsidTr="00347FDB">
        <w:trPr>
          <w:trHeight w:val="300"/>
        </w:trPr>
        <w:tc>
          <w:tcPr>
            <w:tcW w:w="1876" w:type="pct"/>
            <w:noWrap/>
            <w:hideMark/>
          </w:tcPr>
          <w:p w14:paraId="51F0F596" w14:textId="77777777" w:rsidR="00575CDF" w:rsidRPr="00C801A6" w:rsidRDefault="00575CDF" w:rsidP="00347FDB">
            <w:pPr>
              <w:spacing w:before="20" w:after="20" w:line="264"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BOENY</w:t>
            </w:r>
          </w:p>
        </w:tc>
        <w:tc>
          <w:tcPr>
            <w:tcW w:w="781" w:type="pct"/>
            <w:hideMark/>
          </w:tcPr>
          <w:p w14:paraId="240A68F7"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929 312</w:t>
            </w:r>
          </w:p>
        </w:tc>
        <w:tc>
          <w:tcPr>
            <w:tcW w:w="781" w:type="pct"/>
            <w:hideMark/>
          </w:tcPr>
          <w:p w14:paraId="3E698DAB"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456 039</w:t>
            </w:r>
          </w:p>
        </w:tc>
        <w:tc>
          <w:tcPr>
            <w:tcW w:w="781" w:type="pct"/>
            <w:hideMark/>
          </w:tcPr>
          <w:p w14:paraId="726CACF7"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473 273</w:t>
            </w:r>
          </w:p>
        </w:tc>
        <w:tc>
          <w:tcPr>
            <w:tcW w:w="781" w:type="pct"/>
            <w:vAlign w:val="bottom"/>
          </w:tcPr>
          <w:p w14:paraId="4E346362"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cs="Times New Roman"/>
                <w:color w:val="auto"/>
                <w:sz w:val="21"/>
                <w:szCs w:val="21"/>
              </w:rPr>
              <w:t>50,93</w:t>
            </w:r>
          </w:p>
        </w:tc>
      </w:tr>
      <w:tr w:rsidR="00C801A6" w:rsidRPr="00C801A6" w14:paraId="67A14BB6" w14:textId="77777777" w:rsidTr="00347FDB">
        <w:trPr>
          <w:trHeight w:val="300"/>
        </w:trPr>
        <w:tc>
          <w:tcPr>
            <w:tcW w:w="1876" w:type="pct"/>
            <w:noWrap/>
            <w:hideMark/>
          </w:tcPr>
          <w:p w14:paraId="7F0B99EC" w14:textId="77777777" w:rsidR="00575CDF" w:rsidRPr="00C801A6" w:rsidRDefault="00575CDF" w:rsidP="00347FDB">
            <w:pPr>
              <w:spacing w:before="20" w:after="20" w:line="264"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BONGOLAVA</w:t>
            </w:r>
          </w:p>
        </w:tc>
        <w:tc>
          <w:tcPr>
            <w:tcW w:w="781" w:type="pct"/>
            <w:hideMark/>
          </w:tcPr>
          <w:p w14:paraId="7B1CE9CB"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670 993</w:t>
            </w:r>
          </w:p>
        </w:tc>
        <w:tc>
          <w:tcPr>
            <w:tcW w:w="781" w:type="pct"/>
            <w:hideMark/>
          </w:tcPr>
          <w:p w14:paraId="1F4202B7"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340 841</w:t>
            </w:r>
          </w:p>
        </w:tc>
        <w:tc>
          <w:tcPr>
            <w:tcW w:w="781" w:type="pct"/>
            <w:hideMark/>
          </w:tcPr>
          <w:p w14:paraId="426EE499"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330 152</w:t>
            </w:r>
          </w:p>
        </w:tc>
        <w:tc>
          <w:tcPr>
            <w:tcW w:w="781" w:type="pct"/>
            <w:vAlign w:val="bottom"/>
          </w:tcPr>
          <w:p w14:paraId="33448B50"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cs="Times New Roman"/>
                <w:color w:val="auto"/>
                <w:sz w:val="21"/>
                <w:szCs w:val="21"/>
              </w:rPr>
              <w:t>49,20</w:t>
            </w:r>
          </w:p>
        </w:tc>
      </w:tr>
      <w:tr w:rsidR="00C801A6" w:rsidRPr="00C801A6" w14:paraId="325D06F3" w14:textId="77777777" w:rsidTr="00347FDB">
        <w:trPr>
          <w:trHeight w:val="300"/>
        </w:trPr>
        <w:tc>
          <w:tcPr>
            <w:tcW w:w="1876" w:type="pct"/>
            <w:noWrap/>
            <w:hideMark/>
          </w:tcPr>
          <w:p w14:paraId="31E2622E" w14:textId="77777777" w:rsidR="00575CDF" w:rsidRPr="00C801A6" w:rsidRDefault="00575CDF" w:rsidP="00347FDB">
            <w:pPr>
              <w:spacing w:before="20" w:after="20" w:line="264"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lastRenderedPageBreak/>
              <w:t>DIANA</w:t>
            </w:r>
          </w:p>
        </w:tc>
        <w:tc>
          <w:tcPr>
            <w:tcW w:w="781" w:type="pct"/>
            <w:hideMark/>
          </w:tcPr>
          <w:p w14:paraId="54DD491D"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889 962</w:t>
            </w:r>
          </w:p>
        </w:tc>
        <w:tc>
          <w:tcPr>
            <w:tcW w:w="781" w:type="pct"/>
            <w:hideMark/>
          </w:tcPr>
          <w:p w14:paraId="484AC589"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432 977</w:t>
            </w:r>
          </w:p>
        </w:tc>
        <w:tc>
          <w:tcPr>
            <w:tcW w:w="781" w:type="pct"/>
            <w:hideMark/>
          </w:tcPr>
          <w:p w14:paraId="7788F71A"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456 985</w:t>
            </w:r>
          </w:p>
        </w:tc>
        <w:tc>
          <w:tcPr>
            <w:tcW w:w="781" w:type="pct"/>
            <w:vAlign w:val="bottom"/>
          </w:tcPr>
          <w:p w14:paraId="5C7C9495"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cs="Times New Roman"/>
                <w:color w:val="auto"/>
                <w:sz w:val="21"/>
                <w:szCs w:val="21"/>
              </w:rPr>
              <w:t>51,35</w:t>
            </w:r>
          </w:p>
        </w:tc>
      </w:tr>
      <w:tr w:rsidR="00C801A6" w:rsidRPr="00C801A6" w14:paraId="100A54B7" w14:textId="77777777" w:rsidTr="00347FDB">
        <w:trPr>
          <w:trHeight w:val="300"/>
        </w:trPr>
        <w:tc>
          <w:tcPr>
            <w:tcW w:w="1876" w:type="pct"/>
            <w:hideMark/>
          </w:tcPr>
          <w:p w14:paraId="35E0648E" w14:textId="77777777" w:rsidR="00575CDF" w:rsidRPr="00C801A6" w:rsidRDefault="00575CDF" w:rsidP="00347FDB">
            <w:pPr>
              <w:spacing w:before="20" w:after="20" w:line="264"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HAUTE MATSIATRA</w:t>
            </w:r>
          </w:p>
        </w:tc>
        <w:tc>
          <w:tcPr>
            <w:tcW w:w="781" w:type="pct"/>
            <w:hideMark/>
          </w:tcPr>
          <w:p w14:paraId="7C7E71FA"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1 444 587</w:t>
            </w:r>
          </w:p>
        </w:tc>
        <w:tc>
          <w:tcPr>
            <w:tcW w:w="781" w:type="pct"/>
            <w:hideMark/>
          </w:tcPr>
          <w:p w14:paraId="19E76E39"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714 484</w:t>
            </w:r>
          </w:p>
        </w:tc>
        <w:tc>
          <w:tcPr>
            <w:tcW w:w="781" w:type="pct"/>
            <w:hideMark/>
          </w:tcPr>
          <w:p w14:paraId="5E7C317C"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730 103</w:t>
            </w:r>
          </w:p>
        </w:tc>
        <w:tc>
          <w:tcPr>
            <w:tcW w:w="781" w:type="pct"/>
            <w:vAlign w:val="bottom"/>
          </w:tcPr>
          <w:p w14:paraId="5D834566"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cs="Times New Roman"/>
                <w:color w:val="auto"/>
                <w:sz w:val="21"/>
                <w:szCs w:val="21"/>
              </w:rPr>
              <w:t>50,54</w:t>
            </w:r>
          </w:p>
        </w:tc>
      </w:tr>
      <w:tr w:rsidR="00C801A6" w:rsidRPr="00C801A6" w14:paraId="11C23D78" w14:textId="77777777" w:rsidTr="00347FDB">
        <w:trPr>
          <w:trHeight w:val="300"/>
        </w:trPr>
        <w:tc>
          <w:tcPr>
            <w:tcW w:w="1876" w:type="pct"/>
            <w:noWrap/>
            <w:hideMark/>
          </w:tcPr>
          <w:p w14:paraId="7760B137" w14:textId="77777777" w:rsidR="00575CDF" w:rsidRPr="00C801A6" w:rsidRDefault="00575CDF" w:rsidP="00347FDB">
            <w:pPr>
              <w:spacing w:before="20" w:after="20" w:line="264"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IHOROMBE</w:t>
            </w:r>
          </w:p>
        </w:tc>
        <w:tc>
          <w:tcPr>
            <w:tcW w:w="781" w:type="pct"/>
            <w:hideMark/>
          </w:tcPr>
          <w:p w14:paraId="537B88C9"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417 312</w:t>
            </w:r>
          </w:p>
        </w:tc>
        <w:tc>
          <w:tcPr>
            <w:tcW w:w="781" w:type="pct"/>
            <w:hideMark/>
          </w:tcPr>
          <w:p w14:paraId="453B5FF6"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207 877</w:t>
            </w:r>
          </w:p>
        </w:tc>
        <w:tc>
          <w:tcPr>
            <w:tcW w:w="781" w:type="pct"/>
            <w:hideMark/>
          </w:tcPr>
          <w:p w14:paraId="11DD2B26"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209 435</w:t>
            </w:r>
          </w:p>
        </w:tc>
        <w:tc>
          <w:tcPr>
            <w:tcW w:w="781" w:type="pct"/>
            <w:vAlign w:val="bottom"/>
          </w:tcPr>
          <w:p w14:paraId="6CCD0EEB"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cs="Times New Roman"/>
                <w:color w:val="auto"/>
                <w:sz w:val="21"/>
                <w:szCs w:val="21"/>
              </w:rPr>
              <w:t>50,19</w:t>
            </w:r>
          </w:p>
        </w:tc>
      </w:tr>
      <w:tr w:rsidR="00C801A6" w:rsidRPr="00C801A6" w14:paraId="59C5AA77" w14:textId="77777777" w:rsidTr="00347FDB">
        <w:trPr>
          <w:trHeight w:val="300"/>
        </w:trPr>
        <w:tc>
          <w:tcPr>
            <w:tcW w:w="1876" w:type="pct"/>
            <w:noWrap/>
            <w:hideMark/>
          </w:tcPr>
          <w:p w14:paraId="63BCCDE1" w14:textId="77777777" w:rsidR="00575CDF" w:rsidRPr="00C801A6" w:rsidRDefault="00575CDF" w:rsidP="00347FDB">
            <w:pPr>
              <w:spacing w:before="20" w:after="20" w:line="264"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ITASY</w:t>
            </w:r>
          </w:p>
        </w:tc>
        <w:tc>
          <w:tcPr>
            <w:tcW w:w="781" w:type="pct"/>
            <w:hideMark/>
          </w:tcPr>
          <w:p w14:paraId="5D330DCC"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898 549</w:t>
            </w:r>
          </w:p>
        </w:tc>
        <w:tc>
          <w:tcPr>
            <w:tcW w:w="781" w:type="pct"/>
            <w:hideMark/>
          </w:tcPr>
          <w:p w14:paraId="0AA53BE1"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453 468</w:t>
            </w:r>
          </w:p>
        </w:tc>
        <w:tc>
          <w:tcPr>
            <w:tcW w:w="781" w:type="pct"/>
            <w:hideMark/>
          </w:tcPr>
          <w:p w14:paraId="7FF6E85F"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445 081</w:t>
            </w:r>
          </w:p>
        </w:tc>
        <w:tc>
          <w:tcPr>
            <w:tcW w:w="781" w:type="pct"/>
            <w:vAlign w:val="bottom"/>
          </w:tcPr>
          <w:p w14:paraId="3E3D8936"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cs="Times New Roman"/>
                <w:color w:val="auto"/>
                <w:sz w:val="21"/>
                <w:szCs w:val="21"/>
              </w:rPr>
              <w:t>49,53</w:t>
            </w:r>
          </w:p>
        </w:tc>
      </w:tr>
      <w:tr w:rsidR="00C801A6" w:rsidRPr="00C801A6" w14:paraId="2E31D0F6" w14:textId="77777777" w:rsidTr="00347FDB">
        <w:trPr>
          <w:trHeight w:val="300"/>
        </w:trPr>
        <w:tc>
          <w:tcPr>
            <w:tcW w:w="1876" w:type="pct"/>
            <w:noWrap/>
            <w:hideMark/>
          </w:tcPr>
          <w:p w14:paraId="0F298CDF" w14:textId="77777777" w:rsidR="00575CDF" w:rsidRPr="00C801A6" w:rsidRDefault="00575CDF" w:rsidP="00347FDB">
            <w:pPr>
              <w:spacing w:before="20" w:after="20" w:line="264"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MELAKY</w:t>
            </w:r>
          </w:p>
        </w:tc>
        <w:tc>
          <w:tcPr>
            <w:tcW w:w="781" w:type="pct"/>
            <w:hideMark/>
          </w:tcPr>
          <w:p w14:paraId="480E013B"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308 944</w:t>
            </w:r>
          </w:p>
        </w:tc>
        <w:tc>
          <w:tcPr>
            <w:tcW w:w="781" w:type="pct"/>
            <w:hideMark/>
          </w:tcPr>
          <w:p w14:paraId="5C521371"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153 120</w:t>
            </w:r>
          </w:p>
        </w:tc>
        <w:tc>
          <w:tcPr>
            <w:tcW w:w="781" w:type="pct"/>
            <w:hideMark/>
          </w:tcPr>
          <w:p w14:paraId="53C0BC2D"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155 824</w:t>
            </w:r>
          </w:p>
        </w:tc>
        <w:tc>
          <w:tcPr>
            <w:tcW w:w="781" w:type="pct"/>
            <w:vAlign w:val="bottom"/>
          </w:tcPr>
          <w:p w14:paraId="23FFFA4B"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cs="Times New Roman"/>
                <w:color w:val="auto"/>
                <w:sz w:val="21"/>
                <w:szCs w:val="21"/>
              </w:rPr>
              <w:t>50,44</w:t>
            </w:r>
          </w:p>
        </w:tc>
      </w:tr>
      <w:tr w:rsidR="00C801A6" w:rsidRPr="00C801A6" w14:paraId="0C68F9AA" w14:textId="77777777" w:rsidTr="00347FDB">
        <w:trPr>
          <w:trHeight w:val="300"/>
        </w:trPr>
        <w:tc>
          <w:tcPr>
            <w:tcW w:w="1876" w:type="pct"/>
            <w:noWrap/>
            <w:hideMark/>
          </w:tcPr>
          <w:p w14:paraId="482A2C4F" w14:textId="77777777" w:rsidR="00575CDF" w:rsidRPr="00C801A6" w:rsidRDefault="00575CDF" w:rsidP="00347FDB">
            <w:pPr>
              <w:spacing w:before="20" w:after="20" w:line="264"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MENABE</w:t>
            </w:r>
          </w:p>
        </w:tc>
        <w:tc>
          <w:tcPr>
            <w:tcW w:w="781" w:type="pct"/>
            <w:hideMark/>
          </w:tcPr>
          <w:p w14:paraId="14F29C5B"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692 463</w:t>
            </w:r>
          </w:p>
        </w:tc>
        <w:tc>
          <w:tcPr>
            <w:tcW w:w="781" w:type="pct"/>
            <w:hideMark/>
          </w:tcPr>
          <w:p w14:paraId="3A6517BD"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343 536</w:t>
            </w:r>
          </w:p>
        </w:tc>
        <w:tc>
          <w:tcPr>
            <w:tcW w:w="781" w:type="pct"/>
            <w:hideMark/>
          </w:tcPr>
          <w:p w14:paraId="534C8ED7"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348 927</w:t>
            </w:r>
          </w:p>
        </w:tc>
        <w:tc>
          <w:tcPr>
            <w:tcW w:w="781" w:type="pct"/>
            <w:vAlign w:val="bottom"/>
          </w:tcPr>
          <w:p w14:paraId="3B10BE80"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cs="Times New Roman"/>
                <w:color w:val="auto"/>
                <w:sz w:val="21"/>
                <w:szCs w:val="21"/>
              </w:rPr>
              <w:t>50,39</w:t>
            </w:r>
          </w:p>
        </w:tc>
      </w:tr>
      <w:tr w:rsidR="00C801A6" w:rsidRPr="00C801A6" w14:paraId="5292D40E" w14:textId="77777777" w:rsidTr="00347FDB">
        <w:trPr>
          <w:trHeight w:val="300"/>
        </w:trPr>
        <w:tc>
          <w:tcPr>
            <w:tcW w:w="1876" w:type="pct"/>
            <w:noWrap/>
            <w:hideMark/>
          </w:tcPr>
          <w:p w14:paraId="323E94F9" w14:textId="77777777" w:rsidR="00575CDF" w:rsidRPr="00C801A6" w:rsidRDefault="00575CDF" w:rsidP="00347FDB">
            <w:pPr>
              <w:spacing w:before="20" w:after="20" w:line="264"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SAVA</w:t>
            </w:r>
          </w:p>
        </w:tc>
        <w:tc>
          <w:tcPr>
            <w:tcW w:w="781" w:type="pct"/>
            <w:hideMark/>
          </w:tcPr>
          <w:p w14:paraId="25E5E05C"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1 123 772</w:t>
            </w:r>
          </w:p>
        </w:tc>
        <w:tc>
          <w:tcPr>
            <w:tcW w:w="781" w:type="pct"/>
            <w:hideMark/>
          </w:tcPr>
          <w:p w14:paraId="7EDD0355"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554 684</w:t>
            </w:r>
          </w:p>
        </w:tc>
        <w:tc>
          <w:tcPr>
            <w:tcW w:w="781" w:type="pct"/>
            <w:hideMark/>
          </w:tcPr>
          <w:p w14:paraId="7FD5D2E1"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569 088</w:t>
            </w:r>
          </w:p>
        </w:tc>
        <w:tc>
          <w:tcPr>
            <w:tcW w:w="781" w:type="pct"/>
            <w:vAlign w:val="bottom"/>
          </w:tcPr>
          <w:p w14:paraId="4907FD72"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cs="Times New Roman"/>
                <w:color w:val="auto"/>
                <w:sz w:val="21"/>
                <w:szCs w:val="21"/>
              </w:rPr>
              <w:t>50,64</w:t>
            </w:r>
          </w:p>
        </w:tc>
      </w:tr>
      <w:tr w:rsidR="00C801A6" w:rsidRPr="00C801A6" w14:paraId="4519EE18" w14:textId="77777777" w:rsidTr="00347FDB">
        <w:trPr>
          <w:trHeight w:val="300"/>
        </w:trPr>
        <w:tc>
          <w:tcPr>
            <w:tcW w:w="1876" w:type="pct"/>
            <w:noWrap/>
            <w:hideMark/>
          </w:tcPr>
          <w:p w14:paraId="65DE0E86" w14:textId="77777777" w:rsidR="00575CDF" w:rsidRPr="00C801A6" w:rsidRDefault="00575CDF" w:rsidP="00347FDB">
            <w:pPr>
              <w:spacing w:before="20" w:after="20" w:line="264"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SOFIA</w:t>
            </w:r>
          </w:p>
        </w:tc>
        <w:tc>
          <w:tcPr>
            <w:tcW w:w="781" w:type="pct"/>
            <w:hideMark/>
          </w:tcPr>
          <w:p w14:paraId="12E02B09"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1 507 591</w:t>
            </w:r>
          </w:p>
        </w:tc>
        <w:tc>
          <w:tcPr>
            <w:tcW w:w="781" w:type="pct"/>
            <w:hideMark/>
          </w:tcPr>
          <w:p w14:paraId="3CDFB184"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743 627</w:t>
            </w:r>
          </w:p>
        </w:tc>
        <w:tc>
          <w:tcPr>
            <w:tcW w:w="781" w:type="pct"/>
            <w:hideMark/>
          </w:tcPr>
          <w:p w14:paraId="6CA9E619"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763 964</w:t>
            </w:r>
          </w:p>
        </w:tc>
        <w:tc>
          <w:tcPr>
            <w:tcW w:w="781" w:type="pct"/>
            <w:vAlign w:val="bottom"/>
          </w:tcPr>
          <w:p w14:paraId="4CED426B"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cs="Times New Roman"/>
                <w:color w:val="auto"/>
                <w:sz w:val="21"/>
                <w:szCs w:val="21"/>
              </w:rPr>
              <w:t>50,67</w:t>
            </w:r>
          </w:p>
        </w:tc>
      </w:tr>
      <w:tr w:rsidR="00C801A6" w:rsidRPr="00C801A6" w14:paraId="2C099A01" w14:textId="77777777" w:rsidTr="00347FDB">
        <w:trPr>
          <w:trHeight w:val="300"/>
        </w:trPr>
        <w:tc>
          <w:tcPr>
            <w:tcW w:w="1876" w:type="pct"/>
            <w:noWrap/>
            <w:hideMark/>
          </w:tcPr>
          <w:p w14:paraId="0ECFE5CA" w14:textId="77777777" w:rsidR="00575CDF" w:rsidRPr="00C801A6" w:rsidRDefault="00575CDF" w:rsidP="00347FDB">
            <w:pPr>
              <w:spacing w:before="20" w:after="20" w:line="264"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VAKINANKARATRA</w:t>
            </w:r>
          </w:p>
        </w:tc>
        <w:tc>
          <w:tcPr>
            <w:tcW w:w="781" w:type="pct"/>
            <w:noWrap/>
            <w:hideMark/>
          </w:tcPr>
          <w:p w14:paraId="58AF2C68"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2 079 659</w:t>
            </w:r>
          </w:p>
        </w:tc>
        <w:tc>
          <w:tcPr>
            <w:tcW w:w="781" w:type="pct"/>
            <w:noWrap/>
            <w:hideMark/>
          </w:tcPr>
          <w:p w14:paraId="53476A32"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1 040 910</w:t>
            </w:r>
          </w:p>
        </w:tc>
        <w:tc>
          <w:tcPr>
            <w:tcW w:w="781" w:type="pct"/>
            <w:noWrap/>
            <w:hideMark/>
          </w:tcPr>
          <w:p w14:paraId="75C1E6E3"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1 038 749</w:t>
            </w:r>
          </w:p>
        </w:tc>
        <w:tc>
          <w:tcPr>
            <w:tcW w:w="781" w:type="pct"/>
            <w:vAlign w:val="bottom"/>
          </w:tcPr>
          <w:p w14:paraId="2AC393CB"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cs="Times New Roman"/>
                <w:color w:val="auto"/>
                <w:sz w:val="21"/>
                <w:szCs w:val="21"/>
              </w:rPr>
              <w:t>49,95</w:t>
            </w:r>
          </w:p>
        </w:tc>
      </w:tr>
      <w:tr w:rsidR="00C801A6" w:rsidRPr="00C801A6" w14:paraId="4AD29CBD" w14:textId="77777777" w:rsidTr="00347FDB">
        <w:trPr>
          <w:trHeight w:val="315"/>
        </w:trPr>
        <w:tc>
          <w:tcPr>
            <w:tcW w:w="1876" w:type="pct"/>
            <w:noWrap/>
            <w:hideMark/>
          </w:tcPr>
          <w:p w14:paraId="0765E83E" w14:textId="77777777" w:rsidR="00575CDF" w:rsidRPr="00C801A6" w:rsidRDefault="00575CDF" w:rsidP="00347FDB">
            <w:pPr>
              <w:spacing w:before="20" w:after="20" w:line="264" w:lineRule="auto"/>
              <w:rPr>
                <w:rFonts w:eastAsia="Times New Roman" w:cs="Times New Roman"/>
                <w:color w:val="auto"/>
                <w:sz w:val="21"/>
                <w:szCs w:val="21"/>
                <w:lang w:eastAsia="fr-FR"/>
              </w:rPr>
            </w:pPr>
            <w:r w:rsidRPr="00C801A6">
              <w:rPr>
                <w:rFonts w:eastAsia="Times New Roman" w:cs="Times New Roman"/>
                <w:color w:val="auto"/>
                <w:sz w:val="21"/>
                <w:szCs w:val="21"/>
                <w:lang w:eastAsia="fr-FR"/>
              </w:rPr>
              <w:t>VATOVAVY FITOVINANY</w:t>
            </w:r>
          </w:p>
        </w:tc>
        <w:tc>
          <w:tcPr>
            <w:tcW w:w="781" w:type="pct"/>
            <w:hideMark/>
          </w:tcPr>
          <w:p w14:paraId="6B8B37C3"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1 440 657</w:t>
            </w:r>
          </w:p>
        </w:tc>
        <w:tc>
          <w:tcPr>
            <w:tcW w:w="781" w:type="pct"/>
            <w:hideMark/>
          </w:tcPr>
          <w:p w14:paraId="56E7183E"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703 779</w:t>
            </w:r>
          </w:p>
        </w:tc>
        <w:tc>
          <w:tcPr>
            <w:tcW w:w="781" w:type="pct"/>
            <w:hideMark/>
          </w:tcPr>
          <w:p w14:paraId="7A99EBA5"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736 878</w:t>
            </w:r>
          </w:p>
        </w:tc>
        <w:tc>
          <w:tcPr>
            <w:tcW w:w="781" w:type="pct"/>
            <w:vAlign w:val="bottom"/>
          </w:tcPr>
          <w:p w14:paraId="7DF21312"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cs="Times New Roman"/>
                <w:color w:val="auto"/>
                <w:sz w:val="21"/>
                <w:szCs w:val="21"/>
              </w:rPr>
              <w:t>51,15</w:t>
            </w:r>
          </w:p>
        </w:tc>
      </w:tr>
      <w:tr w:rsidR="00C801A6" w:rsidRPr="00C801A6" w14:paraId="62A8B4E2" w14:textId="77777777" w:rsidTr="00347FDB">
        <w:trPr>
          <w:trHeight w:val="315"/>
        </w:trPr>
        <w:tc>
          <w:tcPr>
            <w:tcW w:w="1876" w:type="pct"/>
            <w:shd w:val="clear" w:color="auto" w:fill="DEEAF6" w:themeFill="accent5" w:themeFillTint="33"/>
            <w:hideMark/>
          </w:tcPr>
          <w:p w14:paraId="0CD3DA9A" w14:textId="77777777" w:rsidR="00575CDF" w:rsidRPr="00C801A6" w:rsidRDefault="00575CDF" w:rsidP="00347FDB">
            <w:pPr>
              <w:spacing w:before="20" w:after="20" w:line="264" w:lineRule="auto"/>
              <w:rPr>
                <w:rFonts w:eastAsia="Times New Roman" w:cs="Times New Roman"/>
                <w:b/>
                <w:bCs/>
                <w:color w:val="auto"/>
                <w:sz w:val="21"/>
                <w:szCs w:val="21"/>
                <w:lang w:eastAsia="fr-FR"/>
              </w:rPr>
            </w:pPr>
            <w:r w:rsidRPr="00C801A6">
              <w:rPr>
                <w:rFonts w:eastAsia="Times New Roman" w:cs="Times New Roman"/>
                <w:b/>
                <w:bCs/>
                <w:color w:val="auto"/>
                <w:sz w:val="21"/>
                <w:szCs w:val="21"/>
                <w:lang w:eastAsia="fr-FR"/>
              </w:rPr>
              <w:t>MADAGASCAR</w:t>
            </w:r>
          </w:p>
        </w:tc>
        <w:tc>
          <w:tcPr>
            <w:tcW w:w="781" w:type="pct"/>
            <w:shd w:val="clear" w:color="auto" w:fill="DEEAF6" w:themeFill="accent5" w:themeFillTint="33"/>
            <w:hideMark/>
          </w:tcPr>
          <w:p w14:paraId="3675F48D" w14:textId="77777777" w:rsidR="00575CDF" w:rsidRPr="00C801A6" w:rsidRDefault="00575CDF" w:rsidP="00347FDB">
            <w:pPr>
              <w:spacing w:before="20" w:after="20" w:line="264" w:lineRule="auto"/>
              <w:jc w:val="right"/>
              <w:rPr>
                <w:rFonts w:eastAsia="Times New Roman" w:cs="Times New Roman"/>
                <w:b/>
                <w:bCs/>
                <w:color w:val="auto"/>
                <w:sz w:val="21"/>
                <w:szCs w:val="21"/>
                <w:lang w:eastAsia="fr-FR"/>
              </w:rPr>
            </w:pPr>
            <w:r w:rsidRPr="00C801A6">
              <w:rPr>
                <w:rFonts w:eastAsia="Times New Roman" w:cs="Times New Roman"/>
                <w:b/>
                <w:bCs/>
                <w:color w:val="auto"/>
                <w:sz w:val="21"/>
                <w:szCs w:val="21"/>
                <w:lang w:eastAsia="fr-FR"/>
              </w:rPr>
              <w:t>25 674 196</w:t>
            </w:r>
          </w:p>
        </w:tc>
        <w:tc>
          <w:tcPr>
            <w:tcW w:w="781" w:type="pct"/>
            <w:shd w:val="clear" w:color="auto" w:fill="DEEAF6" w:themeFill="accent5" w:themeFillTint="33"/>
            <w:hideMark/>
          </w:tcPr>
          <w:p w14:paraId="66339E4F" w14:textId="77777777" w:rsidR="00575CDF" w:rsidRPr="00C801A6" w:rsidRDefault="00575CDF" w:rsidP="00347FDB">
            <w:pPr>
              <w:spacing w:before="20" w:after="20" w:line="264" w:lineRule="auto"/>
              <w:rPr>
                <w:rFonts w:eastAsia="Times New Roman" w:cs="Times New Roman"/>
                <w:b/>
                <w:bCs/>
                <w:color w:val="auto"/>
                <w:sz w:val="21"/>
                <w:szCs w:val="21"/>
                <w:lang w:eastAsia="fr-FR"/>
              </w:rPr>
            </w:pPr>
            <w:r w:rsidRPr="00C801A6">
              <w:rPr>
                <w:rFonts w:eastAsia="Times New Roman" w:cs="Times New Roman"/>
                <w:b/>
                <w:bCs/>
                <w:color w:val="auto"/>
                <w:sz w:val="21"/>
                <w:szCs w:val="21"/>
                <w:lang w:eastAsia="fr-FR"/>
              </w:rPr>
              <w:t>12 658 945</w:t>
            </w:r>
          </w:p>
        </w:tc>
        <w:tc>
          <w:tcPr>
            <w:tcW w:w="781" w:type="pct"/>
            <w:shd w:val="clear" w:color="auto" w:fill="DEEAF6" w:themeFill="accent5" w:themeFillTint="33"/>
            <w:hideMark/>
          </w:tcPr>
          <w:p w14:paraId="654D3BC7" w14:textId="77777777" w:rsidR="00575CDF" w:rsidRPr="00C801A6" w:rsidRDefault="00575CDF" w:rsidP="00347FDB">
            <w:pPr>
              <w:spacing w:before="20" w:after="20" w:line="264" w:lineRule="auto"/>
              <w:jc w:val="right"/>
              <w:rPr>
                <w:rFonts w:eastAsia="Times New Roman" w:cs="Times New Roman"/>
                <w:b/>
                <w:bCs/>
                <w:color w:val="auto"/>
                <w:sz w:val="21"/>
                <w:szCs w:val="21"/>
                <w:lang w:eastAsia="fr-FR"/>
              </w:rPr>
            </w:pPr>
            <w:r w:rsidRPr="00C801A6">
              <w:rPr>
                <w:rFonts w:eastAsia="Times New Roman" w:cs="Times New Roman"/>
                <w:b/>
                <w:bCs/>
                <w:color w:val="auto"/>
                <w:sz w:val="21"/>
                <w:szCs w:val="21"/>
                <w:lang w:eastAsia="fr-FR"/>
              </w:rPr>
              <w:t>13 015 251</w:t>
            </w:r>
          </w:p>
        </w:tc>
        <w:tc>
          <w:tcPr>
            <w:tcW w:w="781" w:type="pct"/>
            <w:shd w:val="clear" w:color="auto" w:fill="DEEAF6" w:themeFill="accent5" w:themeFillTint="33"/>
            <w:vAlign w:val="bottom"/>
          </w:tcPr>
          <w:p w14:paraId="5EFB1D87" w14:textId="77777777" w:rsidR="00575CDF" w:rsidRPr="00C801A6" w:rsidRDefault="00575CDF" w:rsidP="00347FDB">
            <w:pPr>
              <w:spacing w:before="20" w:after="20" w:line="264" w:lineRule="auto"/>
              <w:jc w:val="right"/>
              <w:rPr>
                <w:rFonts w:eastAsia="Times New Roman" w:cs="Times New Roman"/>
                <w:b/>
                <w:bCs/>
                <w:color w:val="auto"/>
                <w:sz w:val="21"/>
                <w:szCs w:val="21"/>
                <w:lang w:eastAsia="fr-FR"/>
              </w:rPr>
            </w:pPr>
            <w:r w:rsidRPr="00C801A6">
              <w:rPr>
                <w:rFonts w:cs="Times New Roman"/>
                <w:color w:val="auto"/>
                <w:sz w:val="21"/>
                <w:szCs w:val="21"/>
              </w:rPr>
              <w:t>50,69</w:t>
            </w:r>
          </w:p>
        </w:tc>
      </w:tr>
    </w:tbl>
    <w:p w14:paraId="7D303111" w14:textId="77777777" w:rsidR="00575CDF" w:rsidRPr="00C801A6" w:rsidRDefault="00575CDF" w:rsidP="00575CDF">
      <w:pPr>
        <w:spacing w:line="288" w:lineRule="auto"/>
        <w:ind w:left="567"/>
        <w:jc w:val="right"/>
        <w:rPr>
          <w:rFonts w:ascii="Book Antiqua" w:hAnsi="Book Antiqua" w:cs="Times New Roman"/>
          <w:i/>
          <w:iCs/>
          <w:color w:val="auto"/>
          <w:sz w:val="18"/>
          <w:szCs w:val="18"/>
        </w:rPr>
      </w:pPr>
      <w:r w:rsidRPr="00C801A6">
        <w:rPr>
          <w:rFonts w:ascii="Book Antiqua" w:hAnsi="Book Antiqua" w:cs="Times New Roman"/>
          <w:i/>
          <w:iCs/>
          <w:color w:val="auto"/>
          <w:sz w:val="18"/>
          <w:szCs w:val="18"/>
          <w:u w:val="single"/>
        </w:rPr>
        <w:t>Source</w:t>
      </w:r>
      <w:r w:rsidRPr="00C801A6">
        <w:rPr>
          <w:rFonts w:ascii="Book Antiqua" w:hAnsi="Book Antiqua" w:cs="Times New Roman"/>
          <w:i/>
          <w:iCs/>
          <w:color w:val="auto"/>
          <w:sz w:val="18"/>
          <w:szCs w:val="18"/>
        </w:rPr>
        <w:t xml:space="preserve"> : MDG - INSTAT – RGPH 2018</w:t>
      </w:r>
    </w:p>
    <w:p w14:paraId="3CD759C1" w14:textId="77777777" w:rsidR="00575CDF" w:rsidRPr="00C801A6" w:rsidRDefault="00575CDF" w:rsidP="00575CDF">
      <w:pPr>
        <w:rPr>
          <w:rFonts w:cs="Arial"/>
          <w:color w:val="auto"/>
        </w:rPr>
      </w:pPr>
      <w:r w:rsidRPr="00C801A6">
        <w:rPr>
          <w:rFonts w:cs="Arial"/>
          <w:color w:val="auto"/>
        </w:rPr>
        <w:t xml:space="preserve">La taille moyenne d’un ménage est de 4,2 personnes. Atsimo Atsinanana représente la plus grande taille de ménages avec 5,2 individus. Quatorze régions abritent des ménages dont la taille moyenne est comprise entre 4 et 4,9 individus. Les ménages présentant une taille inférieure à 4 personnes par ménage sont dans l’Analanjirofo (3,6) et l’Atsinanana (3,9) </w:t>
      </w:r>
      <w:r w:rsidRPr="00C801A6">
        <w:rPr>
          <w:rFonts w:cs="Arial"/>
          <w:color w:val="auto"/>
          <w:sz w:val="20"/>
          <w:szCs w:val="20"/>
        </w:rPr>
        <w:t>(</w:t>
      </w:r>
      <w:r w:rsidRPr="00C801A6">
        <w:rPr>
          <w:rFonts w:cs="Arial"/>
          <w:i/>
          <w:color w:val="auto"/>
          <w:sz w:val="20"/>
          <w:szCs w:val="20"/>
        </w:rPr>
        <w:t xml:space="preserve">Source : </w:t>
      </w:r>
      <w:r w:rsidRPr="00C801A6">
        <w:rPr>
          <w:rFonts w:cs="Arial"/>
          <w:i/>
          <w:iCs/>
          <w:color w:val="auto"/>
          <w:sz w:val="20"/>
          <w:szCs w:val="20"/>
        </w:rPr>
        <w:t>INSTAT, 2018)</w:t>
      </w:r>
    </w:p>
    <w:p w14:paraId="2C9B0F44" w14:textId="77777777" w:rsidR="00575CDF" w:rsidRPr="00C801A6" w:rsidRDefault="00575CDF" w:rsidP="00575CDF">
      <w:pPr>
        <w:rPr>
          <w:color w:val="auto"/>
        </w:rPr>
      </w:pPr>
      <w:r w:rsidRPr="00C801A6">
        <w:rPr>
          <w:rFonts w:cs="Arial"/>
          <w:color w:val="auto"/>
        </w:rPr>
        <w:t>Selon le milieu de résidence, 80,74% de la population réside en milieu rural et 19,24% en milieu urbain.</w:t>
      </w:r>
    </w:p>
    <w:p w14:paraId="53A5687D" w14:textId="72988611" w:rsidR="00575CDF" w:rsidRPr="00C801A6" w:rsidRDefault="006A5365" w:rsidP="006A5365">
      <w:pPr>
        <w:pStyle w:val="Caption"/>
        <w:rPr>
          <w:i/>
          <w:color w:val="auto"/>
        </w:rPr>
      </w:pPr>
      <w:bookmarkStart w:id="184" w:name="_Toc230427729"/>
      <w:r>
        <w:t xml:space="preserve">Tableau </w:t>
      </w:r>
      <w:r w:rsidR="00E44887">
        <w:fldChar w:fldCharType="begin"/>
      </w:r>
      <w:r w:rsidR="00E44887">
        <w:instrText xml:space="preserve"> SEQ Tableau \* ARABIC </w:instrText>
      </w:r>
      <w:r w:rsidR="00E44887">
        <w:fldChar w:fldCharType="separate"/>
      </w:r>
      <w:r w:rsidR="00253F1A">
        <w:rPr>
          <w:noProof/>
        </w:rPr>
        <w:t>9</w:t>
      </w:r>
      <w:r w:rsidR="00E44887">
        <w:rPr>
          <w:noProof/>
        </w:rPr>
        <w:fldChar w:fldCharType="end"/>
      </w:r>
      <w:r w:rsidR="00575CDF" w:rsidRPr="00C801A6">
        <w:rPr>
          <w:color w:val="auto"/>
        </w:rPr>
        <w:t> : Répartition de la population par région et zone de résidence</w:t>
      </w:r>
      <w:bookmarkEnd w:id="184"/>
    </w:p>
    <w:tbl>
      <w:tblPr>
        <w:tblW w:w="9010" w:type="dxa"/>
        <w:tblInd w:w="57" w:type="dxa"/>
        <w:tblLayout w:type="fixed"/>
        <w:tblCellMar>
          <w:left w:w="70" w:type="dxa"/>
          <w:right w:w="70" w:type="dxa"/>
        </w:tblCellMar>
        <w:tblLook w:val="04A0" w:firstRow="1" w:lastRow="0" w:firstColumn="1" w:lastColumn="0" w:noHBand="0" w:noVBand="1"/>
      </w:tblPr>
      <w:tblGrid>
        <w:gridCol w:w="2348"/>
        <w:gridCol w:w="1329"/>
        <w:gridCol w:w="1329"/>
        <w:gridCol w:w="1329"/>
        <w:gridCol w:w="1337"/>
        <w:gridCol w:w="1338"/>
      </w:tblGrid>
      <w:tr w:rsidR="00C801A6" w:rsidRPr="00C801A6" w14:paraId="7CFDD1FA" w14:textId="77777777" w:rsidTr="00347FDB">
        <w:trPr>
          <w:trHeight w:val="315"/>
          <w:tblHeader/>
        </w:trPr>
        <w:tc>
          <w:tcPr>
            <w:tcW w:w="2348"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0BA65383" w14:textId="77777777" w:rsidR="00575CDF" w:rsidRPr="00C801A6" w:rsidRDefault="00575CDF" w:rsidP="00347FDB">
            <w:pPr>
              <w:spacing w:before="20" w:after="20" w:line="264" w:lineRule="auto"/>
              <w:jc w:val="left"/>
              <w:rPr>
                <w:rFonts w:eastAsia="Times New Roman" w:cs="Times New Roman"/>
                <w:b/>
                <w:bCs/>
                <w:color w:val="auto"/>
                <w:sz w:val="18"/>
                <w:szCs w:val="18"/>
                <w:lang w:eastAsia="fr-FR"/>
              </w:rPr>
            </w:pPr>
            <w:r w:rsidRPr="00C801A6">
              <w:rPr>
                <w:rFonts w:eastAsia="Times New Roman" w:cs="Times New Roman"/>
                <w:b/>
                <w:bCs/>
                <w:color w:val="auto"/>
                <w:sz w:val="18"/>
                <w:szCs w:val="18"/>
                <w:lang w:eastAsia="fr-FR"/>
              </w:rPr>
              <w:t>REGION</w:t>
            </w:r>
          </w:p>
        </w:tc>
        <w:tc>
          <w:tcPr>
            <w:tcW w:w="3987"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06DE82BD" w14:textId="77777777" w:rsidR="00575CDF" w:rsidRPr="00C801A6" w:rsidRDefault="00575CDF" w:rsidP="00347FDB">
            <w:pPr>
              <w:spacing w:before="20" w:after="20" w:line="264" w:lineRule="auto"/>
              <w:jc w:val="center"/>
              <w:rPr>
                <w:rFonts w:eastAsia="Times New Roman" w:cs="Times New Roman"/>
                <w:b/>
                <w:bCs/>
                <w:color w:val="auto"/>
                <w:sz w:val="18"/>
                <w:szCs w:val="18"/>
                <w:lang w:eastAsia="fr-FR"/>
              </w:rPr>
            </w:pPr>
            <w:r w:rsidRPr="00C801A6">
              <w:rPr>
                <w:rFonts w:eastAsia="Times New Roman" w:cs="Times New Roman"/>
                <w:b/>
                <w:bCs/>
                <w:color w:val="auto"/>
                <w:sz w:val="18"/>
                <w:szCs w:val="18"/>
                <w:lang w:eastAsia="fr-FR"/>
              </w:rPr>
              <w:t>EFFECTIF</w:t>
            </w:r>
          </w:p>
        </w:tc>
        <w:tc>
          <w:tcPr>
            <w:tcW w:w="1337"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214A3E57" w14:textId="77777777" w:rsidR="00575CDF" w:rsidRPr="00C801A6" w:rsidRDefault="00575CDF" w:rsidP="00347FDB">
            <w:pPr>
              <w:spacing w:before="20" w:after="20" w:line="264" w:lineRule="auto"/>
              <w:jc w:val="center"/>
              <w:rPr>
                <w:rFonts w:eastAsia="Times New Roman" w:cs="Times New Roman"/>
                <w:b/>
                <w:bCs/>
                <w:color w:val="auto"/>
                <w:sz w:val="18"/>
                <w:szCs w:val="18"/>
                <w:lang w:eastAsia="fr-FR"/>
              </w:rPr>
            </w:pPr>
            <w:r w:rsidRPr="00C801A6">
              <w:rPr>
                <w:rFonts w:eastAsia="Times New Roman" w:cs="Times New Roman"/>
                <w:b/>
                <w:bCs/>
                <w:color w:val="auto"/>
                <w:sz w:val="18"/>
                <w:szCs w:val="18"/>
                <w:lang w:eastAsia="fr-FR"/>
              </w:rPr>
              <w:t>DENSITE</w:t>
            </w:r>
          </w:p>
        </w:tc>
        <w:tc>
          <w:tcPr>
            <w:tcW w:w="1338"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3846537E" w14:textId="77777777" w:rsidR="00575CDF" w:rsidRPr="00C801A6" w:rsidRDefault="00575CDF" w:rsidP="00347FDB">
            <w:pPr>
              <w:spacing w:before="20" w:after="20" w:line="264" w:lineRule="auto"/>
              <w:jc w:val="center"/>
              <w:rPr>
                <w:rFonts w:eastAsia="Times New Roman" w:cs="Times New Roman"/>
                <w:b/>
                <w:bCs/>
                <w:color w:val="auto"/>
                <w:sz w:val="18"/>
                <w:szCs w:val="18"/>
                <w:lang w:eastAsia="fr-FR"/>
              </w:rPr>
            </w:pPr>
            <w:r w:rsidRPr="00C801A6">
              <w:rPr>
                <w:rFonts w:eastAsia="Times New Roman" w:cs="Times New Roman"/>
                <w:b/>
                <w:bCs/>
                <w:color w:val="auto"/>
                <w:sz w:val="18"/>
                <w:szCs w:val="18"/>
                <w:lang w:eastAsia="fr-FR"/>
              </w:rPr>
              <w:t>TAILLE MENAGE</w:t>
            </w:r>
          </w:p>
        </w:tc>
      </w:tr>
      <w:tr w:rsidR="00C801A6" w:rsidRPr="00C801A6" w14:paraId="5638A280" w14:textId="77777777" w:rsidTr="00347FDB">
        <w:trPr>
          <w:trHeight w:val="270"/>
          <w:tblHeader/>
        </w:trPr>
        <w:tc>
          <w:tcPr>
            <w:tcW w:w="2348" w:type="dxa"/>
            <w:vMerge/>
            <w:tcBorders>
              <w:top w:val="single" w:sz="4" w:space="0" w:color="auto"/>
              <w:left w:val="single" w:sz="4" w:space="0" w:color="auto"/>
              <w:bottom w:val="single" w:sz="4" w:space="0" w:color="auto"/>
              <w:right w:val="single" w:sz="4" w:space="0" w:color="auto"/>
            </w:tcBorders>
            <w:vAlign w:val="center"/>
            <w:hideMark/>
          </w:tcPr>
          <w:p w14:paraId="306D4F6B" w14:textId="77777777" w:rsidR="00575CDF" w:rsidRPr="00C801A6" w:rsidRDefault="00575CDF" w:rsidP="00347FDB">
            <w:pPr>
              <w:spacing w:before="20" w:after="20" w:line="264" w:lineRule="auto"/>
              <w:rPr>
                <w:rFonts w:eastAsia="Times New Roman" w:cs="Times New Roman"/>
                <w:b/>
                <w:bCs/>
                <w:color w:val="auto"/>
                <w:sz w:val="21"/>
                <w:szCs w:val="21"/>
                <w:lang w:eastAsia="fr-FR"/>
              </w:rPr>
            </w:pPr>
          </w:p>
        </w:tc>
        <w:tc>
          <w:tcPr>
            <w:tcW w:w="1329"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6C8C8F6A" w14:textId="77777777" w:rsidR="00575CDF" w:rsidRPr="00C801A6" w:rsidRDefault="00575CDF" w:rsidP="00347FDB">
            <w:pPr>
              <w:spacing w:before="20" w:after="20" w:line="264" w:lineRule="auto"/>
              <w:jc w:val="center"/>
              <w:rPr>
                <w:rFonts w:eastAsia="Times New Roman" w:cs="Times New Roman"/>
                <w:b/>
                <w:bCs/>
                <w:color w:val="auto"/>
                <w:sz w:val="16"/>
                <w:szCs w:val="16"/>
                <w:lang w:eastAsia="fr-FR"/>
              </w:rPr>
            </w:pPr>
            <w:r w:rsidRPr="00C801A6">
              <w:rPr>
                <w:rFonts w:eastAsia="Times New Roman" w:cs="Times New Roman"/>
                <w:b/>
                <w:bCs/>
                <w:color w:val="auto"/>
                <w:sz w:val="16"/>
                <w:szCs w:val="16"/>
                <w:lang w:eastAsia="fr-FR"/>
              </w:rPr>
              <w:t>URBAIN</w:t>
            </w:r>
          </w:p>
        </w:tc>
        <w:tc>
          <w:tcPr>
            <w:tcW w:w="1329"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6766C3A6" w14:textId="77777777" w:rsidR="00575CDF" w:rsidRPr="00C801A6" w:rsidRDefault="00575CDF" w:rsidP="00347FDB">
            <w:pPr>
              <w:spacing w:before="20" w:after="20" w:line="264" w:lineRule="auto"/>
              <w:jc w:val="center"/>
              <w:rPr>
                <w:rFonts w:eastAsia="Times New Roman" w:cs="Times New Roman"/>
                <w:b/>
                <w:bCs/>
                <w:color w:val="auto"/>
                <w:sz w:val="16"/>
                <w:szCs w:val="16"/>
                <w:lang w:eastAsia="fr-FR"/>
              </w:rPr>
            </w:pPr>
            <w:r w:rsidRPr="00C801A6">
              <w:rPr>
                <w:rFonts w:eastAsia="Times New Roman" w:cs="Times New Roman"/>
                <w:b/>
                <w:bCs/>
                <w:color w:val="auto"/>
                <w:sz w:val="16"/>
                <w:szCs w:val="16"/>
                <w:lang w:eastAsia="fr-FR"/>
              </w:rPr>
              <w:t>RURAL</w:t>
            </w:r>
          </w:p>
        </w:tc>
        <w:tc>
          <w:tcPr>
            <w:tcW w:w="1329"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6C6CB81B" w14:textId="77777777" w:rsidR="00575CDF" w:rsidRPr="00C801A6" w:rsidRDefault="00575CDF" w:rsidP="00347FDB">
            <w:pPr>
              <w:spacing w:before="20" w:after="20" w:line="264" w:lineRule="auto"/>
              <w:jc w:val="center"/>
              <w:rPr>
                <w:rFonts w:eastAsia="Times New Roman" w:cs="Times New Roman"/>
                <w:b/>
                <w:bCs/>
                <w:color w:val="auto"/>
                <w:sz w:val="16"/>
                <w:szCs w:val="16"/>
                <w:lang w:eastAsia="fr-FR"/>
              </w:rPr>
            </w:pPr>
            <w:r w:rsidRPr="00C801A6">
              <w:rPr>
                <w:rFonts w:eastAsia="Times New Roman" w:cs="Times New Roman"/>
                <w:b/>
                <w:bCs/>
                <w:color w:val="auto"/>
                <w:sz w:val="16"/>
                <w:szCs w:val="16"/>
                <w:lang w:eastAsia="fr-FR"/>
              </w:rPr>
              <w:t>ENSEMBLE</w:t>
            </w:r>
          </w:p>
        </w:tc>
        <w:tc>
          <w:tcPr>
            <w:tcW w:w="1337" w:type="dxa"/>
            <w:vMerge/>
            <w:tcBorders>
              <w:top w:val="single" w:sz="4" w:space="0" w:color="auto"/>
              <w:left w:val="single" w:sz="4" w:space="0" w:color="auto"/>
              <w:bottom w:val="single" w:sz="4" w:space="0" w:color="auto"/>
              <w:right w:val="single" w:sz="4" w:space="0" w:color="auto"/>
            </w:tcBorders>
            <w:vAlign w:val="center"/>
            <w:hideMark/>
          </w:tcPr>
          <w:p w14:paraId="21DFC6DE" w14:textId="77777777" w:rsidR="00575CDF" w:rsidRPr="00C801A6" w:rsidRDefault="00575CDF" w:rsidP="00347FDB">
            <w:pPr>
              <w:spacing w:before="20" w:after="20" w:line="264" w:lineRule="auto"/>
              <w:rPr>
                <w:rFonts w:eastAsia="Times New Roman" w:cs="Times New Roman"/>
                <w:b/>
                <w:bCs/>
                <w:color w:val="auto"/>
                <w:sz w:val="21"/>
                <w:szCs w:val="21"/>
                <w:lang w:eastAsia="fr-FR"/>
              </w:rPr>
            </w:pPr>
          </w:p>
        </w:tc>
        <w:tc>
          <w:tcPr>
            <w:tcW w:w="1338" w:type="dxa"/>
            <w:vMerge/>
            <w:tcBorders>
              <w:top w:val="single" w:sz="4" w:space="0" w:color="auto"/>
              <w:left w:val="single" w:sz="4" w:space="0" w:color="auto"/>
              <w:bottom w:val="single" w:sz="4" w:space="0" w:color="auto"/>
              <w:right w:val="single" w:sz="4" w:space="0" w:color="auto"/>
            </w:tcBorders>
            <w:vAlign w:val="center"/>
            <w:hideMark/>
          </w:tcPr>
          <w:p w14:paraId="20DCEB39" w14:textId="77777777" w:rsidR="00575CDF" w:rsidRPr="00C801A6" w:rsidRDefault="00575CDF" w:rsidP="00347FDB">
            <w:pPr>
              <w:spacing w:before="20" w:after="20" w:line="264" w:lineRule="auto"/>
              <w:rPr>
                <w:rFonts w:eastAsia="Times New Roman" w:cs="Times New Roman"/>
                <w:b/>
                <w:bCs/>
                <w:color w:val="auto"/>
                <w:sz w:val="21"/>
                <w:szCs w:val="21"/>
                <w:lang w:eastAsia="fr-FR"/>
              </w:rPr>
            </w:pPr>
          </w:p>
        </w:tc>
      </w:tr>
      <w:tr w:rsidR="00C801A6" w:rsidRPr="00C801A6" w14:paraId="317C5C96" w14:textId="77777777" w:rsidTr="00347FDB">
        <w:trPr>
          <w:trHeight w:val="300"/>
        </w:trPr>
        <w:tc>
          <w:tcPr>
            <w:tcW w:w="2348" w:type="dxa"/>
            <w:tcBorders>
              <w:top w:val="single" w:sz="4" w:space="0" w:color="auto"/>
              <w:left w:val="single" w:sz="4" w:space="0" w:color="auto"/>
              <w:bottom w:val="single" w:sz="4" w:space="0" w:color="auto"/>
              <w:right w:val="single" w:sz="4" w:space="0" w:color="auto"/>
            </w:tcBorders>
            <w:shd w:val="clear" w:color="000000" w:fill="FFFFFF"/>
            <w:hideMark/>
          </w:tcPr>
          <w:p w14:paraId="55BEFC90" w14:textId="77777777" w:rsidR="00575CDF" w:rsidRPr="00C801A6" w:rsidRDefault="00575CDF" w:rsidP="00347FDB">
            <w:pPr>
              <w:spacing w:before="20" w:after="20" w:line="264" w:lineRule="auto"/>
              <w:rPr>
                <w:rFonts w:eastAsia="Times New Roman" w:cs="Times New Roman"/>
                <w:color w:val="auto"/>
                <w:sz w:val="18"/>
                <w:szCs w:val="18"/>
                <w:lang w:eastAsia="fr-FR"/>
              </w:rPr>
            </w:pPr>
            <w:r w:rsidRPr="00C801A6">
              <w:rPr>
                <w:rFonts w:eastAsia="Times New Roman" w:cs="Times New Roman"/>
                <w:color w:val="auto"/>
                <w:sz w:val="18"/>
                <w:szCs w:val="18"/>
                <w:lang w:eastAsia="fr-FR"/>
              </w:rPr>
              <w:t>ALAOTRA MANGORO</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1AEC0804"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175 261</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6BFC43EA"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1 074 670</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47C64644"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1 249 931</w:t>
            </w:r>
          </w:p>
        </w:tc>
        <w:tc>
          <w:tcPr>
            <w:tcW w:w="1337" w:type="dxa"/>
            <w:tcBorders>
              <w:top w:val="single" w:sz="4" w:space="0" w:color="auto"/>
              <w:left w:val="single" w:sz="4" w:space="0" w:color="auto"/>
              <w:bottom w:val="single" w:sz="4" w:space="0" w:color="auto"/>
              <w:right w:val="single" w:sz="4" w:space="0" w:color="auto"/>
            </w:tcBorders>
            <w:shd w:val="clear" w:color="000000" w:fill="FFFFFF"/>
            <w:hideMark/>
          </w:tcPr>
          <w:p w14:paraId="1C828C07"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44,9</w:t>
            </w:r>
          </w:p>
        </w:tc>
        <w:tc>
          <w:tcPr>
            <w:tcW w:w="1338" w:type="dxa"/>
            <w:tcBorders>
              <w:top w:val="single" w:sz="4" w:space="0" w:color="auto"/>
              <w:left w:val="single" w:sz="4" w:space="0" w:color="auto"/>
              <w:bottom w:val="single" w:sz="4" w:space="0" w:color="auto"/>
              <w:right w:val="single" w:sz="4" w:space="0" w:color="auto"/>
            </w:tcBorders>
            <w:noWrap/>
            <w:hideMark/>
          </w:tcPr>
          <w:p w14:paraId="57429C8B"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4,2</w:t>
            </w:r>
          </w:p>
        </w:tc>
      </w:tr>
      <w:tr w:rsidR="00C801A6" w:rsidRPr="00C801A6" w14:paraId="0C730490" w14:textId="77777777" w:rsidTr="00347FDB">
        <w:trPr>
          <w:trHeight w:val="255"/>
        </w:trPr>
        <w:tc>
          <w:tcPr>
            <w:tcW w:w="2348" w:type="dxa"/>
            <w:tcBorders>
              <w:top w:val="single" w:sz="4" w:space="0" w:color="auto"/>
              <w:left w:val="single" w:sz="4" w:space="0" w:color="auto"/>
              <w:bottom w:val="single" w:sz="4" w:space="0" w:color="auto"/>
              <w:right w:val="single" w:sz="4" w:space="0" w:color="auto"/>
            </w:tcBorders>
            <w:shd w:val="clear" w:color="000000" w:fill="FFFFFF"/>
            <w:hideMark/>
          </w:tcPr>
          <w:p w14:paraId="0AF8A30A" w14:textId="77777777" w:rsidR="00575CDF" w:rsidRPr="00C801A6" w:rsidRDefault="00575CDF" w:rsidP="00347FDB">
            <w:pPr>
              <w:spacing w:before="20" w:after="20" w:line="264" w:lineRule="auto"/>
              <w:rPr>
                <w:rFonts w:eastAsia="Times New Roman" w:cs="Times New Roman"/>
                <w:color w:val="auto"/>
                <w:sz w:val="18"/>
                <w:szCs w:val="18"/>
                <w:lang w:eastAsia="fr-FR"/>
              </w:rPr>
            </w:pPr>
            <w:r w:rsidRPr="00C801A6">
              <w:rPr>
                <w:rFonts w:eastAsia="Times New Roman" w:cs="Times New Roman"/>
                <w:color w:val="auto"/>
                <w:sz w:val="18"/>
                <w:szCs w:val="18"/>
                <w:lang w:eastAsia="fr-FR"/>
              </w:rPr>
              <w:t>AMORON’I MANIA</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7F93611D"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107 719</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5401955D"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729 397</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5BCBE621"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837 116</w:t>
            </w:r>
          </w:p>
        </w:tc>
        <w:tc>
          <w:tcPr>
            <w:tcW w:w="1337" w:type="dxa"/>
            <w:tcBorders>
              <w:top w:val="single" w:sz="4" w:space="0" w:color="auto"/>
              <w:left w:val="single" w:sz="4" w:space="0" w:color="auto"/>
              <w:bottom w:val="single" w:sz="4" w:space="0" w:color="auto"/>
              <w:right w:val="single" w:sz="4" w:space="0" w:color="auto"/>
            </w:tcBorders>
            <w:shd w:val="clear" w:color="000000" w:fill="FFFFFF"/>
            <w:hideMark/>
          </w:tcPr>
          <w:p w14:paraId="3848558F"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50,8</w:t>
            </w:r>
          </w:p>
        </w:tc>
        <w:tc>
          <w:tcPr>
            <w:tcW w:w="1338" w:type="dxa"/>
            <w:tcBorders>
              <w:top w:val="single" w:sz="4" w:space="0" w:color="auto"/>
              <w:left w:val="single" w:sz="4" w:space="0" w:color="auto"/>
              <w:bottom w:val="single" w:sz="4" w:space="0" w:color="auto"/>
              <w:right w:val="single" w:sz="4" w:space="0" w:color="auto"/>
            </w:tcBorders>
            <w:noWrap/>
            <w:hideMark/>
          </w:tcPr>
          <w:p w14:paraId="4A07130F"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4,8</w:t>
            </w:r>
          </w:p>
        </w:tc>
      </w:tr>
      <w:tr w:rsidR="00C801A6" w:rsidRPr="00C801A6" w14:paraId="11F38A3F" w14:textId="77777777" w:rsidTr="00347FDB">
        <w:trPr>
          <w:trHeight w:val="300"/>
        </w:trPr>
        <w:tc>
          <w:tcPr>
            <w:tcW w:w="2348" w:type="dxa"/>
            <w:tcBorders>
              <w:top w:val="single" w:sz="4" w:space="0" w:color="auto"/>
              <w:left w:val="single" w:sz="4" w:space="0" w:color="auto"/>
              <w:bottom w:val="single" w:sz="4" w:space="0" w:color="auto"/>
              <w:right w:val="single" w:sz="4" w:space="0" w:color="auto"/>
            </w:tcBorders>
            <w:shd w:val="clear" w:color="000000" w:fill="FFFFFF"/>
            <w:hideMark/>
          </w:tcPr>
          <w:p w14:paraId="3382C12F" w14:textId="77777777" w:rsidR="00575CDF" w:rsidRPr="00C801A6" w:rsidRDefault="00575CDF" w:rsidP="00347FDB">
            <w:pPr>
              <w:spacing w:before="20" w:after="20" w:line="264" w:lineRule="auto"/>
              <w:rPr>
                <w:rFonts w:eastAsia="Times New Roman" w:cs="Times New Roman"/>
                <w:color w:val="auto"/>
                <w:sz w:val="18"/>
                <w:szCs w:val="18"/>
                <w:lang w:eastAsia="fr-FR"/>
              </w:rPr>
            </w:pPr>
            <w:r w:rsidRPr="00C801A6">
              <w:rPr>
                <w:rFonts w:eastAsia="Times New Roman" w:cs="Times New Roman"/>
                <w:color w:val="auto"/>
                <w:sz w:val="18"/>
                <w:szCs w:val="18"/>
                <w:lang w:eastAsia="fr-FR"/>
              </w:rPr>
              <w:t>ANALAMANGA</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3A39FCBE"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1 371 135</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5DA1E89A"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2 252 790</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27654525"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3 623 925</w:t>
            </w:r>
          </w:p>
        </w:tc>
        <w:tc>
          <w:tcPr>
            <w:tcW w:w="1337" w:type="dxa"/>
            <w:tcBorders>
              <w:top w:val="single" w:sz="4" w:space="0" w:color="auto"/>
              <w:left w:val="single" w:sz="4" w:space="0" w:color="auto"/>
              <w:bottom w:val="single" w:sz="4" w:space="0" w:color="auto"/>
              <w:right w:val="single" w:sz="4" w:space="0" w:color="auto"/>
            </w:tcBorders>
            <w:shd w:val="clear" w:color="000000" w:fill="FFFFFF"/>
            <w:hideMark/>
          </w:tcPr>
          <w:p w14:paraId="731A772D"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208,9</w:t>
            </w:r>
          </w:p>
        </w:tc>
        <w:tc>
          <w:tcPr>
            <w:tcW w:w="1338" w:type="dxa"/>
            <w:tcBorders>
              <w:top w:val="single" w:sz="4" w:space="0" w:color="auto"/>
              <w:left w:val="single" w:sz="4" w:space="0" w:color="auto"/>
              <w:bottom w:val="single" w:sz="4" w:space="0" w:color="auto"/>
              <w:right w:val="single" w:sz="4" w:space="0" w:color="auto"/>
            </w:tcBorders>
            <w:noWrap/>
            <w:hideMark/>
          </w:tcPr>
          <w:p w14:paraId="595AF846"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4,0</w:t>
            </w:r>
          </w:p>
        </w:tc>
      </w:tr>
      <w:tr w:rsidR="00C801A6" w:rsidRPr="00C801A6" w14:paraId="1E102F47" w14:textId="77777777" w:rsidTr="00347FDB">
        <w:trPr>
          <w:trHeight w:val="255"/>
        </w:trPr>
        <w:tc>
          <w:tcPr>
            <w:tcW w:w="2348" w:type="dxa"/>
            <w:tcBorders>
              <w:top w:val="single" w:sz="4" w:space="0" w:color="auto"/>
              <w:left w:val="single" w:sz="4" w:space="0" w:color="auto"/>
              <w:bottom w:val="single" w:sz="4" w:space="0" w:color="auto"/>
              <w:right w:val="single" w:sz="4" w:space="0" w:color="auto"/>
            </w:tcBorders>
            <w:shd w:val="clear" w:color="000000" w:fill="FFFFFF"/>
            <w:hideMark/>
          </w:tcPr>
          <w:p w14:paraId="470B4D2E" w14:textId="77777777" w:rsidR="00575CDF" w:rsidRPr="00C801A6" w:rsidRDefault="00575CDF" w:rsidP="00347FDB">
            <w:pPr>
              <w:spacing w:before="20" w:after="20" w:line="264" w:lineRule="auto"/>
              <w:rPr>
                <w:rFonts w:eastAsia="Times New Roman" w:cs="Times New Roman"/>
                <w:color w:val="auto"/>
                <w:sz w:val="18"/>
                <w:szCs w:val="18"/>
                <w:lang w:eastAsia="fr-FR"/>
              </w:rPr>
            </w:pPr>
            <w:r w:rsidRPr="00C801A6">
              <w:rPr>
                <w:rFonts w:eastAsia="Times New Roman" w:cs="Times New Roman"/>
                <w:color w:val="auto"/>
                <w:sz w:val="18"/>
                <w:szCs w:val="18"/>
                <w:lang w:eastAsia="fr-FR"/>
              </w:rPr>
              <w:t>ANALANJIROFO</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179CC3B1"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181 983</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740C18F1"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968 106</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0F25C5DF"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1 150 089</w:t>
            </w:r>
          </w:p>
        </w:tc>
        <w:tc>
          <w:tcPr>
            <w:tcW w:w="1337" w:type="dxa"/>
            <w:tcBorders>
              <w:top w:val="single" w:sz="4" w:space="0" w:color="auto"/>
              <w:left w:val="single" w:sz="4" w:space="0" w:color="auto"/>
              <w:bottom w:val="single" w:sz="4" w:space="0" w:color="auto"/>
              <w:right w:val="single" w:sz="4" w:space="0" w:color="auto"/>
            </w:tcBorders>
            <w:shd w:val="clear" w:color="000000" w:fill="FFFFFF"/>
            <w:hideMark/>
          </w:tcPr>
          <w:p w14:paraId="3724BA47"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53,1</w:t>
            </w:r>
          </w:p>
        </w:tc>
        <w:tc>
          <w:tcPr>
            <w:tcW w:w="1338" w:type="dxa"/>
            <w:tcBorders>
              <w:top w:val="single" w:sz="4" w:space="0" w:color="auto"/>
              <w:left w:val="single" w:sz="4" w:space="0" w:color="auto"/>
              <w:bottom w:val="single" w:sz="4" w:space="0" w:color="auto"/>
              <w:right w:val="single" w:sz="4" w:space="0" w:color="auto"/>
            </w:tcBorders>
            <w:noWrap/>
            <w:hideMark/>
          </w:tcPr>
          <w:p w14:paraId="170B0D76"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3,6</w:t>
            </w:r>
          </w:p>
        </w:tc>
      </w:tr>
      <w:tr w:rsidR="00C801A6" w:rsidRPr="00C801A6" w14:paraId="129D188B" w14:textId="77777777" w:rsidTr="00347FDB">
        <w:trPr>
          <w:trHeight w:val="255"/>
        </w:trPr>
        <w:tc>
          <w:tcPr>
            <w:tcW w:w="2348" w:type="dxa"/>
            <w:tcBorders>
              <w:top w:val="single" w:sz="4" w:space="0" w:color="auto"/>
              <w:left w:val="single" w:sz="4" w:space="0" w:color="auto"/>
              <w:bottom w:val="single" w:sz="4" w:space="0" w:color="auto"/>
              <w:right w:val="single" w:sz="4" w:space="0" w:color="auto"/>
            </w:tcBorders>
            <w:shd w:val="clear" w:color="000000" w:fill="FFFFFF"/>
            <w:hideMark/>
          </w:tcPr>
          <w:p w14:paraId="6DF26E3D" w14:textId="77777777" w:rsidR="00575CDF" w:rsidRPr="00C801A6" w:rsidRDefault="00575CDF" w:rsidP="00347FDB">
            <w:pPr>
              <w:spacing w:before="20" w:after="20" w:line="264" w:lineRule="auto"/>
              <w:rPr>
                <w:rFonts w:eastAsia="Times New Roman" w:cs="Times New Roman"/>
                <w:color w:val="auto"/>
                <w:sz w:val="18"/>
                <w:szCs w:val="18"/>
                <w:lang w:eastAsia="fr-FR"/>
              </w:rPr>
            </w:pPr>
            <w:r w:rsidRPr="00C801A6">
              <w:rPr>
                <w:rFonts w:eastAsia="Times New Roman" w:cs="Times New Roman"/>
                <w:color w:val="auto"/>
                <w:sz w:val="18"/>
                <w:szCs w:val="18"/>
                <w:lang w:eastAsia="fr-FR"/>
              </w:rPr>
              <w:t>ANDROY</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087C03E3"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86 317</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18ADDA55"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813 918</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609DB190"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900 235</w:t>
            </w:r>
          </w:p>
        </w:tc>
        <w:tc>
          <w:tcPr>
            <w:tcW w:w="1337" w:type="dxa"/>
            <w:tcBorders>
              <w:top w:val="single" w:sz="4" w:space="0" w:color="auto"/>
              <w:left w:val="single" w:sz="4" w:space="0" w:color="auto"/>
              <w:bottom w:val="single" w:sz="4" w:space="0" w:color="auto"/>
              <w:right w:val="single" w:sz="4" w:space="0" w:color="auto"/>
            </w:tcBorders>
            <w:shd w:val="clear" w:color="000000" w:fill="FFFFFF"/>
            <w:hideMark/>
          </w:tcPr>
          <w:p w14:paraId="1CB1D47B"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47,5</w:t>
            </w:r>
          </w:p>
        </w:tc>
        <w:tc>
          <w:tcPr>
            <w:tcW w:w="1338" w:type="dxa"/>
            <w:tcBorders>
              <w:top w:val="single" w:sz="4" w:space="0" w:color="auto"/>
              <w:left w:val="single" w:sz="4" w:space="0" w:color="auto"/>
              <w:bottom w:val="single" w:sz="4" w:space="0" w:color="auto"/>
              <w:right w:val="single" w:sz="4" w:space="0" w:color="auto"/>
            </w:tcBorders>
            <w:noWrap/>
            <w:hideMark/>
          </w:tcPr>
          <w:p w14:paraId="6D312D20"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4,5</w:t>
            </w:r>
          </w:p>
        </w:tc>
      </w:tr>
      <w:tr w:rsidR="00C801A6" w:rsidRPr="00C801A6" w14:paraId="2587E7C5" w14:textId="77777777" w:rsidTr="00347FDB">
        <w:trPr>
          <w:trHeight w:val="255"/>
        </w:trPr>
        <w:tc>
          <w:tcPr>
            <w:tcW w:w="2348" w:type="dxa"/>
            <w:tcBorders>
              <w:top w:val="single" w:sz="4" w:space="0" w:color="auto"/>
              <w:left w:val="single" w:sz="4" w:space="0" w:color="auto"/>
              <w:bottom w:val="single" w:sz="4" w:space="0" w:color="auto"/>
              <w:right w:val="single" w:sz="4" w:space="0" w:color="auto"/>
            </w:tcBorders>
            <w:shd w:val="clear" w:color="000000" w:fill="FFFFFF"/>
            <w:hideMark/>
          </w:tcPr>
          <w:p w14:paraId="2FC33FF9" w14:textId="77777777" w:rsidR="00575CDF" w:rsidRPr="00C801A6" w:rsidRDefault="00575CDF" w:rsidP="00347FDB">
            <w:pPr>
              <w:spacing w:before="20" w:after="20" w:line="264" w:lineRule="auto"/>
              <w:rPr>
                <w:rFonts w:eastAsia="Times New Roman" w:cs="Times New Roman"/>
                <w:color w:val="auto"/>
                <w:sz w:val="18"/>
                <w:szCs w:val="18"/>
                <w:lang w:eastAsia="fr-FR"/>
              </w:rPr>
            </w:pPr>
            <w:r w:rsidRPr="00C801A6">
              <w:rPr>
                <w:rFonts w:eastAsia="Times New Roman" w:cs="Times New Roman"/>
                <w:color w:val="auto"/>
                <w:sz w:val="18"/>
                <w:szCs w:val="18"/>
                <w:lang w:eastAsia="fr-FR"/>
              </w:rPr>
              <w:t>ANOSY</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707A0520"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130 600</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14239C61"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678 451</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3533038A"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809 051</w:t>
            </w:r>
          </w:p>
        </w:tc>
        <w:tc>
          <w:tcPr>
            <w:tcW w:w="1337" w:type="dxa"/>
            <w:tcBorders>
              <w:top w:val="single" w:sz="4" w:space="0" w:color="auto"/>
              <w:left w:val="single" w:sz="4" w:space="0" w:color="auto"/>
              <w:bottom w:val="single" w:sz="4" w:space="0" w:color="auto"/>
              <w:right w:val="single" w:sz="4" w:space="0" w:color="auto"/>
            </w:tcBorders>
            <w:shd w:val="clear" w:color="000000" w:fill="FFFFFF"/>
            <w:hideMark/>
          </w:tcPr>
          <w:p w14:paraId="011B97DC"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27,4</w:t>
            </w:r>
          </w:p>
        </w:tc>
        <w:tc>
          <w:tcPr>
            <w:tcW w:w="1338" w:type="dxa"/>
            <w:tcBorders>
              <w:top w:val="single" w:sz="4" w:space="0" w:color="auto"/>
              <w:left w:val="single" w:sz="4" w:space="0" w:color="auto"/>
              <w:bottom w:val="single" w:sz="4" w:space="0" w:color="auto"/>
              <w:right w:val="single" w:sz="4" w:space="0" w:color="auto"/>
            </w:tcBorders>
            <w:noWrap/>
            <w:hideMark/>
          </w:tcPr>
          <w:p w14:paraId="1A9D746B"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4,3</w:t>
            </w:r>
          </w:p>
        </w:tc>
      </w:tr>
      <w:tr w:rsidR="00C801A6" w:rsidRPr="00C801A6" w14:paraId="1A81B71F" w14:textId="77777777" w:rsidTr="00347FDB">
        <w:trPr>
          <w:trHeight w:val="300"/>
        </w:trPr>
        <w:tc>
          <w:tcPr>
            <w:tcW w:w="2348" w:type="dxa"/>
            <w:tcBorders>
              <w:top w:val="single" w:sz="4" w:space="0" w:color="auto"/>
              <w:left w:val="single" w:sz="4" w:space="0" w:color="auto"/>
              <w:bottom w:val="single" w:sz="4" w:space="0" w:color="auto"/>
              <w:right w:val="single" w:sz="4" w:space="0" w:color="auto"/>
            </w:tcBorders>
            <w:shd w:val="clear" w:color="000000" w:fill="FFFFFF"/>
            <w:hideMark/>
          </w:tcPr>
          <w:p w14:paraId="69D326B3" w14:textId="77777777" w:rsidR="00575CDF" w:rsidRPr="00C801A6" w:rsidRDefault="00575CDF" w:rsidP="00347FDB">
            <w:pPr>
              <w:spacing w:before="20" w:after="20" w:line="264" w:lineRule="auto"/>
              <w:rPr>
                <w:rFonts w:eastAsia="Times New Roman" w:cs="Times New Roman"/>
                <w:color w:val="auto"/>
                <w:sz w:val="18"/>
                <w:szCs w:val="18"/>
                <w:lang w:eastAsia="fr-FR"/>
              </w:rPr>
            </w:pPr>
            <w:r w:rsidRPr="00C801A6">
              <w:rPr>
                <w:rFonts w:eastAsia="Times New Roman" w:cs="Times New Roman"/>
                <w:color w:val="auto"/>
                <w:sz w:val="18"/>
                <w:szCs w:val="18"/>
                <w:lang w:eastAsia="fr-FR"/>
              </w:rPr>
              <w:t>ATSIMO ANDREFANA</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64809713"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254 993</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3430A798"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1 542 901</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499A3714"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1 797 894</w:t>
            </w:r>
          </w:p>
        </w:tc>
        <w:tc>
          <w:tcPr>
            <w:tcW w:w="1337" w:type="dxa"/>
            <w:tcBorders>
              <w:top w:val="single" w:sz="4" w:space="0" w:color="auto"/>
              <w:left w:val="single" w:sz="4" w:space="0" w:color="auto"/>
              <w:bottom w:val="single" w:sz="4" w:space="0" w:color="auto"/>
              <w:right w:val="single" w:sz="4" w:space="0" w:color="auto"/>
            </w:tcBorders>
            <w:shd w:val="clear" w:color="000000" w:fill="FFFFFF"/>
            <w:hideMark/>
          </w:tcPr>
          <w:p w14:paraId="3C3FD155"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27</w:t>
            </w:r>
          </w:p>
        </w:tc>
        <w:tc>
          <w:tcPr>
            <w:tcW w:w="1338" w:type="dxa"/>
            <w:tcBorders>
              <w:top w:val="single" w:sz="4" w:space="0" w:color="auto"/>
              <w:left w:val="single" w:sz="4" w:space="0" w:color="auto"/>
              <w:bottom w:val="single" w:sz="4" w:space="0" w:color="auto"/>
              <w:right w:val="single" w:sz="4" w:space="0" w:color="auto"/>
            </w:tcBorders>
            <w:noWrap/>
            <w:hideMark/>
          </w:tcPr>
          <w:p w14:paraId="774E8643"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4,3</w:t>
            </w:r>
          </w:p>
        </w:tc>
      </w:tr>
      <w:tr w:rsidR="00C801A6" w:rsidRPr="00C801A6" w14:paraId="121F0F03" w14:textId="77777777" w:rsidTr="00347FDB">
        <w:trPr>
          <w:trHeight w:val="255"/>
        </w:trPr>
        <w:tc>
          <w:tcPr>
            <w:tcW w:w="2348" w:type="dxa"/>
            <w:tcBorders>
              <w:top w:val="single" w:sz="4" w:space="0" w:color="auto"/>
              <w:left w:val="single" w:sz="4" w:space="0" w:color="auto"/>
              <w:bottom w:val="single" w:sz="4" w:space="0" w:color="auto"/>
              <w:right w:val="single" w:sz="4" w:space="0" w:color="auto"/>
            </w:tcBorders>
            <w:shd w:val="clear" w:color="000000" w:fill="FFFFFF"/>
            <w:hideMark/>
          </w:tcPr>
          <w:p w14:paraId="7D5AE09F" w14:textId="77777777" w:rsidR="00575CDF" w:rsidRPr="00C801A6" w:rsidRDefault="00575CDF" w:rsidP="00347FDB">
            <w:pPr>
              <w:spacing w:before="20" w:after="20" w:line="264" w:lineRule="auto"/>
              <w:rPr>
                <w:rFonts w:eastAsia="Times New Roman" w:cs="Times New Roman"/>
                <w:color w:val="auto"/>
                <w:sz w:val="18"/>
                <w:szCs w:val="18"/>
                <w:lang w:eastAsia="fr-FR"/>
              </w:rPr>
            </w:pPr>
            <w:r w:rsidRPr="00C801A6">
              <w:rPr>
                <w:rFonts w:eastAsia="Times New Roman" w:cs="Times New Roman"/>
                <w:color w:val="auto"/>
                <w:sz w:val="18"/>
                <w:szCs w:val="18"/>
                <w:lang w:eastAsia="fr-FR"/>
              </w:rPr>
              <w:t>ATSIMO ATSINANANA</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22683517"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73 213</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12C97A9E"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957 191</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5671A8E8"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1 030 404</w:t>
            </w:r>
          </w:p>
        </w:tc>
        <w:tc>
          <w:tcPr>
            <w:tcW w:w="1337" w:type="dxa"/>
            <w:tcBorders>
              <w:top w:val="single" w:sz="4" w:space="0" w:color="auto"/>
              <w:left w:val="single" w:sz="4" w:space="0" w:color="auto"/>
              <w:bottom w:val="single" w:sz="4" w:space="0" w:color="auto"/>
              <w:right w:val="single" w:sz="4" w:space="0" w:color="auto"/>
            </w:tcBorders>
            <w:shd w:val="clear" w:color="000000" w:fill="FFFFFF"/>
            <w:hideMark/>
          </w:tcPr>
          <w:p w14:paraId="6169BE3F"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62</w:t>
            </w:r>
          </w:p>
        </w:tc>
        <w:tc>
          <w:tcPr>
            <w:tcW w:w="1338" w:type="dxa"/>
            <w:tcBorders>
              <w:top w:val="single" w:sz="4" w:space="0" w:color="auto"/>
              <w:left w:val="single" w:sz="4" w:space="0" w:color="auto"/>
              <w:bottom w:val="single" w:sz="4" w:space="0" w:color="auto"/>
              <w:right w:val="single" w:sz="4" w:space="0" w:color="auto"/>
            </w:tcBorders>
            <w:noWrap/>
            <w:hideMark/>
          </w:tcPr>
          <w:p w14:paraId="30B45B4B"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5,2</w:t>
            </w:r>
          </w:p>
        </w:tc>
      </w:tr>
      <w:tr w:rsidR="00C801A6" w:rsidRPr="00C801A6" w14:paraId="23A974CA" w14:textId="77777777" w:rsidTr="00347FDB">
        <w:trPr>
          <w:trHeight w:val="300"/>
        </w:trPr>
        <w:tc>
          <w:tcPr>
            <w:tcW w:w="2348" w:type="dxa"/>
            <w:tcBorders>
              <w:top w:val="single" w:sz="4" w:space="0" w:color="auto"/>
              <w:left w:val="single" w:sz="4" w:space="0" w:color="auto"/>
              <w:bottom w:val="single" w:sz="4" w:space="0" w:color="auto"/>
              <w:right w:val="single" w:sz="4" w:space="0" w:color="auto"/>
            </w:tcBorders>
            <w:shd w:val="clear" w:color="000000" w:fill="FFFFFF"/>
            <w:hideMark/>
          </w:tcPr>
          <w:p w14:paraId="4C8F937F" w14:textId="77777777" w:rsidR="00575CDF" w:rsidRPr="00C801A6" w:rsidRDefault="00575CDF" w:rsidP="00347FDB">
            <w:pPr>
              <w:spacing w:before="20" w:after="20" w:line="264" w:lineRule="auto"/>
              <w:rPr>
                <w:rFonts w:eastAsia="Times New Roman" w:cs="Times New Roman"/>
                <w:color w:val="auto"/>
                <w:sz w:val="18"/>
                <w:szCs w:val="18"/>
                <w:lang w:eastAsia="fr-FR"/>
              </w:rPr>
            </w:pPr>
            <w:r w:rsidRPr="00C801A6">
              <w:rPr>
                <w:rFonts w:eastAsia="Times New Roman" w:cs="Times New Roman"/>
                <w:color w:val="auto"/>
                <w:sz w:val="18"/>
                <w:szCs w:val="18"/>
                <w:lang w:eastAsia="fr-FR"/>
              </w:rPr>
              <w:t>ATSINANANA</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3B1A4BD3"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407 358</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7ADBAB93"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1 071 114</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58522302"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1 478 472</w:t>
            </w:r>
          </w:p>
        </w:tc>
        <w:tc>
          <w:tcPr>
            <w:tcW w:w="1337" w:type="dxa"/>
            <w:tcBorders>
              <w:top w:val="single" w:sz="4" w:space="0" w:color="auto"/>
              <w:left w:val="single" w:sz="4" w:space="0" w:color="auto"/>
              <w:bottom w:val="single" w:sz="4" w:space="0" w:color="auto"/>
              <w:right w:val="single" w:sz="4" w:space="0" w:color="auto"/>
            </w:tcBorders>
            <w:shd w:val="clear" w:color="000000" w:fill="FFFFFF"/>
            <w:hideMark/>
          </w:tcPr>
          <w:p w14:paraId="6215E043"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67,1</w:t>
            </w:r>
          </w:p>
        </w:tc>
        <w:tc>
          <w:tcPr>
            <w:tcW w:w="1338" w:type="dxa"/>
            <w:tcBorders>
              <w:top w:val="single" w:sz="4" w:space="0" w:color="auto"/>
              <w:left w:val="single" w:sz="4" w:space="0" w:color="auto"/>
              <w:bottom w:val="single" w:sz="4" w:space="0" w:color="auto"/>
              <w:right w:val="single" w:sz="4" w:space="0" w:color="auto"/>
            </w:tcBorders>
            <w:noWrap/>
            <w:hideMark/>
          </w:tcPr>
          <w:p w14:paraId="7C4950B0"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3,9</w:t>
            </w:r>
          </w:p>
        </w:tc>
      </w:tr>
      <w:tr w:rsidR="00C801A6" w:rsidRPr="00C801A6" w14:paraId="776D26C1" w14:textId="77777777" w:rsidTr="00347FDB">
        <w:trPr>
          <w:trHeight w:val="300"/>
        </w:trPr>
        <w:tc>
          <w:tcPr>
            <w:tcW w:w="2348" w:type="dxa"/>
            <w:tcBorders>
              <w:top w:val="single" w:sz="4" w:space="0" w:color="auto"/>
              <w:left w:val="single" w:sz="4" w:space="0" w:color="auto"/>
              <w:bottom w:val="single" w:sz="4" w:space="0" w:color="auto"/>
              <w:right w:val="single" w:sz="4" w:space="0" w:color="auto"/>
            </w:tcBorders>
            <w:shd w:val="clear" w:color="000000" w:fill="FFFFFF"/>
            <w:hideMark/>
          </w:tcPr>
          <w:p w14:paraId="36F21ECF" w14:textId="77777777" w:rsidR="00575CDF" w:rsidRPr="00C801A6" w:rsidRDefault="00575CDF" w:rsidP="00347FDB">
            <w:pPr>
              <w:spacing w:before="20" w:after="20" w:line="264" w:lineRule="auto"/>
              <w:rPr>
                <w:rFonts w:eastAsia="Times New Roman" w:cs="Times New Roman"/>
                <w:color w:val="auto"/>
                <w:sz w:val="18"/>
                <w:szCs w:val="18"/>
                <w:lang w:eastAsia="fr-FR"/>
              </w:rPr>
            </w:pPr>
            <w:r w:rsidRPr="00C801A6">
              <w:rPr>
                <w:rFonts w:eastAsia="Times New Roman" w:cs="Times New Roman"/>
                <w:color w:val="auto"/>
                <w:sz w:val="18"/>
                <w:szCs w:val="18"/>
                <w:lang w:eastAsia="fr-FR"/>
              </w:rPr>
              <w:t>BETSIBOKA</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0194B23C"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50 899</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408662C4"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342 379</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7E87D12B"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393 278</w:t>
            </w:r>
          </w:p>
        </w:tc>
        <w:tc>
          <w:tcPr>
            <w:tcW w:w="1337" w:type="dxa"/>
            <w:tcBorders>
              <w:top w:val="single" w:sz="4" w:space="0" w:color="auto"/>
              <w:left w:val="single" w:sz="4" w:space="0" w:color="auto"/>
              <w:bottom w:val="single" w:sz="4" w:space="0" w:color="auto"/>
              <w:right w:val="single" w:sz="4" w:space="0" w:color="auto"/>
            </w:tcBorders>
            <w:shd w:val="clear" w:color="000000" w:fill="FFFFFF"/>
            <w:hideMark/>
          </w:tcPr>
          <w:p w14:paraId="3B704D5E"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13,6</w:t>
            </w:r>
          </w:p>
        </w:tc>
        <w:tc>
          <w:tcPr>
            <w:tcW w:w="1338" w:type="dxa"/>
            <w:tcBorders>
              <w:top w:val="single" w:sz="4" w:space="0" w:color="auto"/>
              <w:left w:val="single" w:sz="4" w:space="0" w:color="auto"/>
              <w:bottom w:val="single" w:sz="4" w:space="0" w:color="auto"/>
              <w:right w:val="single" w:sz="4" w:space="0" w:color="auto"/>
            </w:tcBorders>
            <w:noWrap/>
            <w:hideMark/>
          </w:tcPr>
          <w:p w14:paraId="5E54D49B"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4,4</w:t>
            </w:r>
          </w:p>
        </w:tc>
      </w:tr>
      <w:tr w:rsidR="00C801A6" w:rsidRPr="00C801A6" w14:paraId="6EADDD6F" w14:textId="77777777" w:rsidTr="00347FDB">
        <w:trPr>
          <w:trHeight w:val="300"/>
        </w:trPr>
        <w:tc>
          <w:tcPr>
            <w:tcW w:w="2348" w:type="dxa"/>
            <w:tcBorders>
              <w:top w:val="single" w:sz="4" w:space="0" w:color="auto"/>
              <w:left w:val="single" w:sz="4" w:space="0" w:color="auto"/>
              <w:bottom w:val="single" w:sz="4" w:space="0" w:color="auto"/>
              <w:right w:val="single" w:sz="4" w:space="0" w:color="auto"/>
            </w:tcBorders>
            <w:shd w:val="clear" w:color="000000" w:fill="FFFFFF"/>
            <w:hideMark/>
          </w:tcPr>
          <w:p w14:paraId="3174C242" w14:textId="77777777" w:rsidR="00575CDF" w:rsidRPr="00C801A6" w:rsidRDefault="00575CDF" w:rsidP="00347FDB">
            <w:pPr>
              <w:spacing w:before="20" w:after="20" w:line="264" w:lineRule="auto"/>
              <w:rPr>
                <w:rFonts w:eastAsia="Times New Roman" w:cs="Times New Roman"/>
                <w:color w:val="auto"/>
                <w:sz w:val="18"/>
                <w:szCs w:val="18"/>
                <w:lang w:eastAsia="fr-FR"/>
              </w:rPr>
            </w:pPr>
            <w:r w:rsidRPr="00C801A6">
              <w:rPr>
                <w:rFonts w:eastAsia="Times New Roman" w:cs="Times New Roman"/>
                <w:color w:val="auto"/>
                <w:sz w:val="18"/>
                <w:szCs w:val="18"/>
                <w:lang w:eastAsia="fr-FR"/>
              </w:rPr>
              <w:t>BOENY</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674D3976"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333 096</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18A25BC1"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596 216</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27A6C691"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929 312</w:t>
            </w:r>
          </w:p>
        </w:tc>
        <w:tc>
          <w:tcPr>
            <w:tcW w:w="1337" w:type="dxa"/>
            <w:tcBorders>
              <w:top w:val="single" w:sz="4" w:space="0" w:color="auto"/>
              <w:left w:val="single" w:sz="4" w:space="0" w:color="auto"/>
              <w:bottom w:val="single" w:sz="4" w:space="0" w:color="auto"/>
              <w:right w:val="single" w:sz="4" w:space="0" w:color="auto"/>
            </w:tcBorders>
            <w:shd w:val="clear" w:color="000000" w:fill="FFFFFF"/>
            <w:hideMark/>
          </w:tcPr>
          <w:p w14:paraId="441C7F25"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29,7</w:t>
            </w:r>
          </w:p>
        </w:tc>
        <w:tc>
          <w:tcPr>
            <w:tcW w:w="1338" w:type="dxa"/>
            <w:tcBorders>
              <w:top w:val="single" w:sz="4" w:space="0" w:color="auto"/>
              <w:left w:val="single" w:sz="4" w:space="0" w:color="auto"/>
              <w:bottom w:val="single" w:sz="4" w:space="0" w:color="auto"/>
              <w:right w:val="single" w:sz="4" w:space="0" w:color="auto"/>
            </w:tcBorders>
            <w:noWrap/>
            <w:hideMark/>
          </w:tcPr>
          <w:p w14:paraId="14467973"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4,0</w:t>
            </w:r>
          </w:p>
        </w:tc>
      </w:tr>
      <w:tr w:rsidR="00C801A6" w:rsidRPr="00C801A6" w14:paraId="4190611F" w14:textId="77777777" w:rsidTr="00347FDB">
        <w:trPr>
          <w:trHeight w:val="255"/>
        </w:trPr>
        <w:tc>
          <w:tcPr>
            <w:tcW w:w="2348" w:type="dxa"/>
            <w:tcBorders>
              <w:top w:val="single" w:sz="4" w:space="0" w:color="auto"/>
              <w:left w:val="single" w:sz="4" w:space="0" w:color="auto"/>
              <w:bottom w:val="single" w:sz="4" w:space="0" w:color="auto"/>
              <w:right w:val="single" w:sz="4" w:space="0" w:color="auto"/>
            </w:tcBorders>
            <w:shd w:val="clear" w:color="000000" w:fill="FFFFFF"/>
            <w:hideMark/>
          </w:tcPr>
          <w:p w14:paraId="1F14CF0E" w14:textId="77777777" w:rsidR="00575CDF" w:rsidRPr="00C801A6" w:rsidRDefault="00575CDF" w:rsidP="00347FDB">
            <w:pPr>
              <w:spacing w:before="20" w:after="20" w:line="264" w:lineRule="auto"/>
              <w:rPr>
                <w:rFonts w:eastAsia="Times New Roman" w:cs="Times New Roman"/>
                <w:color w:val="auto"/>
                <w:sz w:val="18"/>
                <w:szCs w:val="18"/>
                <w:lang w:eastAsia="fr-FR"/>
              </w:rPr>
            </w:pPr>
            <w:r w:rsidRPr="00C801A6">
              <w:rPr>
                <w:rFonts w:eastAsia="Times New Roman" w:cs="Times New Roman"/>
                <w:color w:val="auto"/>
                <w:sz w:val="18"/>
                <w:szCs w:val="18"/>
                <w:lang w:eastAsia="fr-FR"/>
              </w:rPr>
              <w:t>BONGOLAVA</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7C581CEE"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44 461</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5B5AD64A"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626 532</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46DBAA3A"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670 993</w:t>
            </w:r>
          </w:p>
        </w:tc>
        <w:tc>
          <w:tcPr>
            <w:tcW w:w="1337" w:type="dxa"/>
            <w:tcBorders>
              <w:top w:val="single" w:sz="4" w:space="0" w:color="auto"/>
              <w:left w:val="single" w:sz="4" w:space="0" w:color="auto"/>
              <w:bottom w:val="single" w:sz="4" w:space="0" w:color="auto"/>
              <w:right w:val="single" w:sz="4" w:space="0" w:color="auto"/>
            </w:tcBorders>
            <w:shd w:val="clear" w:color="000000" w:fill="FFFFFF"/>
            <w:hideMark/>
          </w:tcPr>
          <w:p w14:paraId="741E48A3"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37,1</w:t>
            </w:r>
          </w:p>
        </w:tc>
        <w:tc>
          <w:tcPr>
            <w:tcW w:w="1338" w:type="dxa"/>
            <w:tcBorders>
              <w:top w:val="single" w:sz="4" w:space="0" w:color="auto"/>
              <w:left w:val="single" w:sz="4" w:space="0" w:color="auto"/>
              <w:bottom w:val="single" w:sz="4" w:space="0" w:color="auto"/>
              <w:right w:val="single" w:sz="4" w:space="0" w:color="auto"/>
            </w:tcBorders>
            <w:noWrap/>
            <w:hideMark/>
          </w:tcPr>
          <w:p w14:paraId="48D57FB0"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4,5</w:t>
            </w:r>
          </w:p>
        </w:tc>
      </w:tr>
      <w:tr w:rsidR="00C801A6" w:rsidRPr="00C801A6" w14:paraId="00556A92" w14:textId="77777777" w:rsidTr="00347FDB">
        <w:trPr>
          <w:trHeight w:val="300"/>
        </w:trPr>
        <w:tc>
          <w:tcPr>
            <w:tcW w:w="2348" w:type="dxa"/>
            <w:tcBorders>
              <w:top w:val="single" w:sz="4" w:space="0" w:color="auto"/>
              <w:left w:val="single" w:sz="4" w:space="0" w:color="auto"/>
              <w:bottom w:val="single" w:sz="4" w:space="0" w:color="auto"/>
              <w:right w:val="single" w:sz="4" w:space="0" w:color="auto"/>
            </w:tcBorders>
            <w:shd w:val="clear" w:color="000000" w:fill="FFFFFF"/>
            <w:hideMark/>
          </w:tcPr>
          <w:p w14:paraId="5AEAC876" w14:textId="77777777" w:rsidR="00575CDF" w:rsidRPr="00C801A6" w:rsidRDefault="00575CDF" w:rsidP="00347FDB">
            <w:pPr>
              <w:spacing w:before="20" w:after="20" w:line="264" w:lineRule="auto"/>
              <w:rPr>
                <w:rFonts w:eastAsia="Times New Roman" w:cs="Times New Roman"/>
                <w:color w:val="auto"/>
                <w:sz w:val="18"/>
                <w:szCs w:val="18"/>
                <w:lang w:eastAsia="fr-FR"/>
              </w:rPr>
            </w:pPr>
            <w:r w:rsidRPr="00C801A6">
              <w:rPr>
                <w:rFonts w:eastAsia="Times New Roman" w:cs="Times New Roman"/>
                <w:color w:val="auto"/>
                <w:sz w:val="18"/>
                <w:szCs w:val="18"/>
                <w:lang w:eastAsia="fr-FR"/>
              </w:rPr>
              <w:t>DIANA</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7C194DC6"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302 238</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71C9AF3F"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587 724</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6154E9B6"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889 962</w:t>
            </w:r>
          </w:p>
        </w:tc>
        <w:tc>
          <w:tcPr>
            <w:tcW w:w="1337" w:type="dxa"/>
            <w:tcBorders>
              <w:top w:val="single" w:sz="4" w:space="0" w:color="auto"/>
              <w:left w:val="single" w:sz="4" w:space="0" w:color="auto"/>
              <w:bottom w:val="single" w:sz="4" w:space="0" w:color="auto"/>
              <w:right w:val="single" w:sz="4" w:space="0" w:color="auto"/>
            </w:tcBorders>
            <w:shd w:val="clear" w:color="000000" w:fill="FFFFFF"/>
            <w:hideMark/>
          </w:tcPr>
          <w:p w14:paraId="1196E5A1"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44,5</w:t>
            </w:r>
          </w:p>
        </w:tc>
        <w:tc>
          <w:tcPr>
            <w:tcW w:w="1338" w:type="dxa"/>
            <w:tcBorders>
              <w:top w:val="single" w:sz="4" w:space="0" w:color="auto"/>
              <w:left w:val="single" w:sz="4" w:space="0" w:color="auto"/>
              <w:bottom w:val="single" w:sz="4" w:space="0" w:color="auto"/>
              <w:right w:val="single" w:sz="4" w:space="0" w:color="auto"/>
            </w:tcBorders>
            <w:noWrap/>
            <w:hideMark/>
          </w:tcPr>
          <w:p w14:paraId="64F4044A"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4</w:t>
            </w:r>
          </w:p>
        </w:tc>
      </w:tr>
      <w:tr w:rsidR="00C801A6" w:rsidRPr="00C801A6" w14:paraId="780407B3" w14:textId="77777777" w:rsidTr="00347FDB">
        <w:trPr>
          <w:trHeight w:val="300"/>
        </w:trPr>
        <w:tc>
          <w:tcPr>
            <w:tcW w:w="2348" w:type="dxa"/>
            <w:tcBorders>
              <w:top w:val="single" w:sz="4" w:space="0" w:color="auto"/>
              <w:left w:val="single" w:sz="4" w:space="0" w:color="auto"/>
              <w:bottom w:val="single" w:sz="4" w:space="0" w:color="auto"/>
              <w:right w:val="single" w:sz="4" w:space="0" w:color="auto"/>
            </w:tcBorders>
            <w:shd w:val="clear" w:color="000000" w:fill="FFFFFF"/>
            <w:hideMark/>
          </w:tcPr>
          <w:p w14:paraId="67E614CA" w14:textId="77777777" w:rsidR="00575CDF" w:rsidRPr="00C801A6" w:rsidRDefault="00575CDF" w:rsidP="00347FDB">
            <w:pPr>
              <w:spacing w:before="20" w:after="20" w:line="264" w:lineRule="auto"/>
              <w:rPr>
                <w:rFonts w:eastAsia="Times New Roman" w:cs="Times New Roman"/>
                <w:color w:val="auto"/>
                <w:sz w:val="18"/>
                <w:szCs w:val="18"/>
                <w:lang w:eastAsia="fr-FR"/>
              </w:rPr>
            </w:pPr>
            <w:r w:rsidRPr="00C801A6">
              <w:rPr>
                <w:rFonts w:eastAsia="Times New Roman" w:cs="Times New Roman"/>
                <w:color w:val="auto"/>
                <w:sz w:val="18"/>
                <w:szCs w:val="18"/>
                <w:lang w:eastAsia="fr-FR"/>
              </w:rPr>
              <w:t>HAUTE MATSIATRA</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00B87A9B"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246 613</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4044396A"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1 197 974</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145B7EB0"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1 444 587</w:t>
            </w:r>
          </w:p>
        </w:tc>
        <w:tc>
          <w:tcPr>
            <w:tcW w:w="1337" w:type="dxa"/>
            <w:tcBorders>
              <w:top w:val="single" w:sz="4" w:space="0" w:color="auto"/>
              <w:left w:val="single" w:sz="4" w:space="0" w:color="auto"/>
              <w:bottom w:val="single" w:sz="4" w:space="0" w:color="auto"/>
              <w:right w:val="single" w:sz="4" w:space="0" w:color="auto"/>
            </w:tcBorders>
            <w:shd w:val="clear" w:color="000000" w:fill="FFFFFF"/>
            <w:hideMark/>
          </w:tcPr>
          <w:p w14:paraId="1517E973"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69,4</w:t>
            </w:r>
          </w:p>
        </w:tc>
        <w:tc>
          <w:tcPr>
            <w:tcW w:w="1338" w:type="dxa"/>
            <w:tcBorders>
              <w:top w:val="single" w:sz="4" w:space="0" w:color="auto"/>
              <w:left w:val="single" w:sz="4" w:space="0" w:color="auto"/>
              <w:bottom w:val="single" w:sz="4" w:space="0" w:color="auto"/>
              <w:right w:val="single" w:sz="4" w:space="0" w:color="auto"/>
            </w:tcBorders>
            <w:noWrap/>
            <w:hideMark/>
          </w:tcPr>
          <w:p w14:paraId="5163AD81"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4,5</w:t>
            </w:r>
          </w:p>
        </w:tc>
      </w:tr>
      <w:tr w:rsidR="00C801A6" w:rsidRPr="00C801A6" w14:paraId="2F71E0FC" w14:textId="77777777" w:rsidTr="00347FDB">
        <w:trPr>
          <w:trHeight w:val="255"/>
        </w:trPr>
        <w:tc>
          <w:tcPr>
            <w:tcW w:w="2348" w:type="dxa"/>
            <w:tcBorders>
              <w:top w:val="single" w:sz="4" w:space="0" w:color="auto"/>
              <w:left w:val="single" w:sz="4" w:space="0" w:color="auto"/>
              <w:bottom w:val="single" w:sz="4" w:space="0" w:color="auto"/>
              <w:right w:val="single" w:sz="4" w:space="0" w:color="auto"/>
            </w:tcBorders>
            <w:shd w:val="clear" w:color="000000" w:fill="FFFFFF"/>
            <w:hideMark/>
          </w:tcPr>
          <w:p w14:paraId="4DA85610" w14:textId="77777777" w:rsidR="00575CDF" w:rsidRPr="00C801A6" w:rsidRDefault="00575CDF" w:rsidP="00347FDB">
            <w:pPr>
              <w:spacing w:before="20" w:after="20" w:line="264" w:lineRule="auto"/>
              <w:rPr>
                <w:rFonts w:eastAsia="Times New Roman" w:cs="Times New Roman"/>
                <w:color w:val="auto"/>
                <w:sz w:val="18"/>
                <w:szCs w:val="18"/>
                <w:lang w:eastAsia="fr-FR"/>
              </w:rPr>
            </w:pPr>
            <w:r w:rsidRPr="00C801A6">
              <w:rPr>
                <w:rFonts w:eastAsia="Times New Roman" w:cs="Times New Roman"/>
                <w:color w:val="auto"/>
                <w:sz w:val="18"/>
                <w:szCs w:val="18"/>
                <w:lang w:eastAsia="fr-FR"/>
              </w:rPr>
              <w:t>IHOROMBE</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4DFA7D5A"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39 556</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1DA7C1DC"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377 756</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47C4D86F"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417 312</w:t>
            </w:r>
          </w:p>
        </w:tc>
        <w:tc>
          <w:tcPr>
            <w:tcW w:w="1337" w:type="dxa"/>
            <w:tcBorders>
              <w:top w:val="single" w:sz="4" w:space="0" w:color="auto"/>
              <w:left w:val="single" w:sz="4" w:space="0" w:color="auto"/>
              <w:bottom w:val="single" w:sz="4" w:space="0" w:color="auto"/>
              <w:right w:val="single" w:sz="4" w:space="0" w:color="auto"/>
            </w:tcBorders>
            <w:shd w:val="clear" w:color="000000" w:fill="FFFFFF"/>
            <w:hideMark/>
          </w:tcPr>
          <w:p w14:paraId="65AFE70C"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16</w:t>
            </w:r>
          </w:p>
        </w:tc>
        <w:tc>
          <w:tcPr>
            <w:tcW w:w="1338" w:type="dxa"/>
            <w:tcBorders>
              <w:top w:val="single" w:sz="4" w:space="0" w:color="auto"/>
              <w:left w:val="single" w:sz="4" w:space="0" w:color="auto"/>
              <w:bottom w:val="single" w:sz="4" w:space="0" w:color="auto"/>
              <w:right w:val="single" w:sz="4" w:space="0" w:color="auto"/>
            </w:tcBorders>
            <w:noWrap/>
            <w:hideMark/>
          </w:tcPr>
          <w:p w14:paraId="283FB790"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4,6</w:t>
            </w:r>
          </w:p>
        </w:tc>
      </w:tr>
      <w:tr w:rsidR="00C801A6" w:rsidRPr="00C801A6" w14:paraId="455B0644" w14:textId="77777777" w:rsidTr="00347FDB">
        <w:trPr>
          <w:trHeight w:val="255"/>
        </w:trPr>
        <w:tc>
          <w:tcPr>
            <w:tcW w:w="2348" w:type="dxa"/>
            <w:tcBorders>
              <w:top w:val="single" w:sz="4" w:space="0" w:color="auto"/>
              <w:left w:val="single" w:sz="4" w:space="0" w:color="auto"/>
              <w:bottom w:val="single" w:sz="4" w:space="0" w:color="auto"/>
              <w:right w:val="single" w:sz="4" w:space="0" w:color="auto"/>
            </w:tcBorders>
            <w:shd w:val="clear" w:color="000000" w:fill="FFFFFF"/>
            <w:hideMark/>
          </w:tcPr>
          <w:p w14:paraId="3ED0FCF0" w14:textId="77777777" w:rsidR="00575CDF" w:rsidRPr="00C801A6" w:rsidRDefault="00575CDF" w:rsidP="00347FDB">
            <w:pPr>
              <w:spacing w:before="20" w:after="20" w:line="264" w:lineRule="auto"/>
              <w:rPr>
                <w:rFonts w:eastAsia="Times New Roman" w:cs="Times New Roman"/>
                <w:color w:val="auto"/>
                <w:sz w:val="18"/>
                <w:szCs w:val="18"/>
                <w:lang w:eastAsia="fr-FR"/>
              </w:rPr>
            </w:pPr>
            <w:r w:rsidRPr="00C801A6">
              <w:rPr>
                <w:rFonts w:eastAsia="Times New Roman" w:cs="Times New Roman"/>
                <w:color w:val="auto"/>
                <w:sz w:val="18"/>
                <w:szCs w:val="18"/>
                <w:lang w:eastAsia="fr-FR"/>
              </w:rPr>
              <w:t>ITASY</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72845169"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151 431</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59341B42"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747 118</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3F06A564"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898 549</w:t>
            </w:r>
          </w:p>
        </w:tc>
        <w:tc>
          <w:tcPr>
            <w:tcW w:w="1337" w:type="dxa"/>
            <w:tcBorders>
              <w:top w:val="single" w:sz="4" w:space="0" w:color="auto"/>
              <w:left w:val="single" w:sz="4" w:space="0" w:color="auto"/>
              <w:bottom w:val="single" w:sz="4" w:space="0" w:color="auto"/>
              <w:right w:val="single" w:sz="4" w:space="0" w:color="auto"/>
            </w:tcBorders>
            <w:shd w:val="clear" w:color="000000" w:fill="FFFFFF"/>
            <w:hideMark/>
          </w:tcPr>
          <w:p w14:paraId="7D03D52D"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136,6</w:t>
            </w:r>
          </w:p>
        </w:tc>
        <w:tc>
          <w:tcPr>
            <w:tcW w:w="1338" w:type="dxa"/>
            <w:tcBorders>
              <w:top w:val="single" w:sz="4" w:space="0" w:color="auto"/>
              <w:left w:val="single" w:sz="4" w:space="0" w:color="auto"/>
              <w:bottom w:val="single" w:sz="4" w:space="0" w:color="auto"/>
              <w:right w:val="single" w:sz="4" w:space="0" w:color="auto"/>
            </w:tcBorders>
            <w:noWrap/>
            <w:hideMark/>
          </w:tcPr>
          <w:p w14:paraId="1716161D"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4,4</w:t>
            </w:r>
          </w:p>
        </w:tc>
      </w:tr>
      <w:tr w:rsidR="00C801A6" w:rsidRPr="00C801A6" w14:paraId="7C87C6E6" w14:textId="77777777" w:rsidTr="00347FDB">
        <w:trPr>
          <w:trHeight w:val="255"/>
        </w:trPr>
        <w:tc>
          <w:tcPr>
            <w:tcW w:w="2348" w:type="dxa"/>
            <w:tcBorders>
              <w:top w:val="single" w:sz="4" w:space="0" w:color="auto"/>
              <w:left w:val="single" w:sz="4" w:space="0" w:color="auto"/>
              <w:bottom w:val="single" w:sz="4" w:space="0" w:color="auto"/>
              <w:right w:val="single" w:sz="4" w:space="0" w:color="auto"/>
            </w:tcBorders>
            <w:shd w:val="clear" w:color="000000" w:fill="FFFFFF"/>
            <w:hideMark/>
          </w:tcPr>
          <w:p w14:paraId="500C2D3A" w14:textId="77777777" w:rsidR="00575CDF" w:rsidRPr="00C801A6" w:rsidRDefault="00575CDF" w:rsidP="00347FDB">
            <w:pPr>
              <w:spacing w:before="20" w:after="20" w:line="264" w:lineRule="auto"/>
              <w:rPr>
                <w:rFonts w:eastAsia="Times New Roman" w:cs="Times New Roman"/>
                <w:color w:val="auto"/>
                <w:sz w:val="18"/>
                <w:szCs w:val="18"/>
                <w:lang w:eastAsia="fr-FR"/>
              </w:rPr>
            </w:pPr>
            <w:r w:rsidRPr="00C801A6">
              <w:rPr>
                <w:rFonts w:eastAsia="Times New Roman" w:cs="Times New Roman"/>
                <w:color w:val="auto"/>
                <w:sz w:val="18"/>
                <w:szCs w:val="18"/>
                <w:lang w:eastAsia="fr-FR"/>
              </w:rPr>
              <w:t>MELAKY</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7E2FF1B1"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33 624</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10581B86"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275 320</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1F249FD9"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308 944</w:t>
            </w:r>
          </w:p>
        </w:tc>
        <w:tc>
          <w:tcPr>
            <w:tcW w:w="1337" w:type="dxa"/>
            <w:tcBorders>
              <w:top w:val="single" w:sz="4" w:space="0" w:color="auto"/>
              <w:left w:val="single" w:sz="4" w:space="0" w:color="auto"/>
              <w:bottom w:val="single" w:sz="4" w:space="0" w:color="auto"/>
              <w:right w:val="single" w:sz="4" w:space="0" w:color="auto"/>
            </w:tcBorders>
            <w:shd w:val="clear" w:color="000000" w:fill="FFFFFF"/>
            <w:hideMark/>
          </w:tcPr>
          <w:p w14:paraId="5B151C33"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7,6</w:t>
            </w:r>
          </w:p>
        </w:tc>
        <w:tc>
          <w:tcPr>
            <w:tcW w:w="1338" w:type="dxa"/>
            <w:tcBorders>
              <w:top w:val="single" w:sz="4" w:space="0" w:color="auto"/>
              <w:left w:val="single" w:sz="4" w:space="0" w:color="auto"/>
              <w:bottom w:val="single" w:sz="4" w:space="0" w:color="auto"/>
              <w:right w:val="single" w:sz="4" w:space="0" w:color="auto"/>
            </w:tcBorders>
            <w:noWrap/>
            <w:hideMark/>
          </w:tcPr>
          <w:p w14:paraId="53E7BE99"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4,4</w:t>
            </w:r>
          </w:p>
        </w:tc>
      </w:tr>
      <w:tr w:rsidR="00C801A6" w:rsidRPr="00C801A6" w14:paraId="482BB13B" w14:textId="77777777" w:rsidTr="00347FDB">
        <w:trPr>
          <w:trHeight w:val="255"/>
        </w:trPr>
        <w:tc>
          <w:tcPr>
            <w:tcW w:w="2348" w:type="dxa"/>
            <w:tcBorders>
              <w:top w:val="single" w:sz="4" w:space="0" w:color="auto"/>
              <w:left w:val="single" w:sz="4" w:space="0" w:color="auto"/>
              <w:bottom w:val="single" w:sz="4" w:space="0" w:color="auto"/>
              <w:right w:val="single" w:sz="4" w:space="0" w:color="auto"/>
            </w:tcBorders>
            <w:shd w:val="clear" w:color="000000" w:fill="FFFFFF"/>
            <w:hideMark/>
          </w:tcPr>
          <w:p w14:paraId="7FE66527" w14:textId="77777777" w:rsidR="00575CDF" w:rsidRPr="00C801A6" w:rsidRDefault="00575CDF" w:rsidP="00347FDB">
            <w:pPr>
              <w:spacing w:before="20" w:after="20" w:line="264" w:lineRule="auto"/>
              <w:rPr>
                <w:rFonts w:eastAsia="Times New Roman" w:cs="Times New Roman"/>
                <w:color w:val="auto"/>
                <w:sz w:val="18"/>
                <w:szCs w:val="18"/>
                <w:lang w:eastAsia="fr-FR"/>
              </w:rPr>
            </w:pPr>
            <w:r w:rsidRPr="00C801A6">
              <w:rPr>
                <w:rFonts w:eastAsia="Times New Roman" w:cs="Times New Roman"/>
                <w:color w:val="auto"/>
                <w:sz w:val="18"/>
                <w:szCs w:val="18"/>
                <w:lang w:eastAsia="fr-FR"/>
              </w:rPr>
              <w:t>MENABE</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44C39642"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112 218</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1E683D04"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580 245</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1FF99088"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692 463</w:t>
            </w:r>
          </w:p>
        </w:tc>
        <w:tc>
          <w:tcPr>
            <w:tcW w:w="1337" w:type="dxa"/>
            <w:tcBorders>
              <w:top w:val="single" w:sz="4" w:space="0" w:color="auto"/>
              <w:left w:val="single" w:sz="4" w:space="0" w:color="auto"/>
              <w:bottom w:val="single" w:sz="4" w:space="0" w:color="auto"/>
              <w:right w:val="single" w:sz="4" w:space="0" w:color="auto"/>
            </w:tcBorders>
            <w:shd w:val="clear" w:color="000000" w:fill="FFFFFF"/>
            <w:hideMark/>
          </w:tcPr>
          <w:p w14:paraId="442A6F39"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14,2</w:t>
            </w:r>
          </w:p>
        </w:tc>
        <w:tc>
          <w:tcPr>
            <w:tcW w:w="1338" w:type="dxa"/>
            <w:tcBorders>
              <w:top w:val="single" w:sz="4" w:space="0" w:color="auto"/>
              <w:left w:val="single" w:sz="4" w:space="0" w:color="auto"/>
              <w:bottom w:val="single" w:sz="4" w:space="0" w:color="auto"/>
              <w:right w:val="single" w:sz="4" w:space="0" w:color="auto"/>
            </w:tcBorders>
            <w:noWrap/>
            <w:hideMark/>
          </w:tcPr>
          <w:p w14:paraId="2AF9B1EE"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4,3</w:t>
            </w:r>
          </w:p>
        </w:tc>
      </w:tr>
      <w:tr w:rsidR="00C801A6" w:rsidRPr="00C801A6" w14:paraId="486A00A2" w14:textId="77777777" w:rsidTr="00347FDB">
        <w:trPr>
          <w:trHeight w:val="255"/>
        </w:trPr>
        <w:tc>
          <w:tcPr>
            <w:tcW w:w="2348" w:type="dxa"/>
            <w:tcBorders>
              <w:top w:val="single" w:sz="4" w:space="0" w:color="auto"/>
              <w:left w:val="single" w:sz="4" w:space="0" w:color="auto"/>
              <w:bottom w:val="single" w:sz="4" w:space="0" w:color="auto"/>
              <w:right w:val="single" w:sz="4" w:space="0" w:color="auto"/>
            </w:tcBorders>
            <w:shd w:val="clear" w:color="000000" w:fill="FFFFFF"/>
            <w:hideMark/>
          </w:tcPr>
          <w:p w14:paraId="4F3AFFFF" w14:textId="77777777" w:rsidR="00575CDF" w:rsidRPr="00C801A6" w:rsidRDefault="00575CDF" w:rsidP="00347FDB">
            <w:pPr>
              <w:spacing w:before="20" w:after="20" w:line="264" w:lineRule="auto"/>
              <w:rPr>
                <w:rFonts w:eastAsia="Times New Roman" w:cs="Times New Roman"/>
                <w:color w:val="auto"/>
                <w:sz w:val="18"/>
                <w:szCs w:val="18"/>
                <w:lang w:eastAsia="fr-FR"/>
              </w:rPr>
            </w:pPr>
            <w:r w:rsidRPr="00C801A6">
              <w:rPr>
                <w:rFonts w:eastAsia="Times New Roman" w:cs="Times New Roman"/>
                <w:color w:val="auto"/>
                <w:sz w:val="18"/>
                <w:szCs w:val="18"/>
                <w:lang w:eastAsia="fr-FR"/>
              </w:rPr>
              <w:t>SAVA</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257BB221"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208 590</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156D6353"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915 182</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208817A2"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1 123 772</w:t>
            </w:r>
          </w:p>
        </w:tc>
        <w:tc>
          <w:tcPr>
            <w:tcW w:w="1337" w:type="dxa"/>
            <w:tcBorders>
              <w:top w:val="single" w:sz="4" w:space="0" w:color="auto"/>
              <w:left w:val="single" w:sz="4" w:space="0" w:color="auto"/>
              <w:bottom w:val="single" w:sz="4" w:space="0" w:color="auto"/>
              <w:right w:val="single" w:sz="4" w:space="0" w:color="auto"/>
            </w:tcBorders>
            <w:shd w:val="clear" w:color="000000" w:fill="FFFFFF"/>
            <w:hideMark/>
          </w:tcPr>
          <w:p w14:paraId="1FFF6956"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47,2</w:t>
            </w:r>
          </w:p>
        </w:tc>
        <w:tc>
          <w:tcPr>
            <w:tcW w:w="1338" w:type="dxa"/>
            <w:tcBorders>
              <w:top w:val="single" w:sz="4" w:space="0" w:color="auto"/>
              <w:left w:val="single" w:sz="4" w:space="0" w:color="auto"/>
              <w:bottom w:val="single" w:sz="4" w:space="0" w:color="auto"/>
              <w:right w:val="single" w:sz="4" w:space="0" w:color="auto"/>
            </w:tcBorders>
            <w:noWrap/>
            <w:hideMark/>
          </w:tcPr>
          <w:p w14:paraId="2478C6A9"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4,3</w:t>
            </w:r>
          </w:p>
        </w:tc>
      </w:tr>
      <w:tr w:rsidR="00C801A6" w:rsidRPr="00C801A6" w14:paraId="2C4F21A1" w14:textId="77777777" w:rsidTr="00347FDB">
        <w:trPr>
          <w:trHeight w:val="300"/>
        </w:trPr>
        <w:tc>
          <w:tcPr>
            <w:tcW w:w="2348" w:type="dxa"/>
            <w:tcBorders>
              <w:top w:val="single" w:sz="4" w:space="0" w:color="auto"/>
              <w:left w:val="single" w:sz="4" w:space="0" w:color="auto"/>
              <w:bottom w:val="single" w:sz="4" w:space="0" w:color="auto"/>
              <w:right w:val="single" w:sz="4" w:space="0" w:color="auto"/>
            </w:tcBorders>
            <w:shd w:val="clear" w:color="000000" w:fill="FFFFFF"/>
            <w:hideMark/>
          </w:tcPr>
          <w:p w14:paraId="25A72C62" w14:textId="77777777" w:rsidR="00575CDF" w:rsidRPr="00C801A6" w:rsidRDefault="00575CDF" w:rsidP="00347FDB">
            <w:pPr>
              <w:spacing w:before="20" w:after="20" w:line="264" w:lineRule="auto"/>
              <w:rPr>
                <w:rFonts w:eastAsia="Times New Roman" w:cs="Times New Roman"/>
                <w:color w:val="auto"/>
                <w:sz w:val="18"/>
                <w:szCs w:val="18"/>
                <w:lang w:eastAsia="fr-FR"/>
              </w:rPr>
            </w:pPr>
            <w:r w:rsidRPr="00C801A6">
              <w:rPr>
                <w:rFonts w:eastAsia="Times New Roman" w:cs="Times New Roman"/>
                <w:color w:val="auto"/>
                <w:sz w:val="18"/>
                <w:szCs w:val="18"/>
                <w:lang w:eastAsia="fr-FR"/>
              </w:rPr>
              <w:lastRenderedPageBreak/>
              <w:t>SOFIA</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195E63CD"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182 041</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55276BCA"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1 325 550</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645F06B0"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1 507 591</w:t>
            </w:r>
          </w:p>
        </w:tc>
        <w:tc>
          <w:tcPr>
            <w:tcW w:w="1337" w:type="dxa"/>
            <w:tcBorders>
              <w:top w:val="single" w:sz="4" w:space="0" w:color="auto"/>
              <w:left w:val="single" w:sz="4" w:space="0" w:color="auto"/>
              <w:bottom w:val="single" w:sz="4" w:space="0" w:color="auto"/>
              <w:right w:val="single" w:sz="4" w:space="0" w:color="auto"/>
            </w:tcBorders>
            <w:shd w:val="clear" w:color="000000" w:fill="FFFFFF"/>
            <w:hideMark/>
          </w:tcPr>
          <w:p w14:paraId="2C9073C4"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29,6</w:t>
            </w:r>
          </w:p>
        </w:tc>
        <w:tc>
          <w:tcPr>
            <w:tcW w:w="1338" w:type="dxa"/>
            <w:tcBorders>
              <w:top w:val="single" w:sz="4" w:space="0" w:color="auto"/>
              <w:left w:val="single" w:sz="4" w:space="0" w:color="auto"/>
              <w:bottom w:val="single" w:sz="4" w:space="0" w:color="auto"/>
              <w:right w:val="single" w:sz="4" w:space="0" w:color="auto"/>
            </w:tcBorders>
            <w:noWrap/>
            <w:hideMark/>
          </w:tcPr>
          <w:p w14:paraId="3CB5FA46"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4,0</w:t>
            </w:r>
          </w:p>
        </w:tc>
      </w:tr>
      <w:tr w:rsidR="00C801A6" w:rsidRPr="00C801A6" w14:paraId="1499A010" w14:textId="77777777" w:rsidTr="00347FDB">
        <w:trPr>
          <w:trHeight w:val="300"/>
        </w:trPr>
        <w:tc>
          <w:tcPr>
            <w:tcW w:w="2348" w:type="dxa"/>
            <w:tcBorders>
              <w:top w:val="single" w:sz="4" w:space="0" w:color="auto"/>
              <w:left w:val="single" w:sz="4" w:space="0" w:color="auto"/>
              <w:bottom w:val="single" w:sz="4" w:space="0" w:color="auto"/>
              <w:right w:val="single" w:sz="4" w:space="0" w:color="auto"/>
            </w:tcBorders>
            <w:shd w:val="clear" w:color="000000" w:fill="FFFFFF"/>
            <w:hideMark/>
          </w:tcPr>
          <w:p w14:paraId="72C9DAED" w14:textId="77777777" w:rsidR="00575CDF" w:rsidRPr="00C801A6" w:rsidRDefault="00575CDF" w:rsidP="00347FDB">
            <w:pPr>
              <w:spacing w:before="20" w:after="20" w:line="264" w:lineRule="auto"/>
              <w:rPr>
                <w:rFonts w:eastAsia="Times New Roman" w:cs="Times New Roman"/>
                <w:color w:val="auto"/>
                <w:sz w:val="18"/>
                <w:szCs w:val="18"/>
                <w:lang w:eastAsia="fr-FR"/>
              </w:rPr>
            </w:pPr>
            <w:r w:rsidRPr="00C801A6">
              <w:rPr>
                <w:rFonts w:eastAsia="Times New Roman" w:cs="Times New Roman"/>
                <w:color w:val="auto"/>
                <w:sz w:val="18"/>
                <w:szCs w:val="18"/>
                <w:lang w:eastAsia="fr-FR"/>
              </w:rPr>
              <w:t>VAKINANKARATRA</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44E0B434"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312 981</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7B6DFD56"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1 766 678</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459CD343"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2 079 659</w:t>
            </w:r>
          </w:p>
        </w:tc>
        <w:tc>
          <w:tcPr>
            <w:tcW w:w="1337" w:type="dxa"/>
            <w:tcBorders>
              <w:top w:val="single" w:sz="4" w:space="0" w:color="auto"/>
              <w:left w:val="single" w:sz="4" w:space="0" w:color="auto"/>
              <w:bottom w:val="single" w:sz="4" w:space="0" w:color="auto"/>
              <w:right w:val="single" w:sz="4" w:space="0" w:color="auto"/>
            </w:tcBorders>
            <w:shd w:val="clear" w:color="000000" w:fill="FFFFFF"/>
            <w:hideMark/>
          </w:tcPr>
          <w:p w14:paraId="2C619778"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116,3</w:t>
            </w:r>
          </w:p>
        </w:tc>
        <w:tc>
          <w:tcPr>
            <w:tcW w:w="1338" w:type="dxa"/>
            <w:tcBorders>
              <w:top w:val="single" w:sz="4" w:space="0" w:color="auto"/>
              <w:left w:val="single" w:sz="4" w:space="0" w:color="auto"/>
              <w:bottom w:val="single" w:sz="4" w:space="0" w:color="auto"/>
              <w:right w:val="single" w:sz="4" w:space="0" w:color="auto"/>
            </w:tcBorders>
            <w:noWrap/>
            <w:hideMark/>
          </w:tcPr>
          <w:p w14:paraId="36FCA02D"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4,5</w:t>
            </w:r>
          </w:p>
        </w:tc>
      </w:tr>
      <w:tr w:rsidR="00C801A6" w:rsidRPr="00C801A6" w14:paraId="58AB981A" w14:textId="77777777" w:rsidTr="00347FDB">
        <w:trPr>
          <w:trHeight w:val="270"/>
        </w:trPr>
        <w:tc>
          <w:tcPr>
            <w:tcW w:w="2348" w:type="dxa"/>
            <w:tcBorders>
              <w:top w:val="single" w:sz="4" w:space="0" w:color="auto"/>
              <w:left w:val="single" w:sz="4" w:space="0" w:color="auto"/>
              <w:bottom w:val="single" w:sz="4" w:space="0" w:color="auto"/>
              <w:right w:val="single" w:sz="4" w:space="0" w:color="auto"/>
            </w:tcBorders>
            <w:shd w:val="clear" w:color="000000" w:fill="FFFFFF"/>
            <w:hideMark/>
          </w:tcPr>
          <w:p w14:paraId="649E44C0" w14:textId="77777777" w:rsidR="00575CDF" w:rsidRPr="00C801A6" w:rsidRDefault="00575CDF" w:rsidP="00347FDB">
            <w:pPr>
              <w:spacing w:before="20" w:after="20" w:line="264" w:lineRule="auto"/>
              <w:rPr>
                <w:rFonts w:eastAsia="Times New Roman" w:cs="Times New Roman"/>
                <w:color w:val="auto"/>
                <w:sz w:val="18"/>
                <w:szCs w:val="18"/>
                <w:lang w:eastAsia="fr-FR"/>
              </w:rPr>
            </w:pPr>
            <w:r w:rsidRPr="00C801A6">
              <w:rPr>
                <w:rFonts w:eastAsia="Times New Roman" w:cs="Times New Roman"/>
                <w:color w:val="auto"/>
                <w:sz w:val="18"/>
                <w:szCs w:val="18"/>
                <w:lang w:eastAsia="fr-FR"/>
              </w:rPr>
              <w:t>VATOVAVY FITOVINANY</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26C069C5"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136 575</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3EA6733F"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1 304 082</w:t>
            </w:r>
          </w:p>
        </w:tc>
        <w:tc>
          <w:tcPr>
            <w:tcW w:w="1329" w:type="dxa"/>
            <w:tcBorders>
              <w:top w:val="single" w:sz="4" w:space="0" w:color="auto"/>
              <w:left w:val="single" w:sz="4" w:space="0" w:color="auto"/>
              <w:bottom w:val="single" w:sz="4" w:space="0" w:color="auto"/>
              <w:right w:val="single" w:sz="4" w:space="0" w:color="auto"/>
            </w:tcBorders>
            <w:shd w:val="clear" w:color="000000" w:fill="FFFFFF"/>
            <w:hideMark/>
          </w:tcPr>
          <w:p w14:paraId="12A01912"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1 440 657</w:t>
            </w:r>
          </w:p>
        </w:tc>
        <w:tc>
          <w:tcPr>
            <w:tcW w:w="1337" w:type="dxa"/>
            <w:tcBorders>
              <w:top w:val="single" w:sz="4" w:space="0" w:color="auto"/>
              <w:left w:val="single" w:sz="4" w:space="0" w:color="auto"/>
              <w:bottom w:val="single" w:sz="4" w:space="0" w:color="auto"/>
              <w:right w:val="single" w:sz="4" w:space="0" w:color="auto"/>
            </w:tcBorders>
            <w:shd w:val="clear" w:color="000000" w:fill="FFFFFF"/>
            <w:hideMark/>
          </w:tcPr>
          <w:p w14:paraId="22EE9192"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69,5</w:t>
            </w:r>
          </w:p>
        </w:tc>
        <w:tc>
          <w:tcPr>
            <w:tcW w:w="1338" w:type="dxa"/>
            <w:tcBorders>
              <w:top w:val="single" w:sz="4" w:space="0" w:color="auto"/>
              <w:left w:val="single" w:sz="4" w:space="0" w:color="auto"/>
              <w:bottom w:val="single" w:sz="4" w:space="0" w:color="auto"/>
              <w:right w:val="single" w:sz="4" w:space="0" w:color="auto"/>
            </w:tcBorders>
            <w:noWrap/>
            <w:hideMark/>
          </w:tcPr>
          <w:p w14:paraId="35535333" w14:textId="77777777" w:rsidR="00575CDF" w:rsidRPr="00C801A6" w:rsidRDefault="00575CDF" w:rsidP="00347FDB">
            <w:pPr>
              <w:spacing w:before="20" w:after="20" w:line="264" w:lineRule="auto"/>
              <w:jc w:val="right"/>
              <w:rPr>
                <w:rFonts w:eastAsia="Times New Roman" w:cs="Times New Roman"/>
                <w:color w:val="auto"/>
                <w:sz w:val="21"/>
                <w:szCs w:val="21"/>
                <w:lang w:eastAsia="fr-FR"/>
              </w:rPr>
            </w:pPr>
            <w:r w:rsidRPr="00C801A6">
              <w:rPr>
                <w:rFonts w:eastAsia="Times New Roman" w:cs="Times New Roman"/>
                <w:color w:val="auto"/>
                <w:sz w:val="21"/>
                <w:szCs w:val="21"/>
                <w:lang w:eastAsia="fr-FR"/>
              </w:rPr>
              <w:t>4,6</w:t>
            </w:r>
          </w:p>
        </w:tc>
      </w:tr>
      <w:tr w:rsidR="00C801A6" w:rsidRPr="00C801A6" w14:paraId="6F3630BA" w14:textId="77777777" w:rsidTr="00347FDB">
        <w:trPr>
          <w:trHeight w:val="270"/>
        </w:trPr>
        <w:tc>
          <w:tcPr>
            <w:tcW w:w="2348" w:type="dxa"/>
            <w:tcBorders>
              <w:top w:val="single" w:sz="4" w:space="0" w:color="auto"/>
              <w:left w:val="single" w:sz="4" w:space="0" w:color="auto"/>
              <w:bottom w:val="single" w:sz="4" w:space="0" w:color="auto"/>
              <w:right w:val="single" w:sz="4" w:space="0" w:color="auto"/>
            </w:tcBorders>
            <w:shd w:val="clear" w:color="auto" w:fill="DEEAF6" w:themeFill="accent5" w:themeFillTint="33"/>
            <w:hideMark/>
          </w:tcPr>
          <w:p w14:paraId="49F70FB6" w14:textId="77777777" w:rsidR="00575CDF" w:rsidRPr="00C801A6" w:rsidRDefault="00575CDF" w:rsidP="00347FDB">
            <w:pPr>
              <w:spacing w:before="20" w:after="20" w:line="264" w:lineRule="auto"/>
              <w:jc w:val="left"/>
              <w:rPr>
                <w:rFonts w:eastAsia="Times New Roman" w:cs="Times New Roman"/>
                <w:b/>
                <w:bCs/>
                <w:color w:val="auto"/>
                <w:sz w:val="21"/>
                <w:szCs w:val="21"/>
                <w:lang w:eastAsia="fr-FR"/>
              </w:rPr>
            </w:pPr>
            <w:r w:rsidRPr="00C801A6">
              <w:rPr>
                <w:rFonts w:eastAsia="Times New Roman" w:cs="Times New Roman"/>
                <w:b/>
                <w:bCs/>
                <w:color w:val="auto"/>
                <w:sz w:val="21"/>
                <w:szCs w:val="21"/>
                <w:lang w:eastAsia="fr-FR"/>
              </w:rPr>
              <w:t>MADAGASCAR</w:t>
            </w:r>
          </w:p>
        </w:tc>
        <w:tc>
          <w:tcPr>
            <w:tcW w:w="1329" w:type="dxa"/>
            <w:tcBorders>
              <w:top w:val="single" w:sz="4" w:space="0" w:color="auto"/>
              <w:left w:val="single" w:sz="4" w:space="0" w:color="auto"/>
              <w:bottom w:val="single" w:sz="4" w:space="0" w:color="auto"/>
              <w:right w:val="single" w:sz="4" w:space="0" w:color="auto"/>
            </w:tcBorders>
            <w:shd w:val="clear" w:color="auto" w:fill="DEEAF6" w:themeFill="accent5" w:themeFillTint="33"/>
            <w:hideMark/>
          </w:tcPr>
          <w:p w14:paraId="26229308" w14:textId="77777777" w:rsidR="00575CDF" w:rsidRPr="00C801A6" w:rsidRDefault="00575CDF" w:rsidP="00347FDB">
            <w:pPr>
              <w:spacing w:before="20" w:after="20" w:line="264" w:lineRule="auto"/>
              <w:jc w:val="right"/>
              <w:rPr>
                <w:rFonts w:eastAsia="Times New Roman" w:cs="Times New Roman"/>
                <w:b/>
                <w:bCs/>
                <w:color w:val="auto"/>
                <w:sz w:val="21"/>
                <w:szCs w:val="21"/>
                <w:lang w:eastAsia="fr-FR"/>
              </w:rPr>
            </w:pPr>
            <w:r w:rsidRPr="00C801A6">
              <w:rPr>
                <w:rFonts w:eastAsia="Times New Roman" w:cs="Times New Roman"/>
                <w:b/>
                <w:bCs/>
                <w:color w:val="auto"/>
                <w:sz w:val="21"/>
                <w:szCs w:val="21"/>
                <w:lang w:eastAsia="fr-FR"/>
              </w:rPr>
              <w:t>4 942 902</w:t>
            </w:r>
          </w:p>
        </w:tc>
        <w:tc>
          <w:tcPr>
            <w:tcW w:w="1329" w:type="dxa"/>
            <w:tcBorders>
              <w:top w:val="single" w:sz="4" w:space="0" w:color="auto"/>
              <w:left w:val="single" w:sz="4" w:space="0" w:color="auto"/>
              <w:bottom w:val="single" w:sz="4" w:space="0" w:color="auto"/>
              <w:right w:val="single" w:sz="4" w:space="0" w:color="auto"/>
            </w:tcBorders>
            <w:shd w:val="clear" w:color="auto" w:fill="DEEAF6" w:themeFill="accent5" w:themeFillTint="33"/>
            <w:hideMark/>
          </w:tcPr>
          <w:p w14:paraId="176F728D" w14:textId="77777777" w:rsidR="00575CDF" w:rsidRPr="00C801A6" w:rsidRDefault="00575CDF" w:rsidP="00347FDB">
            <w:pPr>
              <w:spacing w:before="20" w:after="20" w:line="264" w:lineRule="auto"/>
              <w:jc w:val="right"/>
              <w:rPr>
                <w:rFonts w:eastAsia="Times New Roman" w:cs="Times New Roman"/>
                <w:b/>
                <w:bCs/>
                <w:color w:val="auto"/>
                <w:sz w:val="21"/>
                <w:szCs w:val="21"/>
                <w:lang w:eastAsia="fr-FR"/>
              </w:rPr>
            </w:pPr>
            <w:r w:rsidRPr="00C801A6">
              <w:rPr>
                <w:rFonts w:eastAsia="Times New Roman" w:cs="Times New Roman"/>
                <w:b/>
                <w:bCs/>
                <w:color w:val="auto"/>
                <w:sz w:val="21"/>
                <w:szCs w:val="21"/>
                <w:lang w:eastAsia="fr-FR"/>
              </w:rPr>
              <w:t>20 731 294</w:t>
            </w:r>
          </w:p>
        </w:tc>
        <w:tc>
          <w:tcPr>
            <w:tcW w:w="1329" w:type="dxa"/>
            <w:tcBorders>
              <w:top w:val="single" w:sz="4" w:space="0" w:color="auto"/>
              <w:left w:val="single" w:sz="4" w:space="0" w:color="auto"/>
              <w:bottom w:val="single" w:sz="4" w:space="0" w:color="auto"/>
              <w:right w:val="single" w:sz="4" w:space="0" w:color="auto"/>
            </w:tcBorders>
            <w:shd w:val="clear" w:color="auto" w:fill="DEEAF6" w:themeFill="accent5" w:themeFillTint="33"/>
            <w:hideMark/>
          </w:tcPr>
          <w:p w14:paraId="298A3A21" w14:textId="77777777" w:rsidR="00575CDF" w:rsidRPr="00C801A6" w:rsidRDefault="00575CDF" w:rsidP="00347FDB">
            <w:pPr>
              <w:spacing w:before="20" w:after="20" w:line="264" w:lineRule="auto"/>
              <w:jc w:val="right"/>
              <w:rPr>
                <w:rFonts w:eastAsia="Times New Roman" w:cs="Times New Roman"/>
                <w:b/>
                <w:bCs/>
                <w:color w:val="auto"/>
                <w:sz w:val="21"/>
                <w:szCs w:val="21"/>
                <w:lang w:eastAsia="fr-FR"/>
              </w:rPr>
            </w:pPr>
            <w:r w:rsidRPr="00C801A6">
              <w:rPr>
                <w:rFonts w:eastAsia="Times New Roman" w:cs="Times New Roman"/>
                <w:b/>
                <w:bCs/>
                <w:color w:val="auto"/>
                <w:sz w:val="21"/>
                <w:szCs w:val="21"/>
                <w:lang w:eastAsia="fr-FR"/>
              </w:rPr>
              <w:t>25 674 196</w:t>
            </w:r>
          </w:p>
        </w:tc>
        <w:tc>
          <w:tcPr>
            <w:tcW w:w="1337" w:type="dxa"/>
            <w:tcBorders>
              <w:top w:val="single" w:sz="4" w:space="0" w:color="auto"/>
              <w:left w:val="single" w:sz="4" w:space="0" w:color="auto"/>
              <w:bottom w:val="single" w:sz="4" w:space="0" w:color="auto"/>
              <w:right w:val="single" w:sz="4" w:space="0" w:color="auto"/>
            </w:tcBorders>
            <w:shd w:val="clear" w:color="auto" w:fill="DEEAF6" w:themeFill="accent5" w:themeFillTint="33"/>
            <w:hideMark/>
          </w:tcPr>
          <w:p w14:paraId="36E4D297" w14:textId="77777777" w:rsidR="00575CDF" w:rsidRPr="00C801A6" w:rsidRDefault="00575CDF" w:rsidP="00347FDB">
            <w:pPr>
              <w:spacing w:before="20" w:after="20" w:line="264" w:lineRule="auto"/>
              <w:jc w:val="right"/>
              <w:rPr>
                <w:rFonts w:eastAsia="Times New Roman" w:cs="Times New Roman"/>
                <w:b/>
                <w:bCs/>
                <w:color w:val="auto"/>
                <w:sz w:val="21"/>
                <w:szCs w:val="21"/>
                <w:lang w:eastAsia="fr-FR"/>
              </w:rPr>
            </w:pPr>
            <w:r w:rsidRPr="00C801A6">
              <w:rPr>
                <w:rFonts w:eastAsia="Times New Roman" w:cs="Times New Roman"/>
                <w:b/>
                <w:bCs/>
                <w:color w:val="auto"/>
                <w:sz w:val="21"/>
                <w:szCs w:val="21"/>
                <w:lang w:eastAsia="fr-FR"/>
              </w:rPr>
              <w:t>43,4</w:t>
            </w:r>
          </w:p>
        </w:tc>
        <w:tc>
          <w:tcPr>
            <w:tcW w:w="1338" w:type="dxa"/>
            <w:tcBorders>
              <w:top w:val="single" w:sz="4" w:space="0" w:color="auto"/>
              <w:left w:val="single" w:sz="4" w:space="0" w:color="auto"/>
              <w:bottom w:val="single" w:sz="4" w:space="0" w:color="auto"/>
              <w:right w:val="single" w:sz="4" w:space="0" w:color="auto"/>
            </w:tcBorders>
            <w:shd w:val="clear" w:color="auto" w:fill="DEEAF6" w:themeFill="accent5" w:themeFillTint="33"/>
            <w:noWrap/>
            <w:hideMark/>
          </w:tcPr>
          <w:p w14:paraId="036FB317" w14:textId="77777777" w:rsidR="00575CDF" w:rsidRPr="00C801A6" w:rsidRDefault="00575CDF" w:rsidP="00347FDB">
            <w:pPr>
              <w:spacing w:before="20" w:after="20" w:line="264" w:lineRule="auto"/>
              <w:jc w:val="right"/>
              <w:rPr>
                <w:rFonts w:eastAsia="Times New Roman" w:cs="Times New Roman"/>
                <w:b/>
                <w:bCs/>
                <w:color w:val="auto"/>
                <w:sz w:val="21"/>
                <w:szCs w:val="21"/>
                <w:lang w:eastAsia="fr-FR"/>
              </w:rPr>
            </w:pPr>
            <w:r w:rsidRPr="00C801A6">
              <w:rPr>
                <w:rFonts w:eastAsia="Times New Roman" w:cs="Times New Roman"/>
                <w:b/>
                <w:bCs/>
                <w:color w:val="auto"/>
                <w:sz w:val="21"/>
                <w:szCs w:val="21"/>
                <w:lang w:eastAsia="fr-FR"/>
              </w:rPr>
              <w:t>4,2</w:t>
            </w:r>
          </w:p>
        </w:tc>
      </w:tr>
    </w:tbl>
    <w:p w14:paraId="0CF83254" w14:textId="77777777" w:rsidR="00575CDF" w:rsidRPr="00C801A6" w:rsidRDefault="00575CDF" w:rsidP="00E87A90">
      <w:pPr>
        <w:spacing w:after="0" w:line="240" w:lineRule="auto"/>
        <w:ind w:left="567"/>
        <w:jc w:val="right"/>
        <w:rPr>
          <w:rFonts w:ascii="Book Antiqua" w:hAnsi="Book Antiqua" w:cs="Times New Roman"/>
          <w:i/>
          <w:iCs/>
          <w:color w:val="auto"/>
          <w:sz w:val="18"/>
          <w:szCs w:val="18"/>
        </w:rPr>
      </w:pPr>
      <w:r w:rsidRPr="00C801A6">
        <w:rPr>
          <w:rFonts w:ascii="Book Antiqua" w:hAnsi="Book Antiqua" w:cs="Times New Roman"/>
          <w:i/>
          <w:iCs/>
          <w:color w:val="auto"/>
          <w:sz w:val="18"/>
          <w:szCs w:val="18"/>
          <w:u w:val="single"/>
        </w:rPr>
        <w:t>Source</w:t>
      </w:r>
      <w:r w:rsidRPr="00C801A6">
        <w:rPr>
          <w:rFonts w:ascii="Book Antiqua" w:hAnsi="Book Antiqua" w:cs="Times New Roman"/>
          <w:i/>
          <w:iCs/>
          <w:color w:val="auto"/>
          <w:sz w:val="18"/>
          <w:szCs w:val="18"/>
        </w:rPr>
        <w:t xml:space="preserve"> : MDG - INSTAT – RGPH 2018</w:t>
      </w:r>
    </w:p>
    <w:p w14:paraId="28AF8394" w14:textId="77777777" w:rsidR="00575CDF" w:rsidRPr="00C801A6" w:rsidRDefault="00575CDF" w:rsidP="00C65572">
      <w:pPr>
        <w:pStyle w:val="Heading3"/>
      </w:pPr>
      <w:bookmarkStart w:id="185" w:name="_Toc440199220"/>
      <w:bookmarkStart w:id="186" w:name="_Toc106320300"/>
      <w:bookmarkStart w:id="187" w:name="_Toc230426011"/>
      <w:r w:rsidRPr="00C801A6">
        <w:t>Infrastructures sociales</w:t>
      </w:r>
      <w:bookmarkEnd w:id="185"/>
      <w:bookmarkEnd w:id="186"/>
      <w:bookmarkEnd w:id="187"/>
    </w:p>
    <w:p w14:paraId="70578E0B" w14:textId="77777777" w:rsidR="00575CDF" w:rsidRPr="00C801A6" w:rsidRDefault="00575CDF" w:rsidP="003042DB">
      <w:pPr>
        <w:pStyle w:val="Heading4"/>
        <w:rPr>
          <w:color w:val="auto"/>
        </w:rPr>
      </w:pPr>
      <w:bookmarkStart w:id="188" w:name="_Toc440199221"/>
      <w:bookmarkStart w:id="189" w:name="_Toc230298748"/>
      <w:r w:rsidRPr="00C801A6">
        <w:rPr>
          <w:color w:val="auto"/>
        </w:rPr>
        <w:t>Infrastructures scolaires</w:t>
      </w:r>
      <w:bookmarkEnd w:id="188"/>
      <w:bookmarkEnd w:id="189"/>
    </w:p>
    <w:p w14:paraId="69F12E8F" w14:textId="77777777" w:rsidR="00575CDF" w:rsidRPr="00C801A6" w:rsidRDefault="00575CDF" w:rsidP="00575CDF">
      <w:pPr>
        <w:autoSpaceDE w:val="0"/>
        <w:autoSpaceDN w:val="0"/>
        <w:adjustRightInd w:val="0"/>
        <w:rPr>
          <w:rFonts w:cs="Arial"/>
          <w:color w:val="auto"/>
          <w:lang w:val="fr-CA"/>
        </w:rPr>
      </w:pPr>
      <w:r w:rsidRPr="00C801A6">
        <w:rPr>
          <w:rFonts w:cs="Arial"/>
          <w:color w:val="auto"/>
          <w:lang w:val="fr-CA"/>
        </w:rPr>
        <w:t>Autant que faire se peut, l’infrastructure scolaire publique épouse la politique de l’Administration avec au moins :</w:t>
      </w:r>
    </w:p>
    <w:p w14:paraId="649419CF" w14:textId="52341E67" w:rsidR="00575CDF" w:rsidRPr="00C801A6" w:rsidRDefault="006A5365" w:rsidP="00844538">
      <w:pPr>
        <w:numPr>
          <w:ilvl w:val="0"/>
          <w:numId w:val="24"/>
        </w:numPr>
        <w:tabs>
          <w:tab w:val="clear" w:pos="720"/>
        </w:tabs>
        <w:spacing w:after="120" w:line="312" w:lineRule="auto"/>
        <w:ind w:left="709" w:right="62" w:hanging="284"/>
        <w:contextualSpacing/>
        <w:rPr>
          <w:rFonts w:cs="Arial"/>
          <w:color w:val="auto"/>
          <w:lang w:val="fr-CA"/>
        </w:rPr>
      </w:pPr>
      <w:r>
        <w:rPr>
          <w:rFonts w:cs="Arial"/>
          <w:color w:val="auto"/>
          <w:lang w:val="fr-CA"/>
        </w:rPr>
        <w:t>U</w:t>
      </w:r>
      <w:r w:rsidR="00575CDF" w:rsidRPr="00C801A6">
        <w:rPr>
          <w:rFonts w:cs="Arial"/>
          <w:color w:val="auto"/>
          <w:lang w:val="fr-CA"/>
        </w:rPr>
        <w:t>ne École Primaire Publique (EPP) par Fokontany ;</w:t>
      </w:r>
    </w:p>
    <w:p w14:paraId="20AF0FB0" w14:textId="0D11367D" w:rsidR="00575CDF" w:rsidRPr="00C801A6" w:rsidRDefault="006A5365" w:rsidP="00844538">
      <w:pPr>
        <w:numPr>
          <w:ilvl w:val="0"/>
          <w:numId w:val="24"/>
        </w:numPr>
        <w:tabs>
          <w:tab w:val="clear" w:pos="720"/>
        </w:tabs>
        <w:spacing w:after="120" w:line="312" w:lineRule="auto"/>
        <w:ind w:left="709" w:right="62" w:hanging="284"/>
        <w:contextualSpacing/>
        <w:rPr>
          <w:rFonts w:cs="Arial"/>
          <w:color w:val="auto"/>
          <w:lang w:val="fr-CA"/>
        </w:rPr>
      </w:pPr>
      <w:r>
        <w:rPr>
          <w:rFonts w:cs="Arial"/>
          <w:color w:val="auto"/>
          <w:lang w:val="fr-CA"/>
        </w:rPr>
        <w:t>U</w:t>
      </w:r>
      <w:r w:rsidR="00575CDF" w:rsidRPr="00C801A6">
        <w:rPr>
          <w:rFonts w:cs="Arial"/>
          <w:color w:val="auto"/>
          <w:lang w:val="fr-CA"/>
        </w:rPr>
        <w:t>n Collège d’Enseignement Général (CEG) par Commune ;</w:t>
      </w:r>
    </w:p>
    <w:p w14:paraId="76F9A595" w14:textId="64153231" w:rsidR="00575CDF" w:rsidRPr="00C801A6" w:rsidRDefault="006A5365" w:rsidP="00844538">
      <w:pPr>
        <w:numPr>
          <w:ilvl w:val="0"/>
          <w:numId w:val="24"/>
        </w:numPr>
        <w:tabs>
          <w:tab w:val="clear" w:pos="720"/>
        </w:tabs>
        <w:spacing w:after="120" w:line="312" w:lineRule="auto"/>
        <w:ind w:left="709" w:right="62" w:hanging="284"/>
        <w:contextualSpacing/>
        <w:rPr>
          <w:rFonts w:cs="Arial"/>
          <w:color w:val="auto"/>
          <w:lang w:val="fr-CA"/>
        </w:rPr>
      </w:pPr>
      <w:r>
        <w:rPr>
          <w:rFonts w:cs="Arial"/>
          <w:color w:val="auto"/>
          <w:lang w:val="fr-CA"/>
        </w:rPr>
        <w:t>U</w:t>
      </w:r>
      <w:r w:rsidR="00575CDF" w:rsidRPr="00C801A6">
        <w:rPr>
          <w:rFonts w:cs="Arial"/>
          <w:color w:val="auto"/>
          <w:lang w:val="fr-CA"/>
        </w:rPr>
        <w:t>n Lycée par District ;</w:t>
      </w:r>
    </w:p>
    <w:p w14:paraId="057D6AC5" w14:textId="26B4E72D" w:rsidR="00575CDF" w:rsidRPr="00C801A6" w:rsidRDefault="006A5365" w:rsidP="006A5365">
      <w:pPr>
        <w:pStyle w:val="Caption"/>
        <w:rPr>
          <w:color w:val="auto"/>
        </w:rPr>
      </w:pPr>
      <w:bookmarkStart w:id="190" w:name="_Toc440200766"/>
      <w:bookmarkStart w:id="191" w:name="_Toc230427730"/>
      <w:r>
        <w:t xml:space="preserve">Tableau </w:t>
      </w:r>
      <w:r w:rsidR="00E44887">
        <w:fldChar w:fldCharType="begin"/>
      </w:r>
      <w:r w:rsidR="00E44887">
        <w:instrText xml:space="preserve"> SEQ Tableau \* ARABIC </w:instrText>
      </w:r>
      <w:r w:rsidR="00E44887">
        <w:fldChar w:fldCharType="separate"/>
      </w:r>
      <w:r w:rsidR="00253F1A">
        <w:rPr>
          <w:noProof/>
        </w:rPr>
        <w:t>10</w:t>
      </w:r>
      <w:r w:rsidR="00E44887">
        <w:rPr>
          <w:noProof/>
        </w:rPr>
        <w:fldChar w:fldCharType="end"/>
      </w:r>
      <w:r w:rsidR="00575CDF" w:rsidRPr="00C801A6">
        <w:rPr>
          <w:color w:val="auto"/>
        </w:rPr>
        <w:t xml:space="preserve"> : Infrastructures scolaires </w:t>
      </w:r>
      <w:bookmarkEnd w:id="190"/>
      <w:r w:rsidR="00575CDF" w:rsidRPr="00C801A6">
        <w:rPr>
          <w:color w:val="auto"/>
        </w:rPr>
        <w:t>publiques et privées par région</w:t>
      </w:r>
      <w:bookmarkEnd w:id="191"/>
    </w:p>
    <w:tbl>
      <w:tblPr>
        <w:tblW w:w="9123" w:type="dxa"/>
        <w:tblInd w:w="57" w:type="dxa"/>
        <w:tblCellMar>
          <w:left w:w="70" w:type="dxa"/>
          <w:right w:w="70" w:type="dxa"/>
        </w:tblCellMar>
        <w:tblLook w:val="04A0" w:firstRow="1" w:lastRow="0" w:firstColumn="1" w:lastColumn="0" w:noHBand="0" w:noVBand="1"/>
      </w:tblPr>
      <w:tblGrid>
        <w:gridCol w:w="1923"/>
        <w:gridCol w:w="1304"/>
        <w:gridCol w:w="1096"/>
        <w:gridCol w:w="1351"/>
        <w:gridCol w:w="1049"/>
        <w:gridCol w:w="1351"/>
        <w:gridCol w:w="1049"/>
      </w:tblGrid>
      <w:tr w:rsidR="00C801A6" w:rsidRPr="00C801A6" w14:paraId="56286FED" w14:textId="77777777" w:rsidTr="00347FDB">
        <w:trPr>
          <w:trHeight w:val="300"/>
          <w:tblHeader/>
        </w:trPr>
        <w:tc>
          <w:tcPr>
            <w:tcW w:w="1923"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3775BFC3" w14:textId="77777777" w:rsidR="00575CDF" w:rsidRPr="00C801A6" w:rsidRDefault="00575CDF" w:rsidP="00347FDB">
            <w:pPr>
              <w:spacing w:before="20" w:after="20" w:line="264" w:lineRule="auto"/>
              <w:jc w:val="center"/>
              <w:rPr>
                <w:rFonts w:eastAsia="Times New Roman" w:cs="Times New Roman"/>
                <w:b/>
                <w:bCs/>
                <w:color w:val="auto"/>
                <w:sz w:val="18"/>
                <w:szCs w:val="18"/>
                <w:lang w:eastAsia="fr-FR"/>
              </w:rPr>
            </w:pPr>
            <w:r w:rsidRPr="00C801A6">
              <w:rPr>
                <w:rFonts w:eastAsia="Times New Roman" w:cs="Times New Roman"/>
                <w:b/>
                <w:bCs/>
                <w:color w:val="auto"/>
                <w:sz w:val="18"/>
                <w:szCs w:val="18"/>
                <w:lang w:eastAsia="fr-FR"/>
              </w:rPr>
              <w:t>REGION</w:t>
            </w:r>
          </w:p>
        </w:tc>
        <w:tc>
          <w:tcPr>
            <w:tcW w:w="2400" w:type="dxa"/>
            <w:gridSpan w:val="2"/>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3B4A7E85" w14:textId="77777777" w:rsidR="00575CDF" w:rsidRPr="00C801A6" w:rsidRDefault="00575CDF" w:rsidP="00347FDB">
            <w:pPr>
              <w:spacing w:before="20" w:after="20" w:line="264" w:lineRule="auto"/>
              <w:jc w:val="center"/>
              <w:rPr>
                <w:rFonts w:eastAsia="Times New Roman" w:cs="Times New Roman"/>
                <w:b/>
                <w:bCs/>
                <w:color w:val="auto"/>
                <w:sz w:val="18"/>
                <w:szCs w:val="18"/>
                <w:lang w:eastAsia="fr-FR"/>
              </w:rPr>
            </w:pPr>
            <w:r w:rsidRPr="00C801A6">
              <w:rPr>
                <w:rFonts w:eastAsia="Times New Roman" w:cs="Times New Roman"/>
                <w:b/>
                <w:bCs/>
                <w:color w:val="auto"/>
                <w:sz w:val="18"/>
                <w:szCs w:val="18"/>
                <w:lang w:eastAsia="fr-FR"/>
              </w:rPr>
              <w:t>NIVEAU I</w:t>
            </w:r>
          </w:p>
        </w:tc>
        <w:tc>
          <w:tcPr>
            <w:tcW w:w="2400" w:type="dxa"/>
            <w:gridSpan w:val="2"/>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33E496A0" w14:textId="77777777" w:rsidR="00575CDF" w:rsidRPr="00C801A6" w:rsidRDefault="00575CDF" w:rsidP="00347FDB">
            <w:pPr>
              <w:spacing w:before="20" w:after="20" w:line="264" w:lineRule="auto"/>
              <w:jc w:val="center"/>
              <w:rPr>
                <w:rFonts w:eastAsia="Times New Roman" w:cs="Times New Roman"/>
                <w:b/>
                <w:bCs/>
                <w:color w:val="auto"/>
                <w:sz w:val="18"/>
                <w:szCs w:val="18"/>
                <w:lang w:eastAsia="fr-FR"/>
              </w:rPr>
            </w:pPr>
            <w:r w:rsidRPr="00C801A6">
              <w:rPr>
                <w:rFonts w:eastAsia="Times New Roman" w:cs="Times New Roman"/>
                <w:b/>
                <w:bCs/>
                <w:color w:val="auto"/>
                <w:sz w:val="18"/>
                <w:szCs w:val="18"/>
                <w:lang w:eastAsia="fr-FR"/>
              </w:rPr>
              <w:t>NIVEAU II</w:t>
            </w:r>
          </w:p>
        </w:tc>
        <w:tc>
          <w:tcPr>
            <w:tcW w:w="2400" w:type="dxa"/>
            <w:gridSpan w:val="2"/>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63733796" w14:textId="77777777" w:rsidR="00575CDF" w:rsidRPr="00C801A6" w:rsidRDefault="00575CDF" w:rsidP="00347FDB">
            <w:pPr>
              <w:spacing w:before="20" w:after="20" w:line="264" w:lineRule="auto"/>
              <w:jc w:val="center"/>
              <w:rPr>
                <w:rFonts w:eastAsia="Times New Roman" w:cs="Times New Roman"/>
                <w:b/>
                <w:bCs/>
                <w:color w:val="auto"/>
                <w:sz w:val="18"/>
                <w:szCs w:val="18"/>
                <w:lang w:eastAsia="fr-FR"/>
              </w:rPr>
            </w:pPr>
            <w:r w:rsidRPr="00C801A6">
              <w:rPr>
                <w:rFonts w:eastAsia="Times New Roman" w:cs="Times New Roman"/>
                <w:b/>
                <w:bCs/>
                <w:color w:val="auto"/>
                <w:sz w:val="18"/>
                <w:szCs w:val="18"/>
                <w:lang w:eastAsia="fr-FR"/>
              </w:rPr>
              <w:t>NIVEAU III</w:t>
            </w:r>
          </w:p>
        </w:tc>
      </w:tr>
      <w:tr w:rsidR="00C801A6" w:rsidRPr="00C801A6" w14:paraId="5DEF6C66" w14:textId="77777777" w:rsidTr="00347FDB">
        <w:trPr>
          <w:trHeight w:val="315"/>
          <w:tblHeader/>
        </w:trPr>
        <w:tc>
          <w:tcPr>
            <w:tcW w:w="1923" w:type="dxa"/>
            <w:vMerge/>
            <w:vAlign w:val="center"/>
            <w:hideMark/>
          </w:tcPr>
          <w:p w14:paraId="685AA94B" w14:textId="77777777" w:rsidR="00575CDF" w:rsidRPr="00C801A6" w:rsidRDefault="00575CDF" w:rsidP="00347FDB">
            <w:pPr>
              <w:spacing w:before="20" w:after="20" w:line="264" w:lineRule="auto"/>
              <w:jc w:val="center"/>
              <w:rPr>
                <w:rFonts w:eastAsia="Times New Roman" w:cs="Times New Roman"/>
                <w:b/>
                <w:bCs/>
                <w:color w:val="auto"/>
                <w:sz w:val="18"/>
                <w:szCs w:val="18"/>
                <w:lang w:eastAsia="fr-FR"/>
              </w:rPr>
            </w:pPr>
          </w:p>
        </w:tc>
        <w:tc>
          <w:tcPr>
            <w:tcW w:w="1304"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791D860C" w14:textId="77777777" w:rsidR="00575CDF" w:rsidRPr="00C801A6" w:rsidRDefault="00575CDF" w:rsidP="00347FDB">
            <w:pPr>
              <w:spacing w:before="20" w:after="20" w:line="264" w:lineRule="auto"/>
              <w:jc w:val="center"/>
              <w:rPr>
                <w:rFonts w:eastAsia="Times New Roman" w:cs="Times New Roman"/>
                <w:b/>
                <w:bCs/>
                <w:color w:val="auto"/>
                <w:sz w:val="18"/>
                <w:szCs w:val="18"/>
                <w:lang w:eastAsia="fr-FR"/>
              </w:rPr>
            </w:pPr>
            <w:r w:rsidRPr="00C801A6">
              <w:rPr>
                <w:rFonts w:eastAsia="Times New Roman" w:cs="Times New Roman"/>
                <w:b/>
                <w:bCs/>
                <w:color w:val="auto"/>
                <w:sz w:val="18"/>
                <w:szCs w:val="18"/>
                <w:lang w:eastAsia="fr-FR"/>
              </w:rPr>
              <w:t>PUBLIC</w:t>
            </w:r>
          </w:p>
        </w:tc>
        <w:tc>
          <w:tcPr>
            <w:tcW w:w="1096"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7CAC7876" w14:textId="77777777" w:rsidR="00575CDF" w:rsidRPr="00C801A6" w:rsidRDefault="00575CDF" w:rsidP="00347FDB">
            <w:pPr>
              <w:spacing w:before="20" w:after="20" w:line="264" w:lineRule="auto"/>
              <w:jc w:val="center"/>
              <w:rPr>
                <w:rFonts w:eastAsia="Times New Roman" w:cs="Times New Roman"/>
                <w:b/>
                <w:bCs/>
                <w:color w:val="auto"/>
                <w:sz w:val="18"/>
                <w:szCs w:val="18"/>
                <w:lang w:eastAsia="fr-FR"/>
              </w:rPr>
            </w:pPr>
            <w:r w:rsidRPr="00C801A6">
              <w:rPr>
                <w:rFonts w:eastAsia="Times New Roman" w:cs="Times New Roman"/>
                <w:b/>
                <w:bCs/>
                <w:color w:val="auto"/>
                <w:sz w:val="18"/>
                <w:szCs w:val="18"/>
                <w:lang w:eastAsia="fr-FR"/>
              </w:rPr>
              <w:t>PRIVE</w:t>
            </w:r>
          </w:p>
        </w:tc>
        <w:tc>
          <w:tcPr>
            <w:tcW w:w="1351"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7F963BAD" w14:textId="77777777" w:rsidR="00575CDF" w:rsidRPr="00C801A6" w:rsidRDefault="00575CDF" w:rsidP="00347FDB">
            <w:pPr>
              <w:spacing w:before="20" w:after="20" w:line="264" w:lineRule="auto"/>
              <w:jc w:val="center"/>
              <w:rPr>
                <w:rFonts w:eastAsia="Times New Roman" w:cs="Times New Roman"/>
                <w:b/>
                <w:bCs/>
                <w:color w:val="auto"/>
                <w:sz w:val="18"/>
                <w:szCs w:val="18"/>
                <w:lang w:eastAsia="fr-FR"/>
              </w:rPr>
            </w:pPr>
            <w:r w:rsidRPr="00C801A6">
              <w:rPr>
                <w:rFonts w:eastAsia="Times New Roman" w:cs="Times New Roman"/>
                <w:b/>
                <w:bCs/>
                <w:color w:val="auto"/>
                <w:sz w:val="18"/>
                <w:szCs w:val="18"/>
                <w:lang w:eastAsia="fr-FR"/>
              </w:rPr>
              <w:t>PUBLIC</w:t>
            </w:r>
          </w:p>
        </w:tc>
        <w:tc>
          <w:tcPr>
            <w:tcW w:w="1049"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417C62F2" w14:textId="77777777" w:rsidR="00575CDF" w:rsidRPr="00C801A6" w:rsidRDefault="00575CDF" w:rsidP="00347FDB">
            <w:pPr>
              <w:spacing w:before="20" w:after="20" w:line="264" w:lineRule="auto"/>
              <w:jc w:val="center"/>
              <w:rPr>
                <w:rFonts w:eastAsia="Times New Roman" w:cs="Times New Roman"/>
                <w:b/>
                <w:bCs/>
                <w:color w:val="auto"/>
                <w:sz w:val="18"/>
                <w:szCs w:val="18"/>
                <w:lang w:eastAsia="fr-FR"/>
              </w:rPr>
            </w:pPr>
            <w:r w:rsidRPr="00C801A6">
              <w:rPr>
                <w:rFonts w:eastAsia="Times New Roman" w:cs="Times New Roman"/>
                <w:b/>
                <w:bCs/>
                <w:color w:val="auto"/>
                <w:sz w:val="18"/>
                <w:szCs w:val="18"/>
                <w:lang w:eastAsia="fr-FR"/>
              </w:rPr>
              <w:t>PRIVE</w:t>
            </w:r>
          </w:p>
        </w:tc>
        <w:tc>
          <w:tcPr>
            <w:tcW w:w="1351"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5BECA492" w14:textId="77777777" w:rsidR="00575CDF" w:rsidRPr="00C801A6" w:rsidRDefault="00575CDF" w:rsidP="00347FDB">
            <w:pPr>
              <w:spacing w:before="20" w:after="20" w:line="264" w:lineRule="auto"/>
              <w:jc w:val="center"/>
              <w:rPr>
                <w:rFonts w:eastAsia="Times New Roman" w:cs="Times New Roman"/>
                <w:b/>
                <w:bCs/>
                <w:color w:val="auto"/>
                <w:sz w:val="18"/>
                <w:szCs w:val="18"/>
                <w:lang w:eastAsia="fr-FR"/>
              </w:rPr>
            </w:pPr>
            <w:r w:rsidRPr="00C801A6">
              <w:rPr>
                <w:rFonts w:eastAsia="Times New Roman" w:cs="Times New Roman"/>
                <w:b/>
                <w:bCs/>
                <w:color w:val="auto"/>
                <w:sz w:val="18"/>
                <w:szCs w:val="18"/>
                <w:lang w:eastAsia="fr-FR"/>
              </w:rPr>
              <w:t>PUBLIC</w:t>
            </w:r>
          </w:p>
        </w:tc>
        <w:tc>
          <w:tcPr>
            <w:tcW w:w="1049"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207259E5" w14:textId="77777777" w:rsidR="00575CDF" w:rsidRPr="00C801A6" w:rsidRDefault="00575CDF" w:rsidP="00347FDB">
            <w:pPr>
              <w:spacing w:before="20" w:after="20" w:line="264" w:lineRule="auto"/>
              <w:jc w:val="center"/>
              <w:rPr>
                <w:rFonts w:eastAsia="Times New Roman" w:cs="Times New Roman"/>
                <w:b/>
                <w:bCs/>
                <w:color w:val="auto"/>
                <w:sz w:val="18"/>
                <w:szCs w:val="18"/>
                <w:lang w:eastAsia="fr-FR"/>
              </w:rPr>
            </w:pPr>
            <w:r w:rsidRPr="00C801A6">
              <w:rPr>
                <w:rFonts w:eastAsia="Times New Roman" w:cs="Times New Roman"/>
                <w:b/>
                <w:bCs/>
                <w:color w:val="auto"/>
                <w:sz w:val="18"/>
                <w:szCs w:val="18"/>
                <w:lang w:eastAsia="fr-FR"/>
              </w:rPr>
              <w:t>PRIVE</w:t>
            </w:r>
          </w:p>
        </w:tc>
      </w:tr>
      <w:tr w:rsidR="00C801A6" w:rsidRPr="00C801A6" w14:paraId="2165DA6D" w14:textId="77777777" w:rsidTr="00347FDB">
        <w:trPr>
          <w:trHeight w:val="300"/>
        </w:trPr>
        <w:tc>
          <w:tcPr>
            <w:tcW w:w="1923" w:type="dxa"/>
            <w:tcBorders>
              <w:top w:val="single" w:sz="4" w:space="0" w:color="auto"/>
              <w:left w:val="single" w:sz="4" w:space="0" w:color="auto"/>
              <w:bottom w:val="single" w:sz="4" w:space="0" w:color="auto"/>
              <w:right w:val="single" w:sz="4" w:space="0" w:color="auto"/>
            </w:tcBorders>
            <w:noWrap/>
            <w:hideMark/>
          </w:tcPr>
          <w:p w14:paraId="451E6676" w14:textId="77777777" w:rsidR="00575CDF" w:rsidRPr="00C801A6" w:rsidRDefault="00575CDF" w:rsidP="00347FDB">
            <w:pPr>
              <w:spacing w:before="20" w:after="20" w:line="264" w:lineRule="auto"/>
              <w:rPr>
                <w:rFonts w:eastAsia="Times New Roman" w:cs="Times New Roman"/>
                <w:color w:val="auto"/>
                <w:sz w:val="20"/>
                <w:szCs w:val="20"/>
                <w:lang w:eastAsia="fr-FR"/>
              </w:rPr>
            </w:pPr>
            <w:r w:rsidRPr="00C801A6">
              <w:rPr>
                <w:rFonts w:eastAsia="Times New Roman" w:cs="Times New Roman"/>
                <w:color w:val="auto"/>
                <w:sz w:val="20"/>
                <w:szCs w:val="20"/>
                <w:lang w:eastAsia="fr-FR"/>
              </w:rPr>
              <w:t>Alaotra Mangoro</w:t>
            </w:r>
          </w:p>
        </w:tc>
        <w:tc>
          <w:tcPr>
            <w:tcW w:w="1304" w:type="dxa"/>
            <w:tcBorders>
              <w:top w:val="single" w:sz="4" w:space="0" w:color="auto"/>
              <w:left w:val="single" w:sz="4" w:space="0" w:color="auto"/>
              <w:bottom w:val="single" w:sz="4" w:space="0" w:color="auto"/>
              <w:right w:val="single" w:sz="4" w:space="0" w:color="auto"/>
            </w:tcBorders>
            <w:noWrap/>
            <w:hideMark/>
          </w:tcPr>
          <w:p w14:paraId="3A4D9BCD"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949</w:t>
            </w:r>
          </w:p>
        </w:tc>
        <w:tc>
          <w:tcPr>
            <w:tcW w:w="1096" w:type="dxa"/>
            <w:tcBorders>
              <w:top w:val="single" w:sz="4" w:space="0" w:color="auto"/>
              <w:left w:val="single" w:sz="4" w:space="0" w:color="auto"/>
              <w:bottom w:val="single" w:sz="4" w:space="0" w:color="auto"/>
              <w:right w:val="single" w:sz="4" w:space="0" w:color="auto"/>
            </w:tcBorders>
            <w:noWrap/>
            <w:hideMark/>
          </w:tcPr>
          <w:p w14:paraId="4E5EE6A2"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264</w:t>
            </w:r>
          </w:p>
        </w:tc>
        <w:tc>
          <w:tcPr>
            <w:tcW w:w="1351" w:type="dxa"/>
            <w:tcBorders>
              <w:top w:val="single" w:sz="4" w:space="0" w:color="auto"/>
              <w:left w:val="single" w:sz="4" w:space="0" w:color="auto"/>
              <w:bottom w:val="single" w:sz="4" w:space="0" w:color="auto"/>
              <w:right w:val="single" w:sz="4" w:space="0" w:color="auto"/>
            </w:tcBorders>
            <w:noWrap/>
            <w:hideMark/>
          </w:tcPr>
          <w:p w14:paraId="29C2A28E"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71</w:t>
            </w:r>
          </w:p>
        </w:tc>
        <w:tc>
          <w:tcPr>
            <w:tcW w:w="1049" w:type="dxa"/>
            <w:tcBorders>
              <w:top w:val="single" w:sz="4" w:space="0" w:color="auto"/>
              <w:left w:val="single" w:sz="4" w:space="0" w:color="auto"/>
              <w:bottom w:val="single" w:sz="4" w:space="0" w:color="auto"/>
              <w:right w:val="single" w:sz="4" w:space="0" w:color="auto"/>
            </w:tcBorders>
            <w:noWrap/>
            <w:hideMark/>
          </w:tcPr>
          <w:p w14:paraId="2AE2E2ED"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48</w:t>
            </w:r>
          </w:p>
        </w:tc>
        <w:tc>
          <w:tcPr>
            <w:tcW w:w="1351" w:type="dxa"/>
            <w:tcBorders>
              <w:top w:val="single" w:sz="4" w:space="0" w:color="auto"/>
              <w:left w:val="single" w:sz="4" w:space="0" w:color="auto"/>
              <w:bottom w:val="single" w:sz="4" w:space="0" w:color="auto"/>
              <w:right w:val="single" w:sz="4" w:space="0" w:color="auto"/>
            </w:tcBorders>
            <w:noWrap/>
            <w:hideMark/>
          </w:tcPr>
          <w:p w14:paraId="5D28608F"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5</w:t>
            </w:r>
          </w:p>
        </w:tc>
        <w:tc>
          <w:tcPr>
            <w:tcW w:w="1049" w:type="dxa"/>
            <w:tcBorders>
              <w:top w:val="single" w:sz="4" w:space="0" w:color="auto"/>
              <w:left w:val="single" w:sz="4" w:space="0" w:color="auto"/>
              <w:bottom w:val="single" w:sz="4" w:space="0" w:color="auto"/>
              <w:right w:val="single" w:sz="4" w:space="0" w:color="auto"/>
            </w:tcBorders>
            <w:noWrap/>
            <w:hideMark/>
          </w:tcPr>
          <w:p w14:paraId="710D2C35"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19</w:t>
            </w:r>
          </w:p>
        </w:tc>
      </w:tr>
      <w:tr w:rsidR="00C801A6" w:rsidRPr="00C801A6" w14:paraId="4DAEDF6E" w14:textId="77777777" w:rsidTr="00347FDB">
        <w:trPr>
          <w:trHeight w:val="300"/>
        </w:trPr>
        <w:tc>
          <w:tcPr>
            <w:tcW w:w="1923" w:type="dxa"/>
            <w:tcBorders>
              <w:top w:val="single" w:sz="4" w:space="0" w:color="auto"/>
              <w:left w:val="single" w:sz="4" w:space="0" w:color="auto"/>
              <w:bottom w:val="single" w:sz="4" w:space="0" w:color="auto"/>
              <w:right w:val="single" w:sz="4" w:space="0" w:color="auto"/>
            </w:tcBorders>
            <w:noWrap/>
            <w:hideMark/>
          </w:tcPr>
          <w:p w14:paraId="5B795419" w14:textId="77777777" w:rsidR="00575CDF" w:rsidRPr="00C801A6" w:rsidRDefault="00575CDF" w:rsidP="00347FDB">
            <w:pPr>
              <w:spacing w:before="20" w:after="20" w:line="264" w:lineRule="auto"/>
              <w:rPr>
                <w:rFonts w:eastAsia="Times New Roman" w:cs="Times New Roman"/>
                <w:color w:val="auto"/>
                <w:sz w:val="20"/>
                <w:szCs w:val="20"/>
                <w:lang w:eastAsia="fr-FR"/>
              </w:rPr>
            </w:pPr>
            <w:r w:rsidRPr="00C801A6">
              <w:rPr>
                <w:rFonts w:eastAsia="Times New Roman" w:cs="Times New Roman"/>
                <w:color w:val="auto"/>
                <w:sz w:val="20"/>
                <w:szCs w:val="20"/>
                <w:lang w:eastAsia="fr-FR"/>
              </w:rPr>
              <w:t>Amoron'i Mania</w:t>
            </w:r>
          </w:p>
        </w:tc>
        <w:tc>
          <w:tcPr>
            <w:tcW w:w="1304" w:type="dxa"/>
            <w:tcBorders>
              <w:top w:val="single" w:sz="4" w:space="0" w:color="auto"/>
              <w:left w:val="single" w:sz="4" w:space="0" w:color="auto"/>
              <w:bottom w:val="single" w:sz="4" w:space="0" w:color="auto"/>
              <w:right w:val="single" w:sz="4" w:space="0" w:color="auto"/>
            </w:tcBorders>
            <w:noWrap/>
            <w:hideMark/>
          </w:tcPr>
          <w:p w14:paraId="589C2E61"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939</w:t>
            </w:r>
          </w:p>
        </w:tc>
        <w:tc>
          <w:tcPr>
            <w:tcW w:w="1096" w:type="dxa"/>
            <w:tcBorders>
              <w:top w:val="single" w:sz="4" w:space="0" w:color="auto"/>
              <w:left w:val="single" w:sz="4" w:space="0" w:color="auto"/>
              <w:bottom w:val="single" w:sz="4" w:space="0" w:color="auto"/>
              <w:right w:val="single" w:sz="4" w:space="0" w:color="auto"/>
            </w:tcBorders>
            <w:noWrap/>
            <w:hideMark/>
          </w:tcPr>
          <w:p w14:paraId="7AAC1D45"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190</w:t>
            </w:r>
          </w:p>
        </w:tc>
        <w:tc>
          <w:tcPr>
            <w:tcW w:w="1351" w:type="dxa"/>
            <w:tcBorders>
              <w:top w:val="single" w:sz="4" w:space="0" w:color="auto"/>
              <w:left w:val="single" w:sz="4" w:space="0" w:color="auto"/>
              <w:bottom w:val="single" w:sz="4" w:space="0" w:color="auto"/>
              <w:right w:val="single" w:sz="4" w:space="0" w:color="auto"/>
            </w:tcBorders>
            <w:noWrap/>
            <w:hideMark/>
          </w:tcPr>
          <w:p w14:paraId="37EBDEB2"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76</w:t>
            </w:r>
          </w:p>
        </w:tc>
        <w:tc>
          <w:tcPr>
            <w:tcW w:w="1049" w:type="dxa"/>
            <w:tcBorders>
              <w:top w:val="single" w:sz="4" w:space="0" w:color="auto"/>
              <w:left w:val="single" w:sz="4" w:space="0" w:color="auto"/>
              <w:bottom w:val="single" w:sz="4" w:space="0" w:color="auto"/>
              <w:right w:val="single" w:sz="4" w:space="0" w:color="auto"/>
            </w:tcBorders>
            <w:noWrap/>
            <w:hideMark/>
          </w:tcPr>
          <w:p w14:paraId="6ECB2B9A"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39</w:t>
            </w:r>
          </w:p>
        </w:tc>
        <w:tc>
          <w:tcPr>
            <w:tcW w:w="1351" w:type="dxa"/>
            <w:tcBorders>
              <w:top w:val="single" w:sz="4" w:space="0" w:color="auto"/>
              <w:left w:val="single" w:sz="4" w:space="0" w:color="auto"/>
              <w:bottom w:val="single" w:sz="4" w:space="0" w:color="auto"/>
              <w:right w:val="single" w:sz="4" w:space="0" w:color="auto"/>
            </w:tcBorders>
            <w:noWrap/>
            <w:hideMark/>
          </w:tcPr>
          <w:p w14:paraId="0354A417"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6</w:t>
            </w:r>
          </w:p>
        </w:tc>
        <w:tc>
          <w:tcPr>
            <w:tcW w:w="1049" w:type="dxa"/>
            <w:tcBorders>
              <w:top w:val="single" w:sz="4" w:space="0" w:color="auto"/>
              <w:left w:val="single" w:sz="4" w:space="0" w:color="auto"/>
              <w:bottom w:val="single" w:sz="4" w:space="0" w:color="auto"/>
              <w:right w:val="single" w:sz="4" w:space="0" w:color="auto"/>
            </w:tcBorders>
            <w:noWrap/>
            <w:hideMark/>
          </w:tcPr>
          <w:p w14:paraId="6127C49F"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11</w:t>
            </w:r>
          </w:p>
        </w:tc>
      </w:tr>
      <w:tr w:rsidR="00C801A6" w:rsidRPr="00C801A6" w14:paraId="2D30ED88" w14:textId="77777777" w:rsidTr="00347FDB">
        <w:trPr>
          <w:trHeight w:val="300"/>
        </w:trPr>
        <w:tc>
          <w:tcPr>
            <w:tcW w:w="1923" w:type="dxa"/>
            <w:tcBorders>
              <w:top w:val="single" w:sz="4" w:space="0" w:color="auto"/>
              <w:left w:val="single" w:sz="4" w:space="0" w:color="auto"/>
              <w:bottom w:val="single" w:sz="4" w:space="0" w:color="auto"/>
              <w:right w:val="single" w:sz="4" w:space="0" w:color="auto"/>
            </w:tcBorders>
            <w:hideMark/>
          </w:tcPr>
          <w:p w14:paraId="48BE5D5F" w14:textId="77777777" w:rsidR="00575CDF" w:rsidRPr="00C801A6" w:rsidRDefault="00575CDF" w:rsidP="00347FDB">
            <w:pPr>
              <w:spacing w:before="20" w:after="20" w:line="264" w:lineRule="auto"/>
              <w:rPr>
                <w:rFonts w:eastAsia="Times New Roman" w:cs="Times New Roman"/>
                <w:color w:val="auto"/>
                <w:sz w:val="20"/>
                <w:szCs w:val="20"/>
                <w:lang w:eastAsia="fr-FR"/>
              </w:rPr>
            </w:pPr>
            <w:r w:rsidRPr="00C801A6">
              <w:rPr>
                <w:rFonts w:eastAsia="Times New Roman" w:cs="Times New Roman"/>
                <w:color w:val="auto"/>
                <w:sz w:val="20"/>
                <w:szCs w:val="20"/>
                <w:lang w:eastAsia="fr-FR"/>
              </w:rPr>
              <w:t>Analamanga</w:t>
            </w:r>
          </w:p>
        </w:tc>
        <w:tc>
          <w:tcPr>
            <w:tcW w:w="1304" w:type="dxa"/>
            <w:tcBorders>
              <w:top w:val="single" w:sz="4" w:space="0" w:color="auto"/>
              <w:left w:val="single" w:sz="4" w:space="0" w:color="auto"/>
              <w:bottom w:val="single" w:sz="4" w:space="0" w:color="auto"/>
              <w:right w:val="single" w:sz="4" w:space="0" w:color="auto"/>
            </w:tcBorders>
            <w:noWrap/>
            <w:hideMark/>
          </w:tcPr>
          <w:p w14:paraId="4A10DA41"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1 411</w:t>
            </w:r>
          </w:p>
        </w:tc>
        <w:tc>
          <w:tcPr>
            <w:tcW w:w="1096" w:type="dxa"/>
            <w:tcBorders>
              <w:top w:val="single" w:sz="4" w:space="0" w:color="auto"/>
              <w:left w:val="single" w:sz="4" w:space="0" w:color="auto"/>
              <w:bottom w:val="single" w:sz="4" w:space="0" w:color="auto"/>
              <w:right w:val="single" w:sz="4" w:space="0" w:color="auto"/>
            </w:tcBorders>
            <w:noWrap/>
            <w:hideMark/>
          </w:tcPr>
          <w:p w14:paraId="0391DA2A"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1 731</w:t>
            </w:r>
          </w:p>
        </w:tc>
        <w:tc>
          <w:tcPr>
            <w:tcW w:w="1351" w:type="dxa"/>
            <w:tcBorders>
              <w:top w:val="single" w:sz="4" w:space="0" w:color="auto"/>
              <w:left w:val="single" w:sz="4" w:space="0" w:color="auto"/>
              <w:bottom w:val="single" w:sz="4" w:space="0" w:color="auto"/>
              <w:right w:val="single" w:sz="4" w:space="0" w:color="auto"/>
            </w:tcBorders>
            <w:noWrap/>
            <w:hideMark/>
          </w:tcPr>
          <w:p w14:paraId="0D6B3BFA"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145</w:t>
            </w:r>
          </w:p>
        </w:tc>
        <w:tc>
          <w:tcPr>
            <w:tcW w:w="1049" w:type="dxa"/>
            <w:tcBorders>
              <w:top w:val="single" w:sz="4" w:space="0" w:color="auto"/>
              <w:left w:val="single" w:sz="4" w:space="0" w:color="auto"/>
              <w:bottom w:val="single" w:sz="4" w:space="0" w:color="auto"/>
              <w:right w:val="single" w:sz="4" w:space="0" w:color="auto"/>
            </w:tcBorders>
            <w:noWrap/>
            <w:hideMark/>
          </w:tcPr>
          <w:p w14:paraId="65E89A91"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668</w:t>
            </w:r>
          </w:p>
        </w:tc>
        <w:tc>
          <w:tcPr>
            <w:tcW w:w="1351" w:type="dxa"/>
            <w:tcBorders>
              <w:top w:val="single" w:sz="4" w:space="0" w:color="auto"/>
              <w:left w:val="single" w:sz="4" w:space="0" w:color="auto"/>
              <w:bottom w:val="single" w:sz="4" w:space="0" w:color="auto"/>
              <w:right w:val="single" w:sz="4" w:space="0" w:color="auto"/>
            </w:tcBorders>
            <w:noWrap/>
            <w:hideMark/>
          </w:tcPr>
          <w:p w14:paraId="277EA816"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22</w:t>
            </w:r>
          </w:p>
        </w:tc>
        <w:tc>
          <w:tcPr>
            <w:tcW w:w="1049" w:type="dxa"/>
            <w:tcBorders>
              <w:top w:val="single" w:sz="4" w:space="0" w:color="auto"/>
              <w:left w:val="single" w:sz="4" w:space="0" w:color="auto"/>
              <w:bottom w:val="single" w:sz="4" w:space="0" w:color="auto"/>
              <w:right w:val="single" w:sz="4" w:space="0" w:color="auto"/>
            </w:tcBorders>
            <w:noWrap/>
            <w:hideMark/>
          </w:tcPr>
          <w:p w14:paraId="41030DB0"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241</w:t>
            </w:r>
          </w:p>
        </w:tc>
      </w:tr>
      <w:tr w:rsidR="00C801A6" w:rsidRPr="00C801A6" w14:paraId="00BFD5F0" w14:textId="77777777" w:rsidTr="00347FDB">
        <w:trPr>
          <w:trHeight w:val="300"/>
        </w:trPr>
        <w:tc>
          <w:tcPr>
            <w:tcW w:w="1923" w:type="dxa"/>
            <w:tcBorders>
              <w:top w:val="single" w:sz="4" w:space="0" w:color="auto"/>
              <w:left w:val="single" w:sz="4" w:space="0" w:color="auto"/>
              <w:bottom w:val="single" w:sz="4" w:space="0" w:color="auto"/>
              <w:right w:val="single" w:sz="4" w:space="0" w:color="auto"/>
            </w:tcBorders>
            <w:noWrap/>
            <w:hideMark/>
          </w:tcPr>
          <w:p w14:paraId="49155704" w14:textId="77777777" w:rsidR="00575CDF" w:rsidRPr="00C801A6" w:rsidRDefault="00575CDF" w:rsidP="00347FDB">
            <w:pPr>
              <w:spacing w:before="20" w:after="20" w:line="264" w:lineRule="auto"/>
              <w:rPr>
                <w:rFonts w:eastAsia="Times New Roman" w:cs="Times New Roman"/>
                <w:color w:val="auto"/>
                <w:sz w:val="20"/>
                <w:szCs w:val="20"/>
                <w:lang w:eastAsia="fr-FR"/>
              </w:rPr>
            </w:pPr>
            <w:r w:rsidRPr="00C801A6">
              <w:rPr>
                <w:rFonts w:eastAsia="Times New Roman" w:cs="Times New Roman"/>
                <w:color w:val="auto"/>
                <w:sz w:val="20"/>
                <w:szCs w:val="20"/>
                <w:lang w:eastAsia="fr-FR"/>
              </w:rPr>
              <w:t>Analanjirofo</w:t>
            </w:r>
          </w:p>
        </w:tc>
        <w:tc>
          <w:tcPr>
            <w:tcW w:w="1304" w:type="dxa"/>
            <w:tcBorders>
              <w:top w:val="single" w:sz="4" w:space="0" w:color="auto"/>
              <w:left w:val="single" w:sz="4" w:space="0" w:color="auto"/>
              <w:bottom w:val="single" w:sz="4" w:space="0" w:color="auto"/>
              <w:right w:val="single" w:sz="4" w:space="0" w:color="auto"/>
            </w:tcBorders>
            <w:noWrap/>
            <w:hideMark/>
          </w:tcPr>
          <w:p w14:paraId="52B821C6"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1177</w:t>
            </w:r>
          </w:p>
        </w:tc>
        <w:tc>
          <w:tcPr>
            <w:tcW w:w="1096" w:type="dxa"/>
            <w:tcBorders>
              <w:top w:val="single" w:sz="4" w:space="0" w:color="auto"/>
              <w:left w:val="single" w:sz="4" w:space="0" w:color="auto"/>
              <w:bottom w:val="single" w:sz="4" w:space="0" w:color="auto"/>
              <w:right w:val="single" w:sz="4" w:space="0" w:color="auto"/>
            </w:tcBorders>
            <w:noWrap/>
            <w:hideMark/>
          </w:tcPr>
          <w:p w14:paraId="7CF4834A"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55</w:t>
            </w:r>
          </w:p>
        </w:tc>
        <w:tc>
          <w:tcPr>
            <w:tcW w:w="1351" w:type="dxa"/>
            <w:tcBorders>
              <w:top w:val="single" w:sz="4" w:space="0" w:color="auto"/>
              <w:left w:val="single" w:sz="4" w:space="0" w:color="auto"/>
              <w:bottom w:val="single" w:sz="4" w:space="0" w:color="auto"/>
              <w:right w:val="single" w:sz="4" w:space="0" w:color="auto"/>
            </w:tcBorders>
            <w:noWrap/>
            <w:hideMark/>
          </w:tcPr>
          <w:p w14:paraId="4B5DB055"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57</w:t>
            </w:r>
          </w:p>
        </w:tc>
        <w:tc>
          <w:tcPr>
            <w:tcW w:w="1049" w:type="dxa"/>
            <w:tcBorders>
              <w:top w:val="single" w:sz="4" w:space="0" w:color="auto"/>
              <w:left w:val="single" w:sz="4" w:space="0" w:color="auto"/>
              <w:bottom w:val="single" w:sz="4" w:space="0" w:color="auto"/>
              <w:right w:val="single" w:sz="4" w:space="0" w:color="auto"/>
            </w:tcBorders>
            <w:noWrap/>
            <w:hideMark/>
          </w:tcPr>
          <w:p w14:paraId="64428FDB"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33</w:t>
            </w:r>
          </w:p>
        </w:tc>
        <w:tc>
          <w:tcPr>
            <w:tcW w:w="1351" w:type="dxa"/>
            <w:tcBorders>
              <w:top w:val="single" w:sz="4" w:space="0" w:color="auto"/>
              <w:left w:val="single" w:sz="4" w:space="0" w:color="auto"/>
              <w:bottom w:val="single" w:sz="4" w:space="0" w:color="auto"/>
              <w:right w:val="single" w:sz="4" w:space="0" w:color="auto"/>
            </w:tcBorders>
            <w:noWrap/>
            <w:hideMark/>
          </w:tcPr>
          <w:p w14:paraId="6895C2BC"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6</w:t>
            </w:r>
          </w:p>
        </w:tc>
        <w:tc>
          <w:tcPr>
            <w:tcW w:w="1049" w:type="dxa"/>
            <w:tcBorders>
              <w:top w:val="single" w:sz="4" w:space="0" w:color="auto"/>
              <w:left w:val="single" w:sz="4" w:space="0" w:color="auto"/>
              <w:bottom w:val="single" w:sz="4" w:space="0" w:color="auto"/>
              <w:right w:val="single" w:sz="4" w:space="0" w:color="auto"/>
            </w:tcBorders>
            <w:noWrap/>
            <w:hideMark/>
          </w:tcPr>
          <w:p w14:paraId="545CA201"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9</w:t>
            </w:r>
          </w:p>
        </w:tc>
      </w:tr>
      <w:tr w:rsidR="00C801A6" w:rsidRPr="00C801A6" w14:paraId="4751B156" w14:textId="77777777" w:rsidTr="00347FDB">
        <w:trPr>
          <w:trHeight w:val="300"/>
        </w:trPr>
        <w:tc>
          <w:tcPr>
            <w:tcW w:w="1923" w:type="dxa"/>
            <w:tcBorders>
              <w:top w:val="single" w:sz="4" w:space="0" w:color="auto"/>
              <w:left w:val="single" w:sz="4" w:space="0" w:color="auto"/>
              <w:bottom w:val="single" w:sz="4" w:space="0" w:color="auto"/>
              <w:right w:val="single" w:sz="4" w:space="0" w:color="auto"/>
            </w:tcBorders>
            <w:noWrap/>
            <w:hideMark/>
          </w:tcPr>
          <w:p w14:paraId="5A7EF5EF" w14:textId="77777777" w:rsidR="00575CDF" w:rsidRPr="00C801A6" w:rsidRDefault="00575CDF" w:rsidP="00347FDB">
            <w:pPr>
              <w:spacing w:before="20" w:after="20" w:line="264" w:lineRule="auto"/>
              <w:rPr>
                <w:rFonts w:eastAsia="Times New Roman" w:cs="Times New Roman"/>
                <w:color w:val="auto"/>
                <w:sz w:val="20"/>
                <w:szCs w:val="20"/>
                <w:lang w:eastAsia="fr-FR"/>
              </w:rPr>
            </w:pPr>
            <w:r w:rsidRPr="00C801A6">
              <w:rPr>
                <w:rFonts w:eastAsia="Times New Roman" w:cs="Times New Roman"/>
                <w:color w:val="auto"/>
                <w:sz w:val="20"/>
                <w:szCs w:val="20"/>
                <w:lang w:eastAsia="fr-FR"/>
              </w:rPr>
              <w:t>Androy</w:t>
            </w:r>
          </w:p>
        </w:tc>
        <w:tc>
          <w:tcPr>
            <w:tcW w:w="1304" w:type="dxa"/>
            <w:tcBorders>
              <w:top w:val="single" w:sz="4" w:space="0" w:color="auto"/>
              <w:left w:val="single" w:sz="4" w:space="0" w:color="auto"/>
              <w:bottom w:val="single" w:sz="4" w:space="0" w:color="auto"/>
              <w:right w:val="single" w:sz="4" w:space="0" w:color="auto"/>
            </w:tcBorders>
            <w:noWrap/>
            <w:hideMark/>
          </w:tcPr>
          <w:p w14:paraId="53ADAFEF"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637</w:t>
            </w:r>
          </w:p>
        </w:tc>
        <w:tc>
          <w:tcPr>
            <w:tcW w:w="1096" w:type="dxa"/>
            <w:tcBorders>
              <w:top w:val="single" w:sz="4" w:space="0" w:color="auto"/>
              <w:left w:val="single" w:sz="4" w:space="0" w:color="auto"/>
              <w:bottom w:val="single" w:sz="4" w:space="0" w:color="auto"/>
              <w:right w:val="single" w:sz="4" w:space="0" w:color="auto"/>
            </w:tcBorders>
            <w:noWrap/>
            <w:hideMark/>
          </w:tcPr>
          <w:p w14:paraId="49434E86"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104</w:t>
            </w:r>
          </w:p>
        </w:tc>
        <w:tc>
          <w:tcPr>
            <w:tcW w:w="1351" w:type="dxa"/>
            <w:tcBorders>
              <w:top w:val="single" w:sz="4" w:space="0" w:color="auto"/>
              <w:left w:val="single" w:sz="4" w:space="0" w:color="auto"/>
              <w:bottom w:val="single" w:sz="4" w:space="0" w:color="auto"/>
              <w:right w:val="single" w:sz="4" w:space="0" w:color="auto"/>
            </w:tcBorders>
            <w:noWrap/>
            <w:hideMark/>
          </w:tcPr>
          <w:p w14:paraId="36283755"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18</w:t>
            </w:r>
          </w:p>
        </w:tc>
        <w:tc>
          <w:tcPr>
            <w:tcW w:w="1049" w:type="dxa"/>
            <w:tcBorders>
              <w:top w:val="single" w:sz="4" w:space="0" w:color="auto"/>
              <w:left w:val="single" w:sz="4" w:space="0" w:color="auto"/>
              <w:bottom w:val="single" w:sz="4" w:space="0" w:color="auto"/>
              <w:right w:val="single" w:sz="4" w:space="0" w:color="auto"/>
            </w:tcBorders>
            <w:noWrap/>
            <w:hideMark/>
          </w:tcPr>
          <w:p w14:paraId="3FDF8AC0"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7</w:t>
            </w:r>
          </w:p>
        </w:tc>
        <w:tc>
          <w:tcPr>
            <w:tcW w:w="1351" w:type="dxa"/>
            <w:tcBorders>
              <w:top w:val="single" w:sz="4" w:space="0" w:color="auto"/>
              <w:left w:val="single" w:sz="4" w:space="0" w:color="auto"/>
              <w:bottom w:val="single" w:sz="4" w:space="0" w:color="auto"/>
              <w:right w:val="single" w:sz="4" w:space="0" w:color="auto"/>
            </w:tcBorders>
            <w:noWrap/>
            <w:hideMark/>
          </w:tcPr>
          <w:p w14:paraId="7DDABD8A"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4</w:t>
            </w:r>
          </w:p>
        </w:tc>
        <w:tc>
          <w:tcPr>
            <w:tcW w:w="1049" w:type="dxa"/>
            <w:tcBorders>
              <w:top w:val="single" w:sz="4" w:space="0" w:color="auto"/>
              <w:left w:val="single" w:sz="4" w:space="0" w:color="auto"/>
              <w:bottom w:val="single" w:sz="4" w:space="0" w:color="auto"/>
              <w:right w:val="single" w:sz="4" w:space="0" w:color="auto"/>
            </w:tcBorders>
            <w:noWrap/>
            <w:hideMark/>
          </w:tcPr>
          <w:p w14:paraId="4BA65683"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1</w:t>
            </w:r>
          </w:p>
        </w:tc>
      </w:tr>
      <w:tr w:rsidR="00C801A6" w:rsidRPr="00C801A6" w14:paraId="3EF24070" w14:textId="77777777" w:rsidTr="00347FDB">
        <w:trPr>
          <w:trHeight w:val="300"/>
        </w:trPr>
        <w:tc>
          <w:tcPr>
            <w:tcW w:w="1923" w:type="dxa"/>
            <w:tcBorders>
              <w:top w:val="single" w:sz="4" w:space="0" w:color="auto"/>
              <w:left w:val="single" w:sz="4" w:space="0" w:color="auto"/>
              <w:bottom w:val="single" w:sz="4" w:space="0" w:color="auto"/>
              <w:right w:val="single" w:sz="4" w:space="0" w:color="auto"/>
            </w:tcBorders>
            <w:noWrap/>
            <w:hideMark/>
          </w:tcPr>
          <w:p w14:paraId="240D109A" w14:textId="77777777" w:rsidR="00575CDF" w:rsidRPr="00C801A6" w:rsidRDefault="00575CDF" w:rsidP="00347FDB">
            <w:pPr>
              <w:spacing w:before="20" w:after="20" w:line="264" w:lineRule="auto"/>
              <w:rPr>
                <w:rFonts w:eastAsia="Times New Roman" w:cs="Times New Roman"/>
                <w:color w:val="auto"/>
                <w:sz w:val="20"/>
                <w:szCs w:val="20"/>
                <w:lang w:eastAsia="fr-FR"/>
              </w:rPr>
            </w:pPr>
            <w:r w:rsidRPr="00C801A6">
              <w:rPr>
                <w:rFonts w:eastAsia="Times New Roman" w:cs="Times New Roman"/>
                <w:color w:val="auto"/>
                <w:sz w:val="20"/>
                <w:szCs w:val="20"/>
                <w:lang w:eastAsia="fr-FR"/>
              </w:rPr>
              <w:t>Anosy</w:t>
            </w:r>
          </w:p>
        </w:tc>
        <w:tc>
          <w:tcPr>
            <w:tcW w:w="1304" w:type="dxa"/>
            <w:tcBorders>
              <w:top w:val="single" w:sz="4" w:space="0" w:color="auto"/>
              <w:left w:val="single" w:sz="4" w:space="0" w:color="auto"/>
              <w:bottom w:val="single" w:sz="4" w:space="0" w:color="auto"/>
              <w:right w:val="single" w:sz="4" w:space="0" w:color="auto"/>
            </w:tcBorders>
            <w:noWrap/>
            <w:hideMark/>
          </w:tcPr>
          <w:p w14:paraId="2442AE0D"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511</w:t>
            </w:r>
          </w:p>
        </w:tc>
        <w:tc>
          <w:tcPr>
            <w:tcW w:w="1096" w:type="dxa"/>
            <w:tcBorders>
              <w:top w:val="single" w:sz="4" w:space="0" w:color="auto"/>
              <w:left w:val="single" w:sz="4" w:space="0" w:color="auto"/>
              <w:bottom w:val="single" w:sz="4" w:space="0" w:color="auto"/>
              <w:right w:val="single" w:sz="4" w:space="0" w:color="auto"/>
            </w:tcBorders>
            <w:noWrap/>
            <w:hideMark/>
          </w:tcPr>
          <w:p w14:paraId="2D1BF4DA"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68</w:t>
            </w:r>
          </w:p>
        </w:tc>
        <w:tc>
          <w:tcPr>
            <w:tcW w:w="1351" w:type="dxa"/>
            <w:tcBorders>
              <w:top w:val="single" w:sz="4" w:space="0" w:color="auto"/>
              <w:left w:val="single" w:sz="4" w:space="0" w:color="auto"/>
              <w:bottom w:val="single" w:sz="4" w:space="0" w:color="auto"/>
              <w:right w:val="single" w:sz="4" w:space="0" w:color="auto"/>
            </w:tcBorders>
            <w:noWrap/>
            <w:hideMark/>
          </w:tcPr>
          <w:p w14:paraId="248D17A7"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24</w:t>
            </w:r>
          </w:p>
        </w:tc>
        <w:tc>
          <w:tcPr>
            <w:tcW w:w="1049" w:type="dxa"/>
            <w:tcBorders>
              <w:top w:val="single" w:sz="4" w:space="0" w:color="auto"/>
              <w:left w:val="single" w:sz="4" w:space="0" w:color="auto"/>
              <w:bottom w:val="single" w:sz="4" w:space="0" w:color="auto"/>
              <w:right w:val="single" w:sz="4" w:space="0" w:color="auto"/>
            </w:tcBorders>
            <w:noWrap/>
            <w:hideMark/>
          </w:tcPr>
          <w:p w14:paraId="53D12DF2"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12</w:t>
            </w:r>
          </w:p>
        </w:tc>
        <w:tc>
          <w:tcPr>
            <w:tcW w:w="1351" w:type="dxa"/>
            <w:tcBorders>
              <w:top w:val="single" w:sz="4" w:space="0" w:color="auto"/>
              <w:left w:val="single" w:sz="4" w:space="0" w:color="auto"/>
              <w:bottom w:val="single" w:sz="4" w:space="0" w:color="auto"/>
              <w:right w:val="single" w:sz="4" w:space="0" w:color="auto"/>
            </w:tcBorders>
            <w:noWrap/>
            <w:hideMark/>
          </w:tcPr>
          <w:p w14:paraId="1ADC734F"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3</w:t>
            </w:r>
          </w:p>
        </w:tc>
        <w:tc>
          <w:tcPr>
            <w:tcW w:w="1049" w:type="dxa"/>
            <w:tcBorders>
              <w:top w:val="single" w:sz="4" w:space="0" w:color="auto"/>
              <w:left w:val="single" w:sz="4" w:space="0" w:color="auto"/>
              <w:bottom w:val="single" w:sz="4" w:space="0" w:color="auto"/>
              <w:right w:val="single" w:sz="4" w:space="0" w:color="auto"/>
            </w:tcBorders>
            <w:noWrap/>
            <w:hideMark/>
          </w:tcPr>
          <w:p w14:paraId="164061BD"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4</w:t>
            </w:r>
          </w:p>
        </w:tc>
      </w:tr>
      <w:tr w:rsidR="00C801A6" w:rsidRPr="00C801A6" w14:paraId="5C8D779F" w14:textId="77777777" w:rsidTr="00347FDB">
        <w:trPr>
          <w:trHeight w:val="300"/>
        </w:trPr>
        <w:tc>
          <w:tcPr>
            <w:tcW w:w="1923" w:type="dxa"/>
            <w:tcBorders>
              <w:top w:val="single" w:sz="4" w:space="0" w:color="auto"/>
              <w:left w:val="single" w:sz="4" w:space="0" w:color="auto"/>
              <w:bottom w:val="single" w:sz="4" w:space="0" w:color="auto"/>
              <w:right w:val="single" w:sz="4" w:space="0" w:color="auto"/>
            </w:tcBorders>
            <w:noWrap/>
            <w:hideMark/>
          </w:tcPr>
          <w:p w14:paraId="6E9EEC0A" w14:textId="77777777" w:rsidR="00575CDF" w:rsidRPr="00C801A6" w:rsidRDefault="00575CDF" w:rsidP="00347FDB">
            <w:pPr>
              <w:spacing w:before="20" w:after="20" w:line="264" w:lineRule="auto"/>
              <w:rPr>
                <w:rFonts w:eastAsia="Times New Roman" w:cs="Times New Roman"/>
                <w:color w:val="auto"/>
                <w:sz w:val="20"/>
                <w:szCs w:val="20"/>
                <w:lang w:eastAsia="fr-FR"/>
              </w:rPr>
            </w:pPr>
            <w:r w:rsidRPr="00C801A6">
              <w:rPr>
                <w:rFonts w:eastAsia="Times New Roman" w:cs="Times New Roman"/>
                <w:color w:val="auto"/>
                <w:sz w:val="20"/>
                <w:szCs w:val="20"/>
                <w:lang w:eastAsia="fr-FR"/>
              </w:rPr>
              <w:t>Atsimo Andrefana</w:t>
            </w:r>
          </w:p>
        </w:tc>
        <w:tc>
          <w:tcPr>
            <w:tcW w:w="1304" w:type="dxa"/>
            <w:tcBorders>
              <w:top w:val="single" w:sz="4" w:space="0" w:color="auto"/>
              <w:left w:val="single" w:sz="4" w:space="0" w:color="auto"/>
              <w:bottom w:val="single" w:sz="4" w:space="0" w:color="auto"/>
              <w:right w:val="single" w:sz="4" w:space="0" w:color="auto"/>
            </w:tcBorders>
            <w:noWrap/>
            <w:hideMark/>
          </w:tcPr>
          <w:p w14:paraId="61D2364A"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1 048</w:t>
            </w:r>
          </w:p>
        </w:tc>
        <w:tc>
          <w:tcPr>
            <w:tcW w:w="1096" w:type="dxa"/>
            <w:tcBorders>
              <w:top w:val="single" w:sz="4" w:space="0" w:color="auto"/>
              <w:left w:val="single" w:sz="4" w:space="0" w:color="auto"/>
              <w:bottom w:val="single" w:sz="4" w:space="0" w:color="auto"/>
              <w:right w:val="single" w:sz="4" w:space="0" w:color="auto"/>
            </w:tcBorders>
            <w:noWrap/>
            <w:hideMark/>
          </w:tcPr>
          <w:p w14:paraId="58799C0F"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266</w:t>
            </w:r>
          </w:p>
        </w:tc>
        <w:tc>
          <w:tcPr>
            <w:tcW w:w="1351" w:type="dxa"/>
            <w:tcBorders>
              <w:top w:val="single" w:sz="4" w:space="0" w:color="auto"/>
              <w:left w:val="single" w:sz="4" w:space="0" w:color="auto"/>
              <w:bottom w:val="single" w:sz="4" w:space="0" w:color="auto"/>
              <w:right w:val="single" w:sz="4" w:space="0" w:color="auto"/>
            </w:tcBorders>
            <w:noWrap/>
            <w:hideMark/>
          </w:tcPr>
          <w:p w14:paraId="4C64C9DC"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63</w:t>
            </w:r>
          </w:p>
        </w:tc>
        <w:tc>
          <w:tcPr>
            <w:tcW w:w="1049" w:type="dxa"/>
            <w:tcBorders>
              <w:top w:val="single" w:sz="4" w:space="0" w:color="auto"/>
              <w:left w:val="single" w:sz="4" w:space="0" w:color="auto"/>
              <w:bottom w:val="single" w:sz="4" w:space="0" w:color="auto"/>
              <w:right w:val="single" w:sz="4" w:space="0" w:color="auto"/>
            </w:tcBorders>
            <w:noWrap/>
            <w:hideMark/>
          </w:tcPr>
          <w:p w14:paraId="51A0D1AA"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45</w:t>
            </w:r>
          </w:p>
        </w:tc>
        <w:tc>
          <w:tcPr>
            <w:tcW w:w="1351" w:type="dxa"/>
            <w:tcBorders>
              <w:top w:val="single" w:sz="4" w:space="0" w:color="auto"/>
              <w:left w:val="single" w:sz="4" w:space="0" w:color="auto"/>
              <w:bottom w:val="single" w:sz="4" w:space="0" w:color="auto"/>
              <w:right w:val="single" w:sz="4" w:space="0" w:color="auto"/>
            </w:tcBorders>
            <w:noWrap/>
            <w:hideMark/>
          </w:tcPr>
          <w:p w14:paraId="2198514F"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9</w:t>
            </w:r>
          </w:p>
        </w:tc>
        <w:tc>
          <w:tcPr>
            <w:tcW w:w="1049" w:type="dxa"/>
            <w:tcBorders>
              <w:top w:val="single" w:sz="4" w:space="0" w:color="auto"/>
              <w:left w:val="single" w:sz="4" w:space="0" w:color="auto"/>
              <w:bottom w:val="single" w:sz="4" w:space="0" w:color="auto"/>
              <w:right w:val="single" w:sz="4" w:space="0" w:color="auto"/>
            </w:tcBorders>
            <w:noWrap/>
            <w:hideMark/>
          </w:tcPr>
          <w:p w14:paraId="6B740269"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12</w:t>
            </w:r>
          </w:p>
        </w:tc>
      </w:tr>
      <w:tr w:rsidR="00C801A6" w:rsidRPr="00C801A6" w14:paraId="08F98CF7" w14:textId="77777777" w:rsidTr="00347FDB">
        <w:trPr>
          <w:trHeight w:val="300"/>
        </w:trPr>
        <w:tc>
          <w:tcPr>
            <w:tcW w:w="1923" w:type="dxa"/>
            <w:tcBorders>
              <w:top w:val="single" w:sz="4" w:space="0" w:color="auto"/>
              <w:left w:val="single" w:sz="4" w:space="0" w:color="auto"/>
              <w:bottom w:val="single" w:sz="4" w:space="0" w:color="auto"/>
              <w:right w:val="single" w:sz="4" w:space="0" w:color="auto"/>
            </w:tcBorders>
            <w:noWrap/>
            <w:hideMark/>
          </w:tcPr>
          <w:p w14:paraId="3A32E3CE" w14:textId="77777777" w:rsidR="00575CDF" w:rsidRPr="00C801A6" w:rsidRDefault="00575CDF" w:rsidP="00347FDB">
            <w:pPr>
              <w:spacing w:before="20" w:after="20" w:line="264" w:lineRule="auto"/>
              <w:rPr>
                <w:rFonts w:eastAsia="Times New Roman" w:cs="Times New Roman"/>
                <w:color w:val="auto"/>
                <w:sz w:val="20"/>
                <w:szCs w:val="20"/>
                <w:lang w:eastAsia="fr-FR"/>
              </w:rPr>
            </w:pPr>
            <w:r w:rsidRPr="00C801A6">
              <w:rPr>
                <w:rFonts w:eastAsia="Times New Roman" w:cs="Times New Roman"/>
                <w:color w:val="auto"/>
                <w:sz w:val="20"/>
                <w:szCs w:val="20"/>
                <w:lang w:eastAsia="fr-FR"/>
              </w:rPr>
              <w:t>Atsimo Atsinanana</w:t>
            </w:r>
          </w:p>
        </w:tc>
        <w:tc>
          <w:tcPr>
            <w:tcW w:w="1304" w:type="dxa"/>
            <w:tcBorders>
              <w:top w:val="single" w:sz="4" w:space="0" w:color="auto"/>
              <w:left w:val="single" w:sz="4" w:space="0" w:color="auto"/>
              <w:bottom w:val="single" w:sz="4" w:space="0" w:color="auto"/>
              <w:right w:val="single" w:sz="4" w:space="0" w:color="auto"/>
            </w:tcBorders>
            <w:noWrap/>
            <w:hideMark/>
          </w:tcPr>
          <w:p w14:paraId="4D5A35E5"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886</w:t>
            </w:r>
          </w:p>
        </w:tc>
        <w:tc>
          <w:tcPr>
            <w:tcW w:w="1096" w:type="dxa"/>
            <w:tcBorders>
              <w:top w:val="single" w:sz="4" w:space="0" w:color="auto"/>
              <w:left w:val="single" w:sz="4" w:space="0" w:color="auto"/>
              <w:bottom w:val="single" w:sz="4" w:space="0" w:color="auto"/>
              <w:right w:val="single" w:sz="4" w:space="0" w:color="auto"/>
            </w:tcBorders>
            <w:noWrap/>
            <w:hideMark/>
          </w:tcPr>
          <w:p w14:paraId="18D266CA"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19</w:t>
            </w:r>
          </w:p>
        </w:tc>
        <w:tc>
          <w:tcPr>
            <w:tcW w:w="1351" w:type="dxa"/>
            <w:tcBorders>
              <w:top w:val="single" w:sz="4" w:space="0" w:color="auto"/>
              <w:left w:val="single" w:sz="4" w:space="0" w:color="auto"/>
              <w:bottom w:val="single" w:sz="4" w:space="0" w:color="auto"/>
              <w:right w:val="single" w:sz="4" w:space="0" w:color="auto"/>
            </w:tcBorders>
            <w:noWrap/>
            <w:hideMark/>
          </w:tcPr>
          <w:p w14:paraId="5ABE09A1"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52</w:t>
            </w:r>
          </w:p>
        </w:tc>
        <w:tc>
          <w:tcPr>
            <w:tcW w:w="1049" w:type="dxa"/>
            <w:tcBorders>
              <w:top w:val="single" w:sz="4" w:space="0" w:color="auto"/>
              <w:left w:val="single" w:sz="4" w:space="0" w:color="auto"/>
              <w:bottom w:val="single" w:sz="4" w:space="0" w:color="auto"/>
              <w:right w:val="single" w:sz="4" w:space="0" w:color="auto"/>
            </w:tcBorders>
            <w:noWrap/>
            <w:hideMark/>
          </w:tcPr>
          <w:p w14:paraId="478452CF"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8</w:t>
            </w:r>
          </w:p>
        </w:tc>
        <w:tc>
          <w:tcPr>
            <w:tcW w:w="1351" w:type="dxa"/>
            <w:tcBorders>
              <w:top w:val="single" w:sz="4" w:space="0" w:color="auto"/>
              <w:left w:val="single" w:sz="4" w:space="0" w:color="auto"/>
              <w:bottom w:val="single" w:sz="4" w:space="0" w:color="auto"/>
              <w:right w:val="single" w:sz="4" w:space="0" w:color="auto"/>
            </w:tcBorders>
            <w:noWrap/>
            <w:hideMark/>
          </w:tcPr>
          <w:p w14:paraId="3A69A990"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4</w:t>
            </w:r>
          </w:p>
        </w:tc>
        <w:tc>
          <w:tcPr>
            <w:tcW w:w="1049" w:type="dxa"/>
            <w:tcBorders>
              <w:top w:val="single" w:sz="4" w:space="0" w:color="auto"/>
              <w:left w:val="single" w:sz="4" w:space="0" w:color="auto"/>
              <w:bottom w:val="single" w:sz="4" w:space="0" w:color="auto"/>
              <w:right w:val="single" w:sz="4" w:space="0" w:color="auto"/>
            </w:tcBorders>
            <w:noWrap/>
            <w:hideMark/>
          </w:tcPr>
          <w:p w14:paraId="029AD567"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4</w:t>
            </w:r>
          </w:p>
        </w:tc>
      </w:tr>
      <w:tr w:rsidR="00C801A6" w:rsidRPr="00C801A6" w14:paraId="066B5B7F" w14:textId="77777777" w:rsidTr="00347FDB">
        <w:trPr>
          <w:trHeight w:val="300"/>
        </w:trPr>
        <w:tc>
          <w:tcPr>
            <w:tcW w:w="1923" w:type="dxa"/>
            <w:tcBorders>
              <w:top w:val="single" w:sz="4" w:space="0" w:color="auto"/>
              <w:left w:val="single" w:sz="4" w:space="0" w:color="auto"/>
              <w:bottom w:val="single" w:sz="4" w:space="0" w:color="auto"/>
              <w:right w:val="single" w:sz="4" w:space="0" w:color="auto"/>
            </w:tcBorders>
            <w:noWrap/>
            <w:hideMark/>
          </w:tcPr>
          <w:p w14:paraId="68A18A37" w14:textId="77777777" w:rsidR="00575CDF" w:rsidRPr="00C801A6" w:rsidRDefault="00575CDF" w:rsidP="00347FDB">
            <w:pPr>
              <w:spacing w:before="20" w:after="20" w:line="264" w:lineRule="auto"/>
              <w:rPr>
                <w:rFonts w:eastAsia="Times New Roman" w:cs="Times New Roman"/>
                <w:color w:val="auto"/>
                <w:sz w:val="20"/>
                <w:szCs w:val="20"/>
                <w:lang w:eastAsia="fr-FR"/>
              </w:rPr>
            </w:pPr>
            <w:r w:rsidRPr="00C801A6">
              <w:rPr>
                <w:rFonts w:eastAsia="Times New Roman" w:cs="Times New Roman"/>
                <w:color w:val="auto"/>
                <w:sz w:val="20"/>
                <w:szCs w:val="20"/>
                <w:lang w:eastAsia="fr-FR"/>
              </w:rPr>
              <w:t>Atsinanana</w:t>
            </w:r>
          </w:p>
        </w:tc>
        <w:tc>
          <w:tcPr>
            <w:tcW w:w="1304" w:type="dxa"/>
            <w:tcBorders>
              <w:top w:val="single" w:sz="4" w:space="0" w:color="auto"/>
              <w:left w:val="single" w:sz="4" w:space="0" w:color="auto"/>
              <w:bottom w:val="single" w:sz="4" w:space="0" w:color="auto"/>
              <w:right w:val="single" w:sz="4" w:space="0" w:color="auto"/>
            </w:tcBorders>
            <w:noWrap/>
            <w:hideMark/>
          </w:tcPr>
          <w:p w14:paraId="18405071"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1344</w:t>
            </w:r>
          </w:p>
        </w:tc>
        <w:tc>
          <w:tcPr>
            <w:tcW w:w="1096" w:type="dxa"/>
            <w:tcBorders>
              <w:top w:val="single" w:sz="4" w:space="0" w:color="auto"/>
              <w:left w:val="single" w:sz="4" w:space="0" w:color="auto"/>
              <w:bottom w:val="single" w:sz="4" w:space="0" w:color="auto"/>
              <w:right w:val="single" w:sz="4" w:space="0" w:color="auto"/>
            </w:tcBorders>
            <w:noWrap/>
            <w:hideMark/>
          </w:tcPr>
          <w:p w14:paraId="765ABBE4"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114</w:t>
            </w:r>
          </w:p>
        </w:tc>
        <w:tc>
          <w:tcPr>
            <w:tcW w:w="1351" w:type="dxa"/>
            <w:tcBorders>
              <w:top w:val="single" w:sz="4" w:space="0" w:color="auto"/>
              <w:left w:val="single" w:sz="4" w:space="0" w:color="auto"/>
              <w:bottom w:val="single" w:sz="4" w:space="0" w:color="auto"/>
              <w:right w:val="single" w:sz="4" w:space="0" w:color="auto"/>
            </w:tcBorders>
            <w:noWrap/>
            <w:hideMark/>
          </w:tcPr>
          <w:p w14:paraId="11E7068D"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90</w:t>
            </w:r>
          </w:p>
        </w:tc>
        <w:tc>
          <w:tcPr>
            <w:tcW w:w="1049" w:type="dxa"/>
            <w:tcBorders>
              <w:top w:val="single" w:sz="4" w:space="0" w:color="auto"/>
              <w:left w:val="single" w:sz="4" w:space="0" w:color="auto"/>
              <w:bottom w:val="single" w:sz="4" w:space="0" w:color="auto"/>
              <w:right w:val="single" w:sz="4" w:space="0" w:color="auto"/>
            </w:tcBorders>
            <w:noWrap/>
            <w:hideMark/>
          </w:tcPr>
          <w:p w14:paraId="66F31847"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43</w:t>
            </w:r>
          </w:p>
        </w:tc>
        <w:tc>
          <w:tcPr>
            <w:tcW w:w="1351" w:type="dxa"/>
            <w:tcBorders>
              <w:top w:val="single" w:sz="4" w:space="0" w:color="auto"/>
              <w:left w:val="single" w:sz="4" w:space="0" w:color="auto"/>
              <w:bottom w:val="single" w:sz="4" w:space="0" w:color="auto"/>
              <w:right w:val="single" w:sz="4" w:space="0" w:color="auto"/>
            </w:tcBorders>
            <w:noWrap/>
            <w:hideMark/>
          </w:tcPr>
          <w:p w14:paraId="16F73975"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6</w:t>
            </w:r>
          </w:p>
        </w:tc>
        <w:tc>
          <w:tcPr>
            <w:tcW w:w="1049" w:type="dxa"/>
            <w:tcBorders>
              <w:top w:val="single" w:sz="4" w:space="0" w:color="auto"/>
              <w:left w:val="single" w:sz="4" w:space="0" w:color="auto"/>
              <w:bottom w:val="single" w:sz="4" w:space="0" w:color="auto"/>
              <w:right w:val="single" w:sz="4" w:space="0" w:color="auto"/>
            </w:tcBorders>
            <w:noWrap/>
            <w:hideMark/>
          </w:tcPr>
          <w:p w14:paraId="2563F2EE"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8</w:t>
            </w:r>
          </w:p>
        </w:tc>
      </w:tr>
      <w:tr w:rsidR="00C801A6" w:rsidRPr="00C801A6" w14:paraId="655BCB98" w14:textId="77777777" w:rsidTr="00347FDB">
        <w:trPr>
          <w:trHeight w:val="300"/>
        </w:trPr>
        <w:tc>
          <w:tcPr>
            <w:tcW w:w="1923" w:type="dxa"/>
            <w:tcBorders>
              <w:top w:val="single" w:sz="4" w:space="0" w:color="auto"/>
              <w:left w:val="single" w:sz="4" w:space="0" w:color="auto"/>
              <w:bottom w:val="single" w:sz="4" w:space="0" w:color="auto"/>
              <w:right w:val="single" w:sz="4" w:space="0" w:color="auto"/>
            </w:tcBorders>
            <w:noWrap/>
            <w:hideMark/>
          </w:tcPr>
          <w:p w14:paraId="5FA1D21B" w14:textId="77777777" w:rsidR="00575CDF" w:rsidRPr="00C801A6" w:rsidRDefault="00575CDF" w:rsidP="00347FDB">
            <w:pPr>
              <w:spacing w:before="20" w:after="20" w:line="264" w:lineRule="auto"/>
              <w:rPr>
                <w:rFonts w:eastAsia="Times New Roman" w:cs="Times New Roman"/>
                <w:color w:val="auto"/>
                <w:sz w:val="20"/>
                <w:szCs w:val="20"/>
                <w:lang w:eastAsia="fr-FR"/>
              </w:rPr>
            </w:pPr>
            <w:r w:rsidRPr="00C801A6">
              <w:rPr>
                <w:rFonts w:eastAsia="Times New Roman" w:cs="Times New Roman"/>
                <w:color w:val="auto"/>
                <w:sz w:val="20"/>
                <w:szCs w:val="20"/>
                <w:lang w:eastAsia="fr-FR"/>
              </w:rPr>
              <w:t>Betsiboka</w:t>
            </w:r>
          </w:p>
        </w:tc>
        <w:tc>
          <w:tcPr>
            <w:tcW w:w="1304" w:type="dxa"/>
            <w:tcBorders>
              <w:top w:val="single" w:sz="4" w:space="0" w:color="auto"/>
              <w:left w:val="single" w:sz="4" w:space="0" w:color="auto"/>
              <w:bottom w:val="single" w:sz="4" w:space="0" w:color="auto"/>
              <w:right w:val="single" w:sz="4" w:space="0" w:color="auto"/>
            </w:tcBorders>
            <w:noWrap/>
            <w:hideMark/>
          </w:tcPr>
          <w:p w14:paraId="5E062DC6"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396</w:t>
            </w:r>
          </w:p>
        </w:tc>
        <w:tc>
          <w:tcPr>
            <w:tcW w:w="1096" w:type="dxa"/>
            <w:tcBorders>
              <w:top w:val="single" w:sz="4" w:space="0" w:color="auto"/>
              <w:left w:val="single" w:sz="4" w:space="0" w:color="auto"/>
              <w:bottom w:val="single" w:sz="4" w:space="0" w:color="auto"/>
              <w:right w:val="single" w:sz="4" w:space="0" w:color="auto"/>
            </w:tcBorders>
            <w:noWrap/>
            <w:hideMark/>
          </w:tcPr>
          <w:p w14:paraId="2E16E836"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22</w:t>
            </w:r>
          </w:p>
        </w:tc>
        <w:tc>
          <w:tcPr>
            <w:tcW w:w="1351" w:type="dxa"/>
            <w:tcBorders>
              <w:top w:val="single" w:sz="4" w:space="0" w:color="auto"/>
              <w:left w:val="single" w:sz="4" w:space="0" w:color="auto"/>
              <w:bottom w:val="single" w:sz="4" w:space="0" w:color="auto"/>
              <w:right w:val="single" w:sz="4" w:space="0" w:color="auto"/>
            </w:tcBorders>
            <w:noWrap/>
            <w:hideMark/>
          </w:tcPr>
          <w:p w14:paraId="3FD72CF2"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20</w:t>
            </w:r>
          </w:p>
        </w:tc>
        <w:tc>
          <w:tcPr>
            <w:tcW w:w="1049" w:type="dxa"/>
            <w:tcBorders>
              <w:top w:val="single" w:sz="4" w:space="0" w:color="auto"/>
              <w:left w:val="single" w:sz="4" w:space="0" w:color="auto"/>
              <w:bottom w:val="single" w:sz="4" w:space="0" w:color="auto"/>
              <w:right w:val="single" w:sz="4" w:space="0" w:color="auto"/>
            </w:tcBorders>
            <w:noWrap/>
            <w:hideMark/>
          </w:tcPr>
          <w:p w14:paraId="3CE404C6"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5</w:t>
            </w:r>
          </w:p>
        </w:tc>
        <w:tc>
          <w:tcPr>
            <w:tcW w:w="1351" w:type="dxa"/>
            <w:tcBorders>
              <w:top w:val="single" w:sz="4" w:space="0" w:color="auto"/>
              <w:left w:val="single" w:sz="4" w:space="0" w:color="auto"/>
              <w:bottom w:val="single" w:sz="4" w:space="0" w:color="auto"/>
              <w:right w:val="single" w:sz="4" w:space="0" w:color="auto"/>
            </w:tcBorders>
            <w:noWrap/>
            <w:hideMark/>
          </w:tcPr>
          <w:p w14:paraId="1297F700"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3</w:t>
            </w:r>
          </w:p>
        </w:tc>
        <w:tc>
          <w:tcPr>
            <w:tcW w:w="1049" w:type="dxa"/>
            <w:tcBorders>
              <w:top w:val="single" w:sz="4" w:space="0" w:color="auto"/>
              <w:left w:val="single" w:sz="4" w:space="0" w:color="auto"/>
              <w:bottom w:val="single" w:sz="4" w:space="0" w:color="auto"/>
              <w:right w:val="single" w:sz="4" w:space="0" w:color="auto"/>
            </w:tcBorders>
            <w:noWrap/>
            <w:hideMark/>
          </w:tcPr>
          <w:p w14:paraId="6AEB7105"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1</w:t>
            </w:r>
          </w:p>
        </w:tc>
      </w:tr>
      <w:tr w:rsidR="00C801A6" w:rsidRPr="00C801A6" w14:paraId="793CFB76" w14:textId="77777777" w:rsidTr="00347FDB">
        <w:trPr>
          <w:trHeight w:val="300"/>
        </w:trPr>
        <w:tc>
          <w:tcPr>
            <w:tcW w:w="1923" w:type="dxa"/>
            <w:tcBorders>
              <w:top w:val="single" w:sz="4" w:space="0" w:color="auto"/>
              <w:left w:val="single" w:sz="4" w:space="0" w:color="auto"/>
              <w:bottom w:val="single" w:sz="4" w:space="0" w:color="auto"/>
              <w:right w:val="single" w:sz="4" w:space="0" w:color="auto"/>
            </w:tcBorders>
            <w:noWrap/>
            <w:hideMark/>
          </w:tcPr>
          <w:p w14:paraId="0D9E6CF3" w14:textId="77777777" w:rsidR="00575CDF" w:rsidRPr="00C801A6" w:rsidRDefault="00575CDF" w:rsidP="00347FDB">
            <w:pPr>
              <w:spacing w:before="20" w:after="20" w:line="264" w:lineRule="auto"/>
              <w:rPr>
                <w:rFonts w:eastAsia="Times New Roman" w:cs="Times New Roman"/>
                <w:color w:val="auto"/>
                <w:sz w:val="20"/>
                <w:szCs w:val="20"/>
                <w:lang w:eastAsia="fr-FR"/>
              </w:rPr>
            </w:pPr>
            <w:r w:rsidRPr="00C801A6">
              <w:rPr>
                <w:rFonts w:eastAsia="Times New Roman" w:cs="Times New Roman"/>
                <w:color w:val="auto"/>
                <w:sz w:val="20"/>
                <w:szCs w:val="20"/>
                <w:lang w:eastAsia="fr-FR"/>
              </w:rPr>
              <w:t>Boeny</w:t>
            </w:r>
          </w:p>
        </w:tc>
        <w:tc>
          <w:tcPr>
            <w:tcW w:w="1304" w:type="dxa"/>
            <w:tcBorders>
              <w:top w:val="single" w:sz="4" w:space="0" w:color="auto"/>
              <w:left w:val="single" w:sz="4" w:space="0" w:color="auto"/>
              <w:bottom w:val="single" w:sz="4" w:space="0" w:color="auto"/>
              <w:right w:val="single" w:sz="4" w:space="0" w:color="auto"/>
            </w:tcBorders>
            <w:noWrap/>
            <w:hideMark/>
          </w:tcPr>
          <w:p w14:paraId="11C65AE1"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583</w:t>
            </w:r>
          </w:p>
        </w:tc>
        <w:tc>
          <w:tcPr>
            <w:tcW w:w="1096" w:type="dxa"/>
            <w:tcBorders>
              <w:top w:val="single" w:sz="4" w:space="0" w:color="auto"/>
              <w:left w:val="single" w:sz="4" w:space="0" w:color="auto"/>
              <w:bottom w:val="single" w:sz="4" w:space="0" w:color="auto"/>
              <w:right w:val="single" w:sz="4" w:space="0" w:color="auto"/>
            </w:tcBorders>
            <w:noWrap/>
            <w:hideMark/>
          </w:tcPr>
          <w:p w14:paraId="019930D9"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155</w:t>
            </w:r>
          </w:p>
        </w:tc>
        <w:tc>
          <w:tcPr>
            <w:tcW w:w="1351" w:type="dxa"/>
            <w:tcBorders>
              <w:top w:val="single" w:sz="4" w:space="0" w:color="auto"/>
              <w:left w:val="single" w:sz="4" w:space="0" w:color="auto"/>
              <w:bottom w:val="single" w:sz="4" w:space="0" w:color="auto"/>
              <w:right w:val="single" w:sz="4" w:space="0" w:color="auto"/>
            </w:tcBorders>
            <w:noWrap/>
            <w:hideMark/>
          </w:tcPr>
          <w:p w14:paraId="6CF3B6C4"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30</w:t>
            </w:r>
          </w:p>
        </w:tc>
        <w:tc>
          <w:tcPr>
            <w:tcW w:w="1049" w:type="dxa"/>
            <w:tcBorders>
              <w:top w:val="single" w:sz="4" w:space="0" w:color="auto"/>
              <w:left w:val="single" w:sz="4" w:space="0" w:color="auto"/>
              <w:bottom w:val="single" w:sz="4" w:space="0" w:color="auto"/>
              <w:right w:val="single" w:sz="4" w:space="0" w:color="auto"/>
            </w:tcBorders>
            <w:noWrap/>
            <w:hideMark/>
          </w:tcPr>
          <w:p w14:paraId="5CB77769"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67</w:t>
            </w:r>
          </w:p>
        </w:tc>
        <w:tc>
          <w:tcPr>
            <w:tcW w:w="1351" w:type="dxa"/>
            <w:tcBorders>
              <w:top w:val="single" w:sz="4" w:space="0" w:color="auto"/>
              <w:left w:val="single" w:sz="4" w:space="0" w:color="auto"/>
              <w:bottom w:val="single" w:sz="4" w:space="0" w:color="auto"/>
              <w:right w:val="single" w:sz="4" w:space="0" w:color="auto"/>
            </w:tcBorders>
            <w:noWrap/>
            <w:hideMark/>
          </w:tcPr>
          <w:p w14:paraId="056CE66B"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5</w:t>
            </w:r>
          </w:p>
        </w:tc>
        <w:tc>
          <w:tcPr>
            <w:tcW w:w="1049" w:type="dxa"/>
            <w:tcBorders>
              <w:top w:val="single" w:sz="4" w:space="0" w:color="auto"/>
              <w:left w:val="single" w:sz="4" w:space="0" w:color="auto"/>
              <w:bottom w:val="single" w:sz="4" w:space="0" w:color="auto"/>
              <w:right w:val="single" w:sz="4" w:space="0" w:color="auto"/>
            </w:tcBorders>
            <w:noWrap/>
            <w:hideMark/>
          </w:tcPr>
          <w:p w14:paraId="3DD0403B"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16</w:t>
            </w:r>
          </w:p>
        </w:tc>
      </w:tr>
      <w:tr w:rsidR="00C801A6" w:rsidRPr="00C801A6" w14:paraId="690CD4FF" w14:textId="77777777" w:rsidTr="00347FDB">
        <w:trPr>
          <w:trHeight w:val="300"/>
        </w:trPr>
        <w:tc>
          <w:tcPr>
            <w:tcW w:w="1923" w:type="dxa"/>
            <w:tcBorders>
              <w:top w:val="single" w:sz="4" w:space="0" w:color="auto"/>
              <w:left w:val="single" w:sz="4" w:space="0" w:color="auto"/>
              <w:bottom w:val="single" w:sz="4" w:space="0" w:color="auto"/>
              <w:right w:val="single" w:sz="4" w:space="0" w:color="auto"/>
            </w:tcBorders>
            <w:noWrap/>
            <w:hideMark/>
          </w:tcPr>
          <w:p w14:paraId="3387CA84" w14:textId="77777777" w:rsidR="00575CDF" w:rsidRPr="00C801A6" w:rsidRDefault="00575CDF" w:rsidP="00347FDB">
            <w:pPr>
              <w:spacing w:before="20" w:after="20" w:line="264" w:lineRule="auto"/>
              <w:rPr>
                <w:rFonts w:eastAsia="Times New Roman" w:cs="Times New Roman"/>
                <w:color w:val="auto"/>
                <w:sz w:val="20"/>
                <w:szCs w:val="20"/>
                <w:lang w:eastAsia="fr-FR"/>
              </w:rPr>
            </w:pPr>
            <w:r w:rsidRPr="00C801A6">
              <w:rPr>
                <w:rFonts w:eastAsia="Times New Roman" w:cs="Times New Roman"/>
                <w:color w:val="auto"/>
                <w:sz w:val="20"/>
                <w:szCs w:val="20"/>
                <w:lang w:eastAsia="fr-FR"/>
              </w:rPr>
              <w:t>Bongolava</w:t>
            </w:r>
          </w:p>
        </w:tc>
        <w:tc>
          <w:tcPr>
            <w:tcW w:w="1304" w:type="dxa"/>
            <w:tcBorders>
              <w:top w:val="single" w:sz="4" w:space="0" w:color="auto"/>
              <w:left w:val="single" w:sz="4" w:space="0" w:color="auto"/>
              <w:bottom w:val="single" w:sz="4" w:space="0" w:color="auto"/>
              <w:right w:val="single" w:sz="4" w:space="0" w:color="auto"/>
            </w:tcBorders>
            <w:noWrap/>
            <w:hideMark/>
          </w:tcPr>
          <w:p w14:paraId="7B70EC1D"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422</w:t>
            </w:r>
          </w:p>
        </w:tc>
        <w:tc>
          <w:tcPr>
            <w:tcW w:w="1096" w:type="dxa"/>
            <w:tcBorders>
              <w:top w:val="single" w:sz="4" w:space="0" w:color="auto"/>
              <w:left w:val="single" w:sz="4" w:space="0" w:color="auto"/>
              <w:bottom w:val="single" w:sz="4" w:space="0" w:color="auto"/>
              <w:right w:val="single" w:sz="4" w:space="0" w:color="auto"/>
            </w:tcBorders>
            <w:noWrap/>
            <w:hideMark/>
          </w:tcPr>
          <w:p w14:paraId="361EFD49"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295</w:t>
            </w:r>
          </w:p>
        </w:tc>
        <w:tc>
          <w:tcPr>
            <w:tcW w:w="1351" w:type="dxa"/>
            <w:tcBorders>
              <w:top w:val="single" w:sz="4" w:space="0" w:color="auto"/>
              <w:left w:val="single" w:sz="4" w:space="0" w:color="auto"/>
              <w:bottom w:val="single" w:sz="4" w:space="0" w:color="auto"/>
              <w:right w:val="single" w:sz="4" w:space="0" w:color="auto"/>
            </w:tcBorders>
            <w:noWrap/>
            <w:hideMark/>
          </w:tcPr>
          <w:p w14:paraId="5DE7B0F6"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21</w:t>
            </w:r>
          </w:p>
        </w:tc>
        <w:tc>
          <w:tcPr>
            <w:tcW w:w="1049" w:type="dxa"/>
            <w:tcBorders>
              <w:top w:val="single" w:sz="4" w:space="0" w:color="auto"/>
              <w:left w:val="single" w:sz="4" w:space="0" w:color="auto"/>
              <w:bottom w:val="single" w:sz="4" w:space="0" w:color="auto"/>
              <w:right w:val="single" w:sz="4" w:space="0" w:color="auto"/>
            </w:tcBorders>
            <w:noWrap/>
            <w:hideMark/>
          </w:tcPr>
          <w:p w14:paraId="1C7CA63C"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18</w:t>
            </w:r>
          </w:p>
        </w:tc>
        <w:tc>
          <w:tcPr>
            <w:tcW w:w="1351" w:type="dxa"/>
            <w:tcBorders>
              <w:top w:val="single" w:sz="4" w:space="0" w:color="auto"/>
              <w:left w:val="single" w:sz="4" w:space="0" w:color="auto"/>
              <w:bottom w:val="single" w:sz="4" w:space="0" w:color="auto"/>
              <w:right w:val="single" w:sz="4" w:space="0" w:color="auto"/>
            </w:tcBorders>
            <w:noWrap/>
            <w:hideMark/>
          </w:tcPr>
          <w:p w14:paraId="75020F9B"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1</w:t>
            </w:r>
          </w:p>
        </w:tc>
        <w:tc>
          <w:tcPr>
            <w:tcW w:w="1049" w:type="dxa"/>
            <w:tcBorders>
              <w:top w:val="single" w:sz="4" w:space="0" w:color="auto"/>
              <w:left w:val="single" w:sz="4" w:space="0" w:color="auto"/>
              <w:bottom w:val="single" w:sz="4" w:space="0" w:color="auto"/>
              <w:right w:val="single" w:sz="4" w:space="0" w:color="auto"/>
            </w:tcBorders>
            <w:noWrap/>
            <w:hideMark/>
          </w:tcPr>
          <w:p w14:paraId="6B1D95E8"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6</w:t>
            </w:r>
          </w:p>
        </w:tc>
      </w:tr>
      <w:tr w:rsidR="00C801A6" w:rsidRPr="00C801A6" w14:paraId="766452D9" w14:textId="77777777" w:rsidTr="00347FDB">
        <w:trPr>
          <w:trHeight w:val="300"/>
        </w:trPr>
        <w:tc>
          <w:tcPr>
            <w:tcW w:w="1923" w:type="dxa"/>
            <w:tcBorders>
              <w:top w:val="single" w:sz="4" w:space="0" w:color="auto"/>
              <w:left w:val="single" w:sz="4" w:space="0" w:color="auto"/>
              <w:bottom w:val="single" w:sz="4" w:space="0" w:color="auto"/>
              <w:right w:val="single" w:sz="4" w:space="0" w:color="auto"/>
            </w:tcBorders>
            <w:noWrap/>
            <w:hideMark/>
          </w:tcPr>
          <w:p w14:paraId="2C54343F" w14:textId="77777777" w:rsidR="00575CDF" w:rsidRPr="00C801A6" w:rsidRDefault="00575CDF" w:rsidP="00347FDB">
            <w:pPr>
              <w:spacing w:before="20" w:after="20" w:line="264" w:lineRule="auto"/>
              <w:rPr>
                <w:rFonts w:eastAsia="Times New Roman" w:cs="Times New Roman"/>
                <w:color w:val="auto"/>
                <w:sz w:val="20"/>
                <w:szCs w:val="20"/>
                <w:lang w:eastAsia="fr-FR"/>
              </w:rPr>
            </w:pPr>
            <w:r w:rsidRPr="00C801A6">
              <w:rPr>
                <w:rFonts w:eastAsia="Times New Roman" w:cs="Times New Roman"/>
                <w:color w:val="auto"/>
                <w:sz w:val="20"/>
                <w:szCs w:val="20"/>
                <w:lang w:eastAsia="fr-FR"/>
              </w:rPr>
              <w:t>Diana</w:t>
            </w:r>
          </w:p>
        </w:tc>
        <w:tc>
          <w:tcPr>
            <w:tcW w:w="1304" w:type="dxa"/>
            <w:tcBorders>
              <w:top w:val="single" w:sz="4" w:space="0" w:color="auto"/>
              <w:left w:val="single" w:sz="4" w:space="0" w:color="auto"/>
              <w:bottom w:val="single" w:sz="4" w:space="0" w:color="auto"/>
              <w:right w:val="single" w:sz="4" w:space="0" w:color="auto"/>
            </w:tcBorders>
            <w:noWrap/>
            <w:hideMark/>
          </w:tcPr>
          <w:p w14:paraId="35652729"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52</w:t>
            </w:r>
          </w:p>
        </w:tc>
        <w:tc>
          <w:tcPr>
            <w:tcW w:w="1096" w:type="dxa"/>
            <w:tcBorders>
              <w:top w:val="single" w:sz="4" w:space="0" w:color="auto"/>
              <w:left w:val="single" w:sz="4" w:space="0" w:color="auto"/>
              <w:bottom w:val="single" w:sz="4" w:space="0" w:color="auto"/>
              <w:right w:val="single" w:sz="4" w:space="0" w:color="auto"/>
            </w:tcBorders>
            <w:noWrap/>
            <w:hideMark/>
          </w:tcPr>
          <w:p w14:paraId="049C144F"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174</w:t>
            </w:r>
          </w:p>
        </w:tc>
        <w:tc>
          <w:tcPr>
            <w:tcW w:w="1351" w:type="dxa"/>
            <w:tcBorders>
              <w:top w:val="single" w:sz="4" w:space="0" w:color="auto"/>
              <w:left w:val="single" w:sz="4" w:space="0" w:color="auto"/>
              <w:bottom w:val="single" w:sz="4" w:space="0" w:color="auto"/>
              <w:right w:val="single" w:sz="4" w:space="0" w:color="auto"/>
            </w:tcBorders>
            <w:noWrap/>
            <w:hideMark/>
          </w:tcPr>
          <w:p w14:paraId="72C3C7F4"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41</w:t>
            </w:r>
          </w:p>
        </w:tc>
        <w:tc>
          <w:tcPr>
            <w:tcW w:w="1049" w:type="dxa"/>
            <w:tcBorders>
              <w:top w:val="single" w:sz="4" w:space="0" w:color="auto"/>
              <w:left w:val="single" w:sz="4" w:space="0" w:color="auto"/>
              <w:bottom w:val="single" w:sz="4" w:space="0" w:color="auto"/>
              <w:right w:val="single" w:sz="4" w:space="0" w:color="auto"/>
            </w:tcBorders>
            <w:noWrap/>
            <w:hideMark/>
          </w:tcPr>
          <w:p w14:paraId="5BDAD0C1"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78</w:t>
            </w:r>
          </w:p>
        </w:tc>
        <w:tc>
          <w:tcPr>
            <w:tcW w:w="1351" w:type="dxa"/>
            <w:tcBorders>
              <w:top w:val="single" w:sz="4" w:space="0" w:color="auto"/>
              <w:left w:val="single" w:sz="4" w:space="0" w:color="auto"/>
              <w:bottom w:val="single" w:sz="4" w:space="0" w:color="auto"/>
              <w:right w:val="single" w:sz="4" w:space="0" w:color="auto"/>
            </w:tcBorders>
            <w:noWrap/>
            <w:hideMark/>
          </w:tcPr>
          <w:p w14:paraId="7487525A"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5</w:t>
            </w:r>
          </w:p>
        </w:tc>
        <w:tc>
          <w:tcPr>
            <w:tcW w:w="1049" w:type="dxa"/>
            <w:tcBorders>
              <w:top w:val="single" w:sz="4" w:space="0" w:color="auto"/>
              <w:left w:val="single" w:sz="4" w:space="0" w:color="auto"/>
              <w:bottom w:val="single" w:sz="4" w:space="0" w:color="auto"/>
              <w:right w:val="single" w:sz="4" w:space="0" w:color="auto"/>
            </w:tcBorders>
            <w:noWrap/>
            <w:hideMark/>
          </w:tcPr>
          <w:p w14:paraId="066F4986"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26</w:t>
            </w:r>
          </w:p>
        </w:tc>
      </w:tr>
      <w:tr w:rsidR="00C801A6" w:rsidRPr="00C801A6" w14:paraId="4BF49B45" w14:textId="77777777" w:rsidTr="00347FDB">
        <w:trPr>
          <w:trHeight w:val="300"/>
        </w:trPr>
        <w:tc>
          <w:tcPr>
            <w:tcW w:w="1923" w:type="dxa"/>
            <w:tcBorders>
              <w:top w:val="single" w:sz="4" w:space="0" w:color="auto"/>
              <w:left w:val="single" w:sz="4" w:space="0" w:color="auto"/>
              <w:bottom w:val="single" w:sz="4" w:space="0" w:color="auto"/>
              <w:right w:val="single" w:sz="4" w:space="0" w:color="auto"/>
            </w:tcBorders>
            <w:hideMark/>
          </w:tcPr>
          <w:p w14:paraId="01CB3F61" w14:textId="77777777" w:rsidR="00575CDF" w:rsidRPr="00C801A6" w:rsidRDefault="00575CDF" w:rsidP="00347FDB">
            <w:pPr>
              <w:spacing w:before="20" w:after="20" w:line="264" w:lineRule="auto"/>
              <w:rPr>
                <w:rFonts w:eastAsia="Times New Roman" w:cs="Times New Roman"/>
                <w:color w:val="auto"/>
                <w:sz w:val="20"/>
                <w:szCs w:val="20"/>
                <w:lang w:eastAsia="fr-FR"/>
              </w:rPr>
            </w:pPr>
            <w:r w:rsidRPr="00C801A6">
              <w:rPr>
                <w:rFonts w:eastAsia="Times New Roman" w:cs="Times New Roman"/>
                <w:color w:val="auto"/>
                <w:sz w:val="20"/>
                <w:szCs w:val="20"/>
                <w:lang w:eastAsia="fr-FR"/>
              </w:rPr>
              <w:t>Haute Matsiatra</w:t>
            </w:r>
          </w:p>
        </w:tc>
        <w:tc>
          <w:tcPr>
            <w:tcW w:w="1304" w:type="dxa"/>
            <w:tcBorders>
              <w:top w:val="single" w:sz="4" w:space="0" w:color="auto"/>
              <w:left w:val="single" w:sz="4" w:space="0" w:color="auto"/>
              <w:bottom w:val="single" w:sz="4" w:space="0" w:color="auto"/>
              <w:right w:val="single" w:sz="4" w:space="0" w:color="auto"/>
            </w:tcBorders>
            <w:noWrap/>
            <w:hideMark/>
          </w:tcPr>
          <w:p w14:paraId="6D4B191E"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1002</w:t>
            </w:r>
          </w:p>
        </w:tc>
        <w:tc>
          <w:tcPr>
            <w:tcW w:w="1096" w:type="dxa"/>
            <w:tcBorders>
              <w:top w:val="single" w:sz="4" w:space="0" w:color="auto"/>
              <w:left w:val="single" w:sz="4" w:space="0" w:color="auto"/>
              <w:bottom w:val="single" w:sz="4" w:space="0" w:color="auto"/>
              <w:right w:val="single" w:sz="4" w:space="0" w:color="auto"/>
            </w:tcBorders>
            <w:noWrap/>
            <w:hideMark/>
          </w:tcPr>
          <w:p w14:paraId="750F8C88"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487</w:t>
            </w:r>
          </w:p>
        </w:tc>
        <w:tc>
          <w:tcPr>
            <w:tcW w:w="1351" w:type="dxa"/>
            <w:tcBorders>
              <w:top w:val="single" w:sz="4" w:space="0" w:color="auto"/>
              <w:left w:val="single" w:sz="4" w:space="0" w:color="auto"/>
              <w:bottom w:val="single" w:sz="4" w:space="0" w:color="auto"/>
              <w:right w:val="single" w:sz="4" w:space="0" w:color="auto"/>
            </w:tcBorders>
            <w:noWrap/>
            <w:hideMark/>
          </w:tcPr>
          <w:p w14:paraId="708F3F41"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90</w:t>
            </w:r>
          </w:p>
        </w:tc>
        <w:tc>
          <w:tcPr>
            <w:tcW w:w="1049" w:type="dxa"/>
            <w:tcBorders>
              <w:top w:val="single" w:sz="4" w:space="0" w:color="auto"/>
              <w:left w:val="single" w:sz="4" w:space="0" w:color="auto"/>
              <w:bottom w:val="single" w:sz="4" w:space="0" w:color="auto"/>
              <w:right w:val="single" w:sz="4" w:space="0" w:color="auto"/>
            </w:tcBorders>
            <w:noWrap/>
            <w:hideMark/>
          </w:tcPr>
          <w:p w14:paraId="427A9893"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61</w:t>
            </w:r>
          </w:p>
        </w:tc>
        <w:tc>
          <w:tcPr>
            <w:tcW w:w="1351" w:type="dxa"/>
            <w:tcBorders>
              <w:top w:val="single" w:sz="4" w:space="0" w:color="auto"/>
              <w:left w:val="single" w:sz="4" w:space="0" w:color="auto"/>
              <w:bottom w:val="single" w:sz="4" w:space="0" w:color="auto"/>
              <w:right w:val="single" w:sz="4" w:space="0" w:color="auto"/>
            </w:tcBorders>
            <w:noWrap/>
            <w:hideMark/>
          </w:tcPr>
          <w:p w14:paraId="743C11E5"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16</w:t>
            </w:r>
          </w:p>
        </w:tc>
        <w:tc>
          <w:tcPr>
            <w:tcW w:w="1049" w:type="dxa"/>
            <w:tcBorders>
              <w:top w:val="single" w:sz="4" w:space="0" w:color="auto"/>
              <w:left w:val="single" w:sz="4" w:space="0" w:color="auto"/>
              <w:bottom w:val="single" w:sz="4" w:space="0" w:color="auto"/>
              <w:right w:val="single" w:sz="4" w:space="0" w:color="auto"/>
            </w:tcBorders>
            <w:noWrap/>
            <w:hideMark/>
          </w:tcPr>
          <w:p w14:paraId="3F877DDF"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19</w:t>
            </w:r>
          </w:p>
        </w:tc>
      </w:tr>
      <w:tr w:rsidR="00C801A6" w:rsidRPr="00C801A6" w14:paraId="5549B305" w14:textId="77777777" w:rsidTr="00347FDB">
        <w:trPr>
          <w:trHeight w:val="300"/>
        </w:trPr>
        <w:tc>
          <w:tcPr>
            <w:tcW w:w="1923" w:type="dxa"/>
            <w:tcBorders>
              <w:top w:val="single" w:sz="4" w:space="0" w:color="auto"/>
              <w:left w:val="single" w:sz="4" w:space="0" w:color="auto"/>
              <w:bottom w:val="single" w:sz="4" w:space="0" w:color="auto"/>
              <w:right w:val="single" w:sz="4" w:space="0" w:color="auto"/>
            </w:tcBorders>
            <w:noWrap/>
            <w:hideMark/>
          </w:tcPr>
          <w:p w14:paraId="01F575F2" w14:textId="77777777" w:rsidR="00575CDF" w:rsidRPr="00C801A6" w:rsidRDefault="00575CDF" w:rsidP="00347FDB">
            <w:pPr>
              <w:spacing w:before="20" w:after="20" w:line="264" w:lineRule="auto"/>
              <w:rPr>
                <w:rFonts w:eastAsia="Times New Roman" w:cs="Times New Roman"/>
                <w:color w:val="auto"/>
                <w:sz w:val="20"/>
                <w:szCs w:val="20"/>
                <w:lang w:eastAsia="fr-FR"/>
              </w:rPr>
            </w:pPr>
            <w:r w:rsidRPr="00C801A6">
              <w:rPr>
                <w:rFonts w:eastAsia="Times New Roman" w:cs="Times New Roman"/>
                <w:color w:val="auto"/>
                <w:sz w:val="20"/>
                <w:szCs w:val="20"/>
                <w:lang w:eastAsia="fr-FR"/>
              </w:rPr>
              <w:t>Ihorombe</w:t>
            </w:r>
          </w:p>
        </w:tc>
        <w:tc>
          <w:tcPr>
            <w:tcW w:w="1304" w:type="dxa"/>
            <w:tcBorders>
              <w:top w:val="single" w:sz="4" w:space="0" w:color="auto"/>
              <w:left w:val="single" w:sz="4" w:space="0" w:color="auto"/>
              <w:bottom w:val="single" w:sz="4" w:space="0" w:color="auto"/>
              <w:right w:val="single" w:sz="4" w:space="0" w:color="auto"/>
            </w:tcBorders>
            <w:noWrap/>
            <w:hideMark/>
          </w:tcPr>
          <w:p w14:paraId="40BA6A27"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400</w:t>
            </w:r>
          </w:p>
        </w:tc>
        <w:tc>
          <w:tcPr>
            <w:tcW w:w="1096" w:type="dxa"/>
            <w:tcBorders>
              <w:top w:val="single" w:sz="4" w:space="0" w:color="auto"/>
              <w:left w:val="single" w:sz="4" w:space="0" w:color="auto"/>
              <w:bottom w:val="single" w:sz="4" w:space="0" w:color="auto"/>
              <w:right w:val="single" w:sz="4" w:space="0" w:color="auto"/>
            </w:tcBorders>
            <w:noWrap/>
            <w:hideMark/>
          </w:tcPr>
          <w:p w14:paraId="4A873E93"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60</w:t>
            </w:r>
          </w:p>
        </w:tc>
        <w:tc>
          <w:tcPr>
            <w:tcW w:w="1351" w:type="dxa"/>
            <w:tcBorders>
              <w:top w:val="single" w:sz="4" w:space="0" w:color="auto"/>
              <w:left w:val="single" w:sz="4" w:space="0" w:color="auto"/>
              <w:bottom w:val="single" w:sz="4" w:space="0" w:color="auto"/>
              <w:right w:val="single" w:sz="4" w:space="0" w:color="auto"/>
            </w:tcBorders>
            <w:noWrap/>
            <w:hideMark/>
          </w:tcPr>
          <w:p w14:paraId="4178672B"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17</w:t>
            </w:r>
          </w:p>
        </w:tc>
        <w:tc>
          <w:tcPr>
            <w:tcW w:w="1049" w:type="dxa"/>
            <w:tcBorders>
              <w:top w:val="single" w:sz="4" w:space="0" w:color="auto"/>
              <w:left w:val="single" w:sz="4" w:space="0" w:color="auto"/>
              <w:bottom w:val="single" w:sz="4" w:space="0" w:color="auto"/>
              <w:right w:val="single" w:sz="4" w:space="0" w:color="auto"/>
            </w:tcBorders>
            <w:noWrap/>
            <w:hideMark/>
          </w:tcPr>
          <w:p w14:paraId="431AA753"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13</w:t>
            </w:r>
          </w:p>
        </w:tc>
        <w:tc>
          <w:tcPr>
            <w:tcW w:w="1351" w:type="dxa"/>
            <w:tcBorders>
              <w:top w:val="single" w:sz="4" w:space="0" w:color="auto"/>
              <w:left w:val="single" w:sz="4" w:space="0" w:color="auto"/>
              <w:bottom w:val="single" w:sz="4" w:space="0" w:color="auto"/>
              <w:right w:val="single" w:sz="4" w:space="0" w:color="auto"/>
            </w:tcBorders>
            <w:noWrap/>
            <w:hideMark/>
          </w:tcPr>
          <w:p w14:paraId="7091F8A9"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2</w:t>
            </w:r>
          </w:p>
        </w:tc>
        <w:tc>
          <w:tcPr>
            <w:tcW w:w="1049" w:type="dxa"/>
            <w:tcBorders>
              <w:top w:val="single" w:sz="4" w:space="0" w:color="auto"/>
              <w:left w:val="single" w:sz="4" w:space="0" w:color="auto"/>
              <w:bottom w:val="single" w:sz="4" w:space="0" w:color="auto"/>
              <w:right w:val="single" w:sz="4" w:space="0" w:color="auto"/>
            </w:tcBorders>
            <w:noWrap/>
            <w:hideMark/>
          </w:tcPr>
          <w:p w14:paraId="2AFD5F9C"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2</w:t>
            </w:r>
          </w:p>
        </w:tc>
      </w:tr>
      <w:tr w:rsidR="00C801A6" w:rsidRPr="00C801A6" w14:paraId="3611B010" w14:textId="77777777" w:rsidTr="00347FDB">
        <w:trPr>
          <w:trHeight w:val="300"/>
        </w:trPr>
        <w:tc>
          <w:tcPr>
            <w:tcW w:w="1923" w:type="dxa"/>
            <w:tcBorders>
              <w:top w:val="single" w:sz="4" w:space="0" w:color="auto"/>
              <w:left w:val="single" w:sz="4" w:space="0" w:color="auto"/>
              <w:bottom w:val="single" w:sz="4" w:space="0" w:color="auto"/>
              <w:right w:val="single" w:sz="4" w:space="0" w:color="auto"/>
            </w:tcBorders>
            <w:noWrap/>
            <w:hideMark/>
          </w:tcPr>
          <w:p w14:paraId="0765AE5F" w14:textId="77777777" w:rsidR="00575CDF" w:rsidRPr="00C801A6" w:rsidRDefault="00575CDF" w:rsidP="00347FDB">
            <w:pPr>
              <w:spacing w:before="20" w:after="20" w:line="264" w:lineRule="auto"/>
              <w:rPr>
                <w:rFonts w:eastAsia="Times New Roman" w:cs="Times New Roman"/>
                <w:color w:val="auto"/>
                <w:sz w:val="20"/>
                <w:szCs w:val="20"/>
                <w:lang w:eastAsia="fr-FR"/>
              </w:rPr>
            </w:pPr>
            <w:r w:rsidRPr="00C801A6">
              <w:rPr>
                <w:rFonts w:eastAsia="Times New Roman" w:cs="Times New Roman"/>
                <w:color w:val="auto"/>
                <w:sz w:val="20"/>
                <w:szCs w:val="20"/>
                <w:lang w:eastAsia="fr-FR"/>
              </w:rPr>
              <w:t>Itasy</w:t>
            </w:r>
          </w:p>
        </w:tc>
        <w:tc>
          <w:tcPr>
            <w:tcW w:w="1304" w:type="dxa"/>
            <w:tcBorders>
              <w:top w:val="single" w:sz="4" w:space="0" w:color="auto"/>
              <w:left w:val="single" w:sz="4" w:space="0" w:color="auto"/>
              <w:bottom w:val="single" w:sz="4" w:space="0" w:color="auto"/>
              <w:right w:val="single" w:sz="4" w:space="0" w:color="auto"/>
            </w:tcBorders>
            <w:noWrap/>
            <w:hideMark/>
          </w:tcPr>
          <w:p w14:paraId="62DF2709"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568</w:t>
            </w:r>
          </w:p>
        </w:tc>
        <w:tc>
          <w:tcPr>
            <w:tcW w:w="1096" w:type="dxa"/>
            <w:tcBorders>
              <w:top w:val="single" w:sz="4" w:space="0" w:color="auto"/>
              <w:left w:val="single" w:sz="4" w:space="0" w:color="auto"/>
              <w:bottom w:val="single" w:sz="4" w:space="0" w:color="auto"/>
              <w:right w:val="single" w:sz="4" w:space="0" w:color="auto"/>
            </w:tcBorders>
            <w:noWrap/>
            <w:hideMark/>
          </w:tcPr>
          <w:p w14:paraId="25E96AC6"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522</w:t>
            </w:r>
          </w:p>
        </w:tc>
        <w:tc>
          <w:tcPr>
            <w:tcW w:w="1351" w:type="dxa"/>
            <w:tcBorders>
              <w:top w:val="single" w:sz="4" w:space="0" w:color="auto"/>
              <w:left w:val="single" w:sz="4" w:space="0" w:color="auto"/>
              <w:bottom w:val="single" w:sz="4" w:space="0" w:color="auto"/>
              <w:right w:val="single" w:sz="4" w:space="0" w:color="auto"/>
            </w:tcBorders>
            <w:noWrap/>
            <w:hideMark/>
          </w:tcPr>
          <w:p w14:paraId="06B1F3FE"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50</w:t>
            </w:r>
          </w:p>
        </w:tc>
        <w:tc>
          <w:tcPr>
            <w:tcW w:w="1049" w:type="dxa"/>
            <w:tcBorders>
              <w:top w:val="single" w:sz="4" w:space="0" w:color="auto"/>
              <w:left w:val="single" w:sz="4" w:space="0" w:color="auto"/>
              <w:bottom w:val="single" w:sz="4" w:space="0" w:color="auto"/>
              <w:right w:val="single" w:sz="4" w:space="0" w:color="auto"/>
            </w:tcBorders>
            <w:noWrap/>
            <w:hideMark/>
          </w:tcPr>
          <w:p w14:paraId="73EA0461"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71</w:t>
            </w:r>
          </w:p>
        </w:tc>
        <w:tc>
          <w:tcPr>
            <w:tcW w:w="1351" w:type="dxa"/>
            <w:tcBorders>
              <w:top w:val="single" w:sz="4" w:space="0" w:color="auto"/>
              <w:left w:val="single" w:sz="4" w:space="0" w:color="auto"/>
              <w:bottom w:val="single" w:sz="4" w:space="0" w:color="auto"/>
              <w:right w:val="single" w:sz="4" w:space="0" w:color="auto"/>
            </w:tcBorders>
            <w:noWrap/>
            <w:hideMark/>
          </w:tcPr>
          <w:p w14:paraId="73B6E469"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5</w:t>
            </w:r>
          </w:p>
        </w:tc>
        <w:tc>
          <w:tcPr>
            <w:tcW w:w="1049" w:type="dxa"/>
            <w:tcBorders>
              <w:top w:val="single" w:sz="4" w:space="0" w:color="auto"/>
              <w:left w:val="single" w:sz="4" w:space="0" w:color="auto"/>
              <w:bottom w:val="single" w:sz="4" w:space="0" w:color="auto"/>
              <w:right w:val="single" w:sz="4" w:space="0" w:color="auto"/>
            </w:tcBorders>
            <w:noWrap/>
            <w:hideMark/>
          </w:tcPr>
          <w:p w14:paraId="4A6594FE"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21</w:t>
            </w:r>
          </w:p>
        </w:tc>
      </w:tr>
      <w:tr w:rsidR="00C801A6" w:rsidRPr="00C801A6" w14:paraId="53200165" w14:textId="77777777" w:rsidTr="00347FDB">
        <w:trPr>
          <w:trHeight w:val="300"/>
        </w:trPr>
        <w:tc>
          <w:tcPr>
            <w:tcW w:w="1923" w:type="dxa"/>
            <w:tcBorders>
              <w:top w:val="single" w:sz="4" w:space="0" w:color="auto"/>
              <w:left w:val="single" w:sz="4" w:space="0" w:color="auto"/>
              <w:bottom w:val="single" w:sz="4" w:space="0" w:color="auto"/>
              <w:right w:val="single" w:sz="4" w:space="0" w:color="auto"/>
            </w:tcBorders>
            <w:noWrap/>
            <w:hideMark/>
          </w:tcPr>
          <w:p w14:paraId="5F9C1CD8" w14:textId="77777777" w:rsidR="00575CDF" w:rsidRPr="00C801A6" w:rsidRDefault="00575CDF" w:rsidP="00347FDB">
            <w:pPr>
              <w:spacing w:before="20" w:after="20" w:line="264" w:lineRule="auto"/>
              <w:rPr>
                <w:rFonts w:eastAsia="Times New Roman" w:cs="Times New Roman"/>
                <w:color w:val="auto"/>
                <w:sz w:val="20"/>
                <w:szCs w:val="20"/>
                <w:lang w:eastAsia="fr-FR"/>
              </w:rPr>
            </w:pPr>
            <w:r w:rsidRPr="00C801A6">
              <w:rPr>
                <w:rFonts w:eastAsia="Times New Roman" w:cs="Times New Roman"/>
                <w:color w:val="auto"/>
                <w:sz w:val="20"/>
                <w:szCs w:val="20"/>
                <w:lang w:eastAsia="fr-FR"/>
              </w:rPr>
              <w:t>Melaky</w:t>
            </w:r>
          </w:p>
        </w:tc>
        <w:tc>
          <w:tcPr>
            <w:tcW w:w="1304" w:type="dxa"/>
            <w:tcBorders>
              <w:top w:val="single" w:sz="4" w:space="0" w:color="auto"/>
              <w:left w:val="single" w:sz="4" w:space="0" w:color="auto"/>
              <w:bottom w:val="single" w:sz="4" w:space="0" w:color="auto"/>
              <w:right w:val="single" w:sz="4" w:space="0" w:color="auto"/>
            </w:tcBorders>
            <w:noWrap/>
            <w:hideMark/>
          </w:tcPr>
          <w:p w14:paraId="030B6BCE"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267</w:t>
            </w:r>
          </w:p>
        </w:tc>
        <w:tc>
          <w:tcPr>
            <w:tcW w:w="1096" w:type="dxa"/>
            <w:tcBorders>
              <w:top w:val="single" w:sz="4" w:space="0" w:color="auto"/>
              <w:left w:val="single" w:sz="4" w:space="0" w:color="auto"/>
              <w:bottom w:val="single" w:sz="4" w:space="0" w:color="auto"/>
              <w:right w:val="single" w:sz="4" w:space="0" w:color="auto"/>
            </w:tcBorders>
            <w:noWrap/>
            <w:hideMark/>
          </w:tcPr>
          <w:p w14:paraId="68336F70"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14</w:t>
            </w:r>
          </w:p>
        </w:tc>
        <w:tc>
          <w:tcPr>
            <w:tcW w:w="1351" w:type="dxa"/>
            <w:tcBorders>
              <w:top w:val="single" w:sz="4" w:space="0" w:color="auto"/>
              <w:left w:val="single" w:sz="4" w:space="0" w:color="auto"/>
              <w:bottom w:val="single" w:sz="4" w:space="0" w:color="auto"/>
              <w:right w:val="single" w:sz="4" w:space="0" w:color="auto"/>
            </w:tcBorders>
            <w:noWrap/>
            <w:hideMark/>
          </w:tcPr>
          <w:p w14:paraId="1846FEF9"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11</w:t>
            </w:r>
          </w:p>
        </w:tc>
        <w:tc>
          <w:tcPr>
            <w:tcW w:w="1049" w:type="dxa"/>
            <w:tcBorders>
              <w:top w:val="single" w:sz="4" w:space="0" w:color="auto"/>
              <w:left w:val="single" w:sz="4" w:space="0" w:color="auto"/>
              <w:bottom w:val="single" w:sz="4" w:space="0" w:color="auto"/>
              <w:right w:val="single" w:sz="4" w:space="0" w:color="auto"/>
            </w:tcBorders>
            <w:noWrap/>
            <w:hideMark/>
          </w:tcPr>
          <w:p w14:paraId="76B0546B"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5</w:t>
            </w:r>
          </w:p>
        </w:tc>
        <w:tc>
          <w:tcPr>
            <w:tcW w:w="1351" w:type="dxa"/>
            <w:tcBorders>
              <w:top w:val="single" w:sz="4" w:space="0" w:color="auto"/>
              <w:left w:val="single" w:sz="4" w:space="0" w:color="auto"/>
              <w:bottom w:val="single" w:sz="4" w:space="0" w:color="auto"/>
              <w:right w:val="single" w:sz="4" w:space="0" w:color="auto"/>
            </w:tcBorders>
            <w:noWrap/>
            <w:hideMark/>
          </w:tcPr>
          <w:p w14:paraId="65A39563"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3</w:t>
            </w:r>
          </w:p>
        </w:tc>
        <w:tc>
          <w:tcPr>
            <w:tcW w:w="1049" w:type="dxa"/>
            <w:tcBorders>
              <w:top w:val="single" w:sz="4" w:space="0" w:color="auto"/>
              <w:left w:val="single" w:sz="4" w:space="0" w:color="auto"/>
              <w:bottom w:val="single" w:sz="4" w:space="0" w:color="auto"/>
              <w:right w:val="single" w:sz="4" w:space="0" w:color="auto"/>
            </w:tcBorders>
            <w:noWrap/>
            <w:hideMark/>
          </w:tcPr>
          <w:p w14:paraId="4FA6F55E"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2</w:t>
            </w:r>
          </w:p>
        </w:tc>
      </w:tr>
      <w:tr w:rsidR="00C801A6" w:rsidRPr="00C801A6" w14:paraId="6AE46142" w14:textId="77777777" w:rsidTr="00347FDB">
        <w:trPr>
          <w:trHeight w:val="300"/>
        </w:trPr>
        <w:tc>
          <w:tcPr>
            <w:tcW w:w="1923" w:type="dxa"/>
            <w:tcBorders>
              <w:top w:val="single" w:sz="4" w:space="0" w:color="auto"/>
              <w:left w:val="single" w:sz="4" w:space="0" w:color="auto"/>
              <w:bottom w:val="single" w:sz="4" w:space="0" w:color="auto"/>
              <w:right w:val="single" w:sz="4" w:space="0" w:color="auto"/>
            </w:tcBorders>
            <w:noWrap/>
            <w:hideMark/>
          </w:tcPr>
          <w:p w14:paraId="0DE26F43" w14:textId="77777777" w:rsidR="00575CDF" w:rsidRPr="00C801A6" w:rsidRDefault="00575CDF" w:rsidP="00347FDB">
            <w:pPr>
              <w:spacing w:before="20" w:after="20" w:line="264" w:lineRule="auto"/>
              <w:rPr>
                <w:rFonts w:eastAsia="Times New Roman" w:cs="Times New Roman"/>
                <w:color w:val="auto"/>
                <w:sz w:val="20"/>
                <w:szCs w:val="20"/>
                <w:lang w:eastAsia="fr-FR"/>
              </w:rPr>
            </w:pPr>
            <w:r w:rsidRPr="00C801A6">
              <w:rPr>
                <w:rFonts w:eastAsia="Times New Roman" w:cs="Times New Roman"/>
                <w:color w:val="auto"/>
                <w:sz w:val="20"/>
                <w:szCs w:val="20"/>
                <w:lang w:eastAsia="fr-FR"/>
              </w:rPr>
              <w:t>Menabe</w:t>
            </w:r>
          </w:p>
        </w:tc>
        <w:tc>
          <w:tcPr>
            <w:tcW w:w="1304" w:type="dxa"/>
            <w:tcBorders>
              <w:top w:val="single" w:sz="4" w:space="0" w:color="auto"/>
              <w:left w:val="single" w:sz="4" w:space="0" w:color="auto"/>
              <w:bottom w:val="single" w:sz="4" w:space="0" w:color="auto"/>
              <w:right w:val="single" w:sz="4" w:space="0" w:color="auto"/>
            </w:tcBorders>
            <w:noWrap/>
            <w:hideMark/>
          </w:tcPr>
          <w:p w14:paraId="42D32293"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554</w:t>
            </w:r>
          </w:p>
        </w:tc>
        <w:tc>
          <w:tcPr>
            <w:tcW w:w="1096" w:type="dxa"/>
            <w:tcBorders>
              <w:top w:val="single" w:sz="4" w:space="0" w:color="auto"/>
              <w:left w:val="single" w:sz="4" w:space="0" w:color="auto"/>
              <w:bottom w:val="single" w:sz="4" w:space="0" w:color="auto"/>
              <w:right w:val="single" w:sz="4" w:space="0" w:color="auto"/>
            </w:tcBorders>
            <w:noWrap/>
            <w:hideMark/>
          </w:tcPr>
          <w:p w14:paraId="38E234F3"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89</w:t>
            </w:r>
          </w:p>
        </w:tc>
        <w:tc>
          <w:tcPr>
            <w:tcW w:w="1351" w:type="dxa"/>
            <w:tcBorders>
              <w:top w:val="single" w:sz="4" w:space="0" w:color="auto"/>
              <w:left w:val="single" w:sz="4" w:space="0" w:color="auto"/>
              <w:bottom w:val="single" w:sz="4" w:space="0" w:color="auto"/>
              <w:right w:val="single" w:sz="4" w:space="0" w:color="auto"/>
            </w:tcBorders>
            <w:noWrap/>
            <w:hideMark/>
          </w:tcPr>
          <w:p w14:paraId="5916160F"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30</w:t>
            </w:r>
          </w:p>
        </w:tc>
        <w:tc>
          <w:tcPr>
            <w:tcW w:w="1049" w:type="dxa"/>
            <w:tcBorders>
              <w:top w:val="single" w:sz="4" w:space="0" w:color="auto"/>
              <w:left w:val="single" w:sz="4" w:space="0" w:color="auto"/>
              <w:bottom w:val="single" w:sz="4" w:space="0" w:color="auto"/>
              <w:right w:val="single" w:sz="4" w:space="0" w:color="auto"/>
            </w:tcBorders>
            <w:noWrap/>
            <w:hideMark/>
          </w:tcPr>
          <w:p w14:paraId="3F5917BD"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25</w:t>
            </w:r>
          </w:p>
        </w:tc>
        <w:tc>
          <w:tcPr>
            <w:tcW w:w="1351" w:type="dxa"/>
            <w:tcBorders>
              <w:top w:val="single" w:sz="4" w:space="0" w:color="auto"/>
              <w:left w:val="single" w:sz="4" w:space="0" w:color="auto"/>
              <w:bottom w:val="single" w:sz="4" w:space="0" w:color="auto"/>
              <w:right w:val="single" w:sz="4" w:space="0" w:color="auto"/>
            </w:tcBorders>
            <w:noWrap/>
            <w:hideMark/>
          </w:tcPr>
          <w:p w14:paraId="57F082C7"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8</w:t>
            </w:r>
          </w:p>
        </w:tc>
        <w:tc>
          <w:tcPr>
            <w:tcW w:w="1049" w:type="dxa"/>
            <w:tcBorders>
              <w:top w:val="single" w:sz="4" w:space="0" w:color="auto"/>
              <w:left w:val="single" w:sz="4" w:space="0" w:color="auto"/>
              <w:bottom w:val="single" w:sz="4" w:space="0" w:color="auto"/>
              <w:right w:val="single" w:sz="4" w:space="0" w:color="auto"/>
            </w:tcBorders>
            <w:noWrap/>
            <w:hideMark/>
          </w:tcPr>
          <w:p w14:paraId="40D5F352"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7</w:t>
            </w:r>
          </w:p>
        </w:tc>
      </w:tr>
      <w:tr w:rsidR="00C801A6" w:rsidRPr="00C801A6" w14:paraId="085B371C" w14:textId="77777777" w:rsidTr="00347FDB">
        <w:trPr>
          <w:trHeight w:val="300"/>
        </w:trPr>
        <w:tc>
          <w:tcPr>
            <w:tcW w:w="1923" w:type="dxa"/>
            <w:tcBorders>
              <w:top w:val="single" w:sz="4" w:space="0" w:color="auto"/>
              <w:left w:val="single" w:sz="4" w:space="0" w:color="auto"/>
              <w:bottom w:val="single" w:sz="4" w:space="0" w:color="auto"/>
              <w:right w:val="single" w:sz="4" w:space="0" w:color="auto"/>
            </w:tcBorders>
            <w:noWrap/>
            <w:hideMark/>
          </w:tcPr>
          <w:p w14:paraId="56742453" w14:textId="77777777" w:rsidR="00575CDF" w:rsidRPr="00C801A6" w:rsidRDefault="00575CDF" w:rsidP="00347FDB">
            <w:pPr>
              <w:spacing w:before="20" w:after="20" w:line="264" w:lineRule="auto"/>
              <w:rPr>
                <w:rFonts w:eastAsia="Times New Roman" w:cs="Times New Roman"/>
                <w:color w:val="auto"/>
                <w:sz w:val="20"/>
                <w:szCs w:val="20"/>
                <w:lang w:eastAsia="fr-FR"/>
              </w:rPr>
            </w:pPr>
            <w:r w:rsidRPr="00C801A6">
              <w:rPr>
                <w:rFonts w:eastAsia="Times New Roman" w:cs="Times New Roman"/>
                <w:color w:val="auto"/>
                <w:sz w:val="20"/>
                <w:szCs w:val="20"/>
                <w:lang w:eastAsia="fr-FR"/>
              </w:rPr>
              <w:t>Sava</w:t>
            </w:r>
          </w:p>
        </w:tc>
        <w:tc>
          <w:tcPr>
            <w:tcW w:w="1304" w:type="dxa"/>
            <w:tcBorders>
              <w:top w:val="single" w:sz="4" w:space="0" w:color="auto"/>
              <w:left w:val="single" w:sz="4" w:space="0" w:color="auto"/>
              <w:bottom w:val="single" w:sz="4" w:space="0" w:color="auto"/>
              <w:right w:val="single" w:sz="4" w:space="0" w:color="auto"/>
            </w:tcBorders>
            <w:noWrap/>
            <w:hideMark/>
          </w:tcPr>
          <w:p w14:paraId="40A26E07"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267</w:t>
            </w:r>
          </w:p>
        </w:tc>
        <w:tc>
          <w:tcPr>
            <w:tcW w:w="1096" w:type="dxa"/>
            <w:tcBorders>
              <w:top w:val="single" w:sz="4" w:space="0" w:color="auto"/>
              <w:left w:val="single" w:sz="4" w:space="0" w:color="auto"/>
              <w:bottom w:val="single" w:sz="4" w:space="0" w:color="auto"/>
              <w:right w:val="single" w:sz="4" w:space="0" w:color="auto"/>
            </w:tcBorders>
            <w:noWrap/>
            <w:hideMark/>
          </w:tcPr>
          <w:p w14:paraId="3263CF45"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213</w:t>
            </w:r>
          </w:p>
        </w:tc>
        <w:tc>
          <w:tcPr>
            <w:tcW w:w="1351" w:type="dxa"/>
            <w:tcBorders>
              <w:top w:val="single" w:sz="4" w:space="0" w:color="auto"/>
              <w:left w:val="single" w:sz="4" w:space="0" w:color="auto"/>
              <w:bottom w:val="single" w:sz="4" w:space="0" w:color="auto"/>
              <w:right w:val="single" w:sz="4" w:space="0" w:color="auto"/>
            </w:tcBorders>
            <w:noWrap/>
            <w:hideMark/>
          </w:tcPr>
          <w:p w14:paraId="3A1363E8"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11</w:t>
            </w:r>
          </w:p>
        </w:tc>
        <w:tc>
          <w:tcPr>
            <w:tcW w:w="1049" w:type="dxa"/>
            <w:tcBorders>
              <w:top w:val="single" w:sz="4" w:space="0" w:color="auto"/>
              <w:left w:val="single" w:sz="4" w:space="0" w:color="auto"/>
              <w:bottom w:val="single" w:sz="4" w:space="0" w:color="auto"/>
              <w:right w:val="single" w:sz="4" w:space="0" w:color="auto"/>
            </w:tcBorders>
            <w:noWrap/>
            <w:hideMark/>
          </w:tcPr>
          <w:p w14:paraId="14EC8CF5"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60</w:t>
            </w:r>
          </w:p>
        </w:tc>
        <w:tc>
          <w:tcPr>
            <w:tcW w:w="1351" w:type="dxa"/>
            <w:tcBorders>
              <w:top w:val="single" w:sz="4" w:space="0" w:color="auto"/>
              <w:left w:val="single" w:sz="4" w:space="0" w:color="auto"/>
              <w:bottom w:val="single" w:sz="4" w:space="0" w:color="auto"/>
              <w:right w:val="single" w:sz="4" w:space="0" w:color="auto"/>
            </w:tcBorders>
            <w:noWrap/>
            <w:hideMark/>
          </w:tcPr>
          <w:p w14:paraId="51E84608"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3</w:t>
            </w:r>
          </w:p>
        </w:tc>
        <w:tc>
          <w:tcPr>
            <w:tcW w:w="1049" w:type="dxa"/>
            <w:tcBorders>
              <w:top w:val="single" w:sz="4" w:space="0" w:color="auto"/>
              <w:left w:val="single" w:sz="4" w:space="0" w:color="auto"/>
              <w:bottom w:val="single" w:sz="4" w:space="0" w:color="auto"/>
              <w:right w:val="single" w:sz="4" w:space="0" w:color="auto"/>
            </w:tcBorders>
            <w:noWrap/>
            <w:hideMark/>
          </w:tcPr>
          <w:p w14:paraId="56D36F21"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17</w:t>
            </w:r>
          </w:p>
        </w:tc>
      </w:tr>
      <w:tr w:rsidR="00C801A6" w:rsidRPr="00C801A6" w14:paraId="4AA5BE1F" w14:textId="77777777" w:rsidTr="00347FDB">
        <w:trPr>
          <w:trHeight w:val="300"/>
        </w:trPr>
        <w:tc>
          <w:tcPr>
            <w:tcW w:w="1923" w:type="dxa"/>
            <w:tcBorders>
              <w:top w:val="single" w:sz="4" w:space="0" w:color="auto"/>
              <w:left w:val="single" w:sz="4" w:space="0" w:color="auto"/>
              <w:bottom w:val="single" w:sz="4" w:space="0" w:color="auto"/>
              <w:right w:val="single" w:sz="4" w:space="0" w:color="auto"/>
            </w:tcBorders>
            <w:noWrap/>
            <w:hideMark/>
          </w:tcPr>
          <w:p w14:paraId="2E5DD2CA" w14:textId="77777777" w:rsidR="00575CDF" w:rsidRPr="00C801A6" w:rsidRDefault="00575CDF" w:rsidP="00347FDB">
            <w:pPr>
              <w:spacing w:before="20" w:after="20" w:line="264" w:lineRule="auto"/>
              <w:rPr>
                <w:rFonts w:eastAsia="Times New Roman" w:cs="Times New Roman"/>
                <w:color w:val="auto"/>
                <w:sz w:val="20"/>
                <w:szCs w:val="20"/>
                <w:lang w:eastAsia="fr-FR"/>
              </w:rPr>
            </w:pPr>
            <w:r w:rsidRPr="00C801A6">
              <w:rPr>
                <w:rFonts w:eastAsia="Times New Roman" w:cs="Times New Roman"/>
                <w:color w:val="auto"/>
                <w:sz w:val="20"/>
                <w:szCs w:val="20"/>
                <w:lang w:eastAsia="fr-FR"/>
              </w:rPr>
              <w:t>Sofia</w:t>
            </w:r>
          </w:p>
        </w:tc>
        <w:tc>
          <w:tcPr>
            <w:tcW w:w="1304" w:type="dxa"/>
            <w:tcBorders>
              <w:top w:val="single" w:sz="4" w:space="0" w:color="auto"/>
              <w:left w:val="single" w:sz="4" w:space="0" w:color="auto"/>
              <w:bottom w:val="single" w:sz="4" w:space="0" w:color="auto"/>
              <w:right w:val="single" w:sz="4" w:space="0" w:color="auto"/>
            </w:tcBorders>
            <w:noWrap/>
            <w:hideMark/>
          </w:tcPr>
          <w:p w14:paraId="606C49E6"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1733</w:t>
            </w:r>
          </w:p>
        </w:tc>
        <w:tc>
          <w:tcPr>
            <w:tcW w:w="1096" w:type="dxa"/>
            <w:tcBorders>
              <w:top w:val="single" w:sz="4" w:space="0" w:color="auto"/>
              <w:left w:val="single" w:sz="4" w:space="0" w:color="auto"/>
              <w:bottom w:val="single" w:sz="4" w:space="0" w:color="auto"/>
              <w:right w:val="single" w:sz="4" w:space="0" w:color="auto"/>
            </w:tcBorders>
            <w:noWrap/>
            <w:hideMark/>
          </w:tcPr>
          <w:p w14:paraId="355BF770"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121</w:t>
            </w:r>
          </w:p>
        </w:tc>
        <w:tc>
          <w:tcPr>
            <w:tcW w:w="1351" w:type="dxa"/>
            <w:tcBorders>
              <w:top w:val="single" w:sz="4" w:space="0" w:color="auto"/>
              <w:left w:val="single" w:sz="4" w:space="0" w:color="auto"/>
              <w:bottom w:val="single" w:sz="4" w:space="0" w:color="auto"/>
              <w:right w:val="single" w:sz="4" w:space="0" w:color="auto"/>
            </w:tcBorders>
            <w:noWrap/>
            <w:hideMark/>
          </w:tcPr>
          <w:p w14:paraId="24305955"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80</w:t>
            </w:r>
          </w:p>
        </w:tc>
        <w:tc>
          <w:tcPr>
            <w:tcW w:w="1049" w:type="dxa"/>
            <w:tcBorders>
              <w:top w:val="single" w:sz="4" w:space="0" w:color="auto"/>
              <w:left w:val="single" w:sz="4" w:space="0" w:color="auto"/>
              <w:bottom w:val="single" w:sz="4" w:space="0" w:color="auto"/>
              <w:right w:val="single" w:sz="4" w:space="0" w:color="auto"/>
            </w:tcBorders>
            <w:noWrap/>
            <w:hideMark/>
          </w:tcPr>
          <w:p w14:paraId="6DDFDCF4"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39</w:t>
            </w:r>
          </w:p>
        </w:tc>
        <w:tc>
          <w:tcPr>
            <w:tcW w:w="1351" w:type="dxa"/>
            <w:tcBorders>
              <w:top w:val="single" w:sz="4" w:space="0" w:color="auto"/>
              <w:left w:val="single" w:sz="4" w:space="0" w:color="auto"/>
              <w:bottom w:val="single" w:sz="4" w:space="0" w:color="auto"/>
              <w:right w:val="single" w:sz="4" w:space="0" w:color="auto"/>
            </w:tcBorders>
            <w:noWrap/>
            <w:hideMark/>
          </w:tcPr>
          <w:p w14:paraId="402C7CFE"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7</w:t>
            </w:r>
          </w:p>
        </w:tc>
        <w:tc>
          <w:tcPr>
            <w:tcW w:w="1049" w:type="dxa"/>
            <w:tcBorders>
              <w:top w:val="single" w:sz="4" w:space="0" w:color="auto"/>
              <w:left w:val="single" w:sz="4" w:space="0" w:color="auto"/>
              <w:bottom w:val="single" w:sz="4" w:space="0" w:color="auto"/>
              <w:right w:val="single" w:sz="4" w:space="0" w:color="auto"/>
            </w:tcBorders>
            <w:noWrap/>
            <w:hideMark/>
          </w:tcPr>
          <w:p w14:paraId="05C3FBF6"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9</w:t>
            </w:r>
          </w:p>
        </w:tc>
      </w:tr>
      <w:tr w:rsidR="00C801A6" w:rsidRPr="00C801A6" w14:paraId="63EBC5A8" w14:textId="77777777" w:rsidTr="00347FDB">
        <w:trPr>
          <w:trHeight w:val="300"/>
        </w:trPr>
        <w:tc>
          <w:tcPr>
            <w:tcW w:w="1923" w:type="dxa"/>
            <w:tcBorders>
              <w:top w:val="single" w:sz="4" w:space="0" w:color="auto"/>
              <w:left w:val="single" w:sz="4" w:space="0" w:color="auto"/>
              <w:bottom w:val="single" w:sz="4" w:space="0" w:color="auto"/>
              <w:right w:val="single" w:sz="4" w:space="0" w:color="auto"/>
            </w:tcBorders>
            <w:noWrap/>
            <w:hideMark/>
          </w:tcPr>
          <w:p w14:paraId="537B761D" w14:textId="77777777" w:rsidR="00575CDF" w:rsidRPr="00C801A6" w:rsidRDefault="00575CDF" w:rsidP="00347FDB">
            <w:pPr>
              <w:spacing w:before="20" w:after="20" w:line="264" w:lineRule="auto"/>
              <w:rPr>
                <w:rFonts w:eastAsia="Times New Roman" w:cs="Times New Roman"/>
                <w:color w:val="auto"/>
                <w:sz w:val="20"/>
                <w:szCs w:val="20"/>
                <w:lang w:eastAsia="fr-FR"/>
              </w:rPr>
            </w:pPr>
            <w:r w:rsidRPr="00C801A6">
              <w:rPr>
                <w:rFonts w:eastAsia="Times New Roman" w:cs="Times New Roman"/>
                <w:color w:val="auto"/>
                <w:sz w:val="20"/>
                <w:szCs w:val="20"/>
                <w:lang w:eastAsia="fr-FR"/>
              </w:rPr>
              <w:t>Vakinankaratra</w:t>
            </w:r>
          </w:p>
        </w:tc>
        <w:tc>
          <w:tcPr>
            <w:tcW w:w="1304" w:type="dxa"/>
            <w:tcBorders>
              <w:top w:val="single" w:sz="4" w:space="0" w:color="auto"/>
              <w:left w:val="single" w:sz="4" w:space="0" w:color="auto"/>
              <w:bottom w:val="single" w:sz="4" w:space="0" w:color="auto"/>
              <w:right w:val="single" w:sz="4" w:space="0" w:color="auto"/>
            </w:tcBorders>
            <w:noWrap/>
            <w:hideMark/>
          </w:tcPr>
          <w:p w14:paraId="426F21FC"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1 123</w:t>
            </w:r>
          </w:p>
        </w:tc>
        <w:tc>
          <w:tcPr>
            <w:tcW w:w="1096" w:type="dxa"/>
            <w:tcBorders>
              <w:top w:val="single" w:sz="4" w:space="0" w:color="auto"/>
              <w:left w:val="single" w:sz="4" w:space="0" w:color="auto"/>
              <w:bottom w:val="single" w:sz="4" w:space="0" w:color="auto"/>
              <w:right w:val="single" w:sz="4" w:space="0" w:color="auto"/>
            </w:tcBorders>
            <w:noWrap/>
            <w:hideMark/>
          </w:tcPr>
          <w:p w14:paraId="3C778628"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981</w:t>
            </w:r>
          </w:p>
        </w:tc>
        <w:tc>
          <w:tcPr>
            <w:tcW w:w="1351" w:type="dxa"/>
            <w:tcBorders>
              <w:top w:val="single" w:sz="4" w:space="0" w:color="auto"/>
              <w:left w:val="single" w:sz="4" w:space="0" w:color="auto"/>
              <w:bottom w:val="single" w:sz="4" w:space="0" w:color="auto"/>
              <w:right w:val="single" w:sz="4" w:space="0" w:color="auto"/>
            </w:tcBorders>
            <w:noWrap/>
            <w:hideMark/>
          </w:tcPr>
          <w:p w14:paraId="50627C8E"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98</w:t>
            </w:r>
          </w:p>
        </w:tc>
        <w:tc>
          <w:tcPr>
            <w:tcW w:w="1049" w:type="dxa"/>
            <w:tcBorders>
              <w:top w:val="single" w:sz="4" w:space="0" w:color="auto"/>
              <w:left w:val="single" w:sz="4" w:space="0" w:color="auto"/>
              <w:bottom w:val="single" w:sz="4" w:space="0" w:color="auto"/>
              <w:right w:val="single" w:sz="4" w:space="0" w:color="auto"/>
            </w:tcBorders>
            <w:noWrap/>
            <w:hideMark/>
          </w:tcPr>
          <w:p w14:paraId="6D512D1F"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140</w:t>
            </w:r>
          </w:p>
        </w:tc>
        <w:tc>
          <w:tcPr>
            <w:tcW w:w="1351" w:type="dxa"/>
            <w:tcBorders>
              <w:top w:val="single" w:sz="4" w:space="0" w:color="auto"/>
              <w:left w:val="single" w:sz="4" w:space="0" w:color="auto"/>
              <w:bottom w:val="single" w:sz="4" w:space="0" w:color="auto"/>
              <w:right w:val="single" w:sz="4" w:space="0" w:color="auto"/>
            </w:tcBorders>
            <w:noWrap/>
            <w:hideMark/>
          </w:tcPr>
          <w:p w14:paraId="5E3D00C9"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8</w:t>
            </w:r>
          </w:p>
        </w:tc>
        <w:tc>
          <w:tcPr>
            <w:tcW w:w="1049" w:type="dxa"/>
            <w:tcBorders>
              <w:top w:val="single" w:sz="4" w:space="0" w:color="auto"/>
              <w:left w:val="single" w:sz="4" w:space="0" w:color="auto"/>
              <w:bottom w:val="single" w:sz="4" w:space="0" w:color="auto"/>
              <w:right w:val="single" w:sz="4" w:space="0" w:color="auto"/>
            </w:tcBorders>
            <w:noWrap/>
            <w:hideMark/>
          </w:tcPr>
          <w:p w14:paraId="6554090B"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36</w:t>
            </w:r>
          </w:p>
        </w:tc>
      </w:tr>
      <w:tr w:rsidR="00C801A6" w:rsidRPr="00C801A6" w14:paraId="061068AE" w14:textId="77777777" w:rsidTr="00347FDB">
        <w:trPr>
          <w:trHeight w:val="315"/>
        </w:trPr>
        <w:tc>
          <w:tcPr>
            <w:tcW w:w="1923" w:type="dxa"/>
            <w:tcBorders>
              <w:top w:val="single" w:sz="4" w:space="0" w:color="auto"/>
              <w:left w:val="single" w:sz="4" w:space="0" w:color="auto"/>
              <w:bottom w:val="single" w:sz="4" w:space="0" w:color="auto"/>
              <w:right w:val="single" w:sz="4" w:space="0" w:color="auto"/>
            </w:tcBorders>
            <w:noWrap/>
            <w:hideMark/>
          </w:tcPr>
          <w:p w14:paraId="670AB5FD" w14:textId="77777777" w:rsidR="00575CDF" w:rsidRPr="00C801A6" w:rsidRDefault="00575CDF" w:rsidP="00347FDB">
            <w:pPr>
              <w:spacing w:before="20" w:after="20" w:line="264" w:lineRule="auto"/>
              <w:rPr>
                <w:rFonts w:eastAsia="Times New Roman" w:cs="Times New Roman"/>
                <w:color w:val="auto"/>
                <w:sz w:val="20"/>
                <w:szCs w:val="20"/>
                <w:lang w:eastAsia="fr-FR"/>
              </w:rPr>
            </w:pPr>
            <w:r w:rsidRPr="00C801A6">
              <w:rPr>
                <w:rFonts w:cs="Times New Roman"/>
                <w:color w:val="auto"/>
                <w:sz w:val="20"/>
                <w:szCs w:val="20"/>
              </w:rPr>
              <w:t>Vatovavy Fitovinany</w:t>
            </w:r>
          </w:p>
        </w:tc>
        <w:tc>
          <w:tcPr>
            <w:tcW w:w="1304" w:type="dxa"/>
            <w:tcBorders>
              <w:top w:val="single" w:sz="4" w:space="0" w:color="auto"/>
              <w:left w:val="single" w:sz="4" w:space="0" w:color="auto"/>
              <w:bottom w:val="single" w:sz="4" w:space="0" w:color="auto"/>
              <w:right w:val="single" w:sz="4" w:space="0" w:color="auto"/>
            </w:tcBorders>
            <w:noWrap/>
            <w:hideMark/>
          </w:tcPr>
          <w:p w14:paraId="20F4A3B2"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1 835</w:t>
            </w:r>
          </w:p>
        </w:tc>
        <w:tc>
          <w:tcPr>
            <w:tcW w:w="1096" w:type="dxa"/>
            <w:tcBorders>
              <w:top w:val="single" w:sz="4" w:space="0" w:color="auto"/>
              <w:left w:val="single" w:sz="4" w:space="0" w:color="auto"/>
              <w:bottom w:val="single" w:sz="4" w:space="0" w:color="auto"/>
              <w:right w:val="single" w:sz="4" w:space="0" w:color="auto"/>
            </w:tcBorders>
            <w:noWrap/>
            <w:hideMark/>
          </w:tcPr>
          <w:p w14:paraId="6438B602"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121</w:t>
            </w:r>
          </w:p>
        </w:tc>
        <w:tc>
          <w:tcPr>
            <w:tcW w:w="1351" w:type="dxa"/>
            <w:tcBorders>
              <w:top w:val="single" w:sz="4" w:space="0" w:color="auto"/>
              <w:left w:val="single" w:sz="4" w:space="0" w:color="auto"/>
              <w:bottom w:val="single" w:sz="4" w:space="0" w:color="auto"/>
              <w:right w:val="single" w:sz="4" w:space="0" w:color="auto"/>
            </w:tcBorders>
            <w:noWrap/>
            <w:hideMark/>
          </w:tcPr>
          <w:p w14:paraId="6EAB5C77"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14</w:t>
            </w:r>
          </w:p>
        </w:tc>
        <w:tc>
          <w:tcPr>
            <w:tcW w:w="1049" w:type="dxa"/>
            <w:tcBorders>
              <w:top w:val="single" w:sz="4" w:space="0" w:color="auto"/>
              <w:left w:val="single" w:sz="4" w:space="0" w:color="auto"/>
              <w:bottom w:val="single" w:sz="4" w:space="0" w:color="auto"/>
              <w:right w:val="single" w:sz="4" w:space="0" w:color="auto"/>
            </w:tcBorders>
            <w:noWrap/>
            <w:hideMark/>
          </w:tcPr>
          <w:p w14:paraId="3F073718"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29</w:t>
            </w:r>
          </w:p>
        </w:tc>
        <w:tc>
          <w:tcPr>
            <w:tcW w:w="1351" w:type="dxa"/>
            <w:tcBorders>
              <w:top w:val="single" w:sz="4" w:space="0" w:color="auto"/>
              <w:left w:val="single" w:sz="4" w:space="0" w:color="auto"/>
              <w:bottom w:val="single" w:sz="4" w:space="0" w:color="auto"/>
              <w:right w:val="single" w:sz="4" w:space="0" w:color="auto"/>
            </w:tcBorders>
            <w:noWrap/>
            <w:hideMark/>
          </w:tcPr>
          <w:p w14:paraId="12D962EC"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7</w:t>
            </w:r>
          </w:p>
        </w:tc>
        <w:tc>
          <w:tcPr>
            <w:tcW w:w="1049" w:type="dxa"/>
            <w:tcBorders>
              <w:top w:val="single" w:sz="4" w:space="0" w:color="auto"/>
              <w:left w:val="single" w:sz="4" w:space="0" w:color="auto"/>
              <w:bottom w:val="single" w:sz="4" w:space="0" w:color="auto"/>
              <w:right w:val="single" w:sz="4" w:space="0" w:color="auto"/>
            </w:tcBorders>
            <w:noWrap/>
            <w:hideMark/>
          </w:tcPr>
          <w:p w14:paraId="38B4AAFC" w14:textId="77777777" w:rsidR="00575CDF" w:rsidRPr="00C801A6" w:rsidRDefault="00575CDF" w:rsidP="00347FDB">
            <w:pPr>
              <w:spacing w:before="20" w:after="20" w:line="264" w:lineRule="auto"/>
              <w:jc w:val="right"/>
              <w:rPr>
                <w:rFonts w:eastAsia="Times New Roman" w:cs="Times New Roman"/>
                <w:color w:val="auto"/>
                <w:sz w:val="20"/>
                <w:szCs w:val="20"/>
                <w:lang w:eastAsia="fr-FR"/>
              </w:rPr>
            </w:pPr>
            <w:r w:rsidRPr="00C801A6">
              <w:rPr>
                <w:rFonts w:eastAsia="Times New Roman" w:cs="Times New Roman"/>
                <w:color w:val="auto"/>
                <w:sz w:val="20"/>
                <w:szCs w:val="20"/>
                <w:lang w:eastAsia="fr-FR"/>
              </w:rPr>
              <w:t>4</w:t>
            </w:r>
          </w:p>
        </w:tc>
      </w:tr>
      <w:tr w:rsidR="00C801A6" w:rsidRPr="00C801A6" w14:paraId="023C989F" w14:textId="77777777" w:rsidTr="00347FDB">
        <w:trPr>
          <w:trHeight w:val="315"/>
        </w:trPr>
        <w:tc>
          <w:tcPr>
            <w:tcW w:w="1923" w:type="dxa"/>
            <w:tcBorders>
              <w:top w:val="single" w:sz="4" w:space="0" w:color="auto"/>
              <w:left w:val="single" w:sz="4" w:space="0" w:color="auto"/>
              <w:bottom w:val="single" w:sz="4" w:space="0" w:color="auto"/>
              <w:right w:val="single" w:sz="4" w:space="0" w:color="auto"/>
            </w:tcBorders>
            <w:shd w:val="clear" w:color="auto" w:fill="DEEAF6" w:themeFill="accent5" w:themeFillTint="33"/>
            <w:hideMark/>
          </w:tcPr>
          <w:p w14:paraId="3E8C9A9A" w14:textId="77777777" w:rsidR="00575CDF" w:rsidRPr="00C801A6" w:rsidRDefault="00575CDF" w:rsidP="00347FDB">
            <w:pPr>
              <w:spacing w:before="20" w:after="20" w:line="264" w:lineRule="auto"/>
              <w:rPr>
                <w:rFonts w:eastAsia="Times New Roman" w:cs="Times New Roman"/>
                <w:b/>
                <w:bCs/>
                <w:color w:val="auto"/>
                <w:sz w:val="20"/>
                <w:szCs w:val="20"/>
                <w:lang w:eastAsia="fr-FR"/>
              </w:rPr>
            </w:pPr>
            <w:r w:rsidRPr="00C801A6">
              <w:rPr>
                <w:rFonts w:eastAsia="Times New Roman" w:cs="Times New Roman"/>
                <w:b/>
                <w:bCs/>
                <w:color w:val="auto"/>
                <w:sz w:val="20"/>
                <w:szCs w:val="20"/>
                <w:lang w:eastAsia="fr-FR"/>
              </w:rPr>
              <w:t>MADAGASCAR</w:t>
            </w:r>
          </w:p>
        </w:tc>
        <w:tc>
          <w:tcPr>
            <w:tcW w:w="1304" w:type="dxa"/>
            <w:tcBorders>
              <w:top w:val="single" w:sz="4" w:space="0" w:color="auto"/>
              <w:left w:val="single" w:sz="4" w:space="0" w:color="auto"/>
              <w:bottom w:val="single" w:sz="4" w:space="0" w:color="auto"/>
              <w:right w:val="single" w:sz="4" w:space="0" w:color="auto"/>
            </w:tcBorders>
            <w:shd w:val="clear" w:color="auto" w:fill="DEEAF6" w:themeFill="accent5" w:themeFillTint="33"/>
            <w:noWrap/>
            <w:hideMark/>
          </w:tcPr>
          <w:p w14:paraId="3313D30C" w14:textId="77777777" w:rsidR="00575CDF" w:rsidRPr="00C801A6" w:rsidRDefault="00575CDF" w:rsidP="00347FDB">
            <w:pPr>
              <w:spacing w:before="20" w:after="20" w:line="264" w:lineRule="auto"/>
              <w:jc w:val="right"/>
              <w:rPr>
                <w:rFonts w:eastAsia="Times New Roman" w:cs="Times New Roman"/>
                <w:b/>
                <w:color w:val="auto"/>
                <w:sz w:val="20"/>
                <w:szCs w:val="20"/>
                <w:lang w:eastAsia="fr-FR"/>
              </w:rPr>
            </w:pPr>
            <w:r w:rsidRPr="00C801A6">
              <w:rPr>
                <w:rFonts w:eastAsia="Times New Roman" w:cs="Times New Roman"/>
                <w:b/>
                <w:color w:val="auto"/>
                <w:sz w:val="20"/>
                <w:szCs w:val="20"/>
                <w:lang w:eastAsia="fr-FR"/>
              </w:rPr>
              <w:t>18104</w:t>
            </w:r>
          </w:p>
        </w:tc>
        <w:tc>
          <w:tcPr>
            <w:tcW w:w="1096" w:type="dxa"/>
            <w:tcBorders>
              <w:top w:val="single" w:sz="4" w:space="0" w:color="auto"/>
              <w:left w:val="single" w:sz="4" w:space="0" w:color="auto"/>
              <w:bottom w:val="single" w:sz="4" w:space="0" w:color="auto"/>
              <w:right w:val="single" w:sz="4" w:space="0" w:color="auto"/>
            </w:tcBorders>
            <w:shd w:val="clear" w:color="auto" w:fill="DEEAF6" w:themeFill="accent5" w:themeFillTint="33"/>
            <w:noWrap/>
            <w:hideMark/>
          </w:tcPr>
          <w:p w14:paraId="1A9449AE" w14:textId="77777777" w:rsidR="00575CDF" w:rsidRPr="00C801A6" w:rsidRDefault="00575CDF" w:rsidP="00347FDB">
            <w:pPr>
              <w:spacing w:before="20" w:after="20" w:line="264" w:lineRule="auto"/>
              <w:jc w:val="right"/>
              <w:rPr>
                <w:rFonts w:eastAsia="Times New Roman" w:cs="Times New Roman"/>
                <w:b/>
                <w:color w:val="auto"/>
                <w:sz w:val="20"/>
                <w:szCs w:val="20"/>
                <w:lang w:eastAsia="fr-FR"/>
              </w:rPr>
            </w:pPr>
            <w:r w:rsidRPr="00C801A6">
              <w:rPr>
                <w:rFonts w:eastAsia="Times New Roman" w:cs="Times New Roman"/>
                <w:b/>
                <w:color w:val="auto"/>
                <w:sz w:val="20"/>
                <w:szCs w:val="20"/>
                <w:lang w:eastAsia="fr-FR"/>
              </w:rPr>
              <w:t>6065</w:t>
            </w:r>
          </w:p>
        </w:tc>
        <w:tc>
          <w:tcPr>
            <w:tcW w:w="1351" w:type="dxa"/>
            <w:tcBorders>
              <w:top w:val="single" w:sz="4" w:space="0" w:color="auto"/>
              <w:left w:val="single" w:sz="4" w:space="0" w:color="auto"/>
              <w:bottom w:val="single" w:sz="4" w:space="0" w:color="auto"/>
              <w:right w:val="single" w:sz="4" w:space="0" w:color="auto"/>
            </w:tcBorders>
            <w:shd w:val="clear" w:color="auto" w:fill="DEEAF6" w:themeFill="accent5" w:themeFillTint="33"/>
            <w:noWrap/>
            <w:hideMark/>
          </w:tcPr>
          <w:p w14:paraId="45DB5547" w14:textId="77777777" w:rsidR="00575CDF" w:rsidRPr="00C801A6" w:rsidRDefault="00575CDF" w:rsidP="00347FDB">
            <w:pPr>
              <w:spacing w:before="20" w:after="20" w:line="264" w:lineRule="auto"/>
              <w:jc w:val="right"/>
              <w:rPr>
                <w:rFonts w:eastAsia="Times New Roman" w:cs="Times New Roman"/>
                <w:b/>
                <w:color w:val="auto"/>
                <w:sz w:val="20"/>
                <w:szCs w:val="20"/>
                <w:lang w:eastAsia="fr-FR"/>
              </w:rPr>
            </w:pPr>
            <w:r w:rsidRPr="00C801A6">
              <w:rPr>
                <w:rFonts w:eastAsia="Times New Roman" w:cs="Times New Roman"/>
                <w:b/>
                <w:color w:val="auto"/>
                <w:sz w:val="20"/>
                <w:szCs w:val="20"/>
                <w:lang w:eastAsia="fr-FR"/>
              </w:rPr>
              <w:t>1109</w:t>
            </w:r>
          </w:p>
        </w:tc>
        <w:tc>
          <w:tcPr>
            <w:tcW w:w="1049" w:type="dxa"/>
            <w:tcBorders>
              <w:top w:val="single" w:sz="4" w:space="0" w:color="auto"/>
              <w:left w:val="single" w:sz="4" w:space="0" w:color="auto"/>
              <w:bottom w:val="single" w:sz="4" w:space="0" w:color="auto"/>
              <w:right w:val="single" w:sz="4" w:space="0" w:color="auto"/>
            </w:tcBorders>
            <w:shd w:val="clear" w:color="auto" w:fill="DEEAF6" w:themeFill="accent5" w:themeFillTint="33"/>
            <w:noWrap/>
            <w:hideMark/>
          </w:tcPr>
          <w:p w14:paraId="0A63600F" w14:textId="77777777" w:rsidR="00575CDF" w:rsidRPr="00C801A6" w:rsidRDefault="00575CDF" w:rsidP="00347FDB">
            <w:pPr>
              <w:spacing w:before="20" w:after="20" w:line="264" w:lineRule="auto"/>
              <w:jc w:val="right"/>
              <w:rPr>
                <w:rFonts w:eastAsia="Times New Roman" w:cs="Times New Roman"/>
                <w:b/>
                <w:color w:val="auto"/>
                <w:sz w:val="20"/>
                <w:szCs w:val="20"/>
                <w:lang w:eastAsia="fr-FR"/>
              </w:rPr>
            </w:pPr>
            <w:r w:rsidRPr="00C801A6">
              <w:rPr>
                <w:rFonts w:eastAsia="Times New Roman" w:cs="Times New Roman"/>
                <w:b/>
                <w:color w:val="auto"/>
                <w:sz w:val="20"/>
                <w:szCs w:val="20"/>
                <w:lang w:eastAsia="fr-FR"/>
              </w:rPr>
              <w:t>1514</w:t>
            </w:r>
          </w:p>
        </w:tc>
        <w:tc>
          <w:tcPr>
            <w:tcW w:w="1351" w:type="dxa"/>
            <w:tcBorders>
              <w:top w:val="single" w:sz="4" w:space="0" w:color="auto"/>
              <w:left w:val="single" w:sz="4" w:space="0" w:color="auto"/>
              <w:bottom w:val="single" w:sz="4" w:space="0" w:color="auto"/>
              <w:right w:val="single" w:sz="4" w:space="0" w:color="auto"/>
            </w:tcBorders>
            <w:shd w:val="clear" w:color="auto" w:fill="DEEAF6" w:themeFill="accent5" w:themeFillTint="33"/>
            <w:noWrap/>
            <w:hideMark/>
          </w:tcPr>
          <w:p w14:paraId="2168DC12" w14:textId="77777777" w:rsidR="00575CDF" w:rsidRPr="00C801A6" w:rsidRDefault="00575CDF" w:rsidP="00347FDB">
            <w:pPr>
              <w:spacing w:before="20" w:after="20" w:line="264" w:lineRule="auto"/>
              <w:jc w:val="right"/>
              <w:rPr>
                <w:rFonts w:eastAsia="Times New Roman" w:cs="Times New Roman"/>
                <w:b/>
                <w:color w:val="auto"/>
                <w:sz w:val="20"/>
                <w:szCs w:val="20"/>
                <w:lang w:eastAsia="fr-FR"/>
              </w:rPr>
            </w:pPr>
            <w:r w:rsidRPr="00C801A6">
              <w:rPr>
                <w:rFonts w:eastAsia="Times New Roman" w:cs="Times New Roman"/>
                <w:b/>
                <w:color w:val="auto"/>
                <w:sz w:val="20"/>
                <w:szCs w:val="20"/>
                <w:lang w:eastAsia="fr-FR"/>
              </w:rPr>
              <w:t>138</w:t>
            </w:r>
          </w:p>
        </w:tc>
        <w:tc>
          <w:tcPr>
            <w:tcW w:w="1049" w:type="dxa"/>
            <w:tcBorders>
              <w:top w:val="single" w:sz="4" w:space="0" w:color="auto"/>
              <w:left w:val="single" w:sz="4" w:space="0" w:color="auto"/>
              <w:bottom w:val="single" w:sz="4" w:space="0" w:color="auto"/>
              <w:right w:val="single" w:sz="4" w:space="0" w:color="auto"/>
            </w:tcBorders>
            <w:shd w:val="clear" w:color="auto" w:fill="DEEAF6" w:themeFill="accent5" w:themeFillTint="33"/>
            <w:noWrap/>
            <w:hideMark/>
          </w:tcPr>
          <w:p w14:paraId="4ECF4FFE" w14:textId="77777777" w:rsidR="00575CDF" w:rsidRPr="00C801A6" w:rsidRDefault="00575CDF" w:rsidP="00347FDB">
            <w:pPr>
              <w:spacing w:before="20" w:after="20" w:line="264" w:lineRule="auto"/>
              <w:jc w:val="right"/>
              <w:rPr>
                <w:rFonts w:eastAsia="Times New Roman" w:cs="Times New Roman"/>
                <w:b/>
                <w:color w:val="auto"/>
                <w:sz w:val="20"/>
                <w:szCs w:val="20"/>
                <w:lang w:eastAsia="fr-FR"/>
              </w:rPr>
            </w:pPr>
            <w:r w:rsidRPr="00C801A6">
              <w:rPr>
                <w:rFonts w:eastAsia="Times New Roman" w:cs="Times New Roman"/>
                <w:b/>
                <w:color w:val="auto"/>
                <w:sz w:val="20"/>
                <w:szCs w:val="20"/>
                <w:lang w:eastAsia="fr-FR"/>
              </w:rPr>
              <w:t>475</w:t>
            </w:r>
          </w:p>
        </w:tc>
      </w:tr>
    </w:tbl>
    <w:p w14:paraId="69B7BAF7" w14:textId="77777777" w:rsidR="00575CDF" w:rsidRPr="00C801A6" w:rsidRDefault="00575CDF" w:rsidP="00575CDF">
      <w:pPr>
        <w:spacing w:line="288" w:lineRule="auto"/>
        <w:ind w:left="567"/>
        <w:jc w:val="right"/>
        <w:rPr>
          <w:rFonts w:ascii="Book Antiqua" w:hAnsi="Book Antiqua" w:cs="Times New Roman"/>
          <w:i/>
          <w:iCs/>
          <w:color w:val="auto"/>
          <w:sz w:val="18"/>
          <w:szCs w:val="18"/>
        </w:rPr>
      </w:pPr>
      <w:r w:rsidRPr="00C801A6">
        <w:rPr>
          <w:rFonts w:ascii="Book Antiqua" w:hAnsi="Book Antiqua" w:cs="Times New Roman"/>
          <w:i/>
          <w:iCs/>
          <w:color w:val="auto"/>
          <w:sz w:val="18"/>
          <w:szCs w:val="18"/>
          <w:u w:val="single"/>
        </w:rPr>
        <w:t>Source</w:t>
      </w:r>
      <w:r w:rsidRPr="00C801A6">
        <w:rPr>
          <w:rFonts w:ascii="Book Antiqua" w:hAnsi="Book Antiqua" w:cs="Times New Roman"/>
          <w:i/>
          <w:iCs/>
          <w:color w:val="auto"/>
          <w:sz w:val="18"/>
          <w:szCs w:val="18"/>
        </w:rPr>
        <w:t xml:space="preserve"> : MDG - INSTAT – RGPH 2018</w:t>
      </w:r>
    </w:p>
    <w:p w14:paraId="488C8035" w14:textId="77777777" w:rsidR="00575CDF" w:rsidRPr="00C801A6" w:rsidRDefault="00575CDF" w:rsidP="00575CDF">
      <w:pPr>
        <w:spacing w:before="240"/>
        <w:ind w:right="62"/>
        <w:rPr>
          <w:rFonts w:cs="Arial"/>
          <w:color w:val="auto"/>
          <w:lang w:val="fr-CA"/>
        </w:rPr>
      </w:pPr>
      <w:r w:rsidRPr="00C801A6">
        <w:rPr>
          <w:rFonts w:cs="Arial"/>
          <w:color w:val="auto"/>
          <w:lang w:val="fr-CA"/>
        </w:rPr>
        <w:lastRenderedPageBreak/>
        <w:t>Les six Chefs-lieux de Provinces disposent aussi d’au moins un établissement universitaire.</w:t>
      </w:r>
    </w:p>
    <w:p w14:paraId="511F4001" w14:textId="77777777" w:rsidR="00575CDF" w:rsidRPr="00C801A6" w:rsidRDefault="00575CDF" w:rsidP="003042DB">
      <w:pPr>
        <w:pStyle w:val="Heading4"/>
        <w:rPr>
          <w:color w:val="auto"/>
        </w:rPr>
      </w:pPr>
      <w:bookmarkStart w:id="192" w:name="_Toc429311451"/>
      <w:bookmarkStart w:id="193" w:name="_Toc440199222"/>
      <w:bookmarkStart w:id="194" w:name="_Toc230298749"/>
      <w:r w:rsidRPr="00C801A6">
        <w:rPr>
          <w:color w:val="auto"/>
        </w:rPr>
        <w:t>Infrastructures sanitaires</w:t>
      </w:r>
      <w:bookmarkEnd w:id="192"/>
      <w:bookmarkEnd w:id="193"/>
      <w:bookmarkEnd w:id="194"/>
    </w:p>
    <w:p w14:paraId="36E73C88" w14:textId="77777777" w:rsidR="00575CDF" w:rsidRPr="00C801A6" w:rsidRDefault="00575CDF" w:rsidP="00575CDF">
      <w:pPr>
        <w:autoSpaceDE w:val="0"/>
        <w:autoSpaceDN w:val="0"/>
        <w:adjustRightInd w:val="0"/>
        <w:spacing w:after="120" w:line="288" w:lineRule="auto"/>
        <w:rPr>
          <w:rFonts w:cs="Arial"/>
          <w:color w:val="auto"/>
          <w:lang w:val="fr-CA"/>
        </w:rPr>
      </w:pPr>
      <w:r w:rsidRPr="00C801A6">
        <w:rPr>
          <w:rFonts w:cs="Arial"/>
          <w:color w:val="auto"/>
          <w:lang w:val="fr-CA"/>
        </w:rPr>
        <w:t>Toutes les régions concernées par le projet disposent des infrastructures sanitaires publiques et privées.</w:t>
      </w:r>
    </w:p>
    <w:p w14:paraId="600A02E6" w14:textId="1BB06CAA" w:rsidR="00575CDF" w:rsidRPr="00C801A6" w:rsidRDefault="006A5365" w:rsidP="006A5365">
      <w:pPr>
        <w:pStyle w:val="Caption"/>
        <w:rPr>
          <w:color w:val="auto"/>
        </w:rPr>
      </w:pPr>
      <w:bookmarkStart w:id="195" w:name="_Toc230427731"/>
      <w:r>
        <w:t xml:space="preserve">Tableau </w:t>
      </w:r>
      <w:r w:rsidR="00E44887">
        <w:fldChar w:fldCharType="begin"/>
      </w:r>
      <w:r w:rsidR="00E44887">
        <w:instrText xml:space="preserve"> SEQ Tableau \* ARABIC </w:instrText>
      </w:r>
      <w:r w:rsidR="00E44887">
        <w:fldChar w:fldCharType="separate"/>
      </w:r>
      <w:r w:rsidR="00253F1A">
        <w:rPr>
          <w:noProof/>
        </w:rPr>
        <w:t>11</w:t>
      </w:r>
      <w:r w:rsidR="00E44887">
        <w:rPr>
          <w:noProof/>
        </w:rPr>
        <w:fldChar w:fldCharType="end"/>
      </w:r>
      <w:r>
        <w:t xml:space="preserve"> : </w:t>
      </w:r>
      <w:r w:rsidR="00575CDF" w:rsidRPr="00C801A6">
        <w:rPr>
          <w:color w:val="auto"/>
        </w:rPr>
        <w:t>Infrastructures sanitaires publiques par région</w:t>
      </w:r>
      <w:bookmarkEnd w:id="195"/>
    </w:p>
    <w:tbl>
      <w:tblPr>
        <w:tblW w:w="886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856"/>
        <w:gridCol w:w="1168"/>
        <w:gridCol w:w="1169"/>
        <w:gridCol w:w="1169"/>
        <w:gridCol w:w="1169"/>
        <w:gridCol w:w="1169"/>
        <w:gridCol w:w="1169"/>
      </w:tblGrid>
      <w:tr w:rsidR="00C801A6" w:rsidRPr="00C801A6" w14:paraId="35DEDCE6" w14:textId="77777777" w:rsidTr="55280A2F">
        <w:trPr>
          <w:trHeight w:val="315"/>
          <w:tblHeader/>
        </w:trPr>
        <w:tc>
          <w:tcPr>
            <w:tcW w:w="1856" w:type="dxa"/>
            <w:shd w:val="clear" w:color="auto" w:fill="E2EFD9" w:themeFill="accent6" w:themeFillTint="33"/>
            <w:noWrap/>
            <w:hideMark/>
          </w:tcPr>
          <w:p w14:paraId="7B1E150E" w14:textId="77777777" w:rsidR="00575CDF" w:rsidRPr="00C801A6" w:rsidRDefault="00575CDF" w:rsidP="00347FDB">
            <w:pPr>
              <w:spacing w:before="20" w:after="20" w:line="264" w:lineRule="auto"/>
              <w:jc w:val="center"/>
              <w:rPr>
                <w:rFonts w:eastAsia="Times New Roman" w:cs="Times New Roman"/>
                <w:b/>
                <w:bCs/>
                <w:color w:val="auto"/>
                <w:sz w:val="20"/>
                <w:szCs w:val="20"/>
                <w:lang w:eastAsia="fr-FR"/>
              </w:rPr>
            </w:pPr>
            <w:r w:rsidRPr="00C801A6">
              <w:rPr>
                <w:rFonts w:eastAsia="Times New Roman" w:cs="Times New Roman"/>
                <w:b/>
                <w:bCs/>
                <w:color w:val="auto"/>
                <w:sz w:val="20"/>
                <w:szCs w:val="20"/>
                <w:lang w:eastAsia="fr-FR"/>
              </w:rPr>
              <w:t>REGION</w:t>
            </w:r>
          </w:p>
        </w:tc>
        <w:tc>
          <w:tcPr>
            <w:tcW w:w="1168" w:type="dxa"/>
            <w:shd w:val="clear" w:color="auto" w:fill="E2EFD9" w:themeFill="accent6" w:themeFillTint="33"/>
            <w:noWrap/>
            <w:vAlign w:val="center"/>
            <w:hideMark/>
          </w:tcPr>
          <w:p w14:paraId="4C1AC2AE" w14:textId="7B1DCDD2" w:rsidR="00575CDF" w:rsidRPr="00C801A6" w:rsidRDefault="64C26F39" w:rsidP="00347FDB">
            <w:pPr>
              <w:spacing w:before="20" w:after="20" w:line="264" w:lineRule="auto"/>
              <w:jc w:val="center"/>
              <w:rPr>
                <w:rFonts w:eastAsia="Times New Roman" w:cs="Times New Roman"/>
                <w:b/>
                <w:bCs/>
                <w:color w:val="auto"/>
                <w:sz w:val="20"/>
                <w:szCs w:val="20"/>
                <w:lang w:eastAsia="fr-FR"/>
              </w:rPr>
            </w:pPr>
            <w:r w:rsidRPr="00C801A6">
              <w:rPr>
                <w:rFonts w:eastAsia="Times New Roman" w:cs="Times New Roman"/>
                <w:b/>
                <w:bCs/>
                <w:color w:val="auto"/>
                <w:sz w:val="20"/>
                <w:szCs w:val="20"/>
                <w:lang w:eastAsia="fr-FR"/>
              </w:rPr>
              <w:t>CSB I</w:t>
            </w:r>
            <w:r w:rsidR="00575CDF" w:rsidRPr="00C801A6">
              <w:rPr>
                <w:rFonts w:eastAsia="Times New Roman" w:cs="Times New Roman"/>
                <w:b/>
                <w:bCs/>
                <w:color w:val="auto"/>
                <w:sz w:val="20"/>
                <w:szCs w:val="20"/>
                <w:vertAlign w:val="superscript"/>
                <w:lang w:eastAsia="fr-FR"/>
              </w:rPr>
              <w:footnoteReference w:id="6"/>
            </w:r>
          </w:p>
        </w:tc>
        <w:tc>
          <w:tcPr>
            <w:tcW w:w="1169" w:type="dxa"/>
            <w:shd w:val="clear" w:color="auto" w:fill="E2EFD9" w:themeFill="accent6" w:themeFillTint="33"/>
            <w:noWrap/>
            <w:vAlign w:val="center"/>
            <w:hideMark/>
          </w:tcPr>
          <w:p w14:paraId="39AB6C25" w14:textId="3DBFAD2F" w:rsidR="00575CDF" w:rsidRPr="00C801A6" w:rsidRDefault="64C26F39" w:rsidP="00347FDB">
            <w:pPr>
              <w:spacing w:before="20" w:after="20" w:line="264" w:lineRule="auto"/>
              <w:jc w:val="center"/>
              <w:rPr>
                <w:rFonts w:eastAsia="Times New Roman" w:cs="Times New Roman"/>
                <w:b/>
                <w:bCs/>
                <w:color w:val="auto"/>
                <w:sz w:val="20"/>
                <w:szCs w:val="20"/>
                <w:lang w:eastAsia="fr-FR"/>
              </w:rPr>
            </w:pPr>
            <w:r w:rsidRPr="00C801A6">
              <w:rPr>
                <w:rFonts w:eastAsia="Times New Roman" w:cs="Times New Roman"/>
                <w:b/>
                <w:bCs/>
                <w:color w:val="auto"/>
                <w:sz w:val="20"/>
                <w:szCs w:val="20"/>
                <w:lang w:eastAsia="fr-FR"/>
              </w:rPr>
              <w:t>CSB II</w:t>
            </w:r>
            <w:r w:rsidR="00575CDF" w:rsidRPr="00C801A6">
              <w:rPr>
                <w:rFonts w:eastAsia="Times New Roman" w:cs="Times New Roman"/>
                <w:b/>
                <w:bCs/>
                <w:color w:val="auto"/>
                <w:sz w:val="20"/>
                <w:szCs w:val="20"/>
                <w:vertAlign w:val="superscript"/>
                <w:lang w:eastAsia="fr-FR"/>
              </w:rPr>
              <w:footnoteReference w:id="7"/>
            </w:r>
          </w:p>
        </w:tc>
        <w:tc>
          <w:tcPr>
            <w:tcW w:w="1169" w:type="dxa"/>
            <w:shd w:val="clear" w:color="auto" w:fill="E2EFD9" w:themeFill="accent6" w:themeFillTint="33"/>
            <w:noWrap/>
            <w:vAlign w:val="center"/>
            <w:hideMark/>
          </w:tcPr>
          <w:p w14:paraId="0060A69B" w14:textId="4C77D04C" w:rsidR="00575CDF" w:rsidRPr="00C801A6" w:rsidRDefault="64C26F39" w:rsidP="00347FDB">
            <w:pPr>
              <w:spacing w:before="20" w:after="20" w:line="264" w:lineRule="auto"/>
              <w:jc w:val="center"/>
              <w:rPr>
                <w:rFonts w:eastAsia="Times New Roman" w:cs="Times New Roman"/>
                <w:b/>
                <w:bCs/>
                <w:color w:val="auto"/>
                <w:sz w:val="20"/>
                <w:szCs w:val="20"/>
                <w:lang w:eastAsia="fr-FR"/>
              </w:rPr>
            </w:pPr>
            <w:r w:rsidRPr="00C801A6">
              <w:rPr>
                <w:rFonts w:eastAsia="Times New Roman" w:cs="Times New Roman"/>
                <w:b/>
                <w:bCs/>
                <w:color w:val="auto"/>
                <w:sz w:val="20"/>
                <w:szCs w:val="20"/>
                <w:lang w:eastAsia="fr-FR"/>
              </w:rPr>
              <w:t>CHD I</w:t>
            </w:r>
            <w:r w:rsidR="00575CDF" w:rsidRPr="00C801A6">
              <w:rPr>
                <w:rFonts w:eastAsia="Times New Roman" w:cs="Times New Roman"/>
                <w:b/>
                <w:bCs/>
                <w:color w:val="auto"/>
                <w:sz w:val="20"/>
                <w:szCs w:val="20"/>
                <w:vertAlign w:val="superscript"/>
                <w:lang w:eastAsia="fr-FR"/>
              </w:rPr>
              <w:footnoteReference w:id="8"/>
            </w:r>
          </w:p>
        </w:tc>
        <w:tc>
          <w:tcPr>
            <w:tcW w:w="1169" w:type="dxa"/>
            <w:shd w:val="clear" w:color="auto" w:fill="E2EFD9" w:themeFill="accent6" w:themeFillTint="33"/>
            <w:noWrap/>
            <w:vAlign w:val="center"/>
            <w:hideMark/>
          </w:tcPr>
          <w:p w14:paraId="16E42FA6" w14:textId="5BADAACC" w:rsidR="00575CDF" w:rsidRPr="00C801A6" w:rsidRDefault="64C26F39" w:rsidP="00347FDB">
            <w:pPr>
              <w:spacing w:before="20" w:after="20" w:line="264" w:lineRule="auto"/>
              <w:jc w:val="center"/>
              <w:rPr>
                <w:rFonts w:eastAsia="Times New Roman" w:cs="Times New Roman"/>
                <w:b/>
                <w:bCs/>
                <w:color w:val="auto"/>
                <w:sz w:val="20"/>
                <w:szCs w:val="20"/>
                <w:lang w:eastAsia="fr-FR"/>
              </w:rPr>
            </w:pPr>
            <w:r w:rsidRPr="00C801A6">
              <w:rPr>
                <w:rFonts w:eastAsia="Times New Roman" w:cs="Times New Roman"/>
                <w:b/>
                <w:bCs/>
                <w:color w:val="auto"/>
                <w:sz w:val="20"/>
                <w:szCs w:val="20"/>
                <w:lang w:eastAsia="fr-FR"/>
              </w:rPr>
              <w:t>CHD II</w:t>
            </w:r>
            <w:r w:rsidR="00575CDF" w:rsidRPr="00C801A6">
              <w:rPr>
                <w:rFonts w:eastAsia="Times New Roman" w:cs="Times New Roman"/>
                <w:b/>
                <w:bCs/>
                <w:color w:val="auto"/>
                <w:sz w:val="20"/>
                <w:szCs w:val="20"/>
                <w:vertAlign w:val="superscript"/>
                <w:lang w:eastAsia="fr-FR"/>
              </w:rPr>
              <w:footnoteReference w:id="9"/>
            </w:r>
          </w:p>
        </w:tc>
        <w:tc>
          <w:tcPr>
            <w:tcW w:w="1169" w:type="dxa"/>
            <w:shd w:val="clear" w:color="auto" w:fill="E2EFD9" w:themeFill="accent6" w:themeFillTint="33"/>
            <w:noWrap/>
            <w:vAlign w:val="center"/>
            <w:hideMark/>
          </w:tcPr>
          <w:p w14:paraId="4B04B4A5" w14:textId="4B1B8DA5" w:rsidR="00575CDF" w:rsidRPr="00C801A6" w:rsidRDefault="64C26F39" w:rsidP="00347FDB">
            <w:pPr>
              <w:spacing w:before="20" w:after="20" w:line="264" w:lineRule="auto"/>
              <w:jc w:val="center"/>
              <w:rPr>
                <w:rFonts w:eastAsia="Times New Roman" w:cs="Times New Roman"/>
                <w:b/>
                <w:bCs/>
                <w:color w:val="auto"/>
                <w:sz w:val="20"/>
                <w:szCs w:val="20"/>
                <w:lang w:eastAsia="fr-FR"/>
              </w:rPr>
            </w:pPr>
            <w:r w:rsidRPr="00C801A6">
              <w:rPr>
                <w:rFonts w:eastAsia="Times New Roman" w:cs="Times New Roman"/>
                <w:b/>
                <w:bCs/>
                <w:color w:val="auto"/>
                <w:sz w:val="20"/>
                <w:szCs w:val="20"/>
                <w:lang w:eastAsia="fr-FR"/>
              </w:rPr>
              <w:t>CHU</w:t>
            </w:r>
            <w:r w:rsidR="00575CDF" w:rsidRPr="00C801A6">
              <w:rPr>
                <w:rFonts w:eastAsia="Times New Roman" w:cs="Times New Roman"/>
                <w:b/>
                <w:bCs/>
                <w:color w:val="auto"/>
                <w:sz w:val="20"/>
                <w:szCs w:val="20"/>
                <w:vertAlign w:val="superscript"/>
                <w:lang w:eastAsia="fr-FR"/>
              </w:rPr>
              <w:footnoteReference w:id="10"/>
            </w:r>
          </w:p>
        </w:tc>
        <w:tc>
          <w:tcPr>
            <w:tcW w:w="1169" w:type="dxa"/>
            <w:shd w:val="clear" w:color="auto" w:fill="E2EFD9" w:themeFill="accent6" w:themeFillTint="33"/>
            <w:noWrap/>
            <w:vAlign w:val="center"/>
            <w:hideMark/>
          </w:tcPr>
          <w:p w14:paraId="0E92EEC6" w14:textId="60FB3CFD" w:rsidR="00575CDF" w:rsidRPr="00C801A6" w:rsidRDefault="64C26F39" w:rsidP="00347FDB">
            <w:pPr>
              <w:spacing w:before="20" w:after="20" w:line="264" w:lineRule="auto"/>
              <w:jc w:val="center"/>
              <w:rPr>
                <w:rFonts w:eastAsia="Times New Roman" w:cs="Times New Roman"/>
                <w:b/>
                <w:bCs/>
                <w:color w:val="auto"/>
                <w:sz w:val="20"/>
                <w:szCs w:val="20"/>
                <w:lang w:eastAsia="fr-FR"/>
              </w:rPr>
            </w:pPr>
            <w:r w:rsidRPr="00C801A6">
              <w:rPr>
                <w:rFonts w:eastAsia="Times New Roman" w:cs="Times New Roman"/>
                <w:b/>
                <w:bCs/>
                <w:color w:val="auto"/>
                <w:sz w:val="20"/>
                <w:szCs w:val="20"/>
                <w:lang w:eastAsia="fr-FR"/>
              </w:rPr>
              <w:t>CHR</w:t>
            </w:r>
            <w:r w:rsidR="00575CDF" w:rsidRPr="00C801A6">
              <w:rPr>
                <w:rFonts w:eastAsia="Times New Roman" w:cs="Times New Roman"/>
                <w:b/>
                <w:bCs/>
                <w:color w:val="auto"/>
                <w:sz w:val="20"/>
                <w:szCs w:val="20"/>
                <w:vertAlign w:val="superscript"/>
                <w:lang w:eastAsia="fr-FR"/>
              </w:rPr>
              <w:footnoteReference w:id="11"/>
            </w:r>
          </w:p>
        </w:tc>
      </w:tr>
      <w:tr w:rsidR="00C801A6" w:rsidRPr="00C801A6" w14:paraId="7D3D5264" w14:textId="77777777" w:rsidTr="55280A2F">
        <w:trPr>
          <w:trHeight w:val="300"/>
        </w:trPr>
        <w:tc>
          <w:tcPr>
            <w:tcW w:w="1856" w:type="dxa"/>
            <w:noWrap/>
            <w:hideMark/>
          </w:tcPr>
          <w:p w14:paraId="41CD3B85" w14:textId="77777777" w:rsidR="00575CDF" w:rsidRPr="00C801A6" w:rsidRDefault="00575CDF" w:rsidP="00347FDB">
            <w:pPr>
              <w:spacing w:before="20" w:after="20" w:line="264" w:lineRule="auto"/>
              <w:rPr>
                <w:rFonts w:eastAsia="Times New Roman" w:cs="Times New Roman"/>
                <w:color w:val="auto"/>
                <w:sz w:val="20"/>
                <w:szCs w:val="20"/>
                <w:lang w:eastAsia="fr-FR"/>
              </w:rPr>
            </w:pPr>
            <w:r w:rsidRPr="00C801A6">
              <w:rPr>
                <w:rFonts w:eastAsia="Times New Roman" w:cs="Times New Roman"/>
                <w:color w:val="auto"/>
                <w:sz w:val="20"/>
                <w:szCs w:val="20"/>
                <w:lang w:eastAsia="fr-FR"/>
              </w:rPr>
              <w:t>Alaotra Mangoro</w:t>
            </w:r>
          </w:p>
        </w:tc>
        <w:tc>
          <w:tcPr>
            <w:tcW w:w="1168" w:type="dxa"/>
            <w:noWrap/>
            <w:vAlign w:val="center"/>
            <w:hideMark/>
          </w:tcPr>
          <w:p w14:paraId="79714098"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67</w:t>
            </w:r>
          </w:p>
        </w:tc>
        <w:tc>
          <w:tcPr>
            <w:tcW w:w="1169" w:type="dxa"/>
            <w:noWrap/>
            <w:vAlign w:val="center"/>
            <w:hideMark/>
          </w:tcPr>
          <w:p w14:paraId="08C7FAE9"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78</w:t>
            </w:r>
          </w:p>
        </w:tc>
        <w:tc>
          <w:tcPr>
            <w:tcW w:w="1169" w:type="dxa"/>
            <w:noWrap/>
            <w:vAlign w:val="center"/>
            <w:hideMark/>
          </w:tcPr>
          <w:p w14:paraId="7AF18180"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1</w:t>
            </w:r>
          </w:p>
        </w:tc>
        <w:tc>
          <w:tcPr>
            <w:tcW w:w="1169" w:type="dxa"/>
            <w:noWrap/>
            <w:vAlign w:val="center"/>
            <w:hideMark/>
          </w:tcPr>
          <w:p w14:paraId="1E0208EF"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3</w:t>
            </w:r>
          </w:p>
        </w:tc>
        <w:tc>
          <w:tcPr>
            <w:tcW w:w="1169" w:type="dxa"/>
            <w:noWrap/>
            <w:vAlign w:val="center"/>
            <w:hideMark/>
          </w:tcPr>
          <w:p w14:paraId="4F1D6EFF"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w:t>
            </w:r>
          </w:p>
        </w:tc>
        <w:tc>
          <w:tcPr>
            <w:tcW w:w="1169" w:type="dxa"/>
            <w:noWrap/>
            <w:vAlign w:val="center"/>
            <w:hideMark/>
          </w:tcPr>
          <w:p w14:paraId="373812FD"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w:t>
            </w:r>
          </w:p>
        </w:tc>
      </w:tr>
      <w:tr w:rsidR="00C801A6" w:rsidRPr="00C801A6" w14:paraId="19753183" w14:textId="77777777" w:rsidTr="55280A2F">
        <w:trPr>
          <w:trHeight w:val="300"/>
        </w:trPr>
        <w:tc>
          <w:tcPr>
            <w:tcW w:w="1856" w:type="dxa"/>
            <w:noWrap/>
            <w:hideMark/>
          </w:tcPr>
          <w:p w14:paraId="348EC868" w14:textId="77777777" w:rsidR="00575CDF" w:rsidRPr="00C801A6" w:rsidRDefault="00575CDF" w:rsidP="00347FDB">
            <w:pPr>
              <w:spacing w:before="20" w:after="20" w:line="264" w:lineRule="auto"/>
              <w:rPr>
                <w:rFonts w:eastAsia="Times New Roman" w:cs="Times New Roman"/>
                <w:color w:val="auto"/>
                <w:sz w:val="20"/>
                <w:szCs w:val="20"/>
                <w:lang w:eastAsia="fr-FR"/>
              </w:rPr>
            </w:pPr>
            <w:r w:rsidRPr="00C801A6">
              <w:rPr>
                <w:rFonts w:eastAsia="Times New Roman" w:cs="Times New Roman"/>
                <w:color w:val="auto"/>
                <w:sz w:val="20"/>
                <w:szCs w:val="20"/>
                <w:lang w:eastAsia="fr-FR"/>
              </w:rPr>
              <w:t>Amoron'i Mania</w:t>
            </w:r>
          </w:p>
        </w:tc>
        <w:tc>
          <w:tcPr>
            <w:tcW w:w="1168" w:type="dxa"/>
            <w:noWrap/>
            <w:vAlign w:val="center"/>
            <w:hideMark/>
          </w:tcPr>
          <w:p w14:paraId="64AAFDD8"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31</w:t>
            </w:r>
          </w:p>
        </w:tc>
        <w:tc>
          <w:tcPr>
            <w:tcW w:w="1169" w:type="dxa"/>
            <w:noWrap/>
            <w:vAlign w:val="center"/>
            <w:hideMark/>
          </w:tcPr>
          <w:p w14:paraId="0ED92CED"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55</w:t>
            </w:r>
          </w:p>
        </w:tc>
        <w:tc>
          <w:tcPr>
            <w:tcW w:w="1169" w:type="dxa"/>
            <w:noWrap/>
            <w:vAlign w:val="center"/>
            <w:hideMark/>
          </w:tcPr>
          <w:p w14:paraId="3C9D3153"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2</w:t>
            </w:r>
          </w:p>
        </w:tc>
        <w:tc>
          <w:tcPr>
            <w:tcW w:w="1169" w:type="dxa"/>
            <w:noWrap/>
            <w:vAlign w:val="center"/>
            <w:hideMark/>
          </w:tcPr>
          <w:p w14:paraId="757A23F3"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1</w:t>
            </w:r>
          </w:p>
        </w:tc>
        <w:tc>
          <w:tcPr>
            <w:tcW w:w="1169" w:type="dxa"/>
            <w:noWrap/>
            <w:vAlign w:val="center"/>
            <w:hideMark/>
          </w:tcPr>
          <w:p w14:paraId="69C22992"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w:t>
            </w:r>
          </w:p>
        </w:tc>
        <w:tc>
          <w:tcPr>
            <w:tcW w:w="1169" w:type="dxa"/>
            <w:noWrap/>
            <w:vAlign w:val="center"/>
            <w:hideMark/>
          </w:tcPr>
          <w:p w14:paraId="58C1AF76"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1</w:t>
            </w:r>
          </w:p>
        </w:tc>
      </w:tr>
      <w:tr w:rsidR="00C801A6" w:rsidRPr="00C801A6" w14:paraId="7E98206C" w14:textId="77777777" w:rsidTr="55280A2F">
        <w:trPr>
          <w:trHeight w:val="300"/>
        </w:trPr>
        <w:tc>
          <w:tcPr>
            <w:tcW w:w="1856" w:type="dxa"/>
            <w:hideMark/>
          </w:tcPr>
          <w:p w14:paraId="3FF93ACB" w14:textId="77777777" w:rsidR="00575CDF" w:rsidRPr="00C801A6" w:rsidRDefault="00575CDF" w:rsidP="00347FDB">
            <w:pPr>
              <w:spacing w:before="20" w:after="20" w:line="264" w:lineRule="auto"/>
              <w:rPr>
                <w:rFonts w:eastAsia="Times New Roman" w:cs="Times New Roman"/>
                <w:color w:val="auto"/>
                <w:sz w:val="20"/>
                <w:szCs w:val="20"/>
                <w:lang w:eastAsia="fr-FR"/>
              </w:rPr>
            </w:pPr>
            <w:r w:rsidRPr="00C801A6">
              <w:rPr>
                <w:rFonts w:eastAsia="Times New Roman" w:cs="Times New Roman"/>
                <w:color w:val="auto"/>
                <w:sz w:val="20"/>
                <w:szCs w:val="20"/>
                <w:lang w:eastAsia="fr-FR"/>
              </w:rPr>
              <w:t>Analamanga</w:t>
            </w:r>
          </w:p>
        </w:tc>
        <w:tc>
          <w:tcPr>
            <w:tcW w:w="1168" w:type="dxa"/>
            <w:noWrap/>
            <w:vAlign w:val="center"/>
            <w:hideMark/>
          </w:tcPr>
          <w:p w14:paraId="57514D2B"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48</w:t>
            </w:r>
          </w:p>
        </w:tc>
        <w:tc>
          <w:tcPr>
            <w:tcW w:w="1169" w:type="dxa"/>
            <w:noWrap/>
            <w:vAlign w:val="center"/>
            <w:hideMark/>
          </w:tcPr>
          <w:p w14:paraId="650A5923"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127</w:t>
            </w:r>
          </w:p>
        </w:tc>
        <w:tc>
          <w:tcPr>
            <w:tcW w:w="1169" w:type="dxa"/>
            <w:noWrap/>
            <w:vAlign w:val="center"/>
            <w:hideMark/>
          </w:tcPr>
          <w:p w14:paraId="590A90D8"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4</w:t>
            </w:r>
          </w:p>
        </w:tc>
        <w:tc>
          <w:tcPr>
            <w:tcW w:w="1169" w:type="dxa"/>
            <w:noWrap/>
            <w:vAlign w:val="center"/>
            <w:hideMark/>
          </w:tcPr>
          <w:p w14:paraId="05639559"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7</w:t>
            </w:r>
          </w:p>
        </w:tc>
        <w:tc>
          <w:tcPr>
            <w:tcW w:w="1169" w:type="dxa"/>
            <w:noWrap/>
            <w:vAlign w:val="center"/>
            <w:hideMark/>
          </w:tcPr>
          <w:p w14:paraId="586539DE"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3</w:t>
            </w:r>
          </w:p>
        </w:tc>
        <w:tc>
          <w:tcPr>
            <w:tcW w:w="1169" w:type="dxa"/>
            <w:noWrap/>
            <w:vAlign w:val="center"/>
            <w:hideMark/>
          </w:tcPr>
          <w:p w14:paraId="3E69DEE1"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w:t>
            </w:r>
          </w:p>
        </w:tc>
      </w:tr>
      <w:tr w:rsidR="00C801A6" w:rsidRPr="00C801A6" w14:paraId="4F5E4968" w14:textId="77777777" w:rsidTr="55280A2F">
        <w:trPr>
          <w:trHeight w:val="300"/>
        </w:trPr>
        <w:tc>
          <w:tcPr>
            <w:tcW w:w="1856" w:type="dxa"/>
            <w:noWrap/>
            <w:hideMark/>
          </w:tcPr>
          <w:p w14:paraId="2D20C267" w14:textId="77777777" w:rsidR="00575CDF" w:rsidRPr="00C801A6" w:rsidRDefault="00575CDF" w:rsidP="00347FDB">
            <w:pPr>
              <w:spacing w:before="20" w:after="20" w:line="264" w:lineRule="auto"/>
              <w:rPr>
                <w:rFonts w:eastAsia="Times New Roman" w:cs="Times New Roman"/>
                <w:color w:val="auto"/>
                <w:sz w:val="20"/>
                <w:szCs w:val="20"/>
                <w:lang w:eastAsia="fr-FR"/>
              </w:rPr>
            </w:pPr>
            <w:r w:rsidRPr="00C801A6">
              <w:rPr>
                <w:rFonts w:eastAsia="Times New Roman" w:cs="Times New Roman"/>
                <w:color w:val="auto"/>
                <w:sz w:val="20"/>
                <w:szCs w:val="20"/>
                <w:lang w:eastAsia="fr-FR"/>
              </w:rPr>
              <w:t>Analanjirofo</w:t>
            </w:r>
          </w:p>
        </w:tc>
        <w:tc>
          <w:tcPr>
            <w:tcW w:w="1168" w:type="dxa"/>
            <w:noWrap/>
            <w:vAlign w:val="center"/>
            <w:hideMark/>
          </w:tcPr>
          <w:p w14:paraId="5CCEA3EF"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35</w:t>
            </w:r>
          </w:p>
        </w:tc>
        <w:tc>
          <w:tcPr>
            <w:tcW w:w="1169" w:type="dxa"/>
            <w:noWrap/>
            <w:vAlign w:val="center"/>
            <w:hideMark/>
          </w:tcPr>
          <w:p w14:paraId="7E7402B4"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58</w:t>
            </w:r>
          </w:p>
        </w:tc>
        <w:tc>
          <w:tcPr>
            <w:tcW w:w="1169" w:type="dxa"/>
            <w:noWrap/>
            <w:vAlign w:val="center"/>
            <w:hideMark/>
          </w:tcPr>
          <w:p w14:paraId="4398AF66"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w:t>
            </w:r>
          </w:p>
        </w:tc>
        <w:tc>
          <w:tcPr>
            <w:tcW w:w="1169" w:type="dxa"/>
            <w:noWrap/>
            <w:vAlign w:val="center"/>
            <w:hideMark/>
          </w:tcPr>
          <w:p w14:paraId="538DA735"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2</w:t>
            </w:r>
          </w:p>
        </w:tc>
        <w:tc>
          <w:tcPr>
            <w:tcW w:w="1169" w:type="dxa"/>
            <w:noWrap/>
            <w:vAlign w:val="center"/>
            <w:hideMark/>
          </w:tcPr>
          <w:p w14:paraId="7C547D35"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w:t>
            </w:r>
          </w:p>
        </w:tc>
        <w:tc>
          <w:tcPr>
            <w:tcW w:w="1169" w:type="dxa"/>
            <w:noWrap/>
            <w:vAlign w:val="center"/>
            <w:hideMark/>
          </w:tcPr>
          <w:p w14:paraId="50545C1B"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w:t>
            </w:r>
          </w:p>
        </w:tc>
      </w:tr>
      <w:tr w:rsidR="00C801A6" w:rsidRPr="00C801A6" w14:paraId="3A71B2F8" w14:textId="77777777" w:rsidTr="55280A2F">
        <w:trPr>
          <w:trHeight w:val="300"/>
        </w:trPr>
        <w:tc>
          <w:tcPr>
            <w:tcW w:w="1856" w:type="dxa"/>
            <w:shd w:val="clear" w:color="auto" w:fill="FFFFFF" w:themeFill="background1"/>
            <w:noWrap/>
            <w:hideMark/>
          </w:tcPr>
          <w:p w14:paraId="6F32ED33" w14:textId="77777777" w:rsidR="00575CDF" w:rsidRPr="00C801A6" w:rsidRDefault="00575CDF" w:rsidP="00347FDB">
            <w:pPr>
              <w:spacing w:before="20" w:after="20" w:line="264" w:lineRule="auto"/>
              <w:rPr>
                <w:rFonts w:eastAsia="Times New Roman" w:cs="Times New Roman"/>
                <w:color w:val="auto"/>
                <w:sz w:val="20"/>
                <w:szCs w:val="20"/>
                <w:lang w:eastAsia="fr-FR"/>
              </w:rPr>
            </w:pPr>
            <w:r w:rsidRPr="00C801A6">
              <w:rPr>
                <w:rFonts w:eastAsia="Times New Roman" w:cs="Times New Roman"/>
                <w:color w:val="auto"/>
                <w:sz w:val="20"/>
                <w:szCs w:val="20"/>
                <w:lang w:eastAsia="fr-FR"/>
              </w:rPr>
              <w:t>Androy</w:t>
            </w:r>
          </w:p>
        </w:tc>
        <w:tc>
          <w:tcPr>
            <w:tcW w:w="1168" w:type="dxa"/>
            <w:shd w:val="clear" w:color="auto" w:fill="FFFFFF" w:themeFill="background1"/>
            <w:noWrap/>
            <w:vAlign w:val="center"/>
            <w:hideMark/>
          </w:tcPr>
          <w:p w14:paraId="0FC2B63D"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23</w:t>
            </w:r>
          </w:p>
        </w:tc>
        <w:tc>
          <w:tcPr>
            <w:tcW w:w="1169" w:type="dxa"/>
            <w:shd w:val="clear" w:color="auto" w:fill="FFFFFF" w:themeFill="background1"/>
            <w:noWrap/>
            <w:vAlign w:val="center"/>
            <w:hideMark/>
          </w:tcPr>
          <w:p w14:paraId="3BD60D9D"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48</w:t>
            </w:r>
          </w:p>
        </w:tc>
        <w:tc>
          <w:tcPr>
            <w:tcW w:w="1169" w:type="dxa"/>
            <w:shd w:val="clear" w:color="auto" w:fill="FFFFFF" w:themeFill="background1"/>
            <w:noWrap/>
            <w:vAlign w:val="center"/>
            <w:hideMark/>
          </w:tcPr>
          <w:p w14:paraId="1DD51681"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3</w:t>
            </w:r>
          </w:p>
        </w:tc>
        <w:tc>
          <w:tcPr>
            <w:tcW w:w="1169" w:type="dxa"/>
            <w:shd w:val="clear" w:color="auto" w:fill="FFFFFF" w:themeFill="background1"/>
            <w:noWrap/>
            <w:vAlign w:val="center"/>
            <w:hideMark/>
          </w:tcPr>
          <w:p w14:paraId="12CD1DDF"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1</w:t>
            </w:r>
          </w:p>
        </w:tc>
        <w:tc>
          <w:tcPr>
            <w:tcW w:w="1169" w:type="dxa"/>
            <w:shd w:val="clear" w:color="auto" w:fill="FFFFFF" w:themeFill="background1"/>
            <w:noWrap/>
            <w:vAlign w:val="center"/>
            <w:hideMark/>
          </w:tcPr>
          <w:p w14:paraId="61FFA0AB"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w:t>
            </w:r>
          </w:p>
        </w:tc>
        <w:tc>
          <w:tcPr>
            <w:tcW w:w="1169" w:type="dxa"/>
            <w:shd w:val="clear" w:color="auto" w:fill="FFFFFF" w:themeFill="background1"/>
            <w:noWrap/>
            <w:vAlign w:val="center"/>
            <w:hideMark/>
          </w:tcPr>
          <w:p w14:paraId="26C3A3DA"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w:t>
            </w:r>
          </w:p>
        </w:tc>
      </w:tr>
      <w:tr w:rsidR="00C801A6" w:rsidRPr="00C801A6" w14:paraId="187200A0" w14:textId="77777777" w:rsidTr="55280A2F">
        <w:trPr>
          <w:trHeight w:val="300"/>
        </w:trPr>
        <w:tc>
          <w:tcPr>
            <w:tcW w:w="1856" w:type="dxa"/>
            <w:noWrap/>
            <w:hideMark/>
          </w:tcPr>
          <w:p w14:paraId="36EBA697" w14:textId="77777777" w:rsidR="00575CDF" w:rsidRPr="00C801A6" w:rsidRDefault="00575CDF" w:rsidP="00347FDB">
            <w:pPr>
              <w:spacing w:before="20" w:after="20" w:line="264" w:lineRule="auto"/>
              <w:rPr>
                <w:rFonts w:eastAsia="Times New Roman" w:cs="Times New Roman"/>
                <w:color w:val="auto"/>
                <w:sz w:val="20"/>
                <w:szCs w:val="20"/>
                <w:lang w:eastAsia="fr-FR"/>
              </w:rPr>
            </w:pPr>
            <w:r w:rsidRPr="00C801A6">
              <w:rPr>
                <w:rFonts w:eastAsia="Times New Roman" w:cs="Times New Roman"/>
                <w:color w:val="auto"/>
                <w:sz w:val="20"/>
                <w:szCs w:val="20"/>
                <w:lang w:eastAsia="fr-FR"/>
              </w:rPr>
              <w:t>Anosy</w:t>
            </w:r>
          </w:p>
        </w:tc>
        <w:tc>
          <w:tcPr>
            <w:tcW w:w="1168" w:type="dxa"/>
            <w:noWrap/>
            <w:vAlign w:val="center"/>
            <w:hideMark/>
          </w:tcPr>
          <w:p w14:paraId="0962C82C"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10</w:t>
            </w:r>
          </w:p>
        </w:tc>
        <w:tc>
          <w:tcPr>
            <w:tcW w:w="1169" w:type="dxa"/>
            <w:noWrap/>
            <w:vAlign w:val="center"/>
            <w:hideMark/>
          </w:tcPr>
          <w:p w14:paraId="2DA6073E"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64</w:t>
            </w:r>
          </w:p>
        </w:tc>
        <w:tc>
          <w:tcPr>
            <w:tcW w:w="1169" w:type="dxa"/>
            <w:noWrap/>
            <w:vAlign w:val="center"/>
            <w:hideMark/>
          </w:tcPr>
          <w:p w14:paraId="5570A565"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2</w:t>
            </w:r>
          </w:p>
        </w:tc>
        <w:tc>
          <w:tcPr>
            <w:tcW w:w="1169" w:type="dxa"/>
            <w:noWrap/>
            <w:vAlign w:val="center"/>
            <w:hideMark/>
          </w:tcPr>
          <w:p w14:paraId="5D8605A8"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2</w:t>
            </w:r>
          </w:p>
        </w:tc>
        <w:tc>
          <w:tcPr>
            <w:tcW w:w="1169" w:type="dxa"/>
            <w:noWrap/>
            <w:vAlign w:val="center"/>
            <w:hideMark/>
          </w:tcPr>
          <w:p w14:paraId="7993E26F"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w:t>
            </w:r>
          </w:p>
        </w:tc>
        <w:tc>
          <w:tcPr>
            <w:tcW w:w="1169" w:type="dxa"/>
            <w:noWrap/>
            <w:vAlign w:val="center"/>
            <w:hideMark/>
          </w:tcPr>
          <w:p w14:paraId="3962A573"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w:t>
            </w:r>
          </w:p>
        </w:tc>
      </w:tr>
      <w:tr w:rsidR="00C801A6" w:rsidRPr="00C801A6" w14:paraId="553C6DF7" w14:textId="77777777" w:rsidTr="55280A2F">
        <w:trPr>
          <w:trHeight w:val="300"/>
        </w:trPr>
        <w:tc>
          <w:tcPr>
            <w:tcW w:w="1856" w:type="dxa"/>
            <w:noWrap/>
            <w:hideMark/>
          </w:tcPr>
          <w:p w14:paraId="688EB76A" w14:textId="77777777" w:rsidR="00575CDF" w:rsidRPr="00C801A6" w:rsidRDefault="00575CDF" w:rsidP="00347FDB">
            <w:pPr>
              <w:spacing w:before="20" w:after="20" w:line="264" w:lineRule="auto"/>
              <w:rPr>
                <w:rFonts w:eastAsia="Times New Roman" w:cs="Times New Roman"/>
                <w:color w:val="auto"/>
                <w:sz w:val="20"/>
                <w:szCs w:val="20"/>
                <w:lang w:eastAsia="fr-FR"/>
              </w:rPr>
            </w:pPr>
            <w:r w:rsidRPr="00C801A6">
              <w:rPr>
                <w:rFonts w:eastAsia="Times New Roman" w:cs="Times New Roman"/>
                <w:color w:val="auto"/>
                <w:sz w:val="20"/>
                <w:szCs w:val="20"/>
                <w:lang w:eastAsia="fr-FR"/>
              </w:rPr>
              <w:t>Atsimo Andrefana</w:t>
            </w:r>
          </w:p>
        </w:tc>
        <w:tc>
          <w:tcPr>
            <w:tcW w:w="1168" w:type="dxa"/>
            <w:noWrap/>
            <w:vAlign w:val="center"/>
            <w:hideMark/>
          </w:tcPr>
          <w:p w14:paraId="461F4DAD"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35</w:t>
            </w:r>
          </w:p>
        </w:tc>
        <w:tc>
          <w:tcPr>
            <w:tcW w:w="1169" w:type="dxa"/>
            <w:noWrap/>
            <w:vAlign w:val="center"/>
            <w:hideMark/>
          </w:tcPr>
          <w:p w14:paraId="39F3BC77"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94</w:t>
            </w:r>
          </w:p>
        </w:tc>
        <w:tc>
          <w:tcPr>
            <w:tcW w:w="1169" w:type="dxa"/>
            <w:noWrap/>
            <w:vAlign w:val="center"/>
            <w:hideMark/>
          </w:tcPr>
          <w:p w14:paraId="5691FA2B"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6</w:t>
            </w:r>
          </w:p>
        </w:tc>
        <w:tc>
          <w:tcPr>
            <w:tcW w:w="1169" w:type="dxa"/>
            <w:noWrap/>
            <w:vAlign w:val="center"/>
            <w:hideMark/>
          </w:tcPr>
          <w:p w14:paraId="393734C3"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3</w:t>
            </w:r>
          </w:p>
        </w:tc>
        <w:tc>
          <w:tcPr>
            <w:tcW w:w="1169" w:type="dxa"/>
            <w:noWrap/>
            <w:vAlign w:val="center"/>
            <w:hideMark/>
          </w:tcPr>
          <w:p w14:paraId="15F00152"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w:t>
            </w:r>
          </w:p>
        </w:tc>
        <w:tc>
          <w:tcPr>
            <w:tcW w:w="1169" w:type="dxa"/>
            <w:noWrap/>
            <w:vAlign w:val="center"/>
            <w:hideMark/>
          </w:tcPr>
          <w:p w14:paraId="336F7085"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1</w:t>
            </w:r>
          </w:p>
        </w:tc>
      </w:tr>
      <w:tr w:rsidR="00C801A6" w:rsidRPr="00C801A6" w14:paraId="3B020114" w14:textId="77777777" w:rsidTr="55280A2F">
        <w:trPr>
          <w:trHeight w:val="300"/>
        </w:trPr>
        <w:tc>
          <w:tcPr>
            <w:tcW w:w="1856" w:type="dxa"/>
            <w:noWrap/>
            <w:hideMark/>
          </w:tcPr>
          <w:p w14:paraId="0A5379CC" w14:textId="77777777" w:rsidR="00575CDF" w:rsidRPr="00C801A6" w:rsidRDefault="00575CDF" w:rsidP="00347FDB">
            <w:pPr>
              <w:spacing w:before="20" w:after="20" w:line="264" w:lineRule="auto"/>
              <w:rPr>
                <w:rFonts w:eastAsia="Times New Roman" w:cs="Times New Roman"/>
                <w:color w:val="auto"/>
                <w:sz w:val="20"/>
                <w:szCs w:val="20"/>
                <w:lang w:eastAsia="fr-FR"/>
              </w:rPr>
            </w:pPr>
            <w:r w:rsidRPr="00C801A6">
              <w:rPr>
                <w:rFonts w:eastAsia="Times New Roman" w:cs="Times New Roman"/>
                <w:color w:val="auto"/>
                <w:sz w:val="20"/>
                <w:szCs w:val="20"/>
                <w:lang w:eastAsia="fr-FR"/>
              </w:rPr>
              <w:t>Atsimo Atsinanana</w:t>
            </w:r>
          </w:p>
        </w:tc>
        <w:tc>
          <w:tcPr>
            <w:tcW w:w="1168" w:type="dxa"/>
            <w:noWrap/>
            <w:vAlign w:val="center"/>
            <w:hideMark/>
          </w:tcPr>
          <w:p w14:paraId="3F742B26"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23</w:t>
            </w:r>
          </w:p>
        </w:tc>
        <w:tc>
          <w:tcPr>
            <w:tcW w:w="1169" w:type="dxa"/>
            <w:noWrap/>
            <w:vAlign w:val="center"/>
            <w:hideMark/>
          </w:tcPr>
          <w:p w14:paraId="66A838CE"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86</w:t>
            </w:r>
          </w:p>
        </w:tc>
        <w:tc>
          <w:tcPr>
            <w:tcW w:w="1169" w:type="dxa"/>
            <w:noWrap/>
            <w:vAlign w:val="center"/>
            <w:hideMark/>
          </w:tcPr>
          <w:p w14:paraId="5E98152B"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4</w:t>
            </w:r>
          </w:p>
        </w:tc>
        <w:tc>
          <w:tcPr>
            <w:tcW w:w="1169" w:type="dxa"/>
            <w:noWrap/>
            <w:vAlign w:val="center"/>
            <w:hideMark/>
          </w:tcPr>
          <w:p w14:paraId="0B7106C3"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1</w:t>
            </w:r>
          </w:p>
        </w:tc>
        <w:tc>
          <w:tcPr>
            <w:tcW w:w="1169" w:type="dxa"/>
            <w:noWrap/>
            <w:vAlign w:val="center"/>
            <w:hideMark/>
          </w:tcPr>
          <w:p w14:paraId="0A1D2F26"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w:t>
            </w:r>
          </w:p>
        </w:tc>
        <w:tc>
          <w:tcPr>
            <w:tcW w:w="1169" w:type="dxa"/>
            <w:noWrap/>
            <w:vAlign w:val="center"/>
            <w:hideMark/>
          </w:tcPr>
          <w:p w14:paraId="1CA68326"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w:t>
            </w:r>
          </w:p>
        </w:tc>
      </w:tr>
      <w:tr w:rsidR="00C801A6" w:rsidRPr="00C801A6" w14:paraId="3B68A0C4" w14:textId="77777777" w:rsidTr="55280A2F">
        <w:trPr>
          <w:trHeight w:val="300"/>
        </w:trPr>
        <w:tc>
          <w:tcPr>
            <w:tcW w:w="1856" w:type="dxa"/>
            <w:noWrap/>
            <w:hideMark/>
          </w:tcPr>
          <w:p w14:paraId="56F01F8D" w14:textId="77777777" w:rsidR="00575CDF" w:rsidRPr="00C801A6" w:rsidRDefault="00575CDF" w:rsidP="00347FDB">
            <w:pPr>
              <w:spacing w:before="20" w:after="20" w:line="264" w:lineRule="auto"/>
              <w:rPr>
                <w:rFonts w:eastAsia="Times New Roman" w:cs="Times New Roman"/>
                <w:color w:val="auto"/>
                <w:sz w:val="20"/>
                <w:szCs w:val="20"/>
                <w:lang w:eastAsia="fr-FR"/>
              </w:rPr>
            </w:pPr>
            <w:r w:rsidRPr="00C801A6">
              <w:rPr>
                <w:rFonts w:eastAsia="Times New Roman" w:cs="Times New Roman"/>
                <w:color w:val="auto"/>
                <w:sz w:val="20"/>
                <w:szCs w:val="20"/>
                <w:lang w:eastAsia="fr-FR"/>
              </w:rPr>
              <w:t>Atsinanana</w:t>
            </w:r>
          </w:p>
        </w:tc>
        <w:tc>
          <w:tcPr>
            <w:tcW w:w="1168" w:type="dxa"/>
            <w:noWrap/>
            <w:vAlign w:val="center"/>
            <w:hideMark/>
          </w:tcPr>
          <w:p w14:paraId="54F74268"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73</w:t>
            </w:r>
          </w:p>
        </w:tc>
        <w:tc>
          <w:tcPr>
            <w:tcW w:w="1169" w:type="dxa"/>
            <w:noWrap/>
            <w:vAlign w:val="center"/>
            <w:hideMark/>
          </w:tcPr>
          <w:p w14:paraId="2CBB75FC"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85</w:t>
            </w:r>
          </w:p>
        </w:tc>
        <w:tc>
          <w:tcPr>
            <w:tcW w:w="1169" w:type="dxa"/>
            <w:noWrap/>
            <w:vAlign w:val="center"/>
            <w:hideMark/>
          </w:tcPr>
          <w:p w14:paraId="2EAA1519"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3</w:t>
            </w:r>
          </w:p>
        </w:tc>
        <w:tc>
          <w:tcPr>
            <w:tcW w:w="1169" w:type="dxa"/>
            <w:noWrap/>
            <w:vAlign w:val="center"/>
            <w:hideMark/>
          </w:tcPr>
          <w:p w14:paraId="4DF81DAC"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3</w:t>
            </w:r>
          </w:p>
        </w:tc>
        <w:tc>
          <w:tcPr>
            <w:tcW w:w="1169" w:type="dxa"/>
            <w:noWrap/>
            <w:vAlign w:val="center"/>
            <w:hideMark/>
          </w:tcPr>
          <w:p w14:paraId="4297352A"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w:t>
            </w:r>
          </w:p>
        </w:tc>
        <w:tc>
          <w:tcPr>
            <w:tcW w:w="1169" w:type="dxa"/>
            <w:noWrap/>
            <w:vAlign w:val="center"/>
            <w:hideMark/>
          </w:tcPr>
          <w:p w14:paraId="3DDF5264"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1</w:t>
            </w:r>
          </w:p>
        </w:tc>
      </w:tr>
      <w:tr w:rsidR="00C801A6" w:rsidRPr="00C801A6" w14:paraId="2D5A241A" w14:textId="77777777" w:rsidTr="55280A2F">
        <w:trPr>
          <w:trHeight w:val="300"/>
        </w:trPr>
        <w:tc>
          <w:tcPr>
            <w:tcW w:w="1856" w:type="dxa"/>
            <w:noWrap/>
            <w:hideMark/>
          </w:tcPr>
          <w:p w14:paraId="37EC6242" w14:textId="77777777" w:rsidR="00575CDF" w:rsidRPr="00C801A6" w:rsidRDefault="00575CDF" w:rsidP="00347FDB">
            <w:pPr>
              <w:spacing w:before="20" w:after="20" w:line="264" w:lineRule="auto"/>
              <w:rPr>
                <w:rFonts w:eastAsia="Times New Roman" w:cs="Times New Roman"/>
                <w:color w:val="auto"/>
                <w:sz w:val="20"/>
                <w:szCs w:val="20"/>
                <w:lang w:eastAsia="fr-FR"/>
              </w:rPr>
            </w:pPr>
            <w:r w:rsidRPr="00C801A6">
              <w:rPr>
                <w:rFonts w:eastAsia="Times New Roman" w:cs="Times New Roman"/>
                <w:color w:val="auto"/>
                <w:sz w:val="20"/>
                <w:szCs w:val="20"/>
                <w:lang w:eastAsia="fr-FR"/>
              </w:rPr>
              <w:t>Betsiboka</w:t>
            </w:r>
          </w:p>
        </w:tc>
        <w:tc>
          <w:tcPr>
            <w:tcW w:w="1168" w:type="dxa"/>
            <w:noWrap/>
            <w:vAlign w:val="center"/>
            <w:hideMark/>
          </w:tcPr>
          <w:p w14:paraId="02825CC4"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18</w:t>
            </w:r>
          </w:p>
        </w:tc>
        <w:tc>
          <w:tcPr>
            <w:tcW w:w="1169" w:type="dxa"/>
            <w:noWrap/>
            <w:vAlign w:val="center"/>
            <w:hideMark/>
          </w:tcPr>
          <w:p w14:paraId="5E2D7610"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35</w:t>
            </w:r>
          </w:p>
        </w:tc>
        <w:tc>
          <w:tcPr>
            <w:tcW w:w="1169" w:type="dxa"/>
            <w:noWrap/>
            <w:vAlign w:val="center"/>
            <w:hideMark/>
          </w:tcPr>
          <w:p w14:paraId="111719C3"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1</w:t>
            </w:r>
          </w:p>
        </w:tc>
        <w:tc>
          <w:tcPr>
            <w:tcW w:w="1169" w:type="dxa"/>
            <w:noWrap/>
            <w:vAlign w:val="center"/>
            <w:hideMark/>
          </w:tcPr>
          <w:p w14:paraId="3E43FF11"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1</w:t>
            </w:r>
          </w:p>
        </w:tc>
        <w:tc>
          <w:tcPr>
            <w:tcW w:w="1169" w:type="dxa"/>
            <w:noWrap/>
            <w:vAlign w:val="center"/>
            <w:hideMark/>
          </w:tcPr>
          <w:p w14:paraId="519D15FA"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w:t>
            </w:r>
          </w:p>
        </w:tc>
        <w:tc>
          <w:tcPr>
            <w:tcW w:w="1169" w:type="dxa"/>
            <w:noWrap/>
            <w:vAlign w:val="center"/>
            <w:hideMark/>
          </w:tcPr>
          <w:p w14:paraId="1260F9C1"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w:t>
            </w:r>
          </w:p>
        </w:tc>
      </w:tr>
      <w:tr w:rsidR="00C801A6" w:rsidRPr="00C801A6" w14:paraId="204EC6E9" w14:textId="77777777" w:rsidTr="55280A2F">
        <w:trPr>
          <w:trHeight w:val="300"/>
        </w:trPr>
        <w:tc>
          <w:tcPr>
            <w:tcW w:w="1856" w:type="dxa"/>
            <w:noWrap/>
            <w:hideMark/>
          </w:tcPr>
          <w:p w14:paraId="7627BBC1" w14:textId="77777777" w:rsidR="00575CDF" w:rsidRPr="00C801A6" w:rsidRDefault="00575CDF" w:rsidP="00347FDB">
            <w:pPr>
              <w:spacing w:before="20" w:after="20" w:line="264" w:lineRule="auto"/>
              <w:rPr>
                <w:rFonts w:eastAsia="Times New Roman" w:cs="Times New Roman"/>
                <w:color w:val="auto"/>
                <w:sz w:val="20"/>
                <w:szCs w:val="20"/>
                <w:lang w:eastAsia="fr-FR"/>
              </w:rPr>
            </w:pPr>
            <w:r w:rsidRPr="00C801A6">
              <w:rPr>
                <w:rFonts w:eastAsia="Times New Roman" w:cs="Times New Roman"/>
                <w:color w:val="auto"/>
                <w:sz w:val="20"/>
                <w:szCs w:val="20"/>
                <w:lang w:eastAsia="fr-FR"/>
              </w:rPr>
              <w:t>Boeny</w:t>
            </w:r>
          </w:p>
        </w:tc>
        <w:tc>
          <w:tcPr>
            <w:tcW w:w="1168" w:type="dxa"/>
            <w:noWrap/>
            <w:vAlign w:val="center"/>
            <w:hideMark/>
          </w:tcPr>
          <w:p w14:paraId="6D5AD1CC"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21</w:t>
            </w:r>
          </w:p>
        </w:tc>
        <w:tc>
          <w:tcPr>
            <w:tcW w:w="1169" w:type="dxa"/>
            <w:noWrap/>
            <w:vAlign w:val="center"/>
            <w:hideMark/>
          </w:tcPr>
          <w:p w14:paraId="502F7485"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68</w:t>
            </w:r>
          </w:p>
        </w:tc>
        <w:tc>
          <w:tcPr>
            <w:tcW w:w="1169" w:type="dxa"/>
            <w:noWrap/>
            <w:vAlign w:val="center"/>
            <w:hideMark/>
          </w:tcPr>
          <w:p w14:paraId="4796046F"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1</w:t>
            </w:r>
          </w:p>
        </w:tc>
        <w:tc>
          <w:tcPr>
            <w:tcW w:w="1169" w:type="dxa"/>
            <w:noWrap/>
            <w:vAlign w:val="center"/>
            <w:hideMark/>
          </w:tcPr>
          <w:p w14:paraId="6134E24D"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3</w:t>
            </w:r>
          </w:p>
        </w:tc>
        <w:tc>
          <w:tcPr>
            <w:tcW w:w="1169" w:type="dxa"/>
            <w:noWrap/>
            <w:vAlign w:val="center"/>
            <w:hideMark/>
          </w:tcPr>
          <w:p w14:paraId="44DA84DB"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2</w:t>
            </w:r>
          </w:p>
        </w:tc>
        <w:tc>
          <w:tcPr>
            <w:tcW w:w="1169" w:type="dxa"/>
            <w:noWrap/>
            <w:vAlign w:val="center"/>
            <w:hideMark/>
          </w:tcPr>
          <w:p w14:paraId="0E279A15"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w:t>
            </w:r>
          </w:p>
        </w:tc>
      </w:tr>
      <w:tr w:rsidR="00C801A6" w:rsidRPr="00C801A6" w14:paraId="4B545401" w14:textId="77777777" w:rsidTr="55280A2F">
        <w:trPr>
          <w:trHeight w:val="300"/>
        </w:trPr>
        <w:tc>
          <w:tcPr>
            <w:tcW w:w="1856" w:type="dxa"/>
            <w:noWrap/>
            <w:hideMark/>
          </w:tcPr>
          <w:p w14:paraId="0931A3BA" w14:textId="77777777" w:rsidR="00575CDF" w:rsidRPr="00C801A6" w:rsidRDefault="00575CDF" w:rsidP="00347FDB">
            <w:pPr>
              <w:spacing w:before="20" w:after="20" w:line="264" w:lineRule="auto"/>
              <w:rPr>
                <w:rFonts w:eastAsia="Times New Roman" w:cs="Times New Roman"/>
                <w:color w:val="auto"/>
                <w:sz w:val="20"/>
                <w:szCs w:val="20"/>
                <w:lang w:eastAsia="fr-FR"/>
              </w:rPr>
            </w:pPr>
            <w:r w:rsidRPr="00C801A6">
              <w:rPr>
                <w:rFonts w:eastAsia="Times New Roman" w:cs="Times New Roman"/>
                <w:color w:val="auto"/>
                <w:sz w:val="20"/>
                <w:szCs w:val="20"/>
                <w:lang w:eastAsia="fr-FR"/>
              </w:rPr>
              <w:t>Bongolava</w:t>
            </w:r>
          </w:p>
        </w:tc>
        <w:tc>
          <w:tcPr>
            <w:tcW w:w="1168" w:type="dxa"/>
            <w:noWrap/>
            <w:vAlign w:val="center"/>
            <w:hideMark/>
          </w:tcPr>
          <w:p w14:paraId="5062CA32"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13</w:t>
            </w:r>
          </w:p>
        </w:tc>
        <w:tc>
          <w:tcPr>
            <w:tcW w:w="1169" w:type="dxa"/>
            <w:noWrap/>
            <w:vAlign w:val="center"/>
            <w:hideMark/>
          </w:tcPr>
          <w:p w14:paraId="78F3BFC5"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31</w:t>
            </w:r>
          </w:p>
        </w:tc>
        <w:tc>
          <w:tcPr>
            <w:tcW w:w="1169" w:type="dxa"/>
            <w:noWrap/>
            <w:vAlign w:val="center"/>
            <w:hideMark/>
          </w:tcPr>
          <w:p w14:paraId="3A10E014"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w:t>
            </w:r>
          </w:p>
        </w:tc>
        <w:tc>
          <w:tcPr>
            <w:tcW w:w="1169" w:type="dxa"/>
            <w:noWrap/>
            <w:vAlign w:val="center"/>
            <w:hideMark/>
          </w:tcPr>
          <w:p w14:paraId="34712E51"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33</w:t>
            </w:r>
          </w:p>
        </w:tc>
        <w:tc>
          <w:tcPr>
            <w:tcW w:w="1169" w:type="dxa"/>
            <w:noWrap/>
            <w:vAlign w:val="center"/>
            <w:hideMark/>
          </w:tcPr>
          <w:p w14:paraId="750AA51A"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w:t>
            </w:r>
          </w:p>
        </w:tc>
        <w:tc>
          <w:tcPr>
            <w:tcW w:w="1169" w:type="dxa"/>
            <w:noWrap/>
            <w:vAlign w:val="center"/>
            <w:hideMark/>
          </w:tcPr>
          <w:p w14:paraId="346CC1D2"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w:t>
            </w:r>
          </w:p>
        </w:tc>
      </w:tr>
      <w:tr w:rsidR="00C801A6" w:rsidRPr="00C801A6" w14:paraId="090BA7A5" w14:textId="77777777" w:rsidTr="55280A2F">
        <w:trPr>
          <w:trHeight w:val="300"/>
        </w:trPr>
        <w:tc>
          <w:tcPr>
            <w:tcW w:w="1856" w:type="dxa"/>
            <w:noWrap/>
            <w:hideMark/>
          </w:tcPr>
          <w:p w14:paraId="7D278579" w14:textId="77777777" w:rsidR="00575CDF" w:rsidRPr="00C801A6" w:rsidRDefault="00575CDF" w:rsidP="00347FDB">
            <w:pPr>
              <w:spacing w:before="20" w:after="20" w:line="264" w:lineRule="auto"/>
              <w:rPr>
                <w:rFonts w:eastAsia="Times New Roman" w:cs="Times New Roman"/>
                <w:color w:val="auto"/>
                <w:sz w:val="20"/>
                <w:szCs w:val="20"/>
                <w:lang w:eastAsia="fr-FR"/>
              </w:rPr>
            </w:pPr>
            <w:r w:rsidRPr="00C801A6">
              <w:rPr>
                <w:rFonts w:eastAsia="Times New Roman" w:cs="Times New Roman"/>
                <w:color w:val="auto"/>
                <w:sz w:val="20"/>
                <w:szCs w:val="20"/>
                <w:lang w:eastAsia="fr-FR"/>
              </w:rPr>
              <w:t>DIANA</w:t>
            </w:r>
          </w:p>
        </w:tc>
        <w:tc>
          <w:tcPr>
            <w:tcW w:w="1168" w:type="dxa"/>
            <w:noWrap/>
            <w:vAlign w:val="center"/>
            <w:hideMark/>
          </w:tcPr>
          <w:p w14:paraId="70386E5C"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26</w:t>
            </w:r>
          </w:p>
        </w:tc>
        <w:tc>
          <w:tcPr>
            <w:tcW w:w="1169" w:type="dxa"/>
            <w:noWrap/>
            <w:vAlign w:val="center"/>
            <w:hideMark/>
          </w:tcPr>
          <w:p w14:paraId="3FEEC5EB"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52</w:t>
            </w:r>
          </w:p>
        </w:tc>
        <w:tc>
          <w:tcPr>
            <w:tcW w:w="1169" w:type="dxa"/>
            <w:noWrap/>
            <w:vAlign w:val="center"/>
            <w:hideMark/>
          </w:tcPr>
          <w:p w14:paraId="462BA402"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2</w:t>
            </w:r>
          </w:p>
        </w:tc>
        <w:tc>
          <w:tcPr>
            <w:tcW w:w="1169" w:type="dxa"/>
            <w:noWrap/>
            <w:vAlign w:val="center"/>
            <w:hideMark/>
          </w:tcPr>
          <w:p w14:paraId="133FC030"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2</w:t>
            </w:r>
          </w:p>
        </w:tc>
        <w:tc>
          <w:tcPr>
            <w:tcW w:w="1169" w:type="dxa"/>
            <w:noWrap/>
            <w:vAlign w:val="center"/>
            <w:hideMark/>
          </w:tcPr>
          <w:p w14:paraId="0FBCB4A7"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1</w:t>
            </w:r>
          </w:p>
        </w:tc>
        <w:tc>
          <w:tcPr>
            <w:tcW w:w="1169" w:type="dxa"/>
            <w:noWrap/>
            <w:vAlign w:val="center"/>
            <w:hideMark/>
          </w:tcPr>
          <w:p w14:paraId="556B1B85"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1</w:t>
            </w:r>
          </w:p>
        </w:tc>
      </w:tr>
      <w:tr w:rsidR="00C801A6" w:rsidRPr="00C801A6" w14:paraId="3A9C101A" w14:textId="77777777" w:rsidTr="55280A2F">
        <w:trPr>
          <w:trHeight w:val="300"/>
        </w:trPr>
        <w:tc>
          <w:tcPr>
            <w:tcW w:w="1856" w:type="dxa"/>
            <w:hideMark/>
          </w:tcPr>
          <w:p w14:paraId="1F2B0EC1" w14:textId="77777777" w:rsidR="00575CDF" w:rsidRPr="00C801A6" w:rsidRDefault="00575CDF" w:rsidP="00347FDB">
            <w:pPr>
              <w:spacing w:before="20" w:after="20" w:line="264" w:lineRule="auto"/>
              <w:rPr>
                <w:rFonts w:eastAsia="Times New Roman" w:cs="Times New Roman"/>
                <w:color w:val="auto"/>
                <w:sz w:val="20"/>
                <w:szCs w:val="20"/>
                <w:lang w:eastAsia="fr-FR"/>
              </w:rPr>
            </w:pPr>
            <w:r w:rsidRPr="00C801A6">
              <w:rPr>
                <w:rFonts w:eastAsia="Times New Roman" w:cs="Times New Roman"/>
                <w:color w:val="auto"/>
                <w:sz w:val="20"/>
                <w:szCs w:val="20"/>
                <w:lang w:eastAsia="fr-FR"/>
              </w:rPr>
              <w:t>Haute Matsiatra</w:t>
            </w:r>
          </w:p>
        </w:tc>
        <w:tc>
          <w:tcPr>
            <w:tcW w:w="1168" w:type="dxa"/>
            <w:noWrap/>
            <w:vAlign w:val="center"/>
            <w:hideMark/>
          </w:tcPr>
          <w:p w14:paraId="51E1C33A"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22</w:t>
            </w:r>
          </w:p>
        </w:tc>
        <w:tc>
          <w:tcPr>
            <w:tcW w:w="1169" w:type="dxa"/>
            <w:noWrap/>
            <w:vAlign w:val="center"/>
            <w:hideMark/>
          </w:tcPr>
          <w:p w14:paraId="5D0B5BFD"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80</w:t>
            </w:r>
          </w:p>
        </w:tc>
        <w:tc>
          <w:tcPr>
            <w:tcW w:w="1169" w:type="dxa"/>
            <w:noWrap/>
            <w:vAlign w:val="center"/>
            <w:hideMark/>
          </w:tcPr>
          <w:p w14:paraId="17D4E389"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4</w:t>
            </w:r>
          </w:p>
        </w:tc>
        <w:tc>
          <w:tcPr>
            <w:tcW w:w="1169" w:type="dxa"/>
            <w:noWrap/>
            <w:vAlign w:val="center"/>
            <w:hideMark/>
          </w:tcPr>
          <w:p w14:paraId="5D29C474"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w:t>
            </w:r>
          </w:p>
        </w:tc>
        <w:tc>
          <w:tcPr>
            <w:tcW w:w="1169" w:type="dxa"/>
            <w:noWrap/>
            <w:vAlign w:val="center"/>
            <w:hideMark/>
          </w:tcPr>
          <w:p w14:paraId="26626D22"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1</w:t>
            </w:r>
          </w:p>
        </w:tc>
        <w:tc>
          <w:tcPr>
            <w:tcW w:w="1169" w:type="dxa"/>
            <w:noWrap/>
            <w:vAlign w:val="center"/>
            <w:hideMark/>
          </w:tcPr>
          <w:p w14:paraId="290186C6"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w:t>
            </w:r>
          </w:p>
        </w:tc>
      </w:tr>
      <w:tr w:rsidR="00C801A6" w:rsidRPr="00C801A6" w14:paraId="23BA236D" w14:textId="77777777" w:rsidTr="55280A2F">
        <w:trPr>
          <w:trHeight w:val="300"/>
        </w:trPr>
        <w:tc>
          <w:tcPr>
            <w:tcW w:w="1856" w:type="dxa"/>
            <w:noWrap/>
            <w:hideMark/>
          </w:tcPr>
          <w:p w14:paraId="10229BCD" w14:textId="77777777" w:rsidR="00575CDF" w:rsidRPr="00C801A6" w:rsidRDefault="00575CDF" w:rsidP="00347FDB">
            <w:pPr>
              <w:spacing w:before="20" w:after="20" w:line="264" w:lineRule="auto"/>
              <w:rPr>
                <w:rFonts w:eastAsia="Times New Roman" w:cs="Times New Roman"/>
                <w:color w:val="auto"/>
                <w:sz w:val="20"/>
                <w:szCs w:val="20"/>
                <w:lang w:eastAsia="fr-FR"/>
              </w:rPr>
            </w:pPr>
            <w:r w:rsidRPr="00C801A6">
              <w:rPr>
                <w:rFonts w:eastAsia="Times New Roman" w:cs="Times New Roman"/>
                <w:color w:val="auto"/>
                <w:sz w:val="20"/>
                <w:szCs w:val="20"/>
                <w:lang w:eastAsia="fr-FR"/>
              </w:rPr>
              <w:t>Ihorombe</w:t>
            </w:r>
          </w:p>
        </w:tc>
        <w:tc>
          <w:tcPr>
            <w:tcW w:w="1168" w:type="dxa"/>
            <w:noWrap/>
            <w:vAlign w:val="center"/>
            <w:hideMark/>
          </w:tcPr>
          <w:p w14:paraId="1ABFBF99"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6</w:t>
            </w:r>
          </w:p>
        </w:tc>
        <w:tc>
          <w:tcPr>
            <w:tcW w:w="1169" w:type="dxa"/>
            <w:noWrap/>
            <w:vAlign w:val="center"/>
            <w:hideMark/>
          </w:tcPr>
          <w:p w14:paraId="492605EE"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26</w:t>
            </w:r>
          </w:p>
        </w:tc>
        <w:tc>
          <w:tcPr>
            <w:tcW w:w="1169" w:type="dxa"/>
            <w:noWrap/>
            <w:vAlign w:val="center"/>
            <w:hideMark/>
          </w:tcPr>
          <w:p w14:paraId="52BE61E3"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w:t>
            </w:r>
          </w:p>
        </w:tc>
        <w:tc>
          <w:tcPr>
            <w:tcW w:w="1169" w:type="dxa"/>
            <w:noWrap/>
            <w:vAlign w:val="center"/>
            <w:hideMark/>
          </w:tcPr>
          <w:p w14:paraId="6CBE26EA"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1</w:t>
            </w:r>
          </w:p>
        </w:tc>
        <w:tc>
          <w:tcPr>
            <w:tcW w:w="1169" w:type="dxa"/>
            <w:noWrap/>
            <w:vAlign w:val="center"/>
            <w:hideMark/>
          </w:tcPr>
          <w:p w14:paraId="55E7DCF6"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w:t>
            </w:r>
          </w:p>
        </w:tc>
        <w:tc>
          <w:tcPr>
            <w:tcW w:w="1169" w:type="dxa"/>
            <w:noWrap/>
            <w:vAlign w:val="center"/>
            <w:hideMark/>
          </w:tcPr>
          <w:p w14:paraId="3B14B03F"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1</w:t>
            </w:r>
          </w:p>
        </w:tc>
      </w:tr>
      <w:tr w:rsidR="00C801A6" w:rsidRPr="00C801A6" w14:paraId="5F857846" w14:textId="77777777" w:rsidTr="55280A2F">
        <w:trPr>
          <w:trHeight w:val="300"/>
        </w:trPr>
        <w:tc>
          <w:tcPr>
            <w:tcW w:w="1856" w:type="dxa"/>
            <w:noWrap/>
            <w:hideMark/>
          </w:tcPr>
          <w:p w14:paraId="36EDCB77" w14:textId="77777777" w:rsidR="00575CDF" w:rsidRPr="00C801A6" w:rsidRDefault="00575CDF" w:rsidP="00347FDB">
            <w:pPr>
              <w:spacing w:before="20" w:after="20" w:line="264" w:lineRule="auto"/>
              <w:rPr>
                <w:rFonts w:eastAsia="Times New Roman" w:cs="Times New Roman"/>
                <w:color w:val="auto"/>
                <w:sz w:val="20"/>
                <w:szCs w:val="20"/>
                <w:lang w:eastAsia="fr-FR"/>
              </w:rPr>
            </w:pPr>
            <w:r w:rsidRPr="00C801A6">
              <w:rPr>
                <w:rFonts w:eastAsia="Times New Roman" w:cs="Times New Roman"/>
                <w:color w:val="auto"/>
                <w:sz w:val="20"/>
                <w:szCs w:val="20"/>
                <w:lang w:eastAsia="fr-FR"/>
              </w:rPr>
              <w:t>Itasy</w:t>
            </w:r>
          </w:p>
        </w:tc>
        <w:tc>
          <w:tcPr>
            <w:tcW w:w="1168" w:type="dxa"/>
            <w:noWrap/>
            <w:vAlign w:val="center"/>
            <w:hideMark/>
          </w:tcPr>
          <w:p w14:paraId="5BA356EA"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17</w:t>
            </w:r>
          </w:p>
        </w:tc>
        <w:tc>
          <w:tcPr>
            <w:tcW w:w="1169" w:type="dxa"/>
            <w:noWrap/>
            <w:vAlign w:val="center"/>
            <w:hideMark/>
          </w:tcPr>
          <w:p w14:paraId="244A422D"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51</w:t>
            </w:r>
          </w:p>
        </w:tc>
        <w:tc>
          <w:tcPr>
            <w:tcW w:w="1169" w:type="dxa"/>
            <w:noWrap/>
            <w:vAlign w:val="center"/>
            <w:hideMark/>
          </w:tcPr>
          <w:p w14:paraId="4FD972CB"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2</w:t>
            </w:r>
          </w:p>
        </w:tc>
        <w:tc>
          <w:tcPr>
            <w:tcW w:w="1169" w:type="dxa"/>
            <w:noWrap/>
            <w:vAlign w:val="center"/>
            <w:hideMark/>
          </w:tcPr>
          <w:p w14:paraId="6415A34C"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w:t>
            </w:r>
          </w:p>
        </w:tc>
        <w:tc>
          <w:tcPr>
            <w:tcW w:w="1169" w:type="dxa"/>
            <w:noWrap/>
            <w:vAlign w:val="center"/>
            <w:hideMark/>
          </w:tcPr>
          <w:p w14:paraId="2D267460"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w:t>
            </w:r>
          </w:p>
        </w:tc>
        <w:tc>
          <w:tcPr>
            <w:tcW w:w="1169" w:type="dxa"/>
            <w:noWrap/>
            <w:vAlign w:val="center"/>
            <w:hideMark/>
          </w:tcPr>
          <w:p w14:paraId="374B5194"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w:t>
            </w:r>
          </w:p>
        </w:tc>
      </w:tr>
      <w:tr w:rsidR="00C801A6" w:rsidRPr="00C801A6" w14:paraId="0C3A6F77" w14:textId="77777777" w:rsidTr="55280A2F">
        <w:trPr>
          <w:trHeight w:val="300"/>
        </w:trPr>
        <w:tc>
          <w:tcPr>
            <w:tcW w:w="1856" w:type="dxa"/>
            <w:noWrap/>
            <w:hideMark/>
          </w:tcPr>
          <w:p w14:paraId="1E6409A5" w14:textId="77777777" w:rsidR="00575CDF" w:rsidRPr="00C801A6" w:rsidRDefault="00575CDF" w:rsidP="00347FDB">
            <w:pPr>
              <w:spacing w:before="20" w:after="20" w:line="264" w:lineRule="auto"/>
              <w:rPr>
                <w:rFonts w:eastAsia="Times New Roman" w:cs="Times New Roman"/>
                <w:color w:val="auto"/>
                <w:sz w:val="20"/>
                <w:szCs w:val="20"/>
                <w:lang w:eastAsia="fr-FR"/>
              </w:rPr>
            </w:pPr>
            <w:r w:rsidRPr="00C801A6">
              <w:rPr>
                <w:rFonts w:eastAsia="Times New Roman" w:cs="Times New Roman"/>
                <w:color w:val="auto"/>
                <w:sz w:val="20"/>
                <w:szCs w:val="20"/>
                <w:lang w:eastAsia="fr-FR"/>
              </w:rPr>
              <w:t>Melaky</w:t>
            </w:r>
          </w:p>
        </w:tc>
        <w:tc>
          <w:tcPr>
            <w:tcW w:w="1168" w:type="dxa"/>
            <w:noWrap/>
            <w:vAlign w:val="center"/>
            <w:hideMark/>
          </w:tcPr>
          <w:p w14:paraId="7ED2CE36"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14</w:t>
            </w:r>
          </w:p>
        </w:tc>
        <w:tc>
          <w:tcPr>
            <w:tcW w:w="1169" w:type="dxa"/>
            <w:noWrap/>
            <w:vAlign w:val="center"/>
            <w:hideMark/>
          </w:tcPr>
          <w:p w14:paraId="783DF48F"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36</w:t>
            </w:r>
          </w:p>
        </w:tc>
        <w:tc>
          <w:tcPr>
            <w:tcW w:w="1169" w:type="dxa"/>
            <w:noWrap/>
            <w:vAlign w:val="center"/>
            <w:hideMark/>
          </w:tcPr>
          <w:p w14:paraId="7BDC1765"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4</w:t>
            </w:r>
          </w:p>
        </w:tc>
        <w:tc>
          <w:tcPr>
            <w:tcW w:w="1169" w:type="dxa"/>
            <w:noWrap/>
            <w:vAlign w:val="center"/>
            <w:hideMark/>
          </w:tcPr>
          <w:p w14:paraId="457A6ADD"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1</w:t>
            </w:r>
          </w:p>
        </w:tc>
        <w:tc>
          <w:tcPr>
            <w:tcW w:w="1169" w:type="dxa"/>
            <w:noWrap/>
            <w:vAlign w:val="center"/>
            <w:hideMark/>
          </w:tcPr>
          <w:p w14:paraId="04626CCA"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w:t>
            </w:r>
          </w:p>
        </w:tc>
        <w:tc>
          <w:tcPr>
            <w:tcW w:w="1169" w:type="dxa"/>
            <w:noWrap/>
            <w:vAlign w:val="center"/>
            <w:hideMark/>
          </w:tcPr>
          <w:p w14:paraId="4EF44651"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w:t>
            </w:r>
          </w:p>
        </w:tc>
      </w:tr>
      <w:tr w:rsidR="00C801A6" w:rsidRPr="00C801A6" w14:paraId="20CCB2A7" w14:textId="77777777" w:rsidTr="55280A2F">
        <w:trPr>
          <w:trHeight w:val="300"/>
        </w:trPr>
        <w:tc>
          <w:tcPr>
            <w:tcW w:w="1856" w:type="dxa"/>
            <w:noWrap/>
            <w:hideMark/>
          </w:tcPr>
          <w:p w14:paraId="38D2DA22" w14:textId="77777777" w:rsidR="00575CDF" w:rsidRPr="00C801A6" w:rsidRDefault="00575CDF" w:rsidP="00347FDB">
            <w:pPr>
              <w:spacing w:before="20" w:after="20" w:line="264" w:lineRule="auto"/>
              <w:rPr>
                <w:rFonts w:eastAsia="Times New Roman" w:cs="Times New Roman"/>
                <w:color w:val="auto"/>
                <w:sz w:val="20"/>
                <w:szCs w:val="20"/>
                <w:lang w:eastAsia="fr-FR"/>
              </w:rPr>
            </w:pPr>
            <w:r w:rsidRPr="00C801A6">
              <w:rPr>
                <w:rFonts w:eastAsia="Times New Roman" w:cs="Times New Roman"/>
                <w:color w:val="auto"/>
                <w:sz w:val="20"/>
                <w:szCs w:val="20"/>
                <w:lang w:eastAsia="fr-FR"/>
              </w:rPr>
              <w:t>Menabe</w:t>
            </w:r>
          </w:p>
        </w:tc>
        <w:tc>
          <w:tcPr>
            <w:tcW w:w="1168" w:type="dxa"/>
            <w:noWrap/>
            <w:vAlign w:val="center"/>
            <w:hideMark/>
          </w:tcPr>
          <w:p w14:paraId="0C072325"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20</w:t>
            </w:r>
          </w:p>
        </w:tc>
        <w:tc>
          <w:tcPr>
            <w:tcW w:w="1169" w:type="dxa"/>
            <w:noWrap/>
            <w:vAlign w:val="center"/>
            <w:hideMark/>
          </w:tcPr>
          <w:p w14:paraId="08DBFF49"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47</w:t>
            </w:r>
          </w:p>
        </w:tc>
        <w:tc>
          <w:tcPr>
            <w:tcW w:w="1169" w:type="dxa"/>
            <w:noWrap/>
            <w:vAlign w:val="center"/>
            <w:hideMark/>
          </w:tcPr>
          <w:p w14:paraId="7ADD59E0"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4</w:t>
            </w:r>
          </w:p>
        </w:tc>
        <w:tc>
          <w:tcPr>
            <w:tcW w:w="1169" w:type="dxa"/>
            <w:noWrap/>
            <w:vAlign w:val="center"/>
            <w:hideMark/>
          </w:tcPr>
          <w:p w14:paraId="18CDD5B9"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37</w:t>
            </w:r>
          </w:p>
        </w:tc>
        <w:tc>
          <w:tcPr>
            <w:tcW w:w="1169" w:type="dxa"/>
            <w:noWrap/>
            <w:vAlign w:val="center"/>
            <w:hideMark/>
          </w:tcPr>
          <w:p w14:paraId="2B8CCAB0"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w:t>
            </w:r>
          </w:p>
        </w:tc>
        <w:tc>
          <w:tcPr>
            <w:tcW w:w="1169" w:type="dxa"/>
            <w:noWrap/>
            <w:vAlign w:val="center"/>
            <w:hideMark/>
          </w:tcPr>
          <w:p w14:paraId="5348896B"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w:t>
            </w:r>
          </w:p>
        </w:tc>
      </w:tr>
      <w:tr w:rsidR="00C801A6" w:rsidRPr="00C801A6" w14:paraId="37F3D8CD" w14:textId="77777777" w:rsidTr="55280A2F">
        <w:trPr>
          <w:trHeight w:val="300"/>
        </w:trPr>
        <w:tc>
          <w:tcPr>
            <w:tcW w:w="1856" w:type="dxa"/>
            <w:noWrap/>
            <w:hideMark/>
          </w:tcPr>
          <w:p w14:paraId="67EE6FE8" w14:textId="77777777" w:rsidR="00575CDF" w:rsidRPr="00C801A6" w:rsidRDefault="00575CDF" w:rsidP="00347FDB">
            <w:pPr>
              <w:spacing w:before="20" w:after="20" w:line="264" w:lineRule="auto"/>
              <w:rPr>
                <w:rFonts w:eastAsia="Times New Roman" w:cs="Times New Roman"/>
                <w:color w:val="auto"/>
                <w:sz w:val="20"/>
                <w:szCs w:val="20"/>
                <w:lang w:eastAsia="fr-FR"/>
              </w:rPr>
            </w:pPr>
            <w:r w:rsidRPr="00C801A6">
              <w:rPr>
                <w:rFonts w:eastAsia="Times New Roman" w:cs="Times New Roman"/>
                <w:color w:val="auto"/>
                <w:sz w:val="20"/>
                <w:szCs w:val="20"/>
                <w:lang w:eastAsia="fr-FR"/>
              </w:rPr>
              <w:t>SAVA</w:t>
            </w:r>
          </w:p>
        </w:tc>
        <w:tc>
          <w:tcPr>
            <w:tcW w:w="1168" w:type="dxa"/>
            <w:noWrap/>
            <w:vAlign w:val="center"/>
            <w:hideMark/>
          </w:tcPr>
          <w:p w14:paraId="4147FCCF"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35</w:t>
            </w:r>
          </w:p>
        </w:tc>
        <w:tc>
          <w:tcPr>
            <w:tcW w:w="1169" w:type="dxa"/>
            <w:noWrap/>
            <w:vAlign w:val="center"/>
            <w:hideMark/>
          </w:tcPr>
          <w:p w14:paraId="01BA6FC3"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69</w:t>
            </w:r>
          </w:p>
        </w:tc>
        <w:tc>
          <w:tcPr>
            <w:tcW w:w="1169" w:type="dxa"/>
            <w:noWrap/>
            <w:vAlign w:val="center"/>
            <w:hideMark/>
          </w:tcPr>
          <w:p w14:paraId="685E4828"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1</w:t>
            </w:r>
          </w:p>
        </w:tc>
        <w:tc>
          <w:tcPr>
            <w:tcW w:w="1169" w:type="dxa"/>
            <w:noWrap/>
            <w:vAlign w:val="center"/>
            <w:hideMark/>
          </w:tcPr>
          <w:p w14:paraId="040308D8"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4</w:t>
            </w:r>
          </w:p>
        </w:tc>
        <w:tc>
          <w:tcPr>
            <w:tcW w:w="1169" w:type="dxa"/>
            <w:noWrap/>
            <w:vAlign w:val="center"/>
            <w:hideMark/>
          </w:tcPr>
          <w:p w14:paraId="0376F694"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w:t>
            </w:r>
          </w:p>
        </w:tc>
        <w:tc>
          <w:tcPr>
            <w:tcW w:w="1169" w:type="dxa"/>
            <w:noWrap/>
            <w:vAlign w:val="center"/>
            <w:hideMark/>
          </w:tcPr>
          <w:p w14:paraId="05DE3069"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w:t>
            </w:r>
          </w:p>
        </w:tc>
      </w:tr>
      <w:tr w:rsidR="00C801A6" w:rsidRPr="00C801A6" w14:paraId="3959DFD2" w14:textId="77777777" w:rsidTr="55280A2F">
        <w:trPr>
          <w:trHeight w:val="300"/>
        </w:trPr>
        <w:tc>
          <w:tcPr>
            <w:tcW w:w="1856" w:type="dxa"/>
            <w:noWrap/>
            <w:hideMark/>
          </w:tcPr>
          <w:p w14:paraId="20D11434" w14:textId="77777777" w:rsidR="00575CDF" w:rsidRPr="00C801A6" w:rsidRDefault="00575CDF" w:rsidP="00347FDB">
            <w:pPr>
              <w:spacing w:before="20" w:after="20" w:line="264" w:lineRule="auto"/>
              <w:rPr>
                <w:rFonts w:eastAsia="Times New Roman" w:cs="Times New Roman"/>
                <w:color w:val="auto"/>
                <w:sz w:val="20"/>
                <w:szCs w:val="20"/>
                <w:lang w:eastAsia="fr-FR"/>
              </w:rPr>
            </w:pPr>
            <w:r w:rsidRPr="00C801A6">
              <w:rPr>
                <w:rFonts w:eastAsia="Times New Roman" w:cs="Times New Roman"/>
                <w:color w:val="auto"/>
                <w:sz w:val="20"/>
                <w:szCs w:val="20"/>
                <w:lang w:eastAsia="fr-FR"/>
              </w:rPr>
              <w:t>Sofia</w:t>
            </w:r>
          </w:p>
        </w:tc>
        <w:tc>
          <w:tcPr>
            <w:tcW w:w="1168" w:type="dxa"/>
            <w:noWrap/>
            <w:vAlign w:val="center"/>
            <w:hideMark/>
          </w:tcPr>
          <w:p w14:paraId="1000DFAB"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49</w:t>
            </w:r>
          </w:p>
        </w:tc>
        <w:tc>
          <w:tcPr>
            <w:tcW w:w="1169" w:type="dxa"/>
            <w:noWrap/>
            <w:vAlign w:val="center"/>
            <w:hideMark/>
          </w:tcPr>
          <w:p w14:paraId="0C914F42"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89</w:t>
            </w:r>
          </w:p>
        </w:tc>
        <w:tc>
          <w:tcPr>
            <w:tcW w:w="1169" w:type="dxa"/>
            <w:noWrap/>
            <w:vAlign w:val="center"/>
            <w:hideMark/>
          </w:tcPr>
          <w:p w14:paraId="3D9A49EE"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6</w:t>
            </w:r>
          </w:p>
        </w:tc>
        <w:tc>
          <w:tcPr>
            <w:tcW w:w="1169" w:type="dxa"/>
            <w:noWrap/>
            <w:vAlign w:val="center"/>
            <w:hideMark/>
          </w:tcPr>
          <w:p w14:paraId="6312F6B7"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2</w:t>
            </w:r>
          </w:p>
        </w:tc>
        <w:tc>
          <w:tcPr>
            <w:tcW w:w="1169" w:type="dxa"/>
            <w:noWrap/>
            <w:vAlign w:val="center"/>
            <w:hideMark/>
          </w:tcPr>
          <w:p w14:paraId="698FC0B7"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w:t>
            </w:r>
          </w:p>
        </w:tc>
        <w:tc>
          <w:tcPr>
            <w:tcW w:w="1169" w:type="dxa"/>
            <w:noWrap/>
            <w:vAlign w:val="center"/>
            <w:hideMark/>
          </w:tcPr>
          <w:p w14:paraId="4AE11E72"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1</w:t>
            </w:r>
          </w:p>
        </w:tc>
      </w:tr>
      <w:tr w:rsidR="00C801A6" w:rsidRPr="00C801A6" w14:paraId="393C4BCC" w14:textId="77777777" w:rsidTr="55280A2F">
        <w:trPr>
          <w:trHeight w:val="300"/>
        </w:trPr>
        <w:tc>
          <w:tcPr>
            <w:tcW w:w="1856" w:type="dxa"/>
            <w:noWrap/>
            <w:hideMark/>
          </w:tcPr>
          <w:p w14:paraId="47EC3E0D" w14:textId="77777777" w:rsidR="00575CDF" w:rsidRPr="00C801A6" w:rsidRDefault="00575CDF" w:rsidP="00347FDB">
            <w:pPr>
              <w:spacing w:before="20" w:after="20" w:line="264" w:lineRule="auto"/>
              <w:rPr>
                <w:rFonts w:eastAsia="Times New Roman" w:cs="Times New Roman"/>
                <w:color w:val="auto"/>
                <w:sz w:val="20"/>
                <w:szCs w:val="20"/>
                <w:lang w:eastAsia="fr-FR"/>
              </w:rPr>
            </w:pPr>
            <w:r w:rsidRPr="00C801A6">
              <w:rPr>
                <w:rFonts w:eastAsia="Times New Roman" w:cs="Times New Roman"/>
                <w:color w:val="auto"/>
                <w:sz w:val="20"/>
                <w:szCs w:val="20"/>
                <w:lang w:eastAsia="fr-FR"/>
              </w:rPr>
              <w:t>Vakinankaratra</w:t>
            </w:r>
          </w:p>
        </w:tc>
        <w:tc>
          <w:tcPr>
            <w:tcW w:w="1168" w:type="dxa"/>
            <w:noWrap/>
            <w:vAlign w:val="center"/>
            <w:hideMark/>
          </w:tcPr>
          <w:p w14:paraId="4D154C7E"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49</w:t>
            </w:r>
          </w:p>
        </w:tc>
        <w:tc>
          <w:tcPr>
            <w:tcW w:w="1169" w:type="dxa"/>
            <w:noWrap/>
            <w:vAlign w:val="center"/>
            <w:hideMark/>
          </w:tcPr>
          <w:p w14:paraId="45245A76"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108</w:t>
            </w:r>
          </w:p>
        </w:tc>
        <w:tc>
          <w:tcPr>
            <w:tcW w:w="1169" w:type="dxa"/>
            <w:noWrap/>
            <w:vAlign w:val="center"/>
            <w:hideMark/>
          </w:tcPr>
          <w:p w14:paraId="1EAF2ECC"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3</w:t>
            </w:r>
          </w:p>
        </w:tc>
        <w:tc>
          <w:tcPr>
            <w:tcW w:w="1169" w:type="dxa"/>
            <w:noWrap/>
            <w:vAlign w:val="center"/>
            <w:hideMark/>
          </w:tcPr>
          <w:p w14:paraId="41A2F7FD"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2</w:t>
            </w:r>
          </w:p>
        </w:tc>
        <w:tc>
          <w:tcPr>
            <w:tcW w:w="1169" w:type="dxa"/>
            <w:noWrap/>
            <w:vAlign w:val="center"/>
            <w:hideMark/>
          </w:tcPr>
          <w:p w14:paraId="24108160"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w:t>
            </w:r>
          </w:p>
        </w:tc>
        <w:tc>
          <w:tcPr>
            <w:tcW w:w="1169" w:type="dxa"/>
            <w:noWrap/>
            <w:vAlign w:val="center"/>
            <w:hideMark/>
          </w:tcPr>
          <w:p w14:paraId="283FF8E6"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1</w:t>
            </w:r>
          </w:p>
        </w:tc>
      </w:tr>
      <w:tr w:rsidR="00C801A6" w:rsidRPr="00C801A6" w14:paraId="2DBCB2CE" w14:textId="77777777" w:rsidTr="55280A2F">
        <w:trPr>
          <w:trHeight w:val="315"/>
        </w:trPr>
        <w:tc>
          <w:tcPr>
            <w:tcW w:w="1856" w:type="dxa"/>
            <w:noWrap/>
            <w:hideMark/>
          </w:tcPr>
          <w:p w14:paraId="5934AC72" w14:textId="77777777" w:rsidR="00575CDF" w:rsidRPr="00C801A6" w:rsidRDefault="00575CDF" w:rsidP="00347FDB">
            <w:pPr>
              <w:spacing w:before="20" w:after="20" w:line="264" w:lineRule="auto"/>
              <w:rPr>
                <w:rFonts w:eastAsia="Times New Roman" w:cs="Times New Roman"/>
                <w:color w:val="auto"/>
                <w:sz w:val="20"/>
                <w:szCs w:val="20"/>
                <w:lang w:eastAsia="fr-FR"/>
              </w:rPr>
            </w:pPr>
            <w:r w:rsidRPr="00C801A6">
              <w:rPr>
                <w:rFonts w:cs="Times New Roman"/>
                <w:color w:val="auto"/>
                <w:sz w:val="20"/>
                <w:szCs w:val="20"/>
              </w:rPr>
              <w:t>Vatovavy Fitovinany</w:t>
            </w:r>
          </w:p>
        </w:tc>
        <w:tc>
          <w:tcPr>
            <w:tcW w:w="1168" w:type="dxa"/>
            <w:noWrap/>
            <w:vAlign w:val="center"/>
            <w:hideMark/>
          </w:tcPr>
          <w:p w14:paraId="54C87B5D"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34</w:t>
            </w:r>
          </w:p>
        </w:tc>
        <w:tc>
          <w:tcPr>
            <w:tcW w:w="1169" w:type="dxa"/>
            <w:noWrap/>
            <w:vAlign w:val="center"/>
            <w:hideMark/>
          </w:tcPr>
          <w:p w14:paraId="2A31727B"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132</w:t>
            </w:r>
          </w:p>
        </w:tc>
        <w:tc>
          <w:tcPr>
            <w:tcW w:w="1169" w:type="dxa"/>
            <w:noWrap/>
            <w:vAlign w:val="center"/>
            <w:hideMark/>
          </w:tcPr>
          <w:p w14:paraId="4601AE67"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3</w:t>
            </w:r>
          </w:p>
        </w:tc>
        <w:tc>
          <w:tcPr>
            <w:tcW w:w="1169" w:type="dxa"/>
            <w:noWrap/>
            <w:vAlign w:val="center"/>
            <w:hideMark/>
          </w:tcPr>
          <w:p w14:paraId="498C7777"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5</w:t>
            </w:r>
          </w:p>
        </w:tc>
        <w:tc>
          <w:tcPr>
            <w:tcW w:w="1169" w:type="dxa"/>
            <w:noWrap/>
            <w:vAlign w:val="center"/>
            <w:hideMark/>
          </w:tcPr>
          <w:p w14:paraId="2CCFE61A"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w:t>
            </w:r>
          </w:p>
        </w:tc>
        <w:tc>
          <w:tcPr>
            <w:tcW w:w="1169" w:type="dxa"/>
            <w:noWrap/>
            <w:vAlign w:val="center"/>
            <w:hideMark/>
          </w:tcPr>
          <w:p w14:paraId="3EBB2D11" w14:textId="77777777" w:rsidR="00575CDF" w:rsidRPr="00C801A6" w:rsidRDefault="00575CDF" w:rsidP="00347FDB">
            <w:pPr>
              <w:spacing w:before="20" w:after="20" w:line="264" w:lineRule="auto"/>
              <w:jc w:val="center"/>
              <w:rPr>
                <w:rFonts w:eastAsia="Times New Roman" w:cs="Times New Roman"/>
                <w:color w:val="auto"/>
                <w:sz w:val="20"/>
                <w:szCs w:val="20"/>
                <w:lang w:eastAsia="fr-FR"/>
              </w:rPr>
            </w:pPr>
            <w:r w:rsidRPr="00C801A6">
              <w:rPr>
                <w:rFonts w:eastAsia="Times New Roman" w:cs="Times New Roman"/>
                <w:color w:val="auto"/>
                <w:sz w:val="20"/>
                <w:szCs w:val="20"/>
                <w:lang w:eastAsia="fr-FR"/>
              </w:rPr>
              <w:t>-</w:t>
            </w:r>
          </w:p>
        </w:tc>
      </w:tr>
      <w:tr w:rsidR="00C801A6" w:rsidRPr="00C801A6" w14:paraId="5AC8CC69" w14:textId="77777777" w:rsidTr="55280A2F">
        <w:trPr>
          <w:trHeight w:val="315"/>
        </w:trPr>
        <w:tc>
          <w:tcPr>
            <w:tcW w:w="1856" w:type="dxa"/>
            <w:shd w:val="clear" w:color="auto" w:fill="DEEAF6" w:themeFill="accent5" w:themeFillTint="33"/>
            <w:hideMark/>
          </w:tcPr>
          <w:p w14:paraId="3B244335" w14:textId="77777777" w:rsidR="00575CDF" w:rsidRPr="00C801A6" w:rsidRDefault="00575CDF" w:rsidP="00347FDB">
            <w:pPr>
              <w:spacing w:before="20" w:after="20" w:line="264" w:lineRule="auto"/>
              <w:rPr>
                <w:rFonts w:eastAsia="Times New Roman" w:cs="Times New Roman"/>
                <w:b/>
                <w:bCs/>
                <w:color w:val="auto"/>
                <w:sz w:val="20"/>
                <w:szCs w:val="20"/>
                <w:lang w:eastAsia="fr-FR"/>
              </w:rPr>
            </w:pPr>
            <w:r w:rsidRPr="00C801A6">
              <w:rPr>
                <w:rFonts w:eastAsia="Times New Roman" w:cs="Times New Roman"/>
                <w:b/>
                <w:bCs/>
                <w:color w:val="auto"/>
                <w:sz w:val="20"/>
                <w:szCs w:val="20"/>
                <w:lang w:eastAsia="fr-FR"/>
              </w:rPr>
              <w:t>MADAGASCAR</w:t>
            </w:r>
          </w:p>
        </w:tc>
        <w:tc>
          <w:tcPr>
            <w:tcW w:w="1168" w:type="dxa"/>
            <w:shd w:val="clear" w:color="auto" w:fill="DEEAF6" w:themeFill="accent5" w:themeFillTint="33"/>
            <w:noWrap/>
            <w:vAlign w:val="center"/>
            <w:hideMark/>
          </w:tcPr>
          <w:p w14:paraId="79330ED5" w14:textId="77777777" w:rsidR="00575CDF" w:rsidRPr="00C801A6" w:rsidRDefault="00575CDF" w:rsidP="00347FDB">
            <w:pPr>
              <w:spacing w:before="20" w:after="20" w:line="264" w:lineRule="auto"/>
              <w:jc w:val="center"/>
              <w:rPr>
                <w:rFonts w:eastAsia="Times New Roman" w:cs="Times New Roman"/>
                <w:b/>
                <w:color w:val="auto"/>
                <w:sz w:val="20"/>
                <w:szCs w:val="20"/>
                <w:lang w:eastAsia="fr-FR"/>
              </w:rPr>
            </w:pPr>
            <w:r w:rsidRPr="00C801A6">
              <w:rPr>
                <w:rFonts w:eastAsia="Times New Roman" w:cs="Times New Roman"/>
                <w:b/>
                <w:color w:val="auto"/>
                <w:sz w:val="20"/>
                <w:szCs w:val="20"/>
                <w:lang w:eastAsia="fr-FR"/>
              </w:rPr>
              <w:t>669</w:t>
            </w:r>
          </w:p>
        </w:tc>
        <w:tc>
          <w:tcPr>
            <w:tcW w:w="1169" w:type="dxa"/>
            <w:shd w:val="clear" w:color="auto" w:fill="DEEAF6" w:themeFill="accent5" w:themeFillTint="33"/>
            <w:noWrap/>
            <w:vAlign w:val="center"/>
            <w:hideMark/>
          </w:tcPr>
          <w:p w14:paraId="36CD05A1" w14:textId="77777777" w:rsidR="00575CDF" w:rsidRPr="00C801A6" w:rsidRDefault="00575CDF" w:rsidP="00347FDB">
            <w:pPr>
              <w:spacing w:before="20" w:after="20" w:line="264" w:lineRule="auto"/>
              <w:jc w:val="center"/>
              <w:rPr>
                <w:rFonts w:eastAsia="Times New Roman" w:cs="Times New Roman"/>
                <w:b/>
                <w:color w:val="auto"/>
                <w:sz w:val="20"/>
                <w:szCs w:val="20"/>
                <w:lang w:eastAsia="fr-FR"/>
              </w:rPr>
            </w:pPr>
            <w:r w:rsidRPr="00C801A6">
              <w:rPr>
                <w:rFonts w:eastAsia="Times New Roman" w:cs="Times New Roman"/>
                <w:b/>
                <w:color w:val="auto"/>
                <w:sz w:val="20"/>
                <w:szCs w:val="20"/>
                <w:lang w:eastAsia="fr-FR"/>
              </w:rPr>
              <w:t>1519</w:t>
            </w:r>
          </w:p>
        </w:tc>
        <w:tc>
          <w:tcPr>
            <w:tcW w:w="1169" w:type="dxa"/>
            <w:shd w:val="clear" w:color="auto" w:fill="DEEAF6" w:themeFill="accent5" w:themeFillTint="33"/>
            <w:noWrap/>
            <w:vAlign w:val="center"/>
            <w:hideMark/>
          </w:tcPr>
          <w:p w14:paraId="725DBBE4" w14:textId="77777777" w:rsidR="00575CDF" w:rsidRPr="00C801A6" w:rsidRDefault="00575CDF" w:rsidP="00347FDB">
            <w:pPr>
              <w:spacing w:before="20" w:after="20" w:line="264" w:lineRule="auto"/>
              <w:jc w:val="center"/>
              <w:rPr>
                <w:rFonts w:eastAsia="Times New Roman" w:cs="Times New Roman"/>
                <w:b/>
                <w:color w:val="auto"/>
                <w:sz w:val="20"/>
                <w:szCs w:val="20"/>
                <w:lang w:eastAsia="fr-FR"/>
              </w:rPr>
            </w:pPr>
            <w:r w:rsidRPr="00C801A6">
              <w:rPr>
                <w:rFonts w:eastAsia="Times New Roman" w:cs="Times New Roman"/>
                <w:b/>
                <w:color w:val="auto"/>
                <w:sz w:val="20"/>
                <w:szCs w:val="20"/>
                <w:lang w:eastAsia="fr-FR"/>
              </w:rPr>
              <w:t>56</w:t>
            </w:r>
          </w:p>
        </w:tc>
        <w:tc>
          <w:tcPr>
            <w:tcW w:w="1169" w:type="dxa"/>
            <w:shd w:val="clear" w:color="auto" w:fill="DEEAF6" w:themeFill="accent5" w:themeFillTint="33"/>
            <w:noWrap/>
            <w:vAlign w:val="center"/>
            <w:hideMark/>
          </w:tcPr>
          <w:p w14:paraId="10FE01D5" w14:textId="77777777" w:rsidR="00575CDF" w:rsidRPr="00C801A6" w:rsidRDefault="00575CDF" w:rsidP="00347FDB">
            <w:pPr>
              <w:spacing w:before="20" w:after="20" w:line="264" w:lineRule="auto"/>
              <w:jc w:val="center"/>
              <w:rPr>
                <w:rFonts w:eastAsia="Times New Roman" w:cs="Times New Roman"/>
                <w:b/>
                <w:color w:val="auto"/>
                <w:sz w:val="20"/>
                <w:szCs w:val="20"/>
                <w:lang w:eastAsia="fr-FR"/>
              </w:rPr>
            </w:pPr>
            <w:r w:rsidRPr="00C801A6">
              <w:rPr>
                <w:rFonts w:eastAsia="Times New Roman" w:cs="Times New Roman"/>
                <w:b/>
                <w:color w:val="auto"/>
                <w:sz w:val="20"/>
                <w:szCs w:val="20"/>
                <w:lang w:eastAsia="fr-FR"/>
              </w:rPr>
              <w:t>114</w:t>
            </w:r>
          </w:p>
        </w:tc>
        <w:tc>
          <w:tcPr>
            <w:tcW w:w="1169" w:type="dxa"/>
            <w:shd w:val="clear" w:color="auto" w:fill="DEEAF6" w:themeFill="accent5" w:themeFillTint="33"/>
            <w:noWrap/>
            <w:vAlign w:val="center"/>
            <w:hideMark/>
          </w:tcPr>
          <w:p w14:paraId="7B990059" w14:textId="77777777" w:rsidR="00575CDF" w:rsidRPr="00C801A6" w:rsidRDefault="00575CDF" w:rsidP="00347FDB">
            <w:pPr>
              <w:spacing w:before="20" w:after="20" w:line="264" w:lineRule="auto"/>
              <w:jc w:val="center"/>
              <w:rPr>
                <w:rFonts w:eastAsia="Times New Roman" w:cs="Times New Roman"/>
                <w:b/>
                <w:color w:val="auto"/>
                <w:sz w:val="20"/>
                <w:szCs w:val="20"/>
                <w:lang w:eastAsia="fr-FR"/>
              </w:rPr>
            </w:pPr>
            <w:r w:rsidRPr="00C801A6">
              <w:rPr>
                <w:rFonts w:eastAsia="Times New Roman" w:cs="Times New Roman"/>
                <w:b/>
                <w:color w:val="auto"/>
                <w:sz w:val="20"/>
                <w:szCs w:val="20"/>
                <w:lang w:eastAsia="fr-FR"/>
              </w:rPr>
              <w:t>7</w:t>
            </w:r>
          </w:p>
        </w:tc>
        <w:tc>
          <w:tcPr>
            <w:tcW w:w="1169" w:type="dxa"/>
            <w:shd w:val="clear" w:color="auto" w:fill="DEEAF6" w:themeFill="accent5" w:themeFillTint="33"/>
            <w:noWrap/>
            <w:vAlign w:val="center"/>
            <w:hideMark/>
          </w:tcPr>
          <w:p w14:paraId="37AF4A79" w14:textId="77777777" w:rsidR="00575CDF" w:rsidRPr="00C801A6" w:rsidRDefault="00575CDF" w:rsidP="00347FDB">
            <w:pPr>
              <w:spacing w:before="20" w:after="20" w:line="264" w:lineRule="auto"/>
              <w:jc w:val="center"/>
              <w:rPr>
                <w:rFonts w:eastAsia="Times New Roman" w:cs="Times New Roman"/>
                <w:b/>
                <w:color w:val="auto"/>
                <w:sz w:val="20"/>
                <w:szCs w:val="20"/>
                <w:lang w:eastAsia="fr-FR"/>
              </w:rPr>
            </w:pPr>
            <w:r w:rsidRPr="00C801A6">
              <w:rPr>
                <w:rFonts w:eastAsia="Times New Roman" w:cs="Times New Roman"/>
                <w:b/>
                <w:color w:val="auto"/>
                <w:sz w:val="20"/>
                <w:szCs w:val="20"/>
                <w:lang w:eastAsia="fr-FR"/>
              </w:rPr>
              <w:t>7</w:t>
            </w:r>
          </w:p>
        </w:tc>
      </w:tr>
    </w:tbl>
    <w:p w14:paraId="6456CAC8" w14:textId="77777777" w:rsidR="00575CDF" w:rsidRPr="00C801A6" w:rsidRDefault="00575CDF" w:rsidP="00575CDF">
      <w:pPr>
        <w:spacing w:line="288" w:lineRule="auto"/>
        <w:ind w:left="567"/>
        <w:jc w:val="right"/>
        <w:rPr>
          <w:rFonts w:ascii="Book Antiqua" w:hAnsi="Book Antiqua" w:cs="Times New Roman"/>
          <w:i/>
          <w:iCs/>
          <w:color w:val="auto"/>
          <w:sz w:val="18"/>
          <w:szCs w:val="18"/>
        </w:rPr>
      </w:pPr>
      <w:r w:rsidRPr="00C801A6">
        <w:rPr>
          <w:rFonts w:ascii="Book Antiqua" w:hAnsi="Book Antiqua" w:cs="Times New Roman"/>
          <w:i/>
          <w:iCs/>
          <w:color w:val="auto"/>
          <w:sz w:val="18"/>
          <w:szCs w:val="18"/>
          <w:u w:val="single"/>
        </w:rPr>
        <w:t>Source</w:t>
      </w:r>
      <w:r w:rsidRPr="00C801A6">
        <w:rPr>
          <w:rFonts w:ascii="Book Antiqua" w:hAnsi="Book Antiqua" w:cs="Times New Roman"/>
          <w:i/>
          <w:iCs/>
          <w:color w:val="auto"/>
          <w:sz w:val="18"/>
          <w:szCs w:val="18"/>
        </w:rPr>
        <w:t xml:space="preserve"> : MDG - INSTAT – RGPH 2018</w:t>
      </w:r>
    </w:p>
    <w:p w14:paraId="70AE5769" w14:textId="77777777" w:rsidR="00575CDF" w:rsidRPr="00C801A6" w:rsidRDefault="00575CDF" w:rsidP="00575CDF">
      <w:pPr>
        <w:spacing w:before="240"/>
        <w:rPr>
          <w:rFonts w:cs="Arial"/>
          <w:color w:val="auto"/>
        </w:rPr>
      </w:pPr>
      <w:r w:rsidRPr="00C801A6">
        <w:rPr>
          <w:rFonts w:cs="Arial"/>
          <w:color w:val="auto"/>
        </w:rPr>
        <w:t xml:space="preserve">Par ordre d’importance, généralement, la fièvre constitue la principale maladie affectant la population, suivie des pathologies diarrhéiques, des infections respiratoires et des maladies sexuellement transmissibles. </w:t>
      </w:r>
    </w:p>
    <w:p w14:paraId="6B5C418A" w14:textId="77777777" w:rsidR="00575CDF" w:rsidRPr="00C801A6" w:rsidRDefault="00575CDF" w:rsidP="00575CDF">
      <w:pPr>
        <w:rPr>
          <w:rFonts w:cs="Arial"/>
          <w:color w:val="auto"/>
          <w:sz w:val="20"/>
          <w:szCs w:val="20"/>
        </w:rPr>
      </w:pPr>
      <w:r w:rsidRPr="00C801A6">
        <w:rPr>
          <w:rFonts w:cs="Arial"/>
          <w:color w:val="auto"/>
        </w:rPr>
        <w:lastRenderedPageBreak/>
        <w:t>La forte incidence de la fièvre serait probablement liée au climat à Madagascar. Outre ces quatre types de maladie, les infections bucco-dentaires et cutanées ainsi que l’hyper ou l’hypotension artérielle figurent parmi les maladies affectant la population.</w:t>
      </w:r>
    </w:p>
    <w:p w14:paraId="4D4B48A3" w14:textId="77777777" w:rsidR="00575CDF" w:rsidRPr="00C801A6" w:rsidRDefault="00575CDF" w:rsidP="00575CDF">
      <w:pPr>
        <w:rPr>
          <w:rFonts w:cs="Arial"/>
          <w:color w:val="auto"/>
        </w:rPr>
      </w:pPr>
      <w:r w:rsidRPr="00C801A6">
        <w:rPr>
          <w:rFonts w:cs="Arial"/>
          <w:color w:val="auto"/>
        </w:rPr>
        <w:t xml:space="preserve">Depuis 2020, comme dans tout le monde entier, la pandémie de </w:t>
      </w:r>
      <w:r w:rsidRPr="00C801A6">
        <w:rPr>
          <w:color w:val="auto"/>
        </w:rPr>
        <w:t>COVID</w:t>
      </w:r>
      <w:r w:rsidRPr="00C801A6">
        <w:rPr>
          <w:rFonts w:cs="Arial"/>
          <w:color w:val="auto"/>
        </w:rPr>
        <w:t xml:space="preserve">-19, causée par le </w:t>
      </w:r>
      <w:r w:rsidRPr="00C801A6">
        <w:rPr>
          <w:color w:val="auto"/>
        </w:rPr>
        <w:t>coronavirus</w:t>
      </w:r>
      <w:r w:rsidRPr="00C801A6">
        <w:rPr>
          <w:rFonts w:cs="Arial"/>
          <w:color w:val="auto"/>
        </w:rPr>
        <w:t>, met en danger la population malagasy.</w:t>
      </w:r>
    </w:p>
    <w:p w14:paraId="7DD72D33" w14:textId="3EC94E64" w:rsidR="00575CDF" w:rsidRPr="00C801A6" w:rsidRDefault="00575CDF" w:rsidP="00C65572">
      <w:pPr>
        <w:pStyle w:val="Heading3"/>
      </w:pPr>
      <w:bookmarkStart w:id="196" w:name="_Toc106320301"/>
      <w:bookmarkStart w:id="197" w:name="_Toc440199223"/>
      <w:bookmarkStart w:id="198" w:name="_Toc230426012"/>
      <w:r w:rsidRPr="00C801A6">
        <w:t xml:space="preserve">Situation des </w:t>
      </w:r>
      <w:r w:rsidR="006F38A3">
        <w:t xml:space="preserve">EAS-HS </w:t>
      </w:r>
      <w:r w:rsidRPr="00C801A6">
        <w:t xml:space="preserve"> à Madagascar</w:t>
      </w:r>
      <w:bookmarkEnd w:id="196"/>
      <w:bookmarkEnd w:id="198"/>
    </w:p>
    <w:p w14:paraId="42EE06DF" w14:textId="77777777" w:rsidR="00575CDF" w:rsidRPr="00C801A6" w:rsidRDefault="00575CDF" w:rsidP="00575CDF">
      <w:pPr>
        <w:rPr>
          <w:color w:val="auto"/>
        </w:rPr>
      </w:pPr>
      <w:r w:rsidRPr="00C801A6">
        <w:rPr>
          <w:color w:val="auto"/>
        </w:rPr>
        <w:t>Peu de statistiques sont disponibles et, quand il y en a, elles sont assez vieilles mais, toutefois, elles permettent d’apprécier la situation.</w:t>
      </w:r>
    </w:p>
    <w:p w14:paraId="408A70E7" w14:textId="77777777" w:rsidR="00575CDF" w:rsidRPr="00C801A6" w:rsidRDefault="00575CDF" w:rsidP="00575CDF">
      <w:pPr>
        <w:rPr>
          <w:color w:val="auto"/>
        </w:rPr>
      </w:pPr>
      <w:r w:rsidRPr="00C801A6">
        <w:rPr>
          <w:color w:val="auto"/>
        </w:rPr>
        <w:t>Selon les enquêtes nationales menées par l’INSTAT pour les besoins du suivi des objectifs du millénaire pour le développement à Madagascar, Objectif 3, années 2012 – 2013 :</w:t>
      </w:r>
    </w:p>
    <w:p w14:paraId="1A1A2A3B" w14:textId="77777777" w:rsidR="00575CDF" w:rsidRPr="00C801A6" w:rsidRDefault="00575CDF" w:rsidP="00844538">
      <w:pPr>
        <w:pStyle w:val="ListParagraph"/>
        <w:numPr>
          <w:ilvl w:val="0"/>
          <w:numId w:val="63"/>
        </w:numPr>
        <w:spacing w:line="276" w:lineRule="auto"/>
        <w:ind w:left="850" w:hanging="425"/>
        <w:contextualSpacing w:val="0"/>
        <w:rPr>
          <w:color w:val="auto"/>
        </w:rPr>
      </w:pPr>
      <w:r w:rsidRPr="00C801A6">
        <w:rPr>
          <w:color w:val="auto"/>
        </w:rPr>
        <w:t xml:space="preserve">30% des femmes ont déclaré avoir subi plusieurs types de violence durant les 12 derniers mois précédant l’enquête dans tout Madagascar, </w:t>
      </w:r>
    </w:p>
    <w:p w14:paraId="78D2EAE1" w14:textId="77777777" w:rsidR="00575CDF" w:rsidRPr="00C801A6" w:rsidRDefault="00575CDF" w:rsidP="00844538">
      <w:pPr>
        <w:pStyle w:val="ListParagraph"/>
        <w:numPr>
          <w:ilvl w:val="0"/>
          <w:numId w:val="63"/>
        </w:numPr>
        <w:spacing w:line="276" w:lineRule="auto"/>
        <w:ind w:left="850" w:hanging="425"/>
        <w:contextualSpacing w:val="0"/>
        <w:rPr>
          <w:color w:val="auto"/>
        </w:rPr>
      </w:pPr>
      <w:r w:rsidRPr="00C801A6">
        <w:rPr>
          <w:color w:val="auto"/>
        </w:rPr>
        <w:t xml:space="preserve">La violence psychologique tient la première place parmi les violences les plus fréquentes : 19,0% des femmes l’ont subie. </w:t>
      </w:r>
    </w:p>
    <w:p w14:paraId="4E89A496" w14:textId="77777777" w:rsidR="00575CDF" w:rsidRPr="00C801A6" w:rsidRDefault="00575CDF" w:rsidP="00844538">
      <w:pPr>
        <w:pStyle w:val="ListParagraph"/>
        <w:numPr>
          <w:ilvl w:val="0"/>
          <w:numId w:val="63"/>
        </w:numPr>
        <w:spacing w:line="276" w:lineRule="auto"/>
        <w:ind w:left="850" w:hanging="425"/>
        <w:contextualSpacing w:val="0"/>
        <w:rPr>
          <w:color w:val="auto"/>
        </w:rPr>
      </w:pPr>
      <w:r w:rsidRPr="00C801A6">
        <w:rPr>
          <w:color w:val="auto"/>
        </w:rPr>
        <w:t xml:space="preserve">La violence physique, quant à elle, est endurée par 12,1% des femmes. </w:t>
      </w:r>
    </w:p>
    <w:p w14:paraId="117BE93C" w14:textId="77777777" w:rsidR="00575CDF" w:rsidRPr="00C801A6" w:rsidRDefault="00575CDF" w:rsidP="00844538">
      <w:pPr>
        <w:pStyle w:val="ListParagraph"/>
        <w:numPr>
          <w:ilvl w:val="0"/>
          <w:numId w:val="63"/>
        </w:numPr>
        <w:spacing w:line="276" w:lineRule="auto"/>
        <w:ind w:left="850" w:hanging="425"/>
        <w:contextualSpacing w:val="0"/>
        <w:rPr>
          <w:color w:val="auto"/>
        </w:rPr>
      </w:pPr>
      <w:r w:rsidRPr="00C801A6">
        <w:rPr>
          <w:color w:val="auto"/>
        </w:rPr>
        <w:t>La violence sexuelle et la violence économique sont respectivement supportées par 7,2% et 5,3% des femmes.</w:t>
      </w:r>
    </w:p>
    <w:p w14:paraId="59AF54FF" w14:textId="77777777" w:rsidR="00575CDF" w:rsidRPr="00C801A6" w:rsidRDefault="00575CDF" w:rsidP="00844538">
      <w:pPr>
        <w:pStyle w:val="ListParagraph"/>
        <w:numPr>
          <w:ilvl w:val="0"/>
          <w:numId w:val="63"/>
        </w:numPr>
        <w:spacing w:line="276" w:lineRule="auto"/>
        <w:ind w:left="850" w:hanging="425"/>
        <w:contextualSpacing w:val="0"/>
        <w:rPr>
          <w:color w:val="auto"/>
        </w:rPr>
      </w:pPr>
      <w:r w:rsidRPr="00C801A6">
        <w:rPr>
          <w:color w:val="auto"/>
        </w:rPr>
        <w:t xml:space="preserve">Pratiquement la moitié de tous les types de violence ont été perpétrés au sein de la famille, ainsi en est-il de la violence lors de la grossesse : 59,9% des femmes victimes en union l’ont affirmé. </w:t>
      </w:r>
    </w:p>
    <w:p w14:paraId="365CAF4D" w14:textId="77777777" w:rsidR="00575CDF" w:rsidRPr="00C801A6" w:rsidRDefault="00575CDF" w:rsidP="00844538">
      <w:pPr>
        <w:pStyle w:val="ListParagraph"/>
        <w:numPr>
          <w:ilvl w:val="0"/>
          <w:numId w:val="63"/>
        </w:numPr>
        <w:spacing w:line="276" w:lineRule="auto"/>
        <w:ind w:left="850" w:hanging="425"/>
        <w:contextualSpacing w:val="0"/>
        <w:rPr>
          <w:color w:val="auto"/>
        </w:rPr>
      </w:pPr>
      <w:r w:rsidRPr="00C801A6">
        <w:rPr>
          <w:color w:val="auto"/>
        </w:rPr>
        <w:t xml:space="preserve">La violence sexuelle, quant à elle, est plus répandue au niveau de la communauté : 35,4% des cas sont commis par les voisins et 20,1% par des inconnus. </w:t>
      </w:r>
    </w:p>
    <w:p w14:paraId="1CBDEFB2" w14:textId="77777777" w:rsidR="00575CDF" w:rsidRPr="00C801A6" w:rsidRDefault="00575CDF" w:rsidP="00E87A90">
      <w:pPr>
        <w:rPr>
          <w:color w:val="auto"/>
        </w:rPr>
      </w:pPr>
      <w:r w:rsidRPr="00C801A6">
        <w:rPr>
          <w:color w:val="auto"/>
        </w:rPr>
        <w:t>Il ressort de cette analyse qu’aucune catégorie de femme n’est épargnée par la violence bien que la prévalence varie légèrement selon certaines caractéristiques sociodémographiques. Les femmes jeunes ont beaucoup plus de risques que leurs aînées de subir des violences et le fait d’appartenir aux quintiles des riches ne protègent pas les femmes de la violence.</w:t>
      </w:r>
    </w:p>
    <w:p w14:paraId="3DA14785" w14:textId="77777777" w:rsidR="00575CDF" w:rsidRPr="00C801A6" w:rsidRDefault="64C26F39" w:rsidP="00575CDF">
      <w:pPr>
        <w:rPr>
          <w:color w:val="auto"/>
        </w:rPr>
      </w:pPr>
      <w:r w:rsidRPr="00C801A6">
        <w:rPr>
          <w:color w:val="auto"/>
        </w:rPr>
        <w:t>Dernièrement, selon le FNUAP</w:t>
      </w:r>
      <w:r w:rsidR="00575CDF" w:rsidRPr="00C801A6">
        <w:rPr>
          <w:rStyle w:val="FootnoteReference"/>
          <w:color w:val="auto"/>
        </w:rPr>
        <w:footnoteReference w:id="12"/>
      </w:r>
      <w:r w:rsidRPr="00C801A6">
        <w:rPr>
          <w:color w:val="auto"/>
        </w:rPr>
        <w:t>, en 2020, à Madagascar, une évaluation de l’impact de la Covid-19 a montré que le confinement et les restrictions y afférentes ont aggravé la violence domestique. Souvent les auteurs sont les partenaires intimes des victimes.</w:t>
      </w:r>
    </w:p>
    <w:p w14:paraId="42D3CA66" w14:textId="77777777" w:rsidR="00575CDF" w:rsidRPr="00C801A6" w:rsidRDefault="00575CDF" w:rsidP="00C65572">
      <w:pPr>
        <w:pStyle w:val="Heading3"/>
      </w:pPr>
      <w:bookmarkStart w:id="199" w:name="_Toc106320302"/>
      <w:bookmarkStart w:id="200" w:name="_Toc230426013"/>
      <w:r w:rsidRPr="00C801A6">
        <w:lastRenderedPageBreak/>
        <w:t>Gestion des litiges dans les communautés</w:t>
      </w:r>
      <w:bookmarkEnd w:id="199"/>
      <w:bookmarkEnd w:id="200"/>
    </w:p>
    <w:p w14:paraId="52089288" w14:textId="77777777" w:rsidR="00575CDF" w:rsidRPr="00C801A6" w:rsidRDefault="00575CDF" w:rsidP="003042DB">
      <w:pPr>
        <w:pStyle w:val="Heading4"/>
        <w:rPr>
          <w:color w:val="auto"/>
        </w:rPr>
      </w:pPr>
      <w:bookmarkStart w:id="201" w:name="_Toc230298750"/>
      <w:r w:rsidRPr="00C801A6">
        <w:rPr>
          <w:color w:val="auto"/>
        </w:rPr>
        <w:t>Généralités</w:t>
      </w:r>
      <w:bookmarkEnd w:id="201"/>
    </w:p>
    <w:p w14:paraId="2DEA3F54" w14:textId="04543E50" w:rsidR="00575CDF" w:rsidRPr="00C801A6" w:rsidRDefault="64C26F39" w:rsidP="00575CDF">
      <w:pPr>
        <w:rPr>
          <w:color w:val="auto"/>
        </w:rPr>
      </w:pPr>
      <w:r w:rsidRPr="00C801A6">
        <w:rPr>
          <w:color w:val="auto"/>
        </w:rPr>
        <w:t>A Madagascar, la gestion des litiges qui surviennent dans la vie communautaire se règle de différentes manières mais elles sont toutes basées sur la notion de « Fihavanana</w:t>
      </w:r>
      <w:r w:rsidR="00575CDF" w:rsidRPr="00C801A6">
        <w:rPr>
          <w:color w:val="auto"/>
          <w:vertAlign w:val="superscript"/>
        </w:rPr>
        <w:footnoteReference w:id="13"/>
      </w:r>
      <w:r w:rsidRPr="00C801A6">
        <w:rPr>
          <w:color w:val="auto"/>
        </w:rPr>
        <w:t> ». D’une manière générale, la démarche comprend aussi un long narratif appelé « Kabary », « Kadaha », « Sokela » ou autres. La séance est diligentée par les Aînés ou « Sages »</w:t>
      </w:r>
    </w:p>
    <w:p w14:paraId="0E8C3DC7" w14:textId="77777777" w:rsidR="00575CDF" w:rsidRPr="00C801A6" w:rsidRDefault="00575CDF" w:rsidP="00575CDF">
      <w:pPr>
        <w:rPr>
          <w:color w:val="auto"/>
        </w:rPr>
      </w:pPr>
      <w:r w:rsidRPr="00C801A6">
        <w:rPr>
          <w:color w:val="auto"/>
        </w:rPr>
        <w:t>A la fin, si aucune entente n’a pu être trouvée entre les protagonistes, le Comité des Sages tranche la situation et ses décisions sont exécutoires. Parfois même, les décisions prises au niveau communautaires l’emportent sur les décisions de la Justice.</w:t>
      </w:r>
    </w:p>
    <w:p w14:paraId="352AC0FA" w14:textId="77777777" w:rsidR="00575CDF" w:rsidRPr="00C801A6" w:rsidRDefault="00575CDF" w:rsidP="00575CDF">
      <w:pPr>
        <w:rPr>
          <w:color w:val="auto"/>
        </w:rPr>
      </w:pPr>
      <w:r w:rsidRPr="00C801A6">
        <w:rPr>
          <w:color w:val="auto"/>
        </w:rPr>
        <w:t xml:space="preserve">Il en est de même quant à l’application des </w:t>
      </w:r>
      <w:r w:rsidRPr="00C801A6">
        <w:rPr>
          <w:b/>
          <w:i/>
          <w:color w:val="auto"/>
        </w:rPr>
        <w:t>Dina</w:t>
      </w:r>
      <w:r w:rsidRPr="00C801A6">
        <w:rPr>
          <w:color w:val="auto"/>
        </w:rPr>
        <w:t xml:space="preserve"> (conventions communautaires)</w:t>
      </w:r>
    </w:p>
    <w:p w14:paraId="443A0DD0" w14:textId="77777777" w:rsidR="00575CDF" w:rsidRPr="00C801A6" w:rsidRDefault="00575CDF" w:rsidP="003042DB">
      <w:pPr>
        <w:pStyle w:val="Heading4"/>
        <w:rPr>
          <w:color w:val="auto"/>
        </w:rPr>
      </w:pPr>
      <w:bookmarkStart w:id="202" w:name="_Toc230298751"/>
      <w:r w:rsidRPr="00C801A6">
        <w:rPr>
          <w:color w:val="auto"/>
        </w:rPr>
        <w:t>Mécanismes spécifiques</w:t>
      </w:r>
      <w:bookmarkEnd w:id="202"/>
    </w:p>
    <w:p w14:paraId="0230B9FC" w14:textId="28756643" w:rsidR="00575CDF" w:rsidRPr="00C801A6" w:rsidRDefault="00575CDF" w:rsidP="00575CDF">
      <w:pPr>
        <w:rPr>
          <w:color w:val="auto"/>
        </w:rPr>
      </w:pPr>
      <w:r w:rsidRPr="00C801A6">
        <w:rPr>
          <w:color w:val="auto"/>
        </w:rPr>
        <w:t xml:space="preserve">En parallèle à la démarche coutumière, il </w:t>
      </w:r>
      <w:r w:rsidR="00B31ABC" w:rsidRPr="00C801A6">
        <w:rPr>
          <w:color w:val="auto"/>
        </w:rPr>
        <w:t xml:space="preserve">y </w:t>
      </w:r>
      <w:r w:rsidRPr="00C801A6">
        <w:rPr>
          <w:color w:val="auto"/>
        </w:rPr>
        <w:t xml:space="preserve">a un foisonnement de mécanismes spécifiques </w:t>
      </w:r>
      <w:r w:rsidR="00B31ABC" w:rsidRPr="00C801A6">
        <w:rPr>
          <w:color w:val="auto"/>
        </w:rPr>
        <w:t xml:space="preserve">qui </w:t>
      </w:r>
      <w:r w:rsidRPr="00C801A6">
        <w:rPr>
          <w:color w:val="auto"/>
        </w:rPr>
        <w:t>revêtent de multiples face</w:t>
      </w:r>
      <w:r w:rsidR="00B31ABC" w:rsidRPr="00C801A6">
        <w:rPr>
          <w:color w:val="auto"/>
        </w:rPr>
        <w:t>tte</w:t>
      </w:r>
      <w:r w:rsidRPr="00C801A6">
        <w:rPr>
          <w:color w:val="auto"/>
        </w:rPr>
        <w:t>s car, souvent, ils répondent à des exigences particulières, entre autres :</w:t>
      </w:r>
    </w:p>
    <w:p w14:paraId="225BAEB9" w14:textId="77777777" w:rsidR="00575CDF" w:rsidRPr="00C801A6" w:rsidRDefault="64C26F39" w:rsidP="00844538">
      <w:pPr>
        <w:pStyle w:val="ListParagraph"/>
        <w:numPr>
          <w:ilvl w:val="0"/>
          <w:numId w:val="63"/>
        </w:numPr>
        <w:spacing w:line="276" w:lineRule="auto"/>
        <w:ind w:left="850" w:hanging="425"/>
        <w:contextualSpacing w:val="0"/>
        <w:rPr>
          <w:color w:val="auto"/>
        </w:rPr>
      </w:pPr>
      <w:r w:rsidRPr="00C801A6">
        <w:rPr>
          <w:color w:val="auto"/>
        </w:rPr>
        <w:t>les mécanismes</w:t>
      </w:r>
      <w:r w:rsidR="00575CDF" w:rsidRPr="00C801A6">
        <w:rPr>
          <w:rStyle w:val="FootnoteReference"/>
          <w:color w:val="auto"/>
        </w:rPr>
        <w:footnoteReference w:id="14"/>
      </w:r>
      <w:r w:rsidRPr="00C801A6">
        <w:rPr>
          <w:color w:val="auto"/>
        </w:rPr>
        <w:t xml:space="preserve"> de gestion des plaintes et des litiges de Madagascar National Parks pour les besoins particuliers de ses Plans de sauvegardés sociales et environnementales (PSSE) ;</w:t>
      </w:r>
    </w:p>
    <w:p w14:paraId="324AAF33" w14:textId="21709E73" w:rsidR="00575CDF" w:rsidRPr="00C801A6" w:rsidRDefault="00575CDF" w:rsidP="00844538">
      <w:pPr>
        <w:pStyle w:val="ListParagraph"/>
        <w:numPr>
          <w:ilvl w:val="0"/>
          <w:numId w:val="63"/>
        </w:numPr>
        <w:spacing w:line="276" w:lineRule="auto"/>
        <w:ind w:left="850" w:hanging="425"/>
        <w:contextualSpacing w:val="0"/>
        <w:rPr>
          <w:color w:val="auto"/>
        </w:rPr>
      </w:pPr>
      <w:r w:rsidRPr="00C801A6">
        <w:rPr>
          <w:color w:val="auto"/>
        </w:rPr>
        <w:t>le MGP en cours de mise en œuvre par le</w:t>
      </w:r>
      <w:r w:rsidR="00732B4D" w:rsidRPr="00C801A6">
        <w:rPr>
          <w:color w:val="auto"/>
        </w:rPr>
        <w:t>s</w:t>
      </w:r>
      <w:r w:rsidRPr="00C801A6">
        <w:rPr>
          <w:color w:val="auto"/>
        </w:rPr>
        <w:t xml:space="preserve"> Projet</w:t>
      </w:r>
      <w:r w:rsidR="00732B4D" w:rsidRPr="00C801A6">
        <w:rPr>
          <w:color w:val="auto"/>
        </w:rPr>
        <w:t>s</w:t>
      </w:r>
      <w:r w:rsidRPr="00C801A6">
        <w:rPr>
          <w:color w:val="auto"/>
        </w:rPr>
        <w:t xml:space="preserve"> </w:t>
      </w:r>
      <w:r w:rsidR="00732B4D" w:rsidRPr="00C801A6">
        <w:rPr>
          <w:color w:val="auto"/>
        </w:rPr>
        <w:t>PDDR</w:t>
      </w:r>
      <w:r w:rsidR="00ED4B62">
        <w:rPr>
          <w:color w:val="auto"/>
        </w:rPr>
        <w:t xml:space="preserve">, </w:t>
      </w:r>
      <w:r w:rsidR="006A5365">
        <w:rPr>
          <w:color w:val="auto"/>
        </w:rPr>
        <w:t>PCMCI</w:t>
      </w:r>
      <w:r w:rsidR="00ED4B62">
        <w:rPr>
          <w:color w:val="auto"/>
        </w:rPr>
        <w:t>, et CERC-PCMCI</w:t>
      </w:r>
      <w:r w:rsidRPr="00C801A6">
        <w:rPr>
          <w:color w:val="auto"/>
        </w:rPr>
        <w:t> ;</w:t>
      </w:r>
    </w:p>
    <w:p w14:paraId="763006A6" w14:textId="77777777" w:rsidR="00575CDF" w:rsidRPr="00C801A6" w:rsidRDefault="00575CDF" w:rsidP="00844538">
      <w:pPr>
        <w:pStyle w:val="ListParagraph"/>
        <w:numPr>
          <w:ilvl w:val="0"/>
          <w:numId w:val="63"/>
        </w:numPr>
        <w:spacing w:line="276" w:lineRule="auto"/>
        <w:ind w:left="850" w:hanging="425"/>
        <w:contextualSpacing w:val="0"/>
        <w:rPr>
          <w:color w:val="auto"/>
        </w:rPr>
      </w:pPr>
      <w:r w:rsidRPr="00C801A6">
        <w:rPr>
          <w:color w:val="auto"/>
        </w:rPr>
        <w:t>le MGP en cours de mise en œuvre par le Programme d'Amélioration des Résultats Nutritionnels (PARN) du Ministère chargé de la Santé publique ;</w:t>
      </w:r>
    </w:p>
    <w:p w14:paraId="2B7C0751" w14:textId="77777777" w:rsidR="00575CDF" w:rsidRPr="00C801A6" w:rsidRDefault="00575CDF" w:rsidP="00844538">
      <w:pPr>
        <w:pStyle w:val="ListParagraph"/>
        <w:numPr>
          <w:ilvl w:val="0"/>
          <w:numId w:val="63"/>
        </w:numPr>
        <w:spacing w:line="276" w:lineRule="auto"/>
        <w:ind w:left="850" w:hanging="425"/>
        <w:contextualSpacing w:val="0"/>
        <w:rPr>
          <w:color w:val="auto"/>
        </w:rPr>
      </w:pPr>
      <w:r w:rsidRPr="00C801A6">
        <w:rPr>
          <w:color w:val="auto"/>
        </w:rPr>
        <w:t xml:space="preserve">les </w:t>
      </w:r>
      <w:r w:rsidRPr="00C801A6">
        <w:rPr>
          <w:i/>
          <w:color w:val="auto"/>
        </w:rPr>
        <w:t>Dina</w:t>
      </w:r>
      <w:r w:rsidRPr="00C801A6">
        <w:rPr>
          <w:color w:val="auto"/>
        </w:rPr>
        <w:t xml:space="preserve"> : ces conventions sociales constituent une réponse des communautés au fait que l’Etat n’a pas pu, jusqu’à ce jour, assurer un certain niveau de sécurité aux biens et personnes. le </w:t>
      </w:r>
      <w:r w:rsidRPr="00C801A6">
        <w:rPr>
          <w:i/>
          <w:color w:val="auto"/>
        </w:rPr>
        <w:t>Dinabe</w:t>
      </w:r>
      <w:r w:rsidRPr="00C801A6">
        <w:rPr>
          <w:color w:val="auto"/>
        </w:rPr>
        <w:t xml:space="preserve"> de la Région Atsimo Andrefana est le plus répandu ;</w:t>
      </w:r>
    </w:p>
    <w:p w14:paraId="50316F63" w14:textId="64724094" w:rsidR="00575CDF" w:rsidRPr="00C801A6" w:rsidRDefault="00575CDF" w:rsidP="00844538">
      <w:pPr>
        <w:pStyle w:val="ListParagraph"/>
        <w:numPr>
          <w:ilvl w:val="0"/>
          <w:numId w:val="63"/>
        </w:numPr>
        <w:spacing w:line="276" w:lineRule="auto"/>
        <w:ind w:left="850" w:hanging="425"/>
        <w:contextualSpacing w:val="0"/>
        <w:rPr>
          <w:color w:val="auto"/>
        </w:rPr>
      </w:pPr>
      <w:r w:rsidRPr="00C801A6">
        <w:rPr>
          <w:color w:val="auto"/>
        </w:rPr>
        <w:t>les mécanismes de règlement des litiges appliqués par d’autres Projets appuyés par d’autres partenaires techniques et financiers.</w:t>
      </w:r>
    </w:p>
    <w:p w14:paraId="0AB05E1C" w14:textId="4123C0EA" w:rsidR="00732B4D" w:rsidRPr="00C801A6" w:rsidRDefault="38878BED" w:rsidP="00732B4D">
      <w:pPr>
        <w:rPr>
          <w:color w:val="auto"/>
        </w:rPr>
      </w:pPr>
      <w:r w:rsidRPr="00C801A6">
        <w:rPr>
          <w:color w:val="auto"/>
        </w:rPr>
        <w:t>Le MGP en cours de mise en œuvre par le Projet P</w:t>
      </w:r>
      <w:r w:rsidR="00ED4B62">
        <w:rPr>
          <w:color w:val="auto"/>
        </w:rPr>
        <w:t xml:space="preserve">DDR, </w:t>
      </w:r>
      <w:r w:rsidRPr="00C801A6">
        <w:rPr>
          <w:color w:val="auto"/>
        </w:rPr>
        <w:t>et le Projet P</w:t>
      </w:r>
      <w:r w:rsidR="006A5365">
        <w:rPr>
          <w:color w:val="auto"/>
        </w:rPr>
        <w:t>CMCI</w:t>
      </w:r>
      <w:r w:rsidRPr="00C801A6">
        <w:rPr>
          <w:color w:val="auto"/>
        </w:rPr>
        <w:t xml:space="preserve"> sera, également, utilisé dans le cadre du CERC.</w:t>
      </w:r>
    </w:p>
    <w:p w14:paraId="59BD6A90" w14:textId="77777777" w:rsidR="00575CDF" w:rsidRPr="00C801A6" w:rsidRDefault="00575CDF" w:rsidP="00C65572">
      <w:pPr>
        <w:pStyle w:val="Heading3"/>
      </w:pPr>
      <w:bookmarkStart w:id="203" w:name="_Toc106320303"/>
      <w:bookmarkStart w:id="204" w:name="_Toc230426014"/>
      <w:r w:rsidRPr="00C801A6">
        <w:t>Contexte économique</w:t>
      </w:r>
      <w:bookmarkEnd w:id="197"/>
      <w:bookmarkEnd w:id="203"/>
      <w:bookmarkEnd w:id="204"/>
    </w:p>
    <w:p w14:paraId="52AE019C" w14:textId="77777777" w:rsidR="00575CDF" w:rsidRPr="00C801A6" w:rsidRDefault="00575CDF" w:rsidP="00575CDF">
      <w:pPr>
        <w:spacing w:after="200" w:line="288" w:lineRule="auto"/>
        <w:rPr>
          <w:rFonts w:cs="Arial"/>
          <w:color w:val="auto"/>
          <w:lang w:val="fr-CA"/>
        </w:rPr>
      </w:pPr>
      <w:r w:rsidRPr="00C801A6">
        <w:rPr>
          <w:rFonts w:cs="Arial"/>
          <w:color w:val="auto"/>
          <w:lang w:val="fr-CA"/>
        </w:rPr>
        <w:t xml:space="preserve">Avant la pandémie de coronavirus (COVID-19), l’économie malagasy se trouvait sur une trajectoire ascendante. Depuis 2020, l’impact économique de la crise du coronavirus devenait brutal. Les perturbations engendrées ont provoqué un tassement très net de l’activité, avec une </w:t>
      </w:r>
      <w:r w:rsidRPr="00C801A6">
        <w:rPr>
          <w:rFonts w:cs="Arial"/>
          <w:color w:val="auto"/>
          <w:lang w:val="fr-CA"/>
        </w:rPr>
        <w:lastRenderedPageBreak/>
        <w:t xml:space="preserve">chute attendue du PIB à 1,2 %, très en deçà des prévisions d’avant la crise, qui tablaient sur un rythme de croissance annuelle de 5,2 %. </w:t>
      </w:r>
    </w:p>
    <w:p w14:paraId="78809BB4" w14:textId="77777777" w:rsidR="00575CDF" w:rsidRPr="00C801A6" w:rsidRDefault="00575CDF" w:rsidP="00575CDF">
      <w:pPr>
        <w:spacing w:after="200" w:line="288" w:lineRule="auto"/>
        <w:rPr>
          <w:rFonts w:cs="Arial"/>
          <w:color w:val="auto"/>
          <w:lang w:val="fr-CA"/>
        </w:rPr>
      </w:pPr>
      <w:r w:rsidRPr="00C801A6">
        <w:rPr>
          <w:rFonts w:cs="Arial"/>
          <w:color w:val="auto"/>
          <w:lang w:val="fr-CA"/>
        </w:rPr>
        <w:t>Si l’agriculture et l’élevage sont les activités principales de la population en milieu rural, la population des villes exerce surtout à de multiples activités économiques largement dominées par les secteurs industriel et commercial ainsi que les activités liées au secteur touristique et aux différents services.</w:t>
      </w:r>
    </w:p>
    <w:p w14:paraId="78E24704" w14:textId="656CA0A9" w:rsidR="00575CDF" w:rsidRPr="00C801A6" w:rsidRDefault="00575CDF" w:rsidP="003042DB">
      <w:pPr>
        <w:pStyle w:val="Heading4"/>
        <w:rPr>
          <w:color w:val="auto"/>
        </w:rPr>
      </w:pPr>
      <w:bookmarkStart w:id="205" w:name="_Toc230298752"/>
      <w:r w:rsidRPr="00C801A6">
        <w:rPr>
          <w:color w:val="auto"/>
        </w:rPr>
        <w:t>Secteur primaire</w:t>
      </w:r>
      <w:bookmarkEnd w:id="205"/>
    </w:p>
    <w:p w14:paraId="5736E687" w14:textId="77777777" w:rsidR="004F5470" w:rsidRPr="00C801A6" w:rsidRDefault="004F5470" w:rsidP="004F5470">
      <w:pPr>
        <w:rPr>
          <w:rFonts w:cs="Arial"/>
          <w:color w:val="auto"/>
        </w:rPr>
      </w:pPr>
      <w:r w:rsidRPr="00C801A6">
        <w:rPr>
          <w:rFonts w:cs="Arial"/>
          <w:color w:val="auto"/>
        </w:rPr>
        <w:t>Le secteur primaire à Madagas</w:t>
      </w:r>
      <w:r w:rsidRPr="00C801A6">
        <w:rPr>
          <w:rFonts w:eastAsia="Times New Roman" w:cs="Times New Roman"/>
          <w:color w:val="auto"/>
        </w:rPr>
        <w:t>car est essentiellement constitué de l’Agriculture, de l’élevage et de la pêche. Rassemblant p</w:t>
      </w:r>
      <w:r w:rsidRPr="00C801A6">
        <w:rPr>
          <w:rFonts w:cs="Arial"/>
          <w:color w:val="auto"/>
        </w:rPr>
        <w:t>lus de 80% de la population active et majoritairement rurale, ce secteur apporte sa contribution au produit intérieur brut (PIB) pour 34% de celui-ci.</w:t>
      </w:r>
    </w:p>
    <w:p w14:paraId="7036B157" w14:textId="77777777" w:rsidR="004F5470" w:rsidRPr="00C801A6" w:rsidRDefault="004F5470" w:rsidP="004F5470">
      <w:pPr>
        <w:rPr>
          <w:rFonts w:cs="Arial"/>
          <w:color w:val="auto"/>
        </w:rPr>
      </w:pPr>
      <w:r w:rsidRPr="00C801A6">
        <w:rPr>
          <w:rFonts w:cs="Arial"/>
          <w:color w:val="auto"/>
        </w:rPr>
        <w:t>Le secteur de l’agriculture engendre chaque année au moins les 27% du PIB à Madagascar. L’agriculture, qui est considérée comme le premier secteur économique du pays, à lui seul représente les 45% du produit national brut (PNB).</w:t>
      </w:r>
    </w:p>
    <w:p w14:paraId="7D3E50CF" w14:textId="77777777" w:rsidR="004F5470" w:rsidRPr="00C801A6" w:rsidRDefault="004F5470" w:rsidP="004F5470">
      <w:pPr>
        <w:rPr>
          <w:rFonts w:cs="Arial"/>
          <w:color w:val="auto"/>
        </w:rPr>
      </w:pPr>
      <w:r w:rsidRPr="00C801A6">
        <w:rPr>
          <w:rFonts w:cs="Arial"/>
          <w:color w:val="auto"/>
        </w:rPr>
        <w:t xml:space="preserve">La principale culture agricole est le riz qui recouvre plus de la moitié de la surface cultivable totale et occupe 72% de la population agricole. Viennent ensuite les maniocs, haricots, maïs, patates douces, pommes de terre et le taro. </w:t>
      </w:r>
    </w:p>
    <w:p w14:paraId="5AAF1F4A" w14:textId="77777777" w:rsidR="004F5470" w:rsidRPr="00C801A6" w:rsidRDefault="004F5470" w:rsidP="004F5470">
      <w:pPr>
        <w:rPr>
          <w:rFonts w:cs="Arial"/>
          <w:color w:val="auto"/>
        </w:rPr>
      </w:pPr>
      <w:r w:rsidRPr="00C801A6">
        <w:rPr>
          <w:rFonts w:cs="Arial"/>
          <w:color w:val="auto"/>
        </w:rPr>
        <w:t>Le secteur de l’agriculture se répartit sur l’ensemble de l’ile. Cependant, d’après les dernières données du Programme National de Développement Rural en 2006, les sols à vocation agricole sont estimés à 15% de la superficie totale de la Grande Ile. Malheureusement, seuls 30% sont exploités. De ce fait, les potentialités sont encore énormes dans ce secteur du fait de l’étendue des surfaces non encore exploitées</w:t>
      </w:r>
      <w:bookmarkStart w:id="206" w:name="1506a2b7e8442e2c_fnref87"/>
      <w:bookmarkEnd w:id="206"/>
      <w:r w:rsidRPr="00C801A6">
        <w:rPr>
          <w:rFonts w:cs="Arial"/>
          <w:color w:val="auto"/>
        </w:rPr>
        <w:t>.</w:t>
      </w:r>
    </w:p>
    <w:p w14:paraId="0B505119" w14:textId="77777777" w:rsidR="004F5470" w:rsidRPr="00C801A6" w:rsidRDefault="004F5470" w:rsidP="004F5470">
      <w:pPr>
        <w:rPr>
          <w:rFonts w:cs="Arial"/>
          <w:color w:val="auto"/>
        </w:rPr>
      </w:pPr>
      <w:r w:rsidRPr="00C801A6">
        <w:rPr>
          <w:rFonts w:cs="Arial"/>
          <w:color w:val="auto"/>
        </w:rPr>
        <w:t>D’après l’Institut National des Statistiques (INSTAT), 25% des cultures vivrières, 45% des cultures industrielles et 90% des cultures de rente (café, girofle, vanille, cacao, ...) sont destinés au commerce.</w:t>
      </w:r>
    </w:p>
    <w:p w14:paraId="2343DF2F" w14:textId="77777777" w:rsidR="004F5470" w:rsidRPr="00C801A6" w:rsidRDefault="004F5470" w:rsidP="004F5470">
      <w:pPr>
        <w:rPr>
          <w:rFonts w:cs="Arial"/>
          <w:color w:val="auto"/>
        </w:rPr>
      </w:pPr>
      <w:r w:rsidRPr="00C801A6">
        <w:rPr>
          <w:rFonts w:cs="Arial"/>
          <w:color w:val="auto"/>
        </w:rPr>
        <w:t>Par ailleurs, la</w:t>
      </w:r>
      <w:r w:rsidRPr="00C801A6">
        <w:rPr>
          <w:color w:val="auto"/>
        </w:rPr>
        <w:t xml:space="preserve"> filière Élevage constitue aussi un levier pour le développement de l’économie rurale de l’Ile. </w:t>
      </w:r>
      <w:r w:rsidRPr="00C801A6">
        <w:rPr>
          <w:rFonts w:cs="Arial"/>
          <w:color w:val="auto"/>
        </w:rPr>
        <w:t xml:space="preserve">Pays d’élevage, Madagascar possédait en 2007 un cheptel de 10,4 millions de bovins, 1,8 millions de chèvres et de moutons, 1,30 millions de porcs et 2,2 millions de volailles. </w:t>
      </w:r>
    </w:p>
    <w:p w14:paraId="7DD5E344" w14:textId="77777777" w:rsidR="004F5470" w:rsidRPr="00C801A6" w:rsidRDefault="004F5470" w:rsidP="004F5470">
      <w:pPr>
        <w:rPr>
          <w:rFonts w:cs="Arial"/>
          <w:color w:val="auto"/>
        </w:rPr>
      </w:pPr>
      <w:r w:rsidRPr="00C801A6">
        <w:rPr>
          <w:rFonts w:cs="Arial"/>
          <w:color w:val="auto"/>
        </w:rPr>
        <w:t xml:space="preserve">En 2012, plus de 80% des malagasy pratiquent l’élevage dans la Grande Ile et ce, pour des besoins d’autoconsommation. L’élevage constitue, en outre, une bonne partie des sources de revenus de la population locale en zones rurales. </w:t>
      </w:r>
    </w:p>
    <w:p w14:paraId="117C95B3" w14:textId="77777777" w:rsidR="004F5470" w:rsidRPr="00C801A6" w:rsidRDefault="004F5470" w:rsidP="004F5470">
      <w:pPr>
        <w:rPr>
          <w:rFonts w:cs="Arial"/>
          <w:color w:val="auto"/>
        </w:rPr>
      </w:pPr>
      <w:r w:rsidRPr="00C801A6">
        <w:rPr>
          <w:rFonts w:cs="Arial"/>
          <w:color w:val="auto"/>
        </w:rPr>
        <w:t>Selon les statistiques de la fédération des éleveurs de Madagascar, 57,95% des membres pratiquent l’élevage porcin, 1,89% l’élevage de bovin et 40,16% l’aviculture. Ces chiffres montrent que les Malagasy ne pratiquent pas encore cette activité de manière professionnelle mais laquelle reste une forme d’épargne importante en intégration avec l’agriculture dans le système de production des paysans.</w:t>
      </w:r>
    </w:p>
    <w:p w14:paraId="7387C060" w14:textId="77777777" w:rsidR="004F5470" w:rsidRPr="00C801A6" w:rsidRDefault="13610CB4" w:rsidP="004F5470">
      <w:pPr>
        <w:rPr>
          <w:rFonts w:cs="Arial"/>
          <w:color w:val="auto"/>
        </w:rPr>
      </w:pPr>
      <w:r w:rsidRPr="00C801A6">
        <w:rPr>
          <w:rFonts w:cs="Arial"/>
          <w:color w:val="auto"/>
        </w:rPr>
        <w:t xml:space="preserve">La pêche est destinée aussi bien pour l’exportation que pour la consommation locale mais reste encore peu développée. Le secteur de la pêche joue un rôle important dans l’économie nationale </w:t>
      </w:r>
      <w:r w:rsidRPr="00C801A6">
        <w:rPr>
          <w:rFonts w:cs="Arial"/>
          <w:color w:val="auto"/>
        </w:rPr>
        <w:lastRenderedPageBreak/>
        <w:t>car, avec l’aquaculture, ils font vivre plus de 1,5 millions d’habitants qui incluent des communautés vulnérables et marginalisées. Dans ce cadre, en 2020, la valeur de la production halieutique a atteint une valeur de près de 750 millions USD</w:t>
      </w:r>
      <w:r w:rsidR="004F5470" w:rsidRPr="00C801A6">
        <w:rPr>
          <w:rStyle w:val="FootnoteReference"/>
          <w:rFonts w:cs="Arial"/>
          <w:color w:val="auto"/>
        </w:rPr>
        <w:footnoteReference w:id="15"/>
      </w:r>
      <w:r w:rsidRPr="00C801A6">
        <w:rPr>
          <w:rFonts w:cs="Arial"/>
          <w:color w:val="auto"/>
        </w:rPr>
        <w:t>. Ce qui contribue pour 7% du Produit Intérieur Brut (PIB) national. Force est également de remarquer que, en 2019, ce secteur représentait 6,6 % des exportations totales de Madagascar.</w:t>
      </w:r>
    </w:p>
    <w:p w14:paraId="39EC269A" w14:textId="77777777" w:rsidR="004F5470" w:rsidRPr="00C801A6" w:rsidRDefault="004F5470" w:rsidP="004F5470">
      <w:pPr>
        <w:rPr>
          <w:rFonts w:cs="Arial"/>
          <w:color w:val="auto"/>
        </w:rPr>
      </w:pPr>
      <w:r w:rsidRPr="00C801A6">
        <w:rPr>
          <w:rFonts w:cs="Arial"/>
          <w:color w:val="auto"/>
        </w:rPr>
        <w:t>La pêche et l’aquaculture malagasy sont deux domaines très porteurs qui contribuent à 90% des recettes d’exportation du secteur primaire</w:t>
      </w:r>
      <w:bookmarkStart w:id="207" w:name="1506a2b7e8442e2c_fnref86"/>
      <w:bookmarkEnd w:id="207"/>
      <w:r w:rsidRPr="00C801A6">
        <w:rPr>
          <w:rFonts w:cs="Arial"/>
          <w:color w:val="auto"/>
        </w:rPr>
        <w:t xml:space="preserve">. </w:t>
      </w:r>
    </w:p>
    <w:p w14:paraId="7CCEAC25" w14:textId="5982A70D" w:rsidR="00575CDF" w:rsidRPr="00C801A6" w:rsidRDefault="00575CDF" w:rsidP="003042DB">
      <w:pPr>
        <w:pStyle w:val="Heading4"/>
        <w:rPr>
          <w:color w:val="auto"/>
        </w:rPr>
      </w:pPr>
      <w:bookmarkStart w:id="208" w:name="_Toc230298753"/>
      <w:r w:rsidRPr="00C801A6">
        <w:rPr>
          <w:color w:val="auto"/>
        </w:rPr>
        <w:t>Secteur secondaire</w:t>
      </w:r>
      <w:bookmarkEnd w:id="208"/>
    </w:p>
    <w:p w14:paraId="7C452BF5" w14:textId="77777777" w:rsidR="004F5470" w:rsidRPr="00C801A6" w:rsidRDefault="004F5470" w:rsidP="004F5470">
      <w:pPr>
        <w:rPr>
          <w:rFonts w:cs="Arial"/>
          <w:color w:val="auto"/>
        </w:rPr>
      </w:pPr>
      <w:r w:rsidRPr="00C801A6">
        <w:rPr>
          <w:rFonts w:cs="Arial"/>
          <w:color w:val="auto"/>
        </w:rPr>
        <w:t>L’intérêt du secteur secondaire réside dans les bâtiments et les travaux publics, l’agroalimentaire, l’agro-industrie en général, l’industrie du textile et de l’habillement, l’industrie extractive et l’énergie.</w:t>
      </w:r>
    </w:p>
    <w:p w14:paraId="04B4541D" w14:textId="77777777" w:rsidR="004F5470" w:rsidRPr="00C801A6" w:rsidRDefault="004F5470" w:rsidP="004F5470">
      <w:pPr>
        <w:rPr>
          <w:rFonts w:cs="Arial"/>
          <w:color w:val="auto"/>
        </w:rPr>
      </w:pPr>
      <w:r w:rsidRPr="00C801A6">
        <w:rPr>
          <w:rFonts w:cs="Arial"/>
          <w:color w:val="auto"/>
        </w:rPr>
        <w:t>Toutefois, depuis la COVID-19, la filière huiles essentielles s’est beaucoup développée.</w:t>
      </w:r>
    </w:p>
    <w:p w14:paraId="150B84A0" w14:textId="77777777" w:rsidR="004F5470" w:rsidRPr="00C801A6" w:rsidRDefault="004F5470" w:rsidP="004F5470">
      <w:pPr>
        <w:rPr>
          <w:rFonts w:cs="Arial"/>
          <w:color w:val="auto"/>
        </w:rPr>
      </w:pPr>
      <w:r w:rsidRPr="00C801A6">
        <w:rPr>
          <w:rFonts w:cs="Arial"/>
          <w:color w:val="auto"/>
        </w:rPr>
        <w:t>L’explosion du secteur du Bâtiment et des Travaux publics s’explique par la priorité fixée par le Gouvernement à la réhabilitation des routes et des infrastructures routières</w:t>
      </w:r>
      <w:bookmarkStart w:id="209" w:name="1506a2b7e8442e2c_fnref88"/>
      <w:bookmarkEnd w:id="209"/>
      <w:r w:rsidRPr="00C801A6">
        <w:rPr>
          <w:rFonts w:cs="Arial"/>
          <w:color w:val="auto"/>
        </w:rPr>
        <w:t>.</w:t>
      </w:r>
    </w:p>
    <w:p w14:paraId="75EBA86B" w14:textId="77777777" w:rsidR="004F5470" w:rsidRPr="00C801A6" w:rsidRDefault="004F5470" w:rsidP="004F5470">
      <w:pPr>
        <w:rPr>
          <w:rFonts w:cs="Arial"/>
          <w:color w:val="auto"/>
        </w:rPr>
      </w:pPr>
      <w:r w:rsidRPr="00C801A6">
        <w:rPr>
          <w:rFonts w:cs="Arial"/>
          <w:color w:val="auto"/>
        </w:rPr>
        <w:t>L’industrie agroalimentaire reste intéressante de par la diversité des matières premières que par la diversité du tissu industriel local. Tandis que l’industrie du textile et de l’habillement bien qu’ayant connu un développement conséquent dans les années 90 subit actuellement une dégradation.</w:t>
      </w:r>
    </w:p>
    <w:p w14:paraId="6CA8F6D9" w14:textId="77777777" w:rsidR="004F5470" w:rsidRPr="00C801A6" w:rsidRDefault="004F5470" w:rsidP="004F5470">
      <w:pPr>
        <w:rPr>
          <w:rFonts w:cs="Arial"/>
          <w:color w:val="auto"/>
        </w:rPr>
      </w:pPr>
      <w:r w:rsidRPr="00C801A6">
        <w:rPr>
          <w:rFonts w:cs="Arial"/>
          <w:color w:val="auto"/>
        </w:rPr>
        <w:t>L’industrie extractive quant à elle dispose d’une forte potentialité. En effet, Madagascar regorge de produits minier</w:t>
      </w:r>
      <w:r w:rsidRPr="00C801A6">
        <w:rPr>
          <w:rFonts w:eastAsia="Times New Roman" w:cs="Times New Roman"/>
          <w:color w:val="auto"/>
        </w:rPr>
        <w:t>s très diversifiés couvrant la majeure partie de l’île, tels les matériaux de carrière (marbre, granite…), le</w:t>
      </w:r>
      <w:r w:rsidRPr="00C801A6">
        <w:rPr>
          <w:rFonts w:cs="Arial"/>
          <w:color w:val="auto"/>
        </w:rPr>
        <w:t>s gemmes et minéraux de collection (rubis, saphir, émeraude…), minerais (nickel, ilménite, cobalt, or, …), minéraux industriels (mica, graphite…), ressources énergétiques (charbon, hydrocarbures, chromite…).</w:t>
      </w:r>
    </w:p>
    <w:p w14:paraId="2912C4EA" w14:textId="77777777" w:rsidR="004F5470" w:rsidRPr="00C801A6" w:rsidRDefault="004F5470" w:rsidP="004F5470">
      <w:pPr>
        <w:rPr>
          <w:rFonts w:cs="Arial"/>
          <w:color w:val="auto"/>
        </w:rPr>
      </w:pPr>
      <w:r w:rsidRPr="00C801A6">
        <w:rPr>
          <w:rFonts w:cs="Arial"/>
          <w:color w:val="auto"/>
        </w:rPr>
        <w:t>Le secteur secondaire maintient une position phare avec une hausse de 7,9% de la production (contre 5,1% en 2012). Cette croissance est stimulée par le dynamisme croissant de l’industrie extractive et de l’agro-industrie. Les efforts de transformation locale, d’exportation de nickel et de cobalt, ainsi que la relance des activités sucrières expliquent en grande partie cette amélioration de performance.</w:t>
      </w:r>
    </w:p>
    <w:p w14:paraId="50191601" w14:textId="77777777" w:rsidR="004F5470" w:rsidRPr="00C801A6" w:rsidRDefault="004F5470" w:rsidP="004F5470">
      <w:pPr>
        <w:rPr>
          <w:rFonts w:cs="Arial"/>
          <w:color w:val="auto"/>
        </w:rPr>
      </w:pPr>
      <w:r w:rsidRPr="00C801A6">
        <w:rPr>
          <w:rFonts w:cs="Arial"/>
          <w:color w:val="auto"/>
        </w:rPr>
        <w:t xml:space="preserve">Néanmoins, Madagascar n’enregistre actuellement qu’un faible niveau d’industrialisation et que le secteur industriel contribue faiblement au PIB comparé aux secteurs primaire et tertiaire. </w:t>
      </w:r>
    </w:p>
    <w:p w14:paraId="6D6E0BC3" w14:textId="7BD41886" w:rsidR="004F5470" w:rsidRPr="00C801A6" w:rsidRDefault="13610CB4" w:rsidP="004F5470">
      <w:pPr>
        <w:rPr>
          <w:rFonts w:cs="Arial"/>
          <w:color w:val="auto"/>
        </w:rPr>
      </w:pPr>
      <w:r w:rsidRPr="00C801A6">
        <w:rPr>
          <w:rFonts w:cs="Arial"/>
          <w:color w:val="auto"/>
        </w:rPr>
        <w:t xml:space="preserve">Selon les données de la </w:t>
      </w:r>
      <w:r w:rsidR="00B910A0" w:rsidRPr="00C801A6">
        <w:rPr>
          <w:rFonts w:cs="Arial"/>
          <w:color w:val="auto"/>
        </w:rPr>
        <w:t>Banque mondiale</w:t>
      </w:r>
      <w:r w:rsidR="004F5470" w:rsidRPr="00C801A6">
        <w:rPr>
          <w:rStyle w:val="FootnoteReference"/>
          <w:rFonts w:cs="Arial"/>
          <w:color w:val="auto"/>
        </w:rPr>
        <w:footnoteReference w:id="16"/>
      </w:r>
      <w:r w:rsidRPr="00C801A6">
        <w:rPr>
          <w:rFonts w:cs="Arial"/>
          <w:color w:val="auto"/>
        </w:rPr>
        <w:t>, la contribution du secteur secondaire à la croissance du PIB de Madagascar en 2017 et en 2018 (avant la pandémie de Covid-19) avoisinait 15% contre 28% pour le secteur primaire et plus de 50% pour le secteur tertiaire.</w:t>
      </w:r>
    </w:p>
    <w:p w14:paraId="1EFE3B60" w14:textId="77777777" w:rsidR="00575CDF" w:rsidRPr="00C801A6" w:rsidRDefault="00575CDF" w:rsidP="003042DB">
      <w:pPr>
        <w:pStyle w:val="Heading4"/>
        <w:rPr>
          <w:color w:val="auto"/>
        </w:rPr>
      </w:pPr>
      <w:bookmarkStart w:id="210" w:name="_Toc230298754"/>
      <w:r w:rsidRPr="00C801A6">
        <w:rPr>
          <w:color w:val="auto"/>
        </w:rPr>
        <w:lastRenderedPageBreak/>
        <w:t>Secteur tertiaire</w:t>
      </w:r>
      <w:bookmarkEnd w:id="210"/>
    </w:p>
    <w:p w14:paraId="03BE19D1" w14:textId="77777777" w:rsidR="004F5470" w:rsidRPr="00C801A6" w:rsidRDefault="004F5470" w:rsidP="004F5470">
      <w:pPr>
        <w:rPr>
          <w:rFonts w:cs="Arial"/>
          <w:color w:val="auto"/>
        </w:rPr>
      </w:pPr>
      <w:r w:rsidRPr="00C801A6">
        <w:rPr>
          <w:rFonts w:cs="Arial"/>
          <w:color w:val="auto"/>
        </w:rPr>
        <w:t>Les activités de ce secteur tertiaire concernent, en général, les transports, la télécommunication, les banques, les assurances, le commerce et le tourisme : à Madagascar, ce secteur est dominé par le tourisme, l’informatique, les télécommunications et les banques.</w:t>
      </w:r>
    </w:p>
    <w:p w14:paraId="2EF11DED" w14:textId="77777777" w:rsidR="004F5470" w:rsidRPr="00C801A6" w:rsidRDefault="004F5470" w:rsidP="004F5470">
      <w:pPr>
        <w:rPr>
          <w:rFonts w:eastAsia="Times New Roman" w:cs="Times New Roman"/>
          <w:color w:val="auto"/>
        </w:rPr>
      </w:pPr>
      <w:r w:rsidRPr="00C801A6">
        <w:rPr>
          <w:rFonts w:cs="Arial"/>
          <w:color w:val="auto"/>
        </w:rPr>
        <w:t>Le tourisme est le deuxième secteur pourvoyeur de devises et dispose de potentialités é</w:t>
      </w:r>
      <w:r w:rsidRPr="00C801A6">
        <w:rPr>
          <w:rFonts w:eastAsia="Times New Roman" w:cs="Times New Roman"/>
          <w:color w:val="auto"/>
        </w:rPr>
        <w:t>normes car Madagascar est un lieu de destination de premier choix si on n’évoque que sa faune et sa flore endémiques, ses réserves naturelles ou sa potentialité balnéaire.</w:t>
      </w:r>
    </w:p>
    <w:p w14:paraId="7315CD02" w14:textId="77777777" w:rsidR="004F5470" w:rsidRPr="00C801A6" w:rsidRDefault="004F5470" w:rsidP="004F5470">
      <w:pPr>
        <w:rPr>
          <w:rFonts w:eastAsia="Times New Roman" w:cs="Times New Roman"/>
          <w:color w:val="auto"/>
        </w:rPr>
      </w:pPr>
      <w:r w:rsidRPr="00C801A6">
        <w:rPr>
          <w:rFonts w:eastAsia="Times New Roman" w:cs="Times New Roman"/>
          <w:color w:val="auto"/>
        </w:rPr>
        <w:t>La libéralisation du secteur de la télécommunication a par ailleurs permis au secteur de la téléphonie mobile de prendre un essor remarquable. De plus, le régime de l’entreprise franche a donné une ouverture à la création d’entreprises spécialisées en traitement de données informatiques ou en travaux informatiques de sous-traitance. Les investissements nécessaires pour cette branche ne sont pas lourds financièrement, la main d’œuvre est abondante, facile à former et de très bon rapport qualité/prix.</w:t>
      </w:r>
    </w:p>
    <w:p w14:paraId="2666C39C" w14:textId="77777777" w:rsidR="004F5470" w:rsidRPr="00C801A6" w:rsidRDefault="004F5470" w:rsidP="004F5470">
      <w:pPr>
        <w:rPr>
          <w:rFonts w:cs="Arial"/>
          <w:color w:val="auto"/>
        </w:rPr>
      </w:pPr>
      <w:r w:rsidRPr="00C801A6">
        <w:rPr>
          <w:rFonts w:cs="Arial"/>
          <w:color w:val="auto"/>
        </w:rPr>
        <w:t>Le secteur tertiaire connaît également un essor de 2,5% en 2014. Cette performance résultera essentiellement du dynamisme des secteurs financiers dont l’assurance avec une croissance de 4,2%, et 5,3% pour la banque.</w:t>
      </w:r>
    </w:p>
    <w:p w14:paraId="4F6AF124" w14:textId="77777777" w:rsidR="004F5470" w:rsidRPr="00C801A6" w:rsidRDefault="004F5470" w:rsidP="004F5470">
      <w:pPr>
        <w:rPr>
          <w:rFonts w:cs="Arial"/>
          <w:color w:val="auto"/>
        </w:rPr>
      </w:pPr>
      <w:r w:rsidRPr="00C801A6">
        <w:rPr>
          <w:rFonts w:cs="Arial"/>
          <w:color w:val="auto"/>
        </w:rPr>
        <w:t>Les branches transports, notamment ceux des marchandises enregistreront aussi un développement sensible lié à l’expansion des industries minières de 3,4%. </w:t>
      </w:r>
    </w:p>
    <w:p w14:paraId="54B1D821" w14:textId="77777777" w:rsidR="004F5470" w:rsidRPr="00C801A6" w:rsidRDefault="004F5470" w:rsidP="004F5470">
      <w:pPr>
        <w:rPr>
          <w:rFonts w:cs="Arial"/>
          <w:color w:val="auto"/>
        </w:rPr>
      </w:pPr>
      <w:r w:rsidRPr="00C801A6">
        <w:rPr>
          <w:rFonts w:cs="Arial"/>
          <w:color w:val="auto"/>
        </w:rPr>
        <w:t>L’analyse par secteur de l’évolution de la ventilation du PIB de 2010 à 2018 montre que la croissance économique continue est principalement générée et tirée par le développement du secteur tertiaire, selon le graphe ci-dessous :</w:t>
      </w:r>
    </w:p>
    <w:p w14:paraId="45BD52F6" w14:textId="77777777" w:rsidR="004F5470" w:rsidRPr="00C801A6" w:rsidRDefault="004F5470" w:rsidP="004F5470">
      <w:pPr>
        <w:spacing w:after="0"/>
        <w:rPr>
          <w:rFonts w:cs="Arial"/>
          <w:color w:val="auto"/>
        </w:rPr>
      </w:pPr>
      <w:r w:rsidRPr="00C801A6">
        <w:rPr>
          <w:noProof/>
          <w:color w:val="auto"/>
          <w:lang w:eastAsia="fr-FR"/>
        </w:rPr>
        <w:drawing>
          <wp:inline distT="0" distB="0" distL="0" distR="0" wp14:anchorId="7A2C3B5F" wp14:editId="0DEE9E28">
            <wp:extent cx="5759450" cy="2487440"/>
            <wp:effectExtent l="0" t="0" r="0" b="8255"/>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 99"/>
                    <pic:cNvPicPr>
                      <a:picLocks noChangeAspect="1" noChangeArrowheads="1"/>
                    </pic:cNvPicPr>
                  </pic:nvPicPr>
                  <pic:blipFill>
                    <a:blip r:embed="rId46" cstate="email">
                      <a:extLst>
                        <a:ext uri="{28A0092B-C50C-407E-A947-70E740481C1C}">
                          <a14:useLocalDpi xmlns:a14="http://schemas.microsoft.com/office/drawing/2010/main"/>
                        </a:ext>
                      </a:extLst>
                    </a:blip>
                    <a:stretch>
                      <a:fillRect/>
                    </a:stretch>
                  </pic:blipFill>
                  <pic:spPr bwMode="auto">
                    <a:xfrm>
                      <a:off x="0" y="0"/>
                      <a:ext cx="5759450" cy="2487440"/>
                    </a:xfrm>
                    <a:prstGeom prst="rect">
                      <a:avLst/>
                    </a:prstGeom>
                    <a:noFill/>
                    <a:ln>
                      <a:noFill/>
                    </a:ln>
                  </pic:spPr>
                </pic:pic>
              </a:graphicData>
            </a:graphic>
          </wp:inline>
        </w:drawing>
      </w:r>
    </w:p>
    <w:p w14:paraId="0B249391" w14:textId="12BDD9EC" w:rsidR="004F5470" w:rsidRPr="00C801A6" w:rsidRDefault="13610CB4" w:rsidP="004F5470">
      <w:pPr>
        <w:spacing w:after="0"/>
        <w:jc w:val="right"/>
        <w:rPr>
          <w:rFonts w:cs="Arial"/>
          <w:i/>
          <w:iCs/>
          <w:color w:val="auto"/>
          <w:sz w:val="20"/>
          <w:szCs w:val="18"/>
        </w:rPr>
      </w:pPr>
      <w:r w:rsidRPr="00C801A6">
        <w:rPr>
          <w:rFonts w:cs="Arial"/>
          <w:i/>
          <w:iCs/>
          <w:color w:val="auto"/>
          <w:sz w:val="20"/>
          <w:szCs w:val="20"/>
          <w:u w:val="single"/>
        </w:rPr>
        <w:t>Source :</w:t>
      </w:r>
      <w:r w:rsidRPr="00C801A6">
        <w:rPr>
          <w:rFonts w:cs="Arial"/>
          <w:i/>
          <w:iCs/>
          <w:color w:val="auto"/>
          <w:sz w:val="20"/>
          <w:szCs w:val="20"/>
        </w:rPr>
        <w:t xml:space="preserve"> </w:t>
      </w:r>
      <w:r w:rsidR="00B910A0" w:rsidRPr="00C801A6">
        <w:rPr>
          <w:rFonts w:cs="Arial"/>
          <w:i/>
          <w:iCs/>
          <w:color w:val="auto"/>
          <w:sz w:val="20"/>
          <w:szCs w:val="20"/>
        </w:rPr>
        <w:t>Banque mondiale</w:t>
      </w:r>
      <w:r w:rsidR="004F5470" w:rsidRPr="00C801A6">
        <w:rPr>
          <w:rStyle w:val="FootnoteReference"/>
          <w:rFonts w:cs="Arial"/>
          <w:i/>
          <w:iCs/>
          <w:color w:val="auto"/>
          <w:sz w:val="20"/>
          <w:szCs w:val="20"/>
        </w:rPr>
        <w:footnoteReference w:id="17"/>
      </w:r>
    </w:p>
    <w:p w14:paraId="153DE03E" w14:textId="5DBC7BCD" w:rsidR="004F5470" w:rsidRPr="00C801A6" w:rsidRDefault="00142973" w:rsidP="00142973">
      <w:pPr>
        <w:pStyle w:val="Caption"/>
        <w:rPr>
          <w:rFonts w:cs="Arial"/>
          <w:color w:val="auto"/>
        </w:rPr>
      </w:pPr>
      <w:bookmarkStart w:id="211" w:name="_Toc102451422"/>
      <w:bookmarkStart w:id="212" w:name="_Toc230426714"/>
      <w:r>
        <w:t xml:space="preserve">Figure </w:t>
      </w:r>
      <w:r w:rsidR="004233C4">
        <w:fldChar w:fldCharType="begin"/>
      </w:r>
      <w:r w:rsidR="004233C4">
        <w:instrText xml:space="preserve"> SEQ Figure \* ARABIC </w:instrText>
      </w:r>
      <w:r w:rsidR="004233C4">
        <w:fldChar w:fldCharType="separate"/>
      </w:r>
      <w:r w:rsidR="00D13682">
        <w:rPr>
          <w:noProof/>
        </w:rPr>
        <w:t>19</w:t>
      </w:r>
      <w:r w:rsidR="004233C4">
        <w:rPr>
          <w:noProof/>
        </w:rPr>
        <w:fldChar w:fldCharType="end"/>
      </w:r>
      <w:r w:rsidR="004F5470" w:rsidRPr="00C801A6">
        <w:rPr>
          <w:color w:val="auto"/>
        </w:rPr>
        <w:t> : Contribution par secteur à la croissance du PIB - 2010 à 2018</w:t>
      </w:r>
      <w:bookmarkEnd w:id="211"/>
      <w:bookmarkEnd w:id="212"/>
    </w:p>
    <w:p w14:paraId="01D077B4" w14:textId="77777777" w:rsidR="004F5470" w:rsidRPr="00C801A6" w:rsidRDefault="004F5470" w:rsidP="004F5470">
      <w:pPr>
        <w:rPr>
          <w:color w:val="auto"/>
        </w:rPr>
      </w:pPr>
      <w:r w:rsidRPr="00C801A6">
        <w:rPr>
          <w:color w:val="auto"/>
        </w:rPr>
        <w:lastRenderedPageBreak/>
        <w:t xml:space="preserve">Enfin, les échanges commerciaux figurent parmi les activités économiques dominantes de toutes les régions. </w:t>
      </w:r>
    </w:p>
    <w:p w14:paraId="358CEB50" w14:textId="77777777" w:rsidR="004F5470" w:rsidRPr="00C801A6" w:rsidRDefault="004F5470" w:rsidP="004F5470">
      <w:pPr>
        <w:rPr>
          <w:color w:val="auto"/>
        </w:rPr>
      </w:pPr>
      <w:r w:rsidRPr="00C801A6">
        <w:rPr>
          <w:color w:val="auto"/>
        </w:rPr>
        <w:t>A noter que, durant les travaux d’entretien des routes nationales revêtues, les activités commerciales situées le long de ces routes sont les principales sources de revenu potentiellement perturbées surtout dans les villes.</w:t>
      </w:r>
    </w:p>
    <w:p w14:paraId="5F9832E0" w14:textId="2D1B01EE" w:rsidR="00575CDF" w:rsidRPr="00C801A6" w:rsidRDefault="00575CDF" w:rsidP="00014BC0">
      <w:pPr>
        <w:pStyle w:val="Heading2"/>
      </w:pPr>
      <w:bookmarkStart w:id="213" w:name="_Toc106320304"/>
      <w:bookmarkStart w:id="214" w:name="_Toc230426015"/>
      <w:bookmarkEnd w:id="171"/>
      <w:r w:rsidRPr="00C801A6">
        <w:t>ENJEUX ENVIRONNEMENTAUX ET SOCIAUX GLOBAUX</w:t>
      </w:r>
      <w:bookmarkEnd w:id="213"/>
      <w:bookmarkEnd w:id="214"/>
    </w:p>
    <w:p w14:paraId="6CE496EF" w14:textId="77777777" w:rsidR="00575CDF" w:rsidRPr="00C801A6" w:rsidRDefault="00575CDF" w:rsidP="00575CDF">
      <w:pPr>
        <w:rPr>
          <w:color w:val="auto"/>
        </w:rPr>
      </w:pPr>
      <w:r w:rsidRPr="00C801A6">
        <w:rPr>
          <w:color w:val="auto"/>
        </w:rPr>
        <w:t>D’un côté, selon la directive générale d’étude d’impact édictée par l’ONE et le MEDD, un enjeu environnemental / social est une préoccupation environnementale / sociale susceptible de favoriser ou de remettre en cause l’existence même du projet considéré.</w:t>
      </w:r>
    </w:p>
    <w:p w14:paraId="701504FA" w14:textId="5C0A95D4" w:rsidR="00575CDF" w:rsidRPr="00C801A6" w:rsidRDefault="00575CDF" w:rsidP="00575CDF">
      <w:pPr>
        <w:rPr>
          <w:color w:val="auto"/>
        </w:rPr>
      </w:pPr>
      <w:r w:rsidRPr="00C801A6">
        <w:rPr>
          <w:color w:val="auto"/>
        </w:rPr>
        <w:t>Il s’en suit que</w:t>
      </w:r>
      <w:r w:rsidR="00F44CB7" w:rsidRPr="00C801A6">
        <w:rPr>
          <w:color w:val="auto"/>
        </w:rPr>
        <w:t xml:space="preserve">, aussi bien pour la Composante 1 du </w:t>
      </w:r>
      <w:r w:rsidR="00CC4919">
        <w:rPr>
          <w:color w:val="auto"/>
        </w:rPr>
        <w:t>PCMCI</w:t>
      </w:r>
      <w:r w:rsidR="00F44CB7" w:rsidRPr="00C801A6">
        <w:rPr>
          <w:color w:val="auto"/>
        </w:rPr>
        <w:t xml:space="preserve"> que pour la Composante </w:t>
      </w:r>
      <w:r w:rsidR="00CC4919">
        <w:rPr>
          <w:color w:val="auto"/>
        </w:rPr>
        <w:t>4</w:t>
      </w:r>
      <w:r w:rsidR="00F44CB7" w:rsidRPr="00C801A6">
        <w:rPr>
          <w:color w:val="auto"/>
        </w:rPr>
        <w:t xml:space="preserve"> (CERC),</w:t>
      </w:r>
      <w:r w:rsidRPr="00C801A6">
        <w:rPr>
          <w:color w:val="auto"/>
        </w:rPr>
        <w:t xml:space="preserve"> les enjeux environnementaux et sociaux (négatifs) sont de natures multiples. Généralement, ils se rapportent aux aspects </w:t>
      </w:r>
      <w:r w:rsidR="009836D4" w:rsidRPr="00C801A6">
        <w:rPr>
          <w:color w:val="auto"/>
        </w:rPr>
        <w:t>décrit</w:t>
      </w:r>
      <w:r w:rsidR="00924869" w:rsidRPr="00C801A6">
        <w:rPr>
          <w:color w:val="auto"/>
        </w:rPr>
        <w:t>es</w:t>
      </w:r>
      <w:r w:rsidR="009836D4" w:rsidRPr="00C801A6">
        <w:rPr>
          <w:color w:val="auto"/>
        </w:rPr>
        <w:t xml:space="preserve"> par la suite.</w:t>
      </w:r>
    </w:p>
    <w:p w14:paraId="716CCFF9" w14:textId="77777777" w:rsidR="00575CDF" w:rsidRPr="00C801A6" w:rsidRDefault="00575CDF" w:rsidP="00C65572">
      <w:pPr>
        <w:pStyle w:val="Heading3"/>
      </w:pPr>
      <w:bookmarkStart w:id="215" w:name="_Toc106320305"/>
      <w:bookmarkStart w:id="216" w:name="_Toc230426016"/>
      <w:r w:rsidRPr="00C801A6">
        <w:t>Enjeux biologiques</w:t>
      </w:r>
      <w:bookmarkEnd w:id="215"/>
      <w:bookmarkEnd w:id="216"/>
    </w:p>
    <w:p w14:paraId="51D8981A" w14:textId="7BEC7C0E" w:rsidR="00F44CB7" w:rsidRPr="00C801A6" w:rsidRDefault="00F44CB7" w:rsidP="003042DB">
      <w:pPr>
        <w:pStyle w:val="Heading4"/>
        <w:rPr>
          <w:color w:val="auto"/>
        </w:rPr>
      </w:pPr>
      <w:bookmarkStart w:id="217" w:name="_Toc230298755"/>
      <w:r w:rsidRPr="00C801A6">
        <w:rPr>
          <w:color w:val="auto"/>
        </w:rPr>
        <w:t>Composante 1</w:t>
      </w:r>
      <w:bookmarkEnd w:id="217"/>
    </w:p>
    <w:p w14:paraId="767365AF" w14:textId="2A71279A" w:rsidR="00575CDF" w:rsidRPr="00C801A6" w:rsidRDefault="00575CDF" w:rsidP="00575CDF">
      <w:pPr>
        <w:rPr>
          <w:color w:val="auto"/>
        </w:rPr>
      </w:pPr>
      <w:r w:rsidRPr="00C801A6">
        <w:rPr>
          <w:color w:val="auto"/>
        </w:rPr>
        <w:t xml:space="preserve">En ce qui concerne les enjeux biologiques, en matière de projet d’entretien routier, il n’y a pas d’élargissement de l’emprise ni changement du tracé actuel. Le profil biologique dans l’emprise routière n’est constitué que par des savanes, des forêts ripicoles ou des zones de cultures ou de reboisement à faible valeur écologique. Pour les RN qui traversent des aires protégées, d’autres problématiques environnementales peuvent survenir </w:t>
      </w:r>
      <w:r w:rsidR="00F44CB7" w:rsidRPr="00C801A6">
        <w:rPr>
          <w:color w:val="auto"/>
        </w:rPr>
        <w:t xml:space="preserve">(dont le braconnage par le personnel du chantier) </w:t>
      </w:r>
      <w:r w:rsidRPr="00C801A6">
        <w:rPr>
          <w:color w:val="auto"/>
        </w:rPr>
        <w:t xml:space="preserve">mais, jusqu’à </w:t>
      </w:r>
      <w:r w:rsidR="00F44CB7" w:rsidRPr="00C801A6">
        <w:rPr>
          <w:color w:val="auto"/>
        </w:rPr>
        <w:t>preuve du contraire</w:t>
      </w:r>
      <w:r w:rsidRPr="00C801A6">
        <w:rPr>
          <w:color w:val="auto"/>
        </w:rPr>
        <w:t xml:space="preserve">, elles ont pu être gérées </w:t>
      </w:r>
      <w:r w:rsidR="00F44CB7" w:rsidRPr="00C801A6">
        <w:rPr>
          <w:color w:val="auto"/>
        </w:rPr>
        <w:t>avec</w:t>
      </w:r>
      <w:r w:rsidRPr="00C801A6">
        <w:rPr>
          <w:color w:val="auto"/>
        </w:rPr>
        <w:t xml:space="preserve"> des méthodes courantes.</w:t>
      </w:r>
    </w:p>
    <w:p w14:paraId="520910B1" w14:textId="58974CB2" w:rsidR="00F44CB7" w:rsidRPr="00C801A6" w:rsidRDefault="00F44CB7" w:rsidP="003042DB">
      <w:pPr>
        <w:pStyle w:val="Heading4"/>
        <w:rPr>
          <w:color w:val="auto"/>
        </w:rPr>
      </w:pPr>
      <w:bookmarkStart w:id="218" w:name="_Toc230298756"/>
      <w:r w:rsidRPr="00C801A6">
        <w:rPr>
          <w:color w:val="auto"/>
        </w:rPr>
        <w:t xml:space="preserve">Composante </w:t>
      </w:r>
      <w:r w:rsidR="00CC4919">
        <w:rPr>
          <w:color w:val="auto"/>
        </w:rPr>
        <w:t>4</w:t>
      </w:r>
      <w:r w:rsidRPr="00C801A6">
        <w:rPr>
          <w:color w:val="auto"/>
        </w:rPr>
        <w:t> : CERC</w:t>
      </w:r>
      <w:bookmarkEnd w:id="218"/>
    </w:p>
    <w:p w14:paraId="23AF0834" w14:textId="61C9FC83" w:rsidR="00D518EE" w:rsidRDefault="00D518EE" w:rsidP="00D518EE">
      <w:pPr>
        <w:rPr>
          <w:color w:val="auto"/>
        </w:rPr>
      </w:pPr>
      <w:r w:rsidRPr="00C801A6">
        <w:rPr>
          <w:color w:val="auto"/>
        </w:rPr>
        <w:t>Il n’y aura pas d’élargissement de l’emprise des portions de route ou d</w:t>
      </w:r>
      <w:r w:rsidR="00CC4919">
        <w:rPr>
          <w:color w:val="auto"/>
        </w:rPr>
        <w:t>u Port</w:t>
      </w:r>
      <w:r w:rsidRPr="00C801A6">
        <w:rPr>
          <w:color w:val="auto"/>
        </w:rPr>
        <w:t xml:space="preserve"> à réparer. En dehors d’une aire protégée, selon des ob</w:t>
      </w:r>
      <w:r w:rsidR="00FB7597">
        <w:rPr>
          <w:color w:val="auto"/>
        </w:rPr>
        <w:t>se</w:t>
      </w:r>
      <w:r w:rsidRPr="00C801A6">
        <w:rPr>
          <w:color w:val="auto"/>
        </w:rPr>
        <w:t>rvations sur site, le profil biologique de l’emprise des tronçons route à réparer n’est constitué que par des savanes, des forêts ripicoles, sinon des zones de cultures ou de reboisement à faible valeur écologique.</w:t>
      </w:r>
    </w:p>
    <w:p w14:paraId="77BC575D" w14:textId="1CE913A5" w:rsidR="00CC4919" w:rsidRPr="00C801A6" w:rsidRDefault="00CC4919" w:rsidP="00D518EE">
      <w:pPr>
        <w:rPr>
          <w:color w:val="auto"/>
        </w:rPr>
      </w:pPr>
      <w:r>
        <w:rPr>
          <w:color w:val="auto"/>
        </w:rPr>
        <w:t>Par rapport à l’infrastructure portuaire, le Port de Mahajanga se trouve dans le chef</w:t>
      </w:r>
      <w:r w:rsidR="00FB7597">
        <w:rPr>
          <w:color w:val="auto"/>
        </w:rPr>
        <w:t>-</w:t>
      </w:r>
      <w:r>
        <w:rPr>
          <w:color w:val="auto"/>
        </w:rPr>
        <w:t>lieu de la Région. La mer est fortement fréquentée et aucune activité de pêche ou de prélèvements de produits de mer ne se trouve dans les environs immédiats des deux quais à réhabiliter.</w:t>
      </w:r>
    </w:p>
    <w:p w14:paraId="4410EFDF" w14:textId="77777777" w:rsidR="00575CDF" w:rsidRPr="00C801A6" w:rsidRDefault="00575CDF" w:rsidP="00C65572">
      <w:pPr>
        <w:pStyle w:val="Heading3"/>
      </w:pPr>
      <w:bookmarkStart w:id="219" w:name="_Toc106320306"/>
      <w:bookmarkStart w:id="220" w:name="_Toc230426017"/>
      <w:r w:rsidRPr="00C801A6">
        <w:t>Enjeux physiques</w:t>
      </w:r>
      <w:bookmarkEnd w:id="219"/>
      <w:bookmarkEnd w:id="220"/>
    </w:p>
    <w:p w14:paraId="58CF1D3F" w14:textId="10E854DA" w:rsidR="00575CDF" w:rsidRPr="00C801A6" w:rsidRDefault="00575CDF" w:rsidP="00575CDF">
      <w:pPr>
        <w:rPr>
          <w:color w:val="auto"/>
        </w:rPr>
      </w:pPr>
      <w:r w:rsidRPr="00C801A6">
        <w:rPr>
          <w:color w:val="auto"/>
        </w:rPr>
        <w:t>Les enjeux physiques se rapportent à la fois sur le chantier lui-même et sur les sites d’extraction : les sites d’extraction ne sont pas connus à ce stade mais tous les tracés des routes nationales revêtues sont connus.</w:t>
      </w:r>
      <w:r w:rsidR="00D518EE" w:rsidRPr="00C801A6">
        <w:rPr>
          <w:color w:val="auto"/>
        </w:rPr>
        <w:t xml:space="preserve"> Ils sont identiques pour les Composantes 1 et </w:t>
      </w:r>
      <w:r w:rsidR="00CC4919">
        <w:rPr>
          <w:color w:val="auto"/>
        </w:rPr>
        <w:t>4</w:t>
      </w:r>
      <w:r w:rsidR="00D518EE" w:rsidRPr="00C801A6">
        <w:rPr>
          <w:color w:val="auto"/>
        </w:rPr>
        <w:t xml:space="preserve"> (CERC)</w:t>
      </w:r>
    </w:p>
    <w:p w14:paraId="1CA1CE8F" w14:textId="77777777" w:rsidR="00575CDF" w:rsidRPr="00C801A6" w:rsidRDefault="00575CDF" w:rsidP="00575CDF">
      <w:pPr>
        <w:rPr>
          <w:color w:val="auto"/>
        </w:rPr>
      </w:pPr>
      <w:r w:rsidRPr="00C801A6">
        <w:rPr>
          <w:color w:val="auto"/>
        </w:rPr>
        <w:t>Les enjeux physiques se rapportent, en général, aux aspects qui suivent :</w:t>
      </w:r>
    </w:p>
    <w:p w14:paraId="067E012B" w14:textId="77777777" w:rsidR="00575CDF" w:rsidRPr="00C801A6" w:rsidRDefault="00575CDF" w:rsidP="00844538">
      <w:pPr>
        <w:pStyle w:val="ListParagraph"/>
        <w:numPr>
          <w:ilvl w:val="0"/>
          <w:numId w:val="1"/>
        </w:numPr>
        <w:spacing w:line="276" w:lineRule="auto"/>
        <w:ind w:left="850" w:hanging="425"/>
        <w:contextualSpacing w:val="0"/>
        <w:rPr>
          <w:i/>
          <w:iCs/>
          <w:color w:val="auto"/>
        </w:rPr>
      </w:pPr>
      <w:bookmarkStart w:id="221" w:name="_Hlk71793588"/>
      <w:r w:rsidRPr="00C801A6">
        <w:rPr>
          <w:i/>
          <w:iCs/>
          <w:color w:val="auto"/>
        </w:rPr>
        <w:t>Qualité de l’air</w:t>
      </w:r>
    </w:p>
    <w:p w14:paraId="2AFF9175" w14:textId="77777777" w:rsidR="00575CDF" w:rsidRPr="00C801A6" w:rsidRDefault="00575CDF" w:rsidP="00575CDF">
      <w:pPr>
        <w:pStyle w:val="ListParagraph"/>
        <w:spacing w:line="276" w:lineRule="auto"/>
        <w:ind w:left="850"/>
        <w:contextualSpacing w:val="0"/>
        <w:rPr>
          <w:color w:val="auto"/>
        </w:rPr>
      </w:pPr>
      <w:r w:rsidRPr="00C801A6">
        <w:rPr>
          <w:color w:val="auto"/>
        </w:rPr>
        <w:lastRenderedPageBreak/>
        <w:t>Les opérations élémentaires liées aux travaux d’entretien sont susceptibles d’altérer la qualité de l’air.</w:t>
      </w:r>
    </w:p>
    <w:p w14:paraId="297C103E" w14:textId="77777777" w:rsidR="00575CDF" w:rsidRPr="00C801A6" w:rsidRDefault="00575CDF" w:rsidP="00575CDF">
      <w:pPr>
        <w:ind w:left="850"/>
        <w:rPr>
          <w:color w:val="auto"/>
        </w:rPr>
      </w:pPr>
      <w:r w:rsidRPr="00C801A6">
        <w:rPr>
          <w:color w:val="auto"/>
        </w:rPr>
        <w:t>En outre, en phase d’exploitation des routes réhabilitées, les véhicules ont tendance à rouler plus vite, ce qui augmente les émissions de gaz d’échappement et de dioxyde de carbone (qui est le principal gaz à effet de serre).</w:t>
      </w:r>
    </w:p>
    <w:p w14:paraId="1787F317" w14:textId="77777777" w:rsidR="00575CDF" w:rsidRPr="00C801A6" w:rsidRDefault="00575CDF" w:rsidP="00844538">
      <w:pPr>
        <w:pStyle w:val="ListParagraph"/>
        <w:numPr>
          <w:ilvl w:val="0"/>
          <w:numId w:val="1"/>
        </w:numPr>
        <w:spacing w:line="276" w:lineRule="auto"/>
        <w:ind w:left="850" w:hanging="425"/>
        <w:contextualSpacing w:val="0"/>
        <w:rPr>
          <w:i/>
          <w:iCs/>
          <w:color w:val="auto"/>
        </w:rPr>
      </w:pPr>
      <w:r w:rsidRPr="00C801A6">
        <w:rPr>
          <w:i/>
          <w:iCs/>
          <w:color w:val="auto"/>
        </w:rPr>
        <w:t>Impacts sur le sol</w:t>
      </w:r>
    </w:p>
    <w:p w14:paraId="558587A8" w14:textId="77777777" w:rsidR="00575CDF" w:rsidRPr="00C801A6" w:rsidRDefault="00575CDF" w:rsidP="00575CDF">
      <w:pPr>
        <w:ind w:left="850"/>
        <w:rPr>
          <w:color w:val="auto"/>
        </w:rPr>
      </w:pPr>
      <w:r w:rsidRPr="00C801A6">
        <w:rPr>
          <w:color w:val="auto"/>
        </w:rPr>
        <w:t>Les opérations de déblai, de remblai ainsi que les travaux d’excavation, de nivellement, de terrassement ou encore de compactage et autres sont susceptibles de modifier la structure du sol. La considération des changements de l’écoulement de l’eau par ces opérations du chantier est aussi importante.</w:t>
      </w:r>
    </w:p>
    <w:p w14:paraId="7EB20AC0" w14:textId="77777777" w:rsidR="00575CDF" w:rsidRPr="00C801A6" w:rsidRDefault="00575CDF" w:rsidP="00844538">
      <w:pPr>
        <w:pStyle w:val="ListParagraph"/>
        <w:numPr>
          <w:ilvl w:val="0"/>
          <w:numId w:val="1"/>
        </w:numPr>
        <w:spacing w:line="276" w:lineRule="auto"/>
        <w:ind w:left="851" w:hanging="425"/>
        <w:contextualSpacing w:val="0"/>
        <w:rPr>
          <w:i/>
          <w:iCs/>
          <w:color w:val="auto"/>
        </w:rPr>
      </w:pPr>
      <w:r w:rsidRPr="00C801A6">
        <w:rPr>
          <w:i/>
          <w:iCs/>
          <w:color w:val="auto"/>
        </w:rPr>
        <w:t>Impacts sur les ressources en eau</w:t>
      </w:r>
    </w:p>
    <w:p w14:paraId="0F5355F9" w14:textId="58BF59A9" w:rsidR="00575CDF" w:rsidRDefault="00575CDF" w:rsidP="00575CDF">
      <w:pPr>
        <w:ind w:left="850"/>
        <w:rPr>
          <w:color w:val="auto"/>
        </w:rPr>
      </w:pPr>
      <w:r w:rsidRPr="00C801A6">
        <w:rPr>
          <w:color w:val="auto"/>
        </w:rPr>
        <w:t>Les travaux routiers nécessitent des besoins en eau (base-vie, arrosage / compactage des sections à entretenir, autres). En outre, certains travaux en eau (ouvrages hydrauliques, autres) peuvent altérer la qualité, la disponibilité et le flux d’écoulement des ressources en eau.</w:t>
      </w:r>
    </w:p>
    <w:p w14:paraId="3FDF8E99" w14:textId="27A203CA" w:rsidR="00CC4919" w:rsidRPr="00C801A6" w:rsidRDefault="00CC4919" w:rsidP="00575CDF">
      <w:pPr>
        <w:ind w:left="850"/>
        <w:rPr>
          <w:color w:val="auto"/>
        </w:rPr>
      </w:pPr>
      <w:r>
        <w:rPr>
          <w:color w:val="auto"/>
        </w:rPr>
        <w:t xml:space="preserve">Les travaux de </w:t>
      </w:r>
      <w:r w:rsidR="00542DF2">
        <w:rPr>
          <w:color w:val="auto"/>
        </w:rPr>
        <w:t>fouille</w:t>
      </w:r>
      <w:r>
        <w:rPr>
          <w:color w:val="auto"/>
        </w:rPr>
        <w:t xml:space="preserve"> du port </w:t>
      </w:r>
      <w:r w:rsidR="00DA02EF">
        <w:rPr>
          <w:color w:val="auto"/>
        </w:rPr>
        <w:t>pourraient</w:t>
      </w:r>
      <w:r>
        <w:rPr>
          <w:color w:val="auto"/>
        </w:rPr>
        <w:t xml:space="preserve"> être aussi source d’accroissement du niveau de turbidité de la mer</w:t>
      </w:r>
      <w:r w:rsidR="00542DF2">
        <w:rPr>
          <w:color w:val="auto"/>
        </w:rPr>
        <w:t xml:space="preserve"> en cas de déversement accidentel</w:t>
      </w:r>
      <w:r>
        <w:rPr>
          <w:color w:val="auto"/>
        </w:rPr>
        <w:t>.</w:t>
      </w:r>
    </w:p>
    <w:p w14:paraId="0B15EC6E" w14:textId="77777777" w:rsidR="00575CDF" w:rsidRPr="00C801A6" w:rsidRDefault="00575CDF" w:rsidP="00844538">
      <w:pPr>
        <w:pStyle w:val="ListParagraph"/>
        <w:numPr>
          <w:ilvl w:val="0"/>
          <w:numId w:val="1"/>
        </w:numPr>
        <w:spacing w:line="276" w:lineRule="auto"/>
        <w:ind w:left="851" w:hanging="425"/>
        <w:contextualSpacing w:val="0"/>
        <w:rPr>
          <w:i/>
          <w:iCs/>
          <w:color w:val="auto"/>
        </w:rPr>
      </w:pPr>
      <w:r w:rsidRPr="00C801A6">
        <w:rPr>
          <w:i/>
          <w:iCs/>
          <w:color w:val="auto"/>
        </w:rPr>
        <w:t>Enjeux liés au changement climatique</w:t>
      </w:r>
    </w:p>
    <w:p w14:paraId="631BE990" w14:textId="692F0541" w:rsidR="00575CDF" w:rsidRPr="00C801A6" w:rsidRDefault="00575CDF" w:rsidP="00575CDF">
      <w:pPr>
        <w:ind w:left="850"/>
        <w:rPr>
          <w:color w:val="auto"/>
        </w:rPr>
      </w:pPr>
      <w:r w:rsidRPr="00C801A6">
        <w:rPr>
          <w:color w:val="auto"/>
        </w:rPr>
        <w:t>Les effets du changement climatique amènent à considérer la conception de routes plus résilientes. Sur ce point de vue, on connait les prévisions et des cartes sur les risques climatiques sont disponibles au plan national. Par exemple, dans la partie Nord du pays, la pluviométrie resterait la même mais les pluies tomberaient dans une période de temps plus courte : les pluies seraient donc plus violentes. Par conséquent, les dégradations qui en découleraient seraient plus rapides et plus importantes si on n’en tient pas compte. Des recommandations sur des infrastructures routières plus résilientes ont été données par la Cellule de Prévention et de Gestion des Urgences</w:t>
      </w:r>
      <w:r w:rsidR="00F44CB7" w:rsidRPr="00C801A6">
        <w:rPr>
          <w:color w:val="auto"/>
        </w:rPr>
        <w:t xml:space="preserve"> (</w:t>
      </w:r>
      <w:r w:rsidRPr="00C801A6">
        <w:rPr>
          <w:color w:val="auto"/>
        </w:rPr>
        <w:t>CPGU</w:t>
      </w:r>
      <w:r w:rsidR="00F44CB7" w:rsidRPr="00C801A6">
        <w:rPr>
          <w:color w:val="auto"/>
        </w:rPr>
        <w:t>)</w:t>
      </w:r>
    </w:p>
    <w:p w14:paraId="40DC1C98" w14:textId="77777777" w:rsidR="00575CDF" w:rsidRPr="00C801A6" w:rsidRDefault="00575CDF" w:rsidP="00C65572">
      <w:pPr>
        <w:pStyle w:val="Heading3"/>
      </w:pPr>
      <w:bookmarkStart w:id="222" w:name="_Toc106320307"/>
      <w:bookmarkStart w:id="223" w:name="_Toc230426018"/>
      <w:r w:rsidRPr="00C801A6">
        <w:t>Enjeux humains</w:t>
      </w:r>
      <w:bookmarkEnd w:id="222"/>
      <w:bookmarkEnd w:id="223"/>
    </w:p>
    <w:p w14:paraId="5741C08B" w14:textId="77777777" w:rsidR="00575CDF" w:rsidRPr="00C801A6" w:rsidRDefault="00575CDF" w:rsidP="00575CDF">
      <w:pPr>
        <w:rPr>
          <w:rFonts w:cs="Times New Roman"/>
          <w:color w:val="auto"/>
          <w:szCs w:val="24"/>
        </w:rPr>
      </w:pPr>
      <w:r w:rsidRPr="00C801A6">
        <w:rPr>
          <w:color w:val="auto"/>
        </w:rPr>
        <w:t>Avant, durant et après un chantier routier, les enjeux liés aux</w:t>
      </w:r>
      <w:r w:rsidRPr="00C801A6">
        <w:rPr>
          <w:rFonts w:cs="Times New Roman"/>
          <w:color w:val="auto"/>
          <w:szCs w:val="24"/>
        </w:rPr>
        <w:t xml:space="preserve"> milieux socio-économiques sont de natures multiples, surtout s’il s’agit de routes nationales car elles traversent de nombreuses zones habitées. A titre non limitatif, ils peuvent concerner les aspects suivants :</w:t>
      </w:r>
    </w:p>
    <w:p w14:paraId="10847FB9" w14:textId="77777777" w:rsidR="00575CDF" w:rsidRPr="00C801A6" w:rsidRDefault="00575CDF" w:rsidP="00844538">
      <w:pPr>
        <w:pStyle w:val="ListParagraph"/>
        <w:numPr>
          <w:ilvl w:val="0"/>
          <w:numId w:val="1"/>
        </w:numPr>
        <w:spacing w:after="60" w:line="276" w:lineRule="auto"/>
        <w:ind w:left="850" w:hanging="425"/>
        <w:contextualSpacing w:val="0"/>
        <w:rPr>
          <w:color w:val="auto"/>
        </w:rPr>
      </w:pPr>
      <w:r w:rsidRPr="00C801A6">
        <w:rPr>
          <w:color w:val="auto"/>
        </w:rPr>
        <w:t>Environnement sonore</w:t>
      </w:r>
    </w:p>
    <w:p w14:paraId="46248CE9" w14:textId="77777777" w:rsidR="00575CDF" w:rsidRPr="00C801A6" w:rsidRDefault="00575CDF" w:rsidP="00844538">
      <w:pPr>
        <w:pStyle w:val="ListParagraph"/>
        <w:numPr>
          <w:ilvl w:val="0"/>
          <w:numId w:val="1"/>
        </w:numPr>
        <w:spacing w:after="60" w:line="276" w:lineRule="auto"/>
        <w:ind w:left="850" w:hanging="425"/>
        <w:contextualSpacing w:val="0"/>
        <w:rPr>
          <w:color w:val="auto"/>
        </w:rPr>
      </w:pPr>
      <w:r w:rsidRPr="00C801A6">
        <w:rPr>
          <w:color w:val="auto"/>
        </w:rPr>
        <w:t>Risques liés à l’afflux de main d’œuvre</w:t>
      </w:r>
    </w:p>
    <w:p w14:paraId="033EA309" w14:textId="77777777" w:rsidR="00575CDF" w:rsidRPr="00C801A6" w:rsidRDefault="00575CDF" w:rsidP="00844538">
      <w:pPr>
        <w:pStyle w:val="ListParagraph"/>
        <w:numPr>
          <w:ilvl w:val="0"/>
          <w:numId w:val="1"/>
        </w:numPr>
        <w:spacing w:after="60" w:line="276" w:lineRule="auto"/>
        <w:ind w:left="850" w:hanging="425"/>
        <w:contextualSpacing w:val="0"/>
        <w:rPr>
          <w:color w:val="auto"/>
        </w:rPr>
      </w:pPr>
      <w:r w:rsidRPr="00C801A6">
        <w:rPr>
          <w:color w:val="auto"/>
        </w:rPr>
        <w:t>Risques de conflits sociaux</w:t>
      </w:r>
    </w:p>
    <w:p w14:paraId="15014253" w14:textId="77777777" w:rsidR="00575CDF" w:rsidRPr="00C801A6" w:rsidRDefault="00575CDF" w:rsidP="00844538">
      <w:pPr>
        <w:pStyle w:val="ListParagraph"/>
        <w:numPr>
          <w:ilvl w:val="0"/>
          <w:numId w:val="1"/>
        </w:numPr>
        <w:spacing w:after="60" w:line="276" w:lineRule="auto"/>
        <w:ind w:left="850" w:hanging="425"/>
        <w:contextualSpacing w:val="0"/>
        <w:rPr>
          <w:rFonts w:eastAsia="Times New Roman" w:cs="Times New Roman"/>
          <w:color w:val="auto"/>
        </w:rPr>
      </w:pPr>
      <w:r w:rsidRPr="00C801A6">
        <w:rPr>
          <w:color w:val="auto"/>
        </w:rPr>
        <w:t>Impa</w:t>
      </w:r>
      <w:r w:rsidRPr="00C801A6">
        <w:rPr>
          <w:rFonts w:eastAsia="Times New Roman" w:cs="Times New Roman"/>
          <w:color w:val="auto"/>
        </w:rPr>
        <w:t>cts éventuels sur des sites culturels / cultuels</w:t>
      </w:r>
    </w:p>
    <w:p w14:paraId="6C5A2A84" w14:textId="77777777" w:rsidR="00575CDF" w:rsidRPr="00C801A6" w:rsidRDefault="00575CDF" w:rsidP="00844538">
      <w:pPr>
        <w:pStyle w:val="ListParagraph"/>
        <w:numPr>
          <w:ilvl w:val="0"/>
          <w:numId w:val="1"/>
        </w:numPr>
        <w:spacing w:after="60" w:line="276" w:lineRule="auto"/>
        <w:ind w:left="850" w:hanging="425"/>
        <w:contextualSpacing w:val="0"/>
        <w:rPr>
          <w:rFonts w:eastAsia="Times New Roman" w:cs="Times New Roman"/>
          <w:color w:val="auto"/>
        </w:rPr>
      </w:pPr>
      <w:r w:rsidRPr="00C801A6">
        <w:rPr>
          <w:rFonts w:eastAsia="Times New Roman" w:cs="Times New Roman"/>
          <w:color w:val="auto"/>
        </w:rPr>
        <w:t xml:space="preserve">Risques liés à des maladies transmissibles ou contagieuses (VIH/SIDA, Covid-19 …) </w:t>
      </w:r>
    </w:p>
    <w:p w14:paraId="5A1DFBEB" w14:textId="2FA16170" w:rsidR="00575CDF" w:rsidRPr="00C801A6" w:rsidRDefault="00575CDF" w:rsidP="00844538">
      <w:pPr>
        <w:pStyle w:val="ListParagraph"/>
        <w:numPr>
          <w:ilvl w:val="0"/>
          <w:numId w:val="1"/>
        </w:numPr>
        <w:spacing w:after="60" w:line="276" w:lineRule="auto"/>
        <w:ind w:left="850" w:hanging="425"/>
        <w:contextualSpacing w:val="0"/>
        <w:rPr>
          <w:color w:val="auto"/>
        </w:rPr>
      </w:pPr>
      <w:r w:rsidRPr="00C801A6">
        <w:rPr>
          <w:rFonts w:eastAsia="Times New Roman" w:cs="Times New Roman"/>
          <w:color w:val="auto"/>
        </w:rPr>
        <w:lastRenderedPageBreak/>
        <w:t xml:space="preserve">Risques d’actes de </w:t>
      </w:r>
      <w:r w:rsidR="006F38A3">
        <w:rPr>
          <w:rFonts w:eastAsia="Times New Roman" w:cs="Times New Roman"/>
          <w:color w:val="auto"/>
        </w:rPr>
        <w:t xml:space="preserve">EAS-HS </w:t>
      </w:r>
      <w:r w:rsidRPr="00C801A6">
        <w:rPr>
          <w:rFonts w:eastAsia="Times New Roman" w:cs="Times New Roman"/>
          <w:color w:val="auto"/>
        </w:rPr>
        <w:t xml:space="preserve"> par suite</w:t>
      </w:r>
      <w:r w:rsidRPr="00C801A6">
        <w:rPr>
          <w:color w:val="auto"/>
        </w:rPr>
        <w:t xml:space="preserve"> de l’afflux de main-d’œuvre venant d’autres régions</w:t>
      </w:r>
    </w:p>
    <w:p w14:paraId="4B564AD9" w14:textId="7B2F046A" w:rsidR="00575CDF" w:rsidRPr="00C801A6" w:rsidRDefault="00575CDF" w:rsidP="00844538">
      <w:pPr>
        <w:pStyle w:val="ListParagraph"/>
        <w:numPr>
          <w:ilvl w:val="0"/>
          <w:numId w:val="1"/>
        </w:numPr>
        <w:spacing w:after="60" w:line="276" w:lineRule="auto"/>
        <w:ind w:left="850" w:hanging="425"/>
        <w:contextualSpacing w:val="0"/>
        <w:rPr>
          <w:color w:val="auto"/>
        </w:rPr>
      </w:pPr>
      <w:r w:rsidRPr="00C801A6">
        <w:rPr>
          <w:color w:val="auto"/>
        </w:rPr>
        <w:t>Perturbation d’activités économiques développées en bord de route</w:t>
      </w:r>
      <w:r w:rsidR="0081222A">
        <w:rPr>
          <w:color w:val="auto"/>
        </w:rPr>
        <w:t>. La Réinstallation n’est pas valable pour la composante</w:t>
      </w:r>
      <w:r w:rsidR="00E57032" w:rsidRPr="00C801A6">
        <w:rPr>
          <w:color w:val="auto"/>
        </w:rPr>
        <w:t xml:space="preserve"> CERC</w:t>
      </w:r>
      <w:r w:rsidR="00B93303">
        <w:rPr>
          <w:color w:val="auto"/>
        </w:rPr>
        <w:t xml:space="preserve">. </w:t>
      </w:r>
      <w:r w:rsidR="0081222A">
        <w:rPr>
          <w:color w:val="auto"/>
        </w:rPr>
        <w:t>P</w:t>
      </w:r>
      <w:r w:rsidR="00B93303">
        <w:rPr>
          <w:color w:val="auto"/>
        </w:rPr>
        <w:t xml:space="preserve">ourtant </w:t>
      </w:r>
      <w:r w:rsidR="0081222A">
        <w:rPr>
          <w:color w:val="auto"/>
        </w:rPr>
        <w:t>des plans de restauration des moyens de subsistance sont à prévoir au cas où il y a d</w:t>
      </w:r>
      <w:r w:rsidR="00104A3B">
        <w:rPr>
          <w:color w:val="auto"/>
        </w:rPr>
        <w:t>é</w:t>
      </w:r>
      <w:r w:rsidR="0081222A">
        <w:rPr>
          <w:color w:val="auto"/>
        </w:rPr>
        <w:t>placement temporaire des activités économiques durant l’exécution des travaux (cas des marchés hebdomadaires au bord des routes par exemple)</w:t>
      </w:r>
    </w:p>
    <w:p w14:paraId="488256ED" w14:textId="77777777" w:rsidR="00575CDF" w:rsidRPr="00C801A6" w:rsidRDefault="00575CDF" w:rsidP="00844538">
      <w:pPr>
        <w:pStyle w:val="ListParagraph"/>
        <w:numPr>
          <w:ilvl w:val="0"/>
          <w:numId w:val="1"/>
        </w:numPr>
        <w:spacing w:after="60" w:line="276" w:lineRule="auto"/>
        <w:ind w:left="850" w:hanging="425"/>
        <w:contextualSpacing w:val="0"/>
        <w:rPr>
          <w:color w:val="auto"/>
        </w:rPr>
      </w:pPr>
      <w:r w:rsidRPr="00C801A6">
        <w:rPr>
          <w:color w:val="auto"/>
        </w:rPr>
        <w:t xml:space="preserve">Occupations </w:t>
      </w:r>
      <w:r w:rsidRPr="00C801A6">
        <w:rPr>
          <w:rFonts w:cs="Times New Roman"/>
          <w:color w:val="auto"/>
          <w:sz w:val="23"/>
          <w:szCs w:val="23"/>
        </w:rPr>
        <w:t xml:space="preserve">temporaires de portions de terrain liées à d’éventuelles déviations </w:t>
      </w:r>
    </w:p>
    <w:p w14:paraId="074F7284" w14:textId="77777777" w:rsidR="00E57032" w:rsidRPr="00C801A6" w:rsidRDefault="00E57032" w:rsidP="00844538">
      <w:pPr>
        <w:pStyle w:val="ListParagraph"/>
        <w:numPr>
          <w:ilvl w:val="0"/>
          <w:numId w:val="1"/>
        </w:numPr>
        <w:spacing w:after="60" w:line="276" w:lineRule="auto"/>
        <w:ind w:left="850" w:hanging="425"/>
        <w:contextualSpacing w:val="0"/>
        <w:rPr>
          <w:color w:val="auto"/>
        </w:rPr>
      </w:pPr>
      <w:r w:rsidRPr="00C801A6">
        <w:rPr>
          <w:color w:val="auto"/>
        </w:rPr>
        <w:t>Perturbations d’activités économiques qui utilisent de l’énergie électrique</w:t>
      </w:r>
    </w:p>
    <w:p w14:paraId="4B4D91BF" w14:textId="77777777" w:rsidR="00575CDF" w:rsidRPr="00C801A6" w:rsidRDefault="00575CDF" w:rsidP="00844538">
      <w:pPr>
        <w:pStyle w:val="ListParagraph"/>
        <w:numPr>
          <w:ilvl w:val="0"/>
          <w:numId w:val="1"/>
        </w:numPr>
        <w:spacing w:after="60" w:line="276" w:lineRule="auto"/>
        <w:ind w:left="851" w:hanging="425"/>
        <w:contextualSpacing w:val="0"/>
        <w:rPr>
          <w:color w:val="auto"/>
        </w:rPr>
      </w:pPr>
      <w:r w:rsidRPr="00C801A6">
        <w:rPr>
          <w:color w:val="auto"/>
        </w:rPr>
        <w:t>Risques d’accidents de travail</w:t>
      </w:r>
    </w:p>
    <w:p w14:paraId="79DD2972" w14:textId="77777777" w:rsidR="00575CDF" w:rsidRPr="00C801A6" w:rsidRDefault="00575CDF" w:rsidP="00844538">
      <w:pPr>
        <w:pStyle w:val="ListParagraph"/>
        <w:numPr>
          <w:ilvl w:val="0"/>
          <w:numId w:val="1"/>
        </w:numPr>
        <w:spacing w:after="60" w:line="276" w:lineRule="auto"/>
        <w:ind w:left="851" w:hanging="425"/>
        <w:contextualSpacing w:val="0"/>
        <w:rPr>
          <w:color w:val="auto"/>
        </w:rPr>
      </w:pPr>
      <w:r w:rsidRPr="00C801A6">
        <w:rPr>
          <w:color w:val="auto"/>
        </w:rPr>
        <w:t>Risques liés à la sécurité routière</w:t>
      </w:r>
    </w:p>
    <w:p w14:paraId="348BEB2F" w14:textId="77777777" w:rsidR="00575CDF" w:rsidRPr="00C801A6" w:rsidRDefault="00575CDF" w:rsidP="00844538">
      <w:pPr>
        <w:pStyle w:val="ListParagraph"/>
        <w:numPr>
          <w:ilvl w:val="0"/>
          <w:numId w:val="1"/>
        </w:numPr>
        <w:spacing w:after="60" w:line="276" w:lineRule="auto"/>
        <w:ind w:left="851" w:hanging="425"/>
        <w:contextualSpacing w:val="0"/>
        <w:rPr>
          <w:color w:val="auto"/>
        </w:rPr>
      </w:pPr>
      <w:r w:rsidRPr="00C801A6">
        <w:rPr>
          <w:color w:val="auto"/>
        </w:rPr>
        <w:t>Risques liés à la sécurité d’un chantier</w:t>
      </w:r>
    </w:p>
    <w:p w14:paraId="76CA2BC9" w14:textId="77777777" w:rsidR="00575CDF" w:rsidRPr="00C801A6" w:rsidRDefault="00575CDF" w:rsidP="00844538">
      <w:pPr>
        <w:pStyle w:val="ListParagraph"/>
        <w:numPr>
          <w:ilvl w:val="0"/>
          <w:numId w:val="1"/>
        </w:numPr>
        <w:spacing w:line="276" w:lineRule="auto"/>
        <w:ind w:left="851" w:hanging="425"/>
        <w:contextualSpacing w:val="0"/>
        <w:rPr>
          <w:color w:val="auto"/>
        </w:rPr>
      </w:pPr>
      <w:r w:rsidRPr="00C801A6">
        <w:rPr>
          <w:color w:val="auto"/>
        </w:rPr>
        <w:t>Autres.</w:t>
      </w:r>
    </w:p>
    <w:p w14:paraId="44FEA353" w14:textId="007D6C6B" w:rsidR="00575CDF" w:rsidRPr="00C801A6" w:rsidRDefault="00575CDF" w:rsidP="00014BC0">
      <w:pPr>
        <w:pStyle w:val="Heading1"/>
      </w:pPr>
      <w:bookmarkStart w:id="224" w:name="_Toc106320308"/>
      <w:bookmarkStart w:id="225" w:name="_Toc230426019"/>
      <w:bookmarkEnd w:id="221"/>
      <w:r w:rsidRPr="00C801A6">
        <w:lastRenderedPageBreak/>
        <w:t>CADRES POLITIQUE, JURIDIQUE ET INSTITUTIONNEL</w:t>
      </w:r>
      <w:bookmarkEnd w:id="224"/>
      <w:bookmarkEnd w:id="225"/>
    </w:p>
    <w:p w14:paraId="77CC70CE" w14:textId="77777777" w:rsidR="00575CDF" w:rsidRPr="00C801A6" w:rsidRDefault="00575CDF" w:rsidP="00014BC0">
      <w:pPr>
        <w:pStyle w:val="Heading2"/>
      </w:pPr>
      <w:bookmarkStart w:id="226" w:name="_Toc106320309"/>
      <w:bookmarkStart w:id="227" w:name="_Toc230426020"/>
      <w:r w:rsidRPr="00C801A6">
        <w:t>CADRE POLITIQUE</w:t>
      </w:r>
      <w:bookmarkEnd w:id="226"/>
      <w:bookmarkEnd w:id="227"/>
    </w:p>
    <w:p w14:paraId="79107DE0" w14:textId="2594F347" w:rsidR="00575CDF" w:rsidRPr="00C801A6" w:rsidRDefault="00575CDF" w:rsidP="00575CDF">
      <w:pPr>
        <w:rPr>
          <w:color w:val="auto"/>
        </w:rPr>
      </w:pPr>
      <w:r w:rsidRPr="00C801A6">
        <w:rPr>
          <w:rFonts w:eastAsia="Times New Roman" w:cs="Times New Roman"/>
          <w:color w:val="auto"/>
        </w:rPr>
        <w:t xml:space="preserve">L’évaluation et la mise en </w:t>
      </w:r>
      <w:r w:rsidRPr="00C801A6">
        <w:rPr>
          <w:color w:val="auto"/>
        </w:rPr>
        <w:t xml:space="preserve">œuvre du </w:t>
      </w:r>
      <w:r w:rsidR="00D6045D" w:rsidRPr="00C801A6">
        <w:rPr>
          <w:color w:val="auto"/>
        </w:rPr>
        <w:t>P</w:t>
      </w:r>
      <w:r w:rsidR="005C7738">
        <w:rPr>
          <w:color w:val="auto"/>
        </w:rPr>
        <w:t>CMCI ainsi que sa composante 4</w:t>
      </w:r>
      <w:r w:rsidRPr="00C801A6">
        <w:rPr>
          <w:color w:val="auto"/>
        </w:rPr>
        <w:t xml:space="preserve"> se réalisent dans le cadre de la prise en compte des politiques dont les principales sont les suivantes :</w:t>
      </w:r>
    </w:p>
    <w:p w14:paraId="55E7E4B8" w14:textId="77777777" w:rsidR="004C0A55" w:rsidRPr="00C801A6" w:rsidRDefault="004C0A55" w:rsidP="00C65572">
      <w:pPr>
        <w:pStyle w:val="Heading3"/>
      </w:pPr>
      <w:bookmarkStart w:id="228" w:name="_Toc230426021"/>
      <w:r w:rsidRPr="00C801A6">
        <w:t>Politique nationale de l’Environnement pour le développement durable (PNEDD)</w:t>
      </w:r>
      <w:bookmarkEnd w:id="228"/>
    </w:p>
    <w:p w14:paraId="3C3E4687" w14:textId="77777777" w:rsidR="004C0A55" w:rsidRPr="00C801A6" w:rsidRDefault="004C0A55" w:rsidP="004C0A55">
      <w:pPr>
        <w:rPr>
          <w:color w:val="auto"/>
        </w:rPr>
      </w:pPr>
      <w:r w:rsidRPr="00C801A6">
        <w:rPr>
          <w:color w:val="auto"/>
        </w:rPr>
        <w:t>Le Gouvernement de Madagascar adopte une Politique Nationale de l’Environnement pour le Développement Durable (PNEDD) qui se veut être la référence nationale en matière de gestion durable de l’Environnement intégrant les objectifs nationaux aux opportunités et contraintes internationales.</w:t>
      </w:r>
    </w:p>
    <w:p w14:paraId="3C248129" w14:textId="77777777" w:rsidR="004C0A55" w:rsidRPr="00C801A6" w:rsidRDefault="004C0A55" w:rsidP="004C0A55">
      <w:pPr>
        <w:rPr>
          <w:color w:val="auto"/>
        </w:rPr>
      </w:pPr>
      <w:r w:rsidRPr="00C801A6">
        <w:rPr>
          <w:color w:val="auto"/>
        </w:rPr>
        <w:t>Cette politique cadre avec les règles et principes généraux édictés par la Charte de l’Environnement Malagasy actualisée et se décline en plans et programmes environnementaux pour le développement durable.</w:t>
      </w:r>
    </w:p>
    <w:p w14:paraId="5F7BCCBF" w14:textId="77777777" w:rsidR="004C0A55" w:rsidRPr="00C801A6" w:rsidRDefault="004C0A55" w:rsidP="004C0A55">
      <w:pPr>
        <w:rPr>
          <w:color w:val="auto"/>
        </w:rPr>
      </w:pPr>
      <w:r w:rsidRPr="00C801A6">
        <w:rPr>
          <w:color w:val="auto"/>
        </w:rPr>
        <w:t>La PNEDD s’inscrit dans la perspective de réalisation par Madagascar des Objectifs du développement Durable (ODD) touchant l’Environnement. Ces objectifs sont :</w:t>
      </w:r>
    </w:p>
    <w:p w14:paraId="2B6AA6D6" w14:textId="77777777" w:rsidR="004C0A55" w:rsidRPr="00C801A6" w:rsidRDefault="004C0A55" w:rsidP="00844538">
      <w:pPr>
        <w:pStyle w:val="ListParagraph"/>
        <w:numPr>
          <w:ilvl w:val="0"/>
          <w:numId w:val="4"/>
        </w:numPr>
        <w:spacing w:after="100" w:line="276" w:lineRule="auto"/>
        <w:ind w:left="714" w:hanging="357"/>
        <w:contextualSpacing w:val="0"/>
        <w:rPr>
          <w:color w:val="auto"/>
        </w:rPr>
      </w:pPr>
      <w:r w:rsidRPr="00C801A6">
        <w:rPr>
          <w:color w:val="auto"/>
        </w:rPr>
        <w:t>Maintenir Madagascar dans la catégorie des pays Hot spot en biodiversité</w:t>
      </w:r>
    </w:p>
    <w:p w14:paraId="358F255A" w14:textId="77777777" w:rsidR="004C0A55" w:rsidRPr="00C801A6" w:rsidRDefault="004C0A55" w:rsidP="00844538">
      <w:pPr>
        <w:pStyle w:val="ListParagraph"/>
        <w:numPr>
          <w:ilvl w:val="0"/>
          <w:numId w:val="4"/>
        </w:numPr>
        <w:spacing w:after="100" w:line="276" w:lineRule="auto"/>
        <w:ind w:left="714" w:hanging="357"/>
        <w:contextualSpacing w:val="0"/>
        <w:rPr>
          <w:color w:val="auto"/>
        </w:rPr>
      </w:pPr>
      <w:r w:rsidRPr="00C801A6">
        <w:rPr>
          <w:color w:val="auto"/>
        </w:rPr>
        <w:t>Assurer la gestion durable des ressources naturelles terrestres et aquatiques, marines et côtières, ainsi que les habitats et écosystèmes associés</w:t>
      </w:r>
    </w:p>
    <w:p w14:paraId="4F98BDB8" w14:textId="77777777" w:rsidR="004C0A55" w:rsidRPr="00C801A6" w:rsidRDefault="004C0A55" w:rsidP="00844538">
      <w:pPr>
        <w:pStyle w:val="ListParagraph"/>
        <w:numPr>
          <w:ilvl w:val="0"/>
          <w:numId w:val="4"/>
        </w:numPr>
        <w:spacing w:after="100" w:line="276" w:lineRule="auto"/>
        <w:ind w:left="714" w:hanging="357"/>
        <w:contextualSpacing w:val="0"/>
        <w:rPr>
          <w:color w:val="auto"/>
        </w:rPr>
      </w:pPr>
      <w:r w:rsidRPr="00C801A6">
        <w:rPr>
          <w:color w:val="auto"/>
        </w:rPr>
        <w:t>Promouvoir un cadre de vie sain pour la population</w:t>
      </w:r>
    </w:p>
    <w:p w14:paraId="31B31562" w14:textId="77777777" w:rsidR="004C0A55" w:rsidRPr="00C801A6" w:rsidRDefault="004C0A55" w:rsidP="00844538">
      <w:pPr>
        <w:pStyle w:val="ListParagraph"/>
        <w:numPr>
          <w:ilvl w:val="0"/>
          <w:numId w:val="4"/>
        </w:numPr>
        <w:spacing w:after="100" w:line="276" w:lineRule="auto"/>
        <w:ind w:left="714" w:hanging="357"/>
        <w:contextualSpacing w:val="0"/>
        <w:rPr>
          <w:color w:val="auto"/>
        </w:rPr>
      </w:pPr>
      <w:r w:rsidRPr="00C801A6">
        <w:rPr>
          <w:color w:val="auto"/>
        </w:rPr>
        <w:t>Accroître la contribution des biens et services environnementaux à l’économie nationale</w:t>
      </w:r>
    </w:p>
    <w:p w14:paraId="3E482CC4" w14:textId="77777777" w:rsidR="004C0A55" w:rsidRPr="00C801A6" w:rsidRDefault="004C0A55" w:rsidP="00844538">
      <w:pPr>
        <w:pStyle w:val="ListParagraph"/>
        <w:numPr>
          <w:ilvl w:val="0"/>
          <w:numId w:val="4"/>
        </w:numPr>
        <w:spacing w:line="276" w:lineRule="auto"/>
        <w:ind w:left="714" w:hanging="357"/>
        <w:contextualSpacing w:val="0"/>
        <w:rPr>
          <w:color w:val="auto"/>
        </w:rPr>
      </w:pPr>
      <w:r w:rsidRPr="00C801A6">
        <w:rPr>
          <w:color w:val="auto"/>
        </w:rPr>
        <w:t>Disposer d’un cadre favorisant l’implication de tous les secteurs dans une même vision de gestion durable de l’Environnement.</w:t>
      </w:r>
    </w:p>
    <w:p w14:paraId="71EA1EB6" w14:textId="77777777" w:rsidR="004C0A55" w:rsidRPr="00C801A6" w:rsidRDefault="004C0A55" w:rsidP="00C65572">
      <w:pPr>
        <w:pStyle w:val="Heading3"/>
      </w:pPr>
      <w:bookmarkStart w:id="229" w:name="_Toc230426022"/>
      <w:r w:rsidRPr="00C801A6">
        <w:rPr>
          <w:rStyle w:val="Heading3Char"/>
          <w:color w:val="auto"/>
        </w:rPr>
        <w:t>P</w:t>
      </w:r>
      <w:r w:rsidRPr="00C801A6">
        <w:t>olitique nationale des transports</w:t>
      </w:r>
      <w:bookmarkEnd w:id="229"/>
    </w:p>
    <w:p w14:paraId="3DA91F35" w14:textId="77777777" w:rsidR="004C0A55" w:rsidRPr="00C801A6" w:rsidRDefault="004C0A55" w:rsidP="004C0A55">
      <w:pPr>
        <w:rPr>
          <w:rFonts w:cs="Times New Roman"/>
          <w:color w:val="auto"/>
          <w:szCs w:val="24"/>
        </w:rPr>
      </w:pPr>
      <w:r w:rsidRPr="00C801A6">
        <w:rPr>
          <w:rFonts w:cs="Times New Roman"/>
          <w:color w:val="auto"/>
          <w:szCs w:val="24"/>
        </w:rPr>
        <w:t>A Madagascar, les seuls documents récents à valeur juridique en matière de politique des transports sont constitués par un ensemble de déclarations de politique sectorielle et sous sectorielle ainsi que de leurs « avenants » signés conjointement par les Ministres chargés respectivement des Transports et des Travaux Publics, à savoir :</w:t>
      </w:r>
    </w:p>
    <w:p w14:paraId="1C1F0E18" w14:textId="77777777" w:rsidR="004C0A55" w:rsidRPr="00C801A6" w:rsidRDefault="004C0A55" w:rsidP="00844538">
      <w:pPr>
        <w:pStyle w:val="ListParagraph"/>
        <w:numPr>
          <w:ilvl w:val="0"/>
          <w:numId w:val="4"/>
        </w:numPr>
        <w:autoSpaceDE w:val="0"/>
        <w:autoSpaceDN w:val="0"/>
        <w:adjustRightInd w:val="0"/>
        <w:spacing w:line="276" w:lineRule="auto"/>
        <w:ind w:left="714" w:hanging="357"/>
        <w:jc w:val="left"/>
        <w:rPr>
          <w:rFonts w:cs="Times New Roman"/>
          <w:color w:val="auto"/>
          <w:szCs w:val="24"/>
        </w:rPr>
      </w:pPr>
      <w:r w:rsidRPr="00C801A6">
        <w:rPr>
          <w:rFonts w:cs="Times New Roman"/>
          <w:color w:val="auto"/>
          <w:szCs w:val="24"/>
        </w:rPr>
        <w:t xml:space="preserve">la Déclaration de Politique Nationale des Transports en date du 06 avril 2000 </w:t>
      </w:r>
    </w:p>
    <w:p w14:paraId="6E6C8063" w14:textId="77777777" w:rsidR="004C0A55" w:rsidRPr="00C801A6" w:rsidRDefault="004C0A55" w:rsidP="00844538">
      <w:pPr>
        <w:pStyle w:val="ListParagraph"/>
        <w:numPr>
          <w:ilvl w:val="0"/>
          <w:numId w:val="4"/>
        </w:numPr>
        <w:autoSpaceDE w:val="0"/>
        <w:autoSpaceDN w:val="0"/>
        <w:adjustRightInd w:val="0"/>
        <w:spacing w:line="276" w:lineRule="auto"/>
        <w:ind w:left="714" w:hanging="357"/>
        <w:jc w:val="left"/>
        <w:rPr>
          <w:rFonts w:cs="Times New Roman"/>
          <w:color w:val="auto"/>
          <w:szCs w:val="24"/>
        </w:rPr>
      </w:pPr>
      <w:r w:rsidRPr="00C801A6">
        <w:rPr>
          <w:rFonts w:cs="Times New Roman"/>
          <w:color w:val="auto"/>
          <w:szCs w:val="24"/>
        </w:rPr>
        <w:t xml:space="preserve">la Déclaration de Stratégies Routières également en date du 06 avril 2000 et annexée à la précédente déclaration </w:t>
      </w:r>
    </w:p>
    <w:p w14:paraId="538655B7" w14:textId="77777777" w:rsidR="004C0A55" w:rsidRPr="00C801A6" w:rsidRDefault="004C0A55" w:rsidP="00844538">
      <w:pPr>
        <w:pStyle w:val="ListParagraph"/>
        <w:numPr>
          <w:ilvl w:val="0"/>
          <w:numId w:val="4"/>
        </w:numPr>
        <w:spacing w:line="276" w:lineRule="auto"/>
        <w:ind w:left="714" w:hanging="357"/>
        <w:contextualSpacing w:val="0"/>
        <w:rPr>
          <w:rFonts w:cs="Times New Roman"/>
          <w:color w:val="auto"/>
          <w:szCs w:val="24"/>
        </w:rPr>
      </w:pPr>
      <w:r w:rsidRPr="00C801A6">
        <w:rPr>
          <w:rFonts w:cs="Times New Roman"/>
          <w:color w:val="auto"/>
          <w:szCs w:val="24"/>
        </w:rPr>
        <w:t>la Déclaration de Politique et Stratégies de Transports en Milieu Rural, en date du 30 mai 2001 et ses avenants en 2002 et 2003.</w:t>
      </w:r>
    </w:p>
    <w:p w14:paraId="63934224" w14:textId="77777777" w:rsidR="004C0A55" w:rsidRPr="00C801A6" w:rsidRDefault="004C0A55" w:rsidP="004C0A55">
      <w:pPr>
        <w:rPr>
          <w:rFonts w:cs="Times New Roman"/>
          <w:color w:val="auto"/>
          <w:szCs w:val="24"/>
        </w:rPr>
      </w:pPr>
      <w:r w:rsidRPr="00C801A6">
        <w:rPr>
          <w:rFonts w:cs="Times New Roman"/>
          <w:color w:val="auto"/>
          <w:szCs w:val="24"/>
        </w:rPr>
        <w:t>A cet effet, la Loi n°2004-053 du 28 janvier 2005 fixant les principes de la politique des transports terrestres a été promulguée afin de reprendre les principes édictés dans les déclarations et leurs avenants pour leur donner une valeur juridique permanente.</w:t>
      </w:r>
    </w:p>
    <w:p w14:paraId="235D582A" w14:textId="77777777" w:rsidR="004C0A55" w:rsidRDefault="004C0A55" w:rsidP="004C0A55">
      <w:pPr>
        <w:rPr>
          <w:rFonts w:cs="Times New Roman"/>
          <w:color w:val="auto"/>
          <w:szCs w:val="24"/>
        </w:rPr>
      </w:pPr>
      <w:r w:rsidRPr="00C801A6">
        <w:rPr>
          <w:rFonts w:cs="Times New Roman"/>
          <w:color w:val="auto"/>
          <w:szCs w:val="24"/>
        </w:rPr>
        <w:lastRenderedPageBreak/>
        <w:t>Cette loi prend également en considération les options maîtresses de politique de transport telles qu'elles ressortent du Document de Stratégie pour la Réduction de la Pauvreté (DSRP) adopté en juillet 2003, notamment : l'intégration de la dimension de la lutte contre la pauvreté comme objectif central prioritaire dans l'élaboration des stratégies et plans d’actions ainsi que la contribution à un développement économique rapide et durable, fondé sur le développement multipolaire du pays et un partenariat accru public privé.</w:t>
      </w:r>
    </w:p>
    <w:p w14:paraId="2D618520" w14:textId="77777777" w:rsidR="0035130C" w:rsidRPr="00C801A6" w:rsidRDefault="0035130C" w:rsidP="00C65572">
      <w:pPr>
        <w:pStyle w:val="Heading3"/>
      </w:pPr>
      <w:bookmarkStart w:id="230" w:name="_Toc230426023"/>
      <w:r w:rsidRPr="00C801A6">
        <w:t>Politique nationale de lutte contre le changement climatique</w:t>
      </w:r>
      <w:bookmarkEnd w:id="230"/>
    </w:p>
    <w:p w14:paraId="113CD712" w14:textId="77777777" w:rsidR="0035130C" w:rsidRPr="00C801A6" w:rsidRDefault="0035130C" w:rsidP="0035130C">
      <w:pPr>
        <w:rPr>
          <w:rFonts w:cs="Arial"/>
          <w:color w:val="auto"/>
        </w:rPr>
      </w:pPr>
      <w:r w:rsidRPr="00C801A6">
        <w:rPr>
          <w:color w:val="auto"/>
        </w:rPr>
        <w:t xml:space="preserve">A Madagascar, le changement climatique est une réalité. Le pays compte parmi </w:t>
      </w:r>
      <w:r w:rsidRPr="00C801A6">
        <w:rPr>
          <w:rFonts w:cs="Arial"/>
          <w:color w:val="auto"/>
        </w:rPr>
        <w:t xml:space="preserve">les 10 pays les plus vulnérables au monde face aux impacts du changement climatique qui </w:t>
      </w:r>
      <w:r w:rsidRPr="00C801A6">
        <w:rPr>
          <w:color w:val="auto"/>
        </w:rPr>
        <w:t xml:space="preserve">se font ressentir depuis quelques temps : augmentation de température, baisse de précipitations mais </w:t>
      </w:r>
      <w:r w:rsidRPr="00C801A6">
        <w:rPr>
          <w:rFonts w:cs="Arial"/>
          <w:color w:val="auto"/>
        </w:rPr>
        <w:t>devenues plus intenses entraînant l’augmentation des risques d’inondation, allongement des périodes sèches, variabilité des pluies (mauvaise répartition).</w:t>
      </w:r>
    </w:p>
    <w:p w14:paraId="66139B16" w14:textId="77777777" w:rsidR="0035130C" w:rsidRPr="00C801A6" w:rsidRDefault="0035130C" w:rsidP="0035130C">
      <w:pPr>
        <w:rPr>
          <w:color w:val="auto"/>
        </w:rPr>
      </w:pPr>
      <w:r w:rsidRPr="00C801A6">
        <w:rPr>
          <w:color w:val="auto"/>
        </w:rPr>
        <w:t>Eu égard à ces risques encourus à cause du changement climatique, la Politique Nationale de Lutte contre le Changement Climatique (PNLCC) a été définie en vue de parvenir à un développement durable.</w:t>
      </w:r>
    </w:p>
    <w:p w14:paraId="19319B1F" w14:textId="77777777" w:rsidR="0035130C" w:rsidRPr="00C801A6" w:rsidRDefault="0035130C" w:rsidP="0035130C">
      <w:pPr>
        <w:rPr>
          <w:color w:val="auto"/>
        </w:rPr>
      </w:pPr>
      <w:r w:rsidRPr="00C801A6">
        <w:rPr>
          <w:color w:val="auto"/>
        </w:rPr>
        <w:t>Cette PNLCC s’inscrit dans le cadre de la mise en œuvre de la Convention Cadre des Nations-Unies sur le Changement Climatique et du Protocole de Kyoto auxquels Madagascar a adhéré respectivement en 1998 et en 2003 et tient compte des différentes politiques existantes. Le but est de gérer efficacement le changement climatique de manière à ce que les effets néfastes qu’il a sur les différents secteurs et dans divers domaines, (les infrastructures en font partie), soient réduits au minimum.</w:t>
      </w:r>
    </w:p>
    <w:p w14:paraId="1F18BEF8" w14:textId="77777777" w:rsidR="0035130C" w:rsidRPr="00C801A6" w:rsidRDefault="0035130C" w:rsidP="0035130C">
      <w:pPr>
        <w:rPr>
          <w:color w:val="auto"/>
        </w:rPr>
      </w:pPr>
      <w:r w:rsidRPr="00C801A6">
        <w:rPr>
          <w:color w:val="auto"/>
        </w:rPr>
        <w:t>Pour faire face au Changement Climatique, Madagascar a comme vision de disposer de toutes les capacités requises favorables au développement durable du pays dont les objectifs sont de :</w:t>
      </w:r>
    </w:p>
    <w:p w14:paraId="1362E73E" w14:textId="77777777" w:rsidR="0035130C" w:rsidRPr="00C801A6" w:rsidRDefault="0035130C" w:rsidP="0035130C">
      <w:pPr>
        <w:ind w:left="709"/>
        <w:rPr>
          <w:color w:val="auto"/>
        </w:rPr>
      </w:pPr>
      <w:r w:rsidRPr="00C801A6">
        <w:rPr>
          <w:rFonts w:ascii="Symbol" w:eastAsia="Symbol" w:hAnsi="Symbol" w:cs="Symbol"/>
          <w:color w:val="auto"/>
        </w:rPr>
        <w:t></w:t>
      </w:r>
      <w:r w:rsidRPr="00C801A6">
        <w:rPr>
          <w:color w:val="auto"/>
        </w:rPr>
        <w:t xml:space="preserve"> Promouvoir des mesures nationales appropriées pour réduire le degré de vulnérabilité du pays face au Changement Climatique et les émissions de Gaz à Effet de serre.</w:t>
      </w:r>
    </w:p>
    <w:p w14:paraId="544E035F" w14:textId="77777777" w:rsidR="0035130C" w:rsidRPr="00C801A6" w:rsidRDefault="0035130C" w:rsidP="0035130C">
      <w:pPr>
        <w:ind w:left="709"/>
        <w:rPr>
          <w:color w:val="auto"/>
        </w:rPr>
      </w:pPr>
      <w:r w:rsidRPr="00C801A6">
        <w:rPr>
          <w:rFonts w:ascii="Symbol" w:eastAsia="Symbol" w:hAnsi="Symbol" w:cs="Symbol"/>
          <w:color w:val="auto"/>
        </w:rPr>
        <w:t></w:t>
      </w:r>
      <w:r w:rsidRPr="00C801A6">
        <w:rPr>
          <w:color w:val="auto"/>
        </w:rPr>
        <w:t xml:space="preserve"> Développer des comportements contribuant à la lutte contre le Changement Climatique à tous les niveaux.</w:t>
      </w:r>
    </w:p>
    <w:p w14:paraId="4FE44926" w14:textId="77777777" w:rsidR="0035130C" w:rsidRPr="00C801A6" w:rsidRDefault="0035130C" w:rsidP="00C65572">
      <w:pPr>
        <w:pStyle w:val="Heading3"/>
      </w:pPr>
      <w:bookmarkStart w:id="231" w:name="_Toc230426024"/>
      <w:r w:rsidRPr="00C801A6">
        <w:t>Politique et stratégie nationale de lutte contre toutes formes de VBG</w:t>
      </w:r>
      <w:bookmarkEnd w:id="231"/>
    </w:p>
    <w:p w14:paraId="03D71764" w14:textId="77777777" w:rsidR="0035130C" w:rsidRPr="00C801A6" w:rsidRDefault="0035130C" w:rsidP="0035130C">
      <w:pPr>
        <w:rPr>
          <w:rFonts w:eastAsia="Times New Roman" w:cs="Times New Roman"/>
          <w:color w:val="auto"/>
        </w:rPr>
      </w:pPr>
      <w:r w:rsidRPr="00C801A6">
        <w:rPr>
          <w:rFonts w:eastAsia="Times New Roman" w:cs="Times New Roman"/>
          <w:color w:val="auto"/>
        </w:rPr>
        <w:t>Pour lutter contre toutes formes de Violences Basées sur le Genre (VBG,) Madagascar a adopté des politiques et stratégies nationales. Un Plan d’Action du Programme Pays (CPAP) 2015-2019 a ainsi été élaboré en coopération avec les Fonds des Nations Unies pour la Population (UNFPA). Une des actions prioritaires ciblée par le Programme concerne les capacités nationales à prévenir et répondre aux VGB et aux pratiques culturelles néfastes. De ce fait, des axes stratégiques ont été développés pour sa mise en œuvre.</w:t>
      </w:r>
    </w:p>
    <w:p w14:paraId="6DA90FF9" w14:textId="77777777" w:rsidR="0035130C" w:rsidRPr="00C801A6" w:rsidRDefault="0035130C" w:rsidP="0035130C">
      <w:pPr>
        <w:rPr>
          <w:rFonts w:cs="Arial"/>
          <w:color w:val="auto"/>
        </w:rPr>
      </w:pPr>
      <w:r w:rsidRPr="00C801A6">
        <w:rPr>
          <w:rFonts w:cs="Arial"/>
          <w:color w:val="auto"/>
        </w:rPr>
        <w:t xml:space="preserve">En effet, Madagascar a lancé en 2016 sa Stratégie Nationale de Lutte contre les VBG dont le but est de contribuer à la réduction de la prévalence des VBG. L’objectif général est de mettre à la disposition des acteurs un document de référence pour conduire les actions de prévention et de réponse aux VBG d’une manière coordonnée et efficace. De cet objectif général résultent les objectifs liés aux axes stratégiques, de contribuer aux actions de prévention des actes de </w:t>
      </w:r>
      <w:r w:rsidRPr="00C801A6">
        <w:rPr>
          <w:rFonts w:cs="Arial"/>
          <w:color w:val="auto"/>
        </w:rPr>
        <w:lastRenderedPageBreak/>
        <w:t>VBG ; de professionnaliser les interventions pour une prise en charge intégrée et adéquate de la victime de VBG ; d’assurer la réinsertion socio-économique des victimes de VBG et l’accompagnement psychosocial des auteurs ; d’accroître les capacités d’intervention, de coordination et de suivi/évaluation des actions de prévention et de réponse aux VBG, y compris en situation de crise humanitaire ; et d’optimiser les résultats par des mesures d’accompagnement.</w:t>
      </w:r>
    </w:p>
    <w:p w14:paraId="09D6A997" w14:textId="77777777" w:rsidR="0035130C" w:rsidRPr="00C801A6" w:rsidRDefault="0035130C" w:rsidP="0035130C">
      <w:pPr>
        <w:rPr>
          <w:rFonts w:eastAsia="Times New Roman" w:cs="Times New Roman"/>
          <w:color w:val="auto"/>
        </w:rPr>
      </w:pPr>
      <w:r w:rsidRPr="00C801A6">
        <w:rPr>
          <w:rFonts w:eastAsia="Times New Roman" w:cs="Times New Roman"/>
          <w:color w:val="auto"/>
        </w:rPr>
        <w:t>Il est aussi à noter que Madagascar s'est engagé au niveau international pour l'éradication des VBG à travers, entre autres, la ratification des conventions, l’adoption de déclaration ou de plateforme d’action ou même la signature de protocole.</w:t>
      </w:r>
    </w:p>
    <w:p w14:paraId="0B34A926" w14:textId="77777777" w:rsidR="0035130C" w:rsidRPr="00C801A6" w:rsidRDefault="0035130C" w:rsidP="0035130C">
      <w:pPr>
        <w:rPr>
          <w:rFonts w:cs="Arial"/>
          <w:color w:val="auto"/>
        </w:rPr>
      </w:pPr>
      <w:r w:rsidRPr="00C801A6">
        <w:rPr>
          <w:rFonts w:eastAsia="Times New Roman" w:cs="Times New Roman"/>
          <w:color w:val="auto"/>
        </w:rPr>
        <w:t>Ainsi, la loi relative à la lutte contre les Violences Basées sur le Genre (VBG) a été promulgué</w:t>
      </w:r>
      <w:r w:rsidRPr="00C801A6">
        <w:rPr>
          <w:rFonts w:cs="Arial"/>
          <w:color w:val="auto"/>
        </w:rPr>
        <w:t xml:space="preserve">. </w:t>
      </w:r>
    </w:p>
    <w:p w14:paraId="7E49DF7B" w14:textId="77777777" w:rsidR="0035130C" w:rsidRPr="00C801A6" w:rsidRDefault="0035130C" w:rsidP="0035130C">
      <w:pPr>
        <w:rPr>
          <w:rFonts w:cs="Arial"/>
          <w:color w:val="auto"/>
        </w:rPr>
      </w:pPr>
      <w:r w:rsidRPr="00C801A6">
        <w:rPr>
          <w:rFonts w:cs="Arial"/>
          <w:color w:val="auto"/>
        </w:rPr>
        <w:t>Par ailleurs, le code pénal prévoit déjà des punitions sévères sur le proxénétisme, le viol, les coups et les blessures sur les femmes ainsi que des dispositions sur la lutte contre la traite des personnes, y compris des enfants, l'inceste et le tourisme sexuel.</w:t>
      </w:r>
    </w:p>
    <w:p w14:paraId="730F793A" w14:textId="77777777" w:rsidR="0035130C" w:rsidRPr="00C801A6" w:rsidRDefault="0035130C" w:rsidP="00C65572">
      <w:pPr>
        <w:pStyle w:val="Heading3"/>
      </w:pPr>
      <w:bookmarkStart w:id="232" w:name="_Toc230426025"/>
      <w:r w:rsidRPr="00C801A6">
        <w:t>Politique nationale pour la promotion de la femme / genre</w:t>
      </w:r>
      <w:bookmarkEnd w:id="232"/>
    </w:p>
    <w:p w14:paraId="33AA968A" w14:textId="77777777" w:rsidR="0035130C" w:rsidRPr="00C801A6" w:rsidRDefault="0035130C" w:rsidP="0035130C">
      <w:pPr>
        <w:autoSpaceDE w:val="0"/>
        <w:autoSpaceDN w:val="0"/>
        <w:adjustRightInd w:val="0"/>
        <w:rPr>
          <w:rFonts w:cs="Times New Roman"/>
          <w:color w:val="auto"/>
          <w:szCs w:val="24"/>
        </w:rPr>
      </w:pPr>
      <w:r w:rsidRPr="00C801A6">
        <w:rPr>
          <w:rFonts w:cs="Times New Roman"/>
          <w:color w:val="auto"/>
          <w:szCs w:val="24"/>
        </w:rPr>
        <w:t>Madagascar a adopté en 2000 la Politique Nationale de Promotion de la Femme (PNPF), arrivée à son terme en 2015 dont l'objectif principal est de réduire la disparité entre les genres, et de mettre en place un développement équilibré, en particulier entre les hommes et les femmes.</w:t>
      </w:r>
    </w:p>
    <w:p w14:paraId="325DF856" w14:textId="77777777" w:rsidR="0035130C" w:rsidRPr="00C801A6" w:rsidRDefault="0035130C" w:rsidP="0035130C">
      <w:pPr>
        <w:rPr>
          <w:rFonts w:cs="Times New Roman"/>
          <w:color w:val="auto"/>
          <w:szCs w:val="24"/>
        </w:rPr>
      </w:pPr>
      <w:r w:rsidRPr="00C801A6">
        <w:rPr>
          <w:rFonts w:cs="Times New Roman"/>
          <w:color w:val="auto"/>
          <w:szCs w:val="24"/>
        </w:rPr>
        <w:t xml:space="preserve">Pour sa mise en œuvre, le pays s’est doté, en 2003, d’un Plan d’Action National Genre et Développement (PANAGED) et de Plans d’Action Régionaux (PARGED) pour la période 2004 - 2008. </w:t>
      </w:r>
    </w:p>
    <w:p w14:paraId="5A0CCAAA" w14:textId="77777777" w:rsidR="0035130C" w:rsidRPr="00C801A6" w:rsidRDefault="0035130C" w:rsidP="0035130C">
      <w:pPr>
        <w:rPr>
          <w:rFonts w:cs="Times New Roman"/>
          <w:color w:val="auto"/>
        </w:rPr>
      </w:pPr>
      <w:r w:rsidRPr="00C801A6">
        <w:rPr>
          <w:rFonts w:eastAsia="Times New Roman" w:cs="Times New Roman"/>
          <w:color w:val="auto"/>
        </w:rPr>
        <w:t>Visant à redresser des situations d’inégalité flagrante constatées dans le cadre de l’élaboration de la Politique Nationale de Promotion de la Femme, le PANAGED a coopté la « double stratégie » adoptée dans le Plan d’Action de Beijing</w:t>
      </w:r>
      <w:r w:rsidRPr="00C801A6">
        <w:rPr>
          <w:rFonts w:cs="Times New Roman"/>
          <w:color w:val="auto"/>
        </w:rPr>
        <w:t xml:space="preserve"> : intégration transversale du genre dans toutes les politiques et mise en œuvre de deux programmes spécifiques suivants : </w:t>
      </w:r>
    </w:p>
    <w:p w14:paraId="37C7CA47" w14:textId="77777777" w:rsidR="0035130C" w:rsidRPr="00C801A6" w:rsidRDefault="0035130C" w:rsidP="00844538">
      <w:pPr>
        <w:pStyle w:val="ListParagraph"/>
        <w:numPr>
          <w:ilvl w:val="0"/>
          <w:numId w:val="8"/>
        </w:numPr>
        <w:autoSpaceDE w:val="0"/>
        <w:autoSpaceDN w:val="0"/>
        <w:adjustRightInd w:val="0"/>
        <w:spacing w:after="60"/>
        <w:ind w:left="714" w:hanging="357"/>
        <w:contextualSpacing w:val="0"/>
        <w:rPr>
          <w:rFonts w:cs="Times New Roman"/>
          <w:color w:val="auto"/>
          <w:szCs w:val="24"/>
        </w:rPr>
      </w:pPr>
      <w:r w:rsidRPr="00C801A6">
        <w:rPr>
          <w:rFonts w:cs="Times New Roman"/>
          <w:color w:val="auto"/>
          <w:szCs w:val="24"/>
        </w:rPr>
        <w:t>L’amélioration de l’efficience économique des femmes</w:t>
      </w:r>
    </w:p>
    <w:p w14:paraId="06A7DC90" w14:textId="77777777" w:rsidR="0035130C" w:rsidRPr="00C801A6" w:rsidRDefault="0035130C" w:rsidP="00844538">
      <w:pPr>
        <w:pStyle w:val="ListParagraph"/>
        <w:numPr>
          <w:ilvl w:val="0"/>
          <w:numId w:val="8"/>
        </w:numPr>
        <w:autoSpaceDE w:val="0"/>
        <w:autoSpaceDN w:val="0"/>
        <w:adjustRightInd w:val="0"/>
        <w:spacing w:line="276" w:lineRule="auto"/>
        <w:ind w:left="714" w:hanging="357"/>
        <w:contextualSpacing w:val="0"/>
        <w:rPr>
          <w:rFonts w:cs="Times New Roman"/>
          <w:color w:val="auto"/>
          <w:szCs w:val="24"/>
        </w:rPr>
      </w:pPr>
      <w:r w:rsidRPr="00C801A6">
        <w:rPr>
          <w:rFonts w:cs="Times New Roman"/>
          <w:color w:val="auto"/>
          <w:szCs w:val="24"/>
        </w:rPr>
        <w:t>L’amélioration de la condition juridique et sociale des femmes</w:t>
      </w:r>
    </w:p>
    <w:p w14:paraId="70C540D3" w14:textId="77777777" w:rsidR="0035130C" w:rsidRDefault="0035130C" w:rsidP="0035130C">
      <w:pPr>
        <w:autoSpaceDE w:val="0"/>
        <w:autoSpaceDN w:val="0"/>
        <w:adjustRightInd w:val="0"/>
        <w:rPr>
          <w:rFonts w:cs="Times New Roman"/>
          <w:color w:val="auto"/>
          <w:szCs w:val="24"/>
        </w:rPr>
      </w:pPr>
      <w:r w:rsidRPr="00C801A6">
        <w:rPr>
          <w:rFonts w:cs="Times New Roman"/>
          <w:color w:val="auto"/>
          <w:szCs w:val="24"/>
        </w:rPr>
        <w:t xml:space="preserve">La réactualisation du PANAGED en juillet 2015 a rendu disponible une ossature d’un nouveau plan d’action, à partir de 11 thématiques : i) droits des femmes et lutte contre la VBG, ii) genre et médias, iii) genre, paix et sécurité, iv) genre et santé, v) genre, éducation et culture, vi) genre, gouvernance et participation aux prises de décision, vii) lutte contre la traite des personnes, viii) genre, environnement et développement durable, ix) genre et économie, x) adolescentes et petites filles, xi) mécanismes de suivi et évaluation. </w:t>
      </w:r>
    </w:p>
    <w:p w14:paraId="3F849C7C" w14:textId="77777777" w:rsidR="00676357" w:rsidRPr="00C801A6" w:rsidRDefault="00676357" w:rsidP="00C65572">
      <w:pPr>
        <w:pStyle w:val="Heading3"/>
      </w:pPr>
      <w:bookmarkStart w:id="233" w:name="_Toc230426026"/>
      <w:r w:rsidRPr="00C801A6">
        <w:t>Politique nationale de santé et environnement</w:t>
      </w:r>
      <w:bookmarkEnd w:id="233"/>
    </w:p>
    <w:p w14:paraId="5D742992" w14:textId="77777777" w:rsidR="00676357" w:rsidRPr="00C801A6" w:rsidRDefault="00676357" w:rsidP="00676357">
      <w:pPr>
        <w:autoSpaceDE w:val="0"/>
        <w:autoSpaceDN w:val="0"/>
        <w:adjustRightInd w:val="0"/>
        <w:rPr>
          <w:rFonts w:cs="Times New Roman"/>
          <w:color w:val="auto"/>
          <w:szCs w:val="24"/>
        </w:rPr>
      </w:pPr>
      <w:r w:rsidRPr="00C801A6">
        <w:rPr>
          <w:rFonts w:cs="Times New Roman"/>
          <w:color w:val="auto"/>
          <w:szCs w:val="24"/>
        </w:rPr>
        <w:t xml:space="preserve">La Politique Nationale de Santé et Environnement a pour objectif d’instaurer des mesures appropriées, afin de réduire la morbidité et la mortalité liées à la dégradation de l’environnement, en préservant davantage l’écosystème. </w:t>
      </w:r>
    </w:p>
    <w:p w14:paraId="4C6BAECA" w14:textId="77777777" w:rsidR="00676357" w:rsidRPr="00C801A6" w:rsidRDefault="00676357" w:rsidP="00676357">
      <w:pPr>
        <w:autoSpaceDE w:val="0"/>
        <w:autoSpaceDN w:val="0"/>
        <w:adjustRightInd w:val="0"/>
        <w:rPr>
          <w:rFonts w:cs="Times New Roman"/>
          <w:color w:val="auto"/>
          <w:szCs w:val="24"/>
        </w:rPr>
      </w:pPr>
      <w:r w:rsidRPr="00C801A6">
        <w:rPr>
          <w:rFonts w:cs="Times New Roman"/>
          <w:color w:val="auto"/>
          <w:szCs w:val="24"/>
        </w:rPr>
        <w:t xml:space="preserve">Cette politique s’articule autour de six (6) orientations stratégiques : </w:t>
      </w:r>
    </w:p>
    <w:p w14:paraId="5A1D52AC" w14:textId="77777777" w:rsidR="00676357" w:rsidRPr="00C801A6" w:rsidRDefault="00676357" w:rsidP="00844538">
      <w:pPr>
        <w:pStyle w:val="ListParagraph"/>
        <w:numPr>
          <w:ilvl w:val="0"/>
          <w:numId w:val="8"/>
        </w:numPr>
        <w:autoSpaceDE w:val="0"/>
        <w:autoSpaceDN w:val="0"/>
        <w:adjustRightInd w:val="0"/>
        <w:spacing w:after="60" w:line="276" w:lineRule="auto"/>
        <w:ind w:left="714" w:hanging="357"/>
        <w:contextualSpacing w:val="0"/>
        <w:rPr>
          <w:rFonts w:cs="Times New Roman"/>
          <w:color w:val="auto"/>
          <w:szCs w:val="24"/>
        </w:rPr>
      </w:pPr>
      <w:r w:rsidRPr="00C801A6">
        <w:rPr>
          <w:rFonts w:cs="Times New Roman"/>
          <w:color w:val="auto"/>
          <w:szCs w:val="24"/>
        </w:rPr>
        <w:lastRenderedPageBreak/>
        <w:t xml:space="preserve">Coordination, suivi et évaluation de toutes les actions conjointes en santé et environnement en conformément à la Déclaration de Libreville sur la santé et l’environnement ; </w:t>
      </w:r>
    </w:p>
    <w:p w14:paraId="31F981C7" w14:textId="77777777" w:rsidR="00676357" w:rsidRPr="00C801A6" w:rsidRDefault="00676357" w:rsidP="00844538">
      <w:pPr>
        <w:pStyle w:val="ListParagraph"/>
        <w:numPr>
          <w:ilvl w:val="0"/>
          <w:numId w:val="8"/>
        </w:numPr>
        <w:autoSpaceDE w:val="0"/>
        <w:autoSpaceDN w:val="0"/>
        <w:adjustRightInd w:val="0"/>
        <w:spacing w:after="60" w:line="276" w:lineRule="auto"/>
        <w:ind w:left="714" w:hanging="357"/>
        <w:contextualSpacing w:val="0"/>
        <w:rPr>
          <w:rFonts w:cs="Times New Roman"/>
          <w:color w:val="auto"/>
        </w:rPr>
      </w:pPr>
      <w:r w:rsidRPr="00C801A6">
        <w:rPr>
          <w:rFonts w:cs="Times New Roman"/>
          <w:color w:val="auto"/>
        </w:rPr>
        <w:t xml:space="preserve">Intégration ou actualisation des politiques nationales sectorielles, du programme et des projets de développement à chaque niveau par rapport à la Déclaration de Libreville sur la Santé et l’Environnement ; </w:t>
      </w:r>
    </w:p>
    <w:p w14:paraId="4BF47B58" w14:textId="77777777" w:rsidR="00676357" w:rsidRPr="00C801A6" w:rsidRDefault="00676357" w:rsidP="00844538">
      <w:pPr>
        <w:pStyle w:val="ListParagraph"/>
        <w:numPr>
          <w:ilvl w:val="0"/>
          <w:numId w:val="8"/>
        </w:numPr>
        <w:autoSpaceDE w:val="0"/>
        <w:autoSpaceDN w:val="0"/>
        <w:adjustRightInd w:val="0"/>
        <w:spacing w:after="60" w:line="276" w:lineRule="auto"/>
        <w:ind w:left="714" w:hanging="357"/>
        <w:contextualSpacing w:val="0"/>
        <w:rPr>
          <w:rFonts w:cs="Times New Roman"/>
          <w:color w:val="auto"/>
          <w:szCs w:val="24"/>
        </w:rPr>
      </w:pPr>
      <w:r w:rsidRPr="00C801A6">
        <w:rPr>
          <w:rFonts w:cs="Times New Roman"/>
          <w:color w:val="auto"/>
          <w:szCs w:val="24"/>
        </w:rPr>
        <w:t xml:space="preserve">Renforcement des capacités de prévention des risques sanitaires liés à l’environnement et de la préservation de l’environnement ; </w:t>
      </w:r>
    </w:p>
    <w:p w14:paraId="7D2CC6D1" w14:textId="77777777" w:rsidR="00676357" w:rsidRPr="00C801A6" w:rsidRDefault="00676357" w:rsidP="00844538">
      <w:pPr>
        <w:pStyle w:val="ListParagraph"/>
        <w:numPr>
          <w:ilvl w:val="0"/>
          <w:numId w:val="8"/>
        </w:numPr>
        <w:autoSpaceDE w:val="0"/>
        <w:autoSpaceDN w:val="0"/>
        <w:adjustRightInd w:val="0"/>
        <w:spacing w:after="60" w:line="276" w:lineRule="auto"/>
        <w:ind w:left="714" w:hanging="357"/>
        <w:contextualSpacing w:val="0"/>
        <w:rPr>
          <w:rFonts w:cs="Times New Roman"/>
          <w:color w:val="auto"/>
          <w:szCs w:val="24"/>
        </w:rPr>
      </w:pPr>
      <w:r w:rsidRPr="00C801A6">
        <w:rPr>
          <w:rFonts w:cs="Times New Roman"/>
          <w:color w:val="auto"/>
          <w:szCs w:val="24"/>
        </w:rPr>
        <w:t xml:space="preserve">Gestion des connaissances et des publications périodiques des recherches en santé et environnement et développement des IEC/CCC au niveau de la population ; </w:t>
      </w:r>
    </w:p>
    <w:p w14:paraId="39D436B0" w14:textId="77777777" w:rsidR="00676357" w:rsidRPr="00C801A6" w:rsidRDefault="00676357" w:rsidP="00844538">
      <w:pPr>
        <w:pStyle w:val="ListParagraph"/>
        <w:numPr>
          <w:ilvl w:val="0"/>
          <w:numId w:val="8"/>
        </w:numPr>
        <w:autoSpaceDE w:val="0"/>
        <w:autoSpaceDN w:val="0"/>
        <w:adjustRightInd w:val="0"/>
        <w:spacing w:after="60" w:line="276" w:lineRule="auto"/>
        <w:ind w:left="714" w:hanging="357"/>
        <w:contextualSpacing w:val="0"/>
        <w:rPr>
          <w:rFonts w:cs="Times New Roman"/>
          <w:color w:val="auto"/>
          <w:szCs w:val="24"/>
        </w:rPr>
      </w:pPr>
      <w:r w:rsidRPr="00C801A6">
        <w:rPr>
          <w:rFonts w:cs="Times New Roman"/>
          <w:color w:val="auto"/>
          <w:szCs w:val="24"/>
        </w:rPr>
        <w:t xml:space="preserve">Renforcement des systèmes de surveillance sanitaire et environnementale ; </w:t>
      </w:r>
    </w:p>
    <w:p w14:paraId="1D42D408" w14:textId="77777777" w:rsidR="00676357" w:rsidRPr="00C801A6" w:rsidRDefault="00676357" w:rsidP="00844538">
      <w:pPr>
        <w:pStyle w:val="ListParagraph"/>
        <w:numPr>
          <w:ilvl w:val="0"/>
          <w:numId w:val="8"/>
        </w:numPr>
        <w:autoSpaceDE w:val="0"/>
        <w:autoSpaceDN w:val="0"/>
        <w:adjustRightInd w:val="0"/>
        <w:spacing w:line="276" w:lineRule="auto"/>
        <w:ind w:left="714" w:hanging="357"/>
        <w:contextualSpacing w:val="0"/>
        <w:rPr>
          <w:rFonts w:cs="Times New Roman"/>
          <w:color w:val="auto"/>
        </w:rPr>
      </w:pPr>
      <w:r w:rsidRPr="00C801A6">
        <w:rPr>
          <w:rFonts w:cs="Times New Roman"/>
          <w:color w:val="auto"/>
        </w:rPr>
        <w:t xml:space="preserve">Allocation des ressources budgétaires en faveur des programmes intersectoriels de Santé et Environnement. </w:t>
      </w:r>
    </w:p>
    <w:p w14:paraId="27CD056F" w14:textId="77777777" w:rsidR="00676357" w:rsidRPr="00C801A6" w:rsidRDefault="00676357" w:rsidP="00C65572">
      <w:pPr>
        <w:pStyle w:val="Heading3"/>
      </w:pPr>
      <w:bookmarkStart w:id="234" w:name="_Toc230426027"/>
      <w:r w:rsidRPr="00C801A6">
        <w:t>Politique nationale de la population pour le développement économique et sociale</w:t>
      </w:r>
      <w:bookmarkEnd w:id="234"/>
    </w:p>
    <w:p w14:paraId="7F563495" w14:textId="77777777" w:rsidR="00676357" w:rsidRPr="00C801A6" w:rsidRDefault="00676357" w:rsidP="00676357">
      <w:pPr>
        <w:autoSpaceDE w:val="0"/>
        <w:autoSpaceDN w:val="0"/>
        <w:adjustRightInd w:val="0"/>
        <w:rPr>
          <w:rFonts w:cs="Times New Roman"/>
          <w:color w:val="auto"/>
          <w:szCs w:val="24"/>
        </w:rPr>
      </w:pPr>
      <w:r w:rsidRPr="00C801A6">
        <w:rPr>
          <w:rFonts w:cs="Times New Roman"/>
          <w:color w:val="auto"/>
          <w:szCs w:val="24"/>
        </w:rPr>
        <w:t>Madagascar a adopté en 1990 sa politique nationale de population pour le développement économique et social. Parmi les objectifs sectoriels figurent notamment l'amélioration de la condition de la femme, la planification de la famille, la promotion des migrations spontanées.</w:t>
      </w:r>
    </w:p>
    <w:p w14:paraId="292C405A" w14:textId="77777777" w:rsidR="00676357" w:rsidRPr="00C801A6" w:rsidRDefault="00676357" w:rsidP="00676357">
      <w:pPr>
        <w:autoSpaceDE w:val="0"/>
        <w:autoSpaceDN w:val="0"/>
        <w:adjustRightInd w:val="0"/>
        <w:rPr>
          <w:rFonts w:cs="Times New Roman"/>
          <w:color w:val="auto"/>
        </w:rPr>
      </w:pPr>
      <w:r w:rsidRPr="00C801A6">
        <w:rPr>
          <w:rFonts w:cs="Times New Roman"/>
          <w:color w:val="auto"/>
        </w:rPr>
        <w:t>Cette politique est mise</w:t>
      </w:r>
      <w:r w:rsidRPr="00C801A6">
        <w:rPr>
          <w:rFonts w:eastAsia="Times New Roman" w:cs="Times New Roman"/>
          <w:color w:val="auto"/>
        </w:rPr>
        <w:t xml:space="preserve"> en œuvre so</w:t>
      </w:r>
      <w:r w:rsidRPr="00C801A6">
        <w:rPr>
          <w:rFonts w:cs="Times New Roman"/>
          <w:color w:val="auto"/>
        </w:rPr>
        <w:t>us la forme du Programme National de Population (PNP) mis sur pied en 1997 dont les objectifs du PNP sont de maîtriser la croissance de la population, d’assurer l’accès des populations urbaines et rurales aux services sociaux de base, d’assurer la protection des groupes vulnérables, de favoriser la participation communautaire et le dialogue social, de lutter contre la pauvreté et de promouvoir la capacité de mobiliser les ressources pour assurer la pérennisation des actions de développement.</w:t>
      </w:r>
    </w:p>
    <w:p w14:paraId="21AD78DD" w14:textId="77777777" w:rsidR="00676357" w:rsidRPr="00C801A6" w:rsidRDefault="00676357" w:rsidP="00C65572">
      <w:pPr>
        <w:pStyle w:val="Heading3"/>
      </w:pPr>
      <w:bookmarkStart w:id="235" w:name="_Toc230426028"/>
      <w:r w:rsidRPr="00C801A6">
        <w:t>Politique nationale de riposte aux IST et VIH / SIDA dans le monde du travail</w:t>
      </w:r>
      <w:bookmarkEnd w:id="235"/>
    </w:p>
    <w:p w14:paraId="17028AA8" w14:textId="56CFA0C1" w:rsidR="00676357" w:rsidRPr="00C801A6" w:rsidRDefault="00676357" w:rsidP="00676357">
      <w:pPr>
        <w:autoSpaceDE w:val="0"/>
        <w:autoSpaceDN w:val="0"/>
        <w:adjustRightInd w:val="0"/>
        <w:rPr>
          <w:rFonts w:cs="Times New Roman"/>
          <w:color w:val="auto"/>
          <w:szCs w:val="24"/>
        </w:rPr>
      </w:pPr>
      <w:bookmarkStart w:id="236" w:name="_Toc106320310"/>
      <w:r w:rsidRPr="00C801A6">
        <w:rPr>
          <w:rFonts w:cs="Times New Roman"/>
          <w:color w:val="auto"/>
          <w:szCs w:val="24"/>
        </w:rPr>
        <w:t>La Politique a pour but de prévenir et réduire l’impact négatif du VIH sur le monde du travail à Madagascar, et dont parmi les objectifs spécifiques, sont énoncés (1) l’implication davantage du monde du travail à s’engager davantage dans l’élimination du VIH</w:t>
      </w:r>
      <w:r w:rsidR="00837710">
        <w:rPr>
          <w:rFonts w:cs="Times New Roman"/>
          <w:color w:val="auto"/>
          <w:szCs w:val="24"/>
        </w:rPr>
        <w:t>/SIDA</w:t>
      </w:r>
      <w:r w:rsidRPr="00C801A6">
        <w:rPr>
          <w:rFonts w:cs="Times New Roman"/>
          <w:color w:val="auto"/>
          <w:szCs w:val="24"/>
        </w:rPr>
        <w:t>, (2) le changement des comportements et l’accroissement de l’utilisation des moyens préventifs, à destination des travailleurs, de leurs familles et des communautés environnantes, y compris la promotion du dépistage volontaire.</w:t>
      </w:r>
    </w:p>
    <w:p w14:paraId="578E16BD" w14:textId="4BC2B9A1" w:rsidR="00676357" w:rsidRDefault="00676357" w:rsidP="00676357">
      <w:pPr>
        <w:autoSpaceDE w:val="0"/>
        <w:autoSpaceDN w:val="0"/>
        <w:adjustRightInd w:val="0"/>
        <w:rPr>
          <w:rFonts w:cs="Times New Roman"/>
          <w:color w:val="auto"/>
        </w:rPr>
      </w:pPr>
      <w:r w:rsidRPr="00C801A6">
        <w:rPr>
          <w:rFonts w:cs="Times New Roman"/>
          <w:color w:val="auto"/>
        </w:rPr>
        <w:t xml:space="preserve">Les dispositions prises pour la mise </w:t>
      </w:r>
      <w:r w:rsidRPr="00C801A6">
        <w:rPr>
          <w:rFonts w:eastAsia="Times New Roman" w:cs="Times New Roman"/>
          <w:color w:val="auto"/>
        </w:rPr>
        <w:t xml:space="preserve">en œuvre de la </w:t>
      </w:r>
      <w:r w:rsidRPr="00C801A6">
        <w:rPr>
          <w:rFonts w:cs="Times New Roman"/>
          <w:color w:val="auto"/>
        </w:rPr>
        <w:t>politique s’articulent autour de trois orientations stratégiques, dont notamment : (1) la promotion des droits et protection des travailleurs affectés par le VIH</w:t>
      </w:r>
      <w:r w:rsidR="0059173F">
        <w:rPr>
          <w:rFonts w:cs="Times New Roman"/>
          <w:color w:val="auto"/>
        </w:rPr>
        <w:t>/SIDA</w:t>
      </w:r>
      <w:r w:rsidRPr="00C801A6">
        <w:rPr>
          <w:rFonts w:cs="Times New Roman"/>
          <w:color w:val="auto"/>
        </w:rPr>
        <w:t xml:space="preserve"> (2) le renforcement de l’engagement des décideurs et des partenaires sociaux du monde du travail, et (3) la promotion de l’accès universel des travailleurs aux informations et à tous les moyens et services de prévention, de soutien et de prise en charge des IST, du VIH</w:t>
      </w:r>
      <w:r w:rsidR="0059173F">
        <w:rPr>
          <w:rFonts w:cs="Times New Roman"/>
          <w:color w:val="auto"/>
        </w:rPr>
        <w:t>/SIDA</w:t>
      </w:r>
      <w:r w:rsidRPr="00C801A6">
        <w:rPr>
          <w:rFonts w:cs="Times New Roman"/>
          <w:color w:val="auto"/>
        </w:rPr>
        <w:t>.</w:t>
      </w:r>
    </w:p>
    <w:p w14:paraId="5CA12567" w14:textId="32F6DC6E" w:rsidR="00676357" w:rsidRPr="00C801A6" w:rsidRDefault="00F2002E" w:rsidP="0035130C">
      <w:pPr>
        <w:autoSpaceDE w:val="0"/>
        <w:autoSpaceDN w:val="0"/>
        <w:adjustRightInd w:val="0"/>
        <w:rPr>
          <w:rFonts w:cs="Times New Roman"/>
          <w:color w:val="auto"/>
          <w:szCs w:val="24"/>
        </w:rPr>
      </w:pPr>
      <w:r w:rsidRPr="00C801A6">
        <w:rPr>
          <w:rFonts w:cs="Times New Roman"/>
          <w:color w:val="auto"/>
          <w:szCs w:val="24"/>
        </w:rPr>
        <w:t>.</w:t>
      </w:r>
    </w:p>
    <w:p w14:paraId="2F3BAC36" w14:textId="77777777" w:rsidR="00575CDF" w:rsidRPr="00C801A6" w:rsidRDefault="00575CDF" w:rsidP="00C65572">
      <w:pPr>
        <w:pStyle w:val="Heading3"/>
      </w:pPr>
      <w:bookmarkStart w:id="237" w:name="_Toc227880448"/>
      <w:bookmarkStart w:id="238" w:name="_Toc227920837"/>
      <w:bookmarkStart w:id="239" w:name="_Toc227921172"/>
      <w:bookmarkStart w:id="240" w:name="_Toc227880449"/>
      <w:bookmarkStart w:id="241" w:name="_Toc227920838"/>
      <w:bookmarkStart w:id="242" w:name="_Toc227921173"/>
      <w:bookmarkStart w:id="243" w:name="_Toc227880450"/>
      <w:bookmarkStart w:id="244" w:name="_Toc227920839"/>
      <w:bookmarkStart w:id="245" w:name="_Toc227921174"/>
      <w:bookmarkStart w:id="246" w:name="_Toc227880451"/>
      <w:bookmarkStart w:id="247" w:name="_Toc227920840"/>
      <w:bookmarkStart w:id="248" w:name="_Toc227921175"/>
      <w:bookmarkStart w:id="249" w:name="_Toc227880452"/>
      <w:bookmarkStart w:id="250" w:name="_Toc227920841"/>
      <w:bookmarkStart w:id="251" w:name="_Toc227921176"/>
      <w:bookmarkStart w:id="252" w:name="_Toc227880453"/>
      <w:bookmarkStart w:id="253" w:name="_Toc227920842"/>
      <w:bookmarkStart w:id="254" w:name="_Toc227921177"/>
      <w:bookmarkStart w:id="255" w:name="_Toc227880454"/>
      <w:bookmarkStart w:id="256" w:name="_Toc227920843"/>
      <w:bookmarkStart w:id="257" w:name="_Toc227921178"/>
      <w:bookmarkStart w:id="258" w:name="_Toc227880455"/>
      <w:bookmarkStart w:id="259" w:name="_Toc227920844"/>
      <w:bookmarkStart w:id="260" w:name="_Toc227921179"/>
      <w:bookmarkStart w:id="261" w:name="_Toc227880456"/>
      <w:bookmarkStart w:id="262" w:name="_Toc227920845"/>
      <w:bookmarkStart w:id="263" w:name="_Toc227921180"/>
      <w:bookmarkStart w:id="264" w:name="_Toc227880457"/>
      <w:bookmarkStart w:id="265" w:name="_Toc227920846"/>
      <w:bookmarkStart w:id="266" w:name="_Toc227921181"/>
      <w:bookmarkStart w:id="267" w:name="_Toc227880458"/>
      <w:bookmarkStart w:id="268" w:name="_Toc227920847"/>
      <w:bookmarkStart w:id="269" w:name="_Toc227921182"/>
      <w:bookmarkStart w:id="270" w:name="_Toc106320312"/>
      <w:bookmarkStart w:id="271" w:name="_Toc230426029"/>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r w:rsidRPr="00C801A6">
        <w:lastRenderedPageBreak/>
        <w:t>Politique de décentralisation</w:t>
      </w:r>
      <w:bookmarkEnd w:id="270"/>
      <w:bookmarkEnd w:id="271"/>
      <w:r w:rsidRPr="00C801A6">
        <w:t xml:space="preserve"> </w:t>
      </w:r>
    </w:p>
    <w:p w14:paraId="01901EA2" w14:textId="71817F2C" w:rsidR="00575CDF" w:rsidRPr="00C801A6" w:rsidRDefault="00575CDF" w:rsidP="00575CDF">
      <w:pPr>
        <w:pStyle w:val="NormalWeb"/>
        <w:shd w:val="clear" w:color="auto" w:fill="FEFEFE"/>
        <w:spacing w:before="0" w:beforeAutospacing="0" w:after="160" w:afterAutospacing="0" w:line="276" w:lineRule="auto"/>
        <w:jc w:val="both"/>
        <w:rPr>
          <w:rFonts w:cs="Arial"/>
          <w:szCs w:val="22"/>
        </w:rPr>
      </w:pPr>
      <w:bookmarkStart w:id="272" w:name="_Hlk71617971"/>
      <w:r w:rsidRPr="00C801A6">
        <w:rPr>
          <w:rFonts w:cs="Arial"/>
          <w:szCs w:val="22"/>
        </w:rPr>
        <w:t>La loi relative aux régions a structuré le territoire national en 2</w:t>
      </w:r>
      <w:r w:rsidR="00700F6F">
        <w:rPr>
          <w:rFonts w:cs="Arial"/>
          <w:szCs w:val="22"/>
        </w:rPr>
        <w:t>3</w:t>
      </w:r>
      <w:r w:rsidRPr="00C801A6">
        <w:rPr>
          <w:rFonts w:cs="Arial"/>
          <w:szCs w:val="22"/>
        </w:rPr>
        <w:t xml:space="preserve"> régions.</w:t>
      </w:r>
    </w:p>
    <w:bookmarkEnd w:id="272"/>
    <w:p w14:paraId="10F3E37A" w14:textId="77777777" w:rsidR="00575CDF" w:rsidRPr="00C801A6" w:rsidRDefault="00575CDF" w:rsidP="00575CDF">
      <w:pPr>
        <w:rPr>
          <w:rFonts w:cs="Arial"/>
          <w:color w:val="auto"/>
        </w:rPr>
      </w:pPr>
      <w:r w:rsidRPr="00C801A6">
        <w:rPr>
          <w:rFonts w:cs="Arial"/>
          <w:color w:val="auto"/>
        </w:rPr>
        <w:t>En référence à l’article 143, alinéa 2 de la Constitution de la Quatrième République, la création et la délimitation des Collectivités Territoriales Décentralisées (CTD) doivent répondre à des critères d’homogénéité géographique, économique, sociale et culturelle.</w:t>
      </w:r>
    </w:p>
    <w:p w14:paraId="460E1F3A" w14:textId="43732AB9" w:rsidR="00575CDF" w:rsidRPr="00C801A6" w:rsidRDefault="00575CDF" w:rsidP="00014BC0">
      <w:pPr>
        <w:pStyle w:val="Heading2"/>
      </w:pPr>
      <w:bookmarkStart w:id="273" w:name="_Toc227880478"/>
      <w:bookmarkStart w:id="274" w:name="_Toc227920867"/>
      <w:bookmarkStart w:id="275" w:name="_Toc227921202"/>
      <w:bookmarkStart w:id="276" w:name="_Toc227880479"/>
      <w:bookmarkStart w:id="277" w:name="_Toc227920868"/>
      <w:bookmarkStart w:id="278" w:name="_Toc227921203"/>
      <w:bookmarkStart w:id="279" w:name="_Toc227880480"/>
      <w:bookmarkStart w:id="280" w:name="_Toc227920869"/>
      <w:bookmarkStart w:id="281" w:name="_Toc227921204"/>
      <w:bookmarkStart w:id="282" w:name="_Toc227880481"/>
      <w:bookmarkStart w:id="283" w:name="_Toc227920870"/>
      <w:bookmarkStart w:id="284" w:name="_Toc227921205"/>
      <w:bookmarkStart w:id="285" w:name="_Toc227880482"/>
      <w:bookmarkStart w:id="286" w:name="_Toc227920871"/>
      <w:bookmarkStart w:id="287" w:name="_Toc227921206"/>
      <w:bookmarkStart w:id="288" w:name="_Toc227880483"/>
      <w:bookmarkStart w:id="289" w:name="_Toc227920872"/>
      <w:bookmarkStart w:id="290" w:name="_Toc227921207"/>
      <w:bookmarkStart w:id="291" w:name="_Toc227880484"/>
      <w:bookmarkStart w:id="292" w:name="_Toc227920873"/>
      <w:bookmarkStart w:id="293" w:name="_Toc227921208"/>
      <w:bookmarkStart w:id="294" w:name="_Toc227880485"/>
      <w:bookmarkStart w:id="295" w:name="_Toc227920874"/>
      <w:bookmarkStart w:id="296" w:name="_Toc227921209"/>
      <w:bookmarkStart w:id="297" w:name="_Toc227880486"/>
      <w:bookmarkStart w:id="298" w:name="_Toc227920875"/>
      <w:bookmarkStart w:id="299" w:name="_Toc227921210"/>
      <w:bookmarkStart w:id="300" w:name="_Toc227880487"/>
      <w:bookmarkStart w:id="301" w:name="_Toc227920876"/>
      <w:bookmarkStart w:id="302" w:name="_Toc227921211"/>
      <w:bookmarkStart w:id="303" w:name="_Toc227880488"/>
      <w:bookmarkStart w:id="304" w:name="_Toc227920877"/>
      <w:bookmarkStart w:id="305" w:name="_Toc227921212"/>
      <w:bookmarkStart w:id="306" w:name="_Toc227880489"/>
      <w:bookmarkStart w:id="307" w:name="_Toc227920878"/>
      <w:bookmarkStart w:id="308" w:name="_Toc227921213"/>
      <w:bookmarkStart w:id="309" w:name="_Toc227880490"/>
      <w:bookmarkStart w:id="310" w:name="_Toc227920879"/>
      <w:bookmarkStart w:id="311" w:name="_Toc227921214"/>
      <w:bookmarkStart w:id="312" w:name="_Toc227880491"/>
      <w:bookmarkStart w:id="313" w:name="_Toc227920880"/>
      <w:bookmarkStart w:id="314" w:name="_Toc227921215"/>
      <w:bookmarkStart w:id="315" w:name="_Toc227880492"/>
      <w:bookmarkStart w:id="316" w:name="_Toc227920881"/>
      <w:bookmarkStart w:id="317" w:name="_Toc227921216"/>
      <w:bookmarkStart w:id="318" w:name="_Toc227880493"/>
      <w:bookmarkStart w:id="319" w:name="_Toc227920882"/>
      <w:bookmarkStart w:id="320" w:name="_Toc227921217"/>
      <w:bookmarkStart w:id="321" w:name="_Toc227880494"/>
      <w:bookmarkStart w:id="322" w:name="_Toc227920883"/>
      <w:bookmarkStart w:id="323" w:name="_Toc227921218"/>
      <w:bookmarkStart w:id="324" w:name="_Toc227880495"/>
      <w:bookmarkStart w:id="325" w:name="_Toc227920884"/>
      <w:bookmarkStart w:id="326" w:name="_Toc227921219"/>
      <w:bookmarkStart w:id="327" w:name="_Toc227880496"/>
      <w:bookmarkStart w:id="328" w:name="_Toc227920885"/>
      <w:bookmarkStart w:id="329" w:name="_Toc227921220"/>
      <w:bookmarkStart w:id="330" w:name="_Toc227880497"/>
      <w:bookmarkStart w:id="331" w:name="_Toc227920886"/>
      <w:bookmarkStart w:id="332" w:name="_Toc227921221"/>
      <w:bookmarkStart w:id="333" w:name="_Toc227880498"/>
      <w:bookmarkStart w:id="334" w:name="_Toc227920887"/>
      <w:bookmarkStart w:id="335" w:name="_Toc227921222"/>
      <w:bookmarkStart w:id="336" w:name="_Toc227880499"/>
      <w:bookmarkStart w:id="337" w:name="_Toc227920888"/>
      <w:bookmarkStart w:id="338" w:name="_Toc227921223"/>
      <w:bookmarkStart w:id="339" w:name="_Toc227880500"/>
      <w:bookmarkStart w:id="340" w:name="_Toc227920889"/>
      <w:bookmarkStart w:id="341" w:name="_Toc227921224"/>
      <w:bookmarkStart w:id="342" w:name="_Toc227880501"/>
      <w:bookmarkStart w:id="343" w:name="_Toc227920890"/>
      <w:bookmarkStart w:id="344" w:name="_Toc227921225"/>
      <w:bookmarkStart w:id="345" w:name="_Toc227880502"/>
      <w:bookmarkStart w:id="346" w:name="_Toc227920891"/>
      <w:bookmarkStart w:id="347" w:name="_Toc227921226"/>
      <w:bookmarkStart w:id="348" w:name="_Toc227880503"/>
      <w:bookmarkStart w:id="349" w:name="_Toc227920892"/>
      <w:bookmarkStart w:id="350" w:name="_Toc227921227"/>
      <w:bookmarkStart w:id="351" w:name="_Toc227880504"/>
      <w:bookmarkStart w:id="352" w:name="_Toc227920893"/>
      <w:bookmarkStart w:id="353" w:name="_Toc227921228"/>
      <w:bookmarkStart w:id="354" w:name="_Toc227880505"/>
      <w:bookmarkStart w:id="355" w:name="_Toc227920894"/>
      <w:bookmarkStart w:id="356" w:name="_Toc227921229"/>
      <w:bookmarkStart w:id="357" w:name="_Toc227880506"/>
      <w:bookmarkStart w:id="358" w:name="_Toc227920895"/>
      <w:bookmarkStart w:id="359" w:name="_Toc227921230"/>
      <w:bookmarkStart w:id="360" w:name="_Toc227880507"/>
      <w:bookmarkStart w:id="361" w:name="_Toc227920896"/>
      <w:bookmarkStart w:id="362" w:name="_Toc227921231"/>
      <w:bookmarkStart w:id="363" w:name="_Toc227880508"/>
      <w:bookmarkStart w:id="364" w:name="_Toc227920897"/>
      <w:bookmarkStart w:id="365" w:name="_Toc227921232"/>
      <w:bookmarkStart w:id="366" w:name="_Toc227880509"/>
      <w:bookmarkStart w:id="367" w:name="_Toc227920898"/>
      <w:bookmarkStart w:id="368" w:name="_Toc227921233"/>
      <w:bookmarkStart w:id="369" w:name="_Toc227880510"/>
      <w:bookmarkStart w:id="370" w:name="_Toc227920899"/>
      <w:bookmarkStart w:id="371" w:name="_Toc227921234"/>
      <w:bookmarkStart w:id="372" w:name="_Toc227880511"/>
      <w:bookmarkStart w:id="373" w:name="_Toc227920900"/>
      <w:bookmarkStart w:id="374" w:name="_Toc227921235"/>
      <w:bookmarkStart w:id="375" w:name="_Toc227880512"/>
      <w:bookmarkStart w:id="376" w:name="_Toc227920901"/>
      <w:bookmarkStart w:id="377" w:name="_Toc227921236"/>
      <w:bookmarkStart w:id="378" w:name="_Toc227880513"/>
      <w:bookmarkStart w:id="379" w:name="_Toc227920902"/>
      <w:bookmarkStart w:id="380" w:name="_Toc227921237"/>
      <w:bookmarkStart w:id="381" w:name="_Toc227880514"/>
      <w:bookmarkStart w:id="382" w:name="_Toc227920903"/>
      <w:bookmarkStart w:id="383" w:name="_Toc227921238"/>
      <w:bookmarkStart w:id="384" w:name="_Toc227880515"/>
      <w:bookmarkStart w:id="385" w:name="_Toc227920904"/>
      <w:bookmarkStart w:id="386" w:name="_Toc227921239"/>
      <w:bookmarkStart w:id="387" w:name="_Toc227880516"/>
      <w:bookmarkStart w:id="388" w:name="_Toc227920905"/>
      <w:bookmarkStart w:id="389" w:name="_Toc227921240"/>
      <w:bookmarkStart w:id="390" w:name="_Toc227880517"/>
      <w:bookmarkStart w:id="391" w:name="_Toc227920906"/>
      <w:bookmarkStart w:id="392" w:name="_Toc227921241"/>
      <w:bookmarkStart w:id="393" w:name="_Toc227880518"/>
      <w:bookmarkStart w:id="394" w:name="_Toc227920907"/>
      <w:bookmarkStart w:id="395" w:name="_Toc227921242"/>
      <w:bookmarkStart w:id="396" w:name="_Toc227880519"/>
      <w:bookmarkStart w:id="397" w:name="_Toc227920908"/>
      <w:bookmarkStart w:id="398" w:name="_Toc227921243"/>
      <w:bookmarkStart w:id="399" w:name="_Toc227880520"/>
      <w:bookmarkStart w:id="400" w:name="_Toc227920909"/>
      <w:bookmarkStart w:id="401" w:name="_Toc227921244"/>
      <w:bookmarkStart w:id="402" w:name="_Toc227880521"/>
      <w:bookmarkStart w:id="403" w:name="_Toc227920910"/>
      <w:bookmarkStart w:id="404" w:name="_Toc227921245"/>
      <w:bookmarkStart w:id="405" w:name="_Toc227880522"/>
      <w:bookmarkStart w:id="406" w:name="_Toc227920911"/>
      <w:bookmarkStart w:id="407" w:name="_Toc227921246"/>
      <w:bookmarkStart w:id="408" w:name="_Toc227880523"/>
      <w:bookmarkStart w:id="409" w:name="_Toc227920912"/>
      <w:bookmarkStart w:id="410" w:name="_Toc227921247"/>
      <w:bookmarkStart w:id="411" w:name="_Toc106320323"/>
      <w:bookmarkStart w:id="412" w:name="_Toc230426030"/>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r w:rsidRPr="00C801A6">
        <w:t xml:space="preserve">CADRE JURIDIQUE </w:t>
      </w:r>
      <w:bookmarkEnd w:id="411"/>
      <w:r w:rsidR="00EF6701">
        <w:t>NATIONAL</w:t>
      </w:r>
      <w:bookmarkEnd w:id="412"/>
    </w:p>
    <w:p w14:paraId="26D0C046" w14:textId="77777777" w:rsidR="00575CDF" w:rsidRPr="00C801A6" w:rsidRDefault="00575CDF" w:rsidP="00C65572">
      <w:pPr>
        <w:pStyle w:val="Heading3"/>
      </w:pPr>
      <w:bookmarkStart w:id="413" w:name="_Ref71980171"/>
      <w:bookmarkStart w:id="414" w:name="_Toc106320324"/>
      <w:bookmarkStart w:id="415" w:name="_Toc230426031"/>
      <w:r w:rsidRPr="00C801A6">
        <w:t>Textes de base sur l’environnement</w:t>
      </w:r>
      <w:bookmarkEnd w:id="413"/>
      <w:bookmarkEnd w:id="414"/>
      <w:bookmarkEnd w:id="415"/>
    </w:p>
    <w:p w14:paraId="316D0CDB" w14:textId="248C9903" w:rsidR="00575CDF" w:rsidRPr="00C801A6" w:rsidRDefault="00575CDF" w:rsidP="003042DB">
      <w:pPr>
        <w:pStyle w:val="Heading4"/>
        <w:rPr>
          <w:color w:val="auto"/>
        </w:rPr>
      </w:pPr>
      <w:bookmarkStart w:id="416" w:name="_Toc230298757"/>
      <w:r w:rsidRPr="00C801A6">
        <w:rPr>
          <w:color w:val="auto"/>
        </w:rPr>
        <w:t>Charte de l’Environnement Malagasy actualisée</w:t>
      </w:r>
      <w:bookmarkEnd w:id="416"/>
    </w:p>
    <w:p w14:paraId="3F92F5B7" w14:textId="40839F2D" w:rsidR="00575CDF" w:rsidRPr="00C801A6" w:rsidRDefault="00575CDF" w:rsidP="00575CDF">
      <w:pPr>
        <w:pStyle w:val="justify"/>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 xml:space="preserve">La Loi n°2015-003 du </w:t>
      </w:r>
      <w:r w:rsidR="005E630E">
        <w:rPr>
          <w:rFonts w:ascii="Times New Roman" w:hAnsi="Times New Roman"/>
          <w:sz w:val="24"/>
        </w:rPr>
        <w:t xml:space="preserve">19 février </w:t>
      </w:r>
      <w:r w:rsidRPr="00C801A6">
        <w:rPr>
          <w:rFonts w:ascii="Times New Roman" w:hAnsi="Times New Roman"/>
          <w:sz w:val="24"/>
        </w:rPr>
        <w:t>15 portant Charte de l’Environnement Malagasy actualisée énonce les règles et principes fondamentaux pour la gestion de l’Environnement. En son article 4, elle définit l’Environnement comme étant « l’ensemble des milieux naturels et artificiels, y compris les facteurs humains, socioculturels et climatiques qui intéressent le développement national ».</w:t>
      </w:r>
    </w:p>
    <w:p w14:paraId="03E94440" w14:textId="77777777" w:rsidR="00575CDF" w:rsidRPr="00C801A6" w:rsidRDefault="00575CDF" w:rsidP="00575CDF">
      <w:pPr>
        <w:pStyle w:val="justify"/>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En vertu de l’Article 13 de cette loi, « les projets d’investissements publics ou privés, qu’ils soient soumis ou non à autorisation ou à approbation d’une autorité administrative, ou qu’ils soient susceptibles de porter atteinte à l’Environnement doivent faire l’objet d’une étude d’impact ».</w:t>
      </w:r>
    </w:p>
    <w:p w14:paraId="26EC0BC4" w14:textId="343ACEFA" w:rsidR="00575CDF" w:rsidRPr="00C801A6" w:rsidRDefault="00575CDF" w:rsidP="00575CDF">
      <w:pPr>
        <w:pStyle w:val="justify"/>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 xml:space="preserve">La charte de l’Environnement Malagasy actualisée </w:t>
      </w:r>
      <w:r w:rsidR="006C715A">
        <w:rPr>
          <w:rFonts w:ascii="Times New Roman" w:hAnsi="Times New Roman"/>
          <w:sz w:val="24"/>
        </w:rPr>
        <w:t>dispose</w:t>
      </w:r>
      <w:r w:rsidRPr="00C801A6">
        <w:rPr>
          <w:rFonts w:ascii="Times New Roman" w:hAnsi="Times New Roman"/>
          <w:sz w:val="24"/>
        </w:rPr>
        <w:t xml:space="preserve"> aussi dans son article 14 que, « par application du principe de participation du public, chaque citoyen doit avoir accès aux informations relatives à l’environnement, y compris celles relatives aux substances et activités dangereuses. Le public doit être impliqué dans les décisions dans le cadre de mesures législatives efficaces. Il a également la faculté de participer à des décisions ».</w:t>
      </w:r>
    </w:p>
    <w:p w14:paraId="488C20BD" w14:textId="77777777" w:rsidR="00575CDF" w:rsidRPr="00C801A6" w:rsidRDefault="00575CDF" w:rsidP="003042DB">
      <w:pPr>
        <w:pStyle w:val="Heading4"/>
        <w:rPr>
          <w:color w:val="auto"/>
        </w:rPr>
      </w:pPr>
      <w:bookmarkStart w:id="417" w:name="_Toc230298758"/>
      <w:r w:rsidRPr="00C801A6">
        <w:rPr>
          <w:color w:val="auto"/>
        </w:rPr>
        <w:t>Décret MECIE</w:t>
      </w:r>
      <w:bookmarkEnd w:id="417"/>
    </w:p>
    <w:p w14:paraId="6A7C738D" w14:textId="77777777" w:rsidR="00C04D37" w:rsidRPr="007B4F17" w:rsidRDefault="00C04D37" w:rsidP="00C04D37">
      <w:pPr>
        <w:spacing w:before="120" w:after="120" w:line="240" w:lineRule="auto"/>
        <w:rPr>
          <w:lang w:eastAsia="fr-FR"/>
        </w:rPr>
      </w:pPr>
      <w:r w:rsidRPr="007B4F17">
        <w:rPr>
          <w:lang w:eastAsia="fr-FR"/>
        </w:rPr>
        <w:t xml:space="preserve">Le Décret n° 2025-080 du 28 janvier 2025 fixe les règles et procédures de l’Evaluation Environnementale et Sociale pour la Mise en Compatibilité des Investissements avec l’Environnement ou MECIE. </w:t>
      </w:r>
    </w:p>
    <w:p w14:paraId="4369D698" w14:textId="77777777" w:rsidR="00C04D37" w:rsidRPr="007B4F17" w:rsidRDefault="00C04D37" w:rsidP="00C04D37">
      <w:pPr>
        <w:spacing w:before="120" w:after="120" w:line="240" w:lineRule="auto"/>
        <w:rPr>
          <w:lang w:eastAsia="fr-FR"/>
        </w:rPr>
      </w:pPr>
      <w:r w:rsidRPr="007B4F17">
        <w:rPr>
          <w:lang w:eastAsia="fr-FR"/>
        </w:rPr>
        <w:t>Ce Décret fixe les modalités de participation du public à l’évaluation environnementale et préconise l’information du public concerné par le projet sur l’existence du projet et recueillir ses avis à ce propos soit par consultation sur place des documents, soit par enquête publique, soit par audience publique et comporte une phase d’information sur le projet et une phase de consultation durant laquelle il est procédé au recueil des avis du public concerné par le projet.</w:t>
      </w:r>
    </w:p>
    <w:p w14:paraId="000E7CC2" w14:textId="77777777" w:rsidR="00575CDF" w:rsidRPr="00C801A6" w:rsidRDefault="00575CDF" w:rsidP="003042DB">
      <w:pPr>
        <w:pStyle w:val="Heading4"/>
        <w:rPr>
          <w:color w:val="auto"/>
        </w:rPr>
      </w:pPr>
      <w:bookmarkStart w:id="418" w:name="_Toc227880528"/>
      <w:bookmarkStart w:id="419" w:name="_Toc227920917"/>
      <w:bookmarkStart w:id="420" w:name="_Toc227921252"/>
      <w:bookmarkStart w:id="421" w:name="_Toc227880529"/>
      <w:bookmarkStart w:id="422" w:name="_Toc227920918"/>
      <w:bookmarkStart w:id="423" w:name="_Toc227921253"/>
      <w:bookmarkStart w:id="424" w:name="_Toc230298759"/>
      <w:bookmarkEnd w:id="418"/>
      <w:bookmarkEnd w:id="419"/>
      <w:bookmarkEnd w:id="420"/>
      <w:bookmarkEnd w:id="421"/>
      <w:bookmarkEnd w:id="422"/>
      <w:bookmarkEnd w:id="423"/>
      <w:r w:rsidRPr="00C801A6">
        <w:rPr>
          <w:color w:val="auto"/>
        </w:rPr>
        <w:t>Arrêté sur les zones sensibles</w:t>
      </w:r>
      <w:bookmarkEnd w:id="424"/>
    </w:p>
    <w:p w14:paraId="46D4D8EC" w14:textId="505B8665" w:rsidR="00575CDF" w:rsidRPr="00C801A6" w:rsidRDefault="00575CDF" w:rsidP="00575CDF">
      <w:pPr>
        <w:pStyle w:val="justify"/>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L’Arrêté 4355 / 97</w:t>
      </w:r>
      <w:r w:rsidR="002333BA">
        <w:rPr>
          <w:rFonts w:ascii="Times New Roman" w:hAnsi="Times New Roman"/>
          <w:sz w:val="24"/>
        </w:rPr>
        <w:t xml:space="preserve"> du 13 mai 1997</w:t>
      </w:r>
      <w:r w:rsidR="00C3232B">
        <w:rPr>
          <w:rFonts w:ascii="Times New Roman" w:hAnsi="Times New Roman"/>
          <w:sz w:val="24"/>
        </w:rPr>
        <w:t xml:space="preserve"> </w:t>
      </w:r>
      <w:r w:rsidRPr="00C801A6">
        <w:rPr>
          <w:rFonts w:ascii="Times New Roman" w:hAnsi="Times New Roman"/>
          <w:sz w:val="24"/>
        </w:rPr>
        <w:t xml:space="preserve">portant Définition et délimitation des zones sensibles s’inscrit dans le cadre de l’application du décret MECIE relatif à la Mise en Compatibilité des Investissements avec l’Environnement. </w:t>
      </w:r>
    </w:p>
    <w:p w14:paraId="6E92A349" w14:textId="77777777" w:rsidR="00575CDF" w:rsidRDefault="00575CDF" w:rsidP="00575CDF">
      <w:pPr>
        <w:pStyle w:val="justify"/>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lastRenderedPageBreak/>
        <w:t>En son article 2, elle définit les zones sensibles comme étant les zones constituées par un ou plusieurs éléments de nature biologique, écologique, climatique, physico-chimique, culturelle, socio-économique caractérisées par une valeur spécifique et une certaine fragilité vis-à-vis des activités humaines et des phénomènes naturels susceptibles de modifier lesdits éléments et /ou de dégrader voire de détruire ladite zone.</w:t>
      </w:r>
    </w:p>
    <w:p w14:paraId="5860927A" w14:textId="063DBC5F" w:rsidR="002333BA" w:rsidRDefault="002333BA" w:rsidP="002333BA">
      <w:pPr>
        <w:spacing w:before="120" w:after="120" w:line="240" w:lineRule="auto"/>
        <w:rPr>
          <w:lang w:eastAsia="fr-FR"/>
        </w:rPr>
      </w:pPr>
      <w:r>
        <w:t>En son article 3, que sont considérées comme zones sensibles : les récifs coralliens, les mangroves, les îlots, les forêts tropicales, les zones sujettes à l’érosion, les zones arides ou semi-arides sujettes à la désertification, les zones marécageuses, les zones de conservation naturelle, les périmètres de protection des eaux potables, minérales ou souterraines, les sites paléontologiques, archéologiques, historiques ainsi que leurs périmètres de protection.</w:t>
      </w:r>
      <w:r>
        <w:rPr>
          <w:lang w:eastAsia="fr-FR"/>
        </w:rPr>
        <w:t xml:space="preserve"> Les zones abritant les espèces protégées et/ou en voie de disparition sont fusionnées avec les zones de conservation naturelle à l’intérieur desquelles elles se trouvent.</w:t>
      </w:r>
    </w:p>
    <w:p w14:paraId="0BE02DF6" w14:textId="5F86D4CF" w:rsidR="002333BA" w:rsidRDefault="000C118B" w:rsidP="002333BA">
      <w:pPr>
        <w:spacing w:before="120" w:after="120" w:line="240" w:lineRule="auto"/>
        <w:rPr>
          <w:lang w:eastAsia="fr-FR"/>
        </w:rPr>
      </w:pPr>
      <w:r>
        <w:rPr>
          <w:lang w:eastAsia="fr-FR"/>
        </w:rPr>
        <w:t>Durant la mise en œuvre de la composante CERC du projet PCMCI, il est probable qu’une partie des sections de routes nationales revêtues à réhabiliter traversera des zones sensibles</w:t>
      </w:r>
      <w:r w:rsidR="002333BA" w:rsidRPr="007B4F17">
        <w:rPr>
          <w:lang w:eastAsia="fr-FR"/>
        </w:rPr>
        <w:t>.</w:t>
      </w:r>
      <w:r>
        <w:rPr>
          <w:lang w:eastAsia="fr-FR"/>
        </w:rPr>
        <w:t xml:space="preserve"> Par conséquent, des mesures y afférentes seront proposées afin d’éviter leurs perturbations et/ou leurs destructions.</w:t>
      </w:r>
    </w:p>
    <w:p w14:paraId="07D0D71A" w14:textId="77777777" w:rsidR="00575CDF" w:rsidRPr="00C801A6" w:rsidRDefault="00575CDF" w:rsidP="00C65572">
      <w:pPr>
        <w:pStyle w:val="Heading3"/>
      </w:pPr>
      <w:bookmarkStart w:id="425" w:name="_Toc227880531"/>
      <w:bookmarkStart w:id="426" w:name="_Toc227920920"/>
      <w:bookmarkStart w:id="427" w:name="_Toc227921255"/>
      <w:bookmarkStart w:id="428" w:name="_Toc106320325"/>
      <w:bookmarkStart w:id="429" w:name="_Toc230426032"/>
      <w:bookmarkEnd w:id="425"/>
      <w:bookmarkEnd w:id="426"/>
      <w:bookmarkEnd w:id="427"/>
      <w:r w:rsidRPr="00C801A6">
        <w:t>Textes de base sur le secteur routier</w:t>
      </w:r>
      <w:bookmarkEnd w:id="428"/>
      <w:bookmarkEnd w:id="429"/>
    </w:p>
    <w:p w14:paraId="71D8B4AB" w14:textId="5FF3E4CF" w:rsidR="00575CDF" w:rsidRPr="00C801A6" w:rsidRDefault="00575CDF" w:rsidP="003042DB">
      <w:pPr>
        <w:pStyle w:val="Heading4"/>
        <w:rPr>
          <w:color w:val="auto"/>
        </w:rPr>
      </w:pPr>
      <w:bookmarkStart w:id="430" w:name="_Toc230298760"/>
      <w:r w:rsidRPr="00C801A6">
        <w:rPr>
          <w:color w:val="auto"/>
        </w:rPr>
        <w:t>Patrimoine routier</w:t>
      </w:r>
      <w:bookmarkEnd w:id="430"/>
    </w:p>
    <w:p w14:paraId="2197F51D" w14:textId="77777777" w:rsidR="00575CDF" w:rsidRPr="00C801A6" w:rsidRDefault="00575CDF" w:rsidP="00575CDF">
      <w:pPr>
        <w:rPr>
          <w:color w:val="auto"/>
        </w:rPr>
      </w:pPr>
      <w:r w:rsidRPr="00C801A6">
        <w:rPr>
          <w:color w:val="auto"/>
        </w:rPr>
        <w:t>L’Ordonnance n°2019-001 relative au patrimoine routier précise dans son article 2 qu’en conformité avec la PGE et autres documents de référence nationale, la définition de la politique nationale et des stratégies de construction, d’aménagement, de réhabilitation et d’entretien du patrimoine routier relève de la compétence du Ministère chargé des Travaux Publics qui définit en même temps les normes techniques et de travail requises à cet effet.</w:t>
      </w:r>
    </w:p>
    <w:p w14:paraId="5DA33013" w14:textId="77777777" w:rsidR="00575CDF" w:rsidRPr="00C801A6" w:rsidRDefault="00575CDF" w:rsidP="00575CDF">
      <w:pPr>
        <w:rPr>
          <w:color w:val="auto"/>
        </w:rPr>
      </w:pPr>
      <w:r w:rsidRPr="00C801A6">
        <w:rPr>
          <w:color w:val="auto"/>
        </w:rPr>
        <w:t>Cette ordonnance donne aussi la classification des routes. Ainsi, dans son article 3, elle mentionne que le patrimoine routier comprend :</w:t>
      </w:r>
    </w:p>
    <w:p w14:paraId="5878413C" w14:textId="77777777" w:rsidR="00575CDF" w:rsidRPr="00C801A6" w:rsidRDefault="00575CDF" w:rsidP="00844538">
      <w:pPr>
        <w:pStyle w:val="ListParagraph"/>
        <w:numPr>
          <w:ilvl w:val="0"/>
          <w:numId w:val="4"/>
        </w:numPr>
        <w:rPr>
          <w:color w:val="auto"/>
        </w:rPr>
      </w:pPr>
      <w:r w:rsidRPr="00C801A6">
        <w:rPr>
          <w:color w:val="auto"/>
        </w:rPr>
        <w:t>le réseau des routes nationales ;</w:t>
      </w:r>
    </w:p>
    <w:p w14:paraId="186B9010" w14:textId="77777777" w:rsidR="00575CDF" w:rsidRPr="00C801A6" w:rsidRDefault="00575CDF" w:rsidP="00844538">
      <w:pPr>
        <w:pStyle w:val="ListParagraph"/>
        <w:numPr>
          <w:ilvl w:val="0"/>
          <w:numId w:val="4"/>
        </w:numPr>
        <w:rPr>
          <w:color w:val="auto"/>
        </w:rPr>
      </w:pPr>
      <w:r w:rsidRPr="00C801A6">
        <w:rPr>
          <w:color w:val="auto"/>
        </w:rPr>
        <w:t>le réseau des routes régionales ;</w:t>
      </w:r>
    </w:p>
    <w:p w14:paraId="7182738D" w14:textId="77777777" w:rsidR="00575CDF" w:rsidRPr="00C801A6" w:rsidRDefault="00575CDF" w:rsidP="00844538">
      <w:pPr>
        <w:pStyle w:val="ListParagraph"/>
        <w:numPr>
          <w:ilvl w:val="0"/>
          <w:numId w:val="4"/>
        </w:numPr>
        <w:rPr>
          <w:color w:val="auto"/>
        </w:rPr>
      </w:pPr>
      <w:r w:rsidRPr="00C801A6">
        <w:rPr>
          <w:color w:val="auto"/>
        </w:rPr>
        <w:t>Le réseau des routes communales, tant pour les Communes urbaines que rurales.</w:t>
      </w:r>
    </w:p>
    <w:p w14:paraId="3497DBD7" w14:textId="77777777" w:rsidR="00575CDF" w:rsidRPr="00C801A6" w:rsidRDefault="00575CDF" w:rsidP="00575CDF">
      <w:pPr>
        <w:rPr>
          <w:color w:val="auto"/>
        </w:rPr>
      </w:pPr>
      <w:r w:rsidRPr="00C801A6">
        <w:rPr>
          <w:color w:val="auto"/>
        </w:rPr>
        <w:t>L’article 4 de l’ordonnance définit la classification des routes nationales comme étant :</w:t>
      </w:r>
    </w:p>
    <w:p w14:paraId="40D98512" w14:textId="77777777" w:rsidR="00575CDF" w:rsidRPr="00C801A6" w:rsidRDefault="00575CDF" w:rsidP="00844538">
      <w:pPr>
        <w:pStyle w:val="ListParagraph"/>
        <w:numPr>
          <w:ilvl w:val="0"/>
          <w:numId w:val="4"/>
        </w:numPr>
        <w:rPr>
          <w:color w:val="auto"/>
        </w:rPr>
      </w:pPr>
      <w:r w:rsidRPr="00C801A6">
        <w:rPr>
          <w:color w:val="auto"/>
        </w:rPr>
        <w:t>les routes reliant deux chefs-lieux de Province ;</w:t>
      </w:r>
    </w:p>
    <w:p w14:paraId="73D2E5B1" w14:textId="77777777" w:rsidR="00575CDF" w:rsidRPr="00C801A6" w:rsidRDefault="00575CDF" w:rsidP="00844538">
      <w:pPr>
        <w:pStyle w:val="ListParagraph"/>
        <w:numPr>
          <w:ilvl w:val="0"/>
          <w:numId w:val="4"/>
        </w:numPr>
        <w:rPr>
          <w:color w:val="auto"/>
        </w:rPr>
      </w:pPr>
      <w:r w:rsidRPr="00C801A6">
        <w:rPr>
          <w:color w:val="auto"/>
        </w:rPr>
        <w:t>les routes reliant les chefs-lieux de Province aux chefs-lieux de Région ;</w:t>
      </w:r>
    </w:p>
    <w:p w14:paraId="7CC2B58D" w14:textId="77777777" w:rsidR="00575CDF" w:rsidRPr="00C801A6" w:rsidRDefault="00575CDF" w:rsidP="00844538">
      <w:pPr>
        <w:pStyle w:val="ListParagraph"/>
        <w:numPr>
          <w:ilvl w:val="0"/>
          <w:numId w:val="4"/>
        </w:numPr>
        <w:rPr>
          <w:color w:val="auto"/>
        </w:rPr>
      </w:pPr>
      <w:r w:rsidRPr="00C801A6">
        <w:rPr>
          <w:color w:val="auto"/>
        </w:rPr>
        <w:t>les routes reliant deux chefs-lieux de Région ;</w:t>
      </w:r>
    </w:p>
    <w:p w14:paraId="54BBE4F9" w14:textId="77777777" w:rsidR="00575CDF" w:rsidRPr="00C801A6" w:rsidRDefault="00575CDF" w:rsidP="00844538">
      <w:pPr>
        <w:pStyle w:val="ListParagraph"/>
        <w:numPr>
          <w:ilvl w:val="0"/>
          <w:numId w:val="4"/>
        </w:numPr>
        <w:rPr>
          <w:color w:val="auto"/>
        </w:rPr>
      </w:pPr>
      <w:r w:rsidRPr="00C801A6">
        <w:rPr>
          <w:color w:val="auto"/>
        </w:rPr>
        <w:t>les routes reliant deux chefs-lieux de Province aux chefs-lieux de District ;</w:t>
      </w:r>
    </w:p>
    <w:p w14:paraId="474BFCF2" w14:textId="77777777" w:rsidR="00575CDF" w:rsidRPr="00C801A6" w:rsidRDefault="00575CDF" w:rsidP="00844538">
      <w:pPr>
        <w:pStyle w:val="ListParagraph"/>
        <w:numPr>
          <w:ilvl w:val="0"/>
          <w:numId w:val="4"/>
        </w:numPr>
        <w:rPr>
          <w:color w:val="auto"/>
        </w:rPr>
      </w:pPr>
      <w:r w:rsidRPr="00C801A6">
        <w:rPr>
          <w:color w:val="auto"/>
        </w:rPr>
        <w:t xml:space="preserve">les routes d’accès aux pôles et zones de croissance économique ; </w:t>
      </w:r>
    </w:p>
    <w:p w14:paraId="4933BD9C" w14:textId="77777777" w:rsidR="00575CDF" w:rsidRPr="00C801A6" w:rsidRDefault="00575CDF" w:rsidP="00844538">
      <w:pPr>
        <w:pStyle w:val="ListParagraph"/>
        <w:numPr>
          <w:ilvl w:val="0"/>
          <w:numId w:val="4"/>
        </w:numPr>
        <w:rPr>
          <w:color w:val="auto"/>
        </w:rPr>
      </w:pPr>
      <w:r w:rsidRPr="00C801A6">
        <w:rPr>
          <w:color w:val="auto"/>
        </w:rPr>
        <w:t>les routes d’accès revêtant un caractère stratégique.</w:t>
      </w:r>
    </w:p>
    <w:p w14:paraId="60FDE083" w14:textId="77777777" w:rsidR="00575CDF" w:rsidRPr="00C801A6" w:rsidRDefault="00575CDF" w:rsidP="003042DB">
      <w:pPr>
        <w:pStyle w:val="Heading4"/>
        <w:rPr>
          <w:color w:val="auto"/>
        </w:rPr>
      </w:pPr>
      <w:bookmarkStart w:id="431" w:name="_Toc230298761"/>
      <w:r w:rsidRPr="00C801A6">
        <w:rPr>
          <w:color w:val="auto"/>
        </w:rPr>
        <w:t>Réserve d’emprise</w:t>
      </w:r>
      <w:bookmarkEnd w:id="431"/>
    </w:p>
    <w:p w14:paraId="069AEF70" w14:textId="15CDD9E8" w:rsidR="00575CDF" w:rsidRPr="00C801A6" w:rsidRDefault="00575CDF" w:rsidP="00575CDF">
      <w:pPr>
        <w:rPr>
          <w:color w:val="auto"/>
        </w:rPr>
      </w:pPr>
      <w:r w:rsidRPr="00C801A6">
        <w:rPr>
          <w:color w:val="auto"/>
        </w:rPr>
        <w:t>L’ordonnance n°60-1</w:t>
      </w:r>
      <w:r w:rsidR="007355FC" w:rsidRPr="00C801A6">
        <w:rPr>
          <w:color w:val="auto"/>
        </w:rPr>
        <w:t>6</w:t>
      </w:r>
      <w:r w:rsidRPr="00C801A6">
        <w:rPr>
          <w:color w:val="auto"/>
        </w:rPr>
        <w:t xml:space="preserve">6 du 30 octobre 1960, fixe la réserve d’emprise, bande de terrain coaxiale à la route, à la largeur de 30m pour les routes nationales et de 20m pour les routes provinciales, qui a pour vocation de recevoir les travaux d’élargissement ultérieurs. Elle impose les servitudes à l’intérieur de la réserve d’emprise, dont interdiction d’empiètement par construction ou mise </w:t>
      </w:r>
      <w:r w:rsidRPr="00C801A6">
        <w:rPr>
          <w:color w:val="auto"/>
        </w:rPr>
        <w:lastRenderedPageBreak/>
        <w:t>en culture. Il y a néanmoins possibilité d’autorisation d’occupation temporaire pour les cultures saisonnières, par le Ministère chargé des Travaux Publics, révocable à toute époque et sans indemnité autre que la valeur des cultures autorisées.</w:t>
      </w:r>
    </w:p>
    <w:p w14:paraId="00E05A1B" w14:textId="77777777" w:rsidR="00575CDF" w:rsidRPr="00C801A6" w:rsidRDefault="00575CDF" w:rsidP="003042DB">
      <w:pPr>
        <w:pStyle w:val="Heading4"/>
        <w:rPr>
          <w:color w:val="auto"/>
        </w:rPr>
      </w:pPr>
      <w:bookmarkStart w:id="432" w:name="_Toc230298762"/>
      <w:r w:rsidRPr="00C801A6">
        <w:rPr>
          <w:color w:val="auto"/>
        </w:rPr>
        <w:t>Code de la route</w:t>
      </w:r>
      <w:bookmarkEnd w:id="432"/>
    </w:p>
    <w:p w14:paraId="39ED7D0C" w14:textId="77777777" w:rsidR="00575CDF" w:rsidRPr="00C801A6" w:rsidRDefault="00575CDF" w:rsidP="00575CDF">
      <w:pPr>
        <w:rPr>
          <w:color w:val="auto"/>
        </w:rPr>
      </w:pPr>
      <w:r w:rsidRPr="00C801A6">
        <w:rPr>
          <w:color w:val="auto"/>
        </w:rPr>
        <w:t>La loi n°2017-002 portant Code de la Route à Madagascar, détermine les conditions d’utilisation des voies ouvertes à la circulation publique. Elle a pour objectif d’assurer la sécurité et la sûreté de la circulation et des transports routiers des biens et des personnes.</w:t>
      </w:r>
    </w:p>
    <w:p w14:paraId="66E31AE3" w14:textId="77777777" w:rsidR="00575CDF" w:rsidRPr="00C801A6" w:rsidRDefault="00575CDF" w:rsidP="003042DB">
      <w:pPr>
        <w:pStyle w:val="Heading4"/>
        <w:rPr>
          <w:color w:val="auto"/>
        </w:rPr>
      </w:pPr>
      <w:bookmarkStart w:id="433" w:name="_Toc230298763"/>
      <w:r w:rsidRPr="00C801A6">
        <w:rPr>
          <w:color w:val="auto"/>
        </w:rPr>
        <w:t>Texte sur les transports terrestres et fluviaux.</w:t>
      </w:r>
      <w:bookmarkEnd w:id="433"/>
    </w:p>
    <w:p w14:paraId="318B607D" w14:textId="56AF7E59" w:rsidR="00575CDF" w:rsidRPr="00C801A6" w:rsidRDefault="00575CDF" w:rsidP="00575CDF">
      <w:pPr>
        <w:rPr>
          <w:color w:val="auto"/>
        </w:rPr>
      </w:pPr>
      <w:r w:rsidRPr="00C801A6">
        <w:rPr>
          <w:color w:val="auto"/>
        </w:rPr>
        <w:t xml:space="preserve">La Loi n°95-029 </w:t>
      </w:r>
      <w:r w:rsidR="007355FC" w:rsidRPr="00C801A6">
        <w:rPr>
          <w:color w:val="auto"/>
        </w:rPr>
        <w:t xml:space="preserve">du 4 Août 1995 </w:t>
      </w:r>
      <w:r w:rsidRPr="00C801A6">
        <w:rPr>
          <w:color w:val="auto"/>
        </w:rPr>
        <w:t>portant organisation générale des transports terrestres et fluviaux précise, entre autres, que les transports par chemin de fer, par routes et par navigation intérieure sont organisés de manière à assurer les besoins des usagers en qualité et en quantité et la participation des opérateurs au développement économique du Pays et à l’entretien des infrastructures.</w:t>
      </w:r>
    </w:p>
    <w:p w14:paraId="4B017613" w14:textId="5DAC6D13" w:rsidR="00575CDF" w:rsidRPr="00C801A6" w:rsidRDefault="00575CDF" w:rsidP="00575CDF">
      <w:pPr>
        <w:rPr>
          <w:color w:val="auto"/>
        </w:rPr>
      </w:pPr>
      <w:r w:rsidRPr="00C801A6">
        <w:rPr>
          <w:color w:val="auto"/>
        </w:rPr>
        <w:t>Cette loi mentionne aussi dans son article 5 que</w:t>
      </w:r>
      <w:r w:rsidR="007355FC" w:rsidRPr="00C801A6">
        <w:rPr>
          <w:color w:val="auto"/>
        </w:rPr>
        <w:t>,</w:t>
      </w:r>
      <w:r w:rsidRPr="00C801A6">
        <w:rPr>
          <w:color w:val="auto"/>
        </w:rPr>
        <w:t xml:space="preserve"> en vue d’assurer la protection et la conservation du patrimoine routier, certaines routes peuvent être momentanément ou périodiquement fermées au trafic des voyageurs ou des marchandises, par décision des autorités compétentes concernées en fonction de la classification des routes. Et que son article 6 </w:t>
      </w:r>
      <w:r w:rsidR="006C715A">
        <w:rPr>
          <w:color w:val="auto"/>
        </w:rPr>
        <w:t>dispose</w:t>
      </w:r>
      <w:r w:rsidRPr="00C801A6">
        <w:rPr>
          <w:color w:val="auto"/>
        </w:rPr>
        <w:t xml:space="preserve"> que l’utilisation de certains ouvrages d’art important peut donner lieu à la perception d’un droit de péage.</w:t>
      </w:r>
    </w:p>
    <w:p w14:paraId="121B8881" w14:textId="77777777" w:rsidR="00575CDF" w:rsidRPr="00C801A6" w:rsidRDefault="00575CDF" w:rsidP="003042DB">
      <w:pPr>
        <w:pStyle w:val="Heading4"/>
        <w:rPr>
          <w:color w:val="auto"/>
        </w:rPr>
      </w:pPr>
      <w:bookmarkStart w:id="434" w:name="_Toc230298764"/>
      <w:r w:rsidRPr="00C801A6">
        <w:rPr>
          <w:color w:val="auto"/>
        </w:rPr>
        <w:t>Classement des routes nationales</w:t>
      </w:r>
      <w:bookmarkEnd w:id="434"/>
    </w:p>
    <w:p w14:paraId="455068EC" w14:textId="77777777" w:rsidR="00575CDF" w:rsidRPr="00C801A6" w:rsidRDefault="00575CDF" w:rsidP="00575CDF">
      <w:pPr>
        <w:rPr>
          <w:i/>
          <w:iCs/>
          <w:color w:val="auto"/>
        </w:rPr>
      </w:pPr>
      <w:r w:rsidRPr="00C801A6">
        <w:rPr>
          <w:rFonts w:eastAsia="Times New Roman" w:cs="Times New Roman"/>
          <w:color w:val="auto"/>
        </w:rPr>
        <w:t xml:space="preserve">Le Décret 2020-1350 portant refonte de classement des routes nationales fixe le classement des réseaux routiers nationaux comme </w:t>
      </w:r>
      <w:r w:rsidRPr="00C801A6">
        <w:rPr>
          <w:color w:val="auto"/>
        </w:rPr>
        <w:t xml:space="preserve">suit : </w:t>
      </w:r>
      <w:r w:rsidRPr="00C801A6">
        <w:rPr>
          <w:i/>
          <w:iCs/>
          <w:color w:val="auto"/>
        </w:rPr>
        <w:t>(voir liste en annexe)</w:t>
      </w:r>
    </w:p>
    <w:p w14:paraId="38D5F815" w14:textId="77777777" w:rsidR="00575CDF" w:rsidRPr="00C801A6" w:rsidRDefault="00575CDF" w:rsidP="00575CDF">
      <w:pPr>
        <w:ind w:left="426" w:hanging="142"/>
        <w:rPr>
          <w:color w:val="auto"/>
        </w:rPr>
      </w:pPr>
      <w:r w:rsidRPr="00C801A6">
        <w:rPr>
          <w:color w:val="auto"/>
        </w:rPr>
        <w:t>1). Routes Nationales Primaires (RNP) : les routes reliant les chefs-lieux de Province</w:t>
      </w:r>
    </w:p>
    <w:p w14:paraId="039B0903" w14:textId="77777777" w:rsidR="00575CDF" w:rsidRPr="00C801A6" w:rsidRDefault="00575CDF" w:rsidP="00575CDF">
      <w:pPr>
        <w:ind w:left="426" w:hanging="142"/>
        <w:rPr>
          <w:color w:val="auto"/>
        </w:rPr>
      </w:pPr>
      <w:r w:rsidRPr="00C801A6">
        <w:rPr>
          <w:color w:val="auto"/>
        </w:rPr>
        <w:t>2). Routes Nationales Secondaires (RNS) : les routes reliant les chefs-lieux de Province aux chefs-lieux de Région, les routes reliant deux chefs­ lieux de Région et les routes revêtant un caractère stratégique</w:t>
      </w:r>
    </w:p>
    <w:p w14:paraId="6DB56139" w14:textId="77777777" w:rsidR="00575CDF" w:rsidRPr="00C801A6" w:rsidRDefault="00575CDF" w:rsidP="00575CDF">
      <w:pPr>
        <w:ind w:left="426" w:hanging="142"/>
        <w:rPr>
          <w:color w:val="auto"/>
        </w:rPr>
      </w:pPr>
      <w:r w:rsidRPr="00C801A6">
        <w:rPr>
          <w:color w:val="auto"/>
        </w:rPr>
        <w:t xml:space="preserve">3). </w:t>
      </w:r>
      <w:r w:rsidRPr="00C801A6">
        <w:rPr>
          <w:rFonts w:eastAsia="Times New Roman" w:cs="Times New Roman"/>
          <w:color w:val="auto"/>
        </w:rPr>
        <w:t>Routes Nationales Temporaires (RNT) : les routes reliant les chefs-lieux de Province aux chefs-lieux de District, les routes d'accès aux pôles et zones de croissance économique</w:t>
      </w:r>
      <w:r w:rsidRPr="00C801A6">
        <w:rPr>
          <w:color w:val="auto"/>
        </w:rPr>
        <w:t xml:space="preserve">. </w:t>
      </w:r>
    </w:p>
    <w:p w14:paraId="625FBD31" w14:textId="77777777" w:rsidR="00575CDF" w:rsidRPr="00C801A6" w:rsidRDefault="00575CDF" w:rsidP="003042DB">
      <w:pPr>
        <w:pStyle w:val="Heading4"/>
        <w:rPr>
          <w:color w:val="auto"/>
        </w:rPr>
      </w:pPr>
      <w:bookmarkStart w:id="435" w:name="_Toc230298765"/>
      <w:r w:rsidRPr="00C801A6">
        <w:rPr>
          <w:color w:val="auto"/>
        </w:rPr>
        <w:t>Normes nationales applicables sur les infrastructures routières</w:t>
      </w:r>
      <w:bookmarkEnd w:id="435"/>
    </w:p>
    <w:p w14:paraId="0DE9F9D0" w14:textId="77777777" w:rsidR="00575CDF" w:rsidRPr="00C801A6" w:rsidRDefault="00575CDF" w:rsidP="00575CDF">
      <w:pPr>
        <w:pStyle w:val="justify"/>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Le Décret n°2020-1156 fixe les normes nationales applicables sur les infrastructures routières résistantes aux inondations et aux phénomènes géologiques à Madagascar et déterminant les modalités de sa mise en œuvre.</w:t>
      </w:r>
    </w:p>
    <w:p w14:paraId="64216173" w14:textId="77777777" w:rsidR="00575CDF" w:rsidRPr="00C801A6" w:rsidRDefault="00575CDF" w:rsidP="00575CDF">
      <w:pPr>
        <w:pStyle w:val="justify"/>
        <w:shd w:val="clear" w:color="auto" w:fill="FFFFFF" w:themeFill="background1"/>
        <w:spacing w:before="0" w:beforeAutospacing="0" w:after="160" w:afterAutospacing="0" w:line="276" w:lineRule="auto"/>
        <w:jc w:val="both"/>
        <w:rPr>
          <w:rFonts w:ascii="Times New Roman" w:hAnsi="Times New Roman"/>
          <w:sz w:val="24"/>
        </w:rPr>
      </w:pPr>
      <w:r w:rsidRPr="00C801A6">
        <w:rPr>
          <w:rFonts w:ascii="Times New Roman" w:hAnsi="Times New Roman"/>
          <w:sz w:val="24"/>
        </w:rPr>
        <w:t>Les détails techniques y afférents sont recueillis dans le document intitulé « Norme pour les infrastructures routières résistantes aux inondations et aux phénomènes géologiques à Madagascar ».</w:t>
      </w:r>
    </w:p>
    <w:p w14:paraId="6FA45E27" w14:textId="77777777" w:rsidR="00575CDF" w:rsidRPr="00C801A6" w:rsidRDefault="00575CDF" w:rsidP="003042DB">
      <w:pPr>
        <w:pStyle w:val="Heading4"/>
        <w:rPr>
          <w:color w:val="auto"/>
        </w:rPr>
      </w:pPr>
      <w:bookmarkStart w:id="436" w:name="_Toc230298766"/>
      <w:r w:rsidRPr="00C801A6">
        <w:rPr>
          <w:color w:val="auto"/>
        </w:rPr>
        <w:lastRenderedPageBreak/>
        <w:t>Station de pesage des poids lourds sur les routes nationales</w:t>
      </w:r>
      <w:bookmarkEnd w:id="436"/>
    </w:p>
    <w:p w14:paraId="0FBCF528" w14:textId="77777777" w:rsidR="00575CDF" w:rsidRPr="00C801A6" w:rsidRDefault="00575CDF" w:rsidP="00575CDF">
      <w:pPr>
        <w:pStyle w:val="justify"/>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L’Arrêté interministériel n°22848 / 2011 portant instauration des stations de pesage des poids lourds sur les routes nationales et fixant leurs modalités de fonctionnement s'applique aux véhicules « poids lourds » définis comme un véhicule utilitaire pour marchandises dont le Poids Total Autorisé en Charge (PTAC) est supérieur ou égal à 3,5 tonnes. Le véhicule peut être constitué par un véhicule isolé ou un ensemble de véhicules.</w:t>
      </w:r>
    </w:p>
    <w:p w14:paraId="5F15C417" w14:textId="77777777" w:rsidR="00575CDF" w:rsidRPr="00C801A6" w:rsidRDefault="00575CDF" w:rsidP="00575CDF">
      <w:pPr>
        <w:pStyle w:val="justify"/>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Tout véhicule « poids lourds », vide ou chargé, est obligatoirement soumis au contrôle des charges au niveau de chaque poste de pesage fonctionnel, fixe ou mobile, sur le réseau des Routes Nationales.</w:t>
      </w:r>
    </w:p>
    <w:p w14:paraId="57FC7821" w14:textId="250B6596" w:rsidR="00E4051C" w:rsidRPr="00C801A6" w:rsidRDefault="00E4051C" w:rsidP="00C65572">
      <w:pPr>
        <w:pStyle w:val="Heading3"/>
      </w:pPr>
      <w:bookmarkStart w:id="437" w:name="_Toc106320326"/>
      <w:bookmarkStart w:id="438" w:name="_Toc230426033"/>
      <w:r w:rsidRPr="00C801A6">
        <w:t>Texte de base sur l</w:t>
      </w:r>
      <w:bookmarkEnd w:id="437"/>
      <w:r w:rsidR="00554F95">
        <w:t>e secteur maritime</w:t>
      </w:r>
      <w:bookmarkEnd w:id="438"/>
    </w:p>
    <w:p w14:paraId="057EB97D" w14:textId="3AE147D9" w:rsidR="0081222A" w:rsidRPr="0081222A" w:rsidRDefault="0081222A" w:rsidP="0081222A">
      <w:pPr>
        <w:pStyle w:val="justify"/>
        <w:shd w:val="clear" w:color="auto" w:fill="FFFFFF"/>
        <w:spacing w:before="0" w:beforeAutospacing="0" w:after="160" w:afterAutospacing="0" w:line="276" w:lineRule="auto"/>
        <w:jc w:val="both"/>
        <w:rPr>
          <w:rFonts w:ascii="Times New Roman" w:hAnsi="Times New Roman"/>
          <w:sz w:val="24"/>
        </w:rPr>
      </w:pPr>
      <w:bookmarkStart w:id="439" w:name="_Hlk102567584"/>
      <w:r w:rsidRPr="0081222A">
        <w:rPr>
          <w:rFonts w:ascii="Times New Roman" w:hAnsi="Times New Roman"/>
          <w:sz w:val="24"/>
        </w:rPr>
        <w:t xml:space="preserve">Loi n° 99-028 du 3 février 2000 portant refonte du Code maritime. Elle précise la souveraineté de </w:t>
      </w:r>
      <w:r w:rsidR="00EF6701" w:rsidRPr="0081222A">
        <w:rPr>
          <w:rFonts w:ascii="Times New Roman" w:hAnsi="Times New Roman"/>
          <w:sz w:val="24"/>
        </w:rPr>
        <w:t>l’Etat</w:t>
      </w:r>
      <w:r w:rsidRPr="0081222A">
        <w:rPr>
          <w:rFonts w:ascii="Times New Roman" w:hAnsi="Times New Roman"/>
          <w:sz w:val="24"/>
        </w:rPr>
        <w:t xml:space="preserve"> malgache sur son territoire, ses eaux intérieures et sur sa mer territoriale. Elle comporte des dispositions pour la gestion et conservation des ressources biologiques, la protection et préservation du milieu marin.</w:t>
      </w:r>
    </w:p>
    <w:p w14:paraId="699EB4AB" w14:textId="58D7E460" w:rsidR="0081222A" w:rsidRPr="0081222A" w:rsidRDefault="0081222A" w:rsidP="0081222A">
      <w:pPr>
        <w:pStyle w:val="justify"/>
        <w:shd w:val="clear" w:color="auto" w:fill="FFFFFF"/>
        <w:spacing w:before="0" w:beforeAutospacing="0" w:after="160" w:afterAutospacing="0" w:line="276" w:lineRule="auto"/>
        <w:jc w:val="both"/>
        <w:rPr>
          <w:rFonts w:ascii="Times New Roman" w:hAnsi="Times New Roman"/>
          <w:sz w:val="24"/>
        </w:rPr>
      </w:pPr>
      <w:r w:rsidRPr="0081222A">
        <w:rPr>
          <w:rFonts w:ascii="Times New Roman" w:hAnsi="Times New Roman"/>
          <w:sz w:val="24"/>
        </w:rPr>
        <w:t>Décret n° 2012-391 du 20 mars 2012, modifié et complété par le Décret n°2017-325 09 mai 2017, portant restructuration de l'Agence Portuaire, Maritime et Fluviale (APMF) fixant ses statuts, ses modalités de financement, portant création du Conseil Supérieur des Ports, des Transports Maritime et Fluvial et du Centre d'appui et d'opérations maritimes.</w:t>
      </w:r>
    </w:p>
    <w:p w14:paraId="611087E9" w14:textId="5FC3A889" w:rsidR="00575CDF" w:rsidRPr="00C801A6" w:rsidRDefault="00575CDF" w:rsidP="00C65572">
      <w:pPr>
        <w:pStyle w:val="Heading3"/>
      </w:pPr>
      <w:bookmarkStart w:id="440" w:name="_Toc106320328"/>
      <w:bookmarkStart w:id="441" w:name="_Toc230426034"/>
      <w:bookmarkEnd w:id="439"/>
      <w:r w:rsidRPr="00C801A6">
        <w:t>Autres textes sectoriels</w:t>
      </w:r>
      <w:bookmarkEnd w:id="440"/>
      <w:bookmarkEnd w:id="441"/>
    </w:p>
    <w:p w14:paraId="523AE284" w14:textId="2CE6A5CF" w:rsidR="00575CDF" w:rsidRPr="00C801A6" w:rsidRDefault="00575CDF" w:rsidP="003042DB">
      <w:pPr>
        <w:pStyle w:val="Heading4"/>
        <w:rPr>
          <w:color w:val="auto"/>
        </w:rPr>
      </w:pPr>
      <w:bookmarkStart w:id="442" w:name="_Toc230298767"/>
      <w:r w:rsidRPr="00C801A6">
        <w:rPr>
          <w:color w:val="auto"/>
        </w:rPr>
        <w:t>Code des aires protégées</w:t>
      </w:r>
      <w:bookmarkEnd w:id="442"/>
    </w:p>
    <w:p w14:paraId="3810B8DF" w14:textId="77777777" w:rsidR="00575CDF" w:rsidRPr="00C801A6" w:rsidRDefault="00575CDF" w:rsidP="00575CDF">
      <w:pPr>
        <w:pStyle w:val="justify"/>
        <w:shd w:val="clear" w:color="auto" w:fill="FFFFFF" w:themeFill="background1"/>
        <w:spacing w:before="0" w:beforeAutospacing="0" w:after="160" w:afterAutospacing="0" w:line="276" w:lineRule="auto"/>
        <w:jc w:val="both"/>
        <w:rPr>
          <w:rFonts w:ascii="Times New Roman" w:hAnsi="Times New Roman"/>
          <w:sz w:val="24"/>
        </w:rPr>
      </w:pPr>
      <w:r w:rsidRPr="00C801A6">
        <w:rPr>
          <w:rFonts w:ascii="Times New Roman" w:hAnsi="Times New Roman"/>
          <w:sz w:val="24"/>
        </w:rPr>
        <w:t>La loi n°2015-005 du 25/02/15 portant Code de gestion des Aires Protégées (COAP) définit dans son article 1 que : une aire protégée est un territoire délimité, terrestre, marin, côtier, aquatique dont les composantes présentent une valeur particulière notamment biologique, naturelle, esthétique, morphologique, historique, archéologique, cultuelle ou culturelle, et qui nécessite, dans l’intérêt général, une préservation multiforme.</w:t>
      </w:r>
    </w:p>
    <w:p w14:paraId="74911175" w14:textId="77777777" w:rsidR="00575CDF" w:rsidRPr="00C801A6" w:rsidRDefault="00575CDF" w:rsidP="00575CDF">
      <w:pPr>
        <w:pStyle w:val="justify"/>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Elle est gérée en vue de la protection et du maintien de la diversité biologique, de la conservation des valeurs particulières du patrimoine naturel et culturel et de l’utilisation durable des ressources naturelles contribuant à la réduction de la pauvreté.</w:t>
      </w:r>
    </w:p>
    <w:p w14:paraId="7C57BC85" w14:textId="77777777" w:rsidR="00575CDF" w:rsidRPr="00C801A6" w:rsidRDefault="00575CDF" w:rsidP="003042DB">
      <w:pPr>
        <w:pStyle w:val="Heading4"/>
        <w:rPr>
          <w:color w:val="auto"/>
        </w:rPr>
      </w:pPr>
      <w:bookmarkStart w:id="443" w:name="_Toc165915180"/>
      <w:bookmarkStart w:id="444" w:name="_Toc206868147"/>
      <w:bookmarkStart w:id="445" w:name="_Toc268725431"/>
      <w:bookmarkStart w:id="446" w:name="_Toc356337464"/>
      <w:bookmarkStart w:id="447" w:name="_Toc356368961"/>
      <w:bookmarkStart w:id="448" w:name="_Toc442222915"/>
      <w:bookmarkStart w:id="449" w:name="_Toc230298768"/>
      <w:r w:rsidRPr="00C801A6">
        <w:rPr>
          <w:color w:val="auto"/>
        </w:rPr>
        <w:t xml:space="preserve">Texte de base </w:t>
      </w:r>
      <w:bookmarkEnd w:id="443"/>
      <w:bookmarkEnd w:id="444"/>
      <w:bookmarkEnd w:id="445"/>
      <w:bookmarkEnd w:id="446"/>
      <w:bookmarkEnd w:id="447"/>
      <w:bookmarkEnd w:id="448"/>
      <w:r w:rsidRPr="00C801A6">
        <w:rPr>
          <w:color w:val="auto"/>
        </w:rPr>
        <w:t>relatifs au secteur forestier</w:t>
      </w:r>
      <w:bookmarkEnd w:id="449"/>
    </w:p>
    <w:p w14:paraId="4CE846CE" w14:textId="77777777" w:rsidR="00575CDF" w:rsidRPr="00C801A6" w:rsidRDefault="00575CDF" w:rsidP="00575CDF">
      <w:pPr>
        <w:rPr>
          <w:rFonts w:cs="Arial"/>
          <w:color w:val="auto"/>
        </w:rPr>
      </w:pPr>
      <w:r w:rsidRPr="00C801A6">
        <w:rPr>
          <w:rFonts w:cs="Arial"/>
          <w:color w:val="auto"/>
        </w:rPr>
        <w:t xml:space="preserve">Les textes relatifs au secteur forestier applicables au projet sont entre autres : </w:t>
      </w:r>
    </w:p>
    <w:p w14:paraId="0009A335" w14:textId="77777777" w:rsidR="00954EC7" w:rsidRPr="00C801A6" w:rsidRDefault="00954EC7" w:rsidP="00844538">
      <w:pPr>
        <w:numPr>
          <w:ilvl w:val="0"/>
          <w:numId w:val="10"/>
        </w:numPr>
        <w:spacing w:after="80"/>
        <w:ind w:left="714" w:hanging="357"/>
        <w:rPr>
          <w:rFonts w:cs="Arial"/>
          <w:color w:val="auto"/>
        </w:rPr>
      </w:pPr>
      <w:bookmarkStart w:id="450" w:name="_Ref71982837"/>
      <w:r w:rsidRPr="00C801A6">
        <w:rPr>
          <w:rFonts w:cs="Arial"/>
          <w:color w:val="auto"/>
        </w:rPr>
        <w:t>La Loi n°96 025 du 10 septembre 1996 relative à la gestion locale des ressources naturelles renouvelables.</w:t>
      </w:r>
    </w:p>
    <w:p w14:paraId="0CC6E2ED" w14:textId="77777777" w:rsidR="00954EC7" w:rsidRPr="00C801A6" w:rsidRDefault="00954EC7" w:rsidP="00844538">
      <w:pPr>
        <w:numPr>
          <w:ilvl w:val="0"/>
          <w:numId w:val="10"/>
        </w:numPr>
        <w:spacing w:after="80"/>
        <w:ind w:left="714" w:hanging="357"/>
        <w:rPr>
          <w:rFonts w:cs="Arial"/>
          <w:color w:val="auto"/>
        </w:rPr>
      </w:pPr>
      <w:r w:rsidRPr="00C801A6">
        <w:rPr>
          <w:rFonts w:cs="Arial"/>
          <w:color w:val="auto"/>
        </w:rPr>
        <w:t>La Loi n°97-017 du 8 août 1997 portant révision de la législation forestière.</w:t>
      </w:r>
    </w:p>
    <w:p w14:paraId="44FC5A31" w14:textId="038AC9F3" w:rsidR="00954EC7" w:rsidRPr="00C801A6" w:rsidRDefault="00954EC7" w:rsidP="00844538">
      <w:pPr>
        <w:numPr>
          <w:ilvl w:val="0"/>
          <w:numId w:val="10"/>
        </w:numPr>
        <w:spacing w:after="80"/>
        <w:ind w:left="714" w:hanging="357"/>
        <w:rPr>
          <w:rFonts w:cs="Arial"/>
          <w:color w:val="auto"/>
        </w:rPr>
      </w:pPr>
      <w:r w:rsidRPr="00C801A6">
        <w:rPr>
          <w:rFonts w:cs="Arial"/>
          <w:color w:val="auto"/>
        </w:rPr>
        <w:t>Le Décret n°61 479</w:t>
      </w:r>
      <w:r w:rsidR="003349AF" w:rsidRPr="00C801A6">
        <w:rPr>
          <w:rFonts w:cs="Arial"/>
          <w:color w:val="auto"/>
        </w:rPr>
        <w:t xml:space="preserve"> </w:t>
      </w:r>
      <w:r w:rsidRPr="00C801A6">
        <w:rPr>
          <w:rFonts w:cs="Arial"/>
          <w:color w:val="auto"/>
        </w:rPr>
        <w:t>du 18 avril 1961 réglant les modalités d'application de l’Ordonnance n°60-127 du 3 Octobre 1960 relative au régime des défrichements et des feux de végétation,</w:t>
      </w:r>
    </w:p>
    <w:p w14:paraId="201CE4DC" w14:textId="77777777" w:rsidR="00954EC7" w:rsidRPr="00C801A6" w:rsidRDefault="00954EC7" w:rsidP="00844538">
      <w:pPr>
        <w:numPr>
          <w:ilvl w:val="0"/>
          <w:numId w:val="10"/>
        </w:numPr>
        <w:spacing w:after="80"/>
        <w:ind w:left="714" w:hanging="357"/>
        <w:rPr>
          <w:rFonts w:cs="Arial"/>
          <w:color w:val="auto"/>
        </w:rPr>
      </w:pPr>
      <w:r w:rsidRPr="00C801A6">
        <w:rPr>
          <w:rFonts w:cs="Arial"/>
          <w:color w:val="auto"/>
        </w:rPr>
        <w:lastRenderedPageBreak/>
        <w:t xml:space="preserve">Le Décret n°97-1200 du 2 octobre 1997 portant adoption de la politique forestière Malagasy </w:t>
      </w:r>
    </w:p>
    <w:p w14:paraId="0F849222" w14:textId="7CD9EA34" w:rsidR="00954EC7" w:rsidRPr="00C801A6" w:rsidRDefault="00954EC7" w:rsidP="00844538">
      <w:pPr>
        <w:numPr>
          <w:ilvl w:val="0"/>
          <w:numId w:val="10"/>
        </w:numPr>
        <w:spacing w:after="80"/>
        <w:ind w:left="714" w:hanging="357"/>
        <w:rPr>
          <w:rFonts w:cs="Arial"/>
          <w:color w:val="auto"/>
        </w:rPr>
      </w:pPr>
      <w:r w:rsidRPr="00C801A6">
        <w:rPr>
          <w:rFonts w:cs="Arial"/>
          <w:color w:val="auto"/>
        </w:rPr>
        <w:t>Le Décret n°98-781</w:t>
      </w:r>
      <w:r w:rsidR="003349AF" w:rsidRPr="00C801A6">
        <w:rPr>
          <w:rFonts w:cs="Arial"/>
          <w:color w:val="auto"/>
        </w:rPr>
        <w:t xml:space="preserve"> </w:t>
      </w:r>
      <w:r w:rsidRPr="00C801A6">
        <w:rPr>
          <w:rFonts w:cs="Arial"/>
          <w:color w:val="auto"/>
        </w:rPr>
        <w:t>du 16 Septembre 1998</w:t>
      </w:r>
      <w:r w:rsidRPr="00C801A6">
        <w:rPr>
          <w:color w:val="auto"/>
        </w:rPr>
        <w:t xml:space="preserve"> </w:t>
      </w:r>
      <w:r w:rsidRPr="00C801A6">
        <w:rPr>
          <w:rFonts w:cs="Arial"/>
          <w:color w:val="auto"/>
        </w:rPr>
        <w:t>fixant les conditions générales d'application de la loi n° 97.017 du 08 Août 1997 portant révision de la législation forestière.</w:t>
      </w:r>
    </w:p>
    <w:p w14:paraId="6BE6DD65" w14:textId="77777777" w:rsidR="00954EC7" w:rsidRPr="00C801A6" w:rsidRDefault="00954EC7" w:rsidP="00844538">
      <w:pPr>
        <w:numPr>
          <w:ilvl w:val="0"/>
          <w:numId w:val="10"/>
        </w:numPr>
        <w:spacing w:after="80"/>
        <w:ind w:left="714" w:hanging="357"/>
        <w:rPr>
          <w:rFonts w:cs="Arial"/>
          <w:color w:val="auto"/>
        </w:rPr>
      </w:pPr>
      <w:r w:rsidRPr="00C801A6">
        <w:rPr>
          <w:rFonts w:cs="Arial"/>
          <w:color w:val="auto"/>
        </w:rPr>
        <w:t>Le décret n 2005-849 du 13 décembre 2005 portant refonte des conditions générales d'application de la loi n° 97-017 du 08 août 1997 portant révision de la législation forestière.</w:t>
      </w:r>
    </w:p>
    <w:p w14:paraId="12C84AA1" w14:textId="77777777" w:rsidR="00954EC7" w:rsidRPr="00C801A6" w:rsidRDefault="00954EC7" w:rsidP="00844538">
      <w:pPr>
        <w:numPr>
          <w:ilvl w:val="0"/>
          <w:numId w:val="10"/>
        </w:numPr>
        <w:spacing w:after="80"/>
        <w:ind w:left="714" w:hanging="357"/>
        <w:rPr>
          <w:rFonts w:cs="Arial"/>
          <w:color w:val="auto"/>
        </w:rPr>
      </w:pPr>
      <w:r w:rsidRPr="00C801A6">
        <w:rPr>
          <w:rFonts w:cs="Arial"/>
          <w:color w:val="auto"/>
        </w:rPr>
        <w:t xml:space="preserve">L’Arrêté nº18177 / 04 du 27 Septembre 2004 portant définition et délimitation des zones forestières sensibles. </w:t>
      </w:r>
    </w:p>
    <w:p w14:paraId="28E3BB5C" w14:textId="77777777" w:rsidR="00954EC7" w:rsidRPr="00C801A6" w:rsidRDefault="00954EC7" w:rsidP="00844538">
      <w:pPr>
        <w:numPr>
          <w:ilvl w:val="0"/>
          <w:numId w:val="10"/>
        </w:numPr>
        <w:ind w:left="714" w:hanging="357"/>
        <w:rPr>
          <w:color w:val="auto"/>
          <w:szCs w:val="24"/>
        </w:rPr>
      </w:pPr>
      <w:r w:rsidRPr="00C801A6">
        <w:rPr>
          <w:rFonts w:cs="Arial"/>
          <w:color w:val="auto"/>
        </w:rPr>
        <w:t xml:space="preserve">L’Arrêté n°12704 du 20 novembre 2000 portant interdiction d'extraction de ressources ligneuses dans les zones sensibles. </w:t>
      </w:r>
    </w:p>
    <w:p w14:paraId="33E4C362" w14:textId="77777777" w:rsidR="00575CDF" w:rsidRPr="00C801A6" w:rsidRDefault="00575CDF" w:rsidP="003042DB">
      <w:pPr>
        <w:pStyle w:val="Heading4"/>
        <w:rPr>
          <w:color w:val="auto"/>
        </w:rPr>
      </w:pPr>
      <w:bookmarkStart w:id="451" w:name="_Toc230298769"/>
      <w:r w:rsidRPr="00C801A6">
        <w:rPr>
          <w:color w:val="auto"/>
        </w:rPr>
        <w:t>Textes de base sur le travail</w:t>
      </w:r>
      <w:bookmarkEnd w:id="450"/>
      <w:bookmarkEnd w:id="451"/>
    </w:p>
    <w:p w14:paraId="6A285BDE" w14:textId="22494162" w:rsidR="00575CDF" w:rsidRPr="00C801A6" w:rsidRDefault="00575CDF" w:rsidP="00575CDF">
      <w:pPr>
        <w:rPr>
          <w:rFonts w:cs="Times New Roman"/>
          <w:color w:val="auto"/>
        </w:rPr>
      </w:pPr>
      <w:r w:rsidRPr="00C801A6">
        <w:rPr>
          <w:rFonts w:cs="Times New Roman"/>
          <w:color w:val="auto"/>
        </w:rPr>
        <w:t>La Loi n°20</w:t>
      </w:r>
      <w:r w:rsidR="00F873B5">
        <w:rPr>
          <w:rFonts w:cs="Times New Roman"/>
          <w:color w:val="auto"/>
        </w:rPr>
        <w:t>24</w:t>
      </w:r>
      <w:r w:rsidRPr="00C801A6">
        <w:rPr>
          <w:rFonts w:cs="Times New Roman"/>
          <w:color w:val="auto"/>
        </w:rPr>
        <w:t>-0</w:t>
      </w:r>
      <w:r w:rsidR="00F873B5">
        <w:rPr>
          <w:rFonts w:cs="Times New Roman"/>
          <w:color w:val="auto"/>
        </w:rPr>
        <w:t>1</w:t>
      </w:r>
      <w:r w:rsidRPr="00C801A6">
        <w:rPr>
          <w:rFonts w:cs="Times New Roman"/>
          <w:color w:val="auto"/>
        </w:rPr>
        <w:t xml:space="preserve">4 </w:t>
      </w:r>
      <w:r w:rsidR="00954EC7" w:rsidRPr="00C801A6">
        <w:rPr>
          <w:rFonts w:cs="Times New Roman"/>
          <w:color w:val="auto"/>
        </w:rPr>
        <w:t>du</w:t>
      </w:r>
      <w:r w:rsidR="00954EC7" w:rsidRPr="00C801A6">
        <w:rPr>
          <w:color w:val="auto"/>
        </w:rPr>
        <w:t xml:space="preserve"> </w:t>
      </w:r>
      <w:r w:rsidR="00954EC7" w:rsidRPr="00C801A6">
        <w:rPr>
          <w:rFonts w:cs="Times New Roman"/>
          <w:color w:val="auto"/>
        </w:rPr>
        <w:t>1</w:t>
      </w:r>
      <w:r w:rsidR="00F873B5">
        <w:rPr>
          <w:rFonts w:cs="Times New Roman"/>
          <w:color w:val="auto"/>
        </w:rPr>
        <w:t xml:space="preserve">4 août 2024 </w:t>
      </w:r>
      <w:r w:rsidRPr="00C801A6">
        <w:rPr>
          <w:rFonts w:cs="Times New Roman"/>
          <w:color w:val="auto"/>
        </w:rPr>
        <w:t xml:space="preserve">portant Code du Travail mentionne dans son article </w:t>
      </w:r>
      <w:r w:rsidR="00F873B5">
        <w:rPr>
          <w:rFonts w:cs="Times New Roman"/>
          <w:color w:val="auto"/>
        </w:rPr>
        <w:t>58</w:t>
      </w:r>
      <w:r w:rsidRPr="00C801A6">
        <w:rPr>
          <w:rFonts w:cs="Times New Roman"/>
          <w:color w:val="auto"/>
        </w:rPr>
        <w:t xml:space="preserve"> que « le contrat de travail du travailleur déplacé doit, après visite médicale d'embauche de celui-ci, être soumis au visa préalable </w:t>
      </w:r>
      <w:r w:rsidR="00F873B5">
        <w:rPr>
          <w:rFonts w:cs="Times New Roman"/>
          <w:color w:val="auto"/>
        </w:rPr>
        <w:t xml:space="preserve">du service régional du travail du lieu d’embauche. </w:t>
      </w:r>
      <w:r w:rsidRPr="00C801A6">
        <w:rPr>
          <w:rFonts w:cs="Times New Roman"/>
          <w:color w:val="auto"/>
        </w:rPr>
        <w:t xml:space="preserve">Une copie du contrat visé doit être transmise au service </w:t>
      </w:r>
      <w:r w:rsidR="00F873B5">
        <w:rPr>
          <w:rFonts w:cs="Times New Roman"/>
          <w:color w:val="auto"/>
        </w:rPr>
        <w:t>régional du travail du lieu de travail</w:t>
      </w:r>
      <w:r w:rsidRPr="00C801A6">
        <w:rPr>
          <w:rFonts w:cs="Times New Roman"/>
          <w:color w:val="auto"/>
        </w:rPr>
        <w:t> ».</w:t>
      </w:r>
    </w:p>
    <w:p w14:paraId="2959489D" w14:textId="6F5E004D" w:rsidR="00575CDF" w:rsidRPr="00C801A6" w:rsidRDefault="00575CDF" w:rsidP="00575CDF">
      <w:pPr>
        <w:rPr>
          <w:rFonts w:cs="Times New Roman"/>
          <w:color w:val="auto"/>
        </w:rPr>
      </w:pPr>
      <w:r w:rsidRPr="00C801A6">
        <w:rPr>
          <w:rFonts w:cs="Times New Roman"/>
          <w:color w:val="auto"/>
        </w:rPr>
        <w:t xml:space="preserve">Son article </w:t>
      </w:r>
      <w:r w:rsidR="00013E1A">
        <w:rPr>
          <w:rFonts w:cs="Times New Roman"/>
          <w:color w:val="auto"/>
        </w:rPr>
        <w:t>109</w:t>
      </w:r>
      <w:r w:rsidRPr="00C801A6">
        <w:rPr>
          <w:rFonts w:cs="Times New Roman"/>
          <w:color w:val="auto"/>
        </w:rPr>
        <w:t xml:space="preserve"> précise que « la durée légale du travail des employés ou ouvriers de l'un ou l'autre sexe, de tout âge, travaillant à temps, à la tâche ou aux pièces ne peut excéder cent soixante-treize virgule trente-trois (173,33) heures par mois »</w:t>
      </w:r>
      <w:r w:rsidR="00013E1A">
        <w:rPr>
          <w:rFonts w:cs="Times New Roman"/>
          <w:color w:val="auto"/>
        </w:rPr>
        <w:t xml:space="preserve"> ou quarante heures (40h) par semaine dans le respect des dispositions légales concernant les heures de repos quotidien et hebdomadaire</w:t>
      </w:r>
      <w:r w:rsidRPr="00C801A6">
        <w:rPr>
          <w:rFonts w:cs="Times New Roman"/>
          <w:color w:val="auto"/>
        </w:rPr>
        <w:t>. « Les heures effectuées au-delà de la durée légale du travail constituent des heures supplémentaires qui donnent lieu à une majoration ».</w:t>
      </w:r>
    </w:p>
    <w:p w14:paraId="61437744" w14:textId="6F8E106B" w:rsidR="00575CDF" w:rsidRDefault="00575CDF" w:rsidP="00575CDF">
      <w:pPr>
        <w:rPr>
          <w:rFonts w:cs="Times New Roman"/>
          <w:color w:val="auto"/>
        </w:rPr>
      </w:pPr>
      <w:r w:rsidRPr="00C801A6">
        <w:rPr>
          <w:rFonts w:cs="Times New Roman"/>
          <w:color w:val="auto"/>
        </w:rPr>
        <w:t xml:space="preserve">En outre, dans son article </w:t>
      </w:r>
      <w:r w:rsidR="00013E1A">
        <w:rPr>
          <w:rFonts w:cs="Times New Roman"/>
          <w:color w:val="auto"/>
        </w:rPr>
        <w:t>118,</w:t>
      </w:r>
      <w:r w:rsidRPr="00C801A6">
        <w:rPr>
          <w:rFonts w:cs="Times New Roman"/>
          <w:color w:val="auto"/>
        </w:rPr>
        <w:t xml:space="preserve"> cette loi énonce que « le travail effectué entre vingt-deux (22) heures et cinq (05) heures est considéré comme travail de nuit » et donne lieu à des majorations fixées par un Décret pris après avis du Conseil National du Travail. Dans son article </w:t>
      </w:r>
      <w:r w:rsidR="00013E1A">
        <w:rPr>
          <w:rFonts w:cs="Times New Roman"/>
          <w:color w:val="auto"/>
        </w:rPr>
        <w:t>12</w:t>
      </w:r>
      <w:r w:rsidRPr="00C801A6">
        <w:rPr>
          <w:rFonts w:cs="Times New Roman"/>
          <w:color w:val="auto"/>
        </w:rPr>
        <w:t xml:space="preserve">4, elle </w:t>
      </w:r>
      <w:r w:rsidR="006C715A">
        <w:rPr>
          <w:rFonts w:cs="Times New Roman"/>
          <w:color w:val="auto"/>
        </w:rPr>
        <w:t>dispose</w:t>
      </w:r>
      <w:r w:rsidRPr="00C801A6">
        <w:rPr>
          <w:rFonts w:cs="Times New Roman"/>
          <w:color w:val="auto"/>
        </w:rPr>
        <w:t xml:space="preserve"> que « l'employeur est tenu d'assurer le transport et la sécurité du personnel travaillant la nuit ».</w:t>
      </w:r>
    </w:p>
    <w:p w14:paraId="452DB10D" w14:textId="77777777" w:rsidR="00A14668" w:rsidRPr="00812277" w:rsidRDefault="00A14668" w:rsidP="00A14668">
      <w:pPr>
        <w:spacing w:before="120" w:after="120" w:line="240" w:lineRule="auto"/>
        <w:rPr>
          <w:lang w:eastAsia="fr-FR"/>
        </w:rPr>
      </w:pPr>
      <w:r w:rsidRPr="00812277">
        <w:rPr>
          <w:lang w:eastAsia="fr-FR"/>
        </w:rPr>
        <w:t>Dans son article 188, elle requiert aussi « la mise en place d’une cantine au bénéfice des travailleurs est à la charge de l’employeur lorsque l’emplacement de l’établissement ou l’organisation de travail ne permet pas aux travailleurs de</w:t>
      </w:r>
      <w:r>
        <w:rPr>
          <w:lang w:eastAsia="fr-FR"/>
        </w:rPr>
        <w:t xml:space="preserve"> </w:t>
      </w:r>
      <w:r w:rsidRPr="00812277">
        <w:rPr>
          <w:lang w:eastAsia="fr-FR"/>
        </w:rPr>
        <w:t>se restaurer normalement et pour les établissements ayant recours au système d’heures continues ».</w:t>
      </w:r>
    </w:p>
    <w:p w14:paraId="7793D8DE" w14:textId="77777777" w:rsidR="00036F74" w:rsidRPr="00812277" w:rsidRDefault="00036F74" w:rsidP="00036F74">
      <w:pPr>
        <w:spacing w:before="120" w:after="120" w:line="240" w:lineRule="auto"/>
        <w:rPr>
          <w:lang w:eastAsia="fr-FR"/>
        </w:rPr>
      </w:pPr>
      <w:r w:rsidRPr="00CE01BC">
        <w:rPr>
          <w:b/>
          <w:bCs/>
        </w:rPr>
        <w:t>La loi n° 94-026 du 17 Novembre 1994, portant sur le Code de Protection Sociale</w:t>
      </w:r>
      <w:r w:rsidRPr="00812277">
        <w:t xml:space="preserve"> : Ledit code appuie les dispositions du Code du Travail en matière de protection sociale du travailleur. Il fixe les avantages auxquels le travailleur a droit et ce proportionnellement au régime auquel il appartient. Le traitement des travailleurs appartenant au même régime devra être identique, juste et équitable.</w:t>
      </w:r>
    </w:p>
    <w:p w14:paraId="7DF3B14F" w14:textId="77777777" w:rsidR="00036F74" w:rsidRPr="00812277" w:rsidRDefault="00036F74" w:rsidP="00036F74">
      <w:pPr>
        <w:spacing w:before="120" w:after="120" w:line="240" w:lineRule="auto"/>
        <w:rPr>
          <w:lang w:eastAsia="fr-FR"/>
        </w:rPr>
      </w:pPr>
      <w:r w:rsidRPr="00CE01BC">
        <w:rPr>
          <w:b/>
          <w:bCs/>
          <w:lang w:eastAsia="fr-FR"/>
        </w:rPr>
        <w:t>La loi n° 94-027 du 17 novembre 1994 portant Code d’Hygiène, de Sécurité et de l’Environnement du Travail</w:t>
      </w:r>
      <w:r w:rsidRPr="00812277">
        <w:rPr>
          <w:lang w:eastAsia="fr-FR"/>
        </w:rPr>
        <w:t> :</w:t>
      </w:r>
    </w:p>
    <w:p w14:paraId="7EEDF2D1" w14:textId="77777777" w:rsidR="00036F74" w:rsidRPr="00812277" w:rsidRDefault="00036F74" w:rsidP="00844538">
      <w:pPr>
        <w:pStyle w:val="ListParagraph"/>
        <w:widowControl w:val="0"/>
        <w:numPr>
          <w:ilvl w:val="0"/>
          <w:numId w:val="187"/>
        </w:numPr>
        <w:suppressAutoHyphens/>
        <w:spacing w:before="120" w:after="120"/>
        <w:ind w:left="714" w:hanging="357"/>
        <w:contextualSpacing w:val="0"/>
        <w:rPr>
          <w:lang w:eastAsia="fr-FR"/>
        </w:rPr>
      </w:pPr>
      <w:r w:rsidRPr="00812277">
        <w:rPr>
          <w:lang w:eastAsia="fr-FR"/>
        </w:rPr>
        <w:t xml:space="preserve">Dans son article 2, elle édicte qu’« il est prescrit à tout employeur de fournir les équipements et les habillements adéquats pour protéger collectivement et </w:t>
      </w:r>
      <w:r w:rsidRPr="00812277">
        <w:rPr>
          <w:lang w:eastAsia="fr-FR"/>
        </w:rPr>
        <w:lastRenderedPageBreak/>
        <w:t>individuellement la vie et la santé des travailleurs contre tous les risques inhérents au poste de travail ».</w:t>
      </w:r>
    </w:p>
    <w:p w14:paraId="09894666" w14:textId="77777777" w:rsidR="00036F74" w:rsidRPr="00812277" w:rsidRDefault="00036F74" w:rsidP="00844538">
      <w:pPr>
        <w:pStyle w:val="ListParagraph"/>
        <w:widowControl w:val="0"/>
        <w:numPr>
          <w:ilvl w:val="0"/>
          <w:numId w:val="187"/>
        </w:numPr>
        <w:suppressAutoHyphens/>
        <w:spacing w:before="120" w:after="120"/>
        <w:ind w:left="714" w:hanging="357"/>
        <w:contextualSpacing w:val="0"/>
        <w:rPr>
          <w:lang w:eastAsia="fr-FR"/>
        </w:rPr>
      </w:pPr>
      <w:r w:rsidRPr="00812277">
        <w:rPr>
          <w:lang w:eastAsia="fr-FR"/>
        </w:rPr>
        <w:t xml:space="preserve">Elle précise aussi dans son article 3 que « les travailleurs doivent se soumettre à l’ensemble de mesures d’hygiène et de sécurité exigées » </w:t>
      </w:r>
    </w:p>
    <w:p w14:paraId="725E5DF1" w14:textId="77777777" w:rsidR="00036F74" w:rsidRPr="00812277" w:rsidRDefault="00036F74" w:rsidP="00844538">
      <w:pPr>
        <w:pStyle w:val="ListParagraph"/>
        <w:widowControl w:val="0"/>
        <w:numPr>
          <w:ilvl w:val="0"/>
          <w:numId w:val="187"/>
        </w:numPr>
        <w:suppressAutoHyphens/>
        <w:spacing w:before="120" w:after="120"/>
        <w:ind w:left="714" w:hanging="357"/>
        <w:contextualSpacing w:val="0"/>
        <w:rPr>
          <w:lang w:eastAsia="fr-FR"/>
        </w:rPr>
      </w:pPr>
      <w:r w:rsidRPr="00812277">
        <w:rPr>
          <w:lang w:eastAsia="fr-FR"/>
        </w:rPr>
        <w:t>Son article 7 requiert que « les travailleurs doivent avoir à leur disposition de l’eau potable, des installations sanitaires et vestiaires appropriées, ainsi que tout autre mobilier nécessaire à leur confort pendant la période de travail ».</w:t>
      </w:r>
    </w:p>
    <w:p w14:paraId="2946CACE" w14:textId="3818C8BD" w:rsidR="00036F74" w:rsidRPr="00812277" w:rsidRDefault="00036F74" w:rsidP="00844538">
      <w:pPr>
        <w:pStyle w:val="ListParagraph"/>
        <w:widowControl w:val="0"/>
        <w:numPr>
          <w:ilvl w:val="0"/>
          <w:numId w:val="187"/>
        </w:numPr>
        <w:suppressAutoHyphens/>
        <w:spacing w:before="120" w:after="120"/>
        <w:ind w:left="714" w:hanging="357"/>
        <w:contextualSpacing w:val="0"/>
        <w:rPr>
          <w:lang w:eastAsia="fr-FR"/>
        </w:rPr>
      </w:pPr>
      <w:r w:rsidRPr="00812277">
        <w:rPr>
          <w:lang w:eastAsia="fr-FR"/>
        </w:rPr>
        <w:t xml:space="preserve">Concernant la protection contre certains risques liés au travail, la même Loi </w:t>
      </w:r>
      <w:r w:rsidR="006C715A">
        <w:rPr>
          <w:lang w:eastAsia="fr-FR"/>
        </w:rPr>
        <w:t>dispose</w:t>
      </w:r>
      <w:r w:rsidRPr="00812277">
        <w:rPr>
          <w:lang w:eastAsia="fr-FR"/>
        </w:rPr>
        <w:t xml:space="preserve"> dans son article 8 que « pour prévenir les risques d’accidents, les installations, les matériels et matériaux de travail sont soumis à des normes de sécurité obligatoires. Ils doivent faire l’objet de surveillance, d’entretien et de vérifications systématiques ». Son article 10 mentionne que « chaque entreprise devra prendre les mesures nécessaires pour que tout commencement d’incendie puisse être rapidement et effectivement combattu » et qu’elle précise dans son article 11 que « l’employeur est tenu d’informer et de former les travailleurs sur les mesures de sécurité et de santé liée au poste de travail ».</w:t>
      </w:r>
    </w:p>
    <w:p w14:paraId="1BDF1C2D" w14:textId="77777777" w:rsidR="00036F74" w:rsidRPr="00812277" w:rsidRDefault="00036F74" w:rsidP="00844538">
      <w:pPr>
        <w:pStyle w:val="ListParagraph"/>
        <w:widowControl w:val="0"/>
        <w:numPr>
          <w:ilvl w:val="0"/>
          <w:numId w:val="187"/>
        </w:numPr>
        <w:suppressAutoHyphens/>
        <w:spacing w:before="120" w:after="120"/>
        <w:ind w:left="714" w:hanging="357"/>
        <w:contextualSpacing w:val="0"/>
        <w:rPr>
          <w:lang w:eastAsia="fr-FR"/>
        </w:rPr>
      </w:pPr>
      <w:r w:rsidRPr="00812277">
        <w:rPr>
          <w:lang w:eastAsia="fr-FR"/>
        </w:rPr>
        <w:t>A propos de la médecine du travail, son article 18 mentionne que « toute personne physique ou morale exerçant une activité de quelque nature que ce soit et employant un ou plusieurs travailleurs est tenu de leur assurer des prestations médico-sanitaires… ».</w:t>
      </w:r>
    </w:p>
    <w:p w14:paraId="7E666C9E" w14:textId="77777777" w:rsidR="00575CDF" w:rsidRPr="00C801A6" w:rsidRDefault="00575CDF" w:rsidP="003042DB">
      <w:pPr>
        <w:pStyle w:val="Heading4"/>
        <w:rPr>
          <w:color w:val="auto"/>
        </w:rPr>
      </w:pPr>
      <w:bookmarkStart w:id="452" w:name="_Toc227880546"/>
      <w:bookmarkStart w:id="453" w:name="_Toc227920935"/>
      <w:bookmarkStart w:id="454" w:name="_Toc227921270"/>
      <w:bookmarkStart w:id="455" w:name="_Toc227880547"/>
      <w:bookmarkStart w:id="456" w:name="_Toc227920936"/>
      <w:bookmarkStart w:id="457" w:name="_Toc227921271"/>
      <w:bookmarkStart w:id="458" w:name="_Toc227880548"/>
      <w:bookmarkStart w:id="459" w:name="_Toc227920937"/>
      <w:bookmarkStart w:id="460" w:name="_Toc227921272"/>
      <w:bookmarkStart w:id="461" w:name="_Toc227880549"/>
      <w:bookmarkStart w:id="462" w:name="_Toc227920938"/>
      <w:bookmarkStart w:id="463" w:name="_Toc227921273"/>
      <w:bookmarkStart w:id="464" w:name="_Toc227880550"/>
      <w:bookmarkStart w:id="465" w:name="_Toc227920939"/>
      <w:bookmarkStart w:id="466" w:name="_Toc227921274"/>
      <w:bookmarkStart w:id="467" w:name="_Toc227880551"/>
      <w:bookmarkStart w:id="468" w:name="_Toc227920940"/>
      <w:bookmarkStart w:id="469" w:name="_Toc227921275"/>
      <w:bookmarkStart w:id="470" w:name="_Toc227880552"/>
      <w:bookmarkStart w:id="471" w:name="_Toc227920941"/>
      <w:bookmarkStart w:id="472" w:name="_Toc227921276"/>
      <w:bookmarkStart w:id="473" w:name="_Toc227880553"/>
      <w:bookmarkStart w:id="474" w:name="_Toc227920942"/>
      <w:bookmarkStart w:id="475" w:name="_Toc227921277"/>
      <w:bookmarkStart w:id="476" w:name="_Toc66598316"/>
      <w:bookmarkStart w:id="477" w:name="_Toc230298770"/>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r w:rsidRPr="00C801A6">
        <w:rPr>
          <w:color w:val="auto"/>
        </w:rPr>
        <w:t>Texte relatif à la lutte contre les violences basées sur le genre (VBG)</w:t>
      </w:r>
      <w:bookmarkEnd w:id="476"/>
      <w:bookmarkEnd w:id="477"/>
    </w:p>
    <w:p w14:paraId="3A61F6A4" w14:textId="2BB57DB0" w:rsidR="00575CDF" w:rsidRPr="00C801A6" w:rsidRDefault="00575CDF" w:rsidP="00575CDF">
      <w:pPr>
        <w:pStyle w:val="justify"/>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La Loi n°2019</w:t>
      </w:r>
      <w:r w:rsidR="00036F74">
        <w:rPr>
          <w:rFonts w:ascii="Times New Roman" w:hAnsi="Times New Roman"/>
          <w:sz w:val="24"/>
        </w:rPr>
        <w:t>-008</w:t>
      </w:r>
      <w:r w:rsidRPr="00C801A6">
        <w:rPr>
          <w:rFonts w:ascii="Times New Roman" w:hAnsi="Times New Roman"/>
          <w:sz w:val="24"/>
        </w:rPr>
        <w:t xml:space="preserve"> du 1</w:t>
      </w:r>
      <w:r w:rsidR="00036F74">
        <w:rPr>
          <w:rFonts w:ascii="Times New Roman" w:hAnsi="Times New Roman"/>
          <w:sz w:val="24"/>
        </w:rPr>
        <w:t>6 janvier 2020</w:t>
      </w:r>
      <w:r w:rsidRPr="00C801A6">
        <w:rPr>
          <w:rFonts w:ascii="Times New Roman" w:hAnsi="Times New Roman"/>
          <w:sz w:val="24"/>
        </w:rPr>
        <w:t xml:space="preserve"> relative à la lutte contre les violences basées sur le genre (VBG) a pour objet de renforcer le régime juridique de la prévention, de la poursuite, de la répression des actes de Violences Basées sur le Genre, de la prise en charge et de la réparation ainsi que de la protection des victimes sans préjudice des dispositions du Code Pénal et du Code de Procédure Pénale.</w:t>
      </w:r>
    </w:p>
    <w:p w14:paraId="5B3FB430" w14:textId="77777777" w:rsidR="00575CDF" w:rsidRPr="00C801A6" w:rsidRDefault="00575CDF" w:rsidP="00575CDF">
      <w:pPr>
        <w:rPr>
          <w:rFonts w:cs="Times New Roman"/>
          <w:color w:val="auto"/>
          <w:szCs w:val="24"/>
        </w:rPr>
      </w:pPr>
      <w:r w:rsidRPr="00C801A6">
        <w:rPr>
          <w:rFonts w:cs="Times New Roman"/>
          <w:color w:val="auto"/>
          <w:szCs w:val="24"/>
        </w:rPr>
        <w:t>Selon l’article 2 de la présente loi, sont considérés comme des violences basées sur le genre « </w:t>
      </w:r>
      <w:r w:rsidRPr="00C801A6">
        <w:rPr>
          <w:rFonts w:cs="Times New Roman"/>
          <w:iCs/>
          <w:color w:val="auto"/>
          <w:szCs w:val="24"/>
        </w:rPr>
        <w:t>tout acte de violence dirigé contre une personne en raison de son sexe, et causant ou pouvant causer un préjudice ou des souffrances physiques, sexuelles ou psychologiques que ce soit dans la vie publique ou dans la vie privée</w:t>
      </w:r>
      <w:r w:rsidRPr="00C801A6">
        <w:rPr>
          <w:rFonts w:cs="Times New Roman"/>
          <w:color w:val="auto"/>
          <w:szCs w:val="24"/>
        </w:rPr>
        <w:t> ».</w:t>
      </w:r>
    </w:p>
    <w:p w14:paraId="35F081A3" w14:textId="77777777" w:rsidR="00575CDF" w:rsidRPr="00C801A6" w:rsidRDefault="00575CDF" w:rsidP="00575CDF">
      <w:pPr>
        <w:pStyle w:val="justify"/>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Des textes règlementaires seront pris en tant que de besoin pour l’application de certaines dispositions de la présente loi.</w:t>
      </w:r>
    </w:p>
    <w:p w14:paraId="66AA08C7" w14:textId="77777777" w:rsidR="00575CDF" w:rsidRPr="00C801A6" w:rsidRDefault="00575CDF" w:rsidP="003042DB">
      <w:pPr>
        <w:pStyle w:val="Heading4"/>
        <w:rPr>
          <w:color w:val="auto"/>
        </w:rPr>
      </w:pPr>
      <w:bookmarkStart w:id="478" w:name="_Toc66598315"/>
      <w:bookmarkStart w:id="479" w:name="_Toc230298771"/>
      <w:r w:rsidRPr="00C801A6">
        <w:rPr>
          <w:color w:val="auto"/>
        </w:rPr>
        <w:t>Texte relatif au patrimoine national</w:t>
      </w:r>
      <w:bookmarkEnd w:id="478"/>
      <w:bookmarkEnd w:id="479"/>
    </w:p>
    <w:p w14:paraId="241FADD6" w14:textId="77777777" w:rsidR="00575CDF" w:rsidRPr="00C801A6" w:rsidRDefault="00575CDF" w:rsidP="00575CDF">
      <w:pPr>
        <w:pStyle w:val="justify"/>
        <w:shd w:val="clear" w:color="auto" w:fill="FFFFFF" w:themeFill="background1"/>
        <w:spacing w:before="0" w:beforeAutospacing="0" w:after="200" w:afterAutospacing="0"/>
        <w:jc w:val="both"/>
        <w:rPr>
          <w:rFonts w:cs="Arial"/>
          <w:sz w:val="24"/>
        </w:rPr>
      </w:pPr>
      <w:r w:rsidRPr="00C801A6">
        <w:rPr>
          <w:rFonts w:ascii="Times New Roman" w:hAnsi="Times New Roman"/>
          <w:sz w:val="24"/>
        </w:rPr>
        <w:t>L’Ordonnance n°82-029 du 6 novembre 1982 relative à la sauvegarde, la protection et la conservation du patrimoine national décrit le patrimoine national auquel peut s’appliquer les mesures prises dans cette ordonnance.</w:t>
      </w:r>
    </w:p>
    <w:p w14:paraId="6E5CA1AA" w14:textId="77230C54" w:rsidR="00575CDF" w:rsidRPr="00C801A6" w:rsidRDefault="00575CDF" w:rsidP="003042DB">
      <w:pPr>
        <w:pStyle w:val="Heading4"/>
        <w:rPr>
          <w:color w:val="auto"/>
        </w:rPr>
      </w:pPr>
      <w:bookmarkStart w:id="480" w:name="_Toc230298772"/>
      <w:r w:rsidRPr="00C801A6">
        <w:rPr>
          <w:color w:val="auto"/>
        </w:rPr>
        <w:t>Texte de base sur le foncier</w:t>
      </w:r>
      <w:bookmarkEnd w:id="480"/>
    </w:p>
    <w:p w14:paraId="169CDF04" w14:textId="29D9DBD8" w:rsidR="00E57032" w:rsidRPr="00C801A6" w:rsidRDefault="00E57032" w:rsidP="00E57032">
      <w:pPr>
        <w:rPr>
          <w:color w:val="auto"/>
        </w:rPr>
      </w:pPr>
      <w:r w:rsidRPr="00C801A6">
        <w:rPr>
          <w:b/>
          <w:bCs/>
          <w:color w:val="auto"/>
          <w:u w:val="single"/>
        </w:rPr>
        <w:t>Note :</w:t>
      </w:r>
      <w:r w:rsidRPr="00C801A6">
        <w:rPr>
          <w:color w:val="auto"/>
        </w:rPr>
        <w:t xml:space="preserve"> </w:t>
      </w:r>
      <w:r w:rsidRPr="00D42025">
        <w:rPr>
          <w:b/>
          <w:bCs/>
          <w:color w:val="auto"/>
        </w:rPr>
        <w:t>Ce</w:t>
      </w:r>
      <w:r w:rsidR="00954EC7" w:rsidRPr="00D42025">
        <w:rPr>
          <w:b/>
          <w:bCs/>
          <w:color w:val="auto"/>
        </w:rPr>
        <w:t>tte</w:t>
      </w:r>
      <w:r w:rsidRPr="00D42025">
        <w:rPr>
          <w:b/>
          <w:bCs/>
          <w:color w:val="auto"/>
        </w:rPr>
        <w:t xml:space="preserve"> sous-</w:t>
      </w:r>
      <w:r w:rsidR="00954EC7" w:rsidRPr="00D42025">
        <w:rPr>
          <w:b/>
          <w:bCs/>
          <w:color w:val="auto"/>
        </w:rPr>
        <w:t>section</w:t>
      </w:r>
      <w:r w:rsidRPr="00D42025">
        <w:rPr>
          <w:b/>
          <w:bCs/>
          <w:color w:val="auto"/>
        </w:rPr>
        <w:t xml:space="preserve"> ne s’applique pas </w:t>
      </w:r>
      <w:r w:rsidR="00EF6701">
        <w:rPr>
          <w:b/>
          <w:bCs/>
          <w:color w:val="auto"/>
        </w:rPr>
        <w:t>à la composante</w:t>
      </w:r>
      <w:r w:rsidRPr="00D42025">
        <w:rPr>
          <w:b/>
          <w:bCs/>
          <w:color w:val="auto"/>
        </w:rPr>
        <w:t xml:space="preserve"> CERC.</w:t>
      </w:r>
    </w:p>
    <w:p w14:paraId="0A15309E" w14:textId="77777777" w:rsidR="0002644B" w:rsidRPr="00C801A6" w:rsidRDefault="0002644B" w:rsidP="0002644B">
      <w:pPr>
        <w:tabs>
          <w:tab w:val="left" w:pos="7371"/>
        </w:tabs>
        <w:rPr>
          <w:rFonts w:cs="Times New Roman"/>
          <w:color w:val="auto"/>
          <w:szCs w:val="24"/>
          <w:u w:val="single"/>
        </w:rPr>
      </w:pPr>
      <w:r w:rsidRPr="00C801A6">
        <w:rPr>
          <w:rFonts w:cs="Times New Roman"/>
          <w:color w:val="auto"/>
          <w:szCs w:val="24"/>
          <w:u w:val="single"/>
        </w:rPr>
        <w:t>Loi 2021-016 du 30 juin 2021 portant refonte de la Loi n°2006-031 du 24 novembre 2006 fixant le régime juridique de la propriété foncière privée non titrée</w:t>
      </w:r>
    </w:p>
    <w:p w14:paraId="69F6C8DB" w14:textId="26BF1839" w:rsidR="0002644B" w:rsidRPr="00C801A6" w:rsidRDefault="0002644B" w:rsidP="0002644B">
      <w:pPr>
        <w:pStyle w:val="justify"/>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lastRenderedPageBreak/>
        <w:t>Cette loi s’applique à toutes les terres occupées de façon traditionnelle, qui ne font pas encore l’objet d’un régime juridique légalement établi ; que ces terres constituent un patrimoine familial transmis de génération en génération, ou qu’elles soient des pâturages traditionnels d’une famille à l’exception des pâturages très étendus qui feront l’objet d’une Loi spécifique.</w:t>
      </w:r>
    </w:p>
    <w:p w14:paraId="0C11185B" w14:textId="0A8C2C78" w:rsidR="0002644B" w:rsidRPr="00C801A6" w:rsidRDefault="0002644B" w:rsidP="0002644B">
      <w:pPr>
        <w:pStyle w:val="justify"/>
        <w:shd w:val="clear" w:color="auto" w:fill="FFFFFF"/>
        <w:rPr>
          <w:rFonts w:ascii="Times New Roman" w:hAnsi="Times New Roman"/>
          <w:sz w:val="24"/>
        </w:rPr>
      </w:pPr>
      <w:r w:rsidRPr="00C801A6">
        <w:rPr>
          <w:rFonts w:ascii="Times New Roman" w:hAnsi="Times New Roman"/>
          <w:sz w:val="24"/>
        </w:rPr>
        <w:t>Selon les dispositions de son Article 50 (nouveau) : Si le procès-verbal de reconnaissance fait ressortir que la consistance du terrain non immatriculé ne répond pas aux conditions de mise en valeur prévues par la Loi n°2005-019 du 17 octobre 2005, le Chef de la Circonscription domaniale et foncière poursuit la procédure conformément aux dispositions de la Loi n° 2008-014 du 23 juillet 2008 relative au domaine privé de l’Etat.</w:t>
      </w:r>
    </w:p>
    <w:p w14:paraId="79767C18" w14:textId="46377F9A" w:rsidR="00575CDF" w:rsidRPr="00C801A6" w:rsidRDefault="00575CDF" w:rsidP="00575CDF">
      <w:pPr>
        <w:tabs>
          <w:tab w:val="left" w:pos="7371"/>
        </w:tabs>
        <w:rPr>
          <w:rFonts w:cs="Times New Roman"/>
          <w:color w:val="auto"/>
          <w:szCs w:val="24"/>
          <w:u w:val="single"/>
        </w:rPr>
      </w:pPr>
      <w:r w:rsidRPr="00C801A6">
        <w:rPr>
          <w:rFonts w:cs="Times New Roman"/>
          <w:color w:val="auto"/>
          <w:szCs w:val="24"/>
          <w:u w:val="single"/>
        </w:rPr>
        <w:t xml:space="preserve">Loi n°2005-019 </w:t>
      </w:r>
      <w:r w:rsidR="0002644B" w:rsidRPr="00C801A6">
        <w:rPr>
          <w:color w:val="auto"/>
          <w:u w:val="single"/>
        </w:rPr>
        <w:t>du 17 octobre 2005</w:t>
      </w:r>
      <w:r w:rsidRPr="00C801A6">
        <w:rPr>
          <w:rFonts w:cs="Times New Roman"/>
          <w:color w:val="auto"/>
          <w:szCs w:val="24"/>
          <w:u w:val="single"/>
        </w:rPr>
        <w:t>fixant les principes régissant les statuts des terres</w:t>
      </w:r>
    </w:p>
    <w:p w14:paraId="51839543" w14:textId="77777777" w:rsidR="00575CDF" w:rsidRPr="00C801A6" w:rsidRDefault="00575CDF" w:rsidP="00575CDF">
      <w:pPr>
        <w:pStyle w:val="justify"/>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En vertu de cette loi, les terres situées sur le territoire de la République de Madagascar se répartissent en :</w:t>
      </w:r>
    </w:p>
    <w:p w14:paraId="4001FE96" w14:textId="77777777" w:rsidR="00575CDF" w:rsidRPr="00C801A6" w:rsidRDefault="00575CDF" w:rsidP="00844538">
      <w:pPr>
        <w:pStyle w:val="ListParagraph"/>
        <w:numPr>
          <w:ilvl w:val="0"/>
          <w:numId w:val="12"/>
        </w:numPr>
        <w:spacing w:after="80" w:line="276" w:lineRule="auto"/>
        <w:ind w:left="709" w:hanging="284"/>
        <w:contextualSpacing w:val="0"/>
        <w:jc w:val="left"/>
        <w:rPr>
          <w:rFonts w:cs="Times New Roman"/>
          <w:color w:val="auto"/>
          <w:szCs w:val="24"/>
        </w:rPr>
      </w:pPr>
      <w:r w:rsidRPr="00C801A6">
        <w:rPr>
          <w:rFonts w:cs="Times New Roman"/>
          <w:color w:val="auto"/>
          <w:szCs w:val="24"/>
        </w:rPr>
        <w:t>Terrains dépendant des Domaines de l’Etat, des collectivités décentralisées et des autres personnes morales de droit public</w:t>
      </w:r>
    </w:p>
    <w:p w14:paraId="279092C4" w14:textId="77777777" w:rsidR="00575CDF" w:rsidRPr="00C801A6" w:rsidRDefault="00575CDF" w:rsidP="00844538">
      <w:pPr>
        <w:pStyle w:val="ListParagraph"/>
        <w:numPr>
          <w:ilvl w:val="0"/>
          <w:numId w:val="12"/>
        </w:numPr>
        <w:spacing w:after="80" w:line="276" w:lineRule="auto"/>
        <w:ind w:left="709" w:hanging="284"/>
        <w:contextualSpacing w:val="0"/>
        <w:jc w:val="left"/>
        <w:rPr>
          <w:rFonts w:cs="Times New Roman"/>
          <w:color w:val="auto"/>
          <w:szCs w:val="24"/>
        </w:rPr>
      </w:pPr>
      <w:r w:rsidRPr="00C801A6">
        <w:rPr>
          <w:rFonts w:cs="Times New Roman"/>
          <w:color w:val="auto"/>
          <w:szCs w:val="24"/>
        </w:rPr>
        <w:t>Terrains des personnes privées</w:t>
      </w:r>
    </w:p>
    <w:p w14:paraId="705B2D9C" w14:textId="77777777" w:rsidR="00575CDF" w:rsidRPr="00C801A6" w:rsidRDefault="00575CDF" w:rsidP="00844538">
      <w:pPr>
        <w:pStyle w:val="ListParagraph"/>
        <w:numPr>
          <w:ilvl w:val="0"/>
          <w:numId w:val="12"/>
        </w:numPr>
        <w:spacing w:line="276" w:lineRule="auto"/>
        <w:ind w:left="709" w:hanging="283"/>
        <w:contextualSpacing w:val="0"/>
        <w:jc w:val="left"/>
        <w:rPr>
          <w:rFonts w:cs="Times New Roman"/>
          <w:color w:val="auto"/>
          <w:szCs w:val="24"/>
        </w:rPr>
      </w:pPr>
      <w:r w:rsidRPr="00C801A6">
        <w:rPr>
          <w:rFonts w:cs="Times New Roman"/>
          <w:color w:val="auto"/>
          <w:szCs w:val="24"/>
        </w:rPr>
        <w:t>Terrains constitutifs des aires soumises à un régime juridique de protection spécifique.</w:t>
      </w:r>
    </w:p>
    <w:p w14:paraId="74F1B3A7" w14:textId="77777777" w:rsidR="00575CDF" w:rsidRPr="00C801A6" w:rsidRDefault="00575CDF" w:rsidP="00575CDF">
      <w:pPr>
        <w:tabs>
          <w:tab w:val="left" w:pos="7371"/>
        </w:tabs>
        <w:rPr>
          <w:rFonts w:cs="Times New Roman"/>
          <w:color w:val="auto"/>
          <w:szCs w:val="24"/>
          <w:u w:val="single"/>
        </w:rPr>
      </w:pPr>
      <w:r w:rsidRPr="00C801A6">
        <w:rPr>
          <w:rFonts w:cs="Times New Roman"/>
          <w:color w:val="auto"/>
          <w:szCs w:val="24"/>
          <w:u w:val="single"/>
        </w:rPr>
        <w:t>Ordonnance 62-023 du 19 septembre 1962 et ses décrets d’application relatifs à l’expropriation pour cause d’utilité publique, à l’acquisition amiable de propriétés immobilières par l’Etat et les collectivités décentralisées.</w:t>
      </w:r>
    </w:p>
    <w:p w14:paraId="778602C7" w14:textId="77777777" w:rsidR="00575CDF" w:rsidRPr="00C801A6" w:rsidRDefault="00575CDF" w:rsidP="00575CDF">
      <w:pPr>
        <w:pStyle w:val="justify"/>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Cette ordonnance règle les conditions d’expropriation pour cause d’utilité publique ou d’acquisition amiable de propriétés immobilières par l’Etat ou les collectivités publiques secondaires et les conditions de récupération des plus-values acquises par les immeubles ruraux ou urbains à la suite de tous travaux d’aménagement ou d’équipement exécutés par la puissance publique ou avec son concours.</w:t>
      </w:r>
    </w:p>
    <w:p w14:paraId="6B2588E5" w14:textId="77777777" w:rsidR="00575CDF" w:rsidRPr="00C801A6" w:rsidRDefault="00575CDF" w:rsidP="003042DB">
      <w:pPr>
        <w:pStyle w:val="Heading4"/>
        <w:rPr>
          <w:color w:val="auto"/>
        </w:rPr>
      </w:pPr>
      <w:bookmarkStart w:id="481" w:name="_Toc230298773"/>
      <w:r w:rsidRPr="00C801A6">
        <w:rPr>
          <w:color w:val="auto"/>
        </w:rPr>
        <w:t>Texte de base sur la pollution</w:t>
      </w:r>
      <w:bookmarkEnd w:id="481"/>
    </w:p>
    <w:p w14:paraId="1A01BC18" w14:textId="2A2CE90B" w:rsidR="00575CDF" w:rsidRPr="00C801A6" w:rsidRDefault="00575CDF" w:rsidP="00575CDF">
      <w:pPr>
        <w:pStyle w:val="justify"/>
        <w:shd w:val="clear" w:color="auto" w:fill="FFFFFF" w:themeFill="background1"/>
        <w:spacing w:before="0" w:beforeAutospacing="0" w:after="160" w:afterAutospacing="0" w:line="276" w:lineRule="auto"/>
        <w:jc w:val="both"/>
        <w:rPr>
          <w:rFonts w:ascii="Times New Roman" w:hAnsi="Times New Roman"/>
          <w:sz w:val="24"/>
        </w:rPr>
      </w:pPr>
      <w:r w:rsidRPr="00C801A6">
        <w:rPr>
          <w:rFonts w:ascii="Times New Roman" w:hAnsi="Times New Roman"/>
          <w:sz w:val="24"/>
        </w:rPr>
        <w:t>Il s’agit, notamment, de la loi 99-021</w:t>
      </w:r>
      <w:r w:rsidR="0002644B" w:rsidRPr="00C801A6">
        <w:rPr>
          <w:rFonts w:ascii="Times New Roman" w:hAnsi="Times New Roman"/>
          <w:sz w:val="24"/>
        </w:rPr>
        <w:t xml:space="preserve"> du 19 Août1999</w:t>
      </w:r>
      <w:r w:rsidRPr="00C801A6">
        <w:rPr>
          <w:rFonts w:ascii="Times New Roman" w:hAnsi="Times New Roman"/>
          <w:sz w:val="24"/>
        </w:rPr>
        <w:t xml:space="preserve">, entrée en vigueur depuis le 1er Janvier 2000, portant politique de gestion et de contrôle des pollutions d’origine industrielle. Elle spécifie, entre autres, que la gestion des matières résiduelles (déchets solides, stocks de produits périmés …) est du ressort de leurs générateurs jusqu’à leur élimination finale. </w:t>
      </w:r>
    </w:p>
    <w:p w14:paraId="4F99A4C8" w14:textId="25D3B780" w:rsidR="00575CDF" w:rsidRPr="00C801A6" w:rsidRDefault="00575CDF" w:rsidP="00575CDF">
      <w:pPr>
        <w:pStyle w:val="justify"/>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 xml:space="preserve">Elle </w:t>
      </w:r>
      <w:r w:rsidR="006C715A">
        <w:rPr>
          <w:rFonts w:ascii="Times New Roman" w:hAnsi="Times New Roman"/>
          <w:sz w:val="24"/>
        </w:rPr>
        <w:t>dispose</w:t>
      </w:r>
      <w:r w:rsidRPr="00C801A6">
        <w:rPr>
          <w:rFonts w:ascii="Times New Roman" w:hAnsi="Times New Roman"/>
          <w:sz w:val="24"/>
        </w:rPr>
        <w:t xml:space="preserve"> que tout exploitant a l’obligation de sauvegarder l’environnement par une production plus propre et une réduction, valorisation, traitement et élimination des déchets et que les effets nocifs des pollutions produites font l’objet de mesures appropriées et des actions de prévention.</w:t>
      </w:r>
    </w:p>
    <w:p w14:paraId="5453721C" w14:textId="77777777" w:rsidR="00575CDF" w:rsidRPr="00C801A6" w:rsidRDefault="00575CDF" w:rsidP="003042DB">
      <w:pPr>
        <w:pStyle w:val="Heading4"/>
        <w:rPr>
          <w:color w:val="auto"/>
        </w:rPr>
      </w:pPr>
      <w:bookmarkStart w:id="482" w:name="_Toc230298774"/>
      <w:r w:rsidRPr="00C801A6">
        <w:rPr>
          <w:color w:val="auto"/>
        </w:rPr>
        <w:lastRenderedPageBreak/>
        <w:t>Texte de base sur l’eau</w:t>
      </w:r>
      <w:bookmarkEnd w:id="482"/>
    </w:p>
    <w:p w14:paraId="204D73C4" w14:textId="6CA38A59" w:rsidR="00575CDF" w:rsidRPr="003617DE" w:rsidRDefault="00575CDF" w:rsidP="00844538">
      <w:pPr>
        <w:pStyle w:val="justify"/>
        <w:numPr>
          <w:ilvl w:val="0"/>
          <w:numId w:val="10"/>
        </w:numPr>
        <w:shd w:val="clear" w:color="auto" w:fill="FFFFFF"/>
        <w:spacing w:before="0" w:beforeAutospacing="0" w:after="160" w:afterAutospacing="0" w:line="276" w:lineRule="auto"/>
        <w:jc w:val="both"/>
        <w:rPr>
          <w:rFonts w:ascii="Times New Roman" w:eastAsiaTheme="minorHAnsi" w:hAnsi="Times New Roman" w:cstheme="minorBidi"/>
          <w:b/>
          <w:bCs/>
          <w:color w:val="000000" w:themeColor="text1"/>
          <w:sz w:val="24"/>
          <w:szCs w:val="22"/>
          <w:lang w:eastAsia="zh-CN"/>
        </w:rPr>
      </w:pPr>
      <w:r w:rsidRPr="003617DE">
        <w:rPr>
          <w:rFonts w:ascii="Times New Roman" w:eastAsiaTheme="minorHAnsi" w:hAnsi="Times New Roman" w:cstheme="minorBidi"/>
          <w:b/>
          <w:bCs/>
          <w:color w:val="000000" w:themeColor="text1"/>
          <w:sz w:val="24"/>
          <w:szCs w:val="22"/>
          <w:lang w:eastAsia="zh-CN"/>
        </w:rPr>
        <w:t xml:space="preserve">La Loi n°98-029 du 20 janvier 1999 portant Code de l’Eau </w:t>
      </w:r>
      <w:r w:rsidR="00D9596F" w:rsidRPr="003617DE">
        <w:rPr>
          <w:rFonts w:ascii="Times New Roman" w:eastAsiaTheme="minorHAnsi" w:hAnsi="Times New Roman" w:cstheme="minorBidi"/>
          <w:b/>
          <w:bCs/>
          <w:color w:val="000000" w:themeColor="text1"/>
          <w:sz w:val="24"/>
          <w:szCs w:val="22"/>
          <w:lang w:eastAsia="zh-CN"/>
        </w:rPr>
        <w:t>fixe</w:t>
      </w:r>
      <w:r w:rsidRPr="003617DE">
        <w:rPr>
          <w:rFonts w:ascii="Times New Roman" w:eastAsiaTheme="minorHAnsi" w:hAnsi="Times New Roman" w:cstheme="minorBidi"/>
          <w:b/>
          <w:bCs/>
          <w:color w:val="000000" w:themeColor="text1"/>
          <w:sz w:val="24"/>
          <w:szCs w:val="22"/>
          <w:lang w:eastAsia="zh-CN"/>
        </w:rPr>
        <w:t xml:space="preserve"> des mesures générales à</w:t>
      </w:r>
      <w:r w:rsidRPr="00C801A6">
        <w:rPr>
          <w:rFonts w:ascii="Times New Roman" w:hAnsi="Times New Roman"/>
          <w:sz w:val="24"/>
        </w:rPr>
        <w:t xml:space="preserve"> </w:t>
      </w:r>
      <w:r w:rsidRPr="003617DE">
        <w:rPr>
          <w:rFonts w:ascii="Times New Roman" w:eastAsiaTheme="minorHAnsi" w:hAnsi="Times New Roman" w:cstheme="minorBidi"/>
          <w:b/>
          <w:bCs/>
          <w:color w:val="000000" w:themeColor="text1"/>
          <w:sz w:val="24"/>
          <w:szCs w:val="22"/>
          <w:lang w:eastAsia="zh-CN"/>
        </w:rPr>
        <w:t>respecter en vue de la préservation tant qualitative que quantitative des ressources en eau.</w:t>
      </w:r>
    </w:p>
    <w:p w14:paraId="565EE6A4" w14:textId="77777777" w:rsidR="00575CDF" w:rsidRPr="00C801A6" w:rsidRDefault="00575CDF" w:rsidP="00575CDF">
      <w:pPr>
        <w:pStyle w:val="justify"/>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Cette loi édicte que, toute personne physique ou morale, publique ou privée exerçant une activité source de pollution ou pouvant présenter des dangers pour la ressource en eau et l'hygiène du milieu doit envisager toute mesure propre à enrayer ou prévenir le danger constaté ou présumé.</w:t>
      </w:r>
    </w:p>
    <w:p w14:paraId="11C30383" w14:textId="6FD01E9A" w:rsidR="00575CDF" w:rsidRDefault="00575CDF" w:rsidP="00575CDF">
      <w:pPr>
        <w:pStyle w:val="justify"/>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Elle définit la "pollution" comme étant tous déversements, écoulements, rejets, dépôts directs ou indirects de matières de toute nature et plus généralement de tout fait susceptible de provoquer ou d'accroître la dégradation des eaux, en modifiant leurs caractéristiques physiques, chimiques, biologiques ou bactériologiques et radioactives, qu'il s'agisse d'eaux de surface ou souterraines.</w:t>
      </w:r>
    </w:p>
    <w:p w14:paraId="292593D0" w14:textId="46343D37" w:rsidR="00D514CA" w:rsidRPr="003617DE" w:rsidRDefault="00D514CA" w:rsidP="00844538">
      <w:pPr>
        <w:pStyle w:val="ListParagraph"/>
        <w:numPr>
          <w:ilvl w:val="0"/>
          <w:numId w:val="4"/>
        </w:numPr>
        <w:spacing w:before="120" w:after="120"/>
        <w:contextualSpacing w:val="0"/>
        <w:rPr>
          <w:b/>
          <w:bCs/>
        </w:rPr>
      </w:pPr>
      <w:r w:rsidRPr="003617DE">
        <w:rPr>
          <w:b/>
          <w:bCs/>
        </w:rPr>
        <w:t>Décret n°2003-943 du 09 septembre 2003 relatif aux déversements, écoulements rejets, dépôts directs ou indirects dans les eaux superficielles ou souterraines.</w:t>
      </w:r>
    </w:p>
    <w:p w14:paraId="23B25D8A" w14:textId="77777777" w:rsidR="00D514CA" w:rsidRDefault="00D514CA" w:rsidP="00D514CA">
      <w:pPr>
        <w:spacing w:before="120" w:after="120" w:line="240" w:lineRule="auto"/>
      </w:pPr>
      <w:r>
        <w:t xml:space="preserve">Ce décret </w:t>
      </w:r>
      <w:r w:rsidRPr="000B7DDD">
        <w:t xml:space="preserve">encadre </w:t>
      </w:r>
      <w:r w:rsidRPr="00925521">
        <w:t xml:space="preserve">les </w:t>
      </w:r>
      <w:r w:rsidRPr="00CE01BC">
        <w:t>rejets, déversements et dépôts, directs ou indirects, dans les eaux superficielles et souterraines</w:t>
      </w:r>
      <w:r w:rsidRPr="000B7DDD">
        <w:t xml:space="preserve">. Il impose aux activités industrielles, agricoles ou urbaines de </w:t>
      </w:r>
      <w:r w:rsidRPr="00CE01BC">
        <w:t>prévenir la pollution</w:t>
      </w:r>
      <w:r w:rsidRPr="000B7DDD">
        <w:t xml:space="preserve">, de </w:t>
      </w:r>
      <w:r w:rsidRPr="00CE01BC">
        <w:t>demander une autorisation préalable pour tout rejet</w:t>
      </w:r>
      <w:r w:rsidRPr="000B7DDD">
        <w:t xml:space="preserve">, et de </w:t>
      </w:r>
      <w:r w:rsidRPr="00CE01BC">
        <w:t>respecter les normes de qualité de l’eau</w:t>
      </w:r>
      <w:r w:rsidRPr="000B7DDD">
        <w:t xml:space="preserve"> définies par la réglementation nationale. Le décret prévoit également des </w:t>
      </w:r>
      <w:r w:rsidRPr="00CE01BC">
        <w:t>sanctions en cas de non-conformité</w:t>
      </w:r>
      <w:r w:rsidRPr="000B7DDD">
        <w:t xml:space="preserve">, garantissant ainsi la </w:t>
      </w:r>
      <w:r w:rsidRPr="00CE01BC">
        <w:t>protection durable des ressources en eau</w:t>
      </w:r>
      <w:r w:rsidRPr="000B7DDD">
        <w:t xml:space="preserve"> et la conformité environnementale des projets.</w:t>
      </w:r>
    </w:p>
    <w:p w14:paraId="0CBB44E9" w14:textId="77777777" w:rsidR="00D514CA" w:rsidRPr="00CE01BC" w:rsidRDefault="00D514CA" w:rsidP="00844538">
      <w:pPr>
        <w:pStyle w:val="ListParagraph"/>
        <w:numPr>
          <w:ilvl w:val="0"/>
          <w:numId w:val="4"/>
        </w:numPr>
        <w:spacing w:before="120" w:after="120"/>
        <w:contextualSpacing w:val="0"/>
        <w:rPr>
          <w:b/>
          <w:bCs/>
        </w:rPr>
      </w:pPr>
      <w:r w:rsidRPr="00CE01BC">
        <w:rPr>
          <w:b/>
          <w:bCs/>
        </w:rPr>
        <w:t>Décret n°2003-940 du 09 septembre 2003 relatif aux périmètres de protection</w:t>
      </w:r>
    </w:p>
    <w:p w14:paraId="074F66F4" w14:textId="77777777" w:rsidR="00D514CA" w:rsidRDefault="00D514CA" w:rsidP="00D514CA">
      <w:pPr>
        <w:spacing w:before="120" w:after="120" w:line="240" w:lineRule="auto"/>
      </w:pPr>
      <w:r w:rsidRPr="0085531A">
        <w:t xml:space="preserve">Le Décret n°2003-940 du 09 septembre 2003 définit les </w:t>
      </w:r>
      <w:r w:rsidRPr="00CE01BC">
        <w:t>périmètres de protection des ressources en eau</w:t>
      </w:r>
      <w:r w:rsidRPr="0085531A">
        <w:t xml:space="preserve">, notamment autour des captages d’eau destinés à l’alimentation humaine. Il établit différents niveaux de protection (immédiate, rapprochée et éloignée) au sein desquels les </w:t>
      </w:r>
      <w:r w:rsidRPr="00CE01BC">
        <w:t>activités humaines sont réglementées ou interdites</w:t>
      </w:r>
      <w:r w:rsidRPr="0085531A">
        <w:t xml:space="preserve"> afin de prévenir toute contamination des eaux superficielles et souterraines. Le décret impose le respect de ces périmètres lors de la conception et de la mise en œuvre des projets, contribuant ainsi à la </w:t>
      </w:r>
      <w:r w:rsidRPr="00CE01BC">
        <w:t>préservation de la qualité de l’eau, à la santé publique et à la gestion durable des ressources hydriques</w:t>
      </w:r>
      <w:r w:rsidRPr="0085531A">
        <w:t>.</w:t>
      </w:r>
    </w:p>
    <w:p w14:paraId="0C2D5CFC" w14:textId="77777777" w:rsidR="00D514CA" w:rsidRPr="00CE01BC" w:rsidRDefault="00D514CA" w:rsidP="00844538">
      <w:pPr>
        <w:pStyle w:val="ListParagraph"/>
        <w:numPr>
          <w:ilvl w:val="0"/>
          <w:numId w:val="4"/>
        </w:numPr>
        <w:spacing w:before="120" w:after="120"/>
        <w:contextualSpacing w:val="0"/>
      </w:pPr>
      <w:r>
        <w:rPr>
          <w:b/>
          <w:bCs/>
        </w:rPr>
        <w:t>Décret n°2003-464 du 15 avril 2003 portant classification des eaux de surface et règlementation des rejets d’effluents liquides</w:t>
      </w:r>
    </w:p>
    <w:p w14:paraId="4354E7D1" w14:textId="77777777" w:rsidR="00D514CA" w:rsidRPr="00B0302E" w:rsidRDefault="00D514CA" w:rsidP="00D514CA">
      <w:pPr>
        <w:spacing w:before="120" w:after="120" w:line="240" w:lineRule="auto"/>
      </w:pPr>
      <w:r w:rsidRPr="00CE01BC">
        <w:t>Ce décret établit la classification des eaux de surface selon leurs usages et leur niveau de qualité, et fixe la réglementation applicable aux rejets d’effluents liquides à Madagascar. Il définit les normes de qualité physico-chimiques, biologiques et bactériologiques à respecter avant tout rejet dans le milieu naturel, afin de prévenir la pollution et de préserver les écosystèmes aquatiques. Ce décret impose aux porteurs de projets et exploitants d’installations de mettre en œuvre des systèmes de traitement appropriés, de contrôler la conformité des rejets et de garantir la protection durable des ressources en eau, en cohérence avec le Code de l’Eau et les exigences environnementales nationales.</w:t>
      </w:r>
    </w:p>
    <w:p w14:paraId="2AFBD700" w14:textId="77777777" w:rsidR="00A57357" w:rsidRPr="003617DE" w:rsidRDefault="00A57357" w:rsidP="003617DE">
      <w:pPr>
        <w:pStyle w:val="Heading4"/>
        <w:ind w:left="862" w:hanging="862"/>
        <w:rPr>
          <w:color w:val="auto"/>
        </w:rPr>
      </w:pPr>
      <w:bookmarkStart w:id="483" w:name="_Toc230298775"/>
      <w:r w:rsidRPr="003617DE">
        <w:rPr>
          <w:color w:val="auto"/>
        </w:rPr>
        <w:t>Textes sur le secteur minier</w:t>
      </w:r>
      <w:bookmarkEnd w:id="483"/>
    </w:p>
    <w:p w14:paraId="1A73E2DC" w14:textId="77777777" w:rsidR="00A57357" w:rsidRPr="00CE01BC" w:rsidRDefault="00A57357" w:rsidP="00844538">
      <w:pPr>
        <w:pStyle w:val="ListParagraph"/>
        <w:numPr>
          <w:ilvl w:val="0"/>
          <w:numId w:val="4"/>
        </w:numPr>
        <w:spacing w:before="120" w:after="120"/>
        <w:contextualSpacing w:val="0"/>
        <w:rPr>
          <w:b/>
          <w:bCs/>
          <w:lang w:eastAsia="fr-FR"/>
        </w:rPr>
      </w:pPr>
      <w:r w:rsidRPr="00CE01BC">
        <w:rPr>
          <w:b/>
          <w:bCs/>
          <w:lang w:eastAsia="fr-FR"/>
        </w:rPr>
        <w:t xml:space="preserve">La Loi n° 2023-007 du </w:t>
      </w:r>
      <w:r>
        <w:rPr>
          <w:b/>
          <w:bCs/>
          <w:lang w:eastAsia="fr-FR"/>
        </w:rPr>
        <w:t>2</w:t>
      </w:r>
      <w:r w:rsidRPr="00CE01BC">
        <w:rPr>
          <w:b/>
          <w:bCs/>
          <w:lang w:eastAsia="fr-FR"/>
        </w:rPr>
        <w:t>7 j</w:t>
      </w:r>
      <w:r>
        <w:rPr>
          <w:b/>
          <w:bCs/>
          <w:lang w:eastAsia="fr-FR"/>
        </w:rPr>
        <w:t>uillet</w:t>
      </w:r>
      <w:r w:rsidRPr="00CE01BC">
        <w:rPr>
          <w:b/>
          <w:bCs/>
          <w:lang w:eastAsia="fr-FR"/>
        </w:rPr>
        <w:t xml:space="preserve"> 2023 portant refonte du Code minier. </w:t>
      </w:r>
    </w:p>
    <w:p w14:paraId="6AD2CCD0" w14:textId="77777777" w:rsidR="00A57357" w:rsidRDefault="00A57357" w:rsidP="00A57357">
      <w:pPr>
        <w:spacing w:before="120" w:after="120" w:line="240" w:lineRule="auto"/>
      </w:pPr>
      <w:r w:rsidRPr="00812277">
        <w:rPr>
          <w:lang w:eastAsia="fr-FR"/>
        </w:rPr>
        <w:lastRenderedPageBreak/>
        <w:t>Dans ses articles 221 et 230, l</w:t>
      </w:r>
      <w:r w:rsidRPr="00812277">
        <w:t>’exploitation des gîtes d’emprunts des matériaux rocheux artisanales et des gîtes d’emprunt se fait en vertu d’une Autorisation délivrée par la Commune du ressort.</w:t>
      </w:r>
    </w:p>
    <w:p w14:paraId="34083EED" w14:textId="77777777" w:rsidR="00A57357" w:rsidRPr="00CE01BC" w:rsidRDefault="00A57357" w:rsidP="00844538">
      <w:pPr>
        <w:pStyle w:val="ListParagraph"/>
        <w:numPr>
          <w:ilvl w:val="0"/>
          <w:numId w:val="188"/>
        </w:numPr>
        <w:spacing w:before="120" w:after="120"/>
        <w:contextualSpacing w:val="0"/>
        <w:jc w:val="left"/>
        <w:rPr>
          <w:b/>
          <w:bCs/>
        </w:rPr>
      </w:pPr>
      <w:r w:rsidRPr="00CE01BC">
        <w:rPr>
          <w:b/>
          <w:bCs/>
        </w:rPr>
        <w:t>Les textes réglementaires régissant la gestion et utilisation des substances explosives et détonantes</w:t>
      </w:r>
    </w:p>
    <w:p w14:paraId="3B62CB36" w14:textId="77777777" w:rsidR="00A57357" w:rsidRPr="00CE01BC" w:rsidRDefault="00A57357" w:rsidP="00844538">
      <w:pPr>
        <w:pStyle w:val="ListParagraph"/>
        <w:numPr>
          <w:ilvl w:val="0"/>
          <w:numId w:val="4"/>
        </w:numPr>
        <w:spacing w:before="120" w:after="120"/>
        <w:contextualSpacing w:val="0"/>
        <w:jc w:val="left"/>
      </w:pPr>
      <w:r>
        <w:rPr>
          <w:b/>
          <w:bCs/>
        </w:rPr>
        <w:t>Ordonnance n°72-048 du 18 décembre 1972 portant réglementation des substances explosives et détonantes</w:t>
      </w:r>
    </w:p>
    <w:p w14:paraId="581AAA89" w14:textId="46336EA9" w:rsidR="00A57357" w:rsidRDefault="00A57357" w:rsidP="00A57357">
      <w:pPr>
        <w:spacing w:before="120" w:after="120" w:line="240" w:lineRule="auto"/>
      </w:pPr>
      <w:r>
        <w:t xml:space="preserve">Dans ses articles 10 et 13, prévoit que toute acquisition de substances explosives ou détonantes est soumise à une autorisation préalable.  Elle </w:t>
      </w:r>
      <w:r w:rsidR="006C715A">
        <w:t>dispose</w:t>
      </w:r>
      <w:r>
        <w:t xml:space="preserve"> également que, sauf dérogation accordée par voie réglementaire, la détention ou la conservation de ses substances est strictement limitée aux dépôts autorisés, toute conservation en dehors de ces installations étant interdite.</w:t>
      </w:r>
    </w:p>
    <w:p w14:paraId="120D3465" w14:textId="77777777" w:rsidR="00A57357" w:rsidRDefault="00A57357" w:rsidP="00844538">
      <w:pPr>
        <w:pStyle w:val="ListParagraph"/>
        <w:numPr>
          <w:ilvl w:val="0"/>
          <w:numId w:val="4"/>
        </w:numPr>
        <w:spacing w:before="120" w:after="120"/>
        <w:contextualSpacing w:val="0"/>
        <w:jc w:val="left"/>
        <w:rPr>
          <w:b/>
          <w:bCs/>
        </w:rPr>
      </w:pPr>
      <w:r>
        <w:rPr>
          <w:b/>
          <w:bCs/>
        </w:rPr>
        <w:t>Décret n°73-079 du 30 mars 1973 fixant les conditions d’emploi des substances explosives détonantes</w:t>
      </w:r>
    </w:p>
    <w:p w14:paraId="1F9FCC61" w14:textId="77777777" w:rsidR="00A57357" w:rsidRPr="003511BA" w:rsidRDefault="00A57357" w:rsidP="00A57357">
      <w:pPr>
        <w:spacing w:before="120" w:after="120" w:line="240" w:lineRule="auto"/>
      </w:pPr>
      <w:r>
        <w:t xml:space="preserve">Ce décret impose </w:t>
      </w:r>
      <w:r w:rsidRPr="003511BA">
        <w:t xml:space="preserve">des règles strictes de sécurité lors des opérations de tir. Il prévoit que </w:t>
      </w:r>
      <w:r w:rsidRPr="00CE01BC">
        <w:t>tout tir doit être placé sous la responsabilité d’un chef de tir qualifié</w:t>
      </w:r>
      <w:r w:rsidRPr="003511BA">
        <w:t>, disposant d’une parfaite connaissance des consignes de sécurité et des techniques de mise en œuvre. Le titulaire d’une autorisation d’achat et d’utilisation occasionnelle ne peut confier la manipulation des explosifs qu’à des personnes compétentes et formées.</w:t>
      </w:r>
    </w:p>
    <w:p w14:paraId="507055DE" w14:textId="77777777" w:rsidR="00A57357" w:rsidRPr="003511BA" w:rsidRDefault="00A57357" w:rsidP="00A57357">
      <w:pPr>
        <w:spacing w:before="120" w:after="120" w:line="240" w:lineRule="auto"/>
      </w:pPr>
      <w:r w:rsidRPr="002B7F84">
        <w:t xml:space="preserve">Le décret précise que </w:t>
      </w:r>
      <w:r w:rsidRPr="00CE01BC">
        <w:t>la distribution, le chargement et le tir des explosifs doivent s’effectuer exclusivement sous la supervision du chef de tir</w:t>
      </w:r>
      <w:r w:rsidRPr="003511BA">
        <w:t xml:space="preserve">, qui est tenu de tenir un </w:t>
      </w:r>
      <w:r w:rsidRPr="00CE01BC">
        <w:t>registre quotidien</w:t>
      </w:r>
      <w:r w:rsidRPr="003511BA">
        <w:t xml:space="preserve"> des quantités reçues, utilisées et restituées aux dépôts. Toute conservation hors dépôt ou à domicile est strictement interdite. Il est également interdit d’utiliser des explosifs ou accessoires autres que ceux fournis par l’exploitant.</w:t>
      </w:r>
    </w:p>
    <w:p w14:paraId="009AFB12" w14:textId="77777777" w:rsidR="00A57357" w:rsidRPr="003511BA" w:rsidRDefault="00A57357" w:rsidP="00A57357">
      <w:pPr>
        <w:spacing w:before="120" w:after="120" w:line="240" w:lineRule="auto"/>
      </w:pPr>
      <w:r w:rsidRPr="002B7F84">
        <w:t>Enfin, le texte impose l’</w:t>
      </w:r>
      <w:r w:rsidRPr="00CE01BC">
        <w:t>interdiction de toute activité sur un chantier où des trous sont chargés</w:t>
      </w:r>
      <w:r w:rsidRPr="003511BA">
        <w:t>, jusqu’à l’achèvement complet des tirs, afin de garantir la sécurité des travailleurs et des biens.</w:t>
      </w:r>
    </w:p>
    <w:p w14:paraId="549E97B6" w14:textId="77777777" w:rsidR="00A57357" w:rsidRDefault="00A57357" w:rsidP="00844538">
      <w:pPr>
        <w:pStyle w:val="ListParagraph"/>
        <w:numPr>
          <w:ilvl w:val="0"/>
          <w:numId w:val="4"/>
        </w:numPr>
        <w:spacing w:before="120" w:after="120"/>
        <w:contextualSpacing w:val="0"/>
        <w:jc w:val="left"/>
        <w:rPr>
          <w:b/>
          <w:bCs/>
        </w:rPr>
      </w:pPr>
      <w:r w:rsidRPr="00CE01BC">
        <w:rPr>
          <w:b/>
          <w:bCs/>
        </w:rPr>
        <w:t xml:space="preserve">Décret </w:t>
      </w:r>
      <w:r>
        <w:rPr>
          <w:b/>
          <w:bCs/>
        </w:rPr>
        <w:t>n°73-078 du 30 mars 1973 portant règlementation de la conservation des substances explosives et détonantes</w:t>
      </w:r>
    </w:p>
    <w:p w14:paraId="632F0778" w14:textId="3E2915F9" w:rsidR="00A57357" w:rsidRPr="002872A0" w:rsidRDefault="00A57357" w:rsidP="00A57357">
      <w:pPr>
        <w:spacing w:before="120" w:after="120" w:line="240" w:lineRule="auto"/>
      </w:pPr>
      <w:r>
        <w:t xml:space="preserve">Ce décret </w:t>
      </w:r>
      <w:r w:rsidR="006C715A">
        <w:t>dispose</w:t>
      </w:r>
      <w:r>
        <w:t xml:space="preserve"> que, s</w:t>
      </w:r>
      <w:r w:rsidRPr="00D5655B">
        <w:t>auf dérogations prévues par l’Ordonnance n°72-048 du 18 décembre 1972, les substances explosives et détonantes doivent être exclusivement conservées dans des dépôts dûment autorisés, conformément aux exigences de sécurité et de contrôle réglementaires.</w:t>
      </w:r>
    </w:p>
    <w:p w14:paraId="1E3E708B" w14:textId="77777777" w:rsidR="00A57357" w:rsidRPr="00CE01BC" w:rsidRDefault="00A57357" w:rsidP="00844538">
      <w:pPr>
        <w:pStyle w:val="ListParagraph"/>
        <w:numPr>
          <w:ilvl w:val="0"/>
          <w:numId w:val="4"/>
        </w:numPr>
        <w:spacing w:before="120" w:after="120"/>
        <w:contextualSpacing w:val="0"/>
        <w:jc w:val="left"/>
        <w:rPr>
          <w:b/>
          <w:bCs/>
        </w:rPr>
      </w:pPr>
      <w:r w:rsidRPr="00CE01BC">
        <w:rPr>
          <w:b/>
          <w:bCs/>
        </w:rPr>
        <w:t>Décret n</w:t>
      </w:r>
      <w:r>
        <w:rPr>
          <w:b/>
          <w:bCs/>
        </w:rPr>
        <w:t>°</w:t>
      </w:r>
      <w:r w:rsidRPr="00CE01BC">
        <w:rPr>
          <w:b/>
          <w:bCs/>
        </w:rPr>
        <w:t>73-077 du 30 mars 1973 portant réglementation de l’emballage, du transport et de la manutention de substances explosives et détonantes</w:t>
      </w:r>
    </w:p>
    <w:p w14:paraId="5C705831" w14:textId="77777777" w:rsidR="00A57357" w:rsidRPr="00CE01BC" w:rsidRDefault="00A57357" w:rsidP="00A57357">
      <w:pPr>
        <w:spacing w:before="120" w:after="120" w:line="240" w:lineRule="auto"/>
      </w:pPr>
      <w:r>
        <w:t xml:space="preserve">Ce décret dispose dans son article premier que, </w:t>
      </w:r>
      <w:r w:rsidRPr="00F14977">
        <w:t>à l’exception des déplacements effectués à proximité immédiate des chantiers ou des lieux d’utilisation, tout transport de ces substances sur le territoire national est soumis à une déclaration préalable. Il impose en outre que le transport soit effectué sous emballage conforme aux conditions fixées par arrêté du Ministre chargé des Mines, afin de garantir la sécurité des personnes, des biens et de l’environnement.</w:t>
      </w:r>
    </w:p>
    <w:p w14:paraId="5CF42584" w14:textId="77777777" w:rsidR="00A57357" w:rsidRDefault="00A57357" w:rsidP="00844538">
      <w:pPr>
        <w:pStyle w:val="ListParagraph"/>
        <w:numPr>
          <w:ilvl w:val="0"/>
          <w:numId w:val="4"/>
        </w:numPr>
        <w:spacing w:before="120" w:after="120"/>
        <w:contextualSpacing w:val="0"/>
        <w:jc w:val="left"/>
      </w:pPr>
      <w:r>
        <w:rPr>
          <w:b/>
          <w:bCs/>
        </w:rPr>
        <w:t>Décret n°73-076 du 30 mars 1973 portant réglementation des importations, exportation, cession et acquisition des substances et détonantes</w:t>
      </w:r>
    </w:p>
    <w:p w14:paraId="1D50315E" w14:textId="77777777" w:rsidR="00A57357" w:rsidRPr="00BF3291" w:rsidRDefault="00A57357" w:rsidP="00A57357">
      <w:pPr>
        <w:spacing w:before="120" w:after="120" w:line="240" w:lineRule="auto"/>
      </w:pPr>
      <w:r>
        <w:t>Ce décret dispose</w:t>
      </w:r>
      <w:r w:rsidRPr="00BF3291">
        <w:t xml:space="preserve"> que </w:t>
      </w:r>
      <w:r w:rsidRPr="00CE01BC">
        <w:t>toute personne souhaitant importer ou exercer le commerce des substances</w:t>
      </w:r>
      <w:r>
        <w:t xml:space="preserve"> explosives et détonantes</w:t>
      </w:r>
      <w:r w:rsidRPr="00CE01BC">
        <w:t xml:space="preserve"> doit être préalablement agréée</w:t>
      </w:r>
      <w:r w:rsidRPr="00BF3291">
        <w:t xml:space="preserve"> par arrêté conjoint du Ministre chargé des Mines, après avis conforme des ministères compétents, notamment ceux chargés des Finances, des Forces Armées, de l’Intérieur et du Commerce (article 2). Par ailleurs, </w:t>
      </w:r>
      <w:r w:rsidRPr="00BF3291">
        <w:lastRenderedPageBreak/>
        <w:t xml:space="preserve">le décret précise que </w:t>
      </w:r>
      <w:r w:rsidRPr="00CE01BC">
        <w:t>l’acquisition de substances explosives et détonantes est soumise à l’obtention d’une autorisation délivrée par le Service des Mines</w:t>
      </w:r>
      <w:r w:rsidRPr="00BF3291">
        <w:t>, le cas échéant (article 10).</w:t>
      </w:r>
    </w:p>
    <w:p w14:paraId="288292A8" w14:textId="77777777" w:rsidR="00A57357" w:rsidRPr="003617DE" w:rsidRDefault="00A57357" w:rsidP="003617DE">
      <w:pPr>
        <w:pStyle w:val="Heading4"/>
        <w:ind w:left="862" w:hanging="862"/>
        <w:rPr>
          <w:color w:val="auto"/>
        </w:rPr>
      </w:pPr>
      <w:bookmarkStart w:id="484" w:name="_Toc230298776"/>
      <w:r w:rsidRPr="003617DE">
        <w:rPr>
          <w:color w:val="auto"/>
        </w:rPr>
        <w:t>Textes de base relatifs au secteur forestier</w:t>
      </w:r>
      <w:bookmarkEnd w:id="484"/>
    </w:p>
    <w:p w14:paraId="3440F0A7" w14:textId="77777777" w:rsidR="00A57357" w:rsidRPr="005E11F0" w:rsidRDefault="00A57357" w:rsidP="00A57357">
      <w:pPr>
        <w:spacing w:before="120" w:after="120" w:line="240" w:lineRule="auto"/>
      </w:pPr>
      <w:r w:rsidRPr="005E11F0">
        <w:t xml:space="preserve">Les textes relatifs au secteur forestier applicables au projet sont entre autres : </w:t>
      </w:r>
    </w:p>
    <w:p w14:paraId="3A5D044B" w14:textId="77777777" w:rsidR="00A57357" w:rsidRPr="005E11F0" w:rsidRDefault="00A57357" w:rsidP="00A57357">
      <w:pPr>
        <w:spacing w:before="120" w:after="120" w:line="240" w:lineRule="auto"/>
      </w:pPr>
      <w:r w:rsidRPr="005E11F0">
        <w:t>La Loi n°96 025 du 10 septembre 1996 relative à la gestion locale des ressources naturelles renouvelables.</w:t>
      </w:r>
    </w:p>
    <w:p w14:paraId="1D7A91FB" w14:textId="77777777" w:rsidR="00A57357" w:rsidRPr="005E11F0" w:rsidRDefault="00A57357" w:rsidP="00A57357">
      <w:pPr>
        <w:spacing w:before="120" w:after="120" w:line="240" w:lineRule="auto"/>
      </w:pPr>
      <w:r w:rsidRPr="005E11F0">
        <w:t>La Loi n°97-017 du 8 août 1997 portant révision de la législation forestière.</w:t>
      </w:r>
    </w:p>
    <w:p w14:paraId="023F10C5" w14:textId="77777777" w:rsidR="00A57357" w:rsidRPr="005E11F0" w:rsidRDefault="00A57357" w:rsidP="00A57357">
      <w:pPr>
        <w:spacing w:before="120" w:after="120" w:line="240" w:lineRule="auto"/>
      </w:pPr>
      <w:r w:rsidRPr="005E11F0">
        <w:t>Le Décret n°61 479 du 18 avril 1961 réglant les modalités d'application de l’Ordonnance n°60-127 du 3 Octobre 1960 relative au régime des défrichements et des feux de végétation,</w:t>
      </w:r>
    </w:p>
    <w:p w14:paraId="48730D17" w14:textId="77777777" w:rsidR="00A57357" w:rsidRPr="005E11F0" w:rsidRDefault="00A57357" w:rsidP="00A57357">
      <w:pPr>
        <w:spacing w:before="120" w:after="120" w:line="240" w:lineRule="auto"/>
      </w:pPr>
      <w:r w:rsidRPr="005E11F0">
        <w:t xml:space="preserve">Le Décret n°97-1200 du 2 octobre 1997 portant adoption de la politique forestière Malagasy </w:t>
      </w:r>
    </w:p>
    <w:p w14:paraId="00C9F5B1" w14:textId="77777777" w:rsidR="00A57357" w:rsidRPr="005E11F0" w:rsidRDefault="00A57357" w:rsidP="00A57357">
      <w:pPr>
        <w:spacing w:before="120" w:after="120" w:line="240" w:lineRule="auto"/>
      </w:pPr>
      <w:r w:rsidRPr="005E11F0">
        <w:t>Le Décret n°98-781 du 16 Septembre 1998 fixant les conditions générales d'application de la loi n° 97.017 du 08 Août 1997 portant révision de la législation forestière.</w:t>
      </w:r>
    </w:p>
    <w:p w14:paraId="5EE3329C" w14:textId="77777777" w:rsidR="00A57357" w:rsidRPr="005E11F0" w:rsidRDefault="00A57357" w:rsidP="00A57357">
      <w:pPr>
        <w:spacing w:before="120" w:after="120" w:line="240" w:lineRule="auto"/>
      </w:pPr>
      <w:r w:rsidRPr="005E11F0">
        <w:t>Le décret n 2005-849 du 13 décembre 2005 portant refonte des conditions générales d'application de la loi n° 97-017 du 08 août 1997 portant révision de la législation forestière.</w:t>
      </w:r>
    </w:p>
    <w:p w14:paraId="4D196410" w14:textId="77777777" w:rsidR="00A57357" w:rsidRPr="005E11F0" w:rsidRDefault="00A57357" w:rsidP="00A57357">
      <w:pPr>
        <w:spacing w:before="120" w:after="120" w:line="240" w:lineRule="auto"/>
      </w:pPr>
      <w:r w:rsidRPr="005E11F0">
        <w:t xml:space="preserve">L’Arrêté nº18177 / 04 du 27 Septembre 2004 portant définition et délimitation des zones forestières sensibles. </w:t>
      </w:r>
    </w:p>
    <w:p w14:paraId="02A04AD1" w14:textId="6611224B" w:rsidR="00D514CA" w:rsidRPr="00C801A6" w:rsidRDefault="00A57357" w:rsidP="003617DE">
      <w:pPr>
        <w:spacing w:before="120" w:after="120" w:line="240" w:lineRule="auto"/>
      </w:pPr>
      <w:bookmarkStart w:id="485" w:name="_heading=h.3bj1y38" w:colFirst="0" w:colLast="0"/>
      <w:bookmarkEnd w:id="485"/>
      <w:r w:rsidRPr="005E11F0">
        <w:t xml:space="preserve">L’Arrêté n°12704 du 20 novembre 2000 portant interdiction d'extraction de ressources ligneuses dans les zones sensibles. </w:t>
      </w:r>
    </w:p>
    <w:p w14:paraId="016A7B94" w14:textId="0D019DAD" w:rsidR="00575CDF" w:rsidRPr="00C801A6" w:rsidRDefault="00575CDF" w:rsidP="00014BC0">
      <w:pPr>
        <w:pStyle w:val="Heading2"/>
      </w:pPr>
      <w:bookmarkStart w:id="486" w:name="_Toc106320329"/>
      <w:bookmarkStart w:id="487" w:name="_Toc230426035"/>
      <w:r w:rsidRPr="00C801A6">
        <w:t xml:space="preserve">CADRE ENVIRONNEMENTAL ET SOCIAL DE LA </w:t>
      </w:r>
      <w:r w:rsidR="00B910A0" w:rsidRPr="00C801A6">
        <w:t>BANQUE MONDIALE</w:t>
      </w:r>
      <w:r w:rsidRPr="00C801A6">
        <w:t xml:space="preserve"> ET ANALYSE COMPARATIVE AVEC LES LEGISLATIONS NATIONALES</w:t>
      </w:r>
      <w:bookmarkEnd w:id="486"/>
      <w:bookmarkEnd w:id="487"/>
    </w:p>
    <w:p w14:paraId="6D139F13" w14:textId="77777777" w:rsidR="00575CDF" w:rsidRPr="00C801A6" w:rsidRDefault="00575CDF" w:rsidP="00C65572">
      <w:pPr>
        <w:pStyle w:val="Heading3"/>
      </w:pPr>
      <w:bookmarkStart w:id="488" w:name="_Toc106320330"/>
      <w:bookmarkStart w:id="489" w:name="_Toc230426036"/>
      <w:r w:rsidRPr="00C801A6">
        <w:t>Normes environnementales et sociales pertinentes pour le projet</w:t>
      </w:r>
      <w:bookmarkEnd w:id="488"/>
      <w:bookmarkEnd w:id="489"/>
    </w:p>
    <w:p w14:paraId="24CA9298" w14:textId="0565E6C5" w:rsidR="00575CDF" w:rsidRPr="00C801A6" w:rsidRDefault="00575CDF" w:rsidP="00575CDF">
      <w:pPr>
        <w:rPr>
          <w:rFonts w:eastAsia="Arial" w:cs="Times New Roman"/>
          <w:color w:val="auto"/>
          <w:szCs w:val="24"/>
          <w:lang w:val="fr"/>
        </w:rPr>
      </w:pPr>
      <w:r w:rsidRPr="00C801A6">
        <w:rPr>
          <w:rFonts w:eastAsia="Arial" w:cs="Times New Roman"/>
          <w:color w:val="auto"/>
          <w:szCs w:val="24"/>
          <w:lang w:val="fr"/>
        </w:rPr>
        <w:t xml:space="preserve">Le Cadre environnemental et social (CES) décrit l’engagement de la </w:t>
      </w:r>
      <w:r w:rsidR="00B910A0" w:rsidRPr="00C801A6">
        <w:rPr>
          <w:rFonts w:eastAsia="Arial" w:cs="Times New Roman"/>
          <w:color w:val="auto"/>
          <w:szCs w:val="24"/>
          <w:lang w:val="fr"/>
        </w:rPr>
        <w:t>Banque mondiale</w:t>
      </w:r>
      <w:r w:rsidRPr="00C801A6">
        <w:rPr>
          <w:rFonts w:eastAsia="Arial" w:cs="Times New Roman"/>
          <w:color w:val="auto"/>
          <w:szCs w:val="24"/>
          <w:lang w:val="fr"/>
        </w:rPr>
        <w:t xml:space="preserve"> à promouvoir le développement durable à travers une politique et un ensemble de normes environnementales et sociales conçues pour appuyer les projets des pays emprunteurs dans le but de mettre fin à l’extrême pauvreté et de promouvoir une prospérité partagée. Le Cadre comprend :</w:t>
      </w:r>
    </w:p>
    <w:p w14:paraId="0A668573" w14:textId="77777777" w:rsidR="00575CDF" w:rsidRPr="00C801A6" w:rsidRDefault="00575CDF" w:rsidP="00844538">
      <w:pPr>
        <w:pStyle w:val="ListParagraph"/>
        <w:numPr>
          <w:ilvl w:val="0"/>
          <w:numId w:val="140"/>
        </w:numPr>
        <w:spacing w:after="80" w:line="276" w:lineRule="auto"/>
        <w:ind w:left="850" w:hanging="425"/>
        <w:contextualSpacing w:val="0"/>
        <w:rPr>
          <w:rFonts w:eastAsiaTheme="minorEastAsia" w:cs="Times New Roman"/>
          <w:color w:val="auto"/>
          <w:szCs w:val="24"/>
          <w:lang w:val="fr"/>
        </w:rPr>
      </w:pPr>
      <w:r w:rsidRPr="00C801A6">
        <w:rPr>
          <w:rFonts w:eastAsia="Arial" w:cs="Times New Roman"/>
          <w:color w:val="auto"/>
          <w:szCs w:val="24"/>
          <w:lang w:val="fr"/>
        </w:rPr>
        <w:t>Une vision du développement durable, qui décrit les aspirations de la Banque en matière de viabilité environnementale et sociale ;</w:t>
      </w:r>
    </w:p>
    <w:p w14:paraId="1A1A310C" w14:textId="77777777" w:rsidR="00575CDF" w:rsidRPr="00C801A6" w:rsidRDefault="00575CDF" w:rsidP="00844538">
      <w:pPr>
        <w:pStyle w:val="ListParagraph"/>
        <w:numPr>
          <w:ilvl w:val="0"/>
          <w:numId w:val="140"/>
        </w:numPr>
        <w:spacing w:after="80" w:line="276" w:lineRule="auto"/>
        <w:ind w:left="850" w:hanging="425"/>
        <w:contextualSpacing w:val="0"/>
        <w:rPr>
          <w:rFonts w:eastAsia="Arial" w:cs="Times New Roman"/>
          <w:color w:val="auto"/>
          <w:szCs w:val="24"/>
          <w:lang w:val="fr"/>
        </w:rPr>
      </w:pPr>
      <w:r w:rsidRPr="00C801A6">
        <w:rPr>
          <w:rFonts w:eastAsia="Arial" w:cs="Times New Roman"/>
          <w:color w:val="auto"/>
          <w:szCs w:val="24"/>
          <w:lang w:val="fr"/>
        </w:rPr>
        <w:t xml:space="preserve">La Politique environnementale et sociale relative au financement de projets d’investissement, qui énonce les exigences de la Banque ; </w:t>
      </w:r>
    </w:p>
    <w:p w14:paraId="79D84989" w14:textId="77777777" w:rsidR="00575CDF" w:rsidRPr="00C801A6" w:rsidRDefault="00575CDF" w:rsidP="00844538">
      <w:pPr>
        <w:pStyle w:val="ListParagraph"/>
        <w:numPr>
          <w:ilvl w:val="0"/>
          <w:numId w:val="140"/>
        </w:numPr>
        <w:spacing w:after="80" w:line="276" w:lineRule="auto"/>
        <w:ind w:left="850" w:hanging="425"/>
        <w:contextualSpacing w:val="0"/>
        <w:rPr>
          <w:rFonts w:eastAsiaTheme="minorEastAsia" w:cs="Times New Roman"/>
          <w:color w:val="auto"/>
          <w:szCs w:val="24"/>
          <w:lang w:val="fr"/>
        </w:rPr>
      </w:pPr>
      <w:r w:rsidRPr="00C801A6">
        <w:rPr>
          <w:rFonts w:eastAsia="Arial" w:cs="Times New Roman"/>
          <w:color w:val="auto"/>
          <w:szCs w:val="24"/>
          <w:lang w:val="fr"/>
        </w:rPr>
        <w:t>Les Normes environnementales et sociales et leurs Annexes, qui énoncent les dispositions qui s’appliquent à l’Emprunteur et aux projets.</w:t>
      </w:r>
    </w:p>
    <w:p w14:paraId="798A051A" w14:textId="77777777" w:rsidR="00575CDF" w:rsidRPr="00C801A6" w:rsidRDefault="00575CDF" w:rsidP="00575CDF">
      <w:pPr>
        <w:rPr>
          <w:rFonts w:eastAsia="Arial" w:cs="Times New Roman"/>
          <w:color w:val="auto"/>
          <w:szCs w:val="24"/>
          <w:lang w:val="fr"/>
        </w:rPr>
      </w:pPr>
      <w:r w:rsidRPr="00C801A6">
        <w:rPr>
          <w:rFonts w:eastAsia="Arial" w:cs="Times New Roman"/>
          <w:color w:val="auto"/>
          <w:szCs w:val="24"/>
          <w:lang w:val="fr"/>
        </w:rPr>
        <w:t>Ces normes environnementales et sociales ou NES sont les suivantes :</w:t>
      </w:r>
    </w:p>
    <w:p w14:paraId="3EF2ABDC" w14:textId="77777777" w:rsidR="00575CDF" w:rsidRPr="00C801A6" w:rsidRDefault="00575CDF" w:rsidP="00844538">
      <w:pPr>
        <w:pStyle w:val="ListParagraph"/>
        <w:numPr>
          <w:ilvl w:val="0"/>
          <w:numId w:val="159"/>
        </w:numPr>
        <w:spacing w:after="80" w:line="276" w:lineRule="auto"/>
        <w:ind w:left="850" w:hanging="425"/>
        <w:contextualSpacing w:val="0"/>
        <w:rPr>
          <w:rFonts w:eastAsia="Arial" w:cs="Times New Roman"/>
          <w:color w:val="auto"/>
          <w:szCs w:val="24"/>
          <w:lang w:val="fr"/>
        </w:rPr>
      </w:pPr>
      <w:r w:rsidRPr="00C801A6">
        <w:rPr>
          <w:rFonts w:eastAsia="Arial" w:cs="Times New Roman"/>
          <w:color w:val="auto"/>
          <w:szCs w:val="24"/>
          <w:lang w:val="fr"/>
        </w:rPr>
        <w:t>Norme environnementale et sociale N°1 : Évaluation et gestion des risques et impacts environnementaux et sociaux ;</w:t>
      </w:r>
    </w:p>
    <w:p w14:paraId="7EB7E2AC" w14:textId="77777777" w:rsidR="00575CDF" w:rsidRPr="00C801A6" w:rsidRDefault="00575CDF" w:rsidP="00844538">
      <w:pPr>
        <w:pStyle w:val="ListParagraph"/>
        <w:numPr>
          <w:ilvl w:val="0"/>
          <w:numId w:val="159"/>
        </w:numPr>
        <w:spacing w:after="80" w:line="276" w:lineRule="auto"/>
        <w:ind w:left="850" w:hanging="425"/>
        <w:contextualSpacing w:val="0"/>
        <w:rPr>
          <w:rFonts w:eastAsia="Arial" w:cs="Times New Roman"/>
          <w:color w:val="auto"/>
          <w:szCs w:val="24"/>
          <w:lang w:val="fr"/>
        </w:rPr>
      </w:pPr>
      <w:r w:rsidRPr="00C801A6">
        <w:rPr>
          <w:rFonts w:eastAsia="Arial" w:cs="Times New Roman"/>
          <w:color w:val="auto"/>
          <w:szCs w:val="24"/>
          <w:lang w:val="fr"/>
        </w:rPr>
        <w:t>Norme environnementale et sociale N° 2 : Emploi et conditions de travail ;</w:t>
      </w:r>
    </w:p>
    <w:p w14:paraId="6F7FD2D3" w14:textId="77777777" w:rsidR="00575CDF" w:rsidRPr="00C801A6" w:rsidRDefault="00575CDF" w:rsidP="00844538">
      <w:pPr>
        <w:pStyle w:val="ListParagraph"/>
        <w:numPr>
          <w:ilvl w:val="0"/>
          <w:numId w:val="159"/>
        </w:numPr>
        <w:spacing w:after="80" w:line="276" w:lineRule="auto"/>
        <w:ind w:left="850" w:hanging="425"/>
        <w:contextualSpacing w:val="0"/>
        <w:rPr>
          <w:rFonts w:eastAsia="Arial" w:cs="Times New Roman"/>
          <w:color w:val="auto"/>
          <w:szCs w:val="24"/>
          <w:lang w:val="fr"/>
        </w:rPr>
      </w:pPr>
      <w:r w:rsidRPr="00C801A6">
        <w:rPr>
          <w:rFonts w:eastAsia="Arial" w:cs="Times New Roman"/>
          <w:color w:val="auto"/>
          <w:szCs w:val="24"/>
          <w:lang w:val="fr"/>
        </w:rPr>
        <w:lastRenderedPageBreak/>
        <w:t>Norme environnementale et sociale N° 3 : Utilisation rationnelle des ressources et prévention et gestion de la pollution ;</w:t>
      </w:r>
    </w:p>
    <w:p w14:paraId="15C7C9B0" w14:textId="77777777" w:rsidR="00575CDF" w:rsidRPr="00C801A6" w:rsidRDefault="00575CDF" w:rsidP="00844538">
      <w:pPr>
        <w:pStyle w:val="ListParagraph"/>
        <w:numPr>
          <w:ilvl w:val="0"/>
          <w:numId w:val="159"/>
        </w:numPr>
        <w:spacing w:after="80" w:line="276" w:lineRule="auto"/>
        <w:ind w:left="850" w:hanging="425"/>
        <w:contextualSpacing w:val="0"/>
        <w:rPr>
          <w:rFonts w:eastAsia="Arial" w:cs="Times New Roman"/>
          <w:color w:val="auto"/>
          <w:szCs w:val="24"/>
          <w:lang w:val="fr"/>
        </w:rPr>
      </w:pPr>
      <w:r w:rsidRPr="00C801A6">
        <w:rPr>
          <w:rFonts w:eastAsia="Arial" w:cs="Times New Roman"/>
          <w:color w:val="auto"/>
          <w:szCs w:val="24"/>
          <w:lang w:val="fr"/>
        </w:rPr>
        <w:t>Norme environnementale et sociale N° 4 : Santé et sécurité des populations ;</w:t>
      </w:r>
    </w:p>
    <w:p w14:paraId="2C91211B" w14:textId="0D114892" w:rsidR="00575CDF" w:rsidRPr="00C801A6" w:rsidRDefault="00575CDF" w:rsidP="00844538">
      <w:pPr>
        <w:pStyle w:val="ListParagraph"/>
        <w:numPr>
          <w:ilvl w:val="0"/>
          <w:numId w:val="159"/>
        </w:numPr>
        <w:spacing w:after="80" w:line="276" w:lineRule="auto"/>
        <w:ind w:left="850" w:hanging="425"/>
        <w:contextualSpacing w:val="0"/>
        <w:rPr>
          <w:rFonts w:eastAsia="Arial" w:cs="Times New Roman"/>
          <w:color w:val="auto"/>
          <w:szCs w:val="24"/>
          <w:lang w:val="fr"/>
        </w:rPr>
      </w:pPr>
      <w:r w:rsidRPr="00C801A6">
        <w:rPr>
          <w:rFonts w:eastAsia="Arial" w:cs="Times New Roman"/>
          <w:color w:val="auto"/>
          <w:szCs w:val="24"/>
          <w:lang w:val="fr"/>
        </w:rPr>
        <w:t xml:space="preserve">Norme environnementale et sociale N° 5 : Acquisition de terres, restrictions à l’utilisation de terres et réinstallation involontaire </w:t>
      </w:r>
      <w:r w:rsidR="00E57032" w:rsidRPr="00C801A6">
        <w:rPr>
          <w:rFonts w:eastAsia="Arial" w:cs="Times New Roman"/>
          <w:color w:val="auto"/>
          <w:szCs w:val="24"/>
          <w:lang w:val="fr"/>
        </w:rPr>
        <w:t>(non-applicable au volet CERC)</w:t>
      </w:r>
    </w:p>
    <w:p w14:paraId="56AFDD2D" w14:textId="77777777" w:rsidR="00575CDF" w:rsidRPr="00C801A6" w:rsidRDefault="00575CDF" w:rsidP="00844538">
      <w:pPr>
        <w:pStyle w:val="ListParagraph"/>
        <w:numPr>
          <w:ilvl w:val="0"/>
          <w:numId w:val="159"/>
        </w:numPr>
        <w:spacing w:after="80" w:line="276" w:lineRule="auto"/>
        <w:ind w:left="850" w:hanging="425"/>
        <w:contextualSpacing w:val="0"/>
        <w:rPr>
          <w:rFonts w:eastAsia="Arial" w:cs="Times New Roman"/>
          <w:color w:val="auto"/>
          <w:szCs w:val="24"/>
          <w:lang w:val="fr"/>
        </w:rPr>
      </w:pPr>
      <w:r w:rsidRPr="00C801A6">
        <w:rPr>
          <w:rFonts w:eastAsia="Arial" w:cs="Times New Roman"/>
          <w:color w:val="auto"/>
          <w:szCs w:val="24"/>
          <w:lang w:val="fr"/>
        </w:rPr>
        <w:t>Norme environnementale et sociale N° 6 : Préservation de la biodiversité et gestion durable des ressources naturelles biologiques ;</w:t>
      </w:r>
    </w:p>
    <w:p w14:paraId="33C4F56B" w14:textId="77777777" w:rsidR="00575CDF" w:rsidRPr="00C801A6" w:rsidRDefault="00575CDF" w:rsidP="00844538">
      <w:pPr>
        <w:pStyle w:val="ListParagraph"/>
        <w:numPr>
          <w:ilvl w:val="0"/>
          <w:numId w:val="159"/>
        </w:numPr>
        <w:spacing w:after="80" w:line="276" w:lineRule="auto"/>
        <w:ind w:left="850" w:hanging="425"/>
        <w:contextualSpacing w:val="0"/>
        <w:rPr>
          <w:rFonts w:eastAsia="Arial" w:cs="Times New Roman"/>
          <w:color w:val="auto"/>
          <w:szCs w:val="24"/>
          <w:lang w:val="fr"/>
        </w:rPr>
      </w:pPr>
      <w:r w:rsidRPr="00C801A6">
        <w:rPr>
          <w:rFonts w:eastAsia="Arial" w:cs="Times New Roman"/>
          <w:color w:val="auto"/>
          <w:szCs w:val="24"/>
          <w:lang w:val="fr"/>
        </w:rPr>
        <w:t>Norme environnementale et sociale N° 7 : Peuples autochtones / Communautés locales traditionnelles d’Afrique subsaharienne historiquement défavorisées ;</w:t>
      </w:r>
    </w:p>
    <w:p w14:paraId="2607DD31" w14:textId="77777777" w:rsidR="00575CDF" w:rsidRPr="00C801A6" w:rsidRDefault="00575CDF" w:rsidP="00844538">
      <w:pPr>
        <w:pStyle w:val="ListParagraph"/>
        <w:numPr>
          <w:ilvl w:val="0"/>
          <w:numId w:val="159"/>
        </w:numPr>
        <w:spacing w:after="80" w:line="276" w:lineRule="auto"/>
        <w:ind w:left="850" w:hanging="425"/>
        <w:contextualSpacing w:val="0"/>
        <w:rPr>
          <w:rFonts w:eastAsia="Arial" w:cs="Times New Roman"/>
          <w:color w:val="auto"/>
          <w:szCs w:val="24"/>
          <w:lang w:val="fr"/>
        </w:rPr>
      </w:pPr>
      <w:r w:rsidRPr="00C801A6">
        <w:rPr>
          <w:rFonts w:eastAsia="Arial" w:cs="Times New Roman"/>
          <w:color w:val="auto"/>
          <w:szCs w:val="24"/>
          <w:lang w:val="fr"/>
        </w:rPr>
        <w:t>Norme environnementale et sociale N° 8 : Patrimoine culturel ;</w:t>
      </w:r>
    </w:p>
    <w:p w14:paraId="16BD7A0B" w14:textId="77777777" w:rsidR="00575CDF" w:rsidRPr="00C801A6" w:rsidRDefault="00575CDF" w:rsidP="00844538">
      <w:pPr>
        <w:pStyle w:val="ListParagraph"/>
        <w:numPr>
          <w:ilvl w:val="0"/>
          <w:numId w:val="159"/>
        </w:numPr>
        <w:spacing w:after="80" w:line="276" w:lineRule="auto"/>
        <w:ind w:left="850" w:hanging="425"/>
        <w:contextualSpacing w:val="0"/>
        <w:rPr>
          <w:rFonts w:eastAsia="Arial" w:cs="Times New Roman"/>
          <w:color w:val="auto"/>
          <w:szCs w:val="24"/>
          <w:lang w:val="fr"/>
        </w:rPr>
      </w:pPr>
      <w:r w:rsidRPr="00C801A6">
        <w:rPr>
          <w:rFonts w:eastAsia="Arial" w:cs="Times New Roman"/>
          <w:color w:val="auto"/>
          <w:szCs w:val="24"/>
          <w:lang w:val="fr"/>
        </w:rPr>
        <w:t xml:space="preserve">Norme environnementale et sociale N° 9 : Intermédiaires financiers ; </w:t>
      </w:r>
    </w:p>
    <w:p w14:paraId="7DFFB848" w14:textId="77777777" w:rsidR="00575CDF" w:rsidRPr="00C801A6" w:rsidRDefault="00575CDF" w:rsidP="00844538">
      <w:pPr>
        <w:pStyle w:val="ListParagraph"/>
        <w:numPr>
          <w:ilvl w:val="0"/>
          <w:numId w:val="159"/>
        </w:numPr>
        <w:spacing w:after="80" w:line="276" w:lineRule="auto"/>
        <w:ind w:left="850" w:hanging="425"/>
        <w:contextualSpacing w:val="0"/>
        <w:rPr>
          <w:rFonts w:eastAsiaTheme="minorEastAsia" w:cs="Times New Roman"/>
          <w:color w:val="auto"/>
          <w:szCs w:val="24"/>
          <w:lang w:val="fr"/>
        </w:rPr>
      </w:pPr>
      <w:r w:rsidRPr="00C801A6">
        <w:rPr>
          <w:rFonts w:eastAsia="Arial" w:cs="Times New Roman"/>
          <w:color w:val="auto"/>
          <w:szCs w:val="24"/>
          <w:lang w:val="fr"/>
        </w:rPr>
        <w:t xml:space="preserve">Norme environnementale et sociale N° 10 : Mobilisation des parties prenantes et information. </w:t>
      </w:r>
    </w:p>
    <w:p w14:paraId="564D9C83" w14:textId="501F2EFB" w:rsidR="00575CDF" w:rsidRPr="00C801A6" w:rsidRDefault="00575CDF" w:rsidP="00575CDF">
      <w:pPr>
        <w:rPr>
          <w:rFonts w:eastAsia="Arial" w:cs="Times New Roman"/>
          <w:color w:val="auto"/>
          <w:szCs w:val="24"/>
          <w:lang w:val="fr"/>
        </w:rPr>
      </w:pPr>
      <w:r w:rsidRPr="00C801A6">
        <w:rPr>
          <w:rFonts w:eastAsia="Arial" w:cs="Times New Roman"/>
          <w:color w:val="auto"/>
          <w:szCs w:val="24"/>
          <w:lang w:val="fr"/>
        </w:rPr>
        <w:t xml:space="preserve">A Madagascar, il n’existe pas de groupes de populations qui correspondent ou qui répondent à la définition de « populations autochtones » telles que définies par la NES7 de la </w:t>
      </w:r>
      <w:r w:rsidR="00B910A0" w:rsidRPr="00C801A6">
        <w:rPr>
          <w:rFonts w:eastAsia="Arial" w:cs="Times New Roman"/>
          <w:color w:val="auto"/>
          <w:szCs w:val="24"/>
          <w:lang w:val="fr"/>
        </w:rPr>
        <w:t>Banque mondiale</w:t>
      </w:r>
      <w:r w:rsidRPr="00C801A6">
        <w:rPr>
          <w:rFonts w:eastAsia="Arial" w:cs="Times New Roman"/>
          <w:color w:val="auto"/>
          <w:szCs w:val="24"/>
          <w:lang w:val="fr"/>
        </w:rPr>
        <w:t>.</w:t>
      </w:r>
    </w:p>
    <w:p w14:paraId="7A7A3F41" w14:textId="493CBD5C" w:rsidR="00575CDF" w:rsidRPr="00C801A6" w:rsidRDefault="00575CDF" w:rsidP="00575CDF">
      <w:pPr>
        <w:rPr>
          <w:rFonts w:eastAsia="Arial" w:cs="Times New Roman"/>
          <w:color w:val="auto"/>
          <w:szCs w:val="24"/>
          <w:lang w:val="fr"/>
        </w:rPr>
      </w:pPr>
      <w:r w:rsidRPr="00C801A6">
        <w:rPr>
          <w:rFonts w:eastAsia="Arial" w:cs="Times New Roman"/>
          <w:color w:val="auto"/>
          <w:szCs w:val="24"/>
          <w:lang w:val="fr"/>
        </w:rPr>
        <w:t xml:space="preserve">Le Projet n’intervient pas dans le domaine des services financiers définis dans NES9. Pour ces raisons, Les NES 7 et 9 ne </w:t>
      </w:r>
      <w:r w:rsidR="00EF6701">
        <w:rPr>
          <w:rFonts w:eastAsia="Arial" w:cs="Times New Roman"/>
          <w:color w:val="auto"/>
          <w:szCs w:val="24"/>
          <w:lang w:val="fr"/>
        </w:rPr>
        <w:t xml:space="preserve">sont </w:t>
      </w:r>
      <w:r w:rsidRPr="00C801A6">
        <w:rPr>
          <w:rFonts w:eastAsia="Arial" w:cs="Times New Roman"/>
          <w:color w:val="auto"/>
          <w:szCs w:val="24"/>
          <w:lang w:val="fr"/>
        </w:rPr>
        <w:t xml:space="preserve">pas </w:t>
      </w:r>
      <w:r w:rsidR="00EF6701">
        <w:rPr>
          <w:rFonts w:eastAsia="Arial" w:cs="Times New Roman"/>
          <w:color w:val="auto"/>
          <w:szCs w:val="24"/>
          <w:lang w:val="fr"/>
        </w:rPr>
        <w:t xml:space="preserve">pertinents </w:t>
      </w:r>
      <w:r w:rsidRPr="00C801A6">
        <w:rPr>
          <w:rFonts w:eastAsia="Arial" w:cs="Times New Roman"/>
          <w:color w:val="auto"/>
          <w:szCs w:val="24"/>
          <w:lang w:val="fr"/>
        </w:rPr>
        <w:t>au présent Projet.</w:t>
      </w:r>
    </w:p>
    <w:p w14:paraId="3ED98F82" w14:textId="77777777" w:rsidR="00575CDF" w:rsidRPr="00DD217E" w:rsidRDefault="00575CDF" w:rsidP="1949FB49">
      <w:pPr>
        <w:pStyle w:val="Heading4"/>
        <w:rPr>
          <w:color w:val="auto"/>
        </w:rPr>
      </w:pPr>
      <w:r w:rsidRPr="00DD217E">
        <w:rPr>
          <w:rFonts w:ascii="Times New Roman" w:eastAsia="Times New Roman" w:hAnsi="Times New Roman" w:cs="Times New Roman"/>
          <w:color w:val="auto"/>
          <w:sz w:val="14"/>
          <w:szCs w:val="14"/>
        </w:rPr>
        <w:t xml:space="preserve"> </w:t>
      </w:r>
      <w:bookmarkStart w:id="490" w:name="_Toc230298777"/>
      <w:r w:rsidRPr="00DD217E">
        <w:rPr>
          <w:rFonts w:eastAsia="Arial"/>
          <w:color w:val="auto"/>
        </w:rPr>
        <w:t>Cadre juridique national régissant les impacts environnementaux et sociaux</w:t>
      </w:r>
      <w:bookmarkEnd w:id="490"/>
    </w:p>
    <w:p w14:paraId="3B634179" w14:textId="475B1268" w:rsidR="00575CDF" w:rsidRPr="00C801A6" w:rsidRDefault="00575CDF" w:rsidP="00575CDF">
      <w:pPr>
        <w:pStyle w:val="justify"/>
        <w:spacing w:before="0" w:beforeAutospacing="0" w:after="160" w:afterAutospacing="0" w:line="276" w:lineRule="auto"/>
        <w:jc w:val="both"/>
        <w:rPr>
          <w:rFonts w:ascii="Times New Roman" w:hAnsi="Times New Roman"/>
          <w:sz w:val="24"/>
          <w:szCs w:val="22"/>
        </w:rPr>
      </w:pPr>
      <w:r w:rsidRPr="00C801A6">
        <w:rPr>
          <w:rFonts w:ascii="Times New Roman" w:hAnsi="Times New Roman"/>
          <w:sz w:val="24"/>
          <w:szCs w:val="22"/>
        </w:rPr>
        <w:t xml:space="preserve">En complément à ce qui a été présenté dans la section </w:t>
      </w:r>
      <w:r w:rsidRPr="00C801A6">
        <w:rPr>
          <w:rFonts w:ascii="Times New Roman" w:hAnsi="Times New Roman"/>
          <w:b/>
          <w:sz w:val="24"/>
          <w:szCs w:val="22"/>
        </w:rPr>
        <w:fldChar w:fldCharType="begin"/>
      </w:r>
      <w:r w:rsidRPr="00C801A6">
        <w:rPr>
          <w:rFonts w:ascii="Times New Roman" w:hAnsi="Times New Roman"/>
          <w:b/>
          <w:sz w:val="24"/>
          <w:szCs w:val="22"/>
        </w:rPr>
        <w:instrText xml:space="preserve"> REF _Ref71980171 \r \h  \* MERGEFORMAT </w:instrText>
      </w:r>
      <w:r w:rsidRPr="00C801A6">
        <w:rPr>
          <w:rFonts w:ascii="Times New Roman" w:hAnsi="Times New Roman"/>
          <w:b/>
          <w:sz w:val="24"/>
          <w:szCs w:val="22"/>
        </w:rPr>
      </w:r>
      <w:r w:rsidRPr="00C801A6">
        <w:rPr>
          <w:rFonts w:ascii="Times New Roman" w:hAnsi="Times New Roman"/>
          <w:b/>
          <w:sz w:val="24"/>
          <w:szCs w:val="22"/>
        </w:rPr>
        <w:fldChar w:fldCharType="separate"/>
      </w:r>
      <w:r w:rsidR="00635A10">
        <w:rPr>
          <w:rFonts w:ascii="Times New Roman" w:hAnsi="Times New Roman"/>
          <w:b/>
          <w:sz w:val="24"/>
          <w:szCs w:val="22"/>
        </w:rPr>
        <w:t>4.2.1</w:t>
      </w:r>
      <w:r w:rsidRPr="00C801A6">
        <w:rPr>
          <w:rFonts w:ascii="Times New Roman" w:hAnsi="Times New Roman"/>
          <w:b/>
          <w:sz w:val="24"/>
          <w:szCs w:val="22"/>
        </w:rPr>
        <w:fldChar w:fldCharType="end"/>
      </w:r>
      <w:r w:rsidRPr="00C801A6">
        <w:rPr>
          <w:rFonts w:ascii="Times New Roman" w:hAnsi="Times New Roman"/>
          <w:sz w:val="24"/>
          <w:szCs w:val="22"/>
        </w:rPr>
        <w:t>, le cadre juridique national régissant l’évaluation et la gestion des risques et impacts environnementaux et sociaux commence par une catégorisation du projet envisagé. Cette étape permet de catégoriser les études requises :</w:t>
      </w:r>
    </w:p>
    <w:p w14:paraId="69D3913A" w14:textId="77777777" w:rsidR="00575CDF" w:rsidRPr="00C801A6" w:rsidRDefault="00575CDF" w:rsidP="00844538">
      <w:pPr>
        <w:pStyle w:val="justify"/>
        <w:numPr>
          <w:ilvl w:val="0"/>
          <w:numId w:val="145"/>
        </w:numPr>
        <w:spacing w:before="0" w:beforeAutospacing="0" w:after="160" w:afterAutospacing="0" w:line="276" w:lineRule="auto"/>
        <w:ind w:left="851" w:hanging="425"/>
        <w:jc w:val="both"/>
        <w:rPr>
          <w:rFonts w:ascii="Times New Roman" w:hAnsi="Times New Roman"/>
          <w:sz w:val="24"/>
          <w:szCs w:val="22"/>
        </w:rPr>
      </w:pPr>
      <w:r w:rsidRPr="00C801A6">
        <w:rPr>
          <w:rFonts w:ascii="Times New Roman" w:hAnsi="Times New Roman"/>
          <w:sz w:val="24"/>
          <w:szCs w:val="22"/>
        </w:rPr>
        <w:t>Pour ceux qui tombent dans l’annexe 1 du décret MECIE : une étude d’impact complète (EIES) est requise et ce sera l’ONE qui instruira le dossier y afférent.</w:t>
      </w:r>
    </w:p>
    <w:p w14:paraId="747748D7" w14:textId="2A9620E8" w:rsidR="00575CDF" w:rsidRPr="00C801A6" w:rsidRDefault="00575CDF" w:rsidP="00844538">
      <w:pPr>
        <w:pStyle w:val="justify"/>
        <w:numPr>
          <w:ilvl w:val="0"/>
          <w:numId w:val="145"/>
        </w:numPr>
        <w:spacing w:before="0" w:beforeAutospacing="0" w:after="160" w:afterAutospacing="0" w:line="276" w:lineRule="auto"/>
        <w:ind w:left="851" w:hanging="425"/>
        <w:jc w:val="both"/>
        <w:rPr>
          <w:rFonts w:ascii="Times New Roman" w:hAnsi="Times New Roman"/>
          <w:sz w:val="24"/>
          <w:szCs w:val="22"/>
        </w:rPr>
      </w:pPr>
      <w:r w:rsidRPr="00C801A6">
        <w:rPr>
          <w:rFonts w:ascii="Times New Roman" w:hAnsi="Times New Roman"/>
          <w:sz w:val="24"/>
          <w:szCs w:val="22"/>
        </w:rPr>
        <w:t xml:space="preserve">Pour ceux qui tombent dans l’annexe 2 du même décret : un Programme d’engagement environnemental </w:t>
      </w:r>
      <w:r w:rsidR="00BA079C">
        <w:rPr>
          <w:rFonts w:ascii="Times New Roman" w:hAnsi="Times New Roman"/>
          <w:sz w:val="24"/>
          <w:szCs w:val="22"/>
        </w:rPr>
        <w:t xml:space="preserve">et social </w:t>
      </w:r>
      <w:r w:rsidRPr="00C801A6">
        <w:rPr>
          <w:rFonts w:ascii="Times New Roman" w:hAnsi="Times New Roman"/>
          <w:sz w:val="24"/>
          <w:szCs w:val="22"/>
        </w:rPr>
        <w:t>(PREE</w:t>
      </w:r>
      <w:r w:rsidR="00BA079C">
        <w:rPr>
          <w:rFonts w:ascii="Times New Roman" w:hAnsi="Times New Roman"/>
          <w:sz w:val="24"/>
          <w:szCs w:val="22"/>
        </w:rPr>
        <w:t>S</w:t>
      </w:r>
      <w:r w:rsidRPr="00C801A6">
        <w:rPr>
          <w:rFonts w:ascii="Times New Roman" w:hAnsi="Times New Roman"/>
          <w:sz w:val="24"/>
          <w:szCs w:val="22"/>
        </w:rPr>
        <w:t>) est requis et ce sera le Ministère de tutelle de l’activité qui se chargera de l’instruction du dossier.</w:t>
      </w:r>
    </w:p>
    <w:p w14:paraId="1F325A17" w14:textId="2E7F0F74" w:rsidR="00575CDF" w:rsidRPr="00C801A6" w:rsidRDefault="00575CDF" w:rsidP="00844538">
      <w:pPr>
        <w:pStyle w:val="justify"/>
        <w:numPr>
          <w:ilvl w:val="0"/>
          <w:numId w:val="145"/>
        </w:numPr>
        <w:spacing w:before="0" w:beforeAutospacing="0" w:after="160" w:afterAutospacing="0" w:line="276" w:lineRule="auto"/>
        <w:ind w:left="851" w:hanging="425"/>
        <w:jc w:val="both"/>
        <w:rPr>
          <w:rFonts w:ascii="Times New Roman" w:hAnsi="Times New Roman"/>
          <w:sz w:val="24"/>
          <w:szCs w:val="22"/>
        </w:rPr>
      </w:pPr>
      <w:r w:rsidRPr="00C801A6">
        <w:rPr>
          <w:rFonts w:ascii="Times New Roman" w:hAnsi="Times New Roman"/>
          <w:sz w:val="24"/>
          <w:szCs w:val="22"/>
        </w:rPr>
        <w:t xml:space="preserve">Pour ceux </w:t>
      </w:r>
      <w:r w:rsidR="00D169F9" w:rsidRPr="00C801A6">
        <w:rPr>
          <w:rFonts w:ascii="Times New Roman" w:hAnsi="Times New Roman"/>
          <w:sz w:val="24"/>
          <w:szCs w:val="22"/>
        </w:rPr>
        <w:t>qui ne sont ni</w:t>
      </w:r>
      <w:r w:rsidRPr="00C801A6">
        <w:rPr>
          <w:rFonts w:ascii="Times New Roman" w:hAnsi="Times New Roman"/>
          <w:sz w:val="24"/>
          <w:szCs w:val="22"/>
        </w:rPr>
        <w:t xml:space="preserve"> dans l’annexe 1 ni dans l’annexe 2 : aucun travail environnemental n’est requis.</w:t>
      </w:r>
    </w:p>
    <w:p w14:paraId="69B6F31A" w14:textId="77777777" w:rsidR="00575CDF" w:rsidRPr="00C801A6" w:rsidRDefault="00575CDF" w:rsidP="00575CDF">
      <w:pPr>
        <w:pStyle w:val="justify"/>
        <w:spacing w:before="0" w:beforeAutospacing="0" w:after="160" w:afterAutospacing="0" w:line="276" w:lineRule="auto"/>
        <w:ind w:left="66"/>
        <w:jc w:val="both"/>
        <w:rPr>
          <w:rFonts w:ascii="Times New Roman" w:hAnsi="Times New Roman"/>
          <w:sz w:val="24"/>
          <w:szCs w:val="22"/>
        </w:rPr>
      </w:pPr>
      <w:r w:rsidRPr="00C801A6">
        <w:rPr>
          <w:rFonts w:ascii="Times New Roman" w:hAnsi="Times New Roman"/>
          <w:sz w:val="24"/>
          <w:szCs w:val="22"/>
        </w:rPr>
        <w:t>Quoique le premier texte sur les études d’impact ait été adopté et appliqué depuis l’année 1995, en Janvier 2021, seuls 765 Permis environnementaux ont été délivrés par l’ONE : ce qui témoigne du faible respect dudit texte.</w:t>
      </w:r>
    </w:p>
    <w:p w14:paraId="2A9928FA" w14:textId="77777777" w:rsidR="00575CDF" w:rsidRPr="00C801A6" w:rsidRDefault="00575CDF" w:rsidP="003042DB">
      <w:pPr>
        <w:pStyle w:val="Heading4"/>
        <w:rPr>
          <w:color w:val="auto"/>
        </w:rPr>
      </w:pPr>
      <w:bookmarkStart w:id="491" w:name="_Toc230298778"/>
      <w:r w:rsidRPr="00C801A6">
        <w:rPr>
          <w:color w:val="auto"/>
        </w:rPr>
        <w:t>Norme environnementale et sociale n°1 : Évaluation et gestion des risques et impacts environnementaux et sociaux</w:t>
      </w:r>
      <w:bookmarkEnd w:id="491"/>
      <w:r w:rsidRPr="00C801A6">
        <w:rPr>
          <w:color w:val="auto"/>
        </w:rPr>
        <w:t xml:space="preserve"> </w:t>
      </w:r>
    </w:p>
    <w:p w14:paraId="50C5D450" w14:textId="77777777" w:rsidR="00575CDF" w:rsidRPr="00C801A6" w:rsidRDefault="00575CDF" w:rsidP="00575CDF">
      <w:pPr>
        <w:pStyle w:val="justify"/>
        <w:shd w:val="clear" w:color="auto" w:fill="FFFFFF"/>
        <w:spacing w:before="0" w:beforeAutospacing="0" w:after="160" w:afterAutospacing="0" w:line="276" w:lineRule="auto"/>
        <w:jc w:val="both"/>
        <w:rPr>
          <w:rFonts w:ascii="Times New Roman" w:hAnsi="Times New Roman"/>
          <w:sz w:val="24"/>
          <w:u w:val="single"/>
        </w:rPr>
      </w:pPr>
      <w:r w:rsidRPr="00C801A6">
        <w:rPr>
          <w:rFonts w:ascii="Times New Roman" w:hAnsi="Times New Roman"/>
          <w:sz w:val="24"/>
          <w:u w:val="single"/>
        </w:rPr>
        <w:t>Principe général de la NES 1</w:t>
      </w:r>
    </w:p>
    <w:p w14:paraId="506EE491" w14:textId="3A394C56" w:rsidR="00575CDF" w:rsidRPr="00C801A6" w:rsidRDefault="00575CDF" w:rsidP="00575CDF">
      <w:pPr>
        <w:pStyle w:val="justify"/>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lastRenderedPageBreak/>
        <w:t xml:space="preserve">La </w:t>
      </w:r>
      <w:r w:rsidR="00EF6701">
        <w:rPr>
          <w:rFonts w:ascii="Times New Roman" w:hAnsi="Times New Roman"/>
          <w:sz w:val="24"/>
        </w:rPr>
        <w:t>NES</w:t>
      </w:r>
      <w:r w:rsidRPr="00C801A6">
        <w:rPr>
          <w:rFonts w:ascii="Times New Roman" w:hAnsi="Times New Roman"/>
          <w:sz w:val="24"/>
        </w:rPr>
        <w:t>1 énonce les responsabilités de l’Emprunteur aux fins d’évaluer, gérer et suivre les risques et impacts environnementaux et sociaux associés à chaque étape d’un projet appuyé par la Banque à travers le Financement dédié aux projets d’investissement (FPI), en vue d’atteindre des résultats environnementaux et sociaux compatibles avec les Normes environnementales et sociales (NES).</w:t>
      </w:r>
    </w:p>
    <w:p w14:paraId="494370E8" w14:textId="77777777" w:rsidR="00575CDF" w:rsidRPr="00C801A6" w:rsidRDefault="00575CDF" w:rsidP="00575CDF">
      <w:pPr>
        <w:pStyle w:val="justify"/>
        <w:shd w:val="clear" w:color="auto" w:fill="FFFFFF"/>
        <w:spacing w:before="0" w:beforeAutospacing="0" w:after="160" w:afterAutospacing="0" w:line="276" w:lineRule="auto"/>
        <w:jc w:val="both"/>
        <w:rPr>
          <w:rFonts w:ascii="Times New Roman" w:hAnsi="Times New Roman"/>
          <w:sz w:val="24"/>
          <w:u w:val="single"/>
        </w:rPr>
      </w:pPr>
      <w:r w:rsidRPr="00C801A6">
        <w:rPr>
          <w:rFonts w:ascii="Times New Roman" w:hAnsi="Times New Roman"/>
          <w:sz w:val="24"/>
          <w:u w:val="single"/>
        </w:rPr>
        <w:t>Objectifs de la NES 1</w:t>
      </w:r>
    </w:p>
    <w:p w14:paraId="3B4F5324"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Identifier, évaluer et gérer les risques et les impacts environnementaux et sociaux du projet. Conformément aux NES.</w:t>
      </w:r>
    </w:p>
    <w:p w14:paraId="6D356444" w14:textId="77777777" w:rsidR="00575CDF" w:rsidRPr="00C801A6" w:rsidRDefault="00575CDF" w:rsidP="00844538">
      <w:pPr>
        <w:pStyle w:val="justify"/>
        <w:numPr>
          <w:ilvl w:val="0"/>
          <w:numId w:val="70"/>
        </w:numPr>
        <w:shd w:val="clear" w:color="auto" w:fill="FFFFFF" w:themeFill="background1"/>
        <w:spacing w:before="0" w:beforeAutospacing="0" w:after="160" w:afterAutospacing="0" w:line="276" w:lineRule="auto"/>
        <w:jc w:val="both"/>
        <w:rPr>
          <w:rFonts w:ascii="Times New Roman" w:hAnsi="Times New Roman"/>
          <w:sz w:val="24"/>
        </w:rPr>
      </w:pPr>
      <w:r w:rsidRPr="00C801A6">
        <w:rPr>
          <w:rFonts w:ascii="Times New Roman" w:hAnsi="Times New Roman"/>
          <w:sz w:val="24"/>
        </w:rPr>
        <w:t>Adopter une approche hiérarchique de l’atténuation consistant à (i) anticiper et éviter les risques et les impacts ; (ii) Lorsqu’il n’est pas possible de les éviter, minimiser ou atténuer les risques et les impacts à des niveaux acceptables ; (iii) Une fois que les risques et les impacts ont été minimisés, atténués ; et (iv) Lorsque des impacts résiduels significatifs perdurent, il convient de les compenser ou de les contrebalancer, lorsque cela est techniquement et financièrement faisable.</w:t>
      </w:r>
    </w:p>
    <w:p w14:paraId="34547CE4"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Adopter des mesures différenciées de sorte que les effets négatifs n’affectent pas de manière disproportionnée les personnes défavorisées ou vulnérables, et que celles-ci ne soient pas défavorisées dans le partage des bénéfices du développement et des opportunités découlant du projet.</w:t>
      </w:r>
    </w:p>
    <w:p w14:paraId="2847F7CB"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Utiliser, à l’échelle nationale, les institutions, les systèmes, les lois, les règlements et les procédures environnementaux et sociaux au cours de l’évaluation, la préparation et la mise en œuvre des projets, le cas échéant.</w:t>
      </w:r>
    </w:p>
    <w:p w14:paraId="6BF9ECBA"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Promouvoir une meilleure performance environnementale et sociale d’une manière qui reconnaisse et renforce les capacités de l’Emprunteur.</w:t>
      </w:r>
    </w:p>
    <w:p w14:paraId="6DFB8E6F" w14:textId="77777777" w:rsidR="00575CDF" w:rsidRPr="00C801A6" w:rsidRDefault="00575CDF" w:rsidP="00575CDF">
      <w:pPr>
        <w:pStyle w:val="justify"/>
        <w:shd w:val="clear" w:color="auto" w:fill="FFFFFF"/>
        <w:spacing w:before="0" w:beforeAutospacing="0" w:after="160" w:afterAutospacing="0" w:line="276" w:lineRule="auto"/>
        <w:jc w:val="both"/>
        <w:rPr>
          <w:rFonts w:ascii="Times New Roman" w:hAnsi="Times New Roman"/>
          <w:sz w:val="24"/>
          <w:u w:val="single"/>
        </w:rPr>
      </w:pPr>
      <w:r w:rsidRPr="00C801A6">
        <w:rPr>
          <w:rFonts w:ascii="Times New Roman" w:hAnsi="Times New Roman"/>
          <w:sz w:val="24"/>
          <w:u w:val="single"/>
        </w:rPr>
        <w:t xml:space="preserve">Exigences et dispositions de la NES1 </w:t>
      </w:r>
    </w:p>
    <w:p w14:paraId="669423B2"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Réalisation de l’évaluation environnementale et sociale du projet proposé, y compris la mobilisation des parties prenantes</w:t>
      </w:r>
    </w:p>
    <w:p w14:paraId="5C2A48BE" w14:textId="433257E2"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 xml:space="preserve">Conduite d’une mobilisation des parties prenantes et diffusion des informations appropriées, conformément à la </w:t>
      </w:r>
      <w:r w:rsidR="00EF6701">
        <w:rPr>
          <w:rFonts w:ascii="Times New Roman" w:hAnsi="Times New Roman"/>
          <w:sz w:val="24"/>
        </w:rPr>
        <w:t>NES</w:t>
      </w:r>
      <w:r w:rsidRPr="00C801A6">
        <w:rPr>
          <w:rFonts w:ascii="Times New Roman" w:hAnsi="Times New Roman"/>
          <w:sz w:val="24"/>
        </w:rPr>
        <w:t>10</w:t>
      </w:r>
    </w:p>
    <w:p w14:paraId="5D357C23"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 xml:space="preserve">Élaboration du PEES et mise en œuvre de toutes les mesures et actions prévues dans l’accord juridique, y compris le PEES </w:t>
      </w:r>
    </w:p>
    <w:p w14:paraId="67E81FC2"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Conduite des activités de suivi et communication des informations relatives à la performance environnementale et sociale du projet par rapport aux NES.</w:t>
      </w:r>
    </w:p>
    <w:p w14:paraId="682E2DE1" w14:textId="27B594A9" w:rsidR="00554F95" w:rsidRDefault="00575CDF" w:rsidP="00217B46">
      <w:pPr>
        <w:pStyle w:val="justify"/>
        <w:shd w:val="clear" w:color="auto" w:fill="FFFFFF"/>
        <w:spacing w:before="0" w:beforeAutospacing="0" w:after="160" w:afterAutospacing="0" w:line="276" w:lineRule="auto"/>
        <w:jc w:val="both"/>
      </w:pPr>
      <w:r w:rsidRPr="00C801A6">
        <w:rPr>
          <w:rFonts w:ascii="Times New Roman" w:hAnsi="Times New Roman"/>
          <w:sz w:val="24"/>
        </w:rPr>
        <w:t>La synthèse de l’analyse comparative entre le cadre national et la NES 1 se résume dans le tableau qui suit :</w:t>
      </w:r>
    </w:p>
    <w:p w14:paraId="486D9D5D" w14:textId="24AA4D76" w:rsidR="00575CDF" w:rsidRDefault="00554F95" w:rsidP="00554F95">
      <w:pPr>
        <w:pStyle w:val="Caption"/>
        <w:rPr>
          <w:color w:val="auto"/>
        </w:rPr>
      </w:pPr>
      <w:bookmarkStart w:id="492" w:name="_Toc71731716"/>
      <w:bookmarkStart w:id="493" w:name="_Toc230427732"/>
      <w:r>
        <w:t xml:space="preserve">Tableau </w:t>
      </w:r>
      <w:r w:rsidR="00E44887">
        <w:fldChar w:fldCharType="begin"/>
      </w:r>
      <w:r w:rsidR="00E44887">
        <w:instrText xml:space="preserve"> SEQ Tableau \* ARABIC </w:instrText>
      </w:r>
      <w:r w:rsidR="00E44887">
        <w:fldChar w:fldCharType="separate"/>
      </w:r>
      <w:r w:rsidR="00253F1A">
        <w:rPr>
          <w:noProof/>
        </w:rPr>
        <w:t>12</w:t>
      </w:r>
      <w:r w:rsidR="00E44887">
        <w:rPr>
          <w:noProof/>
        </w:rPr>
        <w:fldChar w:fldCharType="end"/>
      </w:r>
      <w:r w:rsidR="00575CDF" w:rsidRPr="00C801A6">
        <w:rPr>
          <w:color w:val="auto"/>
        </w:rPr>
        <w:t>: Synthèse de l’analyse comparative entre le cadre national et la NES 1</w:t>
      </w:r>
      <w:bookmarkEnd w:id="492"/>
      <w:bookmarkEnd w:id="493"/>
    </w:p>
    <w:tbl>
      <w:tblPr>
        <w:tblStyle w:val="Trameclaire-Accent51"/>
        <w:tblW w:w="10377"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5245"/>
        <w:gridCol w:w="3544"/>
        <w:gridCol w:w="1588"/>
      </w:tblGrid>
      <w:tr w:rsidR="00217B46" w:rsidRPr="00C801A6" w14:paraId="355776C0" w14:textId="77777777" w:rsidTr="00217B4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245" w:type="dxa"/>
            <w:shd w:val="clear" w:color="auto" w:fill="E2EFD9" w:themeFill="accent6" w:themeFillTint="33"/>
            <w:vAlign w:val="center"/>
          </w:tcPr>
          <w:p w14:paraId="25896A2B" w14:textId="77777777" w:rsidR="00217B46" w:rsidRPr="00C801A6" w:rsidRDefault="00217B46" w:rsidP="002D1D1C">
            <w:pPr>
              <w:spacing w:before="40" w:after="40"/>
              <w:jc w:val="left"/>
              <w:rPr>
                <w:color w:val="auto"/>
                <w:sz w:val="21"/>
                <w:szCs w:val="21"/>
              </w:rPr>
            </w:pPr>
            <w:r w:rsidRPr="00C801A6">
              <w:rPr>
                <w:color w:val="auto"/>
                <w:sz w:val="21"/>
                <w:szCs w:val="21"/>
              </w:rPr>
              <w:lastRenderedPageBreak/>
              <w:t>Points de concordance</w:t>
            </w:r>
          </w:p>
        </w:tc>
        <w:tc>
          <w:tcPr>
            <w:tcW w:w="3544" w:type="dxa"/>
            <w:shd w:val="clear" w:color="auto" w:fill="E2EFD9" w:themeFill="accent6" w:themeFillTint="33"/>
            <w:vAlign w:val="center"/>
          </w:tcPr>
          <w:p w14:paraId="23BABF9A" w14:textId="77777777" w:rsidR="00217B46" w:rsidRPr="00C801A6" w:rsidRDefault="00217B46" w:rsidP="002D1D1C">
            <w:pPr>
              <w:spacing w:before="40" w:after="40"/>
              <w:jc w:val="left"/>
              <w:cnfStyle w:val="100000000000" w:firstRow="1" w:lastRow="0" w:firstColumn="0" w:lastColumn="0" w:oddVBand="0" w:evenVBand="0" w:oddHBand="0" w:evenHBand="0" w:firstRowFirstColumn="0" w:firstRowLastColumn="0" w:lastRowFirstColumn="0" w:lastRowLastColumn="0"/>
              <w:rPr>
                <w:color w:val="auto"/>
                <w:sz w:val="21"/>
                <w:szCs w:val="21"/>
              </w:rPr>
            </w:pPr>
            <w:r w:rsidRPr="00C801A6">
              <w:rPr>
                <w:color w:val="auto"/>
                <w:sz w:val="21"/>
                <w:szCs w:val="21"/>
              </w:rPr>
              <w:t>Points de complémentarité</w:t>
            </w:r>
          </w:p>
        </w:tc>
        <w:tc>
          <w:tcPr>
            <w:tcW w:w="1588" w:type="dxa"/>
            <w:shd w:val="clear" w:color="auto" w:fill="E2EFD9" w:themeFill="accent6" w:themeFillTint="33"/>
            <w:vAlign w:val="center"/>
          </w:tcPr>
          <w:p w14:paraId="4E553177" w14:textId="77777777" w:rsidR="00217B46" w:rsidRPr="00C801A6" w:rsidRDefault="00217B46" w:rsidP="002D1D1C">
            <w:pPr>
              <w:spacing w:before="40" w:after="40"/>
              <w:jc w:val="left"/>
              <w:cnfStyle w:val="100000000000" w:firstRow="1" w:lastRow="0" w:firstColumn="0" w:lastColumn="0" w:oddVBand="0" w:evenVBand="0" w:oddHBand="0" w:evenHBand="0" w:firstRowFirstColumn="0" w:firstRowLastColumn="0" w:lastRowFirstColumn="0" w:lastRowLastColumn="0"/>
              <w:rPr>
                <w:color w:val="auto"/>
                <w:sz w:val="21"/>
                <w:szCs w:val="21"/>
              </w:rPr>
            </w:pPr>
            <w:r w:rsidRPr="00C801A6">
              <w:rPr>
                <w:color w:val="auto"/>
                <w:sz w:val="21"/>
                <w:szCs w:val="21"/>
              </w:rPr>
              <w:t>Points de divergence</w:t>
            </w:r>
          </w:p>
        </w:tc>
      </w:tr>
      <w:tr w:rsidR="00217B46" w:rsidRPr="00C801A6" w14:paraId="1B5E7606" w14:textId="77777777" w:rsidTr="00217B46">
        <w:trPr>
          <w:cnfStyle w:val="000000100000" w:firstRow="0" w:lastRow="0" w:firstColumn="0" w:lastColumn="0" w:oddVBand="0" w:evenVBand="0" w:oddHBand="1" w:evenHBand="0" w:firstRowFirstColumn="0" w:firstRowLastColumn="0" w:lastRowFirstColumn="0" w:lastRowLastColumn="0"/>
          <w:trHeight w:val="4403"/>
        </w:trPr>
        <w:tc>
          <w:tcPr>
            <w:cnfStyle w:val="001000000000" w:firstRow="0" w:lastRow="0" w:firstColumn="1" w:lastColumn="0" w:oddVBand="0" w:evenVBand="0" w:oddHBand="0" w:evenHBand="0" w:firstRowFirstColumn="0" w:firstRowLastColumn="0" w:lastRowFirstColumn="0" w:lastRowLastColumn="0"/>
            <w:tcW w:w="5245" w:type="dxa"/>
            <w:shd w:val="clear" w:color="auto" w:fill="FFFFFF" w:themeFill="background1"/>
          </w:tcPr>
          <w:p w14:paraId="77737964" w14:textId="77777777" w:rsidR="00217B46" w:rsidRPr="00C801A6" w:rsidRDefault="00217B46" w:rsidP="00844538">
            <w:pPr>
              <w:pStyle w:val="ListParagraph"/>
              <w:numPr>
                <w:ilvl w:val="2"/>
                <w:numId w:val="5"/>
              </w:numPr>
              <w:tabs>
                <w:tab w:val="left" w:pos="402"/>
              </w:tabs>
              <w:spacing w:before="120" w:line="259" w:lineRule="auto"/>
              <w:ind w:left="0" w:firstLine="0"/>
              <w:contextualSpacing w:val="0"/>
              <w:jc w:val="left"/>
              <w:rPr>
                <w:b w:val="0"/>
                <w:bCs w:val="0"/>
                <w:color w:val="auto"/>
                <w:sz w:val="21"/>
                <w:szCs w:val="21"/>
              </w:rPr>
            </w:pPr>
            <w:r w:rsidRPr="00C801A6">
              <w:rPr>
                <w:b w:val="0"/>
                <w:bCs w:val="0"/>
                <w:color w:val="auto"/>
                <w:sz w:val="21"/>
                <w:szCs w:val="21"/>
              </w:rPr>
              <w:t xml:space="preserve">Obligation de réalisation de l’évaluation des risques environnementales et sociales et de la mobilisation des parties prenantes pour tous les projets d’investissements </w:t>
            </w:r>
          </w:p>
          <w:p w14:paraId="2404E2C6" w14:textId="77777777" w:rsidR="00217B46" w:rsidRPr="00C801A6" w:rsidRDefault="00217B46" w:rsidP="00844538">
            <w:pPr>
              <w:pStyle w:val="ListParagraph"/>
              <w:numPr>
                <w:ilvl w:val="2"/>
                <w:numId w:val="5"/>
              </w:numPr>
              <w:tabs>
                <w:tab w:val="left" w:pos="402"/>
              </w:tabs>
              <w:spacing w:before="120" w:line="259" w:lineRule="auto"/>
              <w:ind w:left="0" w:firstLine="0"/>
              <w:contextualSpacing w:val="0"/>
              <w:jc w:val="left"/>
              <w:rPr>
                <w:b w:val="0"/>
                <w:bCs w:val="0"/>
                <w:color w:val="auto"/>
                <w:sz w:val="21"/>
                <w:szCs w:val="21"/>
              </w:rPr>
            </w:pPr>
            <w:r w:rsidRPr="00C801A6">
              <w:rPr>
                <w:b w:val="0"/>
                <w:bCs w:val="0"/>
                <w:color w:val="auto"/>
                <w:sz w:val="21"/>
                <w:szCs w:val="21"/>
              </w:rPr>
              <w:t>Participation du public au processus d’évaluation environnementale et sociale</w:t>
            </w:r>
          </w:p>
          <w:p w14:paraId="6A7C79B4" w14:textId="77777777" w:rsidR="00217B46" w:rsidRPr="00C801A6" w:rsidRDefault="00217B46" w:rsidP="00844538">
            <w:pPr>
              <w:pStyle w:val="ListParagraph"/>
              <w:numPr>
                <w:ilvl w:val="2"/>
                <w:numId w:val="5"/>
              </w:numPr>
              <w:tabs>
                <w:tab w:val="left" w:pos="402"/>
              </w:tabs>
              <w:spacing w:before="120" w:line="259" w:lineRule="auto"/>
              <w:ind w:left="0" w:firstLine="0"/>
              <w:contextualSpacing w:val="0"/>
              <w:jc w:val="left"/>
              <w:rPr>
                <w:b w:val="0"/>
                <w:bCs w:val="0"/>
                <w:color w:val="auto"/>
                <w:sz w:val="21"/>
                <w:szCs w:val="21"/>
              </w:rPr>
            </w:pPr>
            <w:r w:rsidRPr="00C801A6">
              <w:rPr>
                <w:b w:val="0"/>
                <w:bCs w:val="0"/>
                <w:color w:val="auto"/>
                <w:sz w:val="21"/>
                <w:szCs w:val="21"/>
              </w:rPr>
              <w:t>Nature des instruments d’évaluation environnementale et sociale tel que l’EIES et la formulation et la préparation de plan de gestion environnementale et sociale</w:t>
            </w:r>
          </w:p>
          <w:p w14:paraId="4455DBF0" w14:textId="77777777" w:rsidR="00217B46" w:rsidRPr="00C801A6" w:rsidRDefault="00217B46" w:rsidP="00844538">
            <w:pPr>
              <w:pStyle w:val="ListParagraph"/>
              <w:numPr>
                <w:ilvl w:val="2"/>
                <w:numId w:val="5"/>
              </w:numPr>
              <w:tabs>
                <w:tab w:val="left" w:pos="402"/>
              </w:tabs>
              <w:spacing w:before="120" w:line="259" w:lineRule="auto"/>
              <w:ind w:left="0" w:firstLine="0"/>
              <w:contextualSpacing w:val="0"/>
              <w:jc w:val="left"/>
              <w:rPr>
                <w:b w:val="0"/>
                <w:bCs w:val="0"/>
                <w:color w:val="auto"/>
                <w:sz w:val="21"/>
                <w:szCs w:val="21"/>
              </w:rPr>
            </w:pPr>
            <w:r w:rsidRPr="00C801A6">
              <w:rPr>
                <w:b w:val="0"/>
                <w:bCs w:val="0"/>
                <w:color w:val="auto"/>
                <w:sz w:val="21"/>
                <w:szCs w:val="21"/>
              </w:rPr>
              <w:t>Mesures d’atténuation, de minimisation, d’évitement, de neutralisation et de compensation des impacts environnementaux et sociaux</w:t>
            </w:r>
          </w:p>
          <w:p w14:paraId="2CE34F18" w14:textId="77777777" w:rsidR="00217B46" w:rsidRPr="00C801A6" w:rsidRDefault="00217B46" w:rsidP="00844538">
            <w:pPr>
              <w:pStyle w:val="ListParagraph"/>
              <w:numPr>
                <w:ilvl w:val="2"/>
                <w:numId w:val="5"/>
              </w:numPr>
              <w:tabs>
                <w:tab w:val="left" w:pos="402"/>
              </w:tabs>
              <w:spacing w:before="120" w:line="259" w:lineRule="auto"/>
              <w:ind w:left="0" w:firstLine="0"/>
              <w:contextualSpacing w:val="0"/>
              <w:jc w:val="left"/>
              <w:rPr>
                <w:b w:val="0"/>
                <w:bCs w:val="0"/>
                <w:color w:val="auto"/>
                <w:sz w:val="21"/>
                <w:szCs w:val="21"/>
              </w:rPr>
            </w:pPr>
            <w:r w:rsidRPr="00C801A6">
              <w:rPr>
                <w:b w:val="0"/>
                <w:bCs w:val="0"/>
                <w:color w:val="auto"/>
                <w:sz w:val="21"/>
                <w:szCs w:val="21"/>
              </w:rPr>
              <w:t>Publication des rapports d’évaluation environnementale et sociale et d’étude d’impact environnemental et social</w:t>
            </w:r>
          </w:p>
        </w:tc>
        <w:tc>
          <w:tcPr>
            <w:tcW w:w="3544" w:type="dxa"/>
            <w:shd w:val="clear" w:color="auto" w:fill="FFFFFF" w:themeFill="background1"/>
          </w:tcPr>
          <w:p w14:paraId="275E1B72" w14:textId="77777777" w:rsidR="00217B46" w:rsidRPr="00C801A6" w:rsidRDefault="00217B46" w:rsidP="00844538">
            <w:pPr>
              <w:pStyle w:val="ListParagraph"/>
              <w:numPr>
                <w:ilvl w:val="3"/>
                <w:numId w:val="142"/>
              </w:numPr>
              <w:tabs>
                <w:tab w:val="left" w:pos="313"/>
              </w:tabs>
              <w:spacing w:before="120" w:line="259" w:lineRule="auto"/>
              <w:ind w:left="0" w:firstLine="0"/>
              <w:contextualSpacing w:val="0"/>
              <w:jc w:val="left"/>
              <w:cnfStyle w:val="000000100000" w:firstRow="0" w:lastRow="0" w:firstColumn="0" w:lastColumn="0" w:oddVBand="0" w:evenVBand="0" w:oddHBand="1" w:evenHBand="0" w:firstRowFirstColumn="0" w:firstRowLastColumn="0" w:lastRowFirstColumn="0" w:lastRowLastColumn="0"/>
              <w:rPr>
                <w:color w:val="auto"/>
                <w:sz w:val="21"/>
                <w:szCs w:val="21"/>
              </w:rPr>
            </w:pPr>
            <w:r w:rsidRPr="00C801A6">
              <w:rPr>
                <w:color w:val="auto"/>
                <w:sz w:val="21"/>
                <w:szCs w:val="21"/>
              </w:rPr>
              <w:t xml:space="preserve">Elaboration de PEES selon la Banque mondiale </w:t>
            </w:r>
          </w:p>
          <w:p w14:paraId="604FA214" w14:textId="77777777" w:rsidR="00217B46" w:rsidRPr="00C801A6" w:rsidRDefault="00217B46" w:rsidP="00844538">
            <w:pPr>
              <w:pStyle w:val="ListParagraph"/>
              <w:numPr>
                <w:ilvl w:val="3"/>
                <w:numId w:val="142"/>
              </w:numPr>
              <w:tabs>
                <w:tab w:val="left" w:pos="313"/>
              </w:tabs>
              <w:spacing w:before="120" w:line="259" w:lineRule="auto"/>
              <w:ind w:left="0" w:firstLine="0"/>
              <w:contextualSpacing w:val="0"/>
              <w:jc w:val="left"/>
              <w:cnfStyle w:val="000000100000" w:firstRow="0" w:lastRow="0" w:firstColumn="0" w:lastColumn="0" w:oddVBand="0" w:evenVBand="0" w:oddHBand="1" w:evenHBand="0" w:firstRowFirstColumn="0" w:firstRowLastColumn="0" w:lastRowFirstColumn="0" w:lastRowLastColumn="0"/>
              <w:rPr>
                <w:color w:val="auto"/>
                <w:sz w:val="21"/>
                <w:szCs w:val="21"/>
              </w:rPr>
            </w:pPr>
            <w:r w:rsidRPr="00C801A6">
              <w:rPr>
                <w:color w:val="auto"/>
                <w:sz w:val="21"/>
                <w:szCs w:val="21"/>
              </w:rPr>
              <w:t xml:space="preserve">Suivi et établissement des rapports d’évaluation environnementale et sociale </w:t>
            </w:r>
          </w:p>
          <w:p w14:paraId="6A09C5E9" w14:textId="77777777" w:rsidR="00217B46" w:rsidRPr="00C801A6" w:rsidRDefault="00217B46" w:rsidP="00844538">
            <w:pPr>
              <w:pStyle w:val="ListParagraph"/>
              <w:numPr>
                <w:ilvl w:val="3"/>
                <w:numId w:val="142"/>
              </w:numPr>
              <w:tabs>
                <w:tab w:val="left" w:pos="313"/>
              </w:tabs>
              <w:spacing w:before="120" w:line="259" w:lineRule="auto"/>
              <w:ind w:left="0" w:firstLine="0"/>
              <w:contextualSpacing w:val="0"/>
              <w:jc w:val="left"/>
              <w:cnfStyle w:val="000000100000" w:firstRow="0" w:lastRow="0" w:firstColumn="0" w:lastColumn="0" w:oddVBand="0" w:evenVBand="0" w:oddHBand="1" w:evenHBand="0" w:firstRowFirstColumn="0" w:firstRowLastColumn="0" w:lastRowFirstColumn="0" w:lastRowLastColumn="0"/>
              <w:rPr>
                <w:color w:val="auto"/>
                <w:sz w:val="21"/>
                <w:szCs w:val="21"/>
              </w:rPr>
            </w:pPr>
            <w:r w:rsidRPr="00C801A6">
              <w:rPr>
                <w:color w:val="auto"/>
                <w:sz w:val="21"/>
                <w:szCs w:val="21"/>
              </w:rPr>
              <w:t>Communication à la Banque mondiale du promoteur de projet des incidents et des accidents sur l’environnement, les populations, le public et le personnel</w:t>
            </w:r>
          </w:p>
          <w:p w14:paraId="13FA6406" w14:textId="77777777" w:rsidR="00217B46" w:rsidRPr="00554F95" w:rsidRDefault="00217B46" w:rsidP="00844538">
            <w:pPr>
              <w:pStyle w:val="ListParagraph"/>
              <w:numPr>
                <w:ilvl w:val="3"/>
                <w:numId w:val="142"/>
              </w:numPr>
              <w:tabs>
                <w:tab w:val="left" w:pos="313"/>
              </w:tabs>
              <w:spacing w:before="120" w:line="259" w:lineRule="auto"/>
              <w:ind w:left="0" w:firstLine="0"/>
              <w:contextualSpacing w:val="0"/>
              <w:jc w:val="left"/>
              <w:cnfStyle w:val="000000100000" w:firstRow="0" w:lastRow="0" w:firstColumn="0" w:lastColumn="0" w:oddVBand="0" w:evenVBand="0" w:oddHBand="1" w:evenHBand="0" w:firstRowFirstColumn="0" w:firstRowLastColumn="0" w:lastRowFirstColumn="0" w:lastRowLastColumn="0"/>
              <w:rPr>
                <w:color w:val="auto"/>
                <w:sz w:val="21"/>
                <w:szCs w:val="21"/>
              </w:rPr>
            </w:pPr>
            <w:r w:rsidRPr="00C801A6">
              <w:rPr>
                <w:color w:val="auto"/>
                <w:sz w:val="21"/>
                <w:szCs w:val="21"/>
              </w:rPr>
              <w:t>Mobilisation et participations des parties prenantes concernées</w:t>
            </w:r>
          </w:p>
        </w:tc>
        <w:tc>
          <w:tcPr>
            <w:tcW w:w="1588" w:type="dxa"/>
            <w:shd w:val="clear" w:color="auto" w:fill="FFFFFF" w:themeFill="background1"/>
          </w:tcPr>
          <w:p w14:paraId="07DBEEA2" w14:textId="77777777" w:rsidR="00217B46" w:rsidRPr="00C801A6" w:rsidRDefault="00217B46" w:rsidP="002D1D1C">
            <w:pPr>
              <w:spacing w:before="120" w:line="259" w:lineRule="auto"/>
              <w:jc w:val="left"/>
              <w:cnfStyle w:val="000000100000" w:firstRow="0" w:lastRow="0" w:firstColumn="0" w:lastColumn="0" w:oddVBand="0" w:evenVBand="0" w:oddHBand="1" w:evenHBand="0" w:firstRowFirstColumn="0" w:firstRowLastColumn="0" w:lastRowFirstColumn="0" w:lastRowLastColumn="0"/>
              <w:rPr>
                <w:color w:val="auto"/>
                <w:sz w:val="21"/>
                <w:szCs w:val="21"/>
              </w:rPr>
            </w:pPr>
            <w:r w:rsidRPr="00C801A6">
              <w:rPr>
                <w:color w:val="auto"/>
                <w:sz w:val="21"/>
                <w:szCs w:val="21"/>
              </w:rPr>
              <w:t>Néant</w:t>
            </w:r>
          </w:p>
        </w:tc>
      </w:tr>
    </w:tbl>
    <w:p w14:paraId="4A3304A8" w14:textId="77777777" w:rsidR="00575CDF" w:rsidRPr="00C801A6" w:rsidRDefault="00575CDF" w:rsidP="003042DB">
      <w:pPr>
        <w:pStyle w:val="Heading4"/>
        <w:rPr>
          <w:color w:val="auto"/>
          <w:lang w:val="fr"/>
        </w:rPr>
      </w:pPr>
      <w:bookmarkStart w:id="494" w:name="_Toc230298779"/>
      <w:r w:rsidRPr="00C801A6">
        <w:rPr>
          <w:rFonts w:eastAsia="Arial"/>
          <w:color w:val="auto"/>
          <w:lang w:val="fr"/>
        </w:rPr>
        <w:t>Application de la NES 1 par le Projet</w:t>
      </w:r>
      <w:bookmarkEnd w:id="494"/>
    </w:p>
    <w:p w14:paraId="22466F55" w14:textId="240D3AC5" w:rsidR="00575CDF" w:rsidRPr="00C801A6" w:rsidRDefault="00575CDF" w:rsidP="00575CDF">
      <w:pPr>
        <w:rPr>
          <w:rFonts w:eastAsia="Calibri"/>
          <w:color w:val="auto"/>
          <w:szCs w:val="24"/>
          <w:lang w:val="fr"/>
        </w:rPr>
      </w:pPr>
      <w:r w:rsidRPr="00C801A6">
        <w:rPr>
          <w:rFonts w:eastAsia="Calibri"/>
          <w:color w:val="auto"/>
          <w:szCs w:val="24"/>
          <w:lang w:val="fr"/>
        </w:rPr>
        <w:t xml:space="preserve">Les exigences de la NES1 étant plus élevées que celles de la législation nationale, le Projet </w:t>
      </w:r>
      <w:r w:rsidR="003349AF" w:rsidRPr="00C801A6">
        <w:rPr>
          <w:rFonts w:eastAsia="Calibri"/>
          <w:color w:val="auto"/>
          <w:szCs w:val="24"/>
          <w:lang w:val="fr"/>
        </w:rPr>
        <w:t>P</w:t>
      </w:r>
      <w:r w:rsidR="00554F95">
        <w:rPr>
          <w:rFonts w:eastAsia="Calibri"/>
          <w:color w:val="auto"/>
          <w:szCs w:val="24"/>
          <w:lang w:val="fr"/>
        </w:rPr>
        <w:t>CMCI</w:t>
      </w:r>
      <w:r w:rsidRPr="00C801A6">
        <w:rPr>
          <w:rFonts w:eastAsia="Calibri"/>
          <w:color w:val="auto"/>
          <w:szCs w:val="24"/>
          <w:lang w:val="fr"/>
        </w:rPr>
        <w:t xml:space="preserve"> sera tenu de mener des études environnementales et sociales selon les résultats de l’examen E&amp;S préliminaire.</w:t>
      </w:r>
    </w:p>
    <w:p w14:paraId="0329E29B" w14:textId="4082FAE9" w:rsidR="00575CDF" w:rsidRPr="00C801A6" w:rsidRDefault="00575CDF" w:rsidP="425F8B71">
      <w:pPr>
        <w:rPr>
          <w:rFonts w:eastAsia="Calibri"/>
          <w:color w:val="auto"/>
        </w:rPr>
      </w:pPr>
      <w:r w:rsidRPr="425F8B71">
        <w:rPr>
          <w:rFonts w:eastAsia="Calibri"/>
          <w:color w:val="auto"/>
        </w:rPr>
        <w:t xml:space="preserve">Cette étude (i) décrira le projet envisagé (ii) présentera l’état initial de l’environnement dudit projet (iii) explicitera le cadre juridique applicable (iv) analysera les impacts directs et indirects, positifs et négatifs (v) mènera (selon le cas) une analyse des risques et des dangers (vi) préparera un PGES qui inclura divers volets dont le Plan de prévention et de lutte contre les </w:t>
      </w:r>
      <w:r w:rsidR="006F38A3">
        <w:rPr>
          <w:rFonts w:eastAsia="Calibri"/>
          <w:color w:val="auto"/>
        </w:rPr>
        <w:t xml:space="preserve">EAS-HS </w:t>
      </w:r>
      <w:r w:rsidRPr="425F8B71">
        <w:rPr>
          <w:rFonts w:eastAsia="Calibri"/>
          <w:color w:val="auto"/>
        </w:rPr>
        <w:t>, contre les MST et le Sida, contre le Covid-19, le Plan de renforcement des capacités avec le budget y afférent. La mise en œuvre, le suivi environnemental et social ainsi que le reporting suivront.</w:t>
      </w:r>
    </w:p>
    <w:p w14:paraId="78E6F5CC" w14:textId="77777777" w:rsidR="00575CDF" w:rsidRPr="00C801A6" w:rsidRDefault="00575CDF" w:rsidP="00575CDF">
      <w:pPr>
        <w:rPr>
          <w:rFonts w:eastAsia="Calibri"/>
          <w:color w:val="auto"/>
          <w:szCs w:val="24"/>
          <w:lang w:val="fr"/>
        </w:rPr>
      </w:pPr>
      <w:r w:rsidRPr="00C801A6">
        <w:rPr>
          <w:rFonts w:eastAsia="Calibri"/>
          <w:color w:val="auto"/>
          <w:szCs w:val="24"/>
          <w:lang w:val="fr"/>
        </w:rPr>
        <w:t>En somme, avec l’application de la NES1, les dispositions de la législation nationale seront donc aussi satisfaites en ce qui concerne ce point.</w:t>
      </w:r>
    </w:p>
    <w:p w14:paraId="4F709ABB" w14:textId="77777777" w:rsidR="00575CDF" w:rsidRPr="00C801A6" w:rsidRDefault="00575CDF" w:rsidP="00C65572">
      <w:pPr>
        <w:pStyle w:val="Heading3"/>
        <w:rPr>
          <w:lang w:val=""/>
        </w:rPr>
      </w:pPr>
      <w:bookmarkStart w:id="495" w:name="_Toc106320331"/>
      <w:bookmarkStart w:id="496" w:name="_Toc230426037"/>
      <w:r w:rsidRPr="00C801A6">
        <w:rPr>
          <w:rFonts w:eastAsia="Arial"/>
          <w:lang w:val=""/>
        </w:rPr>
        <w:t>Emploi et conditions de travail</w:t>
      </w:r>
      <w:bookmarkEnd w:id="495"/>
      <w:bookmarkEnd w:id="496"/>
      <w:r w:rsidRPr="00C801A6">
        <w:rPr>
          <w:rFonts w:eastAsia="Arial"/>
          <w:lang w:val=""/>
        </w:rPr>
        <w:t xml:space="preserve"> </w:t>
      </w:r>
    </w:p>
    <w:p w14:paraId="2DECE003" w14:textId="725DA732" w:rsidR="00575CDF" w:rsidRPr="00DD217E" w:rsidRDefault="00575CDF" w:rsidP="1949FB49">
      <w:pPr>
        <w:pStyle w:val="Heading4"/>
        <w:rPr>
          <w:color w:val="auto"/>
        </w:rPr>
      </w:pPr>
      <w:bookmarkStart w:id="497" w:name="_Toc230298780"/>
      <w:r w:rsidRPr="00DD217E">
        <w:rPr>
          <w:rFonts w:eastAsia="Arial"/>
          <w:color w:val="auto"/>
        </w:rPr>
        <w:t>Cadre juridique national régissant l’emploi et les conditions de travail</w:t>
      </w:r>
      <w:bookmarkEnd w:id="497"/>
    </w:p>
    <w:p w14:paraId="735A9207" w14:textId="1BF801DF" w:rsidR="00575CDF" w:rsidRPr="00C801A6" w:rsidRDefault="00575CDF" w:rsidP="00575CDF">
      <w:pPr>
        <w:rPr>
          <w:rFonts w:eastAsia="Calibri"/>
          <w:color w:val="auto"/>
          <w:szCs w:val="24"/>
          <w:lang w:val="fr"/>
        </w:rPr>
      </w:pPr>
      <w:r w:rsidRPr="00C801A6">
        <w:rPr>
          <w:rFonts w:eastAsia="Calibri"/>
          <w:color w:val="auto"/>
          <w:szCs w:val="24"/>
          <w:lang w:val=""/>
        </w:rPr>
        <w:t>L</w:t>
      </w:r>
      <w:r w:rsidRPr="00C801A6">
        <w:rPr>
          <w:rFonts w:eastAsia="Calibri"/>
          <w:color w:val="auto"/>
          <w:szCs w:val="24"/>
          <w:lang w:val="fr"/>
        </w:rPr>
        <w:t>e cadre juridique régissant l’emploi et les conditions de travail est représenté par la loi 20</w:t>
      </w:r>
      <w:r w:rsidR="0075407E">
        <w:rPr>
          <w:rFonts w:eastAsia="Calibri"/>
          <w:color w:val="auto"/>
          <w:szCs w:val="24"/>
          <w:lang w:val="fr"/>
        </w:rPr>
        <w:t>24</w:t>
      </w:r>
      <w:r w:rsidRPr="00C801A6">
        <w:rPr>
          <w:rFonts w:eastAsia="Calibri"/>
          <w:color w:val="auto"/>
          <w:szCs w:val="24"/>
          <w:lang w:val="fr"/>
        </w:rPr>
        <w:t>-0</w:t>
      </w:r>
      <w:r w:rsidR="0075407E">
        <w:rPr>
          <w:rFonts w:eastAsia="Calibri"/>
          <w:color w:val="auto"/>
          <w:szCs w:val="24"/>
          <w:lang w:val="fr"/>
        </w:rPr>
        <w:t>14</w:t>
      </w:r>
      <w:r w:rsidRPr="00C801A6">
        <w:rPr>
          <w:rFonts w:eastAsia="Calibri"/>
          <w:color w:val="auto"/>
          <w:szCs w:val="24"/>
          <w:lang w:val="fr"/>
        </w:rPr>
        <w:t xml:space="preserve"> qui a été expliqué dans la section </w:t>
      </w:r>
      <w:r w:rsidRPr="00C801A6">
        <w:rPr>
          <w:rFonts w:eastAsia="Calibri"/>
          <w:b/>
          <w:color w:val="auto"/>
          <w:szCs w:val="24"/>
          <w:lang w:val="fr"/>
        </w:rPr>
        <w:fldChar w:fldCharType="begin"/>
      </w:r>
      <w:r w:rsidRPr="00C801A6">
        <w:rPr>
          <w:rFonts w:eastAsia="Calibri"/>
          <w:b/>
          <w:color w:val="auto"/>
          <w:szCs w:val="24"/>
          <w:lang w:val="fr"/>
        </w:rPr>
        <w:instrText xml:space="preserve"> REF _Ref71982837 \r \h  \* MERGEFORMAT </w:instrText>
      </w:r>
      <w:r w:rsidRPr="00C801A6">
        <w:rPr>
          <w:rFonts w:eastAsia="Calibri"/>
          <w:b/>
          <w:color w:val="auto"/>
          <w:szCs w:val="24"/>
          <w:lang w:val="fr"/>
        </w:rPr>
      </w:r>
      <w:r w:rsidRPr="00C801A6">
        <w:rPr>
          <w:rFonts w:eastAsia="Calibri"/>
          <w:b/>
          <w:color w:val="auto"/>
          <w:szCs w:val="24"/>
          <w:lang w:val="fr"/>
        </w:rPr>
        <w:fldChar w:fldCharType="separate"/>
      </w:r>
      <w:r w:rsidR="00635A10">
        <w:rPr>
          <w:rFonts w:eastAsia="Calibri"/>
          <w:b/>
          <w:color w:val="auto"/>
          <w:szCs w:val="24"/>
          <w:lang w:val="fr"/>
        </w:rPr>
        <w:t>-</w:t>
      </w:r>
      <w:r w:rsidRPr="00C801A6">
        <w:rPr>
          <w:rFonts w:eastAsia="Calibri"/>
          <w:b/>
          <w:color w:val="auto"/>
          <w:szCs w:val="24"/>
          <w:lang w:val="fr"/>
        </w:rPr>
        <w:fldChar w:fldCharType="end"/>
      </w:r>
      <w:r w:rsidRPr="00C801A6">
        <w:rPr>
          <w:rFonts w:eastAsia="Calibri"/>
          <w:color w:val="auto"/>
          <w:szCs w:val="24"/>
          <w:lang w:val="fr"/>
        </w:rPr>
        <w:t>. En addition, cette loi couvre les volets suivants :</w:t>
      </w:r>
    </w:p>
    <w:p w14:paraId="74A1068F" w14:textId="77777777" w:rsidR="00575CDF" w:rsidRPr="00C801A6" w:rsidRDefault="00575CDF" w:rsidP="00844538">
      <w:pPr>
        <w:pStyle w:val="ListParagraph"/>
        <w:numPr>
          <w:ilvl w:val="0"/>
          <w:numId w:val="146"/>
        </w:numPr>
        <w:ind w:left="851" w:hanging="425"/>
        <w:rPr>
          <w:rFonts w:eastAsia="Calibri"/>
          <w:color w:val="auto"/>
          <w:szCs w:val="24"/>
          <w:lang w:val="fr"/>
        </w:rPr>
      </w:pPr>
      <w:r w:rsidRPr="00C801A6">
        <w:rPr>
          <w:rFonts w:eastAsia="Calibri"/>
          <w:color w:val="auto"/>
          <w:szCs w:val="24"/>
          <w:lang w:val="fr"/>
        </w:rPr>
        <w:t xml:space="preserve">Contrat de travail ; </w:t>
      </w:r>
    </w:p>
    <w:p w14:paraId="60858B11" w14:textId="77777777" w:rsidR="00575CDF" w:rsidRPr="00C801A6" w:rsidRDefault="00575CDF" w:rsidP="00844538">
      <w:pPr>
        <w:pStyle w:val="ListParagraph"/>
        <w:numPr>
          <w:ilvl w:val="0"/>
          <w:numId w:val="146"/>
        </w:numPr>
        <w:ind w:left="851" w:hanging="425"/>
        <w:rPr>
          <w:rFonts w:eastAsia="Calibri"/>
          <w:color w:val="auto"/>
          <w:szCs w:val="24"/>
          <w:lang w:val="fr"/>
        </w:rPr>
      </w:pPr>
      <w:r w:rsidRPr="00C801A6">
        <w:rPr>
          <w:rFonts w:eastAsia="Calibri"/>
          <w:color w:val="auto"/>
          <w:szCs w:val="24"/>
          <w:lang w:val="fr"/>
        </w:rPr>
        <w:t>Conditions de travail ;</w:t>
      </w:r>
    </w:p>
    <w:p w14:paraId="7E34F366" w14:textId="77777777" w:rsidR="00575CDF" w:rsidRPr="00C801A6" w:rsidRDefault="00575CDF" w:rsidP="00844538">
      <w:pPr>
        <w:pStyle w:val="ListParagraph"/>
        <w:numPr>
          <w:ilvl w:val="0"/>
          <w:numId w:val="146"/>
        </w:numPr>
        <w:ind w:left="851" w:hanging="425"/>
        <w:rPr>
          <w:rFonts w:eastAsia="Calibri"/>
          <w:color w:val="auto"/>
          <w:szCs w:val="24"/>
          <w:lang w:val="fr"/>
        </w:rPr>
      </w:pPr>
      <w:r w:rsidRPr="00C801A6">
        <w:rPr>
          <w:rFonts w:eastAsia="Calibri"/>
          <w:color w:val="auto"/>
          <w:szCs w:val="24"/>
          <w:lang w:val="fr"/>
        </w:rPr>
        <w:t xml:space="preserve">Conditions d’hygiène et, de sécurité et d’environnement du travail </w:t>
      </w:r>
    </w:p>
    <w:p w14:paraId="506A834B" w14:textId="77777777" w:rsidR="00575CDF" w:rsidRPr="00C801A6" w:rsidRDefault="00575CDF" w:rsidP="00844538">
      <w:pPr>
        <w:pStyle w:val="ListParagraph"/>
        <w:numPr>
          <w:ilvl w:val="0"/>
          <w:numId w:val="146"/>
        </w:numPr>
        <w:ind w:left="851" w:hanging="425"/>
        <w:rPr>
          <w:rFonts w:eastAsia="Calibri"/>
          <w:color w:val="auto"/>
          <w:szCs w:val="24"/>
          <w:lang w:val="fr"/>
        </w:rPr>
      </w:pPr>
      <w:r w:rsidRPr="00C801A6">
        <w:rPr>
          <w:rFonts w:eastAsia="Calibri"/>
          <w:color w:val="auto"/>
          <w:szCs w:val="24"/>
          <w:lang w:val="fr"/>
        </w:rPr>
        <w:t>Relations professionnelles ;</w:t>
      </w:r>
    </w:p>
    <w:p w14:paraId="213BBC2D" w14:textId="77777777" w:rsidR="00575CDF" w:rsidRPr="00C801A6" w:rsidRDefault="00575CDF" w:rsidP="00844538">
      <w:pPr>
        <w:pStyle w:val="ListParagraph"/>
        <w:numPr>
          <w:ilvl w:val="0"/>
          <w:numId w:val="146"/>
        </w:numPr>
        <w:ind w:left="851" w:hanging="425"/>
        <w:rPr>
          <w:rFonts w:eastAsia="Calibri"/>
          <w:color w:val="auto"/>
          <w:szCs w:val="24"/>
          <w:lang w:val="fr"/>
        </w:rPr>
      </w:pPr>
      <w:r w:rsidRPr="00C801A6">
        <w:rPr>
          <w:rFonts w:eastAsia="Calibri"/>
          <w:color w:val="auto"/>
          <w:szCs w:val="24"/>
          <w:lang w:val="fr"/>
        </w:rPr>
        <w:t xml:space="preserve">Formation professionnelle ; </w:t>
      </w:r>
    </w:p>
    <w:p w14:paraId="0BAEBB5B" w14:textId="77777777" w:rsidR="00575CDF" w:rsidRPr="00C801A6" w:rsidRDefault="00575CDF" w:rsidP="00844538">
      <w:pPr>
        <w:pStyle w:val="ListParagraph"/>
        <w:numPr>
          <w:ilvl w:val="0"/>
          <w:numId w:val="146"/>
        </w:numPr>
        <w:ind w:left="851" w:hanging="425"/>
        <w:rPr>
          <w:rFonts w:eastAsia="Calibri"/>
          <w:color w:val="auto"/>
          <w:szCs w:val="24"/>
          <w:lang w:val="fr"/>
        </w:rPr>
      </w:pPr>
      <w:r w:rsidRPr="00C801A6">
        <w:rPr>
          <w:rFonts w:eastAsia="Calibri"/>
          <w:color w:val="auto"/>
          <w:szCs w:val="24"/>
          <w:lang w:val="fr"/>
        </w:rPr>
        <w:lastRenderedPageBreak/>
        <w:t>Différend de travail ;</w:t>
      </w:r>
    </w:p>
    <w:p w14:paraId="49563D97" w14:textId="77777777" w:rsidR="00575CDF" w:rsidRPr="00C801A6" w:rsidRDefault="00575CDF" w:rsidP="00844538">
      <w:pPr>
        <w:pStyle w:val="ListParagraph"/>
        <w:numPr>
          <w:ilvl w:val="0"/>
          <w:numId w:val="146"/>
        </w:numPr>
        <w:ind w:left="851" w:hanging="425"/>
        <w:rPr>
          <w:rFonts w:eastAsia="Calibri"/>
          <w:color w:val="auto"/>
          <w:szCs w:val="24"/>
          <w:lang w:val="fr"/>
        </w:rPr>
      </w:pPr>
      <w:r w:rsidRPr="00C801A6">
        <w:rPr>
          <w:rFonts w:eastAsia="Calibri"/>
          <w:color w:val="auto"/>
          <w:szCs w:val="24"/>
          <w:lang w:val="fr"/>
        </w:rPr>
        <w:t xml:space="preserve">Organismes et moyens de contrôle ; </w:t>
      </w:r>
    </w:p>
    <w:p w14:paraId="0C85B827" w14:textId="77777777" w:rsidR="00575CDF" w:rsidRPr="00C801A6" w:rsidRDefault="00575CDF" w:rsidP="00844538">
      <w:pPr>
        <w:pStyle w:val="ListParagraph"/>
        <w:numPr>
          <w:ilvl w:val="0"/>
          <w:numId w:val="146"/>
        </w:numPr>
        <w:ind w:left="851" w:hanging="425"/>
        <w:rPr>
          <w:rFonts w:eastAsia="Calibri"/>
          <w:color w:val="auto"/>
          <w:szCs w:val="24"/>
          <w:lang w:val="fr"/>
        </w:rPr>
      </w:pPr>
      <w:r w:rsidRPr="00C801A6">
        <w:rPr>
          <w:rFonts w:eastAsia="Calibri"/>
          <w:color w:val="auto"/>
          <w:szCs w:val="24"/>
          <w:lang w:val="fr"/>
        </w:rPr>
        <w:t>Des pénalités ;</w:t>
      </w:r>
    </w:p>
    <w:p w14:paraId="00F67209" w14:textId="77777777" w:rsidR="00575CDF" w:rsidRPr="00C801A6" w:rsidRDefault="00575CDF" w:rsidP="00844538">
      <w:pPr>
        <w:pStyle w:val="ListParagraph"/>
        <w:numPr>
          <w:ilvl w:val="0"/>
          <w:numId w:val="146"/>
        </w:numPr>
        <w:ind w:left="851" w:hanging="425"/>
        <w:rPr>
          <w:rFonts w:eastAsia="Calibri"/>
          <w:color w:val="auto"/>
          <w:szCs w:val="24"/>
          <w:lang w:val="fr"/>
        </w:rPr>
      </w:pPr>
      <w:r w:rsidRPr="00C801A6">
        <w:rPr>
          <w:rFonts w:eastAsia="Calibri"/>
          <w:color w:val="auto"/>
          <w:szCs w:val="24"/>
          <w:lang w:val="fr"/>
        </w:rPr>
        <w:t>Dispositions transitoires et finales.</w:t>
      </w:r>
    </w:p>
    <w:p w14:paraId="098169C9" w14:textId="77777777" w:rsidR="00575CDF" w:rsidRPr="00C801A6" w:rsidRDefault="00575CDF" w:rsidP="003042DB">
      <w:pPr>
        <w:pStyle w:val="Heading4"/>
        <w:rPr>
          <w:color w:val="auto"/>
        </w:rPr>
      </w:pPr>
      <w:bookmarkStart w:id="498" w:name="_Toc230298781"/>
      <w:r w:rsidRPr="00C801A6">
        <w:rPr>
          <w:color w:val="auto"/>
        </w:rPr>
        <w:t>Norme environnementale et sociale n°2 : Main d’œuvre et conditions de travail</w:t>
      </w:r>
      <w:bookmarkEnd w:id="498"/>
      <w:r w:rsidRPr="00C801A6">
        <w:rPr>
          <w:color w:val="auto"/>
        </w:rPr>
        <w:t xml:space="preserve"> </w:t>
      </w:r>
    </w:p>
    <w:p w14:paraId="44C4056F" w14:textId="77777777" w:rsidR="00575CDF" w:rsidRPr="00C801A6" w:rsidRDefault="00575CDF" w:rsidP="00575CDF">
      <w:pPr>
        <w:pStyle w:val="justify"/>
        <w:shd w:val="clear" w:color="auto" w:fill="FFFFFF"/>
        <w:spacing w:before="0" w:beforeAutospacing="0" w:after="160" w:afterAutospacing="0" w:line="276" w:lineRule="auto"/>
        <w:jc w:val="both"/>
        <w:rPr>
          <w:rFonts w:ascii="Times New Roman" w:hAnsi="Times New Roman"/>
          <w:sz w:val="24"/>
          <w:u w:val="single"/>
        </w:rPr>
      </w:pPr>
      <w:r w:rsidRPr="00C801A6">
        <w:rPr>
          <w:rFonts w:ascii="Times New Roman" w:hAnsi="Times New Roman"/>
          <w:sz w:val="24"/>
          <w:u w:val="single"/>
        </w:rPr>
        <w:t>Principe général de la NES 2</w:t>
      </w:r>
    </w:p>
    <w:p w14:paraId="2F114842" w14:textId="7D624E5E" w:rsidR="00575CDF" w:rsidRPr="00C801A6" w:rsidRDefault="00575CDF" w:rsidP="00575CDF">
      <w:pPr>
        <w:pStyle w:val="justify"/>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 xml:space="preserve">La </w:t>
      </w:r>
      <w:r w:rsidR="00EF6701">
        <w:rPr>
          <w:rFonts w:ascii="Times New Roman" w:hAnsi="Times New Roman"/>
          <w:sz w:val="24"/>
        </w:rPr>
        <w:t>NES</w:t>
      </w:r>
      <w:r w:rsidRPr="00C801A6">
        <w:rPr>
          <w:rFonts w:ascii="Times New Roman" w:hAnsi="Times New Roman"/>
          <w:sz w:val="24"/>
        </w:rPr>
        <w:t>2 reconnaît l’importance de la création d’emploi et de la génération de revenus dans la poursuite de la réduction de la pauvreté et de la croissance économique inclusive. Les Emprunteurs peuvent promouvoir des relations constructives entre les travailleurs du projet et la direction, et renforcer les bénéfices du développement d’un projet en traitant les travailleurs de manière équitable et en garantissant des conditions de travail sûres et saines.</w:t>
      </w:r>
    </w:p>
    <w:p w14:paraId="450DCE5D" w14:textId="77777777" w:rsidR="00575CDF" w:rsidRPr="00C801A6" w:rsidRDefault="00575CDF" w:rsidP="00575CDF">
      <w:pPr>
        <w:pStyle w:val="justify"/>
        <w:shd w:val="clear" w:color="auto" w:fill="FFFFFF"/>
        <w:spacing w:before="0" w:beforeAutospacing="0" w:after="160" w:afterAutospacing="0" w:line="276" w:lineRule="auto"/>
        <w:jc w:val="both"/>
        <w:rPr>
          <w:rFonts w:ascii="Times New Roman" w:hAnsi="Times New Roman"/>
          <w:sz w:val="24"/>
          <w:u w:val="single"/>
        </w:rPr>
      </w:pPr>
      <w:r w:rsidRPr="00C801A6">
        <w:rPr>
          <w:rFonts w:ascii="Times New Roman" w:hAnsi="Times New Roman"/>
          <w:sz w:val="24"/>
          <w:u w:val="single"/>
        </w:rPr>
        <w:t>Objectifs de la NES 2</w:t>
      </w:r>
    </w:p>
    <w:p w14:paraId="3DB29D14"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Promouvoir la sécurité et la santé au travail.</w:t>
      </w:r>
    </w:p>
    <w:p w14:paraId="0840D333"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Promouvoir le traitement équitable, la non-discrimination et l’égalité des chances des travailleurs du projet.</w:t>
      </w:r>
    </w:p>
    <w:p w14:paraId="39F2F138"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Protéger les travailleurs du projet, notamment les catégories vulnérables de travailleurs comme les femmes, les personnes handicapées, les enfants (en âge de travailler, conformément à cette NES), et les travailleurs migrants, les travailleurs contractuels, les travailleurs communautaires, et les employés des fournisseurs primaires, selon le cas.</w:t>
      </w:r>
    </w:p>
    <w:p w14:paraId="381CB2D5"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Éviter toute utilisation de toute forme de travail forcé ou de travail des enfants1.</w:t>
      </w:r>
    </w:p>
    <w:p w14:paraId="400565C7"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Soutenir les principes de la liberté d’association et de négociation collective des travailleurs du projet d’une manière compatible avec le droit national.</w:t>
      </w:r>
    </w:p>
    <w:p w14:paraId="2A1E5950"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Fournir aux travailleurs de projet des mécanismes accessibles pour soulever les préoccupations professionnelles.</w:t>
      </w:r>
    </w:p>
    <w:p w14:paraId="00C4AE26" w14:textId="77777777" w:rsidR="00575CDF" w:rsidRPr="00C801A6" w:rsidRDefault="00575CDF" w:rsidP="00575CDF">
      <w:pPr>
        <w:pStyle w:val="justify"/>
        <w:shd w:val="clear" w:color="auto" w:fill="FFFFFF"/>
        <w:spacing w:before="0" w:beforeAutospacing="0" w:after="160" w:afterAutospacing="0" w:line="276" w:lineRule="auto"/>
        <w:jc w:val="both"/>
        <w:rPr>
          <w:rFonts w:ascii="Times New Roman" w:hAnsi="Times New Roman"/>
          <w:sz w:val="24"/>
          <w:u w:val="single"/>
        </w:rPr>
      </w:pPr>
      <w:r w:rsidRPr="00C801A6">
        <w:rPr>
          <w:rFonts w:ascii="Times New Roman" w:hAnsi="Times New Roman"/>
          <w:sz w:val="24"/>
          <w:u w:val="single"/>
        </w:rPr>
        <w:t xml:space="preserve">Exigences et dispositions de la NES 2 </w:t>
      </w:r>
    </w:p>
    <w:p w14:paraId="1459A2ED"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Application de la NES 2 aux travailleurs du projet, y compris les travailleurs à temps plein, à temps partiel, temporaires, saisonniers et migrants. Pour ce faire, le Projet doit se conformer aux exigences de la NES 2 concernant les travailleurs employés directement, contractuels, communautaires ou fournisseurs primaires</w:t>
      </w:r>
    </w:p>
    <w:p w14:paraId="4DCC1DA3"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 xml:space="preserve">Elaboration et mise en œuvre des procédures de gestion des ressources humaines, applicables au projet conformément aux exigences de la NES 2 et des lois nationales en vigueur. </w:t>
      </w:r>
    </w:p>
    <w:p w14:paraId="2A99DCC1"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Protection de la main d’œuvre par la non-utilisation des enfants qui n’ont pas l’âge minimum établi selon la NES 2 et pas de travail forcé ou qui n’est pas exécuté volontairement</w:t>
      </w:r>
    </w:p>
    <w:p w14:paraId="6BB6B4DF"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lastRenderedPageBreak/>
        <w:t>Mise à la disposition d’un mécanisme de gestion des plaintes à tous les travailleurs employés directement et de tous les travailleurs contractuels (et de leurs organisations, le cas échéant) pour faire valoir leurs préoccupations concernant le lieu de travail.</w:t>
      </w:r>
    </w:p>
    <w:p w14:paraId="5B45CA44" w14:textId="0002C6F7" w:rsidR="00575CDF" w:rsidRPr="00C801A6" w:rsidRDefault="64C26F39" w:rsidP="00844538">
      <w:pPr>
        <w:pStyle w:val="justify"/>
        <w:numPr>
          <w:ilvl w:val="0"/>
          <w:numId w:val="70"/>
        </w:numPr>
        <w:shd w:val="clear" w:color="auto" w:fill="FFFFFF" w:themeFill="background1"/>
        <w:spacing w:before="0" w:beforeAutospacing="0" w:after="160" w:afterAutospacing="0" w:line="276" w:lineRule="auto"/>
        <w:jc w:val="both"/>
        <w:rPr>
          <w:rFonts w:ascii="Times New Roman" w:hAnsi="Times New Roman"/>
          <w:sz w:val="24"/>
        </w:rPr>
      </w:pPr>
      <w:r w:rsidRPr="00C801A6">
        <w:rPr>
          <w:rFonts w:ascii="Times New Roman" w:hAnsi="Times New Roman"/>
          <w:sz w:val="24"/>
        </w:rPr>
        <w:t xml:space="preserve">Conception et mise en œuvre des mesures relatives à la santé et à la sécurité du travail (SST) : protection des travailleurs contre les risques de maladies professionnelles, les risques sur les accidents de travail et autres incidents professionnels : Prise en compte des Directives EHS générales et spécifiques aux activités de la </w:t>
      </w:r>
      <w:r w:rsidR="00B910A0" w:rsidRPr="00C801A6">
        <w:rPr>
          <w:rFonts w:ascii="Times New Roman" w:hAnsi="Times New Roman"/>
          <w:sz w:val="24"/>
        </w:rPr>
        <w:t>Banque mondiale</w:t>
      </w:r>
      <w:r w:rsidR="00575CDF" w:rsidRPr="00C801A6">
        <w:rPr>
          <w:rFonts w:ascii="Times New Roman" w:hAnsi="Times New Roman"/>
          <w:sz w:val="24"/>
          <w:vertAlign w:val="superscript"/>
        </w:rPr>
        <w:footnoteReference w:id="18"/>
      </w:r>
      <w:r w:rsidRPr="00C801A6">
        <w:rPr>
          <w:rFonts w:ascii="Times New Roman" w:hAnsi="Times New Roman"/>
          <w:sz w:val="24"/>
        </w:rPr>
        <w:t>. Ces Directives EHS contiennent des orientations supplémentaires sur la gestion de santé et de sécurité des travailleurs, conformément aux bonnes pratiques internationales du secteur d’activité concerné.</w:t>
      </w:r>
    </w:p>
    <w:p w14:paraId="1F6D8B44" w14:textId="77777777" w:rsidR="00575CDF" w:rsidRPr="00C801A6" w:rsidRDefault="00575CDF" w:rsidP="00844538">
      <w:pPr>
        <w:pStyle w:val="justify"/>
        <w:numPr>
          <w:ilvl w:val="0"/>
          <w:numId w:val="70"/>
        </w:numPr>
        <w:shd w:val="clear" w:color="auto" w:fill="FFFFFF"/>
        <w:autoSpaceDE w:val="0"/>
        <w:autoSpaceDN w:val="0"/>
        <w:adjustRightInd w:val="0"/>
        <w:spacing w:before="0" w:beforeAutospacing="0" w:after="160" w:afterAutospacing="0" w:line="276" w:lineRule="auto"/>
        <w:ind w:left="714" w:hanging="357"/>
        <w:rPr>
          <w:rFonts w:ascii="Times New Roman" w:hAnsi="Times New Roman"/>
          <w:sz w:val="24"/>
        </w:rPr>
      </w:pPr>
      <w:r w:rsidRPr="00C801A6">
        <w:rPr>
          <w:rFonts w:ascii="Times New Roman" w:hAnsi="Times New Roman"/>
          <w:sz w:val="24"/>
        </w:rPr>
        <w:t>Mise en place des mécanismes de communication interne afin que les travailleurs du projet signalent les situations de travail dont ils estiment qu’elles sont dangereuses ou malsaines, et la possibilité pour eux d’exercer leur droit de retrait d’une situation de travail dont ils ont un motif raisonnable de penser qu’elle présente un danger grave et imminent pour leur vie ou leur santé.</w:t>
      </w:r>
    </w:p>
    <w:p w14:paraId="48846D25" w14:textId="77777777" w:rsidR="00575CDF" w:rsidRPr="00C801A6" w:rsidRDefault="00575CDF" w:rsidP="00575CDF">
      <w:pPr>
        <w:pStyle w:val="justify"/>
        <w:shd w:val="clear" w:color="auto" w:fill="FFFFFF"/>
        <w:spacing w:before="0" w:beforeAutospacing="0" w:after="240" w:afterAutospacing="0" w:line="276" w:lineRule="auto"/>
        <w:jc w:val="both"/>
        <w:rPr>
          <w:rFonts w:ascii="Times New Roman" w:hAnsi="Times New Roman"/>
          <w:sz w:val="24"/>
        </w:rPr>
      </w:pPr>
      <w:r w:rsidRPr="00C801A6">
        <w:rPr>
          <w:rFonts w:ascii="Times New Roman" w:hAnsi="Times New Roman"/>
          <w:sz w:val="24"/>
        </w:rPr>
        <w:t>La synthèse de l’analyse comparative entre le cadre national et la NES 2 se résume dans le tableau qui suit :</w:t>
      </w:r>
    </w:p>
    <w:p w14:paraId="1B5BFC2F" w14:textId="01E235DF" w:rsidR="00575CDF" w:rsidRPr="00C801A6" w:rsidRDefault="00575CDF" w:rsidP="003609CC">
      <w:pPr>
        <w:pStyle w:val="Caption"/>
        <w:rPr>
          <w:color w:val="auto"/>
        </w:rPr>
      </w:pPr>
      <w:bookmarkStart w:id="499" w:name="_Toc230427733"/>
      <w:r w:rsidRPr="00C801A6">
        <w:rPr>
          <w:color w:val="auto"/>
        </w:rPr>
        <w:t xml:space="preserve">Tableau </w:t>
      </w:r>
      <w:r w:rsidRPr="00C801A6">
        <w:rPr>
          <w:color w:val="auto"/>
        </w:rPr>
        <w:fldChar w:fldCharType="begin"/>
      </w:r>
      <w:r w:rsidRPr="00C801A6">
        <w:rPr>
          <w:color w:val="auto"/>
        </w:rPr>
        <w:instrText>SEQ Tableau \* ARABIC</w:instrText>
      </w:r>
      <w:r w:rsidRPr="00C801A6">
        <w:rPr>
          <w:color w:val="auto"/>
        </w:rPr>
        <w:fldChar w:fldCharType="separate"/>
      </w:r>
      <w:r w:rsidR="00253F1A">
        <w:rPr>
          <w:noProof/>
          <w:color w:val="auto"/>
        </w:rPr>
        <w:t>13</w:t>
      </w:r>
      <w:r w:rsidRPr="00C801A6">
        <w:rPr>
          <w:color w:val="auto"/>
        </w:rPr>
        <w:fldChar w:fldCharType="end"/>
      </w:r>
      <w:r w:rsidRPr="00C801A6">
        <w:rPr>
          <w:color w:val="auto"/>
        </w:rPr>
        <w:t> : Synthèse de l’analyse comparative entre le cadre national et la NES 2</w:t>
      </w:r>
      <w:bookmarkEnd w:id="499"/>
    </w:p>
    <w:tbl>
      <w:tblPr>
        <w:tblStyle w:val="Trameclaire-Accent51"/>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3886"/>
        <w:gridCol w:w="3882"/>
        <w:gridCol w:w="1304"/>
      </w:tblGrid>
      <w:tr w:rsidR="00C801A6" w:rsidRPr="00C801A6" w14:paraId="6D265125" w14:textId="77777777" w:rsidTr="00554F9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886" w:type="dxa"/>
            <w:shd w:val="clear" w:color="auto" w:fill="E2EFD9" w:themeFill="accent6" w:themeFillTint="33"/>
            <w:vAlign w:val="center"/>
          </w:tcPr>
          <w:p w14:paraId="32E66573" w14:textId="77777777" w:rsidR="00575CDF" w:rsidRPr="00C801A6" w:rsidRDefault="00575CDF" w:rsidP="00347FDB">
            <w:pPr>
              <w:jc w:val="left"/>
              <w:rPr>
                <w:color w:val="auto"/>
                <w:sz w:val="21"/>
                <w:szCs w:val="21"/>
              </w:rPr>
            </w:pPr>
            <w:r w:rsidRPr="00C801A6">
              <w:rPr>
                <w:color w:val="auto"/>
                <w:sz w:val="21"/>
                <w:szCs w:val="21"/>
              </w:rPr>
              <w:t>Points de concordance</w:t>
            </w:r>
          </w:p>
        </w:tc>
        <w:tc>
          <w:tcPr>
            <w:tcW w:w="3882" w:type="dxa"/>
            <w:shd w:val="clear" w:color="auto" w:fill="E2EFD9" w:themeFill="accent6" w:themeFillTint="33"/>
            <w:vAlign w:val="center"/>
          </w:tcPr>
          <w:p w14:paraId="4BCEC677" w14:textId="77777777" w:rsidR="00575CDF" w:rsidRPr="00C801A6" w:rsidRDefault="00575CDF" w:rsidP="00347FDB">
            <w:pPr>
              <w:jc w:val="left"/>
              <w:cnfStyle w:val="100000000000" w:firstRow="1" w:lastRow="0" w:firstColumn="0" w:lastColumn="0" w:oddVBand="0" w:evenVBand="0" w:oddHBand="0" w:evenHBand="0" w:firstRowFirstColumn="0" w:firstRowLastColumn="0" w:lastRowFirstColumn="0" w:lastRowLastColumn="0"/>
              <w:rPr>
                <w:color w:val="auto"/>
                <w:sz w:val="21"/>
                <w:szCs w:val="21"/>
              </w:rPr>
            </w:pPr>
            <w:r w:rsidRPr="00C801A6">
              <w:rPr>
                <w:color w:val="auto"/>
                <w:sz w:val="21"/>
                <w:szCs w:val="21"/>
              </w:rPr>
              <w:t>Points de complémentarité</w:t>
            </w:r>
          </w:p>
        </w:tc>
        <w:tc>
          <w:tcPr>
            <w:tcW w:w="1304" w:type="dxa"/>
            <w:shd w:val="clear" w:color="auto" w:fill="E2EFD9" w:themeFill="accent6" w:themeFillTint="33"/>
            <w:vAlign w:val="center"/>
          </w:tcPr>
          <w:p w14:paraId="56A0AD54" w14:textId="77777777" w:rsidR="00575CDF" w:rsidRPr="00C801A6" w:rsidRDefault="00575CDF" w:rsidP="00347FDB">
            <w:pPr>
              <w:jc w:val="left"/>
              <w:cnfStyle w:val="100000000000" w:firstRow="1" w:lastRow="0" w:firstColumn="0" w:lastColumn="0" w:oddVBand="0" w:evenVBand="0" w:oddHBand="0" w:evenHBand="0" w:firstRowFirstColumn="0" w:firstRowLastColumn="0" w:lastRowFirstColumn="0" w:lastRowLastColumn="0"/>
              <w:rPr>
                <w:color w:val="auto"/>
                <w:sz w:val="21"/>
                <w:szCs w:val="21"/>
              </w:rPr>
            </w:pPr>
            <w:r w:rsidRPr="00C801A6">
              <w:rPr>
                <w:color w:val="auto"/>
                <w:sz w:val="21"/>
                <w:szCs w:val="21"/>
              </w:rPr>
              <w:t>Points de divergence</w:t>
            </w:r>
          </w:p>
        </w:tc>
      </w:tr>
      <w:tr w:rsidR="00C801A6" w:rsidRPr="00C801A6" w14:paraId="75B2CD85" w14:textId="77777777" w:rsidTr="00554F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6" w:type="dxa"/>
            <w:shd w:val="clear" w:color="auto" w:fill="FFFFFF" w:themeFill="background1"/>
          </w:tcPr>
          <w:p w14:paraId="7203EC47" w14:textId="77777777" w:rsidR="00575CDF" w:rsidRPr="00C801A6" w:rsidRDefault="00575CDF" w:rsidP="00347FDB">
            <w:pPr>
              <w:spacing w:before="100" w:after="100"/>
              <w:jc w:val="left"/>
              <w:rPr>
                <w:b w:val="0"/>
                <w:color w:val="auto"/>
                <w:sz w:val="21"/>
                <w:szCs w:val="21"/>
              </w:rPr>
            </w:pPr>
            <w:r w:rsidRPr="00C801A6">
              <w:rPr>
                <w:b w:val="0"/>
                <w:color w:val="auto"/>
                <w:sz w:val="21"/>
                <w:szCs w:val="21"/>
              </w:rPr>
              <w:t xml:space="preserve">1. Conditions de travail et de l’emploi : Mode de rémunération de salaires, Droit de congé des travailleurs </w:t>
            </w:r>
          </w:p>
          <w:p w14:paraId="1B8C591B" w14:textId="77777777" w:rsidR="00575CDF" w:rsidRPr="00C801A6" w:rsidRDefault="00575CDF" w:rsidP="00347FDB">
            <w:pPr>
              <w:spacing w:before="100" w:after="100"/>
              <w:jc w:val="left"/>
              <w:rPr>
                <w:b w:val="0"/>
                <w:color w:val="auto"/>
                <w:sz w:val="21"/>
                <w:szCs w:val="21"/>
              </w:rPr>
            </w:pPr>
            <w:r w:rsidRPr="00C801A6">
              <w:rPr>
                <w:b w:val="0"/>
                <w:color w:val="auto"/>
                <w:sz w:val="21"/>
                <w:szCs w:val="21"/>
              </w:rPr>
              <w:t>2. Mesures de protection des catégories vulnérables de travailleurs</w:t>
            </w:r>
          </w:p>
          <w:p w14:paraId="72431747" w14:textId="77777777" w:rsidR="00575CDF" w:rsidRPr="00C801A6" w:rsidRDefault="00575CDF" w:rsidP="00347FDB">
            <w:pPr>
              <w:spacing w:before="100" w:after="100"/>
              <w:jc w:val="left"/>
              <w:rPr>
                <w:b w:val="0"/>
                <w:color w:val="auto"/>
                <w:sz w:val="21"/>
                <w:szCs w:val="21"/>
              </w:rPr>
            </w:pPr>
            <w:r w:rsidRPr="00C801A6">
              <w:rPr>
                <w:b w:val="0"/>
                <w:color w:val="auto"/>
                <w:sz w:val="21"/>
                <w:szCs w:val="21"/>
              </w:rPr>
              <w:t xml:space="preserve">3. Droit de participation </w:t>
            </w:r>
            <w:r w:rsidRPr="00C801A6">
              <w:rPr>
                <w:b w:val="0"/>
                <w:color w:val="auto"/>
                <w:spacing w:val="-5"/>
                <w:sz w:val="21"/>
                <w:szCs w:val="21"/>
              </w:rPr>
              <w:t xml:space="preserve">des </w:t>
            </w:r>
            <w:r w:rsidRPr="00C801A6">
              <w:rPr>
                <w:b w:val="0"/>
                <w:color w:val="auto"/>
                <w:sz w:val="21"/>
                <w:szCs w:val="21"/>
              </w:rPr>
              <w:t>travailleurs dans les organisations</w:t>
            </w:r>
          </w:p>
          <w:p w14:paraId="12E10105" w14:textId="77777777" w:rsidR="00575CDF" w:rsidRPr="00C801A6" w:rsidRDefault="00575CDF" w:rsidP="00347FDB">
            <w:pPr>
              <w:spacing w:before="100" w:after="100"/>
              <w:jc w:val="left"/>
              <w:rPr>
                <w:b w:val="0"/>
                <w:color w:val="auto"/>
                <w:sz w:val="21"/>
                <w:szCs w:val="21"/>
              </w:rPr>
            </w:pPr>
            <w:r w:rsidRPr="00C801A6">
              <w:rPr>
                <w:b w:val="0"/>
                <w:color w:val="auto"/>
                <w:sz w:val="21"/>
                <w:szCs w:val="21"/>
              </w:rPr>
              <w:t xml:space="preserve">4. Protection des enfants au travail : âge minimum d'emploi des travailleurs et Conditions d'emploi </w:t>
            </w:r>
            <w:r w:rsidRPr="00C801A6">
              <w:rPr>
                <w:b w:val="0"/>
                <w:color w:val="auto"/>
                <w:spacing w:val="-6"/>
                <w:sz w:val="21"/>
                <w:szCs w:val="21"/>
              </w:rPr>
              <w:t xml:space="preserve">des </w:t>
            </w:r>
            <w:r w:rsidRPr="00C801A6">
              <w:rPr>
                <w:b w:val="0"/>
                <w:color w:val="auto"/>
                <w:sz w:val="21"/>
                <w:szCs w:val="21"/>
              </w:rPr>
              <w:t>enfants</w:t>
            </w:r>
          </w:p>
          <w:p w14:paraId="5CF0EAF7" w14:textId="77777777" w:rsidR="00575CDF" w:rsidRPr="00C801A6" w:rsidRDefault="00575CDF" w:rsidP="00347FDB">
            <w:pPr>
              <w:spacing w:before="100" w:after="100"/>
              <w:jc w:val="left"/>
              <w:rPr>
                <w:b w:val="0"/>
                <w:color w:val="auto"/>
                <w:sz w:val="21"/>
                <w:szCs w:val="21"/>
              </w:rPr>
            </w:pPr>
            <w:r w:rsidRPr="00C801A6">
              <w:rPr>
                <w:b w:val="0"/>
                <w:color w:val="auto"/>
                <w:sz w:val="21"/>
                <w:szCs w:val="21"/>
              </w:rPr>
              <w:t>5. Mise en œuvre de SST et système d’examen de SST</w:t>
            </w:r>
          </w:p>
          <w:p w14:paraId="2172F0E1" w14:textId="77777777" w:rsidR="00575CDF" w:rsidRPr="00C801A6" w:rsidRDefault="00575CDF" w:rsidP="00347FDB">
            <w:pPr>
              <w:spacing w:before="100" w:after="100"/>
              <w:jc w:val="left"/>
              <w:rPr>
                <w:b w:val="0"/>
                <w:color w:val="auto"/>
                <w:sz w:val="21"/>
                <w:szCs w:val="21"/>
              </w:rPr>
            </w:pPr>
            <w:r w:rsidRPr="00C801A6">
              <w:rPr>
                <w:b w:val="0"/>
                <w:color w:val="auto"/>
                <w:sz w:val="21"/>
                <w:szCs w:val="21"/>
              </w:rPr>
              <w:t>6. Cantines – Installations sanitaires – Zones de repos – Services d’hébergement</w:t>
            </w:r>
          </w:p>
        </w:tc>
        <w:tc>
          <w:tcPr>
            <w:tcW w:w="3882" w:type="dxa"/>
            <w:shd w:val="clear" w:color="auto" w:fill="FFFFFF" w:themeFill="background1"/>
          </w:tcPr>
          <w:p w14:paraId="518FB7D6" w14:textId="77777777" w:rsidR="00575CDF" w:rsidRPr="00C801A6" w:rsidRDefault="00575CDF" w:rsidP="00347FDB">
            <w:pPr>
              <w:pStyle w:val="TableParagraph"/>
              <w:widowControl/>
              <w:spacing w:before="100" w:after="10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lang w:val="fr-FR"/>
              </w:rPr>
            </w:pPr>
            <w:r w:rsidRPr="00C801A6">
              <w:rPr>
                <w:rFonts w:ascii="Times New Roman" w:hAnsi="Times New Roman"/>
                <w:sz w:val="21"/>
                <w:szCs w:val="21"/>
                <w:lang w:val="fr-FR"/>
              </w:rPr>
              <w:t>1. Mise à disposition et utilisation d’un mécanisme de gestion des plaintes au profit des travailleurs</w:t>
            </w:r>
          </w:p>
          <w:p w14:paraId="118C6D41" w14:textId="77777777" w:rsidR="00575CDF" w:rsidRPr="00C801A6" w:rsidRDefault="00575CDF" w:rsidP="00347FDB">
            <w:pPr>
              <w:pStyle w:val="TableParagraph"/>
              <w:widowControl/>
              <w:spacing w:before="100" w:after="10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lang w:val="fr-FR"/>
              </w:rPr>
            </w:pPr>
            <w:r w:rsidRPr="00C801A6">
              <w:rPr>
                <w:rFonts w:ascii="Times New Roman" w:hAnsi="Times New Roman"/>
                <w:sz w:val="21"/>
                <w:szCs w:val="21"/>
                <w:lang w:val="fr-FR"/>
              </w:rPr>
              <w:t>2. Procédures et mesures d’atténuation des risques de sécurité, et leurs revues par des employés des fournisseurs primaires</w:t>
            </w:r>
          </w:p>
          <w:p w14:paraId="5348084A" w14:textId="77777777" w:rsidR="00575CDF" w:rsidRPr="00C801A6" w:rsidRDefault="00575CDF" w:rsidP="00347FDB">
            <w:pPr>
              <w:spacing w:before="100" w:after="100"/>
              <w:jc w:val="left"/>
              <w:cnfStyle w:val="000000100000" w:firstRow="0" w:lastRow="0" w:firstColumn="0" w:lastColumn="0" w:oddVBand="0" w:evenVBand="0" w:oddHBand="1" w:evenHBand="0" w:firstRowFirstColumn="0" w:firstRowLastColumn="0" w:lastRowFirstColumn="0" w:lastRowLastColumn="0"/>
              <w:rPr>
                <w:color w:val="auto"/>
                <w:sz w:val="21"/>
                <w:szCs w:val="21"/>
              </w:rPr>
            </w:pPr>
            <w:r w:rsidRPr="00C801A6">
              <w:rPr>
                <w:color w:val="auto"/>
                <w:sz w:val="21"/>
                <w:szCs w:val="21"/>
              </w:rPr>
              <w:t>3 Changement de fournisseurs primaires en cas de défaillance en matière de gestion des risques de sécurité pour leurs travailleurs</w:t>
            </w:r>
          </w:p>
          <w:p w14:paraId="0D72E922" w14:textId="77777777" w:rsidR="00575CDF" w:rsidRPr="00C801A6" w:rsidRDefault="00575CDF" w:rsidP="00347FDB">
            <w:pPr>
              <w:pStyle w:val="TableParagraph"/>
              <w:widowControl/>
              <w:tabs>
                <w:tab w:val="left" w:pos="1007"/>
                <w:tab w:val="left" w:pos="1897"/>
              </w:tabs>
              <w:spacing w:before="100" w:after="10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lang w:val="fr-FR"/>
              </w:rPr>
            </w:pPr>
            <w:r w:rsidRPr="00C801A6">
              <w:rPr>
                <w:rFonts w:ascii="Times New Roman" w:hAnsi="Times New Roman"/>
                <w:sz w:val="21"/>
                <w:szCs w:val="21"/>
                <w:lang w:val="fr-FR"/>
              </w:rPr>
              <w:t xml:space="preserve">4. Identification des risques potentiels de </w:t>
            </w:r>
            <w:r w:rsidRPr="00C801A6">
              <w:rPr>
                <w:rFonts w:ascii="Times New Roman" w:hAnsi="Times New Roman"/>
                <w:spacing w:val="-3"/>
                <w:sz w:val="21"/>
                <w:szCs w:val="21"/>
                <w:lang w:val="fr-FR"/>
              </w:rPr>
              <w:t xml:space="preserve">travail </w:t>
            </w:r>
            <w:r w:rsidRPr="00C801A6">
              <w:rPr>
                <w:rFonts w:ascii="Times New Roman" w:hAnsi="Times New Roman"/>
                <w:sz w:val="21"/>
                <w:szCs w:val="21"/>
                <w:lang w:val="fr-FR"/>
              </w:rPr>
              <w:t xml:space="preserve">d’enfants, de travail forcé </w:t>
            </w:r>
            <w:r w:rsidRPr="00C801A6">
              <w:rPr>
                <w:rFonts w:ascii="Times New Roman" w:hAnsi="Times New Roman"/>
                <w:spacing w:val="-6"/>
                <w:sz w:val="21"/>
                <w:szCs w:val="21"/>
                <w:lang w:val="fr-FR"/>
              </w:rPr>
              <w:t xml:space="preserve">et </w:t>
            </w:r>
            <w:r w:rsidRPr="00C801A6">
              <w:rPr>
                <w:rFonts w:ascii="Times New Roman" w:hAnsi="Times New Roman"/>
                <w:sz w:val="21"/>
                <w:szCs w:val="21"/>
                <w:lang w:val="fr-FR"/>
              </w:rPr>
              <w:t xml:space="preserve">des questions de sécurité graves pour les travailleurs de la </w:t>
            </w:r>
            <w:r w:rsidRPr="00C801A6">
              <w:rPr>
                <w:rFonts w:ascii="Times New Roman" w:hAnsi="Times New Roman"/>
                <w:spacing w:val="-4"/>
                <w:sz w:val="21"/>
                <w:szCs w:val="21"/>
                <w:lang w:val="fr-FR"/>
              </w:rPr>
              <w:t xml:space="preserve">chaîne </w:t>
            </w:r>
            <w:r w:rsidRPr="00C801A6">
              <w:rPr>
                <w:rFonts w:ascii="Times New Roman" w:hAnsi="Times New Roman"/>
                <w:sz w:val="21"/>
                <w:szCs w:val="21"/>
                <w:lang w:val="fr-FR"/>
              </w:rPr>
              <w:t>d’approvisionnement</w:t>
            </w:r>
          </w:p>
          <w:p w14:paraId="0C66868F" w14:textId="77777777" w:rsidR="00575CDF" w:rsidRPr="00C801A6" w:rsidRDefault="00575CDF" w:rsidP="00347FDB">
            <w:pPr>
              <w:spacing w:before="100" w:after="100"/>
              <w:jc w:val="left"/>
              <w:cnfStyle w:val="000000100000" w:firstRow="0" w:lastRow="0" w:firstColumn="0" w:lastColumn="0" w:oddVBand="0" w:evenVBand="0" w:oddHBand="1" w:evenHBand="0" w:firstRowFirstColumn="0" w:firstRowLastColumn="0" w:lastRowFirstColumn="0" w:lastRowLastColumn="0"/>
              <w:rPr>
                <w:color w:val="auto"/>
                <w:sz w:val="21"/>
                <w:szCs w:val="21"/>
              </w:rPr>
            </w:pPr>
            <w:r w:rsidRPr="00C801A6">
              <w:rPr>
                <w:color w:val="auto"/>
                <w:sz w:val="21"/>
                <w:szCs w:val="21"/>
              </w:rPr>
              <w:lastRenderedPageBreak/>
              <w:t>5. Mesures et procédures en matière de gestion de ressources humaines des fournisseurs primaires</w:t>
            </w:r>
          </w:p>
          <w:p w14:paraId="5444E12F" w14:textId="77777777" w:rsidR="00575CDF" w:rsidRPr="00C801A6" w:rsidRDefault="00575CDF" w:rsidP="00347FDB">
            <w:pPr>
              <w:spacing w:before="100" w:after="100"/>
              <w:jc w:val="left"/>
              <w:cnfStyle w:val="000000100000" w:firstRow="0" w:lastRow="0" w:firstColumn="0" w:lastColumn="0" w:oddVBand="0" w:evenVBand="0" w:oddHBand="1" w:evenHBand="0" w:firstRowFirstColumn="0" w:firstRowLastColumn="0" w:lastRowFirstColumn="0" w:lastRowLastColumn="0"/>
              <w:rPr>
                <w:color w:val="auto"/>
                <w:sz w:val="21"/>
                <w:szCs w:val="21"/>
              </w:rPr>
            </w:pPr>
            <w:r w:rsidRPr="00C801A6">
              <w:rPr>
                <w:color w:val="auto"/>
                <w:sz w:val="21"/>
                <w:szCs w:val="21"/>
              </w:rPr>
              <w:t>6. Interdiction de travail forcé et travailleurs victimes de la traite de personnes</w:t>
            </w:r>
          </w:p>
        </w:tc>
        <w:tc>
          <w:tcPr>
            <w:tcW w:w="1304" w:type="dxa"/>
            <w:shd w:val="clear" w:color="auto" w:fill="FFFFFF" w:themeFill="background1"/>
          </w:tcPr>
          <w:p w14:paraId="1B03A3E2" w14:textId="0BE5A4FB" w:rsidR="00575CDF" w:rsidRPr="00554F95" w:rsidRDefault="00575CDF" w:rsidP="00347FDB">
            <w:pPr>
              <w:spacing w:before="100" w:after="100"/>
              <w:jc w:val="left"/>
              <w:cnfStyle w:val="000000100000" w:firstRow="0" w:lastRow="0" w:firstColumn="0" w:lastColumn="0" w:oddVBand="0" w:evenVBand="0" w:oddHBand="1" w:evenHBand="0" w:firstRowFirstColumn="0" w:firstRowLastColumn="0" w:lastRowFirstColumn="0" w:lastRowLastColumn="0"/>
              <w:rPr>
                <w:color w:val="auto"/>
                <w:sz w:val="21"/>
                <w:szCs w:val="21"/>
              </w:rPr>
            </w:pPr>
            <w:r w:rsidRPr="00C801A6">
              <w:rPr>
                <w:color w:val="auto"/>
                <w:sz w:val="21"/>
                <w:szCs w:val="21"/>
              </w:rPr>
              <w:lastRenderedPageBreak/>
              <w:t>Néant</w:t>
            </w:r>
          </w:p>
        </w:tc>
      </w:tr>
    </w:tbl>
    <w:p w14:paraId="67835EE6" w14:textId="77777777" w:rsidR="00575CDF" w:rsidRPr="00C801A6" w:rsidRDefault="00575CDF" w:rsidP="003042DB">
      <w:pPr>
        <w:pStyle w:val="Heading4"/>
        <w:rPr>
          <w:rFonts w:eastAsia="Arial"/>
          <w:color w:val="auto"/>
          <w:lang w:val="fr"/>
        </w:rPr>
      </w:pPr>
      <w:bookmarkStart w:id="500" w:name="_Toc230298782"/>
      <w:r w:rsidRPr="00C801A6">
        <w:rPr>
          <w:rFonts w:eastAsia="Arial"/>
          <w:color w:val="auto"/>
          <w:lang w:val="fr"/>
        </w:rPr>
        <w:t>Application de la NES 2 par le Projet</w:t>
      </w:r>
      <w:bookmarkEnd w:id="500"/>
    </w:p>
    <w:p w14:paraId="6B0773DF" w14:textId="3F65611D" w:rsidR="00575CDF" w:rsidRPr="00C801A6" w:rsidRDefault="00575CDF" w:rsidP="00575CDF">
      <w:pPr>
        <w:rPr>
          <w:color w:val="auto"/>
          <w:lang w:val="fr"/>
        </w:rPr>
      </w:pPr>
      <w:r w:rsidRPr="00C801A6">
        <w:rPr>
          <w:color w:val="auto"/>
          <w:lang w:val="fr"/>
        </w:rPr>
        <w:t xml:space="preserve">Afin de se conformer à la NES2, le Projet élaborera et mettra en œuvre le Procédures de gestion de la main d’œuvre (PGMO). Ledit PGMO contient un ensemble de procédures qui régissent les relations entre l’employeur et les travailleurs selon les catégories tel que c’est exigé par la NES 2. Le PGMO </w:t>
      </w:r>
      <w:r w:rsidR="006C715A">
        <w:rPr>
          <w:color w:val="auto"/>
          <w:lang w:val="fr"/>
        </w:rPr>
        <w:t>dispose</w:t>
      </w:r>
      <w:r w:rsidRPr="00C801A6">
        <w:rPr>
          <w:color w:val="auto"/>
          <w:lang w:val="fr"/>
        </w:rPr>
        <w:t xml:space="preserve"> aussi les responsabilités respectives de l’employeur et du travailleur. </w:t>
      </w:r>
    </w:p>
    <w:p w14:paraId="17F521E2" w14:textId="2D5BF75B" w:rsidR="00575CDF" w:rsidRPr="00C801A6" w:rsidRDefault="00575CDF" w:rsidP="00575CDF">
      <w:pPr>
        <w:rPr>
          <w:color w:val="auto"/>
          <w:lang w:val="fr"/>
        </w:rPr>
      </w:pPr>
      <w:r w:rsidRPr="00C801A6">
        <w:rPr>
          <w:color w:val="auto"/>
          <w:lang w:val="fr"/>
        </w:rPr>
        <w:t xml:space="preserve">Le Projet </w:t>
      </w:r>
      <w:r w:rsidR="003349AF" w:rsidRPr="00C801A6">
        <w:rPr>
          <w:color w:val="auto"/>
          <w:lang w:val="fr"/>
        </w:rPr>
        <w:t>P</w:t>
      </w:r>
      <w:r w:rsidR="000054E2">
        <w:rPr>
          <w:color w:val="auto"/>
          <w:lang w:val="fr"/>
        </w:rPr>
        <w:t>CMCI</w:t>
      </w:r>
      <w:r w:rsidR="003349AF" w:rsidRPr="00C801A6">
        <w:rPr>
          <w:color w:val="auto"/>
          <w:lang w:val="fr"/>
        </w:rPr>
        <w:t xml:space="preserve"> </w:t>
      </w:r>
      <w:r w:rsidRPr="00C801A6">
        <w:rPr>
          <w:color w:val="auto"/>
          <w:lang w:val="fr"/>
        </w:rPr>
        <w:t>mettra également en place un mécanisme de gestion des plaintes spécifiques pour les travailleurs. Ce mécanisme est adapté et ajusté avec les dispositions prévues par le Code de travail, en cas de différends de travail.</w:t>
      </w:r>
    </w:p>
    <w:p w14:paraId="322195EC" w14:textId="5B57FF96" w:rsidR="00575CDF" w:rsidRPr="00C801A6" w:rsidRDefault="00575CDF" w:rsidP="00575CDF">
      <w:pPr>
        <w:rPr>
          <w:color w:val="auto"/>
          <w:lang w:val="fr"/>
        </w:rPr>
      </w:pPr>
      <w:r w:rsidRPr="00C801A6">
        <w:rPr>
          <w:color w:val="auto"/>
          <w:lang w:val="fr"/>
        </w:rPr>
        <w:t xml:space="preserve">Enfin, le Projet </w:t>
      </w:r>
      <w:r w:rsidR="003349AF" w:rsidRPr="00C801A6">
        <w:rPr>
          <w:color w:val="auto"/>
          <w:lang w:val="fr"/>
        </w:rPr>
        <w:t>P</w:t>
      </w:r>
      <w:r w:rsidR="000054E2">
        <w:rPr>
          <w:color w:val="auto"/>
          <w:lang w:val="fr"/>
        </w:rPr>
        <w:t>CMCI</w:t>
      </w:r>
      <w:r w:rsidRPr="00C801A6">
        <w:rPr>
          <w:color w:val="auto"/>
          <w:lang w:val="fr"/>
        </w:rPr>
        <w:t xml:space="preserve"> imposera le respect et la signature des Code de conduites aux différentes catégories de travailleurs (essentiellement les travailleurs directs et travailleurs contractuels).</w:t>
      </w:r>
    </w:p>
    <w:p w14:paraId="4D8148C3" w14:textId="77777777" w:rsidR="00575CDF" w:rsidRPr="00DD217E" w:rsidRDefault="00575CDF" w:rsidP="00C65572">
      <w:pPr>
        <w:pStyle w:val="Heading3"/>
      </w:pPr>
      <w:bookmarkStart w:id="501" w:name="_Toc106320332"/>
      <w:bookmarkStart w:id="502" w:name="_Toc230426038"/>
      <w:r w:rsidRPr="00DD217E">
        <w:rPr>
          <w:rFonts w:eastAsia="Arial"/>
        </w:rPr>
        <w:t>Utilisation rationnelle des ressources, prévention et gestion de la pollution</w:t>
      </w:r>
      <w:bookmarkEnd w:id="501"/>
      <w:bookmarkEnd w:id="502"/>
    </w:p>
    <w:p w14:paraId="73D14C5C" w14:textId="4C7BEDB9" w:rsidR="00575CDF" w:rsidRPr="00DD217E" w:rsidRDefault="00575CDF" w:rsidP="1949FB49">
      <w:pPr>
        <w:pStyle w:val="Heading4"/>
        <w:rPr>
          <w:color w:val="auto"/>
        </w:rPr>
      </w:pPr>
      <w:bookmarkStart w:id="503" w:name="_Toc230298783"/>
      <w:r w:rsidRPr="00DD217E">
        <w:rPr>
          <w:rFonts w:eastAsia="Arial"/>
          <w:color w:val="auto"/>
        </w:rPr>
        <w:t>Cadre juridique national régissant les domaines de la gestion des ressources naturelles et de la gestion des pollutions</w:t>
      </w:r>
      <w:bookmarkEnd w:id="503"/>
    </w:p>
    <w:p w14:paraId="3F6B585D" w14:textId="2505EB54" w:rsidR="00575CDF" w:rsidRPr="00C801A6" w:rsidRDefault="00575CDF" w:rsidP="425F8B71">
      <w:pPr>
        <w:rPr>
          <w:rFonts w:eastAsia="Calibri"/>
          <w:color w:val="auto"/>
        </w:rPr>
      </w:pPr>
      <w:r w:rsidRPr="425F8B71">
        <w:rPr>
          <w:rFonts w:eastAsia="Calibri"/>
          <w:color w:val="auto"/>
        </w:rPr>
        <w:t xml:space="preserve">D’un côté, le cadre judique national relatif à la gestion des ressources naturelles se rapporte notamment aux dispositions du Code des aires protégées. De l’autre côté, la gestion des pollutions est quasiment légiférée par la loi no.99.021 sur la politique de gestion et de controle des pollutions industrielles du 19/08/99 et du décret </w:t>
      </w:r>
      <w:r w:rsidR="000E4A97" w:rsidRPr="425F8B71">
        <w:rPr>
          <w:rFonts w:eastAsia="Calibri"/>
          <w:color w:val="auto"/>
        </w:rPr>
        <w:t>n°</w:t>
      </w:r>
      <w:r w:rsidRPr="425F8B71">
        <w:rPr>
          <w:rFonts w:eastAsia="Calibri"/>
          <w:color w:val="auto"/>
        </w:rPr>
        <w:t>2003</w:t>
      </w:r>
      <w:r w:rsidR="000E4A97" w:rsidRPr="425F8B71">
        <w:rPr>
          <w:rFonts w:eastAsia="Calibri"/>
          <w:color w:val="auto"/>
        </w:rPr>
        <w:t>-464</w:t>
      </w:r>
      <w:r w:rsidRPr="425F8B71">
        <w:rPr>
          <w:rFonts w:eastAsia="Calibri"/>
          <w:color w:val="auto"/>
        </w:rPr>
        <w:t xml:space="preserve"> du 15 avril 2003 portant sur la classification des eaux de surface et rejet d’effluents liquides.</w:t>
      </w:r>
    </w:p>
    <w:p w14:paraId="1429B3D7" w14:textId="77777777" w:rsidR="00575CDF" w:rsidRPr="00C801A6" w:rsidRDefault="00575CDF" w:rsidP="003042DB">
      <w:pPr>
        <w:pStyle w:val="Heading4"/>
        <w:rPr>
          <w:color w:val="auto"/>
        </w:rPr>
      </w:pPr>
      <w:bookmarkStart w:id="504" w:name="_Toc230298784"/>
      <w:r w:rsidRPr="00C801A6">
        <w:rPr>
          <w:color w:val="auto"/>
        </w:rPr>
        <w:t>Norme environnementale et sociale n°3 : utilisation rationnelle des ressources, prévention et gestion de la pollution</w:t>
      </w:r>
      <w:bookmarkEnd w:id="504"/>
      <w:r w:rsidRPr="00C801A6">
        <w:rPr>
          <w:color w:val="auto"/>
        </w:rPr>
        <w:t xml:space="preserve"> </w:t>
      </w:r>
    </w:p>
    <w:p w14:paraId="1EE50098" w14:textId="77777777" w:rsidR="00575CDF" w:rsidRPr="00C801A6" w:rsidRDefault="00575CDF" w:rsidP="00575CDF">
      <w:pPr>
        <w:pStyle w:val="justify"/>
        <w:shd w:val="clear" w:color="auto" w:fill="FFFFFF"/>
        <w:spacing w:before="0" w:beforeAutospacing="0" w:after="160" w:afterAutospacing="0" w:line="276" w:lineRule="auto"/>
        <w:jc w:val="both"/>
        <w:rPr>
          <w:rFonts w:ascii="Times New Roman" w:hAnsi="Times New Roman"/>
          <w:sz w:val="24"/>
          <w:u w:val="single"/>
        </w:rPr>
      </w:pPr>
      <w:r w:rsidRPr="00C801A6">
        <w:rPr>
          <w:rFonts w:ascii="Times New Roman" w:hAnsi="Times New Roman"/>
          <w:sz w:val="24"/>
          <w:u w:val="single"/>
        </w:rPr>
        <w:t>Principe général de la NES 3</w:t>
      </w:r>
    </w:p>
    <w:p w14:paraId="5254979E" w14:textId="2F4B5DD8" w:rsidR="00575CDF" w:rsidRPr="00C801A6" w:rsidRDefault="00575CDF" w:rsidP="00575CDF">
      <w:pPr>
        <w:pStyle w:val="justify"/>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 xml:space="preserve">La </w:t>
      </w:r>
      <w:r w:rsidR="00EF6701">
        <w:rPr>
          <w:rFonts w:ascii="Times New Roman" w:hAnsi="Times New Roman"/>
          <w:sz w:val="24"/>
        </w:rPr>
        <w:t>NES</w:t>
      </w:r>
      <w:r w:rsidRPr="00C801A6">
        <w:rPr>
          <w:rFonts w:ascii="Times New Roman" w:hAnsi="Times New Roman"/>
          <w:sz w:val="24"/>
        </w:rPr>
        <w:t>3 reconnaît que l’activité économique et l’urbanisation génèrent souvent une pollution de l’air, de l’eau et du sol, et consomment des ressources limitées d’une manière qui peut menacer les populations, les services des écosystèmes et l’environnement aux niveaux local, régional et mondial. La concentration atmosphérique actuelle et projetée des gaz à effet de serre (GES) menace le bien-être des générations actuelles et futures. Parallèlement, l’utilisation plus efficiente et efficace des ressources, la prévention de la pollution et l’évitement de l’émission des GES, et les technologies et pratiques d’atténuation sont devenues plus accessibles et réalisables.</w:t>
      </w:r>
    </w:p>
    <w:p w14:paraId="12495E6B" w14:textId="77777777" w:rsidR="00575CDF" w:rsidRPr="00C801A6" w:rsidRDefault="00575CDF" w:rsidP="00575CDF">
      <w:pPr>
        <w:pStyle w:val="justify"/>
        <w:shd w:val="clear" w:color="auto" w:fill="FFFFFF"/>
        <w:spacing w:before="0" w:beforeAutospacing="0" w:after="160" w:afterAutospacing="0" w:line="276" w:lineRule="auto"/>
        <w:jc w:val="both"/>
        <w:rPr>
          <w:rFonts w:ascii="Times New Roman" w:hAnsi="Times New Roman"/>
          <w:sz w:val="24"/>
          <w:u w:val="single"/>
        </w:rPr>
      </w:pPr>
      <w:r w:rsidRPr="00C801A6">
        <w:rPr>
          <w:rFonts w:ascii="Times New Roman" w:hAnsi="Times New Roman"/>
          <w:sz w:val="24"/>
          <w:u w:val="single"/>
        </w:rPr>
        <w:t>Objectifs de la NES 3</w:t>
      </w:r>
    </w:p>
    <w:p w14:paraId="23B7F66E"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lastRenderedPageBreak/>
        <w:t>Promouvoir l’utilisation durable des ressources, y compris l’énergie, l’eau et les matières premières.</w:t>
      </w:r>
    </w:p>
    <w:p w14:paraId="63759F58"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Éviter ou minimiser les impacts négatifs sur la santé humaine et l’environnement en évitant ou en minimisant la pollution générée par les activités du projet.</w:t>
      </w:r>
    </w:p>
    <w:p w14:paraId="326ED474"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Éviter ou minimiser les émissions de polluants atmosphériques, à courte ou longue durée d’action, liés au projet.</w:t>
      </w:r>
    </w:p>
    <w:p w14:paraId="60D925AE"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Éviter ou minimiser la production de déchets dangereux et non dangereux.</w:t>
      </w:r>
    </w:p>
    <w:p w14:paraId="05875F41"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Minimiser et gérer les risques et impacts liés à l’utilisation des pesticides.</w:t>
      </w:r>
    </w:p>
    <w:p w14:paraId="355DE854" w14:textId="77777777" w:rsidR="00575CDF" w:rsidRPr="00C801A6" w:rsidRDefault="00575CDF" w:rsidP="00575CDF">
      <w:pPr>
        <w:pStyle w:val="justify"/>
        <w:shd w:val="clear" w:color="auto" w:fill="FFFFFF"/>
        <w:spacing w:before="0" w:beforeAutospacing="0" w:after="160" w:afterAutospacing="0" w:line="276" w:lineRule="auto"/>
        <w:jc w:val="both"/>
        <w:rPr>
          <w:rFonts w:ascii="Times New Roman" w:hAnsi="Times New Roman"/>
          <w:sz w:val="24"/>
          <w:u w:val="single"/>
        </w:rPr>
      </w:pPr>
      <w:r w:rsidRPr="00C801A6">
        <w:rPr>
          <w:rFonts w:ascii="Times New Roman" w:hAnsi="Times New Roman"/>
          <w:sz w:val="24"/>
          <w:u w:val="single"/>
        </w:rPr>
        <w:t xml:space="preserve">Exigences et dispositions de la NES 3 </w:t>
      </w:r>
    </w:p>
    <w:p w14:paraId="6EA69C54"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Mise en œuvre des mesures réalistes sur le plan technique et financier pour améliorer l’efficacité de la consommation d’énergie, d’eau, de matières premières ainsi que des autres ressources. Ces mesures seront proportionnelles aux risques et impacts associés au projet et conformes aux BPII, et en premier lieu aux référentiels techniques ESS.</w:t>
      </w:r>
    </w:p>
    <w:p w14:paraId="08C83D1A"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Mesures de prévention de la pollution pouvant avoir des impacts sur la santé humaine et l’environnement. Ceci s’applique au rejet de polluants dans l’air, l’eau et les sols dans des conditions courantes, exceptionnelles ou accidentelles présentant un risque de répercussions locales, régionales et transfrontalières.</w:t>
      </w:r>
    </w:p>
    <w:p w14:paraId="04DCC838"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Evitement ou réduction des émissions sources de pollution atmosphérique liées au projet ; minimisation de la production des déchets et mise en place d’un système de récupération de ces déchets ; évitement ou minimisation de l’utilisation des produits chimiques et des matières dangereuses ; gestion intégrée des nuisibles et / ou gestion intégrée des vecteurs pesticides en utilisant des stratégies combinées ou multiples. Utilisation des pesticides moins d’impacts sur l’environnement et la santé humaine.</w:t>
      </w:r>
    </w:p>
    <w:p w14:paraId="24F9C18B" w14:textId="77777777" w:rsidR="00575CDF" w:rsidRPr="00C801A6" w:rsidRDefault="00575CDF" w:rsidP="00575CDF">
      <w:pPr>
        <w:pStyle w:val="justify"/>
        <w:shd w:val="clear" w:color="auto" w:fill="FFFFFF"/>
        <w:spacing w:before="0" w:beforeAutospacing="0" w:after="240" w:afterAutospacing="0" w:line="276" w:lineRule="auto"/>
        <w:jc w:val="both"/>
        <w:rPr>
          <w:rFonts w:ascii="Times New Roman" w:hAnsi="Times New Roman"/>
          <w:sz w:val="24"/>
        </w:rPr>
      </w:pPr>
      <w:r w:rsidRPr="00C801A6">
        <w:rPr>
          <w:rFonts w:ascii="Times New Roman" w:hAnsi="Times New Roman"/>
          <w:sz w:val="24"/>
        </w:rPr>
        <w:t>La synthèse de l’analyse comparative entre le cadre national et la NES 3 se résume dans le tableau qui suit :</w:t>
      </w:r>
    </w:p>
    <w:p w14:paraId="1C82C9FD" w14:textId="552A44BB" w:rsidR="00575CDF" w:rsidRPr="00C801A6" w:rsidRDefault="00575CDF" w:rsidP="003609CC">
      <w:pPr>
        <w:pStyle w:val="Caption"/>
        <w:rPr>
          <w:color w:val="auto"/>
        </w:rPr>
      </w:pPr>
      <w:bookmarkStart w:id="505" w:name="_Toc230427734"/>
      <w:r w:rsidRPr="00C801A6">
        <w:rPr>
          <w:color w:val="auto"/>
        </w:rPr>
        <w:t xml:space="preserve">Tableau </w:t>
      </w:r>
      <w:r w:rsidRPr="00C801A6">
        <w:rPr>
          <w:color w:val="auto"/>
        </w:rPr>
        <w:fldChar w:fldCharType="begin"/>
      </w:r>
      <w:r w:rsidRPr="00C801A6">
        <w:rPr>
          <w:color w:val="auto"/>
        </w:rPr>
        <w:instrText>SEQ Tableau \* ARABIC</w:instrText>
      </w:r>
      <w:r w:rsidRPr="00C801A6">
        <w:rPr>
          <w:color w:val="auto"/>
        </w:rPr>
        <w:fldChar w:fldCharType="separate"/>
      </w:r>
      <w:r w:rsidR="00253F1A">
        <w:rPr>
          <w:noProof/>
          <w:color w:val="auto"/>
        </w:rPr>
        <w:t>14</w:t>
      </w:r>
      <w:r w:rsidRPr="00C801A6">
        <w:rPr>
          <w:color w:val="auto"/>
        </w:rPr>
        <w:fldChar w:fldCharType="end"/>
      </w:r>
      <w:r w:rsidRPr="00C801A6">
        <w:rPr>
          <w:color w:val="auto"/>
        </w:rPr>
        <w:t> : Synthèse de l’analyse comparative entre le cadre national et la NES 3</w:t>
      </w:r>
      <w:bookmarkEnd w:id="505"/>
    </w:p>
    <w:tbl>
      <w:tblPr>
        <w:tblStyle w:val="Trameclaire-Accent51"/>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3022"/>
        <w:gridCol w:w="3022"/>
        <w:gridCol w:w="3023"/>
      </w:tblGrid>
      <w:tr w:rsidR="00C801A6" w:rsidRPr="00C801A6" w14:paraId="355CC56B" w14:textId="77777777" w:rsidTr="000054E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022" w:type="dxa"/>
            <w:tcBorders>
              <w:top w:val="none" w:sz="0" w:space="0" w:color="auto"/>
              <w:left w:val="none" w:sz="0" w:space="0" w:color="auto"/>
              <w:bottom w:val="none" w:sz="0" w:space="0" w:color="auto"/>
              <w:right w:val="none" w:sz="0" w:space="0" w:color="auto"/>
            </w:tcBorders>
            <w:shd w:val="clear" w:color="auto" w:fill="E2EFD9" w:themeFill="accent6" w:themeFillTint="33"/>
          </w:tcPr>
          <w:p w14:paraId="608BB63D" w14:textId="77777777" w:rsidR="00575CDF" w:rsidRPr="00C801A6" w:rsidRDefault="00575CDF" w:rsidP="00347FDB">
            <w:pPr>
              <w:spacing w:before="40" w:after="40"/>
              <w:jc w:val="center"/>
              <w:rPr>
                <w:rFonts w:cs="Arial"/>
                <w:color w:val="auto"/>
                <w:sz w:val="21"/>
                <w:szCs w:val="21"/>
              </w:rPr>
            </w:pPr>
            <w:r w:rsidRPr="00C801A6">
              <w:rPr>
                <w:rFonts w:cs="Arial"/>
                <w:color w:val="auto"/>
                <w:sz w:val="21"/>
                <w:szCs w:val="21"/>
              </w:rPr>
              <w:t>Points de concordance</w:t>
            </w:r>
          </w:p>
        </w:tc>
        <w:tc>
          <w:tcPr>
            <w:tcW w:w="3022" w:type="dxa"/>
            <w:tcBorders>
              <w:top w:val="none" w:sz="0" w:space="0" w:color="auto"/>
              <w:left w:val="none" w:sz="0" w:space="0" w:color="auto"/>
              <w:bottom w:val="none" w:sz="0" w:space="0" w:color="auto"/>
              <w:right w:val="none" w:sz="0" w:space="0" w:color="auto"/>
            </w:tcBorders>
            <w:shd w:val="clear" w:color="auto" w:fill="E2EFD9" w:themeFill="accent6" w:themeFillTint="33"/>
          </w:tcPr>
          <w:p w14:paraId="6ADB3F5D" w14:textId="77777777" w:rsidR="00575CDF" w:rsidRPr="00C801A6" w:rsidRDefault="00575CDF" w:rsidP="00347FDB">
            <w:pPr>
              <w:spacing w:before="40" w:after="40"/>
              <w:jc w:val="center"/>
              <w:cnfStyle w:val="100000000000" w:firstRow="1" w:lastRow="0" w:firstColumn="0" w:lastColumn="0" w:oddVBand="0" w:evenVBand="0" w:oddHBand="0" w:evenHBand="0" w:firstRowFirstColumn="0" w:firstRowLastColumn="0" w:lastRowFirstColumn="0" w:lastRowLastColumn="0"/>
              <w:rPr>
                <w:rFonts w:cs="Arial"/>
                <w:color w:val="auto"/>
                <w:sz w:val="21"/>
                <w:szCs w:val="21"/>
              </w:rPr>
            </w:pPr>
            <w:r w:rsidRPr="00C801A6">
              <w:rPr>
                <w:rFonts w:cs="Arial"/>
                <w:color w:val="auto"/>
                <w:sz w:val="21"/>
                <w:szCs w:val="21"/>
              </w:rPr>
              <w:t>Points de complémentarité</w:t>
            </w:r>
          </w:p>
        </w:tc>
        <w:tc>
          <w:tcPr>
            <w:tcW w:w="3023" w:type="dxa"/>
            <w:tcBorders>
              <w:top w:val="none" w:sz="0" w:space="0" w:color="auto"/>
              <w:left w:val="none" w:sz="0" w:space="0" w:color="auto"/>
              <w:bottom w:val="none" w:sz="0" w:space="0" w:color="auto"/>
              <w:right w:val="none" w:sz="0" w:space="0" w:color="auto"/>
            </w:tcBorders>
            <w:shd w:val="clear" w:color="auto" w:fill="E2EFD9" w:themeFill="accent6" w:themeFillTint="33"/>
          </w:tcPr>
          <w:p w14:paraId="781AC0A0" w14:textId="77777777" w:rsidR="00575CDF" w:rsidRPr="00C801A6" w:rsidRDefault="00575CDF" w:rsidP="00347FDB">
            <w:pPr>
              <w:spacing w:before="40" w:after="40"/>
              <w:jc w:val="center"/>
              <w:cnfStyle w:val="100000000000" w:firstRow="1" w:lastRow="0" w:firstColumn="0" w:lastColumn="0" w:oddVBand="0" w:evenVBand="0" w:oddHBand="0" w:evenHBand="0" w:firstRowFirstColumn="0" w:firstRowLastColumn="0" w:lastRowFirstColumn="0" w:lastRowLastColumn="0"/>
              <w:rPr>
                <w:rFonts w:cs="Arial"/>
                <w:color w:val="auto"/>
                <w:sz w:val="21"/>
                <w:szCs w:val="21"/>
              </w:rPr>
            </w:pPr>
            <w:r w:rsidRPr="00C801A6">
              <w:rPr>
                <w:rFonts w:cs="Arial"/>
                <w:color w:val="auto"/>
                <w:sz w:val="21"/>
                <w:szCs w:val="21"/>
              </w:rPr>
              <w:t>Points de divergence</w:t>
            </w:r>
          </w:p>
        </w:tc>
      </w:tr>
      <w:tr w:rsidR="00C801A6" w:rsidRPr="00C801A6" w14:paraId="6311515A" w14:textId="77777777" w:rsidTr="000054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2" w:type="dxa"/>
            <w:tcBorders>
              <w:left w:val="none" w:sz="0" w:space="0" w:color="auto"/>
              <w:right w:val="none" w:sz="0" w:space="0" w:color="auto"/>
            </w:tcBorders>
            <w:shd w:val="clear" w:color="auto" w:fill="FFFFFF" w:themeFill="background1"/>
          </w:tcPr>
          <w:p w14:paraId="430E671F" w14:textId="77777777" w:rsidR="00575CDF" w:rsidRPr="00C801A6" w:rsidRDefault="00575CDF" w:rsidP="00347FDB">
            <w:pPr>
              <w:spacing w:before="60" w:after="60"/>
              <w:jc w:val="left"/>
              <w:rPr>
                <w:b w:val="0"/>
                <w:color w:val="auto"/>
                <w:sz w:val="21"/>
                <w:szCs w:val="21"/>
              </w:rPr>
            </w:pPr>
            <w:r w:rsidRPr="00C801A6">
              <w:rPr>
                <w:b w:val="0"/>
                <w:color w:val="auto"/>
                <w:sz w:val="21"/>
                <w:szCs w:val="21"/>
              </w:rPr>
              <w:t xml:space="preserve">En matière de la gestion de la ressource en eau : </w:t>
            </w:r>
          </w:p>
          <w:p w14:paraId="1A96F485" w14:textId="77777777" w:rsidR="00575CDF" w:rsidRPr="00C801A6" w:rsidRDefault="00575CDF" w:rsidP="00347FDB">
            <w:pPr>
              <w:spacing w:before="60" w:after="60"/>
              <w:jc w:val="left"/>
              <w:rPr>
                <w:b w:val="0"/>
                <w:color w:val="auto"/>
                <w:sz w:val="21"/>
                <w:szCs w:val="21"/>
              </w:rPr>
            </w:pPr>
            <w:r w:rsidRPr="00C801A6">
              <w:rPr>
                <w:b w:val="0"/>
                <w:color w:val="auto"/>
                <w:sz w:val="21"/>
                <w:szCs w:val="21"/>
              </w:rPr>
              <w:t>1. Réalisation d’étude d’impact des projets d’approvisionnement en eau</w:t>
            </w:r>
          </w:p>
          <w:p w14:paraId="2C2F4724" w14:textId="77777777" w:rsidR="00575CDF" w:rsidRPr="00C801A6" w:rsidRDefault="00575CDF" w:rsidP="00347FDB">
            <w:pPr>
              <w:spacing w:before="60" w:after="60"/>
              <w:jc w:val="left"/>
              <w:rPr>
                <w:b w:val="0"/>
                <w:color w:val="auto"/>
                <w:sz w:val="21"/>
                <w:szCs w:val="21"/>
              </w:rPr>
            </w:pPr>
            <w:r w:rsidRPr="00C801A6">
              <w:rPr>
                <w:b w:val="0"/>
                <w:color w:val="auto"/>
                <w:sz w:val="21"/>
                <w:szCs w:val="21"/>
              </w:rPr>
              <w:t>2. Obligation de préservation durable de la ressource en eau</w:t>
            </w:r>
          </w:p>
          <w:p w14:paraId="2CC90C17" w14:textId="77777777" w:rsidR="00575CDF" w:rsidRPr="00C801A6" w:rsidRDefault="00575CDF" w:rsidP="00347FDB">
            <w:pPr>
              <w:spacing w:before="60" w:after="60"/>
              <w:jc w:val="left"/>
              <w:rPr>
                <w:b w:val="0"/>
                <w:color w:val="auto"/>
                <w:sz w:val="21"/>
                <w:szCs w:val="21"/>
              </w:rPr>
            </w:pPr>
            <w:r w:rsidRPr="00C801A6">
              <w:rPr>
                <w:b w:val="0"/>
                <w:color w:val="auto"/>
                <w:sz w:val="21"/>
                <w:szCs w:val="21"/>
              </w:rPr>
              <w:t xml:space="preserve">3. Nécessité des mesures spécifiques pour éviter et </w:t>
            </w:r>
            <w:r w:rsidRPr="00C801A6">
              <w:rPr>
                <w:b w:val="0"/>
                <w:color w:val="auto"/>
                <w:sz w:val="21"/>
                <w:szCs w:val="21"/>
              </w:rPr>
              <w:lastRenderedPageBreak/>
              <w:t>minimiser les pollutions des eaux</w:t>
            </w:r>
          </w:p>
        </w:tc>
        <w:tc>
          <w:tcPr>
            <w:tcW w:w="3022" w:type="dxa"/>
            <w:tcBorders>
              <w:left w:val="none" w:sz="0" w:space="0" w:color="auto"/>
              <w:right w:val="none" w:sz="0" w:space="0" w:color="auto"/>
            </w:tcBorders>
            <w:shd w:val="clear" w:color="auto" w:fill="FFFFFF" w:themeFill="background1"/>
          </w:tcPr>
          <w:p w14:paraId="37E1AA4B" w14:textId="77777777" w:rsidR="00575CDF" w:rsidRPr="00C801A6" w:rsidRDefault="00575CDF" w:rsidP="00347FDB">
            <w:pPr>
              <w:spacing w:before="60" w:after="60"/>
              <w:jc w:val="left"/>
              <w:cnfStyle w:val="000000100000" w:firstRow="0" w:lastRow="0" w:firstColumn="0" w:lastColumn="0" w:oddVBand="0" w:evenVBand="0" w:oddHBand="1" w:evenHBand="0" w:firstRowFirstColumn="0" w:firstRowLastColumn="0" w:lastRowFirstColumn="0" w:lastRowLastColumn="0"/>
              <w:rPr>
                <w:bCs/>
                <w:color w:val="auto"/>
                <w:sz w:val="21"/>
                <w:szCs w:val="21"/>
              </w:rPr>
            </w:pPr>
          </w:p>
          <w:p w14:paraId="674ED436" w14:textId="77777777" w:rsidR="00575CDF" w:rsidRPr="00C801A6" w:rsidRDefault="00575CDF" w:rsidP="00347FDB">
            <w:pPr>
              <w:spacing w:before="60" w:after="60"/>
              <w:jc w:val="left"/>
              <w:cnfStyle w:val="000000100000" w:firstRow="0" w:lastRow="0" w:firstColumn="0" w:lastColumn="0" w:oddVBand="0" w:evenVBand="0" w:oddHBand="1" w:evenHBand="0" w:firstRowFirstColumn="0" w:firstRowLastColumn="0" w:lastRowFirstColumn="0" w:lastRowLastColumn="0"/>
              <w:rPr>
                <w:bCs/>
                <w:color w:val="auto"/>
                <w:sz w:val="21"/>
                <w:szCs w:val="21"/>
              </w:rPr>
            </w:pPr>
          </w:p>
          <w:p w14:paraId="56301B12" w14:textId="77777777" w:rsidR="00575CDF" w:rsidRPr="00C801A6" w:rsidRDefault="00575CDF" w:rsidP="00347FDB">
            <w:pPr>
              <w:spacing w:before="60" w:after="60"/>
              <w:jc w:val="left"/>
              <w:cnfStyle w:val="000000100000" w:firstRow="0" w:lastRow="0" w:firstColumn="0" w:lastColumn="0" w:oddVBand="0" w:evenVBand="0" w:oddHBand="1" w:evenHBand="0" w:firstRowFirstColumn="0" w:firstRowLastColumn="0" w:lastRowFirstColumn="0" w:lastRowLastColumn="0"/>
              <w:rPr>
                <w:bCs/>
                <w:color w:val="auto"/>
                <w:sz w:val="21"/>
                <w:szCs w:val="21"/>
              </w:rPr>
            </w:pPr>
            <w:r w:rsidRPr="00C801A6">
              <w:rPr>
                <w:bCs/>
                <w:color w:val="auto"/>
                <w:sz w:val="21"/>
                <w:szCs w:val="21"/>
              </w:rPr>
              <w:t>1. Existence de dispositifs de compensation de la consommation d’eau pour maintenir la demande totale des ressources en eau</w:t>
            </w:r>
          </w:p>
          <w:p w14:paraId="0E8B5A42" w14:textId="77777777" w:rsidR="00575CDF" w:rsidRPr="00C801A6" w:rsidRDefault="00575CDF" w:rsidP="00347FDB">
            <w:pPr>
              <w:spacing w:before="60" w:after="60"/>
              <w:jc w:val="left"/>
              <w:cnfStyle w:val="000000100000" w:firstRow="0" w:lastRow="0" w:firstColumn="0" w:lastColumn="0" w:oddVBand="0" w:evenVBand="0" w:oddHBand="1" w:evenHBand="0" w:firstRowFirstColumn="0" w:firstRowLastColumn="0" w:lastRowFirstColumn="0" w:lastRowLastColumn="0"/>
              <w:rPr>
                <w:bCs/>
                <w:color w:val="auto"/>
                <w:sz w:val="21"/>
                <w:szCs w:val="21"/>
              </w:rPr>
            </w:pPr>
            <w:r w:rsidRPr="00C801A6">
              <w:rPr>
                <w:bCs/>
                <w:color w:val="auto"/>
                <w:sz w:val="21"/>
                <w:szCs w:val="21"/>
              </w:rPr>
              <w:t xml:space="preserve">2. Obligation de réaliser de l’étude de l’analyse de la disponibilité de la ressource en </w:t>
            </w:r>
            <w:r w:rsidRPr="00C801A6">
              <w:rPr>
                <w:bCs/>
                <w:color w:val="auto"/>
                <w:sz w:val="21"/>
                <w:szCs w:val="21"/>
              </w:rPr>
              <w:lastRenderedPageBreak/>
              <w:t>eau, du contrôle et surveillance de la ressource en eau et de la conservation de la qualité de l’eau</w:t>
            </w:r>
          </w:p>
        </w:tc>
        <w:tc>
          <w:tcPr>
            <w:tcW w:w="3023" w:type="dxa"/>
            <w:tcBorders>
              <w:left w:val="none" w:sz="0" w:space="0" w:color="auto"/>
              <w:right w:val="none" w:sz="0" w:space="0" w:color="auto"/>
            </w:tcBorders>
            <w:shd w:val="clear" w:color="auto" w:fill="FFFFFF" w:themeFill="background1"/>
          </w:tcPr>
          <w:p w14:paraId="13124BDA" w14:textId="77777777" w:rsidR="00575CDF" w:rsidRPr="00C801A6" w:rsidRDefault="00575CDF" w:rsidP="00347FDB">
            <w:pPr>
              <w:spacing w:before="60" w:after="60"/>
              <w:jc w:val="left"/>
              <w:cnfStyle w:val="000000100000" w:firstRow="0" w:lastRow="0" w:firstColumn="0" w:lastColumn="0" w:oddVBand="0" w:evenVBand="0" w:oddHBand="1" w:evenHBand="0" w:firstRowFirstColumn="0" w:firstRowLastColumn="0" w:lastRowFirstColumn="0" w:lastRowLastColumn="0"/>
              <w:rPr>
                <w:bCs/>
                <w:color w:val="auto"/>
                <w:sz w:val="21"/>
                <w:szCs w:val="21"/>
              </w:rPr>
            </w:pPr>
          </w:p>
          <w:p w14:paraId="3FF4B4AD" w14:textId="77777777" w:rsidR="00575CDF" w:rsidRPr="00C801A6" w:rsidRDefault="00575CDF" w:rsidP="00347FDB">
            <w:pPr>
              <w:spacing w:before="60" w:after="60"/>
              <w:jc w:val="left"/>
              <w:cnfStyle w:val="000000100000" w:firstRow="0" w:lastRow="0" w:firstColumn="0" w:lastColumn="0" w:oddVBand="0" w:evenVBand="0" w:oddHBand="1" w:evenHBand="0" w:firstRowFirstColumn="0" w:firstRowLastColumn="0" w:lastRowFirstColumn="0" w:lastRowLastColumn="0"/>
              <w:rPr>
                <w:bCs/>
                <w:color w:val="auto"/>
                <w:sz w:val="21"/>
                <w:szCs w:val="21"/>
              </w:rPr>
            </w:pPr>
          </w:p>
          <w:p w14:paraId="29C41974" w14:textId="77777777" w:rsidR="00575CDF" w:rsidRPr="00C801A6" w:rsidRDefault="00575CDF" w:rsidP="00347FDB">
            <w:pPr>
              <w:spacing w:before="60" w:after="60"/>
              <w:jc w:val="left"/>
              <w:cnfStyle w:val="000000100000" w:firstRow="0" w:lastRow="0" w:firstColumn="0" w:lastColumn="0" w:oddVBand="0" w:evenVBand="0" w:oddHBand="1" w:evenHBand="0" w:firstRowFirstColumn="0" w:firstRowLastColumn="0" w:lastRowFirstColumn="0" w:lastRowLastColumn="0"/>
              <w:rPr>
                <w:bCs/>
                <w:color w:val="auto"/>
                <w:sz w:val="21"/>
                <w:szCs w:val="21"/>
              </w:rPr>
            </w:pPr>
            <w:r w:rsidRPr="00C801A6">
              <w:rPr>
                <w:bCs/>
                <w:color w:val="auto"/>
                <w:sz w:val="21"/>
                <w:szCs w:val="21"/>
              </w:rPr>
              <w:t>Néant</w:t>
            </w:r>
          </w:p>
        </w:tc>
      </w:tr>
      <w:tr w:rsidR="00C801A6" w:rsidRPr="00C801A6" w14:paraId="72761A6B" w14:textId="77777777" w:rsidTr="00347FDB">
        <w:tc>
          <w:tcPr>
            <w:cnfStyle w:val="001000000000" w:firstRow="0" w:lastRow="0" w:firstColumn="1" w:lastColumn="0" w:oddVBand="0" w:evenVBand="0" w:oddHBand="0" w:evenHBand="0" w:firstRowFirstColumn="0" w:firstRowLastColumn="0" w:lastRowFirstColumn="0" w:lastRowLastColumn="0"/>
            <w:tcW w:w="3022" w:type="dxa"/>
            <w:shd w:val="clear" w:color="auto" w:fill="FFFFFF" w:themeFill="background1"/>
          </w:tcPr>
          <w:p w14:paraId="2A6ADE36" w14:textId="77777777" w:rsidR="00575CDF" w:rsidRPr="00C801A6" w:rsidRDefault="00575CDF" w:rsidP="00347FDB">
            <w:pPr>
              <w:spacing w:before="60" w:after="60"/>
              <w:jc w:val="left"/>
              <w:rPr>
                <w:b w:val="0"/>
                <w:color w:val="auto"/>
                <w:sz w:val="21"/>
                <w:szCs w:val="21"/>
              </w:rPr>
            </w:pPr>
            <w:r w:rsidRPr="00C801A6">
              <w:rPr>
                <w:b w:val="0"/>
                <w:color w:val="auto"/>
                <w:sz w:val="21"/>
                <w:szCs w:val="21"/>
              </w:rPr>
              <w:t xml:space="preserve">En matière de gestion des pollutions : </w:t>
            </w:r>
          </w:p>
          <w:p w14:paraId="60DB8266" w14:textId="77777777" w:rsidR="00575CDF" w:rsidRPr="00C801A6" w:rsidRDefault="00575CDF" w:rsidP="00347FDB">
            <w:pPr>
              <w:spacing w:before="60" w:after="60"/>
              <w:jc w:val="left"/>
              <w:rPr>
                <w:b w:val="0"/>
                <w:color w:val="auto"/>
                <w:sz w:val="21"/>
                <w:szCs w:val="21"/>
              </w:rPr>
            </w:pPr>
            <w:r w:rsidRPr="00C801A6">
              <w:rPr>
                <w:b w:val="0"/>
                <w:color w:val="auto"/>
                <w:sz w:val="21"/>
                <w:szCs w:val="21"/>
              </w:rPr>
              <w:t>4. Nécessité de préparer un plan d’actions de lutte contre les dangers</w:t>
            </w:r>
          </w:p>
          <w:p w14:paraId="60267984" w14:textId="77777777" w:rsidR="00575CDF" w:rsidRPr="00C801A6" w:rsidRDefault="00575CDF" w:rsidP="00347FDB">
            <w:pPr>
              <w:spacing w:before="60" w:after="60"/>
              <w:jc w:val="left"/>
              <w:rPr>
                <w:b w:val="0"/>
                <w:color w:val="auto"/>
                <w:sz w:val="21"/>
                <w:szCs w:val="21"/>
              </w:rPr>
            </w:pPr>
            <w:r w:rsidRPr="00C801A6">
              <w:rPr>
                <w:b w:val="0"/>
                <w:color w:val="auto"/>
                <w:sz w:val="21"/>
                <w:szCs w:val="21"/>
              </w:rPr>
              <w:t>5. Obligation d’information les travailleurs et le public sur les substances dangereuses</w:t>
            </w:r>
          </w:p>
          <w:p w14:paraId="3F109D76" w14:textId="77777777" w:rsidR="00575CDF" w:rsidRPr="00C801A6" w:rsidRDefault="00575CDF" w:rsidP="00347FDB">
            <w:pPr>
              <w:spacing w:before="60" w:after="60"/>
              <w:jc w:val="left"/>
              <w:rPr>
                <w:b w:val="0"/>
                <w:color w:val="auto"/>
                <w:sz w:val="21"/>
                <w:szCs w:val="21"/>
              </w:rPr>
            </w:pPr>
            <w:r w:rsidRPr="00C801A6">
              <w:rPr>
                <w:b w:val="0"/>
                <w:color w:val="auto"/>
                <w:sz w:val="21"/>
                <w:szCs w:val="21"/>
              </w:rPr>
              <w:t>6. Préconisation d’élimination des déchets dangereux</w:t>
            </w:r>
          </w:p>
          <w:p w14:paraId="7B758FE8" w14:textId="77777777" w:rsidR="00575CDF" w:rsidRPr="00C801A6" w:rsidRDefault="00575CDF" w:rsidP="00347FDB">
            <w:pPr>
              <w:spacing w:before="60" w:after="60"/>
              <w:jc w:val="left"/>
              <w:rPr>
                <w:b w:val="0"/>
                <w:color w:val="auto"/>
                <w:sz w:val="21"/>
                <w:szCs w:val="21"/>
              </w:rPr>
            </w:pPr>
            <w:r w:rsidRPr="00C801A6">
              <w:rPr>
                <w:b w:val="0"/>
                <w:color w:val="auto"/>
                <w:sz w:val="21"/>
                <w:szCs w:val="21"/>
              </w:rPr>
              <w:t>7. Définition des produits chimiques et des substances dangereuses</w:t>
            </w:r>
          </w:p>
          <w:p w14:paraId="681EA187" w14:textId="77777777" w:rsidR="00575CDF" w:rsidRPr="00C801A6" w:rsidRDefault="00575CDF" w:rsidP="00347FDB">
            <w:pPr>
              <w:spacing w:before="60" w:after="60"/>
              <w:jc w:val="left"/>
              <w:rPr>
                <w:b w:val="0"/>
                <w:color w:val="auto"/>
                <w:sz w:val="21"/>
                <w:szCs w:val="21"/>
              </w:rPr>
            </w:pPr>
            <w:r w:rsidRPr="00C801A6">
              <w:rPr>
                <w:b w:val="0"/>
                <w:color w:val="auto"/>
                <w:sz w:val="21"/>
                <w:szCs w:val="21"/>
              </w:rPr>
              <w:t>8. Obligation de minimiser et de contrôler le rejet et l’utilisation de substances dangereuses</w:t>
            </w:r>
          </w:p>
          <w:p w14:paraId="7A27A7C2" w14:textId="77777777" w:rsidR="00575CDF" w:rsidRPr="00C801A6" w:rsidRDefault="00575CDF" w:rsidP="00347FDB">
            <w:pPr>
              <w:spacing w:before="60" w:after="60"/>
              <w:jc w:val="left"/>
              <w:rPr>
                <w:b w:val="0"/>
                <w:color w:val="auto"/>
                <w:sz w:val="21"/>
                <w:szCs w:val="21"/>
              </w:rPr>
            </w:pPr>
            <w:r w:rsidRPr="00C801A6">
              <w:rPr>
                <w:b w:val="0"/>
                <w:color w:val="auto"/>
                <w:sz w:val="21"/>
                <w:szCs w:val="21"/>
              </w:rPr>
              <w:t>9. En matière de gestion des pesticides, réalisation de campagne de sensibilisation des usagers sur les produits pesticides et dérivés, et conditionnement et emballages des produits</w:t>
            </w:r>
          </w:p>
        </w:tc>
        <w:tc>
          <w:tcPr>
            <w:tcW w:w="3022" w:type="dxa"/>
            <w:shd w:val="clear" w:color="auto" w:fill="FFFFFF" w:themeFill="background1"/>
          </w:tcPr>
          <w:p w14:paraId="5E5BB702" w14:textId="77777777" w:rsidR="00575CDF" w:rsidRPr="00C801A6" w:rsidRDefault="00575CDF" w:rsidP="00347FDB">
            <w:pPr>
              <w:spacing w:before="60" w:after="60"/>
              <w:jc w:val="left"/>
              <w:cnfStyle w:val="000000000000" w:firstRow="0" w:lastRow="0" w:firstColumn="0" w:lastColumn="0" w:oddVBand="0" w:evenVBand="0" w:oddHBand="0" w:evenHBand="0" w:firstRowFirstColumn="0" w:firstRowLastColumn="0" w:lastRowFirstColumn="0" w:lastRowLastColumn="0"/>
              <w:rPr>
                <w:bCs/>
                <w:color w:val="auto"/>
                <w:sz w:val="21"/>
                <w:szCs w:val="21"/>
              </w:rPr>
            </w:pPr>
          </w:p>
          <w:p w14:paraId="7F88B98A" w14:textId="77777777" w:rsidR="00575CDF" w:rsidRPr="00C801A6" w:rsidRDefault="00575CDF" w:rsidP="00347FDB">
            <w:pPr>
              <w:spacing w:before="60" w:after="60"/>
              <w:jc w:val="left"/>
              <w:cnfStyle w:val="000000000000" w:firstRow="0" w:lastRow="0" w:firstColumn="0" w:lastColumn="0" w:oddVBand="0" w:evenVBand="0" w:oddHBand="0" w:evenHBand="0" w:firstRowFirstColumn="0" w:firstRowLastColumn="0" w:lastRowFirstColumn="0" w:lastRowLastColumn="0"/>
              <w:rPr>
                <w:bCs/>
                <w:color w:val="auto"/>
                <w:sz w:val="21"/>
                <w:szCs w:val="21"/>
              </w:rPr>
            </w:pPr>
          </w:p>
          <w:p w14:paraId="3B42DFF7" w14:textId="77777777" w:rsidR="00575CDF" w:rsidRPr="00C801A6" w:rsidRDefault="00575CDF" w:rsidP="00347FDB">
            <w:pPr>
              <w:spacing w:before="60" w:after="60"/>
              <w:jc w:val="left"/>
              <w:cnfStyle w:val="000000000000" w:firstRow="0" w:lastRow="0" w:firstColumn="0" w:lastColumn="0" w:oddVBand="0" w:evenVBand="0" w:oddHBand="0" w:evenHBand="0" w:firstRowFirstColumn="0" w:firstRowLastColumn="0" w:lastRowFirstColumn="0" w:lastRowLastColumn="0"/>
              <w:rPr>
                <w:bCs/>
                <w:color w:val="auto"/>
                <w:sz w:val="21"/>
                <w:szCs w:val="21"/>
              </w:rPr>
            </w:pPr>
            <w:r w:rsidRPr="00C801A6">
              <w:rPr>
                <w:bCs/>
                <w:color w:val="auto"/>
                <w:sz w:val="21"/>
                <w:szCs w:val="21"/>
              </w:rPr>
              <w:t>3. Définition de la pollution atmosphérique</w:t>
            </w:r>
          </w:p>
          <w:p w14:paraId="0F96D1E3" w14:textId="77777777" w:rsidR="00575CDF" w:rsidRPr="00C801A6" w:rsidRDefault="00575CDF" w:rsidP="00347FDB">
            <w:pPr>
              <w:spacing w:before="60" w:after="60"/>
              <w:jc w:val="left"/>
              <w:cnfStyle w:val="000000000000" w:firstRow="0" w:lastRow="0" w:firstColumn="0" w:lastColumn="0" w:oddVBand="0" w:evenVBand="0" w:oddHBand="0" w:evenHBand="0" w:firstRowFirstColumn="0" w:firstRowLastColumn="0" w:lastRowFirstColumn="0" w:lastRowLastColumn="0"/>
              <w:rPr>
                <w:bCs/>
                <w:color w:val="auto"/>
                <w:sz w:val="21"/>
                <w:szCs w:val="21"/>
              </w:rPr>
            </w:pPr>
            <w:r w:rsidRPr="00C801A6">
              <w:rPr>
                <w:bCs/>
                <w:color w:val="auto"/>
                <w:sz w:val="21"/>
                <w:szCs w:val="21"/>
              </w:rPr>
              <w:t>4. Définition des produits dangereux</w:t>
            </w:r>
          </w:p>
          <w:p w14:paraId="27FEAC10" w14:textId="77777777" w:rsidR="00575CDF" w:rsidRPr="00C801A6" w:rsidRDefault="00575CDF" w:rsidP="00347FDB">
            <w:pPr>
              <w:spacing w:before="60" w:after="60"/>
              <w:jc w:val="left"/>
              <w:cnfStyle w:val="000000000000" w:firstRow="0" w:lastRow="0" w:firstColumn="0" w:lastColumn="0" w:oddVBand="0" w:evenVBand="0" w:oddHBand="0" w:evenHBand="0" w:firstRowFirstColumn="0" w:firstRowLastColumn="0" w:lastRowFirstColumn="0" w:lastRowLastColumn="0"/>
              <w:rPr>
                <w:bCs/>
                <w:color w:val="auto"/>
                <w:sz w:val="21"/>
                <w:szCs w:val="21"/>
              </w:rPr>
            </w:pPr>
            <w:r w:rsidRPr="00C801A6">
              <w:rPr>
                <w:bCs/>
                <w:color w:val="auto"/>
                <w:sz w:val="21"/>
                <w:szCs w:val="21"/>
              </w:rPr>
              <w:t>5. Concept d’hiérarchie d’atténuation des risques de dangers</w:t>
            </w:r>
          </w:p>
          <w:p w14:paraId="701B96EF" w14:textId="77777777" w:rsidR="00575CDF" w:rsidRPr="00C801A6" w:rsidRDefault="00575CDF" w:rsidP="00347FDB">
            <w:pPr>
              <w:spacing w:before="60" w:after="60"/>
              <w:jc w:val="left"/>
              <w:cnfStyle w:val="000000000000" w:firstRow="0" w:lastRow="0" w:firstColumn="0" w:lastColumn="0" w:oddVBand="0" w:evenVBand="0" w:oddHBand="0" w:evenHBand="0" w:firstRowFirstColumn="0" w:firstRowLastColumn="0" w:lastRowFirstColumn="0" w:lastRowLastColumn="0"/>
              <w:rPr>
                <w:bCs/>
                <w:color w:val="auto"/>
                <w:sz w:val="21"/>
                <w:szCs w:val="21"/>
              </w:rPr>
            </w:pPr>
            <w:r w:rsidRPr="00C801A6">
              <w:rPr>
                <w:bCs/>
                <w:color w:val="auto"/>
                <w:sz w:val="21"/>
                <w:szCs w:val="21"/>
              </w:rPr>
              <w:t>6. Nécessité de classer les produits dangereux</w:t>
            </w:r>
          </w:p>
        </w:tc>
        <w:tc>
          <w:tcPr>
            <w:tcW w:w="3023" w:type="dxa"/>
            <w:shd w:val="clear" w:color="auto" w:fill="FFFFFF" w:themeFill="background1"/>
          </w:tcPr>
          <w:p w14:paraId="6D7A46B5" w14:textId="77777777" w:rsidR="00575CDF" w:rsidRPr="00C801A6" w:rsidRDefault="00575CDF" w:rsidP="00347FDB">
            <w:pPr>
              <w:spacing w:before="60" w:after="60"/>
              <w:jc w:val="left"/>
              <w:cnfStyle w:val="000000000000" w:firstRow="0" w:lastRow="0" w:firstColumn="0" w:lastColumn="0" w:oddVBand="0" w:evenVBand="0" w:oddHBand="0" w:evenHBand="0" w:firstRowFirstColumn="0" w:firstRowLastColumn="0" w:lastRowFirstColumn="0" w:lastRowLastColumn="0"/>
              <w:rPr>
                <w:bCs/>
                <w:color w:val="auto"/>
                <w:sz w:val="21"/>
                <w:szCs w:val="21"/>
              </w:rPr>
            </w:pPr>
          </w:p>
          <w:p w14:paraId="06F77F93" w14:textId="77777777" w:rsidR="00575CDF" w:rsidRPr="00C801A6" w:rsidRDefault="00575CDF" w:rsidP="00347FDB">
            <w:pPr>
              <w:spacing w:before="60" w:after="60"/>
              <w:jc w:val="left"/>
              <w:cnfStyle w:val="000000000000" w:firstRow="0" w:lastRow="0" w:firstColumn="0" w:lastColumn="0" w:oddVBand="0" w:evenVBand="0" w:oddHBand="0" w:evenHBand="0" w:firstRowFirstColumn="0" w:firstRowLastColumn="0" w:lastRowFirstColumn="0" w:lastRowLastColumn="0"/>
              <w:rPr>
                <w:bCs/>
                <w:color w:val="auto"/>
                <w:sz w:val="21"/>
                <w:szCs w:val="21"/>
              </w:rPr>
            </w:pPr>
          </w:p>
          <w:p w14:paraId="5FE5DA94" w14:textId="77777777" w:rsidR="00575CDF" w:rsidRPr="00C801A6" w:rsidRDefault="00575CDF" w:rsidP="00347FDB">
            <w:pPr>
              <w:spacing w:before="60" w:after="60"/>
              <w:jc w:val="left"/>
              <w:cnfStyle w:val="000000000000" w:firstRow="0" w:lastRow="0" w:firstColumn="0" w:lastColumn="0" w:oddVBand="0" w:evenVBand="0" w:oddHBand="0" w:evenHBand="0" w:firstRowFirstColumn="0" w:firstRowLastColumn="0" w:lastRowFirstColumn="0" w:lastRowLastColumn="0"/>
              <w:rPr>
                <w:bCs/>
                <w:color w:val="auto"/>
                <w:sz w:val="21"/>
                <w:szCs w:val="21"/>
              </w:rPr>
            </w:pPr>
            <w:r w:rsidRPr="00C801A6">
              <w:rPr>
                <w:bCs/>
                <w:color w:val="auto"/>
                <w:sz w:val="21"/>
                <w:szCs w:val="21"/>
              </w:rPr>
              <w:t>1. Obligation des mesures spécifique pour une utilisation rationnelle des matières premières</w:t>
            </w:r>
          </w:p>
          <w:p w14:paraId="0FFF581B" w14:textId="77777777" w:rsidR="00575CDF" w:rsidRPr="00C801A6" w:rsidRDefault="00575CDF" w:rsidP="00347FDB">
            <w:pPr>
              <w:spacing w:before="60" w:after="60"/>
              <w:jc w:val="left"/>
              <w:cnfStyle w:val="000000000000" w:firstRow="0" w:lastRow="0" w:firstColumn="0" w:lastColumn="0" w:oddVBand="0" w:evenVBand="0" w:oddHBand="0" w:evenHBand="0" w:firstRowFirstColumn="0" w:firstRowLastColumn="0" w:lastRowFirstColumn="0" w:lastRowLastColumn="0"/>
              <w:rPr>
                <w:bCs/>
                <w:color w:val="auto"/>
                <w:sz w:val="21"/>
                <w:szCs w:val="21"/>
              </w:rPr>
            </w:pPr>
            <w:r w:rsidRPr="00C801A6">
              <w:rPr>
                <w:bCs/>
                <w:color w:val="auto"/>
                <w:sz w:val="21"/>
                <w:szCs w:val="21"/>
              </w:rPr>
              <w:t>2. Nécessité de collecter de données sur la pollution de l’air</w:t>
            </w:r>
          </w:p>
          <w:p w14:paraId="51E3AC58" w14:textId="77777777" w:rsidR="00575CDF" w:rsidRPr="00C801A6" w:rsidRDefault="00575CDF" w:rsidP="00347FDB">
            <w:pPr>
              <w:spacing w:before="60" w:after="60"/>
              <w:jc w:val="left"/>
              <w:cnfStyle w:val="000000000000" w:firstRow="0" w:lastRow="0" w:firstColumn="0" w:lastColumn="0" w:oddVBand="0" w:evenVBand="0" w:oddHBand="0" w:evenHBand="0" w:firstRowFirstColumn="0" w:firstRowLastColumn="0" w:lastRowFirstColumn="0" w:lastRowLastColumn="0"/>
              <w:rPr>
                <w:bCs/>
                <w:color w:val="auto"/>
                <w:sz w:val="21"/>
                <w:szCs w:val="21"/>
              </w:rPr>
            </w:pPr>
            <w:r w:rsidRPr="00C801A6">
              <w:rPr>
                <w:bCs/>
                <w:color w:val="auto"/>
                <w:sz w:val="21"/>
                <w:szCs w:val="21"/>
              </w:rPr>
              <w:t>3. Nécessité de l‘estimation mathématique de la pollution atmosphérique</w:t>
            </w:r>
          </w:p>
          <w:p w14:paraId="26579013" w14:textId="77777777" w:rsidR="00575CDF" w:rsidRPr="00C801A6" w:rsidRDefault="00575CDF" w:rsidP="00347FDB">
            <w:pPr>
              <w:spacing w:before="60" w:after="60"/>
              <w:jc w:val="left"/>
              <w:cnfStyle w:val="000000000000" w:firstRow="0" w:lastRow="0" w:firstColumn="0" w:lastColumn="0" w:oddVBand="0" w:evenVBand="0" w:oddHBand="0" w:evenHBand="0" w:firstRowFirstColumn="0" w:firstRowLastColumn="0" w:lastRowFirstColumn="0" w:lastRowLastColumn="0"/>
              <w:rPr>
                <w:bCs/>
                <w:color w:val="auto"/>
                <w:sz w:val="21"/>
                <w:szCs w:val="21"/>
              </w:rPr>
            </w:pPr>
            <w:r w:rsidRPr="00C801A6">
              <w:rPr>
                <w:bCs/>
                <w:color w:val="auto"/>
                <w:sz w:val="21"/>
                <w:szCs w:val="21"/>
              </w:rPr>
              <w:t>4. Différence relative à la conjoncture de la réalisation de l’évaluation quantitative des émissions gazeuses</w:t>
            </w:r>
          </w:p>
          <w:p w14:paraId="083EF628" w14:textId="77777777" w:rsidR="00575CDF" w:rsidRPr="00C801A6" w:rsidRDefault="00575CDF" w:rsidP="00347FDB">
            <w:pPr>
              <w:spacing w:before="60" w:after="60"/>
              <w:jc w:val="left"/>
              <w:cnfStyle w:val="000000000000" w:firstRow="0" w:lastRow="0" w:firstColumn="0" w:lastColumn="0" w:oddVBand="0" w:evenVBand="0" w:oddHBand="0" w:evenHBand="0" w:firstRowFirstColumn="0" w:firstRowLastColumn="0" w:lastRowFirstColumn="0" w:lastRowLastColumn="0"/>
              <w:rPr>
                <w:bCs/>
                <w:color w:val="auto"/>
                <w:sz w:val="21"/>
                <w:szCs w:val="21"/>
              </w:rPr>
            </w:pPr>
            <w:r w:rsidRPr="00C801A6">
              <w:rPr>
                <w:bCs/>
                <w:color w:val="auto"/>
                <w:sz w:val="21"/>
                <w:szCs w:val="21"/>
              </w:rPr>
              <w:t xml:space="preserve">5. Approche et procédures spécifiques d’analyse des dangers </w:t>
            </w:r>
          </w:p>
        </w:tc>
      </w:tr>
    </w:tbl>
    <w:p w14:paraId="37E07C6C" w14:textId="77777777" w:rsidR="00575CDF" w:rsidRPr="00C801A6" w:rsidRDefault="00575CDF" w:rsidP="003042DB">
      <w:pPr>
        <w:pStyle w:val="Heading4"/>
        <w:rPr>
          <w:rFonts w:asciiTheme="minorHAnsi" w:eastAsiaTheme="minorEastAsia" w:hAnsiTheme="minorHAnsi" w:cstheme="minorBidi"/>
          <w:color w:val="auto"/>
          <w:lang w:val="fr"/>
        </w:rPr>
      </w:pPr>
      <w:bookmarkStart w:id="506" w:name="_Toc230298785"/>
      <w:r w:rsidRPr="00C801A6">
        <w:rPr>
          <w:rFonts w:eastAsia="Arial"/>
          <w:color w:val="auto"/>
          <w:lang w:val="fr"/>
        </w:rPr>
        <w:t>Application de la NES 3 par le Projet</w:t>
      </w:r>
      <w:bookmarkEnd w:id="506"/>
      <w:r w:rsidRPr="00C801A6">
        <w:rPr>
          <w:rFonts w:eastAsia="Arial"/>
          <w:color w:val="auto"/>
          <w:lang w:val="fr"/>
        </w:rPr>
        <w:t xml:space="preserve"> </w:t>
      </w:r>
    </w:p>
    <w:p w14:paraId="3A121752" w14:textId="77777777" w:rsidR="00575CDF" w:rsidRPr="00C801A6" w:rsidRDefault="00575CDF" w:rsidP="00575CDF">
      <w:pPr>
        <w:pStyle w:val="justify"/>
        <w:spacing w:before="0" w:beforeAutospacing="0" w:after="160" w:afterAutospacing="0" w:line="276" w:lineRule="auto"/>
        <w:jc w:val="both"/>
        <w:rPr>
          <w:rFonts w:ascii="Times New Roman" w:hAnsi="Times New Roman"/>
          <w:sz w:val="24"/>
          <w:szCs w:val="22"/>
          <w:lang w:val="fr"/>
        </w:rPr>
      </w:pPr>
      <w:r w:rsidRPr="00C801A6">
        <w:rPr>
          <w:rFonts w:ascii="Times New Roman" w:hAnsi="Times New Roman"/>
          <w:sz w:val="24"/>
          <w:szCs w:val="22"/>
          <w:lang w:val="fr"/>
        </w:rPr>
        <w:t>La NES3 sur la gestion des pollutions s’appliquera à l’ensemble du Projet routier. Elle s’appliquera à la fois au niveau de la base-vie, au niveau du front de chantier et dans les sites d’extraction.</w:t>
      </w:r>
    </w:p>
    <w:p w14:paraId="631587B1" w14:textId="77777777" w:rsidR="00575CDF" w:rsidRPr="00C801A6" w:rsidRDefault="00575CDF" w:rsidP="00575CDF">
      <w:pPr>
        <w:pStyle w:val="justify"/>
        <w:spacing w:before="0" w:beforeAutospacing="0" w:after="160" w:afterAutospacing="0" w:line="276" w:lineRule="auto"/>
        <w:jc w:val="both"/>
        <w:rPr>
          <w:rFonts w:ascii="Times New Roman" w:hAnsi="Times New Roman"/>
          <w:sz w:val="24"/>
          <w:szCs w:val="22"/>
          <w:lang w:val="fr"/>
        </w:rPr>
      </w:pPr>
      <w:r w:rsidRPr="00C801A6">
        <w:rPr>
          <w:rFonts w:ascii="Times New Roman" w:hAnsi="Times New Roman"/>
          <w:sz w:val="24"/>
          <w:szCs w:val="22"/>
          <w:lang w:val="fr"/>
        </w:rPr>
        <w:t>A noter que, étant donné que l’entreprise de travaux utilisera des huiles lubrifiantes et autres, les dispositions de la loi 99.021 s’appliqueront aussi.</w:t>
      </w:r>
    </w:p>
    <w:p w14:paraId="4C038883" w14:textId="77777777" w:rsidR="00575CDF" w:rsidRPr="00C801A6" w:rsidRDefault="00575CDF" w:rsidP="00C65572">
      <w:pPr>
        <w:pStyle w:val="Heading3"/>
        <w:rPr>
          <w:lang w:val="en-US"/>
        </w:rPr>
      </w:pPr>
      <w:bookmarkStart w:id="507" w:name="_Toc106320333"/>
      <w:bookmarkStart w:id="508" w:name="_Toc230426039"/>
      <w:r w:rsidRPr="1949FB49">
        <w:rPr>
          <w:rFonts w:eastAsia="Arial"/>
          <w:lang w:val="en-US"/>
        </w:rPr>
        <w:t>Santé et sécurité des communautés</w:t>
      </w:r>
      <w:bookmarkEnd w:id="507"/>
      <w:bookmarkEnd w:id="508"/>
    </w:p>
    <w:p w14:paraId="3E98E30E" w14:textId="7A5E7433" w:rsidR="00575CDF" w:rsidRPr="00DD217E" w:rsidRDefault="00575CDF" w:rsidP="1949FB49">
      <w:pPr>
        <w:pStyle w:val="Heading4"/>
        <w:rPr>
          <w:color w:val="auto"/>
        </w:rPr>
      </w:pPr>
      <w:bookmarkStart w:id="509" w:name="_Toc230298786"/>
      <w:r w:rsidRPr="00DD217E">
        <w:rPr>
          <w:rFonts w:eastAsia="Arial"/>
          <w:color w:val="auto"/>
        </w:rPr>
        <w:t>Cadre juridique national régissant la santé et la sécurité</w:t>
      </w:r>
      <w:bookmarkEnd w:id="509"/>
    </w:p>
    <w:p w14:paraId="0A4B6548" w14:textId="4289EB72" w:rsidR="00575CDF" w:rsidRPr="00C801A6" w:rsidRDefault="00575CDF" w:rsidP="00575CDF">
      <w:pPr>
        <w:rPr>
          <w:rFonts w:eastAsia="Calibri"/>
          <w:color w:val="auto"/>
          <w:szCs w:val="24"/>
        </w:rPr>
      </w:pPr>
      <w:r w:rsidRPr="00C801A6">
        <w:rPr>
          <w:rFonts w:eastAsia="Calibri"/>
          <w:color w:val="auto"/>
          <w:szCs w:val="24"/>
        </w:rPr>
        <w:t>Selon les dispositions de la loi n</w:t>
      </w:r>
      <w:r w:rsidR="00D84890">
        <w:rPr>
          <w:rFonts w:eastAsia="Calibri"/>
          <w:color w:val="auto"/>
          <w:szCs w:val="24"/>
        </w:rPr>
        <w:t xml:space="preserve">°94-027 du 17 novembre 1994 </w:t>
      </w:r>
      <w:r w:rsidRPr="00C801A6">
        <w:rPr>
          <w:rFonts w:eastAsia="Calibri"/>
          <w:color w:val="auto"/>
          <w:szCs w:val="24"/>
        </w:rPr>
        <w:t>portant sur le Code</w:t>
      </w:r>
      <w:r w:rsidR="00D84890">
        <w:rPr>
          <w:rFonts w:eastAsia="Calibri"/>
          <w:color w:val="auto"/>
          <w:szCs w:val="24"/>
        </w:rPr>
        <w:t xml:space="preserve"> d’Hygiène, de Sécurité et de l’environnement du Travail</w:t>
      </w:r>
      <w:r w:rsidRPr="00C801A6">
        <w:rPr>
          <w:rFonts w:eastAsia="Calibri"/>
          <w:color w:val="auto"/>
          <w:szCs w:val="24"/>
        </w:rPr>
        <w:t>, il est du devoir et de l’obligation de l’employeur</w:t>
      </w:r>
      <w:r w:rsidR="00D84890">
        <w:rPr>
          <w:rFonts w:eastAsia="Calibri"/>
          <w:color w:val="auto"/>
          <w:szCs w:val="24"/>
        </w:rPr>
        <w:t xml:space="preserve"> de fournir des équipements et les habillements adéquats pour protéger collectivement et individuellement la vie et la santé des travailleurs contre tous les risques inhérents au poste de travail. Toute personne physique ou morale exerçant une activité de quelque nature que ce soit </w:t>
      </w:r>
      <w:r w:rsidR="00D84890">
        <w:rPr>
          <w:rFonts w:eastAsia="Calibri"/>
          <w:color w:val="auto"/>
          <w:szCs w:val="24"/>
        </w:rPr>
        <w:lastRenderedPageBreak/>
        <w:t>et employant un ou plusieurs travailleurs est tenu de leur assurer des prestations médico-sanitaires.</w:t>
      </w:r>
    </w:p>
    <w:p w14:paraId="097942CB" w14:textId="77777777" w:rsidR="00575CDF" w:rsidRPr="00C801A6" w:rsidRDefault="00575CDF" w:rsidP="00575CDF">
      <w:pPr>
        <w:rPr>
          <w:rFonts w:eastAsia="Calibri"/>
          <w:color w:val="auto"/>
          <w:szCs w:val="24"/>
        </w:rPr>
      </w:pPr>
      <w:r w:rsidRPr="00C801A6">
        <w:rPr>
          <w:rFonts w:eastAsia="Calibri"/>
          <w:color w:val="auto"/>
          <w:szCs w:val="24"/>
        </w:rPr>
        <w:t>La législation nationale est muette en ce qui concerne la sécurité des communautés.</w:t>
      </w:r>
    </w:p>
    <w:p w14:paraId="0C040BBD" w14:textId="77777777" w:rsidR="00575CDF" w:rsidRPr="00C801A6" w:rsidRDefault="00575CDF" w:rsidP="003042DB">
      <w:pPr>
        <w:pStyle w:val="Heading4"/>
        <w:rPr>
          <w:color w:val="auto"/>
        </w:rPr>
      </w:pPr>
      <w:bookmarkStart w:id="510" w:name="_Toc230298787"/>
      <w:r w:rsidRPr="00C801A6">
        <w:rPr>
          <w:color w:val="auto"/>
        </w:rPr>
        <w:t>Norme environnementale et sociale n°4 : Santé et sécurité des communautés</w:t>
      </w:r>
      <w:bookmarkEnd w:id="510"/>
      <w:r w:rsidRPr="00C801A6">
        <w:rPr>
          <w:color w:val="auto"/>
        </w:rPr>
        <w:t xml:space="preserve"> </w:t>
      </w:r>
    </w:p>
    <w:p w14:paraId="124308A9" w14:textId="77777777" w:rsidR="00575CDF" w:rsidRPr="00C801A6" w:rsidRDefault="00575CDF" w:rsidP="00575CDF">
      <w:pPr>
        <w:pStyle w:val="justify"/>
        <w:shd w:val="clear" w:color="auto" w:fill="FFFFFF"/>
        <w:spacing w:before="0" w:beforeAutospacing="0" w:after="160" w:afterAutospacing="0" w:line="276" w:lineRule="auto"/>
        <w:jc w:val="both"/>
        <w:rPr>
          <w:rFonts w:ascii="Times New Roman" w:hAnsi="Times New Roman"/>
          <w:sz w:val="24"/>
          <w:u w:val="single"/>
        </w:rPr>
      </w:pPr>
      <w:r w:rsidRPr="00C801A6">
        <w:rPr>
          <w:rFonts w:ascii="Times New Roman" w:hAnsi="Times New Roman"/>
          <w:sz w:val="24"/>
          <w:u w:val="single"/>
        </w:rPr>
        <w:t>Principe général de la NES 4</w:t>
      </w:r>
    </w:p>
    <w:p w14:paraId="30AFFB4F" w14:textId="795BE5CE" w:rsidR="00575CDF" w:rsidRPr="00C801A6" w:rsidRDefault="00575CDF" w:rsidP="00575CDF">
      <w:pPr>
        <w:pStyle w:val="justify"/>
        <w:shd w:val="clear" w:color="auto" w:fill="FFFFFF"/>
        <w:spacing w:before="0" w:beforeAutospacing="0" w:after="240" w:afterAutospacing="0" w:line="276" w:lineRule="auto"/>
        <w:jc w:val="both"/>
        <w:rPr>
          <w:rFonts w:ascii="Times New Roman" w:hAnsi="Times New Roman"/>
          <w:sz w:val="24"/>
        </w:rPr>
      </w:pPr>
      <w:r w:rsidRPr="00C801A6">
        <w:rPr>
          <w:rFonts w:ascii="Times New Roman" w:hAnsi="Times New Roman"/>
          <w:sz w:val="24"/>
        </w:rPr>
        <w:t xml:space="preserve">La </w:t>
      </w:r>
      <w:r w:rsidR="00EF6701">
        <w:rPr>
          <w:rFonts w:ascii="Times New Roman" w:hAnsi="Times New Roman"/>
          <w:sz w:val="24"/>
        </w:rPr>
        <w:t>NES</w:t>
      </w:r>
      <w:r w:rsidRPr="00C801A6">
        <w:rPr>
          <w:rFonts w:ascii="Times New Roman" w:hAnsi="Times New Roman"/>
          <w:sz w:val="24"/>
        </w:rPr>
        <w:t>4 reconnaît le fait que les activités, les équipements et les infrastructures associés à un projet peuvent accroître les risques et les impacts auxquels sont exposées les communautés. En outre, les communautés qui subissent déjà les effets du changement climatique peuvent observer une accélération ou une intensification de ces effets par suite des activités du projet.</w:t>
      </w:r>
    </w:p>
    <w:p w14:paraId="6A48DD37" w14:textId="77777777" w:rsidR="00575CDF" w:rsidRPr="00C801A6" w:rsidRDefault="00575CDF" w:rsidP="00575CDF">
      <w:pPr>
        <w:pStyle w:val="justify"/>
        <w:shd w:val="clear" w:color="auto" w:fill="FFFFFF"/>
        <w:spacing w:before="0" w:beforeAutospacing="0" w:after="160" w:afterAutospacing="0" w:line="276" w:lineRule="auto"/>
        <w:jc w:val="both"/>
        <w:rPr>
          <w:rFonts w:ascii="Times New Roman" w:hAnsi="Times New Roman"/>
          <w:sz w:val="24"/>
          <w:u w:val="single"/>
        </w:rPr>
      </w:pPr>
      <w:r w:rsidRPr="00C801A6">
        <w:rPr>
          <w:rFonts w:ascii="Times New Roman" w:hAnsi="Times New Roman"/>
          <w:sz w:val="24"/>
          <w:u w:val="single"/>
        </w:rPr>
        <w:t>Objectifs de la NES 4</w:t>
      </w:r>
    </w:p>
    <w:p w14:paraId="085B66D1"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Identifier, évaluer et gérer les risques et les impacts environnementaux et sociaux du projet. Conformément aux NES.</w:t>
      </w:r>
    </w:p>
    <w:p w14:paraId="35841F9E"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Adopter une approche hiérarchique de l’atténuation consistant à : (i) Anticiper et éviter les risques et les impacts ; (ii) Lorsqu’il n’est pas possible de les éviter, minimiser ou atténuer les risques et les impacts à des niveaux acceptables ; (iii) Une fois que les risques et les impacts ont été minimisés, atténués ; et (iv) Lorsque des impacts résiduels significatifs perdurent, il convient de les compenser ou de les contrebalancer, lorsque cela est techniquement et financièrement faisable.</w:t>
      </w:r>
    </w:p>
    <w:p w14:paraId="28BDB303"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Adopter des mesures différenciées de sorte que les effets négatifs n’affectent pas de manière disproportionnée les personnes défavorisées ou vulnérables, et que celles-ci ne soient pas défavorisées dans le partage des bénéfices du développement et des opportunités découlant du projet.</w:t>
      </w:r>
    </w:p>
    <w:p w14:paraId="10893FED"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Utiliser, à l’échelle nationale, les institutions, les systèmes, les lois, les règlements et les procédures environnementaux et sociaux au cours de l’évaluation, la préparation et la mise en œuvre des projets, le cas échéant.</w:t>
      </w:r>
    </w:p>
    <w:p w14:paraId="7C6625A9"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Promouvoir une meilleure performance environnementale et sociale d’une manière qui reconnaisse et renforce les capacités de l’Emprunteur.</w:t>
      </w:r>
    </w:p>
    <w:p w14:paraId="57002942" w14:textId="77777777" w:rsidR="00575CDF" w:rsidRPr="00C801A6" w:rsidRDefault="00575CDF" w:rsidP="00575CDF">
      <w:pPr>
        <w:pStyle w:val="justify"/>
        <w:shd w:val="clear" w:color="auto" w:fill="FFFFFF"/>
        <w:spacing w:before="0" w:beforeAutospacing="0" w:after="160" w:afterAutospacing="0" w:line="276" w:lineRule="auto"/>
        <w:jc w:val="both"/>
        <w:rPr>
          <w:rFonts w:ascii="Times New Roman" w:hAnsi="Times New Roman"/>
          <w:sz w:val="24"/>
          <w:u w:val="single"/>
        </w:rPr>
      </w:pPr>
      <w:r w:rsidRPr="00C801A6">
        <w:rPr>
          <w:rFonts w:ascii="Times New Roman" w:hAnsi="Times New Roman"/>
          <w:sz w:val="24"/>
          <w:u w:val="single"/>
        </w:rPr>
        <w:t xml:space="preserve">Exigences et dispositions de la NES 4 </w:t>
      </w:r>
    </w:p>
    <w:p w14:paraId="3C3BB64C"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Evaluation des risques et impacts du projet sur la santé et la sécurité des communautés affectées tout au long du cycle de vie du projet, y compris celles qui peuvent être vulnérables en raison de leur situation particulière. Pour ce faire :</w:t>
      </w:r>
    </w:p>
    <w:p w14:paraId="59CD5BF9" w14:textId="77777777" w:rsidR="00575CDF" w:rsidRPr="00C801A6" w:rsidRDefault="00575CDF" w:rsidP="00844538">
      <w:pPr>
        <w:pStyle w:val="justify"/>
        <w:numPr>
          <w:ilvl w:val="0"/>
          <w:numId w:val="71"/>
        </w:numPr>
        <w:shd w:val="clear" w:color="auto" w:fill="FFFFFF"/>
        <w:spacing w:before="0" w:beforeAutospacing="0" w:after="60" w:afterAutospacing="0" w:line="276" w:lineRule="auto"/>
        <w:ind w:left="1434" w:hanging="357"/>
        <w:jc w:val="both"/>
        <w:rPr>
          <w:rFonts w:ascii="Times New Roman" w:hAnsi="Times New Roman"/>
          <w:sz w:val="24"/>
        </w:rPr>
      </w:pPr>
      <w:r w:rsidRPr="00C801A6">
        <w:rPr>
          <w:rFonts w:ascii="Times New Roman" w:hAnsi="Times New Roman"/>
          <w:sz w:val="24"/>
        </w:rPr>
        <w:t xml:space="preserve">conception et sécurité des infrastructures et équipements conformes aux normes requises ; </w:t>
      </w:r>
    </w:p>
    <w:p w14:paraId="364E3B8B" w14:textId="77777777" w:rsidR="00575CDF" w:rsidRPr="00C801A6" w:rsidRDefault="00575CDF" w:rsidP="00844538">
      <w:pPr>
        <w:pStyle w:val="justify"/>
        <w:numPr>
          <w:ilvl w:val="0"/>
          <w:numId w:val="71"/>
        </w:numPr>
        <w:shd w:val="clear" w:color="auto" w:fill="FFFFFF"/>
        <w:spacing w:before="0" w:beforeAutospacing="0" w:after="60" w:afterAutospacing="0" w:line="276" w:lineRule="auto"/>
        <w:ind w:left="1434" w:hanging="357"/>
        <w:jc w:val="both"/>
        <w:rPr>
          <w:rFonts w:ascii="Times New Roman" w:hAnsi="Times New Roman"/>
          <w:sz w:val="24"/>
        </w:rPr>
      </w:pPr>
      <w:r w:rsidRPr="00C801A6">
        <w:rPr>
          <w:rFonts w:ascii="Times New Roman" w:hAnsi="Times New Roman"/>
          <w:sz w:val="24"/>
        </w:rPr>
        <w:lastRenderedPageBreak/>
        <w:t xml:space="preserve">mise en œuvre des systèmes de gestion de contrôle de la qualité appropriés pour anticiper et minimiser les risques et les impacts que ces services peuvent avoir sur la santé et la sécurité des communautés ; </w:t>
      </w:r>
    </w:p>
    <w:p w14:paraId="724F2666" w14:textId="558C14D5" w:rsidR="00575CDF" w:rsidRPr="00C801A6" w:rsidRDefault="00575CDF" w:rsidP="00844538">
      <w:pPr>
        <w:pStyle w:val="justify"/>
        <w:numPr>
          <w:ilvl w:val="0"/>
          <w:numId w:val="71"/>
        </w:numPr>
        <w:shd w:val="clear" w:color="auto" w:fill="FFFFFF"/>
        <w:spacing w:before="0" w:beforeAutospacing="0" w:after="60" w:afterAutospacing="0" w:line="276" w:lineRule="auto"/>
        <w:ind w:left="1434" w:hanging="357"/>
        <w:jc w:val="both"/>
        <w:rPr>
          <w:rFonts w:ascii="Times New Roman" w:hAnsi="Times New Roman"/>
          <w:sz w:val="24"/>
        </w:rPr>
      </w:pPr>
      <w:r w:rsidRPr="00C801A6">
        <w:rPr>
          <w:rFonts w:ascii="Times New Roman" w:hAnsi="Times New Roman"/>
          <w:sz w:val="24"/>
        </w:rPr>
        <w:t xml:space="preserve">identification, évaluation et surveillance des </w:t>
      </w:r>
      <w:r w:rsidR="00CE71D9" w:rsidRPr="00C801A6">
        <w:rPr>
          <w:rFonts w:ascii="Times New Roman" w:hAnsi="Times New Roman"/>
          <w:sz w:val="24"/>
        </w:rPr>
        <w:t>risques</w:t>
      </w:r>
      <w:r w:rsidRPr="00C801A6">
        <w:rPr>
          <w:rFonts w:ascii="Times New Roman" w:hAnsi="Times New Roman"/>
          <w:sz w:val="24"/>
        </w:rPr>
        <w:t xml:space="preserve"> liés au trafic et à la sécurité routière pour les travailleurs, les communautés affectées et les usagers de la route tout au long du cycle de vie du projet ; </w:t>
      </w:r>
    </w:p>
    <w:p w14:paraId="61810E44" w14:textId="77777777" w:rsidR="00575CDF" w:rsidRPr="00C801A6" w:rsidRDefault="00575CDF" w:rsidP="00844538">
      <w:pPr>
        <w:pStyle w:val="justify"/>
        <w:numPr>
          <w:ilvl w:val="0"/>
          <w:numId w:val="71"/>
        </w:numPr>
        <w:shd w:val="clear" w:color="auto" w:fill="FFFFFF"/>
        <w:spacing w:before="0" w:beforeAutospacing="0" w:after="60" w:afterAutospacing="0" w:line="276" w:lineRule="auto"/>
        <w:ind w:left="1434" w:hanging="357"/>
        <w:jc w:val="both"/>
        <w:rPr>
          <w:rFonts w:ascii="Times New Roman" w:hAnsi="Times New Roman"/>
          <w:sz w:val="24"/>
        </w:rPr>
      </w:pPr>
      <w:r w:rsidRPr="00C801A6">
        <w:rPr>
          <w:rFonts w:ascii="Times New Roman" w:hAnsi="Times New Roman"/>
          <w:sz w:val="24"/>
        </w:rPr>
        <w:t xml:space="preserve">évaluation des services écosystémiques et mise en œuvre des mesures appropriées ; </w:t>
      </w:r>
    </w:p>
    <w:p w14:paraId="2F0D203E" w14:textId="77777777" w:rsidR="00575CDF" w:rsidRPr="00C801A6" w:rsidRDefault="00575CDF" w:rsidP="00844538">
      <w:pPr>
        <w:pStyle w:val="justify"/>
        <w:numPr>
          <w:ilvl w:val="0"/>
          <w:numId w:val="71"/>
        </w:numPr>
        <w:shd w:val="clear" w:color="auto" w:fill="FFFFFF"/>
        <w:spacing w:before="0" w:beforeAutospacing="0" w:after="60" w:afterAutospacing="0" w:line="276" w:lineRule="auto"/>
        <w:ind w:left="1434" w:hanging="357"/>
        <w:jc w:val="both"/>
        <w:rPr>
          <w:rFonts w:ascii="Times New Roman" w:hAnsi="Times New Roman"/>
          <w:sz w:val="24"/>
        </w:rPr>
      </w:pPr>
      <w:r w:rsidRPr="00C801A6">
        <w:rPr>
          <w:rFonts w:ascii="Times New Roman" w:hAnsi="Times New Roman"/>
          <w:sz w:val="24"/>
        </w:rPr>
        <w:t>évitement ou minimisation du potentiel d’exposition des communautés aux maladies d’origine hydrique, dues à l’eau, associées à l’eau, et aux maladies à transmission vectorielle, et aux maladies transmissibles et non transmissibles pouvant résulter des activités du projet.</w:t>
      </w:r>
    </w:p>
    <w:p w14:paraId="259AC6B0" w14:textId="77777777" w:rsidR="00575CDF" w:rsidRPr="00C801A6" w:rsidRDefault="00575CDF" w:rsidP="00844538">
      <w:pPr>
        <w:pStyle w:val="justify"/>
        <w:numPr>
          <w:ilvl w:val="0"/>
          <w:numId w:val="71"/>
        </w:numPr>
        <w:shd w:val="clear" w:color="auto" w:fill="FFFFFF"/>
        <w:spacing w:before="0" w:beforeAutospacing="0" w:after="160" w:afterAutospacing="0" w:line="276" w:lineRule="auto"/>
        <w:ind w:left="1434" w:hanging="357"/>
        <w:jc w:val="both"/>
        <w:rPr>
          <w:rFonts w:ascii="Times New Roman" w:hAnsi="Times New Roman"/>
          <w:sz w:val="24"/>
        </w:rPr>
      </w:pPr>
      <w:r w:rsidRPr="00C801A6">
        <w:rPr>
          <w:rFonts w:ascii="Times New Roman" w:hAnsi="Times New Roman"/>
          <w:sz w:val="24"/>
        </w:rPr>
        <w:t>identification et mise en œuvre des mesures afin de traiter les situations d’urgence telles les incidents imprévus (incendies, explosions, fuites ou de déversements, etc)</w:t>
      </w:r>
    </w:p>
    <w:p w14:paraId="3DC51173" w14:textId="77777777" w:rsidR="00575CDF" w:rsidRPr="00C801A6" w:rsidRDefault="00575CDF" w:rsidP="00575CDF">
      <w:pPr>
        <w:pStyle w:val="justify"/>
        <w:shd w:val="clear" w:color="auto" w:fill="FFFFFF"/>
        <w:spacing w:before="0" w:beforeAutospacing="0" w:after="240" w:afterAutospacing="0" w:line="276" w:lineRule="auto"/>
        <w:jc w:val="both"/>
        <w:rPr>
          <w:rFonts w:ascii="Times New Roman" w:hAnsi="Times New Roman"/>
          <w:sz w:val="24"/>
        </w:rPr>
      </w:pPr>
      <w:r w:rsidRPr="00C801A6">
        <w:rPr>
          <w:rFonts w:ascii="Times New Roman" w:hAnsi="Times New Roman"/>
          <w:sz w:val="24"/>
        </w:rPr>
        <w:t>La synthèse de l’analyse comparative entre le cadre national et la NES 4 se résume dans le tableau qui suit :</w:t>
      </w:r>
    </w:p>
    <w:p w14:paraId="4C3B3581" w14:textId="1E595F7C" w:rsidR="00575CDF" w:rsidRPr="00C801A6" w:rsidRDefault="00575CDF" w:rsidP="003609CC">
      <w:pPr>
        <w:pStyle w:val="Caption"/>
        <w:rPr>
          <w:color w:val="auto"/>
        </w:rPr>
      </w:pPr>
      <w:bookmarkStart w:id="511" w:name="_Toc230427735"/>
      <w:r w:rsidRPr="00C801A6">
        <w:rPr>
          <w:color w:val="auto"/>
        </w:rPr>
        <w:t xml:space="preserve">Tableau </w:t>
      </w:r>
      <w:r w:rsidRPr="00C801A6">
        <w:rPr>
          <w:color w:val="auto"/>
        </w:rPr>
        <w:fldChar w:fldCharType="begin"/>
      </w:r>
      <w:r w:rsidRPr="00C801A6">
        <w:rPr>
          <w:color w:val="auto"/>
        </w:rPr>
        <w:instrText>SEQ Tableau \* ARABIC</w:instrText>
      </w:r>
      <w:r w:rsidRPr="00C801A6">
        <w:rPr>
          <w:color w:val="auto"/>
        </w:rPr>
        <w:fldChar w:fldCharType="separate"/>
      </w:r>
      <w:r w:rsidR="00253F1A">
        <w:rPr>
          <w:noProof/>
          <w:color w:val="auto"/>
        </w:rPr>
        <w:t>15</w:t>
      </w:r>
      <w:r w:rsidRPr="00C801A6">
        <w:rPr>
          <w:color w:val="auto"/>
        </w:rPr>
        <w:fldChar w:fldCharType="end"/>
      </w:r>
      <w:r w:rsidRPr="00C801A6">
        <w:rPr>
          <w:color w:val="auto"/>
        </w:rPr>
        <w:t> : Synthèse de l’analyse comparative entre le cadre national et la NES 4</w:t>
      </w:r>
      <w:bookmarkEnd w:id="511"/>
    </w:p>
    <w:tbl>
      <w:tblPr>
        <w:tblStyle w:val="Trameclaire-Accent51"/>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3114"/>
        <w:gridCol w:w="3969"/>
        <w:gridCol w:w="2268"/>
      </w:tblGrid>
      <w:tr w:rsidR="00C801A6" w:rsidRPr="00C801A6" w14:paraId="1F500A1E" w14:textId="77777777" w:rsidTr="00D1368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114" w:type="dxa"/>
            <w:tcBorders>
              <w:top w:val="none" w:sz="0" w:space="0" w:color="auto"/>
              <w:left w:val="none" w:sz="0" w:space="0" w:color="auto"/>
              <w:bottom w:val="none" w:sz="0" w:space="0" w:color="auto"/>
              <w:right w:val="none" w:sz="0" w:space="0" w:color="auto"/>
            </w:tcBorders>
            <w:shd w:val="clear" w:color="auto" w:fill="E2EFD9" w:themeFill="accent6" w:themeFillTint="33"/>
            <w:vAlign w:val="center"/>
          </w:tcPr>
          <w:p w14:paraId="16806FB5" w14:textId="77777777" w:rsidR="00575CDF" w:rsidRPr="00C801A6" w:rsidRDefault="00575CDF" w:rsidP="00347FDB">
            <w:pPr>
              <w:spacing w:before="40" w:after="40"/>
              <w:jc w:val="left"/>
              <w:rPr>
                <w:rFonts w:cs="Arial"/>
                <w:color w:val="auto"/>
                <w:sz w:val="21"/>
                <w:szCs w:val="21"/>
              </w:rPr>
            </w:pPr>
            <w:r w:rsidRPr="00C801A6">
              <w:rPr>
                <w:rFonts w:cs="Arial"/>
                <w:color w:val="auto"/>
                <w:sz w:val="21"/>
                <w:szCs w:val="21"/>
              </w:rPr>
              <w:t>Points de concordance</w:t>
            </w:r>
          </w:p>
        </w:tc>
        <w:tc>
          <w:tcPr>
            <w:tcW w:w="3969" w:type="dxa"/>
            <w:tcBorders>
              <w:top w:val="none" w:sz="0" w:space="0" w:color="auto"/>
              <w:left w:val="none" w:sz="0" w:space="0" w:color="auto"/>
              <w:bottom w:val="none" w:sz="0" w:space="0" w:color="auto"/>
              <w:right w:val="none" w:sz="0" w:space="0" w:color="auto"/>
            </w:tcBorders>
            <w:shd w:val="clear" w:color="auto" w:fill="E2EFD9" w:themeFill="accent6" w:themeFillTint="33"/>
            <w:vAlign w:val="center"/>
          </w:tcPr>
          <w:p w14:paraId="584A1E10" w14:textId="77777777" w:rsidR="00575CDF" w:rsidRPr="00C801A6" w:rsidRDefault="00575CDF" w:rsidP="00347FDB">
            <w:pPr>
              <w:spacing w:before="40" w:after="40"/>
              <w:jc w:val="left"/>
              <w:cnfStyle w:val="100000000000" w:firstRow="1" w:lastRow="0" w:firstColumn="0" w:lastColumn="0" w:oddVBand="0" w:evenVBand="0" w:oddHBand="0" w:evenHBand="0" w:firstRowFirstColumn="0" w:firstRowLastColumn="0" w:lastRowFirstColumn="0" w:lastRowLastColumn="0"/>
              <w:rPr>
                <w:rFonts w:cs="Arial"/>
                <w:color w:val="auto"/>
                <w:sz w:val="21"/>
                <w:szCs w:val="21"/>
              </w:rPr>
            </w:pPr>
            <w:r w:rsidRPr="00C801A6">
              <w:rPr>
                <w:rFonts w:cs="Arial"/>
                <w:color w:val="auto"/>
                <w:sz w:val="21"/>
                <w:szCs w:val="21"/>
              </w:rPr>
              <w:t>Points de complémentarité</w:t>
            </w:r>
          </w:p>
        </w:tc>
        <w:tc>
          <w:tcPr>
            <w:tcW w:w="2268" w:type="dxa"/>
            <w:tcBorders>
              <w:top w:val="none" w:sz="0" w:space="0" w:color="auto"/>
              <w:left w:val="none" w:sz="0" w:space="0" w:color="auto"/>
              <w:bottom w:val="none" w:sz="0" w:space="0" w:color="auto"/>
              <w:right w:val="none" w:sz="0" w:space="0" w:color="auto"/>
            </w:tcBorders>
            <w:shd w:val="clear" w:color="auto" w:fill="E2EFD9" w:themeFill="accent6" w:themeFillTint="33"/>
            <w:vAlign w:val="center"/>
          </w:tcPr>
          <w:p w14:paraId="2E702534" w14:textId="77777777" w:rsidR="00575CDF" w:rsidRPr="00C801A6" w:rsidRDefault="00575CDF" w:rsidP="00347FDB">
            <w:pPr>
              <w:spacing w:before="40" w:after="40"/>
              <w:jc w:val="left"/>
              <w:cnfStyle w:val="100000000000" w:firstRow="1" w:lastRow="0" w:firstColumn="0" w:lastColumn="0" w:oddVBand="0" w:evenVBand="0" w:oddHBand="0" w:evenHBand="0" w:firstRowFirstColumn="0" w:firstRowLastColumn="0" w:lastRowFirstColumn="0" w:lastRowLastColumn="0"/>
              <w:rPr>
                <w:rFonts w:cs="Arial"/>
                <w:color w:val="auto"/>
                <w:sz w:val="21"/>
                <w:szCs w:val="21"/>
              </w:rPr>
            </w:pPr>
            <w:r w:rsidRPr="00C801A6">
              <w:rPr>
                <w:rFonts w:cs="Arial"/>
                <w:color w:val="auto"/>
                <w:sz w:val="21"/>
                <w:szCs w:val="21"/>
              </w:rPr>
              <w:t>Points de divergence</w:t>
            </w:r>
          </w:p>
        </w:tc>
      </w:tr>
      <w:tr w:rsidR="00C801A6" w:rsidRPr="00C801A6" w14:paraId="02F1E32D" w14:textId="77777777" w:rsidTr="00D13682">
        <w:trPr>
          <w:cnfStyle w:val="000000100000" w:firstRow="0" w:lastRow="0" w:firstColumn="0" w:lastColumn="0" w:oddVBand="0" w:evenVBand="0" w:oddHBand="1" w:evenHBand="0" w:firstRowFirstColumn="0" w:firstRowLastColumn="0" w:lastRowFirstColumn="0" w:lastRowLastColumn="0"/>
          <w:trHeight w:val="597"/>
        </w:trPr>
        <w:tc>
          <w:tcPr>
            <w:cnfStyle w:val="001000000000" w:firstRow="0" w:lastRow="0" w:firstColumn="1" w:lastColumn="0" w:oddVBand="0" w:evenVBand="0" w:oddHBand="0" w:evenHBand="0" w:firstRowFirstColumn="0" w:firstRowLastColumn="0" w:lastRowFirstColumn="0" w:lastRowLastColumn="0"/>
            <w:tcW w:w="3114" w:type="dxa"/>
            <w:tcBorders>
              <w:left w:val="none" w:sz="0" w:space="0" w:color="auto"/>
              <w:right w:val="none" w:sz="0" w:space="0" w:color="auto"/>
            </w:tcBorders>
            <w:shd w:val="clear" w:color="auto" w:fill="FFFFFF" w:themeFill="background1"/>
          </w:tcPr>
          <w:p w14:paraId="5CA0ECA6" w14:textId="77777777" w:rsidR="00575CDF" w:rsidRPr="00C801A6" w:rsidRDefault="00575CDF" w:rsidP="00347FDB">
            <w:pPr>
              <w:spacing w:before="20" w:after="20"/>
              <w:jc w:val="left"/>
              <w:rPr>
                <w:b w:val="0"/>
                <w:color w:val="auto"/>
                <w:sz w:val="21"/>
                <w:szCs w:val="21"/>
              </w:rPr>
            </w:pPr>
            <w:r w:rsidRPr="00C801A6">
              <w:rPr>
                <w:b w:val="0"/>
                <w:color w:val="auto"/>
                <w:sz w:val="21"/>
                <w:szCs w:val="21"/>
              </w:rPr>
              <w:t>Conception et sécurité des infrastructures et des équipements</w:t>
            </w:r>
          </w:p>
        </w:tc>
        <w:tc>
          <w:tcPr>
            <w:tcW w:w="3969" w:type="dxa"/>
            <w:tcBorders>
              <w:left w:val="none" w:sz="0" w:space="0" w:color="auto"/>
              <w:right w:val="none" w:sz="0" w:space="0" w:color="auto"/>
            </w:tcBorders>
            <w:shd w:val="clear" w:color="auto" w:fill="FFFFFF" w:themeFill="background1"/>
          </w:tcPr>
          <w:p w14:paraId="24A38EA6" w14:textId="77777777" w:rsidR="00575CDF" w:rsidRPr="00C801A6" w:rsidRDefault="00575CDF" w:rsidP="00347FDB">
            <w:pPr>
              <w:spacing w:before="20" w:after="20"/>
              <w:jc w:val="left"/>
              <w:cnfStyle w:val="000000100000" w:firstRow="0" w:lastRow="0" w:firstColumn="0" w:lastColumn="0" w:oddVBand="0" w:evenVBand="0" w:oddHBand="1" w:evenHBand="0" w:firstRowFirstColumn="0" w:firstRowLastColumn="0" w:lastRowFirstColumn="0" w:lastRowLastColumn="0"/>
              <w:rPr>
                <w:bCs/>
                <w:color w:val="auto"/>
                <w:sz w:val="21"/>
                <w:szCs w:val="21"/>
              </w:rPr>
            </w:pPr>
          </w:p>
        </w:tc>
        <w:tc>
          <w:tcPr>
            <w:tcW w:w="2268" w:type="dxa"/>
            <w:tcBorders>
              <w:left w:val="none" w:sz="0" w:space="0" w:color="auto"/>
              <w:right w:val="none" w:sz="0" w:space="0" w:color="auto"/>
            </w:tcBorders>
            <w:shd w:val="clear" w:color="auto" w:fill="FFFFFF" w:themeFill="background1"/>
          </w:tcPr>
          <w:p w14:paraId="31A430D3" w14:textId="77777777" w:rsidR="00575CDF" w:rsidRPr="00C801A6" w:rsidRDefault="00575CDF" w:rsidP="00347FDB">
            <w:pPr>
              <w:spacing w:before="20" w:after="20"/>
              <w:jc w:val="left"/>
              <w:cnfStyle w:val="000000100000" w:firstRow="0" w:lastRow="0" w:firstColumn="0" w:lastColumn="0" w:oddVBand="0" w:evenVBand="0" w:oddHBand="1" w:evenHBand="0" w:firstRowFirstColumn="0" w:firstRowLastColumn="0" w:lastRowFirstColumn="0" w:lastRowLastColumn="0"/>
              <w:rPr>
                <w:bCs/>
                <w:color w:val="auto"/>
                <w:sz w:val="21"/>
                <w:szCs w:val="21"/>
              </w:rPr>
            </w:pPr>
          </w:p>
        </w:tc>
      </w:tr>
      <w:tr w:rsidR="00C801A6" w:rsidRPr="00C801A6" w14:paraId="4F3859BA" w14:textId="77777777" w:rsidTr="00347FDB">
        <w:trPr>
          <w:trHeight w:val="206"/>
        </w:trPr>
        <w:tc>
          <w:tcPr>
            <w:cnfStyle w:val="001000000000" w:firstRow="0" w:lastRow="0" w:firstColumn="1" w:lastColumn="0" w:oddVBand="0" w:evenVBand="0" w:oddHBand="0" w:evenHBand="0" w:firstRowFirstColumn="0" w:firstRowLastColumn="0" w:lastRowFirstColumn="0" w:lastRowLastColumn="0"/>
            <w:tcW w:w="3114" w:type="dxa"/>
            <w:shd w:val="clear" w:color="auto" w:fill="FFFFFF" w:themeFill="background1"/>
          </w:tcPr>
          <w:p w14:paraId="14A4E4A1" w14:textId="77777777" w:rsidR="00575CDF" w:rsidRPr="00C801A6" w:rsidRDefault="00575CDF" w:rsidP="00347FDB">
            <w:pPr>
              <w:spacing w:before="20" w:after="20"/>
              <w:jc w:val="left"/>
              <w:rPr>
                <w:b w:val="0"/>
                <w:color w:val="auto"/>
                <w:sz w:val="21"/>
                <w:szCs w:val="21"/>
              </w:rPr>
            </w:pPr>
            <w:r w:rsidRPr="00C801A6">
              <w:rPr>
                <w:b w:val="0"/>
                <w:color w:val="auto"/>
                <w:sz w:val="21"/>
                <w:szCs w:val="21"/>
              </w:rPr>
              <w:t xml:space="preserve">1. Prise en compte du changement climatique dans la conception des infrastructures </w:t>
            </w:r>
          </w:p>
          <w:p w14:paraId="14E3BF92" w14:textId="77777777" w:rsidR="00575CDF" w:rsidRPr="00C801A6" w:rsidRDefault="00575CDF" w:rsidP="00347FDB">
            <w:pPr>
              <w:spacing w:before="20" w:after="20"/>
              <w:jc w:val="left"/>
              <w:rPr>
                <w:b w:val="0"/>
                <w:color w:val="auto"/>
                <w:sz w:val="21"/>
                <w:szCs w:val="21"/>
              </w:rPr>
            </w:pPr>
            <w:r w:rsidRPr="00C801A6">
              <w:rPr>
                <w:b w:val="0"/>
                <w:color w:val="auto"/>
                <w:sz w:val="21"/>
                <w:szCs w:val="21"/>
              </w:rPr>
              <w:t>2. Concept d’inclusion et d’accessibilité universelle des infrastructures</w:t>
            </w:r>
          </w:p>
        </w:tc>
        <w:tc>
          <w:tcPr>
            <w:tcW w:w="3969" w:type="dxa"/>
            <w:shd w:val="clear" w:color="auto" w:fill="FFFFFF" w:themeFill="background1"/>
          </w:tcPr>
          <w:p w14:paraId="00390EAC" w14:textId="77777777" w:rsidR="00575CDF" w:rsidRPr="00C801A6" w:rsidRDefault="00575CDF" w:rsidP="00347FDB">
            <w:pPr>
              <w:spacing w:before="20" w:after="20"/>
              <w:jc w:val="left"/>
              <w:cnfStyle w:val="000000000000" w:firstRow="0" w:lastRow="0" w:firstColumn="0" w:lastColumn="0" w:oddVBand="0" w:evenVBand="0" w:oddHBand="0" w:evenHBand="0" w:firstRowFirstColumn="0" w:firstRowLastColumn="0" w:lastRowFirstColumn="0" w:lastRowLastColumn="0"/>
              <w:rPr>
                <w:bCs/>
                <w:color w:val="auto"/>
                <w:sz w:val="21"/>
                <w:szCs w:val="21"/>
              </w:rPr>
            </w:pPr>
            <w:r w:rsidRPr="00C801A6">
              <w:rPr>
                <w:bCs/>
                <w:color w:val="auto"/>
                <w:sz w:val="21"/>
                <w:szCs w:val="21"/>
              </w:rPr>
              <w:t>1. Prise en compte des menaces à la sécurité pour le personnel et les populations touchées lors de la construction, l’exploitation et le démantèlement des infrastructures et des équipements structurels</w:t>
            </w:r>
          </w:p>
          <w:p w14:paraId="27F48CAA" w14:textId="77777777" w:rsidR="00575CDF" w:rsidRPr="00C801A6" w:rsidRDefault="00575CDF" w:rsidP="00347FDB">
            <w:pPr>
              <w:spacing w:before="20" w:after="20"/>
              <w:jc w:val="left"/>
              <w:cnfStyle w:val="000000000000" w:firstRow="0" w:lastRow="0" w:firstColumn="0" w:lastColumn="0" w:oddVBand="0" w:evenVBand="0" w:oddHBand="0" w:evenHBand="0" w:firstRowFirstColumn="0" w:firstRowLastColumn="0" w:lastRowFirstColumn="0" w:lastRowLastColumn="0"/>
              <w:rPr>
                <w:bCs/>
                <w:color w:val="auto"/>
                <w:sz w:val="21"/>
                <w:szCs w:val="21"/>
              </w:rPr>
            </w:pPr>
            <w:r w:rsidRPr="00C801A6">
              <w:rPr>
                <w:bCs/>
                <w:color w:val="auto"/>
                <w:sz w:val="21"/>
                <w:szCs w:val="21"/>
              </w:rPr>
              <w:t>2. Obligation d’obtenir la certification, l’agrément par des professionnels compétents de la conception et la construction des infrastructures</w:t>
            </w:r>
          </w:p>
          <w:p w14:paraId="6BC527BA" w14:textId="77777777" w:rsidR="00575CDF" w:rsidRPr="00C801A6" w:rsidRDefault="00575CDF" w:rsidP="00347FDB">
            <w:pPr>
              <w:spacing w:before="20" w:after="20"/>
              <w:jc w:val="left"/>
              <w:cnfStyle w:val="000000000000" w:firstRow="0" w:lastRow="0" w:firstColumn="0" w:lastColumn="0" w:oddVBand="0" w:evenVBand="0" w:oddHBand="0" w:evenHBand="0" w:firstRowFirstColumn="0" w:firstRowLastColumn="0" w:lastRowFirstColumn="0" w:lastRowLastColumn="0"/>
              <w:rPr>
                <w:bCs/>
                <w:color w:val="auto"/>
                <w:sz w:val="21"/>
                <w:szCs w:val="21"/>
              </w:rPr>
            </w:pPr>
            <w:r w:rsidRPr="00C801A6">
              <w:rPr>
                <w:bCs/>
                <w:color w:val="auto"/>
                <w:sz w:val="21"/>
                <w:szCs w:val="21"/>
              </w:rPr>
              <w:t>3. Recours à l’expertise indépendante pour l’examen préalable de la situation dans les régions à haut risque </w:t>
            </w:r>
          </w:p>
        </w:tc>
        <w:tc>
          <w:tcPr>
            <w:tcW w:w="2268" w:type="dxa"/>
            <w:shd w:val="clear" w:color="auto" w:fill="FFFFFF" w:themeFill="background1"/>
          </w:tcPr>
          <w:p w14:paraId="05920E39" w14:textId="77777777" w:rsidR="00575CDF" w:rsidRPr="00C801A6" w:rsidRDefault="00575CDF" w:rsidP="00347FDB">
            <w:pPr>
              <w:spacing w:before="20" w:after="20"/>
              <w:jc w:val="left"/>
              <w:cnfStyle w:val="000000000000" w:firstRow="0" w:lastRow="0" w:firstColumn="0" w:lastColumn="0" w:oddVBand="0" w:evenVBand="0" w:oddHBand="0" w:evenHBand="0" w:firstRowFirstColumn="0" w:firstRowLastColumn="0" w:lastRowFirstColumn="0" w:lastRowLastColumn="0"/>
              <w:rPr>
                <w:bCs/>
                <w:color w:val="auto"/>
                <w:sz w:val="21"/>
                <w:szCs w:val="21"/>
              </w:rPr>
            </w:pPr>
            <w:r w:rsidRPr="00C801A6">
              <w:rPr>
                <w:bCs/>
                <w:color w:val="auto"/>
                <w:sz w:val="21"/>
                <w:szCs w:val="21"/>
              </w:rPr>
              <w:t>Néant</w:t>
            </w:r>
          </w:p>
        </w:tc>
      </w:tr>
      <w:tr w:rsidR="00C801A6" w:rsidRPr="00C801A6" w14:paraId="26D5BFAB" w14:textId="77777777" w:rsidTr="00D136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Borders>
              <w:left w:val="none" w:sz="0" w:space="0" w:color="auto"/>
              <w:right w:val="none" w:sz="0" w:space="0" w:color="auto"/>
            </w:tcBorders>
            <w:shd w:val="clear" w:color="auto" w:fill="FFFFFF" w:themeFill="background1"/>
          </w:tcPr>
          <w:p w14:paraId="3FD7172D" w14:textId="77777777" w:rsidR="00575CDF" w:rsidRPr="00C801A6" w:rsidRDefault="00575CDF" w:rsidP="00347FDB">
            <w:pPr>
              <w:spacing w:before="20" w:after="20"/>
              <w:jc w:val="left"/>
              <w:rPr>
                <w:b w:val="0"/>
                <w:color w:val="auto"/>
                <w:sz w:val="21"/>
                <w:szCs w:val="21"/>
              </w:rPr>
            </w:pPr>
          </w:p>
        </w:tc>
        <w:tc>
          <w:tcPr>
            <w:tcW w:w="3969" w:type="dxa"/>
            <w:tcBorders>
              <w:left w:val="none" w:sz="0" w:space="0" w:color="auto"/>
              <w:right w:val="none" w:sz="0" w:space="0" w:color="auto"/>
            </w:tcBorders>
            <w:shd w:val="clear" w:color="auto" w:fill="FFFFFF" w:themeFill="background1"/>
          </w:tcPr>
          <w:p w14:paraId="39A0F4B0" w14:textId="77777777" w:rsidR="00575CDF" w:rsidRPr="00C801A6" w:rsidRDefault="00575CDF" w:rsidP="00347FDB">
            <w:pPr>
              <w:spacing w:before="20" w:after="20"/>
              <w:jc w:val="left"/>
              <w:cnfStyle w:val="000000100000" w:firstRow="0" w:lastRow="0" w:firstColumn="0" w:lastColumn="0" w:oddVBand="0" w:evenVBand="0" w:oddHBand="1" w:evenHBand="0" w:firstRowFirstColumn="0" w:firstRowLastColumn="0" w:lastRowFirstColumn="0" w:lastRowLastColumn="0"/>
              <w:rPr>
                <w:bCs/>
                <w:color w:val="auto"/>
                <w:sz w:val="21"/>
                <w:szCs w:val="21"/>
              </w:rPr>
            </w:pPr>
            <w:r w:rsidRPr="00C801A6">
              <w:rPr>
                <w:bCs/>
                <w:color w:val="auto"/>
                <w:sz w:val="21"/>
                <w:szCs w:val="21"/>
              </w:rPr>
              <w:t>Sécurité de services d’approvisionnement en eau potable</w:t>
            </w:r>
          </w:p>
          <w:p w14:paraId="6ED7C785" w14:textId="77777777" w:rsidR="00575CDF" w:rsidRPr="00C801A6" w:rsidRDefault="00575CDF" w:rsidP="00347FDB">
            <w:pPr>
              <w:spacing w:before="20" w:after="20"/>
              <w:jc w:val="left"/>
              <w:cnfStyle w:val="000000100000" w:firstRow="0" w:lastRow="0" w:firstColumn="0" w:lastColumn="0" w:oddVBand="0" w:evenVBand="0" w:oddHBand="1" w:evenHBand="0" w:firstRowFirstColumn="0" w:firstRowLastColumn="0" w:lastRowFirstColumn="0" w:lastRowLastColumn="0"/>
              <w:rPr>
                <w:bCs/>
                <w:color w:val="auto"/>
                <w:sz w:val="21"/>
                <w:szCs w:val="21"/>
              </w:rPr>
            </w:pPr>
            <w:r w:rsidRPr="00C801A6">
              <w:rPr>
                <w:bCs/>
                <w:color w:val="auto"/>
                <w:sz w:val="21"/>
                <w:szCs w:val="21"/>
              </w:rPr>
              <w:t xml:space="preserve">4. Minimiser et anticiper les risques et les effets causés par la fourniture des services du projet sur la santé et la sécurité des populations concernées. Il s’agit des(a) services de l’eau et de l’assainissement, tels que l’eau contaminée ou la propagation de </w:t>
            </w:r>
            <w:r w:rsidRPr="00C801A6">
              <w:rPr>
                <w:bCs/>
                <w:color w:val="auto"/>
                <w:sz w:val="21"/>
                <w:szCs w:val="21"/>
              </w:rPr>
              <w:lastRenderedPageBreak/>
              <w:t>maladies, (b) des services de l’élimination des déchets, comme la toxicité, l’effondrement des décharges ou la pollution atmosphérique, (c) des services de fourniture des canaux d’eau ou d’irrigation, comme les noyades, les inondations ou les maladies hydriques,(d) les services liés aux carrières ou aux travaux d’excavation, tels que les chutes de pierres ou les équipements dangereux et (e) les services de fourniture d’électricité, qui peut provoquer des chocs électriques provenant d’armoires ou de câbles électriques.</w:t>
            </w:r>
          </w:p>
        </w:tc>
        <w:tc>
          <w:tcPr>
            <w:tcW w:w="2268" w:type="dxa"/>
            <w:tcBorders>
              <w:left w:val="none" w:sz="0" w:space="0" w:color="auto"/>
              <w:right w:val="none" w:sz="0" w:space="0" w:color="auto"/>
            </w:tcBorders>
            <w:shd w:val="clear" w:color="auto" w:fill="FFFFFF" w:themeFill="background1"/>
          </w:tcPr>
          <w:p w14:paraId="670E335F" w14:textId="77777777" w:rsidR="00575CDF" w:rsidRPr="00C801A6" w:rsidRDefault="00575CDF" w:rsidP="00347FDB">
            <w:pPr>
              <w:spacing w:before="20" w:after="20"/>
              <w:jc w:val="left"/>
              <w:cnfStyle w:val="000000100000" w:firstRow="0" w:lastRow="0" w:firstColumn="0" w:lastColumn="0" w:oddVBand="0" w:evenVBand="0" w:oddHBand="1" w:evenHBand="0" w:firstRowFirstColumn="0" w:firstRowLastColumn="0" w:lastRowFirstColumn="0" w:lastRowLastColumn="0"/>
              <w:rPr>
                <w:bCs/>
                <w:color w:val="auto"/>
                <w:sz w:val="21"/>
                <w:szCs w:val="21"/>
              </w:rPr>
            </w:pPr>
            <w:r w:rsidRPr="00C801A6">
              <w:rPr>
                <w:bCs/>
                <w:color w:val="auto"/>
                <w:sz w:val="21"/>
                <w:szCs w:val="21"/>
              </w:rPr>
              <w:lastRenderedPageBreak/>
              <w:t>Néant</w:t>
            </w:r>
          </w:p>
        </w:tc>
      </w:tr>
      <w:tr w:rsidR="00C801A6" w:rsidRPr="00C801A6" w14:paraId="600321F5" w14:textId="77777777" w:rsidTr="00347FDB">
        <w:tc>
          <w:tcPr>
            <w:cnfStyle w:val="001000000000" w:firstRow="0" w:lastRow="0" w:firstColumn="1" w:lastColumn="0" w:oddVBand="0" w:evenVBand="0" w:oddHBand="0" w:evenHBand="0" w:firstRowFirstColumn="0" w:firstRowLastColumn="0" w:lastRowFirstColumn="0" w:lastRowLastColumn="0"/>
            <w:tcW w:w="3114" w:type="dxa"/>
            <w:shd w:val="clear" w:color="auto" w:fill="FFFFFF" w:themeFill="background1"/>
          </w:tcPr>
          <w:p w14:paraId="7126DC22" w14:textId="77777777" w:rsidR="00575CDF" w:rsidRPr="00C801A6" w:rsidRDefault="00575CDF" w:rsidP="00347FDB">
            <w:pPr>
              <w:spacing w:before="20" w:after="20"/>
              <w:jc w:val="left"/>
              <w:rPr>
                <w:b w:val="0"/>
                <w:color w:val="auto"/>
                <w:sz w:val="21"/>
                <w:szCs w:val="21"/>
              </w:rPr>
            </w:pPr>
          </w:p>
        </w:tc>
        <w:tc>
          <w:tcPr>
            <w:tcW w:w="3969" w:type="dxa"/>
            <w:shd w:val="clear" w:color="auto" w:fill="FFFFFF" w:themeFill="background1"/>
          </w:tcPr>
          <w:p w14:paraId="7AD7FC75" w14:textId="77777777" w:rsidR="00575CDF" w:rsidRPr="00C801A6" w:rsidRDefault="00575CDF" w:rsidP="00347FDB">
            <w:pPr>
              <w:spacing w:before="20" w:after="20"/>
              <w:jc w:val="left"/>
              <w:cnfStyle w:val="000000000000" w:firstRow="0" w:lastRow="0" w:firstColumn="0" w:lastColumn="0" w:oddVBand="0" w:evenVBand="0" w:oddHBand="0" w:evenHBand="0" w:firstRowFirstColumn="0" w:firstRowLastColumn="0" w:lastRowFirstColumn="0" w:lastRowLastColumn="0"/>
              <w:rPr>
                <w:bCs/>
                <w:color w:val="auto"/>
                <w:sz w:val="21"/>
                <w:szCs w:val="21"/>
              </w:rPr>
            </w:pPr>
            <w:r w:rsidRPr="00C801A6">
              <w:rPr>
                <w:bCs/>
                <w:color w:val="auto"/>
                <w:sz w:val="21"/>
                <w:szCs w:val="21"/>
              </w:rPr>
              <w:t>Circulation et sécurité routière :</w:t>
            </w:r>
          </w:p>
          <w:p w14:paraId="4AFD1B4D" w14:textId="77777777" w:rsidR="00575CDF" w:rsidRPr="00C801A6" w:rsidRDefault="00575CDF" w:rsidP="00347FDB">
            <w:pPr>
              <w:spacing w:before="20" w:after="20"/>
              <w:jc w:val="left"/>
              <w:cnfStyle w:val="000000000000" w:firstRow="0" w:lastRow="0" w:firstColumn="0" w:lastColumn="0" w:oddVBand="0" w:evenVBand="0" w:oddHBand="0" w:evenHBand="0" w:firstRowFirstColumn="0" w:firstRowLastColumn="0" w:lastRowFirstColumn="0" w:lastRowLastColumn="0"/>
              <w:rPr>
                <w:bCs/>
                <w:color w:val="auto"/>
                <w:sz w:val="21"/>
                <w:szCs w:val="21"/>
              </w:rPr>
            </w:pPr>
            <w:r w:rsidRPr="00C801A6">
              <w:rPr>
                <w:bCs/>
                <w:color w:val="auto"/>
                <w:sz w:val="21"/>
                <w:szCs w:val="21"/>
              </w:rPr>
              <w:t xml:space="preserve">5. Nécessité de faire une évaluation des risques liés à la sécurité routière, pour les piétons et aux communautés et les travailleurs </w:t>
            </w:r>
          </w:p>
          <w:p w14:paraId="6B0D2A1E" w14:textId="77777777" w:rsidR="00575CDF" w:rsidRPr="00C801A6" w:rsidRDefault="00575CDF" w:rsidP="00347FDB">
            <w:pPr>
              <w:spacing w:before="20" w:after="20"/>
              <w:jc w:val="left"/>
              <w:cnfStyle w:val="000000000000" w:firstRow="0" w:lastRow="0" w:firstColumn="0" w:lastColumn="0" w:oddVBand="0" w:evenVBand="0" w:oddHBand="0" w:evenHBand="0" w:firstRowFirstColumn="0" w:firstRowLastColumn="0" w:lastRowFirstColumn="0" w:lastRowLastColumn="0"/>
              <w:rPr>
                <w:bCs/>
                <w:color w:val="auto"/>
                <w:sz w:val="21"/>
                <w:szCs w:val="21"/>
              </w:rPr>
            </w:pPr>
            <w:r w:rsidRPr="00C801A6">
              <w:rPr>
                <w:bCs/>
                <w:color w:val="auto"/>
                <w:sz w:val="21"/>
                <w:szCs w:val="21"/>
              </w:rPr>
              <w:t>6. Etablissement d’un état de la circulation routière et contrôle et faire des comptes-rendus des rapports d’incidents, et d’accidents au cours du projet</w:t>
            </w:r>
          </w:p>
          <w:p w14:paraId="7315B63C" w14:textId="77777777" w:rsidR="00575CDF" w:rsidRPr="00C801A6" w:rsidRDefault="00575CDF" w:rsidP="00347FDB">
            <w:pPr>
              <w:spacing w:before="20" w:after="20"/>
              <w:jc w:val="left"/>
              <w:cnfStyle w:val="000000000000" w:firstRow="0" w:lastRow="0" w:firstColumn="0" w:lastColumn="0" w:oddVBand="0" w:evenVBand="0" w:oddHBand="0" w:evenHBand="0" w:firstRowFirstColumn="0" w:firstRowLastColumn="0" w:lastRowFirstColumn="0" w:lastRowLastColumn="0"/>
              <w:rPr>
                <w:bCs/>
                <w:color w:val="auto"/>
                <w:sz w:val="21"/>
                <w:szCs w:val="21"/>
              </w:rPr>
            </w:pPr>
            <w:r w:rsidRPr="00C801A6">
              <w:rPr>
                <w:bCs/>
                <w:color w:val="auto"/>
                <w:sz w:val="21"/>
                <w:szCs w:val="21"/>
              </w:rPr>
              <w:t>7. Mise en place de procédures de sécurité routière pour éviter tout accident aux personnes étrangères au projet</w:t>
            </w:r>
          </w:p>
        </w:tc>
        <w:tc>
          <w:tcPr>
            <w:tcW w:w="2268" w:type="dxa"/>
            <w:shd w:val="clear" w:color="auto" w:fill="FFFFFF" w:themeFill="background1"/>
          </w:tcPr>
          <w:p w14:paraId="22FD0705" w14:textId="77777777" w:rsidR="00575CDF" w:rsidRPr="00C801A6" w:rsidRDefault="00575CDF" w:rsidP="00347FDB">
            <w:pPr>
              <w:spacing w:before="20" w:after="20"/>
              <w:jc w:val="left"/>
              <w:cnfStyle w:val="000000000000" w:firstRow="0" w:lastRow="0" w:firstColumn="0" w:lastColumn="0" w:oddVBand="0" w:evenVBand="0" w:oddHBand="0" w:evenHBand="0" w:firstRowFirstColumn="0" w:firstRowLastColumn="0" w:lastRowFirstColumn="0" w:lastRowLastColumn="0"/>
              <w:rPr>
                <w:bCs/>
                <w:color w:val="auto"/>
                <w:sz w:val="21"/>
                <w:szCs w:val="21"/>
              </w:rPr>
            </w:pPr>
            <w:r w:rsidRPr="00C801A6">
              <w:rPr>
                <w:bCs/>
                <w:color w:val="auto"/>
                <w:sz w:val="21"/>
                <w:szCs w:val="21"/>
              </w:rPr>
              <w:t>Néant</w:t>
            </w:r>
          </w:p>
        </w:tc>
      </w:tr>
      <w:tr w:rsidR="00C801A6" w:rsidRPr="00C801A6" w14:paraId="01096A72" w14:textId="77777777" w:rsidTr="00D13682">
        <w:trPr>
          <w:cnfStyle w:val="000000100000" w:firstRow="0" w:lastRow="0" w:firstColumn="0" w:lastColumn="0" w:oddVBand="0" w:evenVBand="0" w:oddHBand="1" w:evenHBand="0" w:firstRowFirstColumn="0" w:firstRowLastColumn="0" w:lastRowFirstColumn="0" w:lastRowLastColumn="0"/>
          <w:trHeight w:val="367"/>
        </w:trPr>
        <w:tc>
          <w:tcPr>
            <w:cnfStyle w:val="001000000000" w:firstRow="0" w:lastRow="0" w:firstColumn="1" w:lastColumn="0" w:oddVBand="0" w:evenVBand="0" w:oddHBand="0" w:evenHBand="0" w:firstRowFirstColumn="0" w:firstRowLastColumn="0" w:lastRowFirstColumn="0" w:lastRowLastColumn="0"/>
            <w:tcW w:w="3114" w:type="dxa"/>
            <w:tcBorders>
              <w:left w:val="none" w:sz="0" w:space="0" w:color="auto"/>
              <w:right w:val="none" w:sz="0" w:space="0" w:color="auto"/>
            </w:tcBorders>
            <w:shd w:val="clear" w:color="auto" w:fill="FFFFFF" w:themeFill="background1"/>
          </w:tcPr>
          <w:p w14:paraId="733A975B" w14:textId="77777777" w:rsidR="00575CDF" w:rsidRPr="00C801A6" w:rsidRDefault="00575CDF" w:rsidP="00347FDB">
            <w:pPr>
              <w:spacing w:before="20" w:after="20"/>
              <w:jc w:val="left"/>
              <w:rPr>
                <w:b w:val="0"/>
                <w:color w:val="auto"/>
                <w:sz w:val="21"/>
                <w:szCs w:val="21"/>
              </w:rPr>
            </w:pPr>
          </w:p>
        </w:tc>
        <w:tc>
          <w:tcPr>
            <w:tcW w:w="3969" w:type="dxa"/>
            <w:tcBorders>
              <w:left w:val="none" w:sz="0" w:space="0" w:color="auto"/>
              <w:right w:val="none" w:sz="0" w:space="0" w:color="auto"/>
            </w:tcBorders>
            <w:shd w:val="clear" w:color="auto" w:fill="FFFFFF" w:themeFill="background1"/>
          </w:tcPr>
          <w:p w14:paraId="29CD78B8" w14:textId="77777777" w:rsidR="00575CDF" w:rsidRPr="00C801A6" w:rsidRDefault="00575CDF" w:rsidP="00347FDB">
            <w:pPr>
              <w:spacing w:before="20" w:after="20"/>
              <w:jc w:val="left"/>
              <w:cnfStyle w:val="000000100000" w:firstRow="0" w:lastRow="0" w:firstColumn="0" w:lastColumn="0" w:oddVBand="0" w:evenVBand="0" w:oddHBand="1" w:evenHBand="0" w:firstRowFirstColumn="0" w:firstRowLastColumn="0" w:lastRowFirstColumn="0" w:lastRowLastColumn="0"/>
              <w:rPr>
                <w:bCs/>
                <w:color w:val="auto"/>
                <w:sz w:val="21"/>
                <w:szCs w:val="21"/>
              </w:rPr>
            </w:pPr>
            <w:r w:rsidRPr="00C801A6">
              <w:rPr>
                <w:bCs/>
                <w:color w:val="auto"/>
                <w:sz w:val="21"/>
                <w:szCs w:val="21"/>
              </w:rPr>
              <w:t>Exposition des populations aux maladies :</w:t>
            </w:r>
          </w:p>
        </w:tc>
        <w:tc>
          <w:tcPr>
            <w:tcW w:w="2268" w:type="dxa"/>
            <w:tcBorders>
              <w:left w:val="none" w:sz="0" w:space="0" w:color="auto"/>
              <w:right w:val="none" w:sz="0" w:space="0" w:color="auto"/>
            </w:tcBorders>
            <w:shd w:val="clear" w:color="auto" w:fill="FFFFFF" w:themeFill="background1"/>
          </w:tcPr>
          <w:p w14:paraId="4A9CEBA8" w14:textId="77777777" w:rsidR="00575CDF" w:rsidRPr="00C801A6" w:rsidRDefault="00575CDF" w:rsidP="00347FDB">
            <w:pPr>
              <w:spacing w:before="20" w:after="20"/>
              <w:jc w:val="left"/>
              <w:cnfStyle w:val="000000100000" w:firstRow="0" w:lastRow="0" w:firstColumn="0" w:lastColumn="0" w:oddVBand="0" w:evenVBand="0" w:oddHBand="1" w:evenHBand="0" w:firstRowFirstColumn="0" w:firstRowLastColumn="0" w:lastRowFirstColumn="0" w:lastRowLastColumn="0"/>
              <w:rPr>
                <w:bCs/>
                <w:color w:val="auto"/>
                <w:sz w:val="21"/>
                <w:szCs w:val="21"/>
              </w:rPr>
            </w:pPr>
          </w:p>
        </w:tc>
      </w:tr>
      <w:tr w:rsidR="00C801A6" w:rsidRPr="00C801A6" w14:paraId="55EBE378" w14:textId="77777777" w:rsidTr="00347FDB">
        <w:trPr>
          <w:trHeight w:val="2119"/>
        </w:trPr>
        <w:tc>
          <w:tcPr>
            <w:cnfStyle w:val="001000000000" w:firstRow="0" w:lastRow="0" w:firstColumn="1" w:lastColumn="0" w:oddVBand="0" w:evenVBand="0" w:oddHBand="0" w:evenHBand="0" w:firstRowFirstColumn="0" w:firstRowLastColumn="0" w:lastRowFirstColumn="0" w:lastRowLastColumn="0"/>
            <w:tcW w:w="3114" w:type="dxa"/>
            <w:shd w:val="clear" w:color="auto" w:fill="FFFFFF" w:themeFill="background1"/>
          </w:tcPr>
          <w:p w14:paraId="614545CB" w14:textId="77777777" w:rsidR="00575CDF" w:rsidRPr="00C801A6" w:rsidRDefault="00575CDF" w:rsidP="00347FDB">
            <w:pPr>
              <w:spacing w:before="20" w:after="20"/>
              <w:jc w:val="left"/>
              <w:rPr>
                <w:b w:val="0"/>
                <w:color w:val="auto"/>
                <w:sz w:val="21"/>
                <w:szCs w:val="21"/>
              </w:rPr>
            </w:pPr>
          </w:p>
        </w:tc>
        <w:tc>
          <w:tcPr>
            <w:tcW w:w="3969" w:type="dxa"/>
            <w:shd w:val="clear" w:color="auto" w:fill="FFFFFF" w:themeFill="background1"/>
          </w:tcPr>
          <w:p w14:paraId="3993674C" w14:textId="77777777" w:rsidR="00575CDF" w:rsidRPr="00C801A6" w:rsidRDefault="00575CDF" w:rsidP="00347FDB">
            <w:pPr>
              <w:spacing w:before="20" w:after="20"/>
              <w:jc w:val="left"/>
              <w:cnfStyle w:val="000000000000" w:firstRow="0" w:lastRow="0" w:firstColumn="0" w:lastColumn="0" w:oddVBand="0" w:evenVBand="0" w:oddHBand="0" w:evenHBand="0" w:firstRowFirstColumn="0" w:firstRowLastColumn="0" w:lastRowFirstColumn="0" w:lastRowLastColumn="0"/>
              <w:rPr>
                <w:bCs/>
                <w:color w:val="auto"/>
                <w:sz w:val="21"/>
                <w:szCs w:val="21"/>
              </w:rPr>
            </w:pPr>
            <w:r w:rsidRPr="00C801A6">
              <w:rPr>
                <w:bCs/>
                <w:color w:val="auto"/>
                <w:sz w:val="21"/>
                <w:szCs w:val="21"/>
              </w:rPr>
              <w:t>8. Réalisation d’une analyse des risques pour la santé, liés au projet, en fonction de divers facteurs de vulnérabilité</w:t>
            </w:r>
          </w:p>
          <w:p w14:paraId="66EE98C9" w14:textId="77777777" w:rsidR="00575CDF" w:rsidRPr="00C801A6" w:rsidRDefault="00575CDF" w:rsidP="00347FDB">
            <w:pPr>
              <w:spacing w:before="20" w:after="20"/>
              <w:jc w:val="left"/>
              <w:cnfStyle w:val="000000000000" w:firstRow="0" w:lastRow="0" w:firstColumn="0" w:lastColumn="0" w:oddVBand="0" w:evenVBand="0" w:oddHBand="0" w:evenHBand="0" w:firstRowFirstColumn="0" w:firstRowLastColumn="0" w:lastRowFirstColumn="0" w:lastRowLastColumn="0"/>
              <w:rPr>
                <w:bCs/>
                <w:color w:val="auto"/>
                <w:sz w:val="21"/>
                <w:szCs w:val="21"/>
              </w:rPr>
            </w:pPr>
          </w:p>
        </w:tc>
        <w:tc>
          <w:tcPr>
            <w:tcW w:w="2268" w:type="dxa"/>
            <w:shd w:val="clear" w:color="auto" w:fill="FFFFFF" w:themeFill="background1"/>
          </w:tcPr>
          <w:p w14:paraId="6A68507A" w14:textId="77777777" w:rsidR="00575CDF" w:rsidRPr="00C801A6" w:rsidRDefault="00575CDF" w:rsidP="00347FDB">
            <w:pPr>
              <w:spacing w:before="20" w:after="20"/>
              <w:jc w:val="left"/>
              <w:cnfStyle w:val="000000000000" w:firstRow="0" w:lastRow="0" w:firstColumn="0" w:lastColumn="0" w:oddVBand="0" w:evenVBand="0" w:oddHBand="0" w:evenHBand="0" w:firstRowFirstColumn="0" w:firstRowLastColumn="0" w:lastRowFirstColumn="0" w:lastRowLastColumn="0"/>
              <w:rPr>
                <w:color w:val="auto"/>
                <w:sz w:val="21"/>
                <w:szCs w:val="21"/>
              </w:rPr>
            </w:pPr>
            <w:r w:rsidRPr="00C801A6">
              <w:rPr>
                <w:color w:val="auto"/>
                <w:sz w:val="21"/>
                <w:szCs w:val="21"/>
              </w:rPr>
              <w:t xml:space="preserve"> En matière d’exposition des populations aux maladies</w:t>
            </w:r>
          </w:p>
          <w:p w14:paraId="3EE44305" w14:textId="77777777" w:rsidR="00575CDF" w:rsidRPr="00C801A6" w:rsidRDefault="00575CDF" w:rsidP="00347FDB">
            <w:pPr>
              <w:spacing w:before="20" w:after="20"/>
              <w:jc w:val="left"/>
              <w:cnfStyle w:val="000000000000" w:firstRow="0" w:lastRow="0" w:firstColumn="0" w:lastColumn="0" w:oddVBand="0" w:evenVBand="0" w:oddHBand="0" w:evenHBand="0" w:firstRowFirstColumn="0" w:firstRowLastColumn="0" w:lastRowFirstColumn="0" w:lastRowLastColumn="0"/>
              <w:rPr>
                <w:bCs/>
                <w:color w:val="auto"/>
                <w:sz w:val="21"/>
                <w:szCs w:val="21"/>
              </w:rPr>
            </w:pPr>
            <w:r w:rsidRPr="00C801A6">
              <w:rPr>
                <w:bCs/>
                <w:color w:val="auto"/>
                <w:sz w:val="21"/>
                <w:szCs w:val="21"/>
              </w:rPr>
              <w:t>1. Obligation d’éviter ou minimiser la propagation des maladies transmissibles qui peuvent être associées à l’afflux de la main d’œuvre temporaire ou permanente du projet</w:t>
            </w:r>
          </w:p>
        </w:tc>
      </w:tr>
      <w:tr w:rsidR="00C801A6" w:rsidRPr="00C801A6" w14:paraId="4E334EEA" w14:textId="77777777" w:rsidTr="00D13682">
        <w:trPr>
          <w:cnfStyle w:val="000000100000" w:firstRow="0" w:lastRow="0" w:firstColumn="0" w:lastColumn="0" w:oddVBand="0" w:evenVBand="0" w:oddHBand="1"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3114" w:type="dxa"/>
            <w:tcBorders>
              <w:left w:val="none" w:sz="0" w:space="0" w:color="auto"/>
              <w:right w:val="none" w:sz="0" w:space="0" w:color="auto"/>
            </w:tcBorders>
            <w:shd w:val="clear" w:color="auto" w:fill="FFFFFF" w:themeFill="background1"/>
          </w:tcPr>
          <w:p w14:paraId="55824577" w14:textId="77777777" w:rsidR="00575CDF" w:rsidRPr="00C801A6" w:rsidRDefault="00575CDF" w:rsidP="00347FDB">
            <w:pPr>
              <w:spacing w:before="20" w:after="20"/>
              <w:jc w:val="left"/>
              <w:rPr>
                <w:b w:val="0"/>
                <w:color w:val="auto"/>
                <w:sz w:val="21"/>
                <w:szCs w:val="21"/>
              </w:rPr>
            </w:pPr>
            <w:r w:rsidRPr="00C801A6">
              <w:rPr>
                <w:b w:val="0"/>
                <w:color w:val="auto"/>
                <w:sz w:val="21"/>
                <w:szCs w:val="21"/>
              </w:rPr>
              <w:t>Services écosystémiques</w:t>
            </w:r>
          </w:p>
        </w:tc>
        <w:tc>
          <w:tcPr>
            <w:tcW w:w="3969" w:type="dxa"/>
            <w:tcBorders>
              <w:left w:val="none" w:sz="0" w:space="0" w:color="auto"/>
              <w:right w:val="none" w:sz="0" w:space="0" w:color="auto"/>
            </w:tcBorders>
            <w:shd w:val="clear" w:color="auto" w:fill="FFFFFF" w:themeFill="background1"/>
          </w:tcPr>
          <w:p w14:paraId="01AFBC07" w14:textId="77777777" w:rsidR="00575CDF" w:rsidRPr="00C801A6" w:rsidRDefault="00575CDF" w:rsidP="00347FDB">
            <w:pPr>
              <w:spacing w:before="20" w:after="20"/>
              <w:jc w:val="left"/>
              <w:cnfStyle w:val="000000100000" w:firstRow="0" w:lastRow="0" w:firstColumn="0" w:lastColumn="0" w:oddVBand="0" w:evenVBand="0" w:oddHBand="1" w:evenHBand="0" w:firstRowFirstColumn="0" w:firstRowLastColumn="0" w:lastRowFirstColumn="0" w:lastRowLastColumn="0"/>
              <w:rPr>
                <w:bCs/>
                <w:color w:val="auto"/>
                <w:sz w:val="21"/>
                <w:szCs w:val="21"/>
              </w:rPr>
            </w:pPr>
          </w:p>
        </w:tc>
        <w:tc>
          <w:tcPr>
            <w:tcW w:w="2268" w:type="dxa"/>
            <w:tcBorders>
              <w:left w:val="none" w:sz="0" w:space="0" w:color="auto"/>
              <w:right w:val="none" w:sz="0" w:space="0" w:color="auto"/>
            </w:tcBorders>
            <w:shd w:val="clear" w:color="auto" w:fill="FFFFFF" w:themeFill="background1"/>
          </w:tcPr>
          <w:p w14:paraId="4DCD0B32" w14:textId="77777777" w:rsidR="00575CDF" w:rsidRPr="00C801A6" w:rsidRDefault="00575CDF" w:rsidP="00347FDB">
            <w:pPr>
              <w:spacing w:before="20" w:after="20"/>
              <w:jc w:val="left"/>
              <w:cnfStyle w:val="000000100000" w:firstRow="0" w:lastRow="0" w:firstColumn="0" w:lastColumn="0" w:oddVBand="0" w:evenVBand="0" w:oddHBand="1" w:evenHBand="0" w:firstRowFirstColumn="0" w:firstRowLastColumn="0" w:lastRowFirstColumn="0" w:lastRowLastColumn="0"/>
              <w:rPr>
                <w:bCs/>
                <w:color w:val="auto"/>
                <w:sz w:val="21"/>
                <w:szCs w:val="21"/>
              </w:rPr>
            </w:pPr>
            <w:r w:rsidRPr="00C801A6">
              <w:rPr>
                <w:bCs/>
                <w:color w:val="auto"/>
                <w:sz w:val="21"/>
                <w:szCs w:val="21"/>
              </w:rPr>
              <w:t>Néant</w:t>
            </w:r>
          </w:p>
        </w:tc>
      </w:tr>
      <w:tr w:rsidR="00C801A6" w:rsidRPr="00C801A6" w14:paraId="41890FEA" w14:textId="77777777" w:rsidTr="00347FDB">
        <w:trPr>
          <w:trHeight w:val="401"/>
        </w:trPr>
        <w:tc>
          <w:tcPr>
            <w:cnfStyle w:val="001000000000" w:firstRow="0" w:lastRow="0" w:firstColumn="1" w:lastColumn="0" w:oddVBand="0" w:evenVBand="0" w:oddHBand="0" w:evenHBand="0" w:firstRowFirstColumn="0" w:firstRowLastColumn="0" w:lastRowFirstColumn="0" w:lastRowLastColumn="0"/>
            <w:tcW w:w="3114" w:type="dxa"/>
            <w:shd w:val="clear" w:color="auto" w:fill="FFFFFF" w:themeFill="background1"/>
          </w:tcPr>
          <w:p w14:paraId="21673802" w14:textId="77777777" w:rsidR="00575CDF" w:rsidRPr="00C801A6" w:rsidRDefault="00575CDF" w:rsidP="00347FDB">
            <w:pPr>
              <w:spacing w:before="20" w:after="20"/>
              <w:jc w:val="left"/>
              <w:rPr>
                <w:b w:val="0"/>
                <w:color w:val="auto"/>
                <w:sz w:val="21"/>
                <w:szCs w:val="21"/>
              </w:rPr>
            </w:pPr>
            <w:r w:rsidRPr="00C801A6">
              <w:rPr>
                <w:b w:val="0"/>
                <w:color w:val="auto"/>
                <w:sz w:val="21"/>
                <w:szCs w:val="21"/>
              </w:rPr>
              <w:t>3. Obligation de faire une évaluation environnementale et sociale des services écosystémiques</w:t>
            </w:r>
          </w:p>
        </w:tc>
        <w:tc>
          <w:tcPr>
            <w:tcW w:w="3969" w:type="dxa"/>
            <w:shd w:val="clear" w:color="auto" w:fill="FFFFFF" w:themeFill="background1"/>
          </w:tcPr>
          <w:p w14:paraId="0FDC65C5" w14:textId="77777777" w:rsidR="00575CDF" w:rsidRPr="00C801A6" w:rsidRDefault="00575CDF" w:rsidP="00347FDB">
            <w:pPr>
              <w:spacing w:before="20" w:after="20"/>
              <w:jc w:val="left"/>
              <w:cnfStyle w:val="000000000000" w:firstRow="0" w:lastRow="0" w:firstColumn="0" w:lastColumn="0" w:oddVBand="0" w:evenVBand="0" w:oddHBand="0" w:evenHBand="0" w:firstRowFirstColumn="0" w:firstRowLastColumn="0" w:lastRowFirstColumn="0" w:lastRowLastColumn="0"/>
              <w:rPr>
                <w:bCs/>
                <w:color w:val="auto"/>
                <w:sz w:val="21"/>
                <w:szCs w:val="21"/>
              </w:rPr>
            </w:pPr>
          </w:p>
        </w:tc>
        <w:tc>
          <w:tcPr>
            <w:tcW w:w="2268" w:type="dxa"/>
            <w:shd w:val="clear" w:color="auto" w:fill="FFFFFF" w:themeFill="background1"/>
          </w:tcPr>
          <w:p w14:paraId="1538DD28" w14:textId="77777777" w:rsidR="00575CDF" w:rsidRPr="00C801A6" w:rsidRDefault="00575CDF" w:rsidP="00347FDB">
            <w:pPr>
              <w:spacing w:before="20" w:after="20"/>
              <w:jc w:val="left"/>
              <w:cnfStyle w:val="000000000000" w:firstRow="0" w:lastRow="0" w:firstColumn="0" w:lastColumn="0" w:oddVBand="0" w:evenVBand="0" w:oddHBand="0" w:evenHBand="0" w:firstRowFirstColumn="0" w:firstRowLastColumn="0" w:lastRowFirstColumn="0" w:lastRowLastColumn="0"/>
              <w:rPr>
                <w:bCs/>
                <w:color w:val="auto"/>
                <w:sz w:val="21"/>
                <w:szCs w:val="21"/>
              </w:rPr>
            </w:pPr>
          </w:p>
        </w:tc>
      </w:tr>
      <w:tr w:rsidR="00C801A6" w:rsidRPr="00C801A6" w14:paraId="08B1C15C" w14:textId="77777777" w:rsidTr="00D13682">
        <w:trPr>
          <w:cnfStyle w:val="000000100000" w:firstRow="0" w:lastRow="0" w:firstColumn="0" w:lastColumn="0" w:oddVBand="0" w:evenVBand="0" w:oddHBand="1"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3114" w:type="dxa"/>
            <w:tcBorders>
              <w:left w:val="none" w:sz="0" w:space="0" w:color="auto"/>
              <w:right w:val="none" w:sz="0" w:space="0" w:color="auto"/>
            </w:tcBorders>
            <w:shd w:val="clear" w:color="auto" w:fill="FFFFFF" w:themeFill="background1"/>
          </w:tcPr>
          <w:p w14:paraId="42344951" w14:textId="77777777" w:rsidR="00575CDF" w:rsidRPr="00C801A6" w:rsidRDefault="00575CDF" w:rsidP="00347FDB">
            <w:pPr>
              <w:spacing w:before="20" w:after="20"/>
              <w:jc w:val="left"/>
              <w:rPr>
                <w:b w:val="0"/>
                <w:color w:val="auto"/>
                <w:sz w:val="21"/>
                <w:szCs w:val="21"/>
              </w:rPr>
            </w:pPr>
            <w:r w:rsidRPr="00C801A6">
              <w:rPr>
                <w:b w:val="0"/>
                <w:color w:val="auto"/>
                <w:sz w:val="21"/>
                <w:szCs w:val="21"/>
              </w:rPr>
              <w:t>Gestion et sécurité des matières dangereuses</w:t>
            </w:r>
          </w:p>
        </w:tc>
        <w:tc>
          <w:tcPr>
            <w:tcW w:w="3969" w:type="dxa"/>
            <w:tcBorders>
              <w:left w:val="none" w:sz="0" w:space="0" w:color="auto"/>
              <w:right w:val="none" w:sz="0" w:space="0" w:color="auto"/>
            </w:tcBorders>
            <w:shd w:val="clear" w:color="auto" w:fill="FFFFFF" w:themeFill="background1"/>
          </w:tcPr>
          <w:p w14:paraId="6AED82F0" w14:textId="77777777" w:rsidR="00575CDF" w:rsidRPr="00C801A6" w:rsidRDefault="00575CDF" w:rsidP="00347FDB">
            <w:pPr>
              <w:spacing w:before="20" w:after="20"/>
              <w:jc w:val="left"/>
              <w:cnfStyle w:val="000000100000" w:firstRow="0" w:lastRow="0" w:firstColumn="0" w:lastColumn="0" w:oddVBand="0" w:evenVBand="0" w:oddHBand="1" w:evenHBand="0" w:firstRowFirstColumn="0" w:firstRowLastColumn="0" w:lastRowFirstColumn="0" w:lastRowLastColumn="0"/>
              <w:rPr>
                <w:bCs/>
                <w:color w:val="auto"/>
                <w:sz w:val="21"/>
                <w:szCs w:val="21"/>
              </w:rPr>
            </w:pPr>
          </w:p>
        </w:tc>
        <w:tc>
          <w:tcPr>
            <w:tcW w:w="2268" w:type="dxa"/>
            <w:tcBorders>
              <w:left w:val="none" w:sz="0" w:space="0" w:color="auto"/>
              <w:right w:val="none" w:sz="0" w:space="0" w:color="auto"/>
            </w:tcBorders>
            <w:shd w:val="clear" w:color="auto" w:fill="FFFFFF" w:themeFill="background1"/>
          </w:tcPr>
          <w:p w14:paraId="34C51B36" w14:textId="77777777" w:rsidR="00575CDF" w:rsidRPr="00C801A6" w:rsidRDefault="00575CDF" w:rsidP="00347FDB">
            <w:pPr>
              <w:spacing w:before="20" w:after="20"/>
              <w:jc w:val="left"/>
              <w:cnfStyle w:val="000000100000" w:firstRow="0" w:lastRow="0" w:firstColumn="0" w:lastColumn="0" w:oddVBand="0" w:evenVBand="0" w:oddHBand="1" w:evenHBand="0" w:firstRowFirstColumn="0" w:firstRowLastColumn="0" w:lastRowFirstColumn="0" w:lastRowLastColumn="0"/>
              <w:rPr>
                <w:bCs/>
                <w:color w:val="auto"/>
                <w:sz w:val="21"/>
                <w:szCs w:val="21"/>
              </w:rPr>
            </w:pPr>
            <w:r w:rsidRPr="00C801A6">
              <w:rPr>
                <w:bCs/>
                <w:color w:val="auto"/>
                <w:sz w:val="21"/>
                <w:szCs w:val="21"/>
              </w:rPr>
              <w:t>Néant</w:t>
            </w:r>
          </w:p>
        </w:tc>
      </w:tr>
      <w:tr w:rsidR="00C801A6" w:rsidRPr="00C801A6" w14:paraId="4E8B99A5" w14:textId="77777777" w:rsidTr="00347FDB">
        <w:trPr>
          <w:trHeight w:val="164"/>
        </w:trPr>
        <w:tc>
          <w:tcPr>
            <w:cnfStyle w:val="001000000000" w:firstRow="0" w:lastRow="0" w:firstColumn="1" w:lastColumn="0" w:oddVBand="0" w:evenVBand="0" w:oddHBand="0" w:evenHBand="0" w:firstRowFirstColumn="0" w:firstRowLastColumn="0" w:lastRowFirstColumn="0" w:lastRowLastColumn="0"/>
            <w:tcW w:w="3114" w:type="dxa"/>
            <w:shd w:val="clear" w:color="auto" w:fill="FFFFFF" w:themeFill="background1"/>
          </w:tcPr>
          <w:p w14:paraId="265398A0" w14:textId="77777777" w:rsidR="00575CDF" w:rsidRPr="00C801A6" w:rsidRDefault="00575CDF" w:rsidP="00347FDB">
            <w:pPr>
              <w:spacing w:before="20" w:after="20"/>
              <w:jc w:val="left"/>
              <w:rPr>
                <w:b w:val="0"/>
                <w:color w:val="auto"/>
                <w:sz w:val="21"/>
                <w:szCs w:val="21"/>
              </w:rPr>
            </w:pPr>
            <w:r w:rsidRPr="00C801A6">
              <w:rPr>
                <w:b w:val="0"/>
                <w:color w:val="auto"/>
                <w:sz w:val="21"/>
                <w:szCs w:val="21"/>
              </w:rPr>
              <w:lastRenderedPageBreak/>
              <w:t>4. Elaborer le Plan de gestion des déchets dangereux ou des matières dangereuses </w:t>
            </w:r>
          </w:p>
        </w:tc>
        <w:tc>
          <w:tcPr>
            <w:tcW w:w="3969" w:type="dxa"/>
            <w:shd w:val="clear" w:color="auto" w:fill="FFFFFF" w:themeFill="background1"/>
          </w:tcPr>
          <w:p w14:paraId="7013006C" w14:textId="77777777" w:rsidR="00575CDF" w:rsidRPr="00C801A6" w:rsidRDefault="00575CDF" w:rsidP="00347FDB">
            <w:pPr>
              <w:spacing w:before="20" w:after="20"/>
              <w:jc w:val="left"/>
              <w:cnfStyle w:val="000000000000" w:firstRow="0" w:lastRow="0" w:firstColumn="0" w:lastColumn="0" w:oddVBand="0" w:evenVBand="0" w:oddHBand="0" w:evenHBand="0" w:firstRowFirstColumn="0" w:firstRowLastColumn="0" w:lastRowFirstColumn="0" w:lastRowLastColumn="0"/>
              <w:rPr>
                <w:bCs/>
                <w:color w:val="auto"/>
                <w:sz w:val="21"/>
                <w:szCs w:val="21"/>
              </w:rPr>
            </w:pPr>
            <w:r w:rsidRPr="00C801A6">
              <w:rPr>
                <w:bCs/>
                <w:color w:val="auto"/>
                <w:sz w:val="21"/>
                <w:szCs w:val="21"/>
              </w:rPr>
              <w:t>9. Obligation d’éviter et d’exposer l’exposition des communautés aux matières et substances dangereuses qui peuvent être émises par le projet</w:t>
            </w:r>
          </w:p>
        </w:tc>
        <w:tc>
          <w:tcPr>
            <w:tcW w:w="2268" w:type="dxa"/>
            <w:shd w:val="clear" w:color="auto" w:fill="FFFFFF" w:themeFill="background1"/>
          </w:tcPr>
          <w:p w14:paraId="24042852" w14:textId="77777777" w:rsidR="00575CDF" w:rsidRPr="00C801A6" w:rsidRDefault="00575CDF" w:rsidP="00347FDB">
            <w:pPr>
              <w:spacing w:before="20" w:after="20"/>
              <w:jc w:val="left"/>
              <w:cnfStyle w:val="000000000000" w:firstRow="0" w:lastRow="0" w:firstColumn="0" w:lastColumn="0" w:oddVBand="0" w:evenVBand="0" w:oddHBand="0" w:evenHBand="0" w:firstRowFirstColumn="0" w:firstRowLastColumn="0" w:lastRowFirstColumn="0" w:lastRowLastColumn="0"/>
              <w:rPr>
                <w:bCs/>
                <w:color w:val="auto"/>
                <w:sz w:val="21"/>
                <w:szCs w:val="21"/>
              </w:rPr>
            </w:pPr>
          </w:p>
        </w:tc>
      </w:tr>
      <w:tr w:rsidR="00C801A6" w:rsidRPr="00C801A6" w14:paraId="183F4B95" w14:textId="77777777" w:rsidTr="00D13682">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3114" w:type="dxa"/>
            <w:tcBorders>
              <w:left w:val="none" w:sz="0" w:space="0" w:color="auto"/>
              <w:right w:val="none" w:sz="0" w:space="0" w:color="auto"/>
            </w:tcBorders>
            <w:shd w:val="clear" w:color="auto" w:fill="FFFFFF" w:themeFill="background1"/>
          </w:tcPr>
          <w:p w14:paraId="5C923032" w14:textId="77777777" w:rsidR="00575CDF" w:rsidRPr="00C801A6" w:rsidRDefault="00575CDF" w:rsidP="00347FDB">
            <w:pPr>
              <w:spacing w:before="20" w:after="20"/>
              <w:jc w:val="left"/>
              <w:rPr>
                <w:b w:val="0"/>
                <w:color w:val="auto"/>
                <w:sz w:val="21"/>
                <w:szCs w:val="21"/>
              </w:rPr>
            </w:pPr>
            <w:r w:rsidRPr="00C801A6">
              <w:rPr>
                <w:b w:val="0"/>
                <w:color w:val="auto"/>
                <w:sz w:val="21"/>
                <w:szCs w:val="21"/>
              </w:rPr>
              <w:t>Gestion des urgences</w:t>
            </w:r>
          </w:p>
        </w:tc>
        <w:tc>
          <w:tcPr>
            <w:tcW w:w="3969" w:type="dxa"/>
            <w:tcBorders>
              <w:left w:val="none" w:sz="0" w:space="0" w:color="auto"/>
              <w:right w:val="none" w:sz="0" w:space="0" w:color="auto"/>
            </w:tcBorders>
            <w:shd w:val="clear" w:color="auto" w:fill="FFFFFF" w:themeFill="background1"/>
          </w:tcPr>
          <w:p w14:paraId="6F4FE586" w14:textId="77777777" w:rsidR="00575CDF" w:rsidRPr="00C801A6" w:rsidRDefault="00575CDF" w:rsidP="00347FDB">
            <w:pPr>
              <w:spacing w:before="20" w:after="20"/>
              <w:jc w:val="left"/>
              <w:cnfStyle w:val="000000100000" w:firstRow="0" w:lastRow="0" w:firstColumn="0" w:lastColumn="0" w:oddVBand="0" w:evenVBand="0" w:oddHBand="1" w:evenHBand="0" w:firstRowFirstColumn="0" w:firstRowLastColumn="0" w:lastRowFirstColumn="0" w:lastRowLastColumn="0"/>
              <w:rPr>
                <w:bCs/>
                <w:color w:val="auto"/>
                <w:sz w:val="21"/>
                <w:szCs w:val="21"/>
              </w:rPr>
            </w:pPr>
          </w:p>
        </w:tc>
        <w:tc>
          <w:tcPr>
            <w:tcW w:w="2268" w:type="dxa"/>
            <w:tcBorders>
              <w:left w:val="none" w:sz="0" w:space="0" w:color="auto"/>
              <w:right w:val="none" w:sz="0" w:space="0" w:color="auto"/>
            </w:tcBorders>
            <w:shd w:val="clear" w:color="auto" w:fill="FFFFFF" w:themeFill="background1"/>
          </w:tcPr>
          <w:p w14:paraId="67252D14" w14:textId="77777777" w:rsidR="00575CDF" w:rsidRPr="00C801A6" w:rsidRDefault="00575CDF" w:rsidP="00347FDB">
            <w:pPr>
              <w:spacing w:before="20" w:after="20"/>
              <w:jc w:val="left"/>
              <w:cnfStyle w:val="000000100000" w:firstRow="0" w:lastRow="0" w:firstColumn="0" w:lastColumn="0" w:oddVBand="0" w:evenVBand="0" w:oddHBand="1" w:evenHBand="0" w:firstRowFirstColumn="0" w:firstRowLastColumn="0" w:lastRowFirstColumn="0" w:lastRowLastColumn="0"/>
              <w:rPr>
                <w:bCs/>
                <w:color w:val="auto"/>
                <w:sz w:val="21"/>
                <w:szCs w:val="21"/>
              </w:rPr>
            </w:pPr>
            <w:r w:rsidRPr="00C801A6">
              <w:rPr>
                <w:bCs/>
                <w:color w:val="auto"/>
                <w:sz w:val="21"/>
                <w:szCs w:val="21"/>
              </w:rPr>
              <w:t>Néant</w:t>
            </w:r>
          </w:p>
        </w:tc>
      </w:tr>
      <w:tr w:rsidR="00C801A6" w:rsidRPr="00C801A6" w14:paraId="68611672" w14:textId="77777777" w:rsidTr="00347FDB">
        <w:trPr>
          <w:trHeight w:val="330"/>
        </w:trPr>
        <w:tc>
          <w:tcPr>
            <w:cnfStyle w:val="001000000000" w:firstRow="0" w:lastRow="0" w:firstColumn="1" w:lastColumn="0" w:oddVBand="0" w:evenVBand="0" w:oddHBand="0" w:evenHBand="0" w:firstRowFirstColumn="0" w:firstRowLastColumn="0" w:lastRowFirstColumn="0" w:lastRowLastColumn="0"/>
            <w:tcW w:w="3114" w:type="dxa"/>
            <w:shd w:val="clear" w:color="auto" w:fill="FFFFFF" w:themeFill="background1"/>
          </w:tcPr>
          <w:p w14:paraId="4F435B82" w14:textId="77777777" w:rsidR="00575CDF" w:rsidRPr="00C801A6" w:rsidRDefault="00575CDF" w:rsidP="00347FDB">
            <w:pPr>
              <w:spacing w:before="20" w:after="20"/>
              <w:jc w:val="left"/>
              <w:rPr>
                <w:b w:val="0"/>
                <w:color w:val="auto"/>
                <w:sz w:val="21"/>
                <w:szCs w:val="21"/>
              </w:rPr>
            </w:pPr>
            <w:r w:rsidRPr="00C801A6">
              <w:rPr>
                <w:b w:val="0"/>
                <w:color w:val="auto"/>
                <w:sz w:val="21"/>
                <w:szCs w:val="21"/>
              </w:rPr>
              <w:t>5. Définition de la situation d’urgence</w:t>
            </w:r>
          </w:p>
          <w:p w14:paraId="661A75E6" w14:textId="77777777" w:rsidR="00575CDF" w:rsidRPr="00C801A6" w:rsidRDefault="00575CDF" w:rsidP="00347FDB">
            <w:pPr>
              <w:spacing w:before="20" w:after="20"/>
              <w:jc w:val="left"/>
              <w:rPr>
                <w:b w:val="0"/>
                <w:color w:val="auto"/>
                <w:sz w:val="21"/>
                <w:szCs w:val="21"/>
              </w:rPr>
            </w:pPr>
            <w:r w:rsidRPr="00C801A6">
              <w:rPr>
                <w:b w:val="0"/>
                <w:color w:val="auto"/>
                <w:sz w:val="21"/>
                <w:szCs w:val="21"/>
              </w:rPr>
              <w:t>6. Obligation d’une évaluation des risques et dangers (ERD) dans le cadre de EES</w:t>
            </w:r>
          </w:p>
          <w:p w14:paraId="2029D312" w14:textId="77777777" w:rsidR="00575CDF" w:rsidRPr="00C801A6" w:rsidRDefault="00575CDF" w:rsidP="00347FDB">
            <w:pPr>
              <w:spacing w:before="20" w:after="20"/>
              <w:jc w:val="left"/>
              <w:rPr>
                <w:b w:val="0"/>
                <w:color w:val="auto"/>
                <w:sz w:val="21"/>
                <w:szCs w:val="21"/>
              </w:rPr>
            </w:pPr>
            <w:r w:rsidRPr="00C801A6">
              <w:rPr>
                <w:b w:val="0"/>
                <w:color w:val="auto"/>
                <w:sz w:val="21"/>
                <w:szCs w:val="21"/>
              </w:rPr>
              <w:t>7. Préparation d’un Plan d’intervention d’urgence (PIU) sur la base des conclusions de l’ERD : dispositions relatives à la prévention, à la préparation et aux réponses</w:t>
            </w:r>
          </w:p>
        </w:tc>
        <w:tc>
          <w:tcPr>
            <w:tcW w:w="3969" w:type="dxa"/>
            <w:shd w:val="clear" w:color="auto" w:fill="FFFFFF" w:themeFill="background1"/>
          </w:tcPr>
          <w:p w14:paraId="7F931D32" w14:textId="77777777" w:rsidR="00575CDF" w:rsidRPr="00C801A6" w:rsidRDefault="00575CDF" w:rsidP="00347FDB">
            <w:pPr>
              <w:spacing w:before="20" w:after="20"/>
              <w:jc w:val="left"/>
              <w:cnfStyle w:val="000000000000" w:firstRow="0" w:lastRow="0" w:firstColumn="0" w:lastColumn="0" w:oddVBand="0" w:evenVBand="0" w:oddHBand="0" w:evenHBand="0" w:firstRowFirstColumn="0" w:firstRowLastColumn="0" w:lastRowFirstColumn="0" w:lastRowLastColumn="0"/>
              <w:rPr>
                <w:bCs/>
                <w:color w:val="auto"/>
                <w:sz w:val="21"/>
                <w:szCs w:val="21"/>
              </w:rPr>
            </w:pPr>
            <w:r w:rsidRPr="00C801A6">
              <w:rPr>
                <w:bCs/>
                <w:color w:val="auto"/>
                <w:sz w:val="21"/>
                <w:szCs w:val="21"/>
              </w:rPr>
              <w:t>10. Nécessité de préparer un Plan d’intervention d’urgence des travailleurs pour assurer la sécurité des biens et du personnel du projet</w:t>
            </w:r>
          </w:p>
          <w:p w14:paraId="49D40831" w14:textId="77777777" w:rsidR="00575CDF" w:rsidRPr="00C801A6" w:rsidRDefault="00575CDF" w:rsidP="00347FDB">
            <w:pPr>
              <w:spacing w:before="20" w:after="20"/>
              <w:jc w:val="left"/>
              <w:cnfStyle w:val="000000000000" w:firstRow="0" w:lastRow="0" w:firstColumn="0" w:lastColumn="0" w:oddVBand="0" w:evenVBand="0" w:oddHBand="0" w:evenHBand="0" w:firstRowFirstColumn="0" w:firstRowLastColumn="0" w:lastRowFirstColumn="0" w:lastRowLastColumn="0"/>
              <w:rPr>
                <w:bCs/>
                <w:color w:val="auto"/>
                <w:sz w:val="21"/>
                <w:szCs w:val="21"/>
              </w:rPr>
            </w:pPr>
            <w:r w:rsidRPr="00C801A6">
              <w:rPr>
                <w:bCs/>
                <w:color w:val="auto"/>
                <w:sz w:val="21"/>
                <w:szCs w:val="21"/>
              </w:rPr>
              <w:t xml:space="preserve">11. Nécessité de concevoir des codes de bonne conduite </w:t>
            </w:r>
          </w:p>
          <w:p w14:paraId="664B118C" w14:textId="77777777" w:rsidR="00575CDF" w:rsidRPr="00C801A6" w:rsidRDefault="00575CDF" w:rsidP="00347FDB">
            <w:pPr>
              <w:spacing w:before="20" w:after="20"/>
              <w:jc w:val="left"/>
              <w:cnfStyle w:val="000000000000" w:firstRow="0" w:lastRow="0" w:firstColumn="0" w:lastColumn="0" w:oddVBand="0" w:evenVBand="0" w:oddHBand="0" w:evenHBand="0" w:firstRowFirstColumn="0" w:firstRowLastColumn="0" w:lastRowFirstColumn="0" w:lastRowLastColumn="0"/>
              <w:rPr>
                <w:bCs/>
                <w:color w:val="auto"/>
                <w:sz w:val="21"/>
                <w:szCs w:val="21"/>
              </w:rPr>
            </w:pPr>
          </w:p>
        </w:tc>
        <w:tc>
          <w:tcPr>
            <w:tcW w:w="2268" w:type="dxa"/>
            <w:shd w:val="clear" w:color="auto" w:fill="FFFFFF" w:themeFill="background1"/>
          </w:tcPr>
          <w:p w14:paraId="68ED0837" w14:textId="77777777" w:rsidR="00575CDF" w:rsidRPr="00C801A6" w:rsidRDefault="00575CDF" w:rsidP="00347FDB">
            <w:pPr>
              <w:spacing w:before="20" w:after="20"/>
              <w:jc w:val="left"/>
              <w:cnfStyle w:val="000000000000" w:firstRow="0" w:lastRow="0" w:firstColumn="0" w:lastColumn="0" w:oddVBand="0" w:evenVBand="0" w:oddHBand="0" w:evenHBand="0" w:firstRowFirstColumn="0" w:firstRowLastColumn="0" w:lastRowFirstColumn="0" w:lastRowLastColumn="0"/>
              <w:rPr>
                <w:bCs/>
                <w:color w:val="auto"/>
                <w:sz w:val="21"/>
                <w:szCs w:val="21"/>
              </w:rPr>
            </w:pPr>
          </w:p>
        </w:tc>
      </w:tr>
    </w:tbl>
    <w:p w14:paraId="6FA705E7" w14:textId="77777777" w:rsidR="00575CDF" w:rsidRPr="00C801A6" w:rsidRDefault="00575CDF" w:rsidP="003042DB">
      <w:pPr>
        <w:pStyle w:val="Heading4"/>
        <w:rPr>
          <w:rFonts w:asciiTheme="minorHAnsi" w:eastAsiaTheme="minorEastAsia" w:hAnsiTheme="minorHAnsi" w:cstheme="minorBidi"/>
          <w:color w:val="auto"/>
          <w:lang w:val="fr"/>
        </w:rPr>
      </w:pPr>
      <w:bookmarkStart w:id="512" w:name="_Toc230298788"/>
      <w:r w:rsidRPr="00C801A6">
        <w:rPr>
          <w:rFonts w:eastAsia="Arial"/>
          <w:color w:val="auto"/>
          <w:lang w:val="fr"/>
        </w:rPr>
        <w:t>Application de la NES 4 par le Projet Transport</w:t>
      </w:r>
      <w:bookmarkEnd w:id="512"/>
    </w:p>
    <w:p w14:paraId="759A5DBC" w14:textId="7A081919" w:rsidR="00575CDF" w:rsidRPr="00C801A6" w:rsidRDefault="00575CDF" w:rsidP="00575CDF">
      <w:pPr>
        <w:pStyle w:val="justify"/>
        <w:spacing w:before="0" w:beforeAutospacing="0" w:after="160" w:afterAutospacing="0" w:line="276" w:lineRule="auto"/>
        <w:jc w:val="both"/>
        <w:rPr>
          <w:rFonts w:ascii="Times New Roman" w:eastAsiaTheme="minorEastAsia" w:hAnsi="Times New Roman"/>
          <w:szCs w:val="22"/>
          <w:lang w:val="fr"/>
        </w:rPr>
      </w:pPr>
      <w:r w:rsidRPr="00C801A6">
        <w:rPr>
          <w:rFonts w:ascii="Times New Roman" w:eastAsiaTheme="minorEastAsia" w:hAnsi="Times New Roman"/>
          <w:szCs w:val="22"/>
          <w:lang w:val="fr"/>
        </w:rPr>
        <w:t xml:space="preserve">Le Projet </w:t>
      </w:r>
      <w:r w:rsidR="003349AF" w:rsidRPr="00C801A6">
        <w:rPr>
          <w:rFonts w:ascii="Times New Roman" w:eastAsiaTheme="minorEastAsia" w:hAnsi="Times New Roman"/>
          <w:szCs w:val="22"/>
          <w:lang w:val="fr"/>
        </w:rPr>
        <w:t>P</w:t>
      </w:r>
      <w:r w:rsidR="00E31B59">
        <w:rPr>
          <w:rFonts w:ascii="Times New Roman" w:eastAsiaTheme="minorEastAsia" w:hAnsi="Times New Roman"/>
          <w:szCs w:val="22"/>
          <w:lang w:val="fr"/>
        </w:rPr>
        <w:t>CMCI</w:t>
      </w:r>
      <w:r w:rsidRPr="00C801A6">
        <w:rPr>
          <w:rFonts w:ascii="Times New Roman" w:eastAsiaTheme="minorEastAsia" w:hAnsi="Times New Roman"/>
          <w:szCs w:val="22"/>
          <w:lang w:val="fr"/>
        </w:rPr>
        <w:t xml:space="preserve"> prendra en compte toutes les exigences et les recommandations </w:t>
      </w:r>
      <w:r w:rsidR="00B03E96">
        <w:rPr>
          <w:rFonts w:ascii="Times New Roman" w:eastAsiaTheme="minorEastAsia" w:hAnsi="Times New Roman"/>
          <w:szCs w:val="22"/>
          <w:lang w:val="fr"/>
        </w:rPr>
        <w:t>de</w:t>
      </w:r>
      <w:r w:rsidRPr="00C801A6">
        <w:rPr>
          <w:rFonts w:ascii="Times New Roman" w:eastAsiaTheme="minorEastAsia" w:hAnsi="Times New Roman"/>
          <w:szCs w:val="22"/>
          <w:lang w:val="fr"/>
        </w:rPr>
        <w:t xml:space="preserve"> la NES4, ainsi que les dispositions légales du cadre national tel que décrites ci-dessus. Vu que les exigences de la NES4 sont beaucoup plus précises que les dispositions de la législation nationale, la mise en œuvre toutes les composantes du Projet et de ses sous-composantes sera régie par la NES4. Aussi, il est prévu que les parties prenantes concernées (travailleurs, entreprises contractuelles, fournisseurs d’intrants, entrepreneurs subventionnés, etc.) signent les Codes de conduite pour justement assurer la sécurité et la santé des communautés dans toutes les localités où le Projet interviendra.</w:t>
      </w:r>
    </w:p>
    <w:p w14:paraId="3E0AE803" w14:textId="06C185A7" w:rsidR="00575CDF" w:rsidRPr="00DD217E" w:rsidRDefault="00E31B59" w:rsidP="00C65572">
      <w:pPr>
        <w:pStyle w:val="Heading3"/>
        <w:rPr>
          <w:rFonts w:eastAsia="Arial"/>
        </w:rPr>
      </w:pPr>
      <w:bookmarkStart w:id="513" w:name="_Toc106320334"/>
      <w:bookmarkStart w:id="514" w:name="_Toc230426040"/>
      <w:r w:rsidRPr="00E31B59">
        <w:rPr>
          <w:noProof/>
          <w:lang w:val=""/>
        </w:rPr>
        <mc:AlternateContent>
          <mc:Choice Requires="wps">
            <w:drawing>
              <wp:anchor distT="45720" distB="45720" distL="114300" distR="114300" simplePos="0" relativeHeight="251658244" behindDoc="0" locked="0" layoutInCell="1" allowOverlap="1" wp14:anchorId="28389070" wp14:editId="79855C1C">
                <wp:simplePos x="0" y="0"/>
                <wp:positionH relativeFrom="margin">
                  <wp:align>left</wp:align>
                </wp:positionH>
                <wp:positionV relativeFrom="paragraph">
                  <wp:posOffset>656590</wp:posOffset>
                </wp:positionV>
                <wp:extent cx="5798820" cy="1404620"/>
                <wp:effectExtent l="0" t="0" r="11430" b="23495"/>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8820" cy="1404620"/>
                        </a:xfrm>
                        <a:prstGeom prst="rect">
                          <a:avLst/>
                        </a:prstGeom>
                        <a:solidFill>
                          <a:schemeClr val="accent2">
                            <a:lumMod val="20000"/>
                            <a:lumOff val="80000"/>
                          </a:schemeClr>
                        </a:solidFill>
                        <a:ln w="9525">
                          <a:solidFill>
                            <a:srgbClr val="000000"/>
                          </a:solidFill>
                          <a:miter lim="800000"/>
                          <a:headEnd/>
                          <a:tailEnd/>
                        </a:ln>
                      </wps:spPr>
                      <wps:txbx>
                        <w:txbxContent>
                          <w:p w14:paraId="5C6219C6" w14:textId="3A844EFD" w:rsidR="00E87A90" w:rsidRPr="00E31B59" w:rsidRDefault="00E87A90">
                            <w:pPr>
                              <w:rPr>
                                <w:color w:val="auto"/>
                                <w:lang w:val=""/>
                              </w:rPr>
                            </w:pPr>
                            <w:r w:rsidRPr="00C801A6">
                              <w:rPr>
                                <w:color w:val="auto"/>
                                <w:lang w:val=""/>
                              </w:rPr>
                              <w:t>A titre de rappel, cette sous-section s’applique uniquement à la Composante 1 du P</w:t>
                            </w:r>
                            <w:r>
                              <w:rPr>
                                <w:color w:val="auto"/>
                                <w:lang w:val=""/>
                              </w:rPr>
                              <w:t>CMCI</w:t>
                            </w:r>
                            <w:r w:rsidRPr="00C801A6">
                              <w:rPr>
                                <w:color w:val="auto"/>
                                <w:lang w:val=""/>
                              </w:rPr>
                              <w:t xml:space="preserve"> et non aux activités </w:t>
                            </w:r>
                            <w:r>
                              <w:rPr>
                                <w:color w:val="auto"/>
                                <w:lang w:val=""/>
                              </w:rPr>
                              <w:t>de la composante 4 (</w:t>
                            </w:r>
                            <w:r w:rsidRPr="00C801A6">
                              <w:rPr>
                                <w:color w:val="auto"/>
                                <w:lang w:val=""/>
                              </w:rPr>
                              <w:t>CERC</w:t>
                            </w:r>
                            <w:r>
                              <w:rPr>
                                <w:color w:val="auto"/>
                                <w:lang w:val=""/>
                              </w:rPr>
                              <w:t>)</w:t>
                            </w:r>
                            <w:r w:rsidRPr="00C801A6">
                              <w:rPr>
                                <w:color w:val="auto"/>
                                <w:lang w:val=""/>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8389070" id="_x0000_t202" coordsize="21600,21600" o:spt="202" path="m,l,21600r21600,l21600,xe">
                <v:stroke joinstyle="miter"/>
                <v:path gradientshapeok="t" o:connecttype="rect"/>
              </v:shapetype>
              <v:shape id="Zone de texte 2" o:spid="_x0000_s1027" type="#_x0000_t202" style="position:absolute;left:0;text-align:left;margin-left:0;margin-top:51.7pt;width:456.6pt;height:110.6pt;z-index:251658244;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1IWNAIAAGUEAAAOAAAAZHJzL2Uyb0RvYy54bWysVNuO0zAQfUfiHyy/06RVu9tGTVdLlyKk&#10;ZUFa+ADHcRoL22Nst0n5esZO2u3CG+LF8szEZy7nTNZ3vVbkKJyXYEo6neSUCMOhlmZf0u/fdu+W&#10;lPjATM0UGFHSk/D0bvP2zbqzhZhBC6oWjiCI8UVnS9qGYIss87wVmvkJWGEw2IDTLKDp9lntWIfo&#10;WmWzPL/JOnC1dcCF9+h9GIJ0k/CbRvDwpWm8CESVFGsL6XTprOKZbdas2DtmW8nHMtg/VKGZNJj0&#10;AvXAAiMHJ/+C0pI78NCECQedQdNILlIP2M00/6Ob55ZZkXrB4Xh7GZP/f7D86fhsvzoS+vfQI4Gp&#10;CW8fgf/wxMC2ZWYv7p2DrhWsxsTTOLKss74Yn8ZR+8JHkKr7DDWSzA4BElDfOB2ngn0SREcCTpeh&#10;iz4Qjs7F7Wq5nGGIY2w6z+c3aMQcrDg/t86HjwI0iZeSOmQ1wbPjow/Dp+dPYjYPStY7qVQyopLE&#10;VjlyZKgBxrkwYZaeq4PGegc/aikf1YBu1MzgXp7dWE3SZERKtb1KogzpSrpazBYJ+FXMu311SR/h&#10;hjwR8LpOLQMugpK6pCnpWEyc+gdTJ5kGJtVwx8fKjDTEyQ8chL7qiaxHjiIrFdQn5MXBoHvcU7y0&#10;4H5R0qHmS+p/HpgTlKhPBrldTefzuCTJmC9uIyvuOlJdR5jhCFXSQMlw3Ya0WGnq9h41sJOJnZdK&#10;xpJRy2mG497FZbm201cvf4fNbwAAAP//AwBQSwMEFAAGAAgAAAAhAL4j+0DeAAAACAEAAA8AAABk&#10;cnMvZG93bnJldi54bWxMj0tPwzAQhO9I/AdrkbhRp0lVQYhTIRAHxKnleXTjzQPidRI7j/57lhMc&#10;Z2c18022W2wrJhx840jBehWBQCqcaahS8PryeHUNwgdNRreOUMEJPezy87NMp8bNtMfpECrBIeRT&#10;raAOoUul9EWNVvuV65DYK91gdWA5VNIMeuZw28o4irbS6oa4odYd3tdYfB9Gq+Dz4fRUfbyNrnzu&#10;91P5bvpm/uqVurxY7m5BBFzC3zP84jM65Mx0dCMZL1oFPCTwNUo2INi+WScxiKOCJN5sQeaZ/D8g&#10;/wEAAP//AwBQSwECLQAUAAYACAAAACEAtoM4kv4AAADhAQAAEwAAAAAAAAAAAAAAAAAAAAAAW0Nv&#10;bnRlbnRfVHlwZXNdLnhtbFBLAQItABQABgAIAAAAIQA4/SH/1gAAAJQBAAALAAAAAAAAAAAAAAAA&#10;AC8BAABfcmVscy8ucmVsc1BLAQItABQABgAIAAAAIQDM81IWNAIAAGUEAAAOAAAAAAAAAAAAAAAA&#10;AC4CAABkcnMvZTJvRG9jLnhtbFBLAQItABQABgAIAAAAIQC+I/tA3gAAAAgBAAAPAAAAAAAAAAAA&#10;AAAAAI4EAABkcnMvZG93bnJldi54bWxQSwUGAAAAAAQABADzAAAAmQUAAAAA&#10;" fillcolor="#fbe4d5 [661]">
                <v:textbox style="mso-fit-shape-to-text:t">
                  <w:txbxContent>
                    <w:p w14:paraId="5C6219C6" w14:textId="3A844EFD" w:rsidR="00E87A90" w:rsidRPr="00E31B59" w:rsidRDefault="00E87A90">
                      <w:pPr>
                        <w:rPr>
                          <w:color w:val="auto"/>
                          <w:lang w:val=""/>
                        </w:rPr>
                      </w:pPr>
                      <w:r w:rsidRPr="00C801A6">
                        <w:rPr>
                          <w:color w:val="auto"/>
                          <w:lang w:val=""/>
                        </w:rPr>
                        <w:t>A titre de rappel, cette sous-section s’applique uniquement à la Composante 1 du P</w:t>
                      </w:r>
                      <w:r>
                        <w:rPr>
                          <w:color w:val="auto"/>
                          <w:lang w:val=""/>
                        </w:rPr>
                        <w:t>CMCI</w:t>
                      </w:r>
                      <w:r w:rsidRPr="00C801A6">
                        <w:rPr>
                          <w:color w:val="auto"/>
                          <w:lang w:val=""/>
                        </w:rPr>
                        <w:t xml:space="preserve"> et non aux activités </w:t>
                      </w:r>
                      <w:r>
                        <w:rPr>
                          <w:color w:val="auto"/>
                          <w:lang w:val=""/>
                        </w:rPr>
                        <w:t>de la composante 4 (</w:t>
                      </w:r>
                      <w:r w:rsidRPr="00C801A6">
                        <w:rPr>
                          <w:color w:val="auto"/>
                          <w:lang w:val=""/>
                        </w:rPr>
                        <w:t>CERC</w:t>
                      </w:r>
                      <w:r>
                        <w:rPr>
                          <w:color w:val="auto"/>
                          <w:lang w:val=""/>
                        </w:rPr>
                        <w:t>)</w:t>
                      </w:r>
                      <w:r w:rsidRPr="00C801A6">
                        <w:rPr>
                          <w:color w:val="auto"/>
                          <w:lang w:val=""/>
                        </w:rPr>
                        <w:t>.</w:t>
                      </w:r>
                    </w:p>
                  </w:txbxContent>
                </v:textbox>
                <w10:wrap type="square" anchorx="margin"/>
              </v:shape>
            </w:pict>
          </mc:Fallback>
        </mc:AlternateContent>
      </w:r>
      <w:r w:rsidR="00575CDF" w:rsidRPr="00DD217E">
        <w:rPr>
          <w:rFonts w:eastAsia="Arial"/>
        </w:rPr>
        <w:t>Acquisition des terres, restrictions à l’utilisation des terres et réinstallation involontaire</w:t>
      </w:r>
      <w:bookmarkEnd w:id="513"/>
      <w:bookmarkEnd w:id="514"/>
    </w:p>
    <w:p w14:paraId="641EC908" w14:textId="77777777" w:rsidR="00575CDF" w:rsidRPr="00DD217E" w:rsidRDefault="00575CDF" w:rsidP="00C65572">
      <w:pPr>
        <w:pStyle w:val="Heading3"/>
      </w:pPr>
      <w:bookmarkStart w:id="515" w:name="_Toc106320335"/>
      <w:bookmarkStart w:id="516" w:name="_Toc230426041"/>
      <w:r w:rsidRPr="00DD217E">
        <w:rPr>
          <w:rFonts w:eastAsia="Arial"/>
        </w:rPr>
        <w:t>Conservation de la biodiversité et gestion durable des ressources naturelles vivantes</w:t>
      </w:r>
      <w:bookmarkEnd w:id="515"/>
      <w:bookmarkEnd w:id="516"/>
    </w:p>
    <w:p w14:paraId="0C133557" w14:textId="7103FAB8" w:rsidR="00575CDF" w:rsidRPr="00DD217E" w:rsidRDefault="00575CDF" w:rsidP="1949FB49">
      <w:pPr>
        <w:pStyle w:val="Heading4"/>
        <w:rPr>
          <w:rFonts w:eastAsia="Arial"/>
          <w:color w:val="auto"/>
        </w:rPr>
      </w:pPr>
      <w:bookmarkStart w:id="517" w:name="_Toc230298789"/>
      <w:r w:rsidRPr="00DD217E">
        <w:rPr>
          <w:rFonts w:eastAsia="Arial"/>
          <w:color w:val="auto"/>
        </w:rPr>
        <w:t>Cadre juridique national régissant la conservation de la biodiversité et de la gestion durable des ressources naturelles vivantes</w:t>
      </w:r>
      <w:bookmarkEnd w:id="517"/>
    </w:p>
    <w:p w14:paraId="57F200A1" w14:textId="77777777" w:rsidR="00575CDF" w:rsidRPr="00DD217E" w:rsidRDefault="00575CDF" w:rsidP="1949FB49">
      <w:pPr>
        <w:rPr>
          <w:color w:val="auto"/>
        </w:rPr>
      </w:pPr>
      <w:r w:rsidRPr="00DD217E">
        <w:rPr>
          <w:color w:val="auto"/>
        </w:rPr>
        <w:t>Compte tenu de la richesse biologique du pays, Madagascar dispose d’un cadre réglementaire légal et réglementaire bien fourni en matière de conservation de la biodiversité et de gestion durable des ressources naturelles. Les deux principaux documents du cadre juridique y afférent sont la Charte de l’Environnement actualisée, le Code des aires protégées (COAP) ainsi que la législation forestière. Le COAP donne les notions, définitions, les statuts, et le classement des différents types d’habitat « naturel » à conserver.</w:t>
      </w:r>
    </w:p>
    <w:p w14:paraId="7A0EF8E7" w14:textId="77777777" w:rsidR="00575CDF" w:rsidRPr="00DD217E" w:rsidRDefault="00575CDF" w:rsidP="1949FB49">
      <w:pPr>
        <w:rPr>
          <w:color w:val="auto"/>
        </w:rPr>
      </w:pPr>
      <w:r w:rsidRPr="00DD217E">
        <w:rPr>
          <w:color w:val="auto"/>
        </w:rPr>
        <w:lastRenderedPageBreak/>
        <w:t xml:space="preserve">La Charte de l’Environnement fait mention de l’obligation de conserver la biodiversité, les habitats, les écosystèmes et les espèces ayant une valeur écologique et un intérêt de conservation. La Charte de l’Environnement énonce également le principe de compensation des actions qui sont à l’origine de la dégradation de l’environnement. </w:t>
      </w:r>
    </w:p>
    <w:p w14:paraId="2B6F9CA5" w14:textId="77777777" w:rsidR="00575CDF" w:rsidRPr="00DD217E" w:rsidRDefault="00575CDF" w:rsidP="1949FB49">
      <w:pPr>
        <w:rPr>
          <w:color w:val="auto"/>
        </w:rPr>
      </w:pPr>
      <w:r w:rsidRPr="00DD217E">
        <w:rPr>
          <w:color w:val="auto"/>
        </w:rPr>
        <w:t>La gestion durable des ressources forestière est régie dans une certaine mesure par la politique forestière et le Décret sur le reboisement.</w:t>
      </w:r>
    </w:p>
    <w:p w14:paraId="73D940FA" w14:textId="77777777" w:rsidR="00575CDF" w:rsidRPr="00C801A6" w:rsidRDefault="00575CDF" w:rsidP="003042DB">
      <w:pPr>
        <w:pStyle w:val="Heading4"/>
        <w:rPr>
          <w:color w:val="auto"/>
        </w:rPr>
      </w:pPr>
      <w:bookmarkStart w:id="518" w:name="_Toc230298790"/>
      <w:r w:rsidRPr="00C801A6">
        <w:rPr>
          <w:color w:val="auto"/>
        </w:rPr>
        <w:t>Norme environnementale et sociale n°6 : Conservation de la biodiversité et gestion durable des ressources naturelles vivantes</w:t>
      </w:r>
      <w:bookmarkEnd w:id="518"/>
      <w:r w:rsidRPr="00C801A6">
        <w:rPr>
          <w:color w:val="auto"/>
        </w:rPr>
        <w:t xml:space="preserve"> </w:t>
      </w:r>
    </w:p>
    <w:p w14:paraId="709EAB42" w14:textId="77777777" w:rsidR="00575CDF" w:rsidRPr="00C801A6" w:rsidRDefault="00575CDF" w:rsidP="00575CDF">
      <w:pPr>
        <w:pStyle w:val="justify"/>
        <w:shd w:val="clear" w:color="auto" w:fill="FFFFFF"/>
        <w:spacing w:before="0" w:beforeAutospacing="0" w:after="160" w:afterAutospacing="0" w:line="276" w:lineRule="auto"/>
        <w:jc w:val="both"/>
        <w:rPr>
          <w:rFonts w:ascii="Times New Roman" w:hAnsi="Times New Roman"/>
          <w:sz w:val="24"/>
          <w:u w:val="single"/>
        </w:rPr>
      </w:pPr>
      <w:r w:rsidRPr="00C801A6">
        <w:rPr>
          <w:rFonts w:ascii="Times New Roman" w:hAnsi="Times New Roman"/>
          <w:sz w:val="24"/>
          <w:u w:val="single"/>
        </w:rPr>
        <w:t>Principe général de la NES 6</w:t>
      </w:r>
    </w:p>
    <w:p w14:paraId="121CE74F" w14:textId="23B7DF9A" w:rsidR="00575CDF" w:rsidRPr="00C801A6" w:rsidRDefault="00575CDF" w:rsidP="00575CDF">
      <w:pPr>
        <w:pStyle w:val="justify"/>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 xml:space="preserve">La </w:t>
      </w:r>
      <w:r w:rsidR="00EF6701">
        <w:rPr>
          <w:rFonts w:ascii="Times New Roman" w:hAnsi="Times New Roman"/>
          <w:sz w:val="24"/>
        </w:rPr>
        <w:t>NES</w:t>
      </w:r>
      <w:r w:rsidRPr="00C801A6">
        <w:rPr>
          <w:rFonts w:ascii="Times New Roman" w:hAnsi="Times New Roman"/>
          <w:sz w:val="24"/>
        </w:rPr>
        <w:t>6 reconnaît que la protection et la conservation de la biodiversité, et la gestion durable des ressources naturelles vivantes revêtent une importance capitale pour le développement durable. La biodiversité désigne la variabilité des organismes vivants de toutes les sources, notamment les écosystèmes terrestres, marins et aquatiques, ainsi que des complexes écologiques dont ils font partie ; cela inclut la diversité au sein des espèces, entre espèces et des écosystèmes. Les services des écosystèmes évalués par les hommes sont souvent soutenus par la biodiversité. Les impacts sur la biodiversité peuvent donc souvent nuire à la production des services des écosystèmes1.</w:t>
      </w:r>
    </w:p>
    <w:p w14:paraId="79E27D90" w14:textId="77777777" w:rsidR="00575CDF" w:rsidRPr="00C801A6" w:rsidRDefault="00575CDF" w:rsidP="00575CDF">
      <w:pPr>
        <w:pStyle w:val="justify"/>
        <w:shd w:val="clear" w:color="auto" w:fill="FFFFFF"/>
        <w:spacing w:before="0" w:beforeAutospacing="0" w:after="160" w:afterAutospacing="0" w:line="276" w:lineRule="auto"/>
        <w:jc w:val="both"/>
        <w:rPr>
          <w:rFonts w:ascii="Times New Roman" w:hAnsi="Times New Roman"/>
          <w:sz w:val="24"/>
          <w:u w:val="single"/>
        </w:rPr>
      </w:pPr>
      <w:r w:rsidRPr="00C801A6">
        <w:rPr>
          <w:rFonts w:ascii="Times New Roman" w:hAnsi="Times New Roman"/>
          <w:sz w:val="24"/>
          <w:u w:val="single"/>
        </w:rPr>
        <w:t>Objectifs de la NES 6</w:t>
      </w:r>
    </w:p>
    <w:p w14:paraId="00F8028A"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Protéger et conserver la biodiversité et les habitats.</w:t>
      </w:r>
    </w:p>
    <w:p w14:paraId="45861A1C"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Appliquer la hiérarchisation de l’atténuation et l’approche de précaution dans la conception et la mise en œuvre des projets qui pourraient avoir un impact sur la biodiversité.</w:t>
      </w:r>
    </w:p>
    <w:p w14:paraId="44A483EE"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Promouvoir la gestion durable des ressources naturelles vivantes.</w:t>
      </w:r>
    </w:p>
    <w:p w14:paraId="76662C02"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Appuyer les moyens de subsistance des communautés locales, y compris les Peuples autochtones, et le développement économique inclusif par l’adoption de pratiques qui intègrent les besoins de conservation et les priorités en matière de développement.</w:t>
      </w:r>
    </w:p>
    <w:p w14:paraId="48B32DCE" w14:textId="77777777" w:rsidR="00575CDF" w:rsidRPr="00C801A6" w:rsidRDefault="00575CDF" w:rsidP="00575CDF">
      <w:pPr>
        <w:pStyle w:val="justify"/>
        <w:shd w:val="clear" w:color="auto" w:fill="FFFFFF"/>
        <w:spacing w:before="0" w:beforeAutospacing="0" w:after="160" w:afterAutospacing="0" w:line="276" w:lineRule="auto"/>
        <w:jc w:val="both"/>
        <w:rPr>
          <w:rFonts w:ascii="Times New Roman" w:hAnsi="Times New Roman"/>
          <w:sz w:val="24"/>
          <w:u w:val="single"/>
        </w:rPr>
      </w:pPr>
      <w:r w:rsidRPr="00C801A6">
        <w:rPr>
          <w:rFonts w:ascii="Times New Roman" w:hAnsi="Times New Roman"/>
          <w:sz w:val="24"/>
          <w:u w:val="single"/>
        </w:rPr>
        <w:t>Exigences et dispositions de la NES 6</w:t>
      </w:r>
    </w:p>
    <w:p w14:paraId="1CF11307"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 xml:space="preserve">Evitement ou minimisation des impacts négatifs et restauration de la biodiversité </w:t>
      </w:r>
    </w:p>
    <w:p w14:paraId="6773A931"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Identification des risques et des impacts potentiels sur les habitats et la biodiversité qu’ils abritent.</w:t>
      </w:r>
    </w:p>
    <w:p w14:paraId="5B2E98BD"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Hiérarchisation de l’atténuation devant comprendre la compensation de la perte de biodiversité pour la protection et la conservation des habitats et la biodiversité qu’ils abritent.</w:t>
      </w:r>
    </w:p>
    <w:p w14:paraId="25A65FA1"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Considération de tous les habitats (modifiés, naturels, critiques, aires protégées)</w:t>
      </w:r>
    </w:p>
    <w:p w14:paraId="7AAF7C93"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lastRenderedPageBreak/>
        <w:t>Interdiction d’introduire, intentionnellement, des espèces exotiques envahissantes de flore et de faune.</w:t>
      </w:r>
    </w:p>
    <w:p w14:paraId="394B127B"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Mise en place des systèmes et des pratiques de vérification qui identifient la provenance de l’approvisionnement et le type d’habitat de la zone d’origine des produits liés aux ressources naturelles. Limiter les achats ou changer de fournisseurs, si besoin.</w:t>
      </w:r>
    </w:p>
    <w:p w14:paraId="1010D4EC" w14:textId="6981CA7D" w:rsidR="009868E6" w:rsidRDefault="00575CDF" w:rsidP="00575CDF">
      <w:pPr>
        <w:pStyle w:val="justify"/>
        <w:shd w:val="clear" w:color="auto" w:fill="FFFFFF"/>
        <w:spacing w:before="0" w:beforeAutospacing="0" w:after="240" w:afterAutospacing="0" w:line="276" w:lineRule="auto"/>
        <w:jc w:val="both"/>
        <w:rPr>
          <w:rFonts w:ascii="Times New Roman" w:hAnsi="Times New Roman"/>
          <w:sz w:val="24"/>
        </w:rPr>
      </w:pPr>
      <w:r w:rsidRPr="00C801A6">
        <w:rPr>
          <w:rFonts w:ascii="Times New Roman" w:hAnsi="Times New Roman"/>
          <w:sz w:val="24"/>
        </w:rPr>
        <w:t>La synthèse de l’analyse comparative entre le cadre national et la NES 6 se résume dans le tableau qui suit :</w:t>
      </w:r>
    </w:p>
    <w:p w14:paraId="70C52C36" w14:textId="1E9BC744" w:rsidR="00575CDF" w:rsidRPr="00C801A6" w:rsidRDefault="00575CDF" w:rsidP="003609CC">
      <w:pPr>
        <w:pStyle w:val="Caption"/>
        <w:rPr>
          <w:color w:val="auto"/>
        </w:rPr>
      </w:pPr>
      <w:bookmarkStart w:id="519" w:name="_Toc230427736"/>
      <w:r w:rsidRPr="00C801A6">
        <w:rPr>
          <w:color w:val="auto"/>
        </w:rPr>
        <w:t xml:space="preserve">Tableau </w:t>
      </w:r>
      <w:r w:rsidRPr="00C801A6">
        <w:rPr>
          <w:color w:val="auto"/>
        </w:rPr>
        <w:fldChar w:fldCharType="begin"/>
      </w:r>
      <w:r w:rsidRPr="00C801A6">
        <w:rPr>
          <w:color w:val="auto"/>
        </w:rPr>
        <w:instrText>SEQ Tableau \* ARABIC</w:instrText>
      </w:r>
      <w:r w:rsidRPr="00C801A6">
        <w:rPr>
          <w:color w:val="auto"/>
        </w:rPr>
        <w:fldChar w:fldCharType="separate"/>
      </w:r>
      <w:r w:rsidR="00253F1A">
        <w:rPr>
          <w:noProof/>
          <w:color w:val="auto"/>
        </w:rPr>
        <w:t>16</w:t>
      </w:r>
      <w:r w:rsidRPr="00C801A6">
        <w:rPr>
          <w:color w:val="auto"/>
        </w:rPr>
        <w:fldChar w:fldCharType="end"/>
      </w:r>
      <w:r w:rsidRPr="00C801A6">
        <w:rPr>
          <w:color w:val="auto"/>
        </w:rPr>
        <w:t> : Synthèse de l’analyse comparative entre le cadre national et la NES 6</w:t>
      </w:r>
      <w:bookmarkEnd w:id="519"/>
    </w:p>
    <w:tbl>
      <w:tblPr>
        <w:tblStyle w:val="TableGrid"/>
        <w:tblW w:w="9067" w:type="dxa"/>
        <w:tblLook w:val="04A0" w:firstRow="1" w:lastRow="0" w:firstColumn="1" w:lastColumn="0" w:noHBand="0" w:noVBand="1"/>
      </w:tblPr>
      <w:tblGrid>
        <w:gridCol w:w="3399"/>
        <w:gridCol w:w="3400"/>
        <w:gridCol w:w="2268"/>
      </w:tblGrid>
      <w:tr w:rsidR="00C801A6" w:rsidRPr="00C801A6" w14:paraId="2FAC09F5" w14:textId="77777777" w:rsidTr="00347FDB">
        <w:trPr>
          <w:tblHeader/>
        </w:trPr>
        <w:tc>
          <w:tcPr>
            <w:tcW w:w="3399" w:type="dxa"/>
            <w:shd w:val="clear" w:color="auto" w:fill="E2EFD9" w:themeFill="accent6" w:themeFillTint="33"/>
          </w:tcPr>
          <w:p w14:paraId="573E0296" w14:textId="77777777" w:rsidR="00575CDF" w:rsidRPr="00C801A6" w:rsidRDefault="00575CDF" w:rsidP="00347FDB">
            <w:pPr>
              <w:spacing w:before="20" w:after="20"/>
              <w:jc w:val="left"/>
              <w:rPr>
                <w:rFonts w:cs="Times New Roman"/>
                <w:b/>
                <w:bCs/>
                <w:color w:val="auto"/>
                <w:sz w:val="21"/>
                <w:szCs w:val="21"/>
              </w:rPr>
            </w:pPr>
            <w:r w:rsidRPr="00C801A6">
              <w:rPr>
                <w:rFonts w:cs="Times New Roman"/>
                <w:b/>
                <w:bCs/>
                <w:color w:val="auto"/>
                <w:sz w:val="21"/>
                <w:szCs w:val="21"/>
              </w:rPr>
              <w:t>Points de concordance</w:t>
            </w:r>
          </w:p>
        </w:tc>
        <w:tc>
          <w:tcPr>
            <w:tcW w:w="3400" w:type="dxa"/>
            <w:shd w:val="clear" w:color="auto" w:fill="E2EFD9" w:themeFill="accent6" w:themeFillTint="33"/>
          </w:tcPr>
          <w:p w14:paraId="00F60EC9" w14:textId="77777777" w:rsidR="00575CDF" w:rsidRPr="00C801A6" w:rsidRDefault="00575CDF" w:rsidP="00347FDB">
            <w:pPr>
              <w:spacing w:before="20" w:after="20"/>
              <w:jc w:val="left"/>
              <w:rPr>
                <w:rFonts w:cs="Times New Roman"/>
                <w:b/>
                <w:bCs/>
                <w:color w:val="auto"/>
                <w:sz w:val="21"/>
                <w:szCs w:val="21"/>
              </w:rPr>
            </w:pPr>
            <w:r w:rsidRPr="00C801A6">
              <w:rPr>
                <w:rFonts w:cs="Times New Roman"/>
                <w:b/>
                <w:bCs/>
                <w:color w:val="auto"/>
                <w:sz w:val="21"/>
                <w:szCs w:val="21"/>
              </w:rPr>
              <w:t xml:space="preserve">Points de complémentarité </w:t>
            </w:r>
          </w:p>
        </w:tc>
        <w:tc>
          <w:tcPr>
            <w:tcW w:w="2268" w:type="dxa"/>
            <w:shd w:val="clear" w:color="auto" w:fill="E2EFD9" w:themeFill="accent6" w:themeFillTint="33"/>
          </w:tcPr>
          <w:p w14:paraId="7AA1E3C6" w14:textId="77777777" w:rsidR="00575CDF" w:rsidRPr="00C801A6" w:rsidRDefault="00575CDF" w:rsidP="00347FDB">
            <w:pPr>
              <w:spacing w:before="20" w:after="20"/>
              <w:jc w:val="left"/>
              <w:rPr>
                <w:rFonts w:cs="Times New Roman"/>
                <w:b/>
                <w:bCs/>
                <w:color w:val="auto"/>
                <w:sz w:val="21"/>
                <w:szCs w:val="21"/>
              </w:rPr>
            </w:pPr>
            <w:r w:rsidRPr="00C801A6">
              <w:rPr>
                <w:rFonts w:cs="Times New Roman"/>
                <w:b/>
                <w:bCs/>
                <w:color w:val="auto"/>
                <w:sz w:val="21"/>
                <w:szCs w:val="21"/>
              </w:rPr>
              <w:t>Points de divergence</w:t>
            </w:r>
          </w:p>
        </w:tc>
      </w:tr>
      <w:tr w:rsidR="00C801A6" w:rsidRPr="00C801A6" w14:paraId="69303F2C" w14:textId="77777777" w:rsidTr="00347FDB">
        <w:tc>
          <w:tcPr>
            <w:tcW w:w="3399" w:type="dxa"/>
          </w:tcPr>
          <w:p w14:paraId="7606D816" w14:textId="77777777" w:rsidR="00575CDF" w:rsidRPr="00C801A6" w:rsidRDefault="00575CDF" w:rsidP="00347FDB">
            <w:pPr>
              <w:spacing w:before="20" w:after="20"/>
              <w:jc w:val="left"/>
              <w:rPr>
                <w:rFonts w:cs="Times New Roman"/>
                <w:color w:val="auto"/>
                <w:sz w:val="21"/>
                <w:szCs w:val="21"/>
              </w:rPr>
            </w:pPr>
            <w:r w:rsidRPr="00C801A6">
              <w:rPr>
                <w:rFonts w:cs="Times New Roman"/>
                <w:color w:val="auto"/>
                <w:sz w:val="21"/>
                <w:szCs w:val="21"/>
              </w:rPr>
              <w:t>Evaluation des risques et des effets</w:t>
            </w:r>
          </w:p>
          <w:p w14:paraId="7F9CCD42" w14:textId="77777777" w:rsidR="00575CDF" w:rsidRPr="00C801A6" w:rsidRDefault="00575CDF" w:rsidP="00347FDB">
            <w:pPr>
              <w:spacing w:before="20" w:after="20"/>
              <w:jc w:val="left"/>
              <w:rPr>
                <w:rFonts w:cs="Times New Roman"/>
                <w:b/>
                <w:color w:val="auto"/>
                <w:sz w:val="21"/>
                <w:szCs w:val="21"/>
              </w:rPr>
            </w:pPr>
            <w:r w:rsidRPr="00C801A6">
              <w:rPr>
                <w:rFonts w:cs="Times New Roman"/>
                <w:color w:val="auto"/>
                <w:sz w:val="21"/>
                <w:szCs w:val="21"/>
              </w:rPr>
              <w:t>1.Approche de précaution : Dans un contexte d’incertitude scientifique, obligation de mise en œuvre des mesures d’atténuation présentant un bon rapport coût-efficacité</w:t>
            </w:r>
          </w:p>
          <w:p w14:paraId="3D7B5430" w14:textId="77777777" w:rsidR="00575CDF" w:rsidRPr="00C801A6" w:rsidRDefault="00575CDF" w:rsidP="00347FDB">
            <w:pPr>
              <w:spacing w:before="20" w:after="20"/>
              <w:jc w:val="left"/>
              <w:rPr>
                <w:rFonts w:cs="Times New Roman"/>
                <w:b/>
                <w:color w:val="auto"/>
                <w:sz w:val="21"/>
                <w:szCs w:val="21"/>
              </w:rPr>
            </w:pPr>
            <w:r w:rsidRPr="00C801A6">
              <w:rPr>
                <w:rFonts w:cs="Times New Roman"/>
                <w:color w:val="auto"/>
                <w:sz w:val="21"/>
                <w:szCs w:val="21"/>
              </w:rPr>
              <w:t>2.En cas d’incertitude ou d’absence de preuves, ou d’incomplétude de certaines informations scientifiques, nécessité de laisser une marge d’erreur dans la prise de décisions sur les activités du projet.</w:t>
            </w:r>
          </w:p>
          <w:p w14:paraId="3F598EFA" w14:textId="77777777" w:rsidR="00575CDF" w:rsidRPr="00C801A6" w:rsidRDefault="00575CDF" w:rsidP="00347FDB">
            <w:pPr>
              <w:autoSpaceDE w:val="0"/>
              <w:autoSpaceDN w:val="0"/>
              <w:adjustRightInd w:val="0"/>
              <w:spacing w:before="20" w:after="20"/>
              <w:jc w:val="left"/>
              <w:rPr>
                <w:rFonts w:cs="Times New Roman"/>
                <w:b/>
                <w:color w:val="auto"/>
                <w:sz w:val="21"/>
                <w:szCs w:val="21"/>
              </w:rPr>
            </w:pPr>
            <w:r w:rsidRPr="00C801A6">
              <w:rPr>
                <w:rFonts w:cs="Times New Roman"/>
                <w:color w:val="auto"/>
                <w:sz w:val="21"/>
                <w:szCs w:val="21"/>
              </w:rPr>
              <w:t>3.Gestion adaptative : ajustement des mesures et des approches en fonction des résultats du suivi continu des effets</w:t>
            </w:r>
          </w:p>
        </w:tc>
        <w:tc>
          <w:tcPr>
            <w:tcW w:w="3400" w:type="dxa"/>
          </w:tcPr>
          <w:p w14:paraId="69CEE8FB" w14:textId="77777777" w:rsidR="00575CDF" w:rsidRPr="00C801A6" w:rsidRDefault="00575CDF" w:rsidP="00347FDB">
            <w:pPr>
              <w:spacing w:before="20" w:after="20"/>
              <w:jc w:val="left"/>
              <w:rPr>
                <w:rFonts w:cs="Times New Roman"/>
                <w:b/>
                <w:color w:val="auto"/>
                <w:sz w:val="21"/>
                <w:szCs w:val="21"/>
              </w:rPr>
            </w:pPr>
          </w:p>
        </w:tc>
        <w:tc>
          <w:tcPr>
            <w:tcW w:w="2268" w:type="dxa"/>
          </w:tcPr>
          <w:p w14:paraId="41CCCF0F" w14:textId="77777777" w:rsidR="00575CDF" w:rsidRPr="00C801A6" w:rsidRDefault="00575CDF" w:rsidP="00347FDB">
            <w:pPr>
              <w:spacing w:before="20" w:after="20"/>
              <w:jc w:val="left"/>
              <w:rPr>
                <w:rFonts w:cs="Times New Roman"/>
                <w:b/>
                <w:color w:val="auto"/>
                <w:sz w:val="21"/>
                <w:szCs w:val="21"/>
              </w:rPr>
            </w:pPr>
            <w:r w:rsidRPr="00C801A6">
              <w:rPr>
                <w:rFonts w:cs="Times New Roman"/>
                <w:color w:val="auto"/>
                <w:sz w:val="21"/>
                <w:szCs w:val="21"/>
              </w:rPr>
              <w:t>Néant</w:t>
            </w:r>
          </w:p>
        </w:tc>
      </w:tr>
      <w:tr w:rsidR="00C801A6" w:rsidRPr="00C801A6" w14:paraId="3ACE9E28" w14:textId="77777777" w:rsidTr="00347FDB">
        <w:tc>
          <w:tcPr>
            <w:tcW w:w="3399" w:type="dxa"/>
          </w:tcPr>
          <w:p w14:paraId="7AF47B2F" w14:textId="77777777" w:rsidR="00575CDF" w:rsidRPr="00C801A6" w:rsidRDefault="00575CDF" w:rsidP="00347FDB">
            <w:pPr>
              <w:spacing w:before="20" w:after="20"/>
              <w:jc w:val="left"/>
              <w:rPr>
                <w:rFonts w:cs="Times New Roman"/>
                <w:color w:val="auto"/>
                <w:sz w:val="21"/>
                <w:szCs w:val="21"/>
              </w:rPr>
            </w:pPr>
            <w:r w:rsidRPr="00C801A6">
              <w:rPr>
                <w:rFonts w:cs="Times New Roman"/>
                <w:color w:val="auto"/>
                <w:sz w:val="21"/>
                <w:szCs w:val="21"/>
              </w:rPr>
              <w:t>Préservation de la biodiversité et des habitats</w:t>
            </w:r>
          </w:p>
          <w:p w14:paraId="1026B21D" w14:textId="77777777" w:rsidR="00575CDF" w:rsidRPr="00C801A6" w:rsidRDefault="00575CDF" w:rsidP="00347FDB">
            <w:pPr>
              <w:spacing w:before="20" w:after="20"/>
              <w:jc w:val="left"/>
              <w:rPr>
                <w:rFonts w:cs="Times New Roman"/>
                <w:b/>
                <w:color w:val="auto"/>
                <w:sz w:val="21"/>
                <w:szCs w:val="21"/>
              </w:rPr>
            </w:pPr>
            <w:r w:rsidRPr="00C801A6">
              <w:rPr>
                <w:rFonts w:cs="Times New Roman"/>
                <w:color w:val="auto"/>
                <w:sz w:val="21"/>
                <w:szCs w:val="21"/>
              </w:rPr>
              <w:t>4.Notion d’habitat</w:t>
            </w:r>
          </w:p>
          <w:p w14:paraId="378BB5B6" w14:textId="77777777" w:rsidR="00575CDF" w:rsidRPr="00C801A6" w:rsidRDefault="00575CDF" w:rsidP="00347FDB">
            <w:pPr>
              <w:spacing w:before="20" w:after="20"/>
              <w:jc w:val="left"/>
              <w:rPr>
                <w:rFonts w:cs="Times New Roman"/>
                <w:b/>
                <w:color w:val="auto"/>
                <w:sz w:val="21"/>
                <w:szCs w:val="21"/>
              </w:rPr>
            </w:pPr>
            <w:r w:rsidRPr="00C801A6">
              <w:rPr>
                <w:rFonts w:cs="Times New Roman"/>
                <w:color w:val="auto"/>
                <w:sz w:val="21"/>
                <w:szCs w:val="21"/>
              </w:rPr>
              <w:t>5.Classement des habitats</w:t>
            </w:r>
          </w:p>
        </w:tc>
        <w:tc>
          <w:tcPr>
            <w:tcW w:w="3400" w:type="dxa"/>
          </w:tcPr>
          <w:p w14:paraId="05C6E348" w14:textId="77777777" w:rsidR="00575CDF" w:rsidRPr="00C801A6" w:rsidRDefault="00575CDF" w:rsidP="00347FDB">
            <w:pPr>
              <w:autoSpaceDE w:val="0"/>
              <w:autoSpaceDN w:val="0"/>
              <w:adjustRightInd w:val="0"/>
              <w:spacing w:before="20" w:after="20"/>
              <w:jc w:val="left"/>
              <w:rPr>
                <w:rFonts w:cs="Times New Roman"/>
                <w:b/>
                <w:color w:val="auto"/>
                <w:sz w:val="21"/>
                <w:szCs w:val="21"/>
              </w:rPr>
            </w:pPr>
          </w:p>
          <w:p w14:paraId="3A0A04AB" w14:textId="77777777" w:rsidR="00575CDF" w:rsidRPr="00C801A6" w:rsidRDefault="00575CDF" w:rsidP="00347FDB">
            <w:pPr>
              <w:autoSpaceDE w:val="0"/>
              <w:autoSpaceDN w:val="0"/>
              <w:adjustRightInd w:val="0"/>
              <w:spacing w:before="20" w:after="20"/>
              <w:jc w:val="left"/>
              <w:rPr>
                <w:rFonts w:cs="Times New Roman"/>
                <w:b/>
                <w:color w:val="auto"/>
                <w:sz w:val="21"/>
                <w:szCs w:val="21"/>
              </w:rPr>
            </w:pPr>
            <w:r w:rsidRPr="00C801A6">
              <w:rPr>
                <w:rFonts w:cs="Times New Roman"/>
                <w:color w:val="auto"/>
                <w:sz w:val="21"/>
                <w:szCs w:val="21"/>
              </w:rPr>
              <w:t>1.Classement des habitats en quatre catégories : a) Habitat modifié, b) Habitat naturel, c) Habitat critique, d) Zones protégées juridiquement et reconnues à l’échelle internationale ou régionale comme étant riches en biodiversité.</w:t>
            </w:r>
          </w:p>
          <w:p w14:paraId="2D61E0D9" w14:textId="77777777" w:rsidR="00575CDF" w:rsidRPr="00C801A6" w:rsidRDefault="00575CDF" w:rsidP="00347FDB">
            <w:pPr>
              <w:autoSpaceDE w:val="0"/>
              <w:autoSpaceDN w:val="0"/>
              <w:adjustRightInd w:val="0"/>
              <w:spacing w:before="20" w:after="20"/>
              <w:jc w:val="left"/>
              <w:rPr>
                <w:rFonts w:cs="Times New Roman"/>
                <w:b/>
                <w:color w:val="auto"/>
                <w:sz w:val="21"/>
                <w:szCs w:val="21"/>
              </w:rPr>
            </w:pPr>
            <w:r w:rsidRPr="00C801A6">
              <w:rPr>
                <w:rFonts w:cs="Times New Roman"/>
                <w:color w:val="auto"/>
                <w:sz w:val="21"/>
                <w:szCs w:val="21"/>
              </w:rPr>
              <w:t>2.Principe de compensation de la perte de la biodiversité lorsque les impacts négatifs sont considérables et qu’on n’a pas pu éviter et minimiser les pertes</w:t>
            </w:r>
          </w:p>
        </w:tc>
        <w:tc>
          <w:tcPr>
            <w:tcW w:w="2268" w:type="dxa"/>
          </w:tcPr>
          <w:p w14:paraId="1EFBBEAC" w14:textId="77777777" w:rsidR="00575CDF" w:rsidRPr="00C801A6" w:rsidRDefault="00575CDF" w:rsidP="00347FDB">
            <w:pPr>
              <w:spacing w:before="20" w:after="20"/>
              <w:jc w:val="left"/>
              <w:rPr>
                <w:rFonts w:cs="Times New Roman"/>
                <w:b/>
                <w:color w:val="auto"/>
                <w:sz w:val="21"/>
                <w:szCs w:val="21"/>
              </w:rPr>
            </w:pPr>
          </w:p>
        </w:tc>
      </w:tr>
      <w:tr w:rsidR="00C801A6" w:rsidRPr="00C801A6" w14:paraId="65DB9D17" w14:textId="77777777" w:rsidTr="00347FDB">
        <w:tc>
          <w:tcPr>
            <w:tcW w:w="3399" w:type="dxa"/>
          </w:tcPr>
          <w:p w14:paraId="23963DEC" w14:textId="77777777" w:rsidR="00575CDF" w:rsidRPr="00C801A6" w:rsidRDefault="00575CDF" w:rsidP="00347FDB">
            <w:pPr>
              <w:spacing w:before="20" w:after="20"/>
              <w:jc w:val="left"/>
              <w:rPr>
                <w:rFonts w:cs="Times New Roman"/>
                <w:color w:val="auto"/>
                <w:sz w:val="21"/>
                <w:szCs w:val="21"/>
              </w:rPr>
            </w:pPr>
            <w:r w:rsidRPr="00C801A6">
              <w:rPr>
                <w:rFonts w:cs="Times New Roman"/>
                <w:color w:val="auto"/>
                <w:sz w:val="21"/>
                <w:szCs w:val="21"/>
              </w:rPr>
              <w:t>Gestion durable des ressources naturelles biologiques</w:t>
            </w:r>
          </w:p>
          <w:p w14:paraId="55D254F5" w14:textId="77777777" w:rsidR="00575CDF" w:rsidRPr="00C801A6" w:rsidRDefault="00575CDF" w:rsidP="00347FDB">
            <w:pPr>
              <w:spacing w:before="20" w:after="20"/>
              <w:jc w:val="left"/>
              <w:rPr>
                <w:rFonts w:cs="Times New Roman"/>
                <w:b/>
                <w:color w:val="auto"/>
                <w:sz w:val="21"/>
                <w:szCs w:val="21"/>
              </w:rPr>
            </w:pPr>
            <w:r w:rsidRPr="00C801A6">
              <w:rPr>
                <w:rFonts w:cs="Times New Roman"/>
                <w:color w:val="auto"/>
                <w:sz w:val="21"/>
                <w:szCs w:val="21"/>
              </w:rPr>
              <w:t xml:space="preserve">6.Obligation de tenir compte dans les politique, programme, plans sectoriels, de la gestion durable des </w:t>
            </w:r>
            <w:r w:rsidRPr="00C801A6">
              <w:rPr>
                <w:rFonts w:cs="Times New Roman"/>
                <w:color w:val="auto"/>
                <w:sz w:val="21"/>
                <w:szCs w:val="21"/>
              </w:rPr>
              <w:lastRenderedPageBreak/>
              <w:t>ressources naturelles renouvelables et non renouvelables</w:t>
            </w:r>
          </w:p>
          <w:p w14:paraId="01122D20" w14:textId="77777777" w:rsidR="00575CDF" w:rsidRPr="00C801A6" w:rsidRDefault="00575CDF" w:rsidP="00347FDB">
            <w:pPr>
              <w:spacing w:before="20" w:after="20"/>
              <w:jc w:val="left"/>
              <w:rPr>
                <w:rFonts w:cs="Times New Roman"/>
                <w:b/>
                <w:color w:val="auto"/>
                <w:sz w:val="21"/>
                <w:szCs w:val="21"/>
              </w:rPr>
            </w:pPr>
            <w:r w:rsidRPr="00C801A6">
              <w:rPr>
                <w:rFonts w:cs="Times New Roman"/>
                <w:color w:val="auto"/>
                <w:sz w:val="21"/>
                <w:szCs w:val="21"/>
              </w:rPr>
              <w:t>7.Exploitation des forêts naturelles à des fins de production, d’une manière durable.</w:t>
            </w:r>
          </w:p>
        </w:tc>
        <w:tc>
          <w:tcPr>
            <w:tcW w:w="3400" w:type="dxa"/>
          </w:tcPr>
          <w:p w14:paraId="3159CA3D" w14:textId="77777777" w:rsidR="00575CDF" w:rsidRPr="00C801A6" w:rsidRDefault="00575CDF" w:rsidP="00347FDB">
            <w:pPr>
              <w:spacing w:before="20" w:after="20"/>
              <w:jc w:val="left"/>
              <w:rPr>
                <w:rFonts w:cs="Times New Roman"/>
                <w:b/>
                <w:color w:val="auto"/>
                <w:sz w:val="21"/>
                <w:szCs w:val="21"/>
              </w:rPr>
            </w:pPr>
            <w:r w:rsidRPr="00C801A6">
              <w:rPr>
                <w:rFonts w:cs="Times New Roman"/>
                <w:color w:val="auto"/>
                <w:sz w:val="21"/>
                <w:szCs w:val="21"/>
              </w:rPr>
              <w:lastRenderedPageBreak/>
              <w:t>Gestion durable des ressources forestières</w:t>
            </w:r>
          </w:p>
          <w:p w14:paraId="5CB0670B" w14:textId="77777777" w:rsidR="00575CDF" w:rsidRPr="00C801A6" w:rsidRDefault="00575CDF" w:rsidP="00347FDB">
            <w:pPr>
              <w:spacing w:before="20" w:after="20"/>
              <w:jc w:val="left"/>
              <w:rPr>
                <w:rFonts w:cs="Times New Roman"/>
                <w:b/>
                <w:color w:val="auto"/>
                <w:sz w:val="21"/>
                <w:szCs w:val="21"/>
              </w:rPr>
            </w:pPr>
            <w:r w:rsidRPr="00C801A6">
              <w:rPr>
                <w:rFonts w:cs="Times New Roman"/>
                <w:color w:val="auto"/>
                <w:sz w:val="21"/>
                <w:szCs w:val="21"/>
              </w:rPr>
              <w:t>3.En matière des solutions de plantations forestières</w:t>
            </w:r>
          </w:p>
        </w:tc>
        <w:tc>
          <w:tcPr>
            <w:tcW w:w="2268" w:type="dxa"/>
          </w:tcPr>
          <w:p w14:paraId="766DF104" w14:textId="77777777" w:rsidR="00575CDF" w:rsidRPr="00C801A6" w:rsidRDefault="00575CDF" w:rsidP="00347FDB">
            <w:pPr>
              <w:spacing w:before="20" w:after="20"/>
              <w:jc w:val="left"/>
              <w:rPr>
                <w:rFonts w:cs="Times New Roman"/>
                <w:b/>
                <w:bCs/>
                <w:color w:val="auto"/>
                <w:sz w:val="21"/>
                <w:szCs w:val="21"/>
              </w:rPr>
            </w:pPr>
          </w:p>
          <w:p w14:paraId="72C40AB4" w14:textId="77777777" w:rsidR="00575CDF" w:rsidRPr="00C801A6" w:rsidRDefault="00575CDF" w:rsidP="00347FDB">
            <w:pPr>
              <w:spacing w:before="20" w:after="20"/>
              <w:jc w:val="left"/>
              <w:rPr>
                <w:rFonts w:eastAsia="Calibri"/>
                <w:b/>
                <w:color w:val="auto"/>
                <w:szCs w:val="24"/>
              </w:rPr>
            </w:pPr>
          </w:p>
        </w:tc>
      </w:tr>
    </w:tbl>
    <w:p w14:paraId="35266561" w14:textId="77777777" w:rsidR="00575CDF" w:rsidRPr="00C801A6" w:rsidRDefault="00575CDF" w:rsidP="003042DB">
      <w:pPr>
        <w:pStyle w:val="Heading4"/>
        <w:rPr>
          <w:rFonts w:eastAsia="Arial"/>
          <w:color w:val="auto"/>
          <w:lang w:val="fr"/>
        </w:rPr>
      </w:pPr>
      <w:bookmarkStart w:id="520" w:name="_Toc230298791"/>
      <w:r w:rsidRPr="00C801A6">
        <w:rPr>
          <w:rFonts w:eastAsia="Arial"/>
          <w:color w:val="auto"/>
          <w:lang w:val="fr"/>
        </w:rPr>
        <w:t>Application de la NES 6 par le Projet</w:t>
      </w:r>
      <w:bookmarkEnd w:id="520"/>
    </w:p>
    <w:p w14:paraId="1D0C14E7" w14:textId="77777777" w:rsidR="00575CDF" w:rsidRPr="00C801A6" w:rsidRDefault="00575CDF" w:rsidP="00575CDF">
      <w:pPr>
        <w:rPr>
          <w:color w:val="auto"/>
          <w:lang w:val="fr"/>
        </w:rPr>
      </w:pPr>
      <w:r w:rsidRPr="00C801A6">
        <w:rPr>
          <w:color w:val="auto"/>
          <w:lang w:val="fr"/>
        </w:rPr>
        <w:t>Certaines routes nationales traversent des aires protégées qui abritent des ressources de la biodiversité ou des forêts. Il en résulte que la NES6 est donc applicable. En somme, le Projet appliquera les exigences de la NES6 afin de complémenter les dispositions de la législation nationale.</w:t>
      </w:r>
    </w:p>
    <w:p w14:paraId="738AB383" w14:textId="56405DFC" w:rsidR="00575CDF" w:rsidRPr="00C801A6" w:rsidRDefault="003349AF" w:rsidP="00C65572">
      <w:pPr>
        <w:pStyle w:val="Heading3"/>
        <w:rPr>
          <w:lang w:val="en-US"/>
        </w:rPr>
      </w:pPr>
      <w:r w:rsidRPr="00DD217E">
        <w:rPr>
          <w:rFonts w:ascii="Times New Roman" w:eastAsia="Times New Roman" w:hAnsi="Times New Roman" w:cs="Times New Roman"/>
          <w:sz w:val="14"/>
          <w:szCs w:val="14"/>
        </w:rPr>
        <w:t xml:space="preserve"> </w:t>
      </w:r>
      <w:bookmarkStart w:id="521" w:name="_Toc106320336"/>
      <w:bookmarkStart w:id="522" w:name="_Toc230426042"/>
      <w:r w:rsidR="00575CDF" w:rsidRPr="1949FB49">
        <w:rPr>
          <w:rFonts w:eastAsia="Arial"/>
          <w:lang w:val="en-US"/>
        </w:rPr>
        <w:t>Patrimoine culturel</w:t>
      </w:r>
      <w:bookmarkEnd w:id="521"/>
      <w:bookmarkEnd w:id="522"/>
    </w:p>
    <w:p w14:paraId="2B15A160" w14:textId="20913197" w:rsidR="00575CDF" w:rsidRPr="00DD217E" w:rsidRDefault="003349AF" w:rsidP="1949FB49">
      <w:pPr>
        <w:pStyle w:val="Heading4"/>
        <w:rPr>
          <w:color w:val="auto"/>
        </w:rPr>
      </w:pPr>
      <w:r w:rsidRPr="00DD217E">
        <w:rPr>
          <w:rFonts w:ascii="Times New Roman" w:eastAsia="Times New Roman" w:hAnsi="Times New Roman" w:cs="Times New Roman"/>
          <w:color w:val="auto"/>
          <w:sz w:val="14"/>
          <w:szCs w:val="14"/>
        </w:rPr>
        <w:t xml:space="preserve"> </w:t>
      </w:r>
      <w:bookmarkStart w:id="523" w:name="_Toc230298792"/>
      <w:r w:rsidR="00575CDF" w:rsidRPr="00DD217E">
        <w:rPr>
          <w:rFonts w:eastAsia="Arial"/>
          <w:color w:val="auto"/>
        </w:rPr>
        <w:t>Cadre juridique national régissant le patrimoine culturel</w:t>
      </w:r>
      <w:bookmarkEnd w:id="523"/>
    </w:p>
    <w:p w14:paraId="77DCB238" w14:textId="77777777" w:rsidR="00575CDF" w:rsidRPr="00C801A6" w:rsidRDefault="00575CDF" w:rsidP="00575CDF">
      <w:pPr>
        <w:rPr>
          <w:color w:val="auto"/>
          <w:lang w:val="fr"/>
        </w:rPr>
      </w:pPr>
      <w:r w:rsidRPr="00C801A6">
        <w:rPr>
          <w:color w:val="auto"/>
          <w:lang w:val="fr"/>
        </w:rPr>
        <w:t>Malgré une loi de base sur le patrimoine culturel, la législation y afférente reste assez pauvre. Plusieurs dispositions légales ont été insérées dans des textes qui réglementent d’autres secteurs comme le Code minier et le Code des aires protégées.</w:t>
      </w:r>
    </w:p>
    <w:p w14:paraId="68AE0015" w14:textId="6009D2D0" w:rsidR="00575CDF" w:rsidRPr="00C801A6" w:rsidRDefault="00575CDF" w:rsidP="00575CDF">
      <w:pPr>
        <w:rPr>
          <w:rFonts w:eastAsia="Calibri"/>
          <w:color w:val="auto"/>
          <w:szCs w:val="24"/>
          <w:lang w:val="fr"/>
        </w:rPr>
      </w:pPr>
      <w:r w:rsidRPr="00C801A6">
        <w:rPr>
          <w:color w:val="auto"/>
          <w:lang w:val="fr"/>
        </w:rPr>
        <w:t xml:space="preserve">La définition officielle de patrimoine naturel est fixée par une Ordonnance datant de 1982. Cette même Ordonnance </w:t>
      </w:r>
      <w:r w:rsidR="006C715A">
        <w:rPr>
          <w:color w:val="auto"/>
          <w:lang w:val="fr"/>
        </w:rPr>
        <w:t>dispose</w:t>
      </w:r>
      <w:r w:rsidRPr="00C801A6">
        <w:rPr>
          <w:color w:val="auto"/>
          <w:lang w:val="fr"/>
        </w:rPr>
        <w:t xml:space="preserve"> les mesures permettant d’assurer la protection, la sauvegarde, et la conservation du patrimoine national. Les procédures à suivre en cas de découverte d’objet considéré comme étant un patrimoine culturel sont établies par voire de Décret. Il convient de signaler que la découverte fortuite de patrimoine culturel est indiquée dans le cadre réglementaire du secteur minier ainsi que dans le contexte des aires protégées mais des précisions manquent.</w:t>
      </w:r>
    </w:p>
    <w:p w14:paraId="76461BA3" w14:textId="77777777" w:rsidR="00575CDF" w:rsidRPr="00C801A6" w:rsidRDefault="00575CDF" w:rsidP="003042DB">
      <w:pPr>
        <w:pStyle w:val="Heading4"/>
        <w:rPr>
          <w:color w:val="auto"/>
        </w:rPr>
      </w:pPr>
      <w:bookmarkStart w:id="524" w:name="_Toc230298793"/>
      <w:r w:rsidRPr="00C801A6">
        <w:rPr>
          <w:color w:val="auto"/>
        </w:rPr>
        <w:t>Norme environnementale et sociale n°8 : Patrimoine culturel</w:t>
      </w:r>
      <w:bookmarkEnd w:id="524"/>
      <w:r w:rsidRPr="00C801A6">
        <w:rPr>
          <w:color w:val="auto"/>
        </w:rPr>
        <w:t xml:space="preserve"> </w:t>
      </w:r>
    </w:p>
    <w:p w14:paraId="7A9F3FA3" w14:textId="77777777" w:rsidR="00575CDF" w:rsidRPr="00C801A6" w:rsidRDefault="00575CDF" w:rsidP="00575CDF">
      <w:pPr>
        <w:pStyle w:val="justify"/>
        <w:shd w:val="clear" w:color="auto" w:fill="FFFFFF"/>
        <w:spacing w:before="0" w:beforeAutospacing="0" w:after="160" w:afterAutospacing="0" w:line="276" w:lineRule="auto"/>
        <w:jc w:val="both"/>
        <w:rPr>
          <w:rFonts w:ascii="Times New Roman" w:hAnsi="Times New Roman"/>
          <w:sz w:val="24"/>
          <w:u w:val="single"/>
        </w:rPr>
      </w:pPr>
      <w:r w:rsidRPr="00C801A6">
        <w:rPr>
          <w:rFonts w:ascii="Times New Roman" w:hAnsi="Times New Roman"/>
          <w:sz w:val="24"/>
          <w:u w:val="single"/>
        </w:rPr>
        <w:t>Principe général de la NES 8</w:t>
      </w:r>
    </w:p>
    <w:p w14:paraId="4A594122" w14:textId="59588B6C" w:rsidR="00575CDF" w:rsidRPr="00C801A6" w:rsidRDefault="00575CDF" w:rsidP="00575CDF">
      <w:pPr>
        <w:pStyle w:val="justify"/>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 xml:space="preserve">La </w:t>
      </w:r>
      <w:r w:rsidR="00EF6701">
        <w:rPr>
          <w:rFonts w:ascii="Times New Roman" w:hAnsi="Times New Roman"/>
          <w:sz w:val="24"/>
        </w:rPr>
        <w:t>NES</w:t>
      </w:r>
      <w:r w:rsidRPr="00C801A6">
        <w:rPr>
          <w:rFonts w:ascii="Times New Roman" w:hAnsi="Times New Roman"/>
          <w:sz w:val="24"/>
        </w:rPr>
        <w:t xml:space="preserve">8 reconnaît que le patrimoine culturel offre une continuité des formes matérielles et immatérielles entre le passé, le présent et le futur. Les individus identifient le patrimoine culturel comme étant un reflet et une expression de leurs valeurs, croyances, savoirs et traditions en constante évolution. Le patrimoine culturel, sous ses nombreuses formes, est une source importante de données scientifiques et historiques précieuses, un atout pour le développement économique et social et représente une partie intégrale de l’identité et des pratiques culturelles d’un peuple. La </w:t>
      </w:r>
      <w:r w:rsidR="00EF6701">
        <w:rPr>
          <w:rFonts w:ascii="Times New Roman" w:hAnsi="Times New Roman"/>
          <w:sz w:val="24"/>
        </w:rPr>
        <w:t>NES</w:t>
      </w:r>
      <w:r w:rsidRPr="00C801A6">
        <w:rPr>
          <w:rFonts w:ascii="Times New Roman" w:hAnsi="Times New Roman"/>
          <w:sz w:val="24"/>
        </w:rPr>
        <w:t>8 fixe les mesures conçues pour protéger le patrimoine culturel tout au long de la durée de vie du projet.</w:t>
      </w:r>
    </w:p>
    <w:p w14:paraId="5D248500" w14:textId="77777777" w:rsidR="00575CDF" w:rsidRPr="00C801A6" w:rsidRDefault="00575CDF" w:rsidP="00575CDF">
      <w:pPr>
        <w:pStyle w:val="justify"/>
        <w:shd w:val="clear" w:color="auto" w:fill="FFFFFF"/>
        <w:spacing w:before="0" w:beforeAutospacing="0" w:after="160" w:afterAutospacing="0" w:line="276" w:lineRule="auto"/>
        <w:jc w:val="both"/>
        <w:rPr>
          <w:rFonts w:ascii="Times New Roman" w:hAnsi="Times New Roman"/>
          <w:sz w:val="24"/>
          <w:u w:val="single"/>
        </w:rPr>
      </w:pPr>
      <w:r w:rsidRPr="00C801A6">
        <w:rPr>
          <w:rFonts w:ascii="Times New Roman" w:hAnsi="Times New Roman"/>
          <w:sz w:val="24"/>
          <w:u w:val="single"/>
        </w:rPr>
        <w:t>Objectifs de la NES 8</w:t>
      </w:r>
    </w:p>
    <w:p w14:paraId="5D0F2E0F"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Protéger le patrimoine culturel contre les impacts négatifs des activités du projet et soutenir sa préservation.</w:t>
      </w:r>
    </w:p>
    <w:p w14:paraId="2A66E638"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Traiter le patrimoine culturel comme une partie intégrante du développement durable.</w:t>
      </w:r>
    </w:p>
    <w:p w14:paraId="489AB3FB"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lastRenderedPageBreak/>
        <w:t>Promouvoir une consultation significative avec les parties prenantes concernant le patrimoine culturel.</w:t>
      </w:r>
    </w:p>
    <w:p w14:paraId="71F78284"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Promouvoir la répartition équitable des avantages de l’utilisation du patrimoine culturel.</w:t>
      </w:r>
    </w:p>
    <w:p w14:paraId="3F56F618" w14:textId="77777777" w:rsidR="00575CDF" w:rsidRPr="00C801A6" w:rsidRDefault="00575CDF" w:rsidP="00575CDF">
      <w:pPr>
        <w:pStyle w:val="justify"/>
        <w:shd w:val="clear" w:color="auto" w:fill="FFFFFF"/>
        <w:spacing w:before="0" w:beforeAutospacing="0" w:after="160" w:afterAutospacing="0" w:line="276" w:lineRule="auto"/>
        <w:jc w:val="both"/>
        <w:rPr>
          <w:rFonts w:ascii="Times New Roman" w:hAnsi="Times New Roman"/>
          <w:sz w:val="24"/>
          <w:u w:val="single"/>
        </w:rPr>
      </w:pPr>
      <w:r w:rsidRPr="00C801A6">
        <w:rPr>
          <w:rFonts w:ascii="Times New Roman" w:hAnsi="Times New Roman"/>
          <w:sz w:val="24"/>
          <w:u w:val="single"/>
        </w:rPr>
        <w:t>Exigences et dispositions de la NES 8</w:t>
      </w:r>
    </w:p>
    <w:p w14:paraId="062BBF2E"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Evitement des impacts négatifs sur le patrimoine culturel. Le cas échéant, mise en place des mesures pour gérer les impacts.</w:t>
      </w:r>
    </w:p>
    <w:p w14:paraId="5751EDA0" w14:textId="34E9A67F"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 xml:space="preserve">Identification, conformément à la </w:t>
      </w:r>
      <w:r w:rsidR="00EF6701">
        <w:rPr>
          <w:rFonts w:ascii="Times New Roman" w:hAnsi="Times New Roman"/>
          <w:sz w:val="24"/>
        </w:rPr>
        <w:t>NES</w:t>
      </w:r>
      <w:r w:rsidRPr="00C801A6">
        <w:rPr>
          <w:rFonts w:ascii="Times New Roman" w:hAnsi="Times New Roman"/>
          <w:sz w:val="24"/>
        </w:rPr>
        <w:t xml:space="preserve">10, toutes les parties prenantes concernées par le patrimoine culturel existant ou susceptible d’être découvert au cours de la durée de vie du projet </w:t>
      </w:r>
    </w:p>
    <w:p w14:paraId="7D15E984"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Dans le cas des patrimoines culturels répertoriés et protégées juridiquement : (i) Se conformer à la réglementation locale, nationale ou internationale en matière de patrimoine culturel et aux plans de gestion de la zone protégée ; (ii) Consulter les promoteurs et responsables de la zone protégée, les parties affectées par le projet (y compris les personnes et les communautés) et les autres principales parties prenantes au sujet du projet envisagé ; et (iii) Mettre en place des programmes supplémentaires, au besoin, afin de promouvoir et de consolider les objectifs de conservation de la zone protégée.</w:t>
      </w:r>
    </w:p>
    <w:p w14:paraId="4CAC575A"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Mise en œuvre des dispositions relatives aux différents types de patrimoine culturel</w:t>
      </w:r>
    </w:p>
    <w:p w14:paraId="0A9FEED7" w14:textId="4F0E4B7F" w:rsidR="009868E6" w:rsidRDefault="00575CDF" w:rsidP="00575CDF">
      <w:pPr>
        <w:pStyle w:val="justify"/>
        <w:shd w:val="clear" w:color="auto" w:fill="FFFFFF"/>
        <w:spacing w:before="0" w:beforeAutospacing="0" w:after="240" w:afterAutospacing="0" w:line="276" w:lineRule="auto"/>
        <w:jc w:val="both"/>
        <w:rPr>
          <w:rFonts w:ascii="Times New Roman" w:hAnsi="Times New Roman"/>
          <w:sz w:val="24"/>
        </w:rPr>
      </w:pPr>
      <w:r w:rsidRPr="00C801A6">
        <w:rPr>
          <w:rFonts w:ascii="Times New Roman" w:hAnsi="Times New Roman"/>
          <w:sz w:val="24"/>
        </w:rPr>
        <w:t>La synthèse de l’analyse comparative entre le cadre national et la NES 8 se résume dans le tableau qui suit :</w:t>
      </w:r>
    </w:p>
    <w:p w14:paraId="349A6B19" w14:textId="30EC45B5" w:rsidR="00575CDF" w:rsidRPr="00C801A6" w:rsidRDefault="00575CDF" w:rsidP="003609CC">
      <w:pPr>
        <w:pStyle w:val="Caption"/>
        <w:rPr>
          <w:color w:val="auto"/>
        </w:rPr>
      </w:pPr>
      <w:bookmarkStart w:id="525" w:name="_Toc230427737"/>
      <w:r w:rsidRPr="00C801A6">
        <w:rPr>
          <w:color w:val="auto"/>
        </w:rPr>
        <w:t xml:space="preserve">Tableau </w:t>
      </w:r>
      <w:r w:rsidRPr="00C801A6">
        <w:rPr>
          <w:color w:val="auto"/>
        </w:rPr>
        <w:fldChar w:fldCharType="begin"/>
      </w:r>
      <w:r w:rsidRPr="00C801A6">
        <w:rPr>
          <w:color w:val="auto"/>
        </w:rPr>
        <w:instrText>SEQ Tableau \* ARABIC</w:instrText>
      </w:r>
      <w:r w:rsidRPr="00C801A6">
        <w:rPr>
          <w:color w:val="auto"/>
        </w:rPr>
        <w:fldChar w:fldCharType="separate"/>
      </w:r>
      <w:r w:rsidR="00253F1A">
        <w:rPr>
          <w:noProof/>
          <w:color w:val="auto"/>
        </w:rPr>
        <w:t>17</w:t>
      </w:r>
      <w:r w:rsidRPr="00C801A6">
        <w:rPr>
          <w:color w:val="auto"/>
        </w:rPr>
        <w:fldChar w:fldCharType="end"/>
      </w:r>
      <w:r w:rsidRPr="00C801A6">
        <w:rPr>
          <w:color w:val="auto"/>
        </w:rPr>
        <w:t> : Synthèse de l’analyse comparative entre le cadre national et la NES 8</w:t>
      </w:r>
      <w:bookmarkEnd w:id="525"/>
    </w:p>
    <w:tbl>
      <w:tblPr>
        <w:tblStyle w:val="TableGrid"/>
        <w:tblW w:w="0" w:type="auto"/>
        <w:tblLook w:val="04A0" w:firstRow="1" w:lastRow="0" w:firstColumn="1" w:lastColumn="0" w:noHBand="0" w:noVBand="1"/>
      </w:tblPr>
      <w:tblGrid>
        <w:gridCol w:w="3016"/>
        <w:gridCol w:w="3031"/>
        <w:gridCol w:w="3014"/>
      </w:tblGrid>
      <w:tr w:rsidR="00C801A6" w:rsidRPr="00C801A6" w14:paraId="6E8BC434" w14:textId="77777777" w:rsidTr="00347FDB">
        <w:trPr>
          <w:tblHeader/>
        </w:trPr>
        <w:tc>
          <w:tcPr>
            <w:tcW w:w="3070" w:type="dxa"/>
            <w:shd w:val="clear" w:color="auto" w:fill="E2EFD9" w:themeFill="accent6" w:themeFillTint="33"/>
          </w:tcPr>
          <w:p w14:paraId="230B7261" w14:textId="77777777" w:rsidR="00575CDF" w:rsidRPr="00C801A6" w:rsidRDefault="00575CDF" w:rsidP="00347FDB">
            <w:pPr>
              <w:spacing w:before="20" w:after="20"/>
              <w:jc w:val="left"/>
              <w:rPr>
                <w:rFonts w:cs="Times New Roman"/>
                <w:b/>
                <w:bCs/>
                <w:color w:val="auto"/>
                <w:sz w:val="21"/>
                <w:szCs w:val="21"/>
              </w:rPr>
            </w:pPr>
            <w:r w:rsidRPr="00C801A6">
              <w:rPr>
                <w:rFonts w:cs="Times New Roman"/>
                <w:b/>
                <w:bCs/>
                <w:color w:val="auto"/>
                <w:sz w:val="21"/>
                <w:szCs w:val="21"/>
              </w:rPr>
              <w:t>Points de concordance</w:t>
            </w:r>
          </w:p>
        </w:tc>
        <w:tc>
          <w:tcPr>
            <w:tcW w:w="3070" w:type="dxa"/>
            <w:shd w:val="clear" w:color="auto" w:fill="E2EFD9" w:themeFill="accent6" w:themeFillTint="33"/>
          </w:tcPr>
          <w:p w14:paraId="092FB3FB" w14:textId="77777777" w:rsidR="00575CDF" w:rsidRPr="00C801A6" w:rsidRDefault="00575CDF" w:rsidP="00347FDB">
            <w:pPr>
              <w:spacing w:before="20" w:after="20"/>
              <w:jc w:val="left"/>
              <w:rPr>
                <w:rFonts w:cs="Times New Roman"/>
                <w:b/>
                <w:bCs/>
                <w:color w:val="auto"/>
                <w:sz w:val="21"/>
                <w:szCs w:val="21"/>
              </w:rPr>
            </w:pPr>
            <w:r w:rsidRPr="00C801A6">
              <w:rPr>
                <w:rFonts w:cs="Times New Roman"/>
                <w:b/>
                <w:bCs/>
                <w:color w:val="auto"/>
                <w:sz w:val="21"/>
                <w:szCs w:val="21"/>
              </w:rPr>
              <w:t xml:space="preserve">Points de complémentarité </w:t>
            </w:r>
          </w:p>
        </w:tc>
        <w:tc>
          <w:tcPr>
            <w:tcW w:w="3070" w:type="dxa"/>
            <w:shd w:val="clear" w:color="auto" w:fill="E2EFD9" w:themeFill="accent6" w:themeFillTint="33"/>
          </w:tcPr>
          <w:p w14:paraId="06185544" w14:textId="77777777" w:rsidR="00575CDF" w:rsidRPr="00C801A6" w:rsidRDefault="00575CDF" w:rsidP="00347FDB">
            <w:pPr>
              <w:spacing w:before="20" w:after="20"/>
              <w:jc w:val="left"/>
              <w:rPr>
                <w:rFonts w:cs="Times New Roman"/>
                <w:b/>
                <w:bCs/>
                <w:color w:val="auto"/>
                <w:sz w:val="21"/>
                <w:szCs w:val="21"/>
              </w:rPr>
            </w:pPr>
            <w:r w:rsidRPr="00C801A6">
              <w:rPr>
                <w:rFonts w:cs="Times New Roman"/>
                <w:b/>
                <w:bCs/>
                <w:color w:val="auto"/>
                <w:sz w:val="21"/>
                <w:szCs w:val="21"/>
              </w:rPr>
              <w:t>Points de divergence</w:t>
            </w:r>
          </w:p>
        </w:tc>
      </w:tr>
      <w:tr w:rsidR="00C801A6" w:rsidRPr="00C801A6" w14:paraId="328DF16B" w14:textId="77777777" w:rsidTr="00347FDB">
        <w:tc>
          <w:tcPr>
            <w:tcW w:w="3070" w:type="dxa"/>
          </w:tcPr>
          <w:p w14:paraId="02F2E911" w14:textId="77777777" w:rsidR="00575CDF" w:rsidRPr="00C801A6" w:rsidRDefault="00575CDF" w:rsidP="00347FDB">
            <w:pPr>
              <w:spacing w:before="20" w:after="20"/>
              <w:jc w:val="left"/>
              <w:rPr>
                <w:rFonts w:cs="Times New Roman"/>
                <w:b/>
                <w:color w:val="auto"/>
                <w:sz w:val="21"/>
                <w:szCs w:val="21"/>
              </w:rPr>
            </w:pPr>
            <w:r w:rsidRPr="00C801A6">
              <w:rPr>
                <w:rFonts w:cs="Times New Roman"/>
                <w:color w:val="auto"/>
                <w:sz w:val="21"/>
                <w:szCs w:val="21"/>
              </w:rPr>
              <w:t>1.Définitions relatives au Patrimoine culturel</w:t>
            </w:r>
          </w:p>
          <w:p w14:paraId="3BE3F37D" w14:textId="77777777" w:rsidR="00575CDF" w:rsidRPr="00C801A6" w:rsidRDefault="00575CDF" w:rsidP="00347FDB">
            <w:pPr>
              <w:autoSpaceDE w:val="0"/>
              <w:autoSpaceDN w:val="0"/>
              <w:adjustRightInd w:val="0"/>
              <w:spacing w:before="20" w:after="20"/>
              <w:jc w:val="left"/>
              <w:rPr>
                <w:rFonts w:cs="Times New Roman"/>
                <w:b/>
                <w:color w:val="auto"/>
                <w:sz w:val="21"/>
                <w:szCs w:val="21"/>
              </w:rPr>
            </w:pPr>
            <w:r w:rsidRPr="00C801A6">
              <w:rPr>
                <w:rFonts w:cs="Times New Roman"/>
                <w:color w:val="auto"/>
                <w:sz w:val="21"/>
                <w:szCs w:val="21"/>
              </w:rPr>
              <w:t>2.Obligatio d’éviter les impacts négatifs sur le patrimoine culturel</w:t>
            </w:r>
          </w:p>
          <w:p w14:paraId="3300D2BD" w14:textId="77777777" w:rsidR="00575CDF" w:rsidRPr="00C801A6" w:rsidRDefault="00575CDF" w:rsidP="00347FDB">
            <w:pPr>
              <w:autoSpaceDE w:val="0"/>
              <w:autoSpaceDN w:val="0"/>
              <w:adjustRightInd w:val="0"/>
              <w:spacing w:before="20" w:after="20"/>
              <w:jc w:val="left"/>
              <w:rPr>
                <w:rFonts w:cs="Times New Roman"/>
                <w:b/>
                <w:color w:val="auto"/>
                <w:sz w:val="21"/>
                <w:szCs w:val="21"/>
              </w:rPr>
            </w:pPr>
            <w:r w:rsidRPr="00C801A6">
              <w:rPr>
                <w:rFonts w:cs="Times New Roman"/>
                <w:color w:val="auto"/>
                <w:sz w:val="21"/>
                <w:szCs w:val="21"/>
              </w:rPr>
              <w:t>3.Obligation d’examiner les impacts directs et indirects et cumulatifs du projet sur le patrimoine culturel, ainsi que les risques</w:t>
            </w:r>
          </w:p>
          <w:p w14:paraId="41A15C59" w14:textId="77777777" w:rsidR="00575CDF" w:rsidRPr="00C801A6" w:rsidRDefault="00575CDF" w:rsidP="00347FDB">
            <w:pPr>
              <w:spacing w:before="20" w:after="20"/>
              <w:jc w:val="left"/>
              <w:rPr>
                <w:rFonts w:cs="Times New Roman"/>
                <w:b/>
                <w:color w:val="auto"/>
                <w:sz w:val="21"/>
                <w:szCs w:val="21"/>
              </w:rPr>
            </w:pPr>
            <w:r w:rsidRPr="00C801A6">
              <w:rPr>
                <w:rFonts w:cs="Times New Roman"/>
                <w:color w:val="auto"/>
                <w:sz w:val="21"/>
                <w:szCs w:val="21"/>
              </w:rPr>
              <w:t>4. Nécessité d’élaborer un plan de gestion de patrimoine culturel</w:t>
            </w:r>
          </w:p>
        </w:tc>
        <w:tc>
          <w:tcPr>
            <w:tcW w:w="3070" w:type="dxa"/>
          </w:tcPr>
          <w:p w14:paraId="6660AB4E" w14:textId="77777777" w:rsidR="00575CDF" w:rsidRPr="00C801A6" w:rsidRDefault="00575CDF" w:rsidP="00347FDB">
            <w:pPr>
              <w:spacing w:before="20" w:after="20"/>
              <w:jc w:val="left"/>
              <w:rPr>
                <w:rFonts w:cs="Times New Roman"/>
                <w:b/>
                <w:color w:val="auto"/>
                <w:sz w:val="21"/>
                <w:szCs w:val="21"/>
              </w:rPr>
            </w:pPr>
            <w:r w:rsidRPr="00C801A6">
              <w:rPr>
                <w:rFonts w:cs="Times New Roman"/>
                <w:color w:val="auto"/>
                <w:sz w:val="21"/>
                <w:szCs w:val="21"/>
              </w:rPr>
              <w:t>1.Obligation de dresser un inventaire des aires protégées touchées qui abritent un patrimoine culturel classé</w:t>
            </w:r>
          </w:p>
          <w:p w14:paraId="2598BB89" w14:textId="77777777" w:rsidR="00575CDF" w:rsidRPr="00C801A6" w:rsidRDefault="00575CDF" w:rsidP="00347FDB">
            <w:pPr>
              <w:spacing w:before="20" w:after="20"/>
              <w:jc w:val="left"/>
              <w:rPr>
                <w:rFonts w:cs="Times New Roman"/>
                <w:b/>
                <w:color w:val="auto"/>
                <w:sz w:val="21"/>
                <w:szCs w:val="21"/>
              </w:rPr>
            </w:pPr>
            <w:r w:rsidRPr="00C801A6">
              <w:rPr>
                <w:rFonts w:cs="Times New Roman"/>
                <w:color w:val="auto"/>
                <w:sz w:val="21"/>
                <w:szCs w:val="21"/>
              </w:rPr>
              <w:t>2. Obligation de recueillir les avis des autorités compétentes en matière de patrimoine culturel</w:t>
            </w:r>
          </w:p>
        </w:tc>
        <w:tc>
          <w:tcPr>
            <w:tcW w:w="3070" w:type="dxa"/>
          </w:tcPr>
          <w:p w14:paraId="6F5F3555" w14:textId="77777777" w:rsidR="00575CDF" w:rsidRPr="00C801A6" w:rsidRDefault="00575CDF" w:rsidP="00347FDB">
            <w:pPr>
              <w:spacing w:before="20" w:after="20"/>
              <w:jc w:val="left"/>
              <w:rPr>
                <w:rFonts w:cs="Times New Roman"/>
                <w:b/>
                <w:color w:val="auto"/>
                <w:sz w:val="21"/>
                <w:szCs w:val="21"/>
              </w:rPr>
            </w:pPr>
            <w:r w:rsidRPr="00C801A6">
              <w:rPr>
                <w:rFonts w:cs="Times New Roman"/>
                <w:i/>
                <w:color w:val="auto"/>
                <w:sz w:val="21"/>
                <w:szCs w:val="21"/>
              </w:rPr>
              <w:t>Néant</w:t>
            </w:r>
          </w:p>
        </w:tc>
      </w:tr>
      <w:tr w:rsidR="00C801A6" w:rsidRPr="00C801A6" w14:paraId="07249416" w14:textId="77777777" w:rsidTr="00347FDB">
        <w:tc>
          <w:tcPr>
            <w:tcW w:w="3070" w:type="dxa"/>
          </w:tcPr>
          <w:p w14:paraId="0A73734F" w14:textId="77777777" w:rsidR="00575CDF" w:rsidRPr="00C801A6" w:rsidRDefault="00575CDF" w:rsidP="00347FDB">
            <w:pPr>
              <w:spacing w:before="20" w:after="20"/>
              <w:jc w:val="left"/>
              <w:rPr>
                <w:rFonts w:cs="Times New Roman"/>
                <w:b/>
                <w:color w:val="auto"/>
                <w:sz w:val="21"/>
                <w:szCs w:val="21"/>
              </w:rPr>
            </w:pPr>
          </w:p>
        </w:tc>
        <w:tc>
          <w:tcPr>
            <w:tcW w:w="3070" w:type="dxa"/>
          </w:tcPr>
          <w:p w14:paraId="0A1B6496" w14:textId="77777777" w:rsidR="00575CDF" w:rsidRPr="00C801A6" w:rsidRDefault="00575CDF" w:rsidP="00347FDB">
            <w:pPr>
              <w:spacing w:before="20" w:after="20"/>
              <w:jc w:val="left"/>
              <w:rPr>
                <w:rFonts w:cs="Times New Roman"/>
                <w:color w:val="auto"/>
                <w:sz w:val="21"/>
                <w:szCs w:val="21"/>
              </w:rPr>
            </w:pPr>
            <w:r w:rsidRPr="00C801A6">
              <w:rPr>
                <w:rFonts w:cs="Times New Roman"/>
                <w:color w:val="auto"/>
                <w:sz w:val="21"/>
                <w:szCs w:val="21"/>
              </w:rPr>
              <w:t xml:space="preserve">En matière de procédure de découverte fortuite </w:t>
            </w:r>
          </w:p>
          <w:p w14:paraId="57EE7B86" w14:textId="77777777" w:rsidR="00575CDF" w:rsidRPr="00C801A6" w:rsidRDefault="00575CDF" w:rsidP="00347FDB">
            <w:pPr>
              <w:spacing w:before="20" w:after="20"/>
              <w:jc w:val="left"/>
              <w:rPr>
                <w:rFonts w:cs="Times New Roman"/>
                <w:b/>
                <w:color w:val="auto"/>
                <w:sz w:val="21"/>
                <w:szCs w:val="21"/>
              </w:rPr>
            </w:pPr>
            <w:r w:rsidRPr="00C801A6">
              <w:rPr>
                <w:rFonts w:cs="Times New Roman"/>
                <w:color w:val="auto"/>
                <w:sz w:val="21"/>
                <w:szCs w:val="21"/>
              </w:rPr>
              <w:t>3.Etapes de la procédure en cas de découverte fortuite de patrimoine culturel</w:t>
            </w:r>
          </w:p>
          <w:p w14:paraId="7305A3E3" w14:textId="77777777" w:rsidR="00575CDF" w:rsidRPr="00C801A6" w:rsidRDefault="00575CDF" w:rsidP="00347FDB">
            <w:pPr>
              <w:spacing w:before="20" w:after="20"/>
              <w:jc w:val="left"/>
              <w:rPr>
                <w:rFonts w:cs="Times New Roman"/>
                <w:b/>
                <w:color w:val="auto"/>
                <w:sz w:val="21"/>
                <w:szCs w:val="21"/>
              </w:rPr>
            </w:pPr>
            <w:r w:rsidRPr="00C801A6">
              <w:rPr>
                <w:rFonts w:cs="Times New Roman"/>
                <w:color w:val="auto"/>
                <w:sz w:val="21"/>
                <w:szCs w:val="21"/>
              </w:rPr>
              <w:lastRenderedPageBreak/>
              <w:t>4.Obligation de tenir compte dans les mesures d’atténuation des impacts environnementaux, les coutumes, les traditions et les pratiques, les méthodes et les matériaux locaux</w:t>
            </w:r>
          </w:p>
        </w:tc>
        <w:tc>
          <w:tcPr>
            <w:tcW w:w="3070" w:type="dxa"/>
          </w:tcPr>
          <w:p w14:paraId="3A6D1DFF" w14:textId="77777777" w:rsidR="00575CDF" w:rsidRPr="00C801A6" w:rsidRDefault="00575CDF" w:rsidP="00347FDB">
            <w:pPr>
              <w:spacing w:before="20" w:after="20"/>
              <w:jc w:val="left"/>
              <w:rPr>
                <w:rFonts w:cs="Times New Roman"/>
                <w:b/>
                <w:color w:val="auto"/>
                <w:sz w:val="21"/>
                <w:szCs w:val="21"/>
              </w:rPr>
            </w:pPr>
            <w:r w:rsidRPr="00C801A6">
              <w:rPr>
                <w:rFonts w:cs="Times New Roman"/>
                <w:color w:val="auto"/>
                <w:sz w:val="21"/>
                <w:szCs w:val="21"/>
              </w:rPr>
              <w:lastRenderedPageBreak/>
              <w:t>1.Mesurer l’importance du patrimoine culturel sur la base de système de valeur et des intérêts des parties touchées</w:t>
            </w:r>
          </w:p>
        </w:tc>
      </w:tr>
      <w:tr w:rsidR="00C801A6" w:rsidRPr="00C801A6" w14:paraId="71A51A09" w14:textId="77777777" w:rsidTr="00347FDB">
        <w:tc>
          <w:tcPr>
            <w:tcW w:w="3070" w:type="dxa"/>
          </w:tcPr>
          <w:p w14:paraId="2151B84E" w14:textId="77777777" w:rsidR="00575CDF" w:rsidRPr="00C801A6" w:rsidRDefault="00575CDF" w:rsidP="00347FDB">
            <w:pPr>
              <w:spacing w:before="20" w:after="20"/>
              <w:jc w:val="left"/>
              <w:rPr>
                <w:rFonts w:cs="Times New Roman"/>
                <w:color w:val="auto"/>
                <w:sz w:val="21"/>
                <w:szCs w:val="21"/>
              </w:rPr>
            </w:pPr>
            <w:r w:rsidRPr="00C801A6">
              <w:rPr>
                <w:rFonts w:cs="Times New Roman"/>
                <w:color w:val="auto"/>
                <w:sz w:val="21"/>
                <w:szCs w:val="21"/>
              </w:rPr>
              <w:t>En matière de mise en valeur du patrimoine culturel à des fins commerciales</w:t>
            </w:r>
          </w:p>
          <w:p w14:paraId="57185789" w14:textId="77777777" w:rsidR="00575CDF" w:rsidRPr="00C801A6" w:rsidRDefault="00575CDF" w:rsidP="00347FDB">
            <w:pPr>
              <w:autoSpaceDE w:val="0"/>
              <w:autoSpaceDN w:val="0"/>
              <w:adjustRightInd w:val="0"/>
              <w:spacing w:before="20" w:after="20"/>
              <w:jc w:val="left"/>
              <w:rPr>
                <w:rFonts w:cs="Times New Roman"/>
                <w:b/>
                <w:color w:val="auto"/>
                <w:sz w:val="21"/>
                <w:szCs w:val="21"/>
              </w:rPr>
            </w:pPr>
            <w:r w:rsidRPr="00C801A6">
              <w:rPr>
                <w:rFonts w:cs="Times New Roman"/>
                <w:color w:val="auto"/>
                <w:sz w:val="21"/>
                <w:szCs w:val="21"/>
              </w:rPr>
              <w:t>5.Prise en compte des droits des parties prenantes sur les avantages de la mise en valeur du patrimoine culturel</w:t>
            </w:r>
          </w:p>
          <w:p w14:paraId="5BE2FC62" w14:textId="77777777" w:rsidR="00575CDF" w:rsidRPr="00C801A6" w:rsidRDefault="00575CDF" w:rsidP="00347FDB">
            <w:pPr>
              <w:spacing w:before="20" w:after="20"/>
              <w:jc w:val="left"/>
              <w:rPr>
                <w:rFonts w:cs="Times New Roman"/>
                <w:b/>
                <w:color w:val="auto"/>
                <w:sz w:val="21"/>
                <w:szCs w:val="21"/>
              </w:rPr>
            </w:pPr>
            <w:r w:rsidRPr="00C801A6">
              <w:rPr>
                <w:rFonts w:cs="Times New Roman"/>
                <w:color w:val="auto"/>
                <w:sz w:val="21"/>
                <w:szCs w:val="21"/>
              </w:rPr>
              <w:t>6.Partage équitable et juste des avantages issus de la mise en valeur du patrimoine culturel à des fins commerciales</w:t>
            </w:r>
          </w:p>
        </w:tc>
        <w:tc>
          <w:tcPr>
            <w:tcW w:w="3070" w:type="dxa"/>
          </w:tcPr>
          <w:p w14:paraId="2DF91EBC" w14:textId="77777777" w:rsidR="00575CDF" w:rsidRPr="00C801A6" w:rsidRDefault="00575CDF" w:rsidP="00347FDB">
            <w:pPr>
              <w:spacing w:before="20" w:after="20"/>
              <w:jc w:val="left"/>
              <w:rPr>
                <w:rFonts w:cs="Times New Roman"/>
                <w:b/>
                <w:color w:val="auto"/>
                <w:sz w:val="21"/>
                <w:szCs w:val="21"/>
              </w:rPr>
            </w:pPr>
          </w:p>
        </w:tc>
        <w:tc>
          <w:tcPr>
            <w:tcW w:w="3070" w:type="dxa"/>
          </w:tcPr>
          <w:p w14:paraId="491CD1B0" w14:textId="77777777" w:rsidR="00575CDF" w:rsidRPr="00C801A6" w:rsidRDefault="00575CDF" w:rsidP="00347FDB">
            <w:pPr>
              <w:spacing w:before="20" w:after="20"/>
              <w:jc w:val="left"/>
              <w:rPr>
                <w:rFonts w:cs="Times New Roman"/>
                <w:b/>
                <w:i/>
                <w:color w:val="auto"/>
                <w:sz w:val="21"/>
                <w:szCs w:val="21"/>
              </w:rPr>
            </w:pPr>
            <w:r w:rsidRPr="00C801A6">
              <w:rPr>
                <w:rFonts w:cs="Times New Roman"/>
                <w:i/>
                <w:color w:val="auto"/>
                <w:sz w:val="21"/>
                <w:szCs w:val="21"/>
              </w:rPr>
              <w:t xml:space="preserve">Néant </w:t>
            </w:r>
          </w:p>
        </w:tc>
      </w:tr>
    </w:tbl>
    <w:p w14:paraId="65E4C7F3" w14:textId="77777777" w:rsidR="00575CDF" w:rsidRPr="00C801A6" w:rsidRDefault="00575CDF" w:rsidP="003042DB">
      <w:pPr>
        <w:pStyle w:val="Heading4"/>
        <w:rPr>
          <w:rFonts w:eastAsia="Arial"/>
          <w:color w:val="auto"/>
          <w:lang w:val="fr"/>
        </w:rPr>
      </w:pPr>
      <w:bookmarkStart w:id="526" w:name="_Toc230298794"/>
      <w:r w:rsidRPr="00C801A6">
        <w:rPr>
          <w:rFonts w:eastAsia="Arial"/>
          <w:color w:val="auto"/>
          <w:lang w:val="fr"/>
        </w:rPr>
        <w:t>Application de la NES 8 par le Projet</w:t>
      </w:r>
      <w:bookmarkEnd w:id="526"/>
    </w:p>
    <w:p w14:paraId="14D798B6" w14:textId="77777777" w:rsidR="00575CDF" w:rsidRPr="00C801A6" w:rsidRDefault="00575CDF" w:rsidP="00575CDF">
      <w:pPr>
        <w:rPr>
          <w:color w:val="auto"/>
          <w:lang w:val="fr"/>
        </w:rPr>
      </w:pPr>
      <w:r w:rsidRPr="00C801A6">
        <w:rPr>
          <w:color w:val="auto"/>
          <w:lang w:val="fr"/>
        </w:rPr>
        <w:t>La NES 8 s’appliquera au Projet dans la mesure où des travaux d’excavation ou de fouille des projets routiers pourraient occasionner la découverte fortuite de sites ou d’objets archéologiques et historiques. Dans ce cadre, des procédures à suivre en cas de découverte fortuite des vestiges archéologiques seront prévues. Ces procédures seront décrites dans ce CGES</w:t>
      </w:r>
    </w:p>
    <w:p w14:paraId="2E0A3305" w14:textId="77777777" w:rsidR="00575CDF" w:rsidRPr="00DD217E" w:rsidRDefault="00575CDF" w:rsidP="00C65572">
      <w:pPr>
        <w:pStyle w:val="Heading3"/>
      </w:pPr>
      <w:bookmarkStart w:id="527" w:name="_Toc106320337"/>
      <w:bookmarkStart w:id="528" w:name="_Toc230426043"/>
      <w:r w:rsidRPr="00DD217E">
        <w:rPr>
          <w:rFonts w:eastAsia="Arial"/>
        </w:rPr>
        <w:t>Mobilisation des parties prenantes et information</w:t>
      </w:r>
      <w:bookmarkEnd w:id="527"/>
      <w:bookmarkEnd w:id="528"/>
    </w:p>
    <w:p w14:paraId="5854036F" w14:textId="472CFD09" w:rsidR="00575CDF" w:rsidRPr="00DD217E" w:rsidRDefault="00575CDF" w:rsidP="1949FB49">
      <w:pPr>
        <w:pStyle w:val="Heading4"/>
        <w:rPr>
          <w:color w:val="auto"/>
        </w:rPr>
      </w:pPr>
      <w:bookmarkStart w:id="529" w:name="_Toc230298795"/>
      <w:r w:rsidRPr="00DD217E">
        <w:rPr>
          <w:rFonts w:eastAsia="Arial"/>
          <w:color w:val="auto"/>
        </w:rPr>
        <w:t>Cadre juridique national régissant la mobilisation des parties prenantes et informations</w:t>
      </w:r>
      <w:bookmarkEnd w:id="529"/>
    </w:p>
    <w:p w14:paraId="2A149124" w14:textId="77777777" w:rsidR="00575CDF" w:rsidRPr="00C801A6" w:rsidRDefault="00575CDF" w:rsidP="00575CDF">
      <w:pPr>
        <w:rPr>
          <w:rFonts w:eastAsia="Calibri"/>
          <w:color w:val="auto"/>
          <w:szCs w:val="24"/>
        </w:rPr>
      </w:pPr>
      <w:r w:rsidRPr="00C801A6">
        <w:rPr>
          <w:rFonts w:eastAsia="Calibri"/>
          <w:color w:val="auto"/>
          <w:szCs w:val="24"/>
        </w:rPr>
        <w:t>Plusieurs textes nationaux se rapportent à la consultation et à l’information des parties prenantes et sont applicables à tous les projets. Ce sont, notamment, les textes suivants :</w:t>
      </w:r>
    </w:p>
    <w:p w14:paraId="7210E76B" w14:textId="77777777" w:rsidR="00575CDF" w:rsidRPr="00C801A6" w:rsidRDefault="00575CDF" w:rsidP="00844538">
      <w:pPr>
        <w:pStyle w:val="ListParagraph"/>
        <w:numPr>
          <w:ilvl w:val="0"/>
          <w:numId w:val="13"/>
        </w:numPr>
        <w:ind w:left="284" w:hanging="284"/>
        <w:rPr>
          <w:rFonts w:eastAsia="Calibri"/>
          <w:color w:val="auto"/>
          <w:szCs w:val="24"/>
        </w:rPr>
      </w:pPr>
      <w:r w:rsidRPr="00C801A6">
        <w:rPr>
          <w:rFonts w:eastAsia="Calibri"/>
          <w:color w:val="auto"/>
          <w:szCs w:val="24"/>
        </w:rPr>
        <w:t xml:space="preserve">Loi no.2015-003 du 25 janvier 2015 portant Charte de l’Environnement Malagasy actualisée. </w:t>
      </w:r>
    </w:p>
    <w:p w14:paraId="0D8AEFCE" w14:textId="02A51E12" w:rsidR="00575CDF" w:rsidRPr="00C801A6" w:rsidRDefault="00575CDF" w:rsidP="00575CDF">
      <w:pPr>
        <w:ind w:left="284"/>
        <w:rPr>
          <w:rFonts w:eastAsia="Calibri"/>
          <w:color w:val="auto"/>
          <w:szCs w:val="24"/>
        </w:rPr>
      </w:pPr>
      <w:r w:rsidRPr="00C801A6">
        <w:rPr>
          <w:rFonts w:eastAsia="Calibri"/>
          <w:color w:val="auto"/>
          <w:szCs w:val="24"/>
        </w:rPr>
        <w:t xml:space="preserve">La Charte de l’Environnement actualisée édicte que la participation du public est érigée en principe fondamental. A ce propos, il est clairement </w:t>
      </w:r>
      <w:r w:rsidR="00B03E96">
        <w:rPr>
          <w:rFonts w:eastAsia="Calibri"/>
          <w:color w:val="auto"/>
          <w:szCs w:val="24"/>
        </w:rPr>
        <w:t>indiqu</w:t>
      </w:r>
      <w:r w:rsidR="00B03E96" w:rsidRPr="00C801A6">
        <w:rPr>
          <w:rFonts w:eastAsia="Calibri"/>
          <w:color w:val="auto"/>
          <w:szCs w:val="24"/>
        </w:rPr>
        <w:t xml:space="preserve">é </w:t>
      </w:r>
      <w:r w:rsidRPr="00C801A6">
        <w:rPr>
          <w:rFonts w:eastAsia="Calibri"/>
          <w:color w:val="auto"/>
          <w:szCs w:val="24"/>
        </w:rPr>
        <w:t>que tout individu a le droit d’accès à toute information susceptible d’influencer sur l’état de son environnement. Les informations du public concernent tout particulièrement des substances et des activités dangereuses.</w:t>
      </w:r>
    </w:p>
    <w:p w14:paraId="261E7619" w14:textId="77777777" w:rsidR="00575CDF" w:rsidRPr="00C801A6" w:rsidRDefault="00575CDF" w:rsidP="00844538">
      <w:pPr>
        <w:pStyle w:val="ListParagraph"/>
        <w:numPr>
          <w:ilvl w:val="0"/>
          <w:numId w:val="13"/>
        </w:numPr>
        <w:ind w:left="284" w:hanging="284"/>
        <w:rPr>
          <w:rFonts w:eastAsia="Calibri"/>
          <w:color w:val="auto"/>
          <w:szCs w:val="24"/>
        </w:rPr>
      </w:pPr>
      <w:r w:rsidRPr="00C801A6">
        <w:rPr>
          <w:rFonts w:eastAsia="Calibri"/>
          <w:color w:val="auto"/>
          <w:szCs w:val="24"/>
        </w:rPr>
        <w:t xml:space="preserve">Loi no.2015-005 portant refonte du Code de Gestion des Aires Protégées. </w:t>
      </w:r>
    </w:p>
    <w:p w14:paraId="79A562C3" w14:textId="77777777" w:rsidR="00575CDF" w:rsidRPr="00C801A6" w:rsidRDefault="00575CDF" w:rsidP="00575CDF">
      <w:pPr>
        <w:ind w:left="284"/>
        <w:rPr>
          <w:rFonts w:eastAsia="Calibri"/>
          <w:color w:val="auto"/>
          <w:szCs w:val="24"/>
        </w:rPr>
      </w:pPr>
      <w:r w:rsidRPr="00C801A6">
        <w:rPr>
          <w:rFonts w:eastAsia="Calibri"/>
          <w:color w:val="auto"/>
          <w:szCs w:val="24"/>
        </w:rPr>
        <w:t>La gouvernance des aires protégées est définie entre autres par le principe de la transparence et de participation des parties prenantes et du public. L’on accorde une place importante de la consultation des parties prenantes lors de toutes les activités à entreprendre dans les aires protégées.</w:t>
      </w:r>
    </w:p>
    <w:p w14:paraId="58CAD032" w14:textId="77777777" w:rsidR="00575CDF" w:rsidRPr="00C801A6" w:rsidRDefault="00575CDF" w:rsidP="00844538">
      <w:pPr>
        <w:pStyle w:val="ListParagraph"/>
        <w:numPr>
          <w:ilvl w:val="0"/>
          <w:numId w:val="13"/>
        </w:numPr>
        <w:ind w:left="284" w:hanging="284"/>
        <w:rPr>
          <w:rFonts w:eastAsia="Calibri"/>
          <w:color w:val="auto"/>
          <w:szCs w:val="24"/>
        </w:rPr>
      </w:pPr>
      <w:r w:rsidRPr="00C801A6">
        <w:rPr>
          <w:rFonts w:eastAsia="Calibri"/>
          <w:color w:val="auto"/>
          <w:szCs w:val="24"/>
        </w:rPr>
        <w:lastRenderedPageBreak/>
        <w:t xml:space="preserve">Arrêté N°6830/2001 du 28 juin 2001 fixant les modalités et les procédures de participation du public à l’évaluation environnementale. </w:t>
      </w:r>
    </w:p>
    <w:p w14:paraId="77A1E3A7" w14:textId="6F3F1237" w:rsidR="00575CDF" w:rsidRPr="00C801A6" w:rsidRDefault="00575CDF" w:rsidP="00575CDF">
      <w:pPr>
        <w:ind w:left="284"/>
        <w:rPr>
          <w:rFonts w:eastAsia="Calibri"/>
          <w:color w:val="auto"/>
          <w:szCs w:val="24"/>
        </w:rPr>
      </w:pPr>
      <w:r w:rsidRPr="00C801A6">
        <w:rPr>
          <w:rFonts w:eastAsia="Calibri"/>
          <w:color w:val="auto"/>
          <w:szCs w:val="24"/>
        </w:rPr>
        <w:t>Cet Arrêté constitue le cadre par excellence qui régit et institue la participation du public à l’évaluation environnementale de tout projet. L’Arrêté fixe les dispositions communes, les outils et les modalités de consultation publique qui dépendent de l’envergure du projet considéré, à savoir l’enquête publique, la réunion publique, l’audience publique. Cet Arrêté fixé, également, les rôles et les responsabilités des acteurs et des parties prenantes en matière d</w:t>
      </w:r>
      <w:r w:rsidR="00307714">
        <w:rPr>
          <w:rFonts w:eastAsia="Calibri"/>
          <w:color w:val="auto"/>
          <w:szCs w:val="24"/>
        </w:rPr>
        <w:t xml:space="preserve">es </w:t>
      </w:r>
      <w:r w:rsidRPr="00C801A6">
        <w:rPr>
          <w:rFonts w:eastAsia="Calibri"/>
          <w:color w:val="auto"/>
          <w:szCs w:val="24"/>
        </w:rPr>
        <w:t>actions d’évaluation environnementale.</w:t>
      </w:r>
    </w:p>
    <w:p w14:paraId="18A7878A" w14:textId="77777777" w:rsidR="00575CDF" w:rsidRPr="00C801A6" w:rsidRDefault="00575CDF" w:rsidP="00844538">
      <w:pPr>
        <w:pStyle w:val="ListParagraph"/>
        <w:numPr>
          <w:ilvl w:val="0"/>
          <w:numId w:val="13"/>
        </w:numPr>
        <w:ind w:left="284" w:hanging="284"/>
        <w:rPr>
          <w:rFonts w:eastAsia="Calibri"/>
          <w:color w:val="auto"/>
          <w:szCs w:val="24"/>
        </w:rPr>
      </w:pPr>
      <w:r w:rsidRPr="00C801A6">
        <w:rPr>
          <w:rFonts w:eastAsia="Calibri"/>
          <w:color w:val="auto"/>
          <w:szCs w:val="24"/>
        </w:rPr>
        <w:t xml:space="preserve">Les Directives EIE édictées par l’ONE décrivent les étapes méthodologiques destinées aux promoteurs pour mener à bien la consultation des parties prenantes. </w:t>
      </w:r>
    </w:p>
    <w:p w14:paraId="6E0774FF" w14:textId="77777777" w:rsidR="00575CDF" w:rsidRPr="00C801A6" w:rsidRDefault="00575CDF" w:rsidP="003042DB">
      <w:pPr>
        <w:pStyle w:val="Heading4"/>
        <w:rPr>
          <w:color w:val="auto"/>
        </w:rPr>
      </w:pPr>
      <w:bookmarkStart w:id="530" w:name="_Toc230298796"/>
      <w:r w:rsidRPr="00C801A6">
        <w:rPr>
          <w:color w:val="auto"/>
        </w:rPr>
        <w:t>Norme environnementale et sociale n°10 : Mobilisation des parties prenantes et information.</w:t>
      </w:r>
      <w:bookmarkEnd w:id="530"/>
    </w:p>
    <w:p w14:paraId="2F205FDC" w14:textId="77777777" w:rsidR="00575CDF" w:rsidRPr="00C801A6" w:rsidRDefault="00575CDF" w:rsidP="00575CDF">
      <w:pPr>
        <w:pStyle w:val="justify"/>
        <w:shd w:val="clear" w:color="auto" w:fill="FFFFFF"/>
        <w:spacing w:before="0" w:beforeAutospacing="0" w:after="160" w:afterAutospacing="0" w:line="276" w:lineRule="auto"/>
        <w:jc w:val="both"/>
        <w:rPr>
          <w:rFonts w:ascii="Times New Roman" w:hAnsi="Times New Roman"/>
          <w:sz w:val="24"/>
          <w:u w:val="single"/>
        </w:rPr>
      </w:pPr>
      <w:r w:rsidRPr="00C801A6">
        <w:rPr>
          <w:rFonts w:ascii="Times New Roman" w:hAnsi="Times New Roman"/>
          <w:sz w:val="24"/>
          <w:u w:val="single"/>
        </w:rPr>
        <w:t>Principe général de la NES 10</w:t>
      </w:r>
    </w:p>
    <w:p w14:paraId="080A5344" w14:textId="77777777" w:rsidR="00575CDF" w:rsidRPr="00C801A6" w:rsidRDefault="00575CDF" w:rsidP="00575CDF">
      <w:pPr>
        <w:pStyle w:val="justify"/>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La présente NES reconnaît l’importance de l’engagement ouvert et transparente entre l’Emprunteur et les parties prenantes du projet, les travailleurs du projet comme un élément essentiel de bonne pratique internationale. Une adhésion efficace des parties prenantes peut améliorer la durabilité environnementale et sociale des projets, améliorer l’acceptation des projets, et contribuer de manière significative à la conception et à la mise en œuvre réussie des projets.</w:t>
      </w:r>
    </w:p>
    <w:p w14:paraId="0F29111A" w14:textId="77777777" w:rsidR="00575CDF" w:rsidRPr="00C801A6" w:rsidRDefault="00575CDF" w:rsidP="00575CDF">
      <w:pPr>
        <w:pStyle w:val="justify"/>
        <w:shd w:val="clear" w:color="auto" w:fill="FFFFFF"/>
        <w:spacing w:before="0" w:beforeAutospacing="0" w:after="160" w:afterAutospacing="0" w:line="276" w:lineRule="auto"/>
        <w:jc w:val="both"/>
        <w:rPr>
          <w:rFonts w:ascii="Times New Roman" w:hAnsi="Times New Roman"/>
          <w:sz w:val="24"/>
          <w:u w:val="single"/>
        </w:rPr>
      </w:pPr>
      <w:r w:rsidRPr="00C801A6">
        <w:rPr>
          <w:rFonts w:ascii="Times New Roman" w:hAnsi="Times New Roman"/>
          <w:sz w:val="24"/>
          <w:u w:val="single"/>
        </w:rPr>
        <w:t>Objectifs de la NES 10</w:t>
      </w:r>
    </w:p>
    <w:p w14:paraId="3581CB2B"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Définir une approche systématique à la participation des parties prenantes qui aidera les Emprunteurs à identifier les parties prenantes et à construire et à maintenir une relation constructive avec elles, en particulier les parties affectées par le projet.</w:t>
      </w:r>
    </w:p>
    <w:p w14:paraId="4F5BF75A"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Évaluer le niveau d’intérêt et de soutien des parties prenantes pour le projet et permettre de tenir compte de l’avis des parties prenantes dans la conception du projet et la performance environnementale et sociale.</w:t>
      </w:r>
    </w:p>
    <w:p w14:paraId="162D2385"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Promouvoir et fournir des moyens de participation efficaces et inclusifs avec les parties affectées par le projet tout au long du cycle du projet sur des questions susceptibles d’avoir une incidence sur elles.</w:t>
      </w:r>
    </w:p>
    <w:p w14:paraId="5CB86767"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Assurer la communication d’informations sur les risques et les impacts environnementaux et sociaux aux parties prenantes d’une manière et dans un format opportun, compréhensibles, accessibles et appropriés.</w:t>
      </w:r>
    </w:p>
    <w:p w14:paraId="2963BC33"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Assurer que les parties affectées par le projet aient accès à des moyens accessibles et inclusifs leur permettant de soulever des préoccupations et des plaintes, et permettre aux Emprunteurs de répondre et de gérer ces plaintes.</w:t>
      </w:r>
    </w:p>
    <w:p w14:paraId="7237CBF0" w14:textId="77777777" w:rsidR="00575CDF" w:rsidRPr="00C801A6" w:rsidRDefault="00575CDF" w:rsidP="00575CDF">
      <w:pPr>
        <w:pStyle w:val="justify"/>
        <w:shd w:val="clear" w:color="auto" w:fill="FFFFFF"/>
        <w:spacing w:before="0" w:beforeAutospacing="0" w:after="160" w:afterAutospacing="0" w:line="276" w:lineRule="auto"/>
        <w:jc w:val="both"/>
        <w:rPr>
          <w:rFonts w:ascii="Times New Roman" w:hAnsi="Times New Roman"/>
          <w:sz w:val="24"/>
          <w:u w:val="single"/>
        </w:rPr>
      </w:pPr>
      <w:r w:rsidRPr="00C801A6">
        <w:rPr>
          <w:rFonts w:ascii="Times New Roman" w:hAnsi="Times New Roman"/>
          <w:sz w:val="24"/>
          <w:u w:val="single"/>
        </w:rPr>
        <w:t>Exigences et dispositions de la NES 10</w:t>
      </w:r>
    </w:p>
    <w:p w14:paraId="6197A71A"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lastRenderedPageBreak/>
        <w:t>Consultation des parties prenantes tout au long du cycle de vie du projet, en commençant leur mobilisation le plus tôt possible pendant le processus d’élaboration du projet et dans des délais qui permettent des consultations significatives avec les parties prenantes sur la conception du projet</w:t>
      </w:r>
    </w:p>
    <w:p w14:paraId="11F28676"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Organisation des consultations significatives avec l’ensemble des parties prenantes</w:t>
      </w:r>
    </w:p>
    <w:p w14:paraId="201D1391"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Elaboration d’un plan de participation des parties prenantes</w:t>
      </w:r>
    </w:p>
    <w:p w14:paraId="16846C15"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 xml:space="preserve">Poursuite de la consultation avec les parties affectées par le projet et les autres parties intéressées pendant toute la durée de vie du projet, et diffusion des informations </w:t>
      </w:r>
    </w:p>
    <w:p w14:paraId="71332343" w14:textId="77777777" w:rsidR="00575CDF" w:rsidRPr="00C801A6" w:rsidRDefault="00575CDF" w:rsidP="00844538">
      <w:pPr>
        <w:pStyle w:val="justify"/>
        <w:numPr>
          <w:ilvl w:val="0"/>
          <w:numId w:val="70"/>
        </w:numPr>
        <w:shd w:val="clear" w:color="auto" w:fill="FFFFFF" w:themeFill="background1"/>
        <w:spacing w:before="0" w:beforeAutospacing="0" w:after="160" w:afterAutospacing="0" w:line="276" w:lineRule="auto"/>
        <w:jc w:val="both"/>
        <w:rPr>
          <w:rFonts w:ascii="Times New Roman" w:hAnsi="Times New Roman"/>
          <w:sz w:val="24"/>
        </w:rPr>
      </w:pPr>
      <w:r w:rsidRPr="00C801A6">
        <w:rPr>
          <w:rFonts w:ascii="Times New Roman" w:hAnsi="Times New Roman"/>
          <w:sz w:val="24"/>
        </w:rPr>
        <w:t>Mise en place d’un mécanisme de gestion des plaintes</w:t>
      </w:r>
    </w:p>
    <w:p w14:paraId="51DCC609" w14:textId="77777777" w:rsidR="00575CDF" w:rsidRPr="00C801A6" w:rsidRDefault="00575CDF" w:rsidP="00844538">
      <w:pPr>
        <w:pStyle w:val="justify"/>
        <w:numPr>
          <w:ilvl w:val="0"/>
          <w:numId w:val="70"/>
        </w:numPr>
        <w:shd w:val="clear" w:color="auto" w:fill="FFFFFF"/>
        <w:spacing w:before="0" w:beforeAutospacing="0" w:after="160" w:afterAutospacing="0" w:line="276" w:lineRule="auto"/>
        <w:jc w:val="both"/>
        <w:rPr>
          <w:rFonts w:ascii="Times New Roman" w:hAnsi="Times New Roman"/>
          <w:sz w:val="24"/>
        </w:rPr>
      </w:pPr>
      <w:r w:rsidRPr="00C801A6">
        <w:rPr>
          <w:rFonts w:ascii="Times New Roman" w:hAnsi="Times New Roman"/>
          <w:sz w:val="24"/>
        </w:rPr>
        <w:t>Définition des rôles, des responsabilités et des pouvoirs clairs, et désignation du personnel spécifique qui sera chargé de la mise en œuvre et du suivi des activités de participation des parties prenantes et du respect de la présente NES.</w:t>
      </w:r>
    </w:p>
    <w:p w14:paraId="1DA63B7C" w14:textId="77777777" w:rsidR="00575CDF" w:rsidRPr="00C801A6" w:rsidRDefault="00575CDF" w:rsidP="00575CDF">
      <w:pPr>
        <w:pStyle w:val="justify"/>
        <w:shd w:val="clear" w:color="auto" w:fill="FFFFFF"/>
        <w:spacing w:before="0" w:beforeAutospacing="0" w:after="240" w:afterAutospacing="0" w:line="276" w:lineRule="auto"/>
        <w:jc w:val="both"/>
        <w:rPr>
          <w:rFonts w:ascii="Times New Roman" w:hAnsi="Times New Roman"/>
          <w:sz w:val="24"/>
        </w:rPr>
      </w:pPr>
      <w:r w:rsidRPr="00C801A6">
        <w:rPr>
          <w:rFonts w:ascii="Times New Roman" w:hAnsi="Times New Roman"/>
          <w:sz w:val="24"/>
        </w:rPr>
        <w:t>La synthèse de l’analyse comparative entre le cadre national et la NES 10 se résume dans le tableau qui suit :</w:t>
      </w:r>
    </w:p>
    <w:p w14:paraId="0D44D353" w14:textId="65C58DFC" w:rsidR="00575CDF" w:rsidRPr="00C801A6" w:rsidRDefault="00575CDF" w:rsidP="003609CC">
      <w:pPr>
        <w:pStyle w:val="Caption"/>
        <w:rPr>
          <w:color w:val="auto"/>
        </w:rPr>
      </w:pPr>
      <w:bookmarkStart w:id="531" w:name="_Toc230427738"/>
      <w:r w:rsidRPr="00C801A6">
        <w:rPr>
          <w:color w:val="auto"/>
        </w:rPr>
        <w:t xml:space="preserve">Tableau </w:t>
      </w:r>
      <w:r w:rsidRPr="00C801A6">
        <w:rPr>
          <w:color w:val="auto"/>
        </w:rPr>
        <w:fldChar w:fldCharType="begin"/>
      </w:r>
      <w:r w:rsidRPr="00C801A6">
        <w:rPr>
          <w:color w:val="auto"/>
        </w:rPr>
        <w:instrText>SEQ Tableau \* ARABIC</w:instrText>
      </w:r>
      <w:r w:rsidRPr="00C801A6">
        <w:rPr>
          <w:color w:val="auto"/>
        </w:rPr>
        <w:fldChar w:fldCharType="separate"/>
      </w:r>
      <w:r w:rsidR="00253F1A">
        <w:rPr>
          <w:noProof/>
          <w:color w:val="auto"/>
        </w:rPr>
        <w:t>18</w:t>
      </w:r>
      <w:r w:rsidRPr="00C801A6">
        <w:rPr>
          <w:color w:val="auto"/>
        </w:rPr>
        <w:fldChar w:fldCharType="end"/>
      </w:r>
      <w:r w:rsidRPr="00C801A6">
        <w:rPr>
          <w:color w:val="auto"/>
        </w:rPr>
        <w:t> : Synthèse de l’analyse comparative entre le cadre national et la NES 10</w:t>
      </w:r>
      <w:bookmarkEnd w:id="531"/>
    </w:p>
    <w:tbl>
      <w:tblPr>
        <w:tblStyle w:val="Trameclaire-Accent51"/>
        <w:tblW w:w="90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2972"/>
        <w:gridCol w:w="2977"/>
        <w:gridCol w:w="3084"/>
      </w:tblGrid>
      <w:tr w:rsidR="00C801A6" w:rsidRPr="00C801A6" w14:paraId="7A1D2AFE" w14:textId="77777777" w:rsidTr="001F4DE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972" w:type="dxa"/>
            <w:tcBorders>
              <w:top w:val="none" w:sz="0" w:space="0" w:color="auto"/>
              <w:left w:val="none" w:sz="0" w:space="0" w:color="auto"/>
              <w:bottom w:val="none" w:sz="0" w:space="0" w:color="auto"/>
              <w:right w:val="none" w:sz="0" w:space="0" w:color="auto"/>
            </w:tcBorders>
            <w:shd w:val="clear" w:color="auto" w:fill="E2EFD9" w:themeFill="accent6" w:themeFillTint="33"/>
            <w:vAlign w:val="center"/>
          </w:tcPr>
          <w:p w14:paraId="246BD160" w14:textId="77777777" w:rsidR="00575CDF" w:rsidRPr="00C801A6" w:rsidRDefault="00575CDF" w:rsidP="00347FDB">
            <w:pPr>
              <w:spacing w:before="20" w:after="20"/>
              <w:jc w:val="left"/>
              <w:rPr>
                <w:color w:val="auto"/>
                <w:sz w:val="21"/>
                <w:szCs w:val="21"/>
              </w:rPr>
            </w:pPr>
            <w:r w:rsidRPr="00C801A6">
              <w:rPr>
                <w:color w:val="auto"/>
                <w:sz w:val="21"/>
                <w:szCs w:val="21"/>
              </w:rPr>
              <w:t>Points de concordance</w:t>
            </w:r>
          </w:p>
        </w:tc>
        <w:tc>
          <w:tcPr>
            <w:tcW w:w="2977" w:type="dxa"/>
            <w:tcBorders>
              <w:top w:val="none" w:sz="0" w:space="0" w:color="auto"/>
              <w:left w:val="none" w:sz="0" w:space="0" w:color="auto"/>
              <w:bottom w:val="none" w:sz="0" w:space="0" w:color="auto"/>
              <w:right w:val="none" w:sz="0" w:space="0" w:color="auto"/>
            </w:tcBorders>
            <w:shd w:val="clear" w:color="auto" w:fill="E2EFD9" w:themeFill="accent6" w:themeFillTint="33"/>
            <w:vAlign w:val="center"/>
          </w:tcPr>
          <w:p w14:paraId="574C0885" w14:textId="77777777" w:rsidR="00575CDF" w:rsidRPr="00C801A6" w:rsidRDefault="00575CDF" w:rsidP="00347FDB">
            <w:pPr>
              <w:spacing w:before="20" w:after="20"/>
              <w:jc w:val="left"/>
              <w:cnfStyle w:val="100000000000" w:firstRow="1" w:lastRow="0" w:firstColumn="0" w:lastColumn="0" w:oddVBand="0" w:evenVBand="0" w:oddHBand="0" w:evenHBand="0" w:firstRowFirstColumn="0" w:firstRowLastColumn="0" w:lastRowFirstColumn="0" w:lastRowLastColumn="0"/>
              <w:rPr>
                <w:color w:val="auto"/>
                <w:sz w:val="21"/>
                <w:szCs w:val="21"/>
              </w:rPr>
            </w:pPr>
            <w:r w:rsidRPr="00C801A6">
              <w:rPr>
                <w:color w:val="auto"/>
                <w:sz w:val="21"/>
                <w:szCs w:val="21"/>
              </w:rPr>
              <w:t xml:space="preserve">Points de complémentarité </w:t>
            </w:r>
          </w:p>
        </w:tc>
        <w:tc>
          <w:tcPr>
            <w:tcW w:w="3084" w:type="dxa"/>
            <w:tcBorders>
              <w:top w:val="none" w:sz="0" w:space="0" w:color="auto"/>
              <w:left w:val="none" w:sz="0" w:space="0" w:color="auto"/>
              <w:bottom w:val="none" w:sz="0" w:space="0" w:color="auto"/>
              <w:right w:val="none" w:sz="0" w:space="0" w:color="auto"/>
            </w:tcBorders>
            <w:shd w:val="clear" w:color="auto" w:fill="E2EFD9" w:themeFill="accent6" w:themeFillTint="33"/>
            <w:vAlign w:val="center"/>
          </w:tcPr>
          <w:p w14:paraId="1AEFBC72" w14:textId="77777777" w:rsidR="00575CDF" w:rsidRPr="00C801A6" w:rsidRDefault="00575CDF" w:rsidP="00347FDB">
            <w:pPr>
              <w:spacing w:before="20" w:after="20"/>
              <w:jc w:val="left"/>
              <w:cnfStyle w:val="100000000000" w:firstRow="1" w:lastRow="0" w:firstColumn="0" w:lastColumn="0" w:oddVBand="0" w:evenVBand="0" w:oddHBand="0" w:evenHBand="0" w:firstRowFirstColumn="0" w:firstRowLastColumn="0" w:lastRowFirstColumn="0" w:lastRowLastColumn="0"/>
              <w:rPr>
                <w:color w:val="auto"/>
                <w:sz w:val="21"/>
                <w:szCs w:val="21"/>
              </w:rPr>
            </w:pPr>
            <w:r w:rsidRPr="00C801A6">
              <w:rPr>
                <w:color w:val="auto"/>
                <w:sz w:val="21"/>
                <w:szCs w:val="21"/>
              </w:rPr>
              <w:t>Points de divergence</w:t>
            </w:r>
          </w:p>
        </w:tc>
      </w:tr>
      <w:tr w:rsidR="00C801A6" w:rsidRPr="00C801A6" w14:paraId="0598B096" w14:textId="77777777" w:rsidTr="001F4D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Borders>
              <w:left w:val="none" w:sz="0" w:space="0" w:color="auto"/>
              <w:right w:val="none" w:sz="0" w:space="0" w:color="auto"/>
            </w:tcBorders>
            <w:shd w:val="clear" w:color="auto" w:fill="FFFFFF" w:themeFill="background1"/>
          </w:tcPr>
          <w:p w14:paraId="4C073A59" w14:textId="77777777" w:rsidR="00575CDF" w:rsidRPr="00C801A6" w:rsidRDefault="00575CDF" w:rsidP="00347FDB">
            <w:pPr>
              <w:spacing w:before="20" w:after="20"/>
              <w:jc w:val="left"/>
              <w:rPr>
                <w:b w:val="0"/>
                <w:color w:val="auto"/>
                <w:sz w:val="21"/>
                <w:szCs w:val="21"/>
              </w:rPr>
            </w:pPr>
            <w:r w:rsidRPr="00C801A6">
              <w:rPr>
                <w:b w:val="0"/>
                <w:color w:val="auto"/>
                <w:sz w:val="21"/>
                <w:szCs w:val="21"/>
              </w:rPr>
              <w:t>Consultation des parties prenantes</w:t>
            </w:r>
          </w:p>
        </w:tc>
        <w:tc>
          <w:tcPr>
            <w:tcW w:w="2977" w:type="dxa"/>
            <w:tcBorders>
              <w:left w:val="none" w:sz="0" w:space="0" w:color="auto"/>
              <w:right w:val="none" w:sz="0" w:space="0" w:color="auto"/>
            </w:tcBorders>
            <w:shd w:val="clear" w:color="auto" w:fill="FFFFFF" w:themeFill="background1"/>
          </w:tcPr>
          <w:p w14:paraId="4C564DB6" w14:textId="77777777" w:rsidR="00575CDF" w:rsidRPr="00C801A6" w:rsidRDefault="00575CDF" w:rsidP="00347FDB">
            <w:pPr>
              <w:spacing w:before="20" w:after="20"/>
              <w:jc w:val="left"/>
              <w:cnfStyle w:val="000000100000" w:firstRow="0" w:lastRow="0" w:firstColumn="0" w:lastColumn="0" w:oddVBand="0" w:evenVBand="0" w:oddHBand="1" w:evenHBand="0" w:firstRowFirstColumn="0" w:firstRowLastColumn="0" w:lastRowFirstColumn="0" w:lastRowLastColumn="0"/>
              <w:rPr>
                <w:color w:val="auto"/>
                <w:sz w:val="21"/>
                <w:szCs w:val="21"/>
              </w:rPr>
            </w:pPr>
          </w:p>
        </w:tc>
        <w:tc>
          <w:tcPr>
            <w:tcW w:w="3084" w:type="dxa"/>
            <w:tcBorders>
              <w:left w:val="none" w:sz="0" w:space="0" w:color="auto"/>
              <w:right w:val="none" w:sz="0" w:space="0" w:color="auto"/>
            </w:tcBorders>
            <w:shd w:val="clear" w:color="auto" w:fill="FFFFFF" w:themeFill="background1"/>
          </w:tcPr>
          <w:p w14:paraId="25F00FBE" w14:textId="77777777" w:rsidR="00575CDF" w:rsidRPr="00C801A6" w:rsidRDefault="00575CDF" w:rsidP="00347FDB">
            <w:pPr>
              <w:spacing w:before="20" w:after="20"/>
              <w:jc w:val="left"/>
              <w:cnfStyle w:val="000000100000" w:firstRow="0" w:lastRow="0" w:firstColumn="0" w:lastColumn="0" w:oddVBand="0" w:evenVBand="0" w:oddHBand="1" w:evenHBand="0" w:firstRowFirstColumn="0" w:firstRowLastColumn="0" w:lastRowFirstColumn="0" w:lastRowLastColumn="0"/>
              <w:rPr>
                <w:color w:val="auto"/>
                <w:sz w:val="21"/>
                <w:szCs w:val="21"/>
              </w:rPr>
            </w:pPr>
          </w:p>
        </w:tc>
      </w:tr>
      <w:tr w:rsidR="00C801A6" w:rsidRPr="00C801A6" w14:paraId="255E92BE" w14:textId="77777777" w:rsidTr="00347FDB">
        <w:tc>
          <w:tcPr>
            <w:cnfStyle w:val="001000000000" w:firstRow="0" w:lastRow="0" w:firstColumn="1" w:lastColumn="0" w:oddVBand="0" w:evenVBand="0" w:oddHBand="0" w:evenHBand="0" w:firstRowFirstColumn="0" w:firstRowLastColumn="0" w:lastRowFirstColumn="0" w:lastRowLastColumn="0"/>
            <w:tcW w:w="2972" w:type="dxa"/>
            <w:shd w:val="clear" w:color="auto" w:fill="FFFFFF" w:themeFill="background1"/>
          </w:tcPr>
          <w:p w14:paraId="4DBB25AF" w14:textId="77777777" w:rsidR="00575CDF" w:rsidRPr="00C801A6" w:rsidRDefault="00575CDF" w:rsidP="00347FDB">
            <w:pPr>
              <w:pStyle w:val="TableParagraph"/>
              <w:spacing w:before="20" w:after="20" w:line="276" w:lineRule="auto"/>
              <w:rPr>
                <w:rFonts w:ascii="Times New Roman" w:hAnsi="Times New Roman"/>
                <w:b w:val="0"/>
                <w:sz w:val="21"/>
                <w:szCs w:val="21"/>
                <w:lang w:val="fr-FR"/>
              </w:rPr>
            </w:pPr>
            <w:r w:rsidRPr="00C801A6">
              <w:rPr>
                <w:rFonts w:ascii="Times New Roman" w:hAnsi="Times New Roman"/>
                <w:b w:val="0"/>
                <w:sz w:val="21"/>
                <w:szCs w:val="21"/>
                <w:lang w:val="fr-FR"/>
              </w:rPr>
              <w:t>1. Le processus de participation des parties prenantes l’identification et l’analyse des parties prenantes ;</w:t>
            </w:r>
          </w:p>
          <w:p w14:paraId="1FA19773" w14:textId="77777777" w:rsidR="00575CDF" w:rsidRPr="00C801A6" w:rsidRDefault="00575CDF" w:rsidP="00844538">
            <w:pPr>
              <w:pStyle w:val="TableParagraph"/>
              <w:numPr>
                <w:ilvl w:val="0"/>
                <w:numId w:val="72"/>
              </w:numPr>
              <w:tabs>
                <w:tab w:val="left" w:pos="408"/>
              </w:tabs>
              <w:autoSpaceDE w:val="0"/>
              <w:autoSpaceDN w:val="0"/>
              <w:spacing w:before="20" w:after="20" w:line="276" w:lineRule="auto"/>
              <w:ind w:left="284" w:hanging="284"/>
              <w:rPr>
                <w:rFonts w:ascii="Times New Roman" w:hAnsi="Times New Roman"/>
                <w:b w:val="0"/>
                <w:sz w:val="21"/>
                <w:szCs w:val="21"/>
                <w:lang w:val="fr-FR"/>
              </w:rPr>
            </w:pPr>
            <w:r w:rsidRPr="00C801A6">
              <w:rPr>
                <w:rFonts w:ascii="Times New Roman" w:hAnsi="Times New Roman"/>
                <w:b w:val="0"/>
                <w:sz w:val="21"/>
                <w:szCs w:val="21"/>
                <w:lang w:val="fr-FR"/>
              </w:rPr>
              <w:t>la planification sur la manière dont la consultation avec les parties prenantes ;</w:t>
            </w:r>
          </w:p>
          <w:p w14:paraId="153BC755" w14:textId="77777777" w:rsidR="00575CDF" w:rsidRPr="00C801A6" w:rsidRDefault="00575CDF" w:rsidP="00844538">
            <w:pPr>
              <w:pStyle w:val="TableParagraph"/>
              <w:numPr>
                <w:ilvl w:val="0"/>
                <w:numId w:val="72"/>
              </w:numPr>
              <w:tabs>
                <w:tab w:val="left" w:pos="420"/>
              </w:tabs>
              <w:autoSpaceDE w:val="0"/>
              <w:autoSpaceDN w:val="0"/>
              <w:spacing w:before="20" w:after="20" w:line="276" w:lineRule="auto"/>
              <w:ind w:left="284" w:hanging="284"/>
              <w:rPr>
                <w:rFonts w:ascii="Times New Roman" w:hAnsi="Times New Roman"/>
                <w:b w:val="0"/>
                <w:sz w:val="21"/>
                <w:szCs w:val="21"/>
                <w:lang w:val="fr-FR"/>
              </w:rPr>
            </w:pPr>
            <w:r w:rsidRPr="00C801A6">
              <w:rPr>
                <w:rFonts w:ascii="Times New Roman" w:hAnsi="Times New Roman"/>
                <w:b w:val="0"/>
                <w:sz w:val="21"/>
                <w:szCs w:val="21"/>
                <w:lang w:val="fr-FR"/>
              </w:rPr>
              <w:t xml:space="preserve">la diffusion de l’information ; </w:t>
            </w:r>
          </w:p>
          <w:p w14:paraId="315AD654" w14:textId="77777777" w:rsidR="00575CDF" w:rsidRPr="00C801A6" w:rsidRDefault="00575CDF" w:rsidP="00844538">
            <w:pPr>
              <w:pStyle w:val="TableParagraph"/>
              <w:numPr>
                <w:ilvl w:val="0"/>
                <w:numId w:val="72"/>
              </w:numPr>
              <w:tabs>
                <w:tab w:val="left" w:pos="406"/>
              </w:tabs>
              <w:autoSpaceDE w:val="0"/>
              <w:autoSpaceDN w:val="0"/>
              <w:spacing w:before="20" w:after="20" w:line="276" w:lineRule="auto"/>
              <w:ind w:left="284" w:hanging="284"/>
              <w:rPr>
                <w:rFonts w:ascii="Times New Roman" w:hAnsi="Times New Roman"/>
                <w:b w:val="0"/>
                <w:sz w:val="21"/>
                <w:szCs w:val="21"/>
                <w:lang w:val="fr-FR"/>
              </w:rPr>
            </w:pPr>
            <w:r w:rsidRPr="00C801A6">
              <w:rPr>
                <w:rFonts w:ascii="Times New Roman" w:hAnsi="Times New Roman"/>
                <w:b w:val="0"/>
                <w:sz w:val="21"/>
                <w:szCs w:val="21"/>
                <w:lang w:val="fr-FR"/>
              </w:rPr>
              <w:t xml:space="preserve">la consultation avec les parties prenantes </w:t>
            </w:r>
            <w:r w:rsidRPr="00C801A6">
              <w:rPr>
                <w:rFonts w:ascii="Times New Roman" w:hAnsi="Times New Roman"/>
                <w:b w:val="0"/>
                <w:w w:val="99"/>
                <w:sz w:val="21"/>
                <w:szCs w:val="21"/>
                <w:lang w:val="fr-FR"/>
              </w:rPr>
              <w:t>;</w:t>
            </w:r>
          </w:p>
          <w:p w14:paraId="04DD352D" w14:textId="77777777" w:rsidR="00575CDF" w:rsidRPr="00C801A6" w:rsidRDefault="00575CDF" w:rsidP="00844538">
            <w:pPr>
              <w:pStyle w:val="TableParagraph"/>
              <w:numPr>
                <w:ilvl w:val="0"/>
                <w:numId w:val="72"/>
              </w:numPr>
              <w:tabs>
                <w:tab w:val="left" w:pos="367"/>
              </w:tabs>
              <w:autoSpaceDE w:val="0"/>
              <w:autoSpaceDN w:val="0"/>
              <w:spacing w:before="20" w:after="20" w:line="276" w:lineRule="auto"/>
              <w:ind w:left="284" w:hanging="284"/>
              <w:rPr>
                <w:rFonts w:ascii="Times New Roman" w:hAnsi="Times New Roman"/>
                <w:b w:val="0"/>
                <w:sz w:val="21"/>
                <w:szCs w:val="21"/>
                <w:lang w:val="fr-FR"/>
              </w:rPr>
            </w:pPr>
            <w:r w:rsidRPr="00C801A6">
              <w:rPr>
                <w:rFonts w:ascii="Times New Roman" w:hAnsi="Times New Roman"/>
                <w:b w:val="0"/>
                <w:sz w:val="21"/>
                <w:szCs w:val="21"/>
                <w:lang w:val="fr-FR"/>
              </w:rPr>
              <w:t xml:space="preserve">le traitement et la réponse aux plaintes ; </w:t>
            </w:r>
          </w:p>
          <w:p w14:paraId="354DBEF6" w14:textId="77777777" w:rsidR="00575CDF" w:rsidRPr="00C801A6" w:rsidRDefault="00575CDF" w:rsidP="00844538">
            <w:pPr>
              <w:pStyle w:val="TableParagraph"/>
              <w:numPr>
                <w:ilvl w:val="0"/>
                <w:numId w:val="72"/>
              </w:numPr>
              <w:tabs>
                <w:tab w:val="left" w:pos="367"/>
              </w:tabs>
              <w:autoSpaceDE w:val="0"/>
              <w:autoSpaceDN w:val="0"/>
              <w:spacing w:before="20" w:after="20" w:line="276" w:lineRule="auto"/>
              <w:ind w:left="284" w:hanging="284"/>
              <w:rPr>
                <w:rFonts w:ascii="Times New Roman" w:hAnsi="Times New Roman"/>
                <w:b w:val="0"/>
                <w:sz w:val="21"/>
                <w:szCs w:val="21"/>
                <w:lang w:val="fr-FR"/>
              </w:rPr>
            </w:pPr>
            <w:r w:rsidRPr="00C801A6">
              <w:rPr>
                <w:rFonts w:ascii="Times New Roman" w:hAnsi="Times New Roman"/>
                <w:b w:val="0"/>
                <w:sz w:val="21"/>
                <w:szCs w:val="21"/>
                <w:lang w:val="fr-FR"/>
              </w:rPr>
              <w:t>et le retour d’information aux parties prenantes.</w:t>
            </w:r>
          </w:p>
          <w:p w14:paraId="02A3C561" w14:textId="77777777" w:rsidR="00575CDF" w:rsidRPr="00C801A6" w:rsidRDefault="00575CDF" w:rsidP="00347FDB">
            <w:pPr>
              <w:spacing w:before="20" w:after="20"/>
              <w:jc w:val="left"/>
              <w:rPr>
                <w:b w:val="0"/>
                <w:color w:val="auto"/>
                <w:sz w:val="21"/>
                <w:szCs w:val="21"/>
              </w:rPr>
            </w:pPr>
            <w:r w:rsidRPr="00C801A6">
              <w:rPr>
                <w:b w:val="0"/>
                <w:color w:val="auto"/>
                <w:sz w:val="21"/>
                <w:szCs w:val="21"/>
              </w:rPr>
              <w:t xml:space="preserve">Conservation </w:t>
            </w:r>
            <w:r w:rsidRPr="00C801A6">
              <w:rPr>
                <w:b w:val="0"/>
                <w:color w:val="auto"/>
                <w:spacing w:val="-6"/>
                <w:sz w:val="21"/>
                <w:szCs w:val="21"/>
              </w:rPr>
              <w:t xml:space="preserve">et </w:t>
            </w:r>
            <w:r w:rsidRPr="00C801A6">
              <w:rPr>
                <w:b w:val="0"/>
                <w:color w:val="auto"/>
                <w:sz w:val="21"/>
                <w:szCs w:val="21"/>
              </w:rPr>
              <w:t xml:space="preserve">publication du dossier </w:t>
            </w:r>
            <w:r w:rsidRPr="00C801A6">
              <w:rPr>
                <w:b w:val="0"/>
                <w:color w:val="auto"/>
                <w:spacing w:val="-6"/>
                <w:sz w:val="21"/>
                <w:szCs w:val="21"/>
              </w:rPr>
              <w:t xml:space="preserve">de </w:t>
            </w:r>
            <w:r w:rsidRPr="00C801A6">
              <w:rPr>
                <w:b w:val="0"/>
                <w:color w:val="auto"/>
                <w:sz w:val="21"/>
                <w:szCs w:val="21"/>
              </w:rPr>
              <w:t xml:space="preserve">la participation </w:t>
            </w:r>
            <w:r w:rsidRPr="00C801A6">
              <w:rPr>
                <w:b w:val="0"/>
                <w:color w:val="auto"/>
                <w:spacing w:val="-5"/>
                <w:sz w:val="21"/>
                <w:szCs w:val="21"/>
              </w:rPr>
              <w:t xml:space="preserve">des </w:t>
            </w:r>
            <w:r w:rsidRPr="00C801A6">
              <w:rPr>
                <w:b w:val="0"/>
                <w:color w:val="auto"/>
                <w:sz w:val="21"/>
                <w:szCs w:val="21"/>
              </w:rPr>
              <w:t>parties prenantes</w:t>
            </w:r>
          </w:p>
        </w:tc>
        <w:tc>
          <w:tcPr>
            <w:tcW w:w="2977" w:type="dxa"/>
            <w:shd w:val="clear" w:color="auto" w:fill="FFFFFF" w:themeFill="background1"/>
          </w:tcPr>
          <w:p w14:paraId="5FD7BDD4" w14:textId="77777777" w:rsidR="00575CDF" w:rsidRPr="00C801A6" w:rsidRDefault="00575CDF" w:rsidP="00347FDB">
            <w:pPr>
              <w:spacing w:before="20" w:after="20"/>
              <w:jc w:val="left"/>
              <w:cnfStyle w:val="000000000000" w:firstRow="0" w:lastRow="0" w:firstColumn="0" w:lastColumn="0" w:oddVBand="0" w:evenVBand="0" w:oddHBand="0" w:evenHBand="0" w:firstRowFirstColumn="0" w:firstRowLastColumn="0" w:lastRowFirstColumn="0" w:lastRowLastColumn="0"/>
              <w:rPr>
                <w:color w:val="auto"/>
                <w:sz w:val="21"/>
                <w:szCs w:val="21"/>
              </w:rPr>
            </w:pPr>
          </w:p>
        </w:tc>
        <w:tc>
          <w:tcPr>
            <w:tcW w:w="3084" w:type="dxa"/>
            <w:shd w:val="clear" w:color="auto" w:fill="FFFFFF" w:themeFill="background1"/>
          </w:tcPr>
          <w:p w14:paraId="729A5292" w14:textId="77777777" w:rsidR="00575CDF" w:rsidRPr="00C801A6" w:rsidRDefault="00575CDF" w:rsidP="00347FDB">
            <w:pPr>
              <w:spacing w:before="20" w:after="20"/>
              <w:jc w:val="left"/>
              <w:cnfStyle w:val="000000000000" w:firstRow="0" w:lastRow="0" w:firstColumn="0" w:lastColumn="0" w:oddVBand="0" w:evenVBand="0" w:oddHBand="0" w:evenHBand="0" w:firstRowFirstColumn="0" w:firstRowLastColumn="0" w:lastRowFirstColumn="0" w:lastRowLastColumn="0"/>
              <w:rPr>
                <w:color w:val="auto"/>
                <w:sz w:val="21"/>
                <w:szCs w:val="21"/>
              </w:rPr>
            </w:pPr>
          </w:p>
        </w:tc>
      </w:tr>
      <w:tr w:rsidR="00C801A6" w:rsidRPr="00C801A6" w14:paraId="3AF53E87" w14:textId="77777777" w:rsidTr="001F4DEB">
        <w:trPr>
          <w:cnfStyle w:val="000000100000" w:firstRow="0" w:lastRow="0" w:firstColumn="0" w:lastColumn="0" w:oddVBand="0" w:evenVBand="0" w:oddHBand="1" w:evenHBand="0" w:firstRowFirstColumn="0" w:firstRowLastColumn="0" w:lastRowFirstColumn="0" w:lastRowLastColumn="0"/>
          <w:trHeight w:val="1000"/>
        </w:trPr>
        <w:tc>
          <w:tcPr>
            <w:cnfStyle w:val="001000000000" w:firstRow="0" w:lastRow="0" w:firstColumn="1" w:lastColumn="0" w:oddVBand="0" w:evenVBand="0" w:oddHBand="0" w:evenHBand="0" w:firstRowFirstColumn="0" w:firstRowLastColumn="0" w:lastRowFirstColumn="0" w:lastRowLastColumn="0"/>
            <w:tcW w:w="2972" w:type="dxa"/>
            <w:tcBorders>
              <w:left w:val="none" w:sz="0" w:space="0" w:color="auto"/>
              <w:right w:val="none" w:sz="0" w:space="0" w:color="auto"/>
            </w:tcBorders>
            <w:shd w:val="clear" w:color="auto" w:fill="FFFFFF" w:themeFill="background1"/>
          </w:tcPr>
          <w:p w14:paraId="3830457C" w14:textId="77777777" w:rsidR="00575CDF" w:rsidRPr="00C801A6" w:rsidRDefault="00575CDF" w:rsidP="00347FDB">
            <w:pPr>
              <w:spacing w:before="20" w:after="20"/>
              <w:jc w:val="left"/>
              <w:rPr>
                <w:b w:val="0"/>
                <w:color w:val="auto"/>
                <w:sz w:val="21"/>
                <w:szCs w:val="21"/>
              </w:rPr>
            </w:pPr>
            <w:r w:rsidRPr="00C801A6">
              <w:rPr>
                <w:b w:val="0"/>
                <w:color w:val="auto"/>
                <w:sz w:val="21"/>
                <w:szCs w:val="21"/>
              </w:rPr>
              <w:t>Identification des parties prenantes</w:t>
            </w:r>
          </w:p>
          <w:p w14:paraId="2EE6844F" w14:textId="77777777" w:rsidR="00575CDF" w:rsidRPr="00C801A6" w:rsidRDefault="00575CDF" w:rsidP="00347FDB">
            <w:pPr>
              <w:pStyle w:val="TableParagraph"/>
              <w:spacing w:before="20" w:after="20" w:line="276" w:lineRule="auto"/>
              <w:rPr>
                <w:rFonts w:ascii="Times New Roman" w:hAnsi="Times New Roman"/>
                <w:b w:val="0"/>
                <w:sz w:val="21"/>
                <w:szCs w:val="21"/>
                <w:lang w:val="fr-FR"/>
              </w:rPr>
            </w:pPr>
            <w:r w:rsidRPr="00C801A6">
              <w:rPr>
                <w:rFonts w:ascii="Times New Roman" w:hAnsi="Times New Roman"/>
                <w:b w:val="0"/>
                <w:sz w:val="21"/>
                <w:szCs w:val="21"/>
                <w:lang w:val="fr-FR"/>
              </w:rPr>
              <w:t xml:space="preserve">2.Les parties prenantes sont composées des parties affectées </w:t>
            </w:r>
            <w:r w:rsidRPr="00C801A6">
              <w:rPr>
                <w:rFonts w:ascii="Times New Roman" w:hAnsi="Times New Roman"/>
                <w:b w:val="0"/>
                <w:sz w:val="21"/>
                <w:szCs w:val="21"/>
                <w:lang w:val="fr-FR"/>
              </w:rPr>
              <w:lastRenderedPageBreak/>
              <w:t>par le projet</w:t>
            </w:r>
            <w:r w:rsidRPr="00C801A6">
              <w:rPr>
                <w:rFonts w:ascii="Times New Roman" w:hAnsi="Times New Roman"/>
                <w:b w:val="0"/>
                <w:spacing w:val="-6"/>
                <w:sz w:val="21"/>
                <w:szCs w:val="21"/>
                <w:lang w:val="fr-FR"/>
              </w:rPr>
              <w:t xml:space="preserve">, </w:t>
            </w:r>
            <w:r w:rsidRPr="00C801A6">
              <w:rPr>
                <w:rFonts w:ascii="Times New Roman" w:hAnsi="Times New Roman"/>
                <w:b w:val="0"/>
                <w:sz w:val="21"/>
                <w:szCs w:val="21"/>
                <w:lang w:val="fr-FR"/>
              </w:rPr>
              <w:t>les autres parties intéressées, les parties affectées défavorisés ou vulnérables.</w:t>
            </w:r>
          </w:p>
          <w:p w14:paraId="5C6E9181" w14:textId="77777777" w:rsidR="00575CDF" w:rsidRPr="00C801A6" w:rsidRDefault="00575CDF" w:rsidP="00347FDB">
            <w:pPr>
              <w:spacing w:before="20" w:after="20"/>
              <w:jc w:val="left"/>
              <w:rPr>
                <w:b w:val="0"/>
                <w:color w:val="auto"/>
                <w:sz w:val="21"/>
                <w:szCs w:val="21"/>
              </w:rPr>
            </w:pPr>
          </w:p>
        </w:tc>
        <w:tc>
          <w:tcPr>
            <w:tcW w:w="2977" w:type="dxa"/>
            <w:tcBorders>
              <w:left w:val="none" w:sz="0" w:space="0" w:color="auto"/>
              <w:right w:val="none" w:sz="0" w:space="0" w:color="auto"/>
            </w:tcBorders>
            <w:shd w:val="clear" w:color="auto" w:fill="FFFFFF" w:themeFill="background1"/>
          </w:tcPr>
          <w:p w14:paraId="18D0F4A8" w14:textId="77777777" w:rsidR="00575CDF" w:rsidRPr="00C801A6" w:rsidRDefault="00575CDF" w:rsidP="00347FDB">
            <w:pPr>
              <w:spacing w:before="20" w:after="20"/>
              <w:jc w:val="left"/>
              <w:cnfStyle w:val="000000100000" w:firstRow="0" w:lastRow="0" w:firstColumn="0" w:lastColumn="0" w:oddVBand="0" w:evenVBand="0" w:oddHBand="1" w:evenHBand="0" w:firstRowFirstColumn="0" w:firstRowLastColumn="0" w:lastRowFirstColumn="0" w:lastRowLastColumn="0"/>
              <w:rPr>
                <w:color w:val="auto"/>
                <w:sz w:val="21"/>
                <w:szCs w:val="21"/>
              </w:rPr>
            </w:pPr>
            <w:r w:rsidRPr="00C801A6">
              <w:rPr>
                <w:color w:val="auto"/>
                <w:sz w:val="21"/>
                <w:szCs w:val="21"/>
              </w:rPr>
              <w:lastRenderedPageBreak/>
              <w:t>Informations sur le projet aux parties prenantes</w:t>
            </w:r>
          </w:p>
          <w:p w14:paraId="23468F00" w14:textId="77777777" w:rsidR="00575CDF" w:rsidRPr="00C801A6" w:rsidRDefault="00575CDF" w:rsidP="00347FDB">
            <w:pPr>
              <w:pStyle w:val="TableParagraph"/>
              <w:spacing w:before="20" w:after="2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lang w:val="fr-FR"/>
              </w:rPr>
            </w:pPr>
            <w:r w:rsidRPr="00C801A6">
              <w:rPr>
                <w:rFonts w:ascii="Times New Roman" w:hAnsi="Times New Roman"/>
                <w:sz w:val="21"/>
                <w:szCs w:val="21"/>
                <w:lang w:val="fr-FR"/>
              </w:rPr>
              <w:t xml:space="preserve">1.Obligation de fournir aux parties prenantes un accès aux </w:t>
            </w:r>
            <w:r w:rsidRPr="00C801A6">
              <w:rPr>
                <w:rFonts w:ascii="Times New Roman" w:hAnsi="Times New Roman"/>
                <w:sz w:val="21"/>
                <w:szCs w:val="21"/>
                <w:lang w:val="fr-FR"/>
              </w:rPr>
              <w:lastRenderedPageBreak/>
              <w:t>informations sur le projet le plus tôt possible avant l’évaluation du projet par la Banque, et selon un calendrier qui permet de mener des consultations significatives avec les parties prenantes sur la conception du projet</w:t>
            </w:r>
          </w:p>
        </w:tc>
        <w:tc>
          <w:tcPr>
            <w:tcW w:w="3084" w:type="dxa"/>
            <w:tcBorders>
              <w:left w:val="none" w:sz="0" w:space="0" w:color="auto"/>
              <w:right w:val="none" w:sz="0" w:space="0" w:color="auto"/>
            </w:tcBorders>
            <w:shd w:val="clear" w:color="auto" w:fill="FFFFFF" w:themeFill="background1"/>
          </w:tcPr>
          <w:p w14:paraId="64E8AECA" w14:textId="77777777" w:rsidR="00575CDF" w:rsidRPr="00C801A6" w:rsidRDefault="00575CDF" w:rsidP="00347FDB">
            <w:pPr>
              <w:spacing w:before="20" w:after="20"/>
              <w:jc w:val="left"/>
              <w:cnfStyle w:val="000000100000" w:firstRow="0" w:lastRow="0" w:firstColumn="0" w:lastColumn="0" w:oddVBand="0" w:evenVBand="0" w:oddHBand="1" w:evenHBand="0" w:firstRowFirstColumn="0" w:firstRowLastColumn="0" w:lastRowFirstColumn="0" w:lastRowLastColumn="0"/>
              <w:rPr>
                <w:color w:val="auto"/>
                <w:sz w:val="21"/>
                <w:szCs w:val="21"/>
              </w:rPr>
            </w:pPr>
            <w:r w:rsidRPr="00C801A6">
              <w:rPr>
                <w:color w:val="auto"/>
                <w:sz w:val="21"/>
                <w:szCs w:val="21"/>
              </w:rPr>
              <w:lastRenderedPageBreak/>
              <w:t xml:space="preserve">5.Elaboration et mise en œuvre d’un Plan d’Engagement </w:t>
            </w:r>
            <w:r w:rsidRPr="00C801A6">
              <w:rPr>
                <w:color w:val="auto"/>
                <w:spacing w:val="-5"/>
                <w:sz w:val="21"/>
                <w:szCs w:val="21"/>
              </w:rPr>
              <w:t xml:space="preserve">des </w:t>
            </w:r>
            <w:r w:rsidRPr="00C801A6">
              <w:rPr>
                <w:color w:val="auto"/>
                <w:sz w:val="21"/>
                <w:szCs w:val="21"/>
              </w:rPr>
              <w:t>Parties Prenantes (PEPP)</w:t>
            </w:r>
          </w:p>
          <w:p w14:paraId="4D8679A3" w14:textId="77777777" w:rsidR="00575CDF" w:rsidRPr="00C801A6" w:rsidRDefault="00575CDF" w:rsidP="00347FDB">
            <w:pPr>
              <w:spacing w:before="20" w:after="20"/>
              <w:jc w:val="left"/>
              <w:cnfStyle w:val="000000100000" w:firstRow="0" w:lastRow="0" w:firstColumn="0" w:lastColumn="0" w:oddVBand="0" w:evenVBand="0" w:oddHBand="1" w:evenHBand="0" w:firstRowFirstColumn="0" w:firstRowLastColumn="0" w:lastRowFirstColumn="0" w:lastRowLastColumn="0"/>
              <w:rPr>
                <w:color w:val="auto"/>
                <w:sz w:val="21"/>
                <w:szCs w:val="21"/>
              </w:rPr>
            </w:pPr>
          </w:p>
        </w:tc>
      </w:tr>
      <w:tr w:rsidR="00C801A6" w:rsidRPr="00C801A6" w14:paraId="21357B1F" w14:textId="77777777" w:rsidTr="00347FDB">
        <w:trPr>
          <w:trHeight w:val="339"/>
        </w:trPr>
        <w:tc>
          <w:tcPr>
            <w:cnfStyle w:val="001000000000" w:firstRow="0" w:lastRow="0" w:firstColumn="1" w:lastColumn="0" w:oddVBand="0" w:evenVBand="0" w:oddHBand="0" w:evenHBand="0" w:firstRowFirstColumn="0" w:firstRowLastColumn="0" w:lastRowFirstColumn="0" w:lastRowLastColumn="0"/>
            <w:tcW w:w="2972" w:type="dxa"/>
            <w:shd w:val="clear" w:color="auto" w:fill="FFFFFF" w:themeFill="background1"/>
          </w:tcPr>
          <w:p w14:paraId="6D6C927D" w14:textId="77777777" w:rsidR="00575CDF" w:rsidRPr="00C801A6" w:rsidRDefault="00575CDF" w:rsidP="00347FDB">
            <w:pPr>
              <w:pStyle w:val="TableParagraph"/>
              <w:tabs>
                <w:tab w:val="left" w:pos="1885"/>
              </w:tabs>
              <w:spacing w:before="20" w:after="20" w:line="276" w:lineRule="auto"/>
              <w:rPr>
                <w:rFonts w:ascii="Times New Roman" w:hAnsi="Times New Roman"/>
                <w:b w:val="0"/>
                <w:sz w:val="21"/>
                <w:szCs w:val="21"/>
                <w:lang w:val="fr-FR"/>
              </w:rPr>
            </w:pPr>
          </w:p>
        </w:tc>
        <w:tc>
          <w:tcPr>
            <w:tcW w:w="2977" w:type="dxa"/>
            <w:shd w:val="clear" w:color="auto" w:fill="FFFFFF" w:themeFill="background1"/>
          </w:tcPr>
          <w:p w14:paraId="793CB041" w14:textId="77777777" w:rsidR="00575CDF" w:rsidRPr="00C801A6" w:rsidRDefault="00575CDF" w:rsidP="00347FDB">
            <w:pPr>
              <w:pStyle w:val="TableParagraph"/>
              <w:tabs>
                <w:tab w:val="left" w:pos="1885"/>
              </w:tabs>
              <w:spacing w:before="20" w:after="2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1"/>
                <w:szCs w:val="21"/>
                <w:lang w:val="fr-FR"/>
              </w:rPr>
            </w:pPr>
            <w:r w:rsidRPr="00C801A6">
              <w:rPr>
                <w:rFonts w:ascii="Times New Roman" w:hAnsi="Times New Roman"/>
                <w:sz w:val="21"/>
                <w:szCs w:val="21"/>
                <w:lang w:val="fr-FR"/>
              </w:rPr>
              <w:t>Méthode de consultation</w:t>
            </w:r>
          </w:p>
        </w:tc>
        <w:tc>
          <w:tcPr>
            <w:tcW w:w="3084" w:type="dxa"/>
            <w:shd w:val="clear" w:color="auto" w:fill="FFFFFF" w:themeFill="background1"/>
          </w:tcPr>
          <w:p w14:paraId="2842AEB7" w14:textId="77777777" w:rsidR="00575CDF" w:rsidRPr="00C801A6" w:rsidRDefault="00575CDF" w:rsidP="00347FDB">
            <w:pPr>
              <w:spacing w:before="20" w:after="20"/>
              <w:jc w:val="left"/>
              <w:cnfStyle w:val="000000000000" w:firstRow="0" w:lastRow="0" w:firstColumn="0" w:lastColumn="0" w:oddVBand="0" w:evenVBand="0" w:oddHBand="0" w:evenHBand="0" w:firstRowFirstColumn="0" w:firstRowLastColumn="0" w:lastRowFirstColumn="0" w:lastRowLastColumn="0"/>
              <w:rPr>
                <w:color w:val="auto"/>
                <w:sz w:val="21"/>
                <w:szCs w:val="21"/>
              </w:rPr>
            </w:pPr>
          </w:p>
        </w:tc>
      </w:tr>
      <w:tr w:rsidR="00C801A6" w:rsidRPr="00C801A6" w14:paraId="3B3655BD" w14:textId="77777777" w:rsidTr="001F4DEB">
        <w:trPr>
          <w:cnfStyle w:val="000000100000" w:firstRow="0" w:lastRow="0" w:firstColumn="0" w:lastColumn="0" w:oddVBand="0" w:evenVBand="0" w:oddHBand="1" w:evenHBand="0" w:firstRowFirstColumn="0" w:firstRowLastColumn="0" w:lastRowFirstColumn="0" w:lastRowLastColumn="0"/>
          <w:trHeight w:val="50"/>
        </w:trPr>
        <w:tc>
          <w:tcPr>
            <w:cnfStyle w:val="001000000000" w:firstRow="0" w:lastRow="0" w:firstColumn="1" w:lastColumn="0" w:oddVBand="0" w:evenVBand="0" w:oddHBand="0" w:evenHBand="0" w:firstRowFirstColumn="0" w:firstRowLastColumn="0" w:lastRowFirstColumn="0" w:lastRowLastColumn="0"/>
            <w:tcW w:w="2972" w:type="dxa"/>
            <w:tcBorders>
              <w:left w:val="none" w:sz="0" w:space="0" w:color="auto"/>
              <w:right w:val="none" w:sz="0" w:space="0" w:color="auto"/>
            </w:tcBorders>
            <w:shd w:val="clear" w:color="auto" w:fill="FFFFFF" w:themeFill="background1"/>
          </w:tcPr>
          <w:p w14:paraId="1BC12988" w14:textId="77777777" w:rsidR="00575CDF" w:rsidRPr="00C801A6" w:rsidRDefault="00575CDF" w:rsidP="00347FDB">
            <w:pPr>
              <w:pStyle w:val="TableParagraph"/>
              <w:tabs>
                <w:tab w:val="left" w:pos="1885"/>
              </w:tabs>
              <w:spacing w:before="20" w:after="20" w:line="276" w:lineRule="auto"/>
              <w:rPr>
                <w:rFonts w:ascii="Times New Roman" w:hAnsi="Times New Roman"/>
                <w:b w:val="0"/>
                <w:sz w:val="21"/>
                <w:szCs w:val="21"/>
                <w:lang w:val="fr-FR"/>
              </w:rPr>
            </w:pPr>
          </w:p>
        </w:tc>
        <w:tc>
          <w:tcPr>
            <w:tcW w:w="2977" w:type="dxa"/>
            <w:tcBorders>
              <w:left w:val="none" w:sz="0" w:space="0" w:color="auto"/>
              <w:right w:val="none" w:sz="0" w:space="0" w:color="auto"/>
            </w:tcBorders>
            <w:shd w:val="clear" w:color="auto" w:fill="FFFFFF" w:themeFill="background1"/>
          </w:tcPr>
          <w:p w14:paraId="5C631501" w14:textId="77777777" w:rsidR="00575CDF" w:rsidRPr="00C801A6" w:rsidRDefault="00575CDF" w:rsidP="00347FDB">
            <w:pPr>
              <w:pStyle w:val="TableParagraph"/>
              <w:spacing w:before="20" w:after="2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1"/>
                <w:szCs w:val="21"/>
                <w:lang w:val="fr-FR"/>
              </w:rPr>
            </w:pPr>
            <w:r w:rsidRPr="00C801A6">
              <w:rPr>
                <w:rFonts w:ascii="Times New Roman" w:hAnsi="Times New Roman"/>
                <w:sz w:val="21"/>
                <w:szCs w:val="21"/>
                <w:lang w:val="fr-FR"/>
              </w:rPr>
              <w:t xml:space="preserve">2. Un véritable processus de consultation de manière à permettre aux parties prenantes d’exprimer leurs points de vue sur les risques, les impacts et les mesures d’atténuation du projet, et à l’Emprunteur de les examiner et d’y répondre. </w:t>
            </w:r>
          </w:p>
        </w:tc>
        <w:tc>
          <w:tcPr>
            <w:tcW w:w="3084" w:type="dxa"/>
            <w:tcBorders>
              <w:left w:val="none" w:sz="0" w:space="0" w:color="auto"/>
              <w:right w:val="none" w:sz="0" w:space="0" w:color="auto"/>
            </w:tcBorders>
            <w:shd w:val="clear" w:color="auto" w:fill="FFFFFF" w:themeFill="background1"/>
          </w:tcPr>
          <w:p w14:paraId="6029B5F5" w14:textId="77777777" w:rsidR="00575CDF" w:rsidRPr="00C801A6" w:rsidRDefault="00575CDF" w:rsidP="00347FDB">
            <w:pPr>
              <w:spacing w:before="20" w:after="20"/>
              <w:jc w:val="left"/>
              <w:cnfStyle w:val="000000100000" w:firstRow="0" w:lastRow="0" w:firstColumn="0" w:lastColumn="0" w:oddVBand="0" w:evenVBand="0" w:oddHBand="1" w:evenHBand="0" w:firstRowFirstColumn="0" w:firstRowLastColumn="0" w:lastRowFirstColumn="0" w:lastRowLastColumn="0"/>
              <w:rPr>
                <w:color w:val="auto"/>
                <w:sz w:val="21"/>
                <w:szCs w:val="21"/>
              </w:rPr>
            </w:pPr>
            <w:r w:rsidRPr="00C801A6">
              <w:rPr>
                <w:color w:val="auto"/>
                <w:sz w:val="21"/>
                <w:szCs w:val="21"/>
              </w:rPr>
              <w:t>6. Langues de diffusion des informations du projet : Diffusion dans les langues locales pertinentes, accessible et culturellement appropriée, en tenant compte des besoins spécifiques des groupes qui peuvent être affectés différemment ou de manière disproportionnée par le projet en raison de leur statut ou des groupes de la population ayant des besoins spécifiques d’information (tels que le handicap, l’alphabétisation, le sexe, la mobilité, les différences de langue ou d’accessibilité).</w:t>
            </w:r>
          </w:p>
        </w:tc>
      </w:tr>
      <w:tr w:rsidR="00C801A6" w:rsidRPr="00C801A6" w14:paraId="1246C73C" w14:textId="77777777" w:rsidTr="00347FDB">
        <w:trPr>
          <w:trHeight w:val="815"/>
        </w:trPr>
        <w:tc>
          <w:tcPr>
            <w:cnfStyle w:val="001000000000" w:firstRow="0" w:lastRow="0" w:firstColumn="1" w:lastColumn="0" w:oddVBand="0" w:evenVBand="0" w:oddHBand="0" w:evenHBand="0" w:firstRowFirstColumn="0" w:firstRowLastColumn="0" w:lastRowFirstColumn="0" w:lastRowLastColumn="0"/>
            <w:tcW w:w="2972" w:type="dxa"/>
            <w:shd w:val="clear" w:color="auto" w:fill="FFFFFF" w:themeFill="background1"/>
          </w:tcPr>
          <w:p w14:paraId="2E84166B" w14:textId="77777777" w:rsidR="00575CDF" w:rsidRPr="00C801A6" w:rsidRDefault="00575CDF" w:rsidP="00347FDB">
            <w:pPr>
              <w:spacing w:before="20" w:after="20"/>
              <w:jc w:val="left"/>
              <w:rPr>
                <w:b w:val="0"/>
                <w:color w:val="auto"/>
                <w:sz w:val="21"/>
                <w:szCs w:val="21"/>
              </w:rPr>
            </w:pPr>
          </w:p>
        </w:tc>
        <w:tc>
          <w:tcPr>
            <w:tcW w:w="2977" w:type="dxa"/>
            <w:shd w:val="clear" w:color="auto" w:fill="FFFFFF" w:themeFill="background1"/>
          </w:tcPr>
          <w:p w14:paraId="1C5CC9C9" w14:textId="77777777" w:rsidR="00575CDF" w:rsidRPr="00C801A6" w:rsidRDefault="00575CDF" w:rsidP="00347FDB">
            <w:pPr>
              <w:spacing w:before="20" w:after="20"/>
              <w:jc w:val="left"/>
              <w:cnfStyle w:val="000000000000" w:firstRow="0" w:lastRow="0" w:firstColumn="0" w:lastColumn="0" w:oddVBand="0" w:evenVBand="0" w:oddHBand="0" w:evenHBand="0" w:firstRowFirstColumn="0" w:firstRowLastColumn="0" w:lastRowFirstColumn="0" w:lastRowLastColumn="0"/>
              <w:rPr>
                <w:color w:val="auto"/>
                <w:sz w:val="21"/>
                <w:szCs w:val="21"/>
              </w:rPr>
            </w:pPr>
            <w:r w:rsidRPr="00C801A6">
              <w:rPr>
                <w:color w:val="auto"/>
                <w:sz w:val="21"/>
                <w:szCs w:val="21"/>
              </w:rPr>
              <w:t>Participation pendant la mise en œuvre du projet et rapports externes</w:t>
            </w:r>
          </w:p>
        </w:tc>
        <w:tc>
          <w:tcPr>
            <w:tcW w:w="3084" w:type="dxa"/>
            <w:shd w:val="clear" w:color="auto" w:fill="FFFFFF" w:themeFill="background1"/>
          </w:tcPr>
          <w:p w14:paraId="2EB5DF5D" w14:textId="77777777" w:rsidR="00575CDF" w:rsidRPr="00C801A6" w:rsidRDefault="00575CDF" w:rsidP="00347FDB">
            <w:pPr>
              <w:spacing w:before="20" w:after="20"/>
              <w:jc w:val="left"/>
              <w:cnfStyle w:val="000000000000" w:firstRow="0" w:lastRow="0" w:firstColumn="0" w:lastColumn="0" w:oddVBand="0" w:evenVBand="0" w:oddHBand="0" w:evenHBand="0" w:firstRowFirstColumn="0" w:firstRowLastColumn="0" w:lastRowFirstColumn="0" w:lastRowLastColumn="0"/>
              <w:rPr>
                <w:color w:val="auto"/>
                <w:sz w:val="21"/>
                <w:szCs w:val="21"/>
              </w:rPr>
            </w:pPr>
          </w:p>
        </w:tc>
      </w:tr>
      <w:tr w:rsidR="00C801A6" w:rsidRPr="00C801A6" w14:paraId="1F2A13DE" w14:textId="77777777" w:rsidTr="001F4DEB">
        <w:trPr>
          <w:cnfStyle w:val="000000100000" w:firstRow="0" w:lastRow="0" w:firstColumn="0" w:lastColumn="0" w:oddVBand="0" w:evenVBand="0" w:oddHBand="1" w:evenHBand="0" w:firstRowFirstColumn="0" w:firstRowLastColumn="0" w:lastRowFirstColumn="0" w:lastRowLastColumn="0"/>
          <w:trHeight w:val="2405"/>
        </w:trPr>
        <w:tc>
          <w:tcPr>
            <w:cnfStyle w:val="001000000000" w:firstRow="0" w:lastRow="0" w:firstColumn="1" w:lastColumn="0" w:oddVBand="0" w:evenVBand="0" w:oddHBand="0" w:evenHBand="0" w:firstRowFirstColumn="0" w:firstRowLastColumn="0" w:lastRowFirstColumn="0" w:lastRowLastColumn="0"/>
            <w:tcW w:w="2972" w:type="dxa"/>
            <w:tcBorders>
              <w:left w:val="none" w:sz="0" w:space="0" w:color="auto"/>
              <w:right w:val="none" w:sz="0" w:space="0" w:color="auto"/>
            </w:tcBorders>
            <w:shd w:val="clear" w:color="auto" w:fill="FFFFFF" w:themeFill="background1"/>
          </w:tcPr>
          <w:p w14:paraId="4055F11C" w14:textId="77777777" w:rsidR="00575CDF" w:rsidRPr="00C801A6" w:rsidRDefault="00575CDF" w:rsidP="00347FDB">
            <w:pPr>
              <w:spacing w:before="20" w:after="20"/>
              <w:jc w:val="left"/>
              <w:rPr>
                <w:b w:val="0"/>
                <w:color w:val="auto"/>
                <w:sz w:val="21"/>
                <w:szCs w:val="21"/>
              </w:rPr>
            </w:pPr>
          </w:p>
        </w:tc>
        <w:tc>
          <w:tcPr>
            <w:tcW w:w="2977" w:type="dxa"/>
            <w:tcBorders>
              <w:left w:val="none" w:sz="0" w:space="0" w:color="auto"/>
              <w:right w:val="none" w:sz="0" w:space="0" w:color="auto"/>
            </w:tcBorders>
            <w:shd w:val="clear" w:color="auto" w:fill="FFFFFF" w:themeFill="background1"/>
          </w:tcPr>
          <w:p w14:paraId="3C0F8E5F" w14:textId="77777777" w:rsidR="00575CDF" w:rsidRPr="00C801A6" w:rsidRDefault="00575CDF" w:rsidP="00347FDB">
            <w:pPr>
              <w:spacing w:before="20" w:after="20"/>
              <w:jc w:val="left"/>
              <w:cnfStyle w:val="000000100000" w:firstRow="0" w:lastRow="0" w:firstColumn="0" w:lastColumn="0" w:oddVBand="0" w:evenVBand="0" w:oddHBand="1" w:evenHBand="0" w:firstRowFirstColumn="0" w:firstRowLastColumn="0" w:lastRowFirstColumn="0" w:lastRowLastColumn="0"/>
              <w:rPr>
                <w:color w:val="auto"/>
                <w:sz w:val="21"/>
                <w:szCs w:val="21"/>
              </w:rPr>
            </w:pPr>
            <w:r w:rsidRPr="00C801A6">
              <w:rPr>
                <w:color w:val="auto"/>
                <w:sz w:val="21"/>
                <w:szCs w:val="21"/>
              </w:rPr>
              <w:t>3. Durée de l’implication des parties prenantes, soit pendant toute la durée de vie du projet</w:t>
            </w:r>
          </w:p>
          <w:p w14:paraId="3BD5AC20" w14:textId="77777777" w:rsidR="00575CDF" w:rsidRPr="00C801A6" w:rsidRDefault="00575CDF" w:rsidP="00347FDB">
            <w:pPr>
              <w:spacing w:before="20" w:after="20"/>
              <w:jc w:val="left"/>
              <w:cnfStyle w:val="000000100000" w:firstRow="0" w:lastRow="0" w:firstColumn="0" w:lastColumn="0" w:oddVBand="0" w:evenVBand="0" w:oddHBand="1" w:evenHBand="0" w:firstRowFirstColumn="0" w:firstRowLastColumn="0" w:lastRowFirstColumn="0" w:lastRowLastColumn="0"/>
              <w:rPr>
                <w:color w:val="auto"/>
                <w:sz w:val="21"/>
                <w:szCs w:val="21"/>
              </w:rPr>
            </w:pPr>
            <w:r w:rsidRPr="00C801A6">
              <w:rPr>
                <w:color w:val="auto"/>
                <w:sz w:val="21"/>
                <w:szCs w:val="21"/>
              </w:rPr>
              <w:t xml:space="preserve">4. Objets de </w:t>
            </w:r>
            <w:r w:rsidRPr="00C801A6">
              <w:rPr>
                <w:color w:val="auto"/>
                <w:spacing w:val="-9"/>
                <w:sz w:val="21"/>
                <w:szCs w:val="21"/>
              </w:rPr>
              <w:t xml:space="preserve">la </w:t>
            </w:r>
            <w:r w:rsidRPr="00C801A6">
              <w:rPr>
                <w:color w:val="auto"/>
                <w:sz w:val="21"/>
                <w:szCs w:val="21"/>
              </w:rPr>
              <w:t xml:space="preserve">consultation : performance, </w:t>
            </w:r>
            <w:r w:rsidRPr="00C801A6">
              <w:rPr>
                <w:color w:val="auto"/>
                <w:w w:val="95"/>
                <w:sz w:val="21"/>
                <w:szCs w:val="21"/>
              </w:rPr>
              <w:t>mesures d</w:t>
            </w:r>
            <w:r w:rsidRPr="00C801A6">
              <w:rPr>
                <w:color w:val="auto"/>
                <w:sz w:val="21"/>
                <w:szCs w:val="21"/>
              </w:rPr>
              <w:t xml:space="preserve">’atténuation, </w:t>
            </w:r>
            <w:r w:rsidRPr="00C801A6">
              <w:rPr>
                <w:color w:val="auto"/>
                <w:spacing w:val="-3"/>
                <w:sz w:val="21"/>
                <w:szCs w:val="21"/>
              </w:rPr>
              <w:t xml:space="preserve">risques </w:t>
            </w:r>
            <w:r w:rsidRPr="00C801A6">
              <w:rPr>
                <w:color w:val="auto"/>
                <w:sz w:val="21"/>
                <w:szCs w:val="21"/>
              </w:rPr>
              <w:t>supplémentaires</w:t>
            </w:r>
          </w:p>
        </w:tc>
        <w:tc>
          <w:tcPr>
            <w:tcW w:w="3084" w:type="dxa"/>
            <w:tcBorders>
              <w:left w:val="none" w:sz="0" w:space="0" w:color="auto"/>
              <w:right w:val="none" w:sz="0" w:space="0" w:color="auto"/>
            </w:tcBorders>
            <w:shd w:val="clear" w:color="auto" w:fill="FFFFFF" w:themeFill="background1"/>
          </w:tcPr>
          <w:p w14:paraId="0F392AC2" w14:textId="77777777" w:rsidR="00575CDF" w:rsidRPr="00C801A6" w:rsidRDefault="00575CDF" w:rsidP="00347FDB">
            <w:pPr>
              <w:spacing w:before="20" w:after="20"/>
              <w:jc w:val="left"/>
              <w:cnfStyle w:val="000000100000" w:firstRow="0" w:lastRow="0" w:firstColumn="0" w:lastColumn="0" w:oddVBand="0" w:evenVBand="0" w:oddHBand="1" w:evenHBand="0" w:firstRowFirstColumn="0" w:firstRowLastColumn="0" w:lastRowFirstColumn="0" w:lastRowLastColumn="0"/>
              <w:rPr>
                <w:color w:val="auto"/>
                <w:sz w:val="21"/>
                <w:szCs w:val="21"/>
              </w:rPr>
            </w:pPr>
          </w:p>
        </w:tc>
      </w:tr>
      <w:tr w:rsidR="00C801A6" w:rsidRPr="00C801A6" w14:paraId="713DBC92" w14:textId="77777777" w:rsidTr="00347FDB">
        <w:trPr>
          <w:trHeight w:val="171"/>
        </w:trPr>
        <w:tc>
          <w:tcPr>
            <w:cnfStyle w:val="001000000000" w:firstRow="0" w:lastRow="0" w:firstColumn="1" w:lastColumn="0" w:oddVBand="0" w:evenVBand="0" w:oddHBand="0" w:evenHBand="0" w:firstRowFirstColumn="0" w:firstRowLastColumn="0" w:lastRowFirstColumn="0" w:lastRowLastColumn="0"/>
            <w:tcW w:w="2972" w:type="dxa"/>
            <w:shd w:val="clear" w:color="auto" w:fill="FFFFFF" w:themeFill="background1"/>
          </w:tcPr>
          <w:p w14:paraId="2C48F8C0" w14:textId="77777777" w:rsidR="00575CDF" w:rsidRPr="00C801A6" w:rsidRDefault="00575CDF" w:rsidP="00347FDB">
            <w:pPr>
              <w:spacing w:before="20" w:after="20"/>
              <w:jc w:val="left"/>
              <w:rPr>
                <w:b w:val="0"/>
                <w:color w:val="auto"/>
                <w:sz w:val="21"/>
                <w:szCs w:val="21"/>
              </w:rPr>
            </w:pPr>
            <w:r w:rsidRPr="00C801A6">
              <w:rPr>
                <w:b w:val="0"/>
                <w:color w:val="auto"/>
                <w:sz w:val="21"/>
                <w:szCs w:val="21"/>
              </w:rPr>
              <w:t>Mécanisme de gestion de plaintes</w:t>
            </w:r>
          </w:p>
        </w:tc>
        <w:tc>
          <w:tcPr>
            <w:tcW w:w="2977" w:type="dxa"/>
            <w:shd w:val="clear" w:color="auto" w:fill="FFFFFF" w:themeFill="background1"/>
          </w:tcPr>
          <w:p w14:paraId="067BB412" w14:textId="77777777" w:rsidR="00575CDF" w:rsidRPr="00C801A6" w:rsidRDefault="00575CDF" w:rsidP="00347FDB">
            <w:pPr>
              <w:spacing w:before="20" w:after="20"/>
              <w:jc w:val="left"/>
              <w:cnfStyle w:val="000000000000" w:firstRow="0" w:lastRow="0" w:firstColumn="0" w:lastColumn="0" w:oddVBand="0" w:evenVBand="0" w:oddHBand="0" w:evenHBand="0" w:firstRowFirstColumn="0" w:firstRowLastColumn="0" w:lastRowFirstColumn="0" w:lastRowLastColumn="0"/>
              <w:rPr>
                <w:color w:val="auto"/>
                <w:sz w:val="21"/>
                <w:szCs w:val="21"/>
              </w:rPr>
            </w:pPr>
          </w:p>
        </w:tc>
        <w:tc>
          <w:tcPr>
            <w:tcW w:w="3084" w:type="dxa"/>
            <w:shd w:val="clear" w:color="auto" w:fill="FFFFFF" w:themeFill="background1"/>
          </w:tcPr>
          <w:p w14:paraId="52B7D39B" w14:textId="77777777" w:rsidR="00575CDF" w:rsidRPr="00C801A6" w:rsidRDefault="00575CDF" w:rsidP="00347FDB">
            <w:pPr>
              <w:spacing w:before="20" w:after="20"/>
              <w:jc w:val="left"/>
              <w:cnfStyle w:val="000000000000" w:firstRow="0" w:lastRow="0" w:firstColumn="0" w:lastColumn="0" w:oddVBand="0" w:evenVBand="0" w:oddHBand="0" w:evenHBand="0" w:firstRowFirstColumn="0" w:firstRowLastColumn="0" w:lastRowFirstColumn="0" w:lastRowLastColumn="0"/>
              <w:rPr>
                <w:color w:val="auto"/>
                <w:sz w:val="21"/>
                <w:szCs w:val="21"/>
              </w:rPr>
            </w:pPr>
          </w:p>
        </w:tc>
      </w:tr>
      <w:tr w:rsidR="00C801A6" w:rsidRPr="00C801A6" w14:paraId="5DFCC89F" w14:textId="77777777" w:rsidTr="001F4DEB">
        <w:trPr>
          <w:cnfStyle w:val="000000100000" w:firstRow="0" w:lastRow="0" w:firstColumn="0" w:lastColumn="0" w:oddVBand="0" w:evenVBand="0" w:oddHBand="1" w:evenHBand="0" w:firstRowFirstColumn="0" w:firstRowLastColumn="0" w:lastRowFirstColumn="0" w:lastRowLastColumn="0"/>
          <w:trHeight w:val="589"/>
        </w:trPr>
        <w:tc>
          <w:tcPr>
            <w:cnfStyle w:val="001000000000" w:firstRow="0" w:lastRow="0" w:firstColumn="1" w:lastColumn="0" w:oddVBand="0" w:evenVBand="0" w:oddHBand="0" w:evenHBand="0" w:firstRowFirstColumn="0" w:firstRowLastColumn="0" w:lastRowFirstColumn="0" w:lastRowLastColumn="0"/>
            <w:tcW w:w="2972" w:type="dxa"/>
            <w:tcBorders>
              <w:left w:val="none" w:sz="0" w:space="0" w:color="auto"/>
              <w:right w:val="none" w:sz="0" w:space="0" w:color="auto"/>
            </w:tcBorders>
            <w:shd w:val="clear" w:color="auto" w:fill="FFFFFF" w:themeFill="background1"/>
          </w:tcPr>
          <w:p w14:paraId="68781004" w14:textId="77777777" w:rsidR="00575CDF" w:rsidRPr="00C801A6" w:rsidRDefault="00575CDF" w:rsidP="00347FDB">
            <w:pPr>
              <w:spacing w:before="20" w:after="20"/>
              <w:jc w:val="left"/>
              <w:rPr>
                <w:b w:val="0"/>
                <w:color w:val="auto"/>
                <w:sz w:val="21"/>
                <w:szCs w:val="21"/>
              </w:rPr>
            </w:pPr>
            <w:r w:rsidRPr="00C801A6">
              <w:rPr>
                <w:b w:val="0"/>
                <w:color w:val="auto"/>
                <w:sz w:val="21"/>
                <w:szCs w:val="21"/>
              </w:rPr>
              <w:t xml:space="preserve">3. Obligation de mise en place de mécanisme de gestion des plaintes </w:t>
            </w:r>
          </w:p>
        </w:tc>
        <w:tc>
          <w:tcPr>
            <w:tcW w:w="2977" w:type="dxa"/>
            <w:tcBorders>
              <w:left w:val="none" w:sz="0" w:space="0" w:color="auto"/>
              <w:right w:val="none" w:sz="0" w:space="0" w:color="auto"/>
            </w:tcBorders>
            <w:shd w:val="clear" w:color="auto" w:fill="FFFFFF" w:themeFill="background1"/>
          </w:tcPr>
          <w:p w14:paraId="610B67B5" w14:textId="77777777" w:rsidR="00575CDF" w:rsidRPr="00C801A6" w:rsidRDefault="00575CDF" w:rsidP="00347FDB">
            <w:pPr>
              <w:spacing w:before="20" w:after="20"/>
              <w:jc w:val="left"/>
              <w:cnfStyle w:val="000000100000" w:firstRow="0" w:lastRow="0" w:firstColumn="0" w:lastColumn="0" w:oddVBand="0" w:evenVBand="0" w:oddHBand="1" w:evenHBand="0" w:firstRowFirstColumn="0" w:firstRowLastColumn="0" w:lastRowFirstColumn="0" w:lastRowLastColumn="0"/>
              <w:rPr>
                <w:color w:val="auto"/>
                <w:sz w:val="21"/>
                <w:szCs w:val="21"/>
              </w:rPr>
            </w:pPr>
          </w:p>
        </w:tc>
        <w:tc>
          <w:tcPr>
            <w:tcW w:w="3084" w:type="dxa"/>
            <w:tcBorders>
              <w:left w:val="none" w:sz="0" w:space="0" w:color="auto"/>
              <w:right w:val="none" w:sz="0" w:space="0" w:color="auto"/>
            </w:tcBorders>
            <w:shd w:val="clear" w:color="auto" w:fill="FFFFFF" w:themeFill="background1"/>
          </w:tcPr>
          <w:p w14:paraId="0D966712" w14:textId="77777777" w:rsidR="00575CDF" w:rsidRPr="00C801A6" w:rsidRDefault="00575CDF" w:rsidP="00347FDB">
            <w:pPr>
              <w:spacing w:before="20" w:after="20"/>
              <w:jc w:val="left"/>
              <w:cnfStyle w:val="000000100000" w:firstRow="0" w:lastRow="0" w:firstColumn="0" w:lastColumn="0" w:oddVBand="0" w:evenVBand="0" w:oddHBand="1" w:evenHBand="0" w:firstRowFirstColumn="0" w:firstRowLastColumn="0" w:lastRowFirstColumn="0" w:lastRowLastColumn="0"/>
              <w:rPr>
                <w:color w:val="auto"/>
                <w:sz w:val="21"/>
                <w:szCs w:val="21"/>
              </w:rPr>
            </w:pPr>
            <w:r w:rsidRPr="00C801A6">
              <w:rPr>
                <w:color w:val="auto"/>
                <w:sz w:val="21"/>
                <w:szCs w:val="21"/>
              </w:rPr>
              <w:t>7. Qualité et fonctionnalités du mécanisme de gestion des plaintes : c’est-à-dire un mécanisme adapté aux risques et aux impacts négatifs potentiels du projet, et accessible et inclusif.</w:t>
            </w:r>
          </w:p>
        </w:tc>
      </w:tr>
      <w:tr w:rsidR="00C801A6" w:rsidRPr="00C801A6" w14:paraId="71E3202F" w14:textId="77777777" w:rsidTr="00347FDB">
        <w:tc>
          <w:tcPr>
            <w:cnfStyle w:val="001000000000" w:firstRow="0" w:lastRow="0" w:firstColumn="1" w:lastColumn="0" w:oddVBand="0" w:evenVBand="0" w:oddHBand="0" w:evenHBand="0" w:firstRowFirstColumn="0" w:firstRowLastColumn="0" w:lastRowFirstColumn="0" w:lastRowLastColumn="0"/>
            <w:tcW w:w="2972" w:type="dxa"/>
            <w:shd w:val="clear" w:color="auto" w:fill="FFFFFF" w:themeFill="background1"/>
          </w:tcPr>
          <w:p w14:paraId="45A9669C" w14:textId="77777777" w:rsidR="00575CDF" w:rsidRPr="00C801A6" w:rsidRDefault="00575CDF" w:rsidP="00347FDB">
            <w:pPr>
              <w:spacing w:before="20" w:after="20"/>
              <w:jc w:val="left"/>
              <w:rPr>
                <w:b w:val="0"/>
                <w:color w:val="auto"/>
                <w:sz w:val="21"/>
                <w:szCs w:val="21"/>
              </w:rPr>
            </w:pPr>
          </w:p>
        </w:tc>
        <w:tc>
          <w:tcPr>
            <w:tcW w:w="2977" w:type="dxa"/>
            <w:shd w:val="clear" w:color="auto" w:fill="FFFFFF" w:themeFill="background1"/>
          </w:tcPr>
          <w:p w14:paraId="0ED24943" w14:textId="77777777" w:rsidR="00575CDF" w:rsidRPr="00C801A6" w:rsidRDefault="00575CDF" w:rsidP="00347FDB">
            <w:pPr>
              <w:spacing w:before="20" w:after="20"/>
              <w:jc w:val="left"/>
              <w:cnfStyle w:val="000000000000" w:firstRow="0" w:lastRow="0" w:firstColumn="0" w:lastColumn="0" w:oddVBand="0" w:evenVBand="0" w:oddHBand="0" w:evenHBand="0" w:firstRowFirstColumn="0" w:firstRowLastColumn="0" w:lastRowFirstColumn="0" w:lastRowLastColumn="0"/>
              <w:rPr>
                <w:color w:val="auto"/>
                <w:sz w:val="21"/>
                <w:szCs w:val="21"/>
              </w:rPr>
            </w:pPr>
          </w:p>
          <w:p w14:paraId="345159F8" w14:textId="77777777" w:rsidR="00575CDF" w:rsidRPr="00C801A6" w:rsidRDefault="00575CDF" w:rsidP="00347FDB">
            <w:pPr>
              <w:spacing w:before="20" w:after="20"/>
              <w:jc w:val="left"/>
              <w:cnfStyle w:val="000000000000" w:firstRow="0" w:lastRow="0" w:firstColumn="0" w:lastColumn="0" w:oddVBand="0" w:evenVBand="0" w:oddHBand="0" w:evenHBand="0" w:firstRowFirstColumn="0" w:firstRowLastColumn="0" w:lastRowFirstColumn="0" w:lastRowLastColumn="0"/>
              <w:rPr>
                <w:color w:val="auto"/>
                <w:sz w:val="21"/>
                <w:szCs w:val="21"/>
              </w:rPr>
            </w:pPr>
          </w:p>
        </w:tc>
        <w:tc>
          <w:tcPr>
            <w:tcW w:w="3084" w:type="dxa"/>
            <w:shd w:val="clear" w:color="auto" w:fill="FFFFFF" w:themeFill="background1"/>
          </w:tcPr>
          <w:p w14:paraId="2FF555A3" w14:textId="77777777" w:rsidR="00575CDF" w:rsidRPr="00C801A6" w:rsidRDefault="00575CDF" w:rsidP="00347FDB">
            <w:pPr>
              <w:spacing w:before="20" w:after="20"/>
              <w:jc w:val="left"/>
              <w:cnfStyle w:val="000000000000" w:firstRow="0" w:lastRow="0" w:firstColumn="0" w:lastColumn="0" w:oddVBand="0" w:evenVBand="0" w:oddHBand="0" w:evenHBand="0" w:firstRowFirstColumn="0" w:firstRowLastColumn="0" w:lastRowFirstColumn="0" w:lastRowLastColumn="0"/>
              <w:rPr>
                <w:color w:val="auto"/>
                <w:sz w:val="21"/>
                <w:szCs w:val="21"/>
              </w:rPr>
            </w:pPr>
            <w:r w:rsidRPr="00C801A6">
              <w:rPr>
                <w:color w:val="auto"/>
                <w:sz w:val="21"/>
                <w:szCs w:val="21"/>
              </w:rPr>
              <w:t xml:space="preserve">8.Dispositif organisationnel </w:t>
            </w:r>
            <w:r w:rsidRPr="00C801A6">
              <w:rPr>
                <w:color w:val="auto"/>
                <w:spacing w:val="-9"/>
                <w:sz w:val="21"/>
                <w:szCs w:val="21"/>
              </w:rPr>
              <w:t xml:space="preserve">et </w:t>
            </w:r>
            <w:r w:rsidRPr="00C801A6">
              <w:rPr>
                <w:color w:val="auto"/>
                <w:sz w:val="21"/>
                <w:szCs w:val="21"/>
              </w:rPr>
              <w:t>institutionnel : obligation de définir des rôles, des responsabilités et des pouvoirs clairs, et désigner du personnel spécifique chargé de la mise en œuvre et du suivi des activités de participation des parties prenantes</w:t>
            </w:r>
          </w:p>
        </w:tc>
      </w:tr>
    </w:tbl>
    <w:p w14:paraId="3156A057" w14:textId="77777777" w:rsidR="00575CDF" w:rsidRPr="00C801A6" w:rsidRDefault="00575CDF" w:rsidP="003042DB">
      <w:pPr>
        <w:pStyle w:val="Heading4"/>
        <w:rPr>
          <w:color w:val="auto"/>
        </w:rPr>
      </w:pPr>
      <w:bookmarkStart w:id="532" w:name="_Toc230298797"/>
      <w:r w:rsidRPr="00C801A6">
        <w:rPr>
          <w:color w:val="auto"/>
        </w:rPr>
        <w:t>Groupes vulnérables</w:t>
      </w:r>
      <w:bookmarkEnd w:id="532"/>
    </w:p>
    <w:p w14:paraId="6351E76B" w14:textId="275EA045" w:rsidR="00575CDF" w:rsidRPr="00C801A6" w:rsidRDefault="00575CDF" w:rsidP="00575CDF">
      <w:pPr>
        <w:rPr>
          <w:color w:val="auto"/>
        </w:rPr>
      </w:pPr>
      <w:r w:rsidRPr="00C801A6">
        <w:rPr>
          <w:color w:val="auto"/>
        </w:rPr>
        <w:t xml:space="preserve">Selon le CES de la </w:t>
      </w:r>
      <w:r w:rsidR="00B910A0" w:rsidRPr="00C801A6">
        <w:rPr>
          <w:color w:val="auto"/>
        </w:rPr>
        <w:t>Banque mondiale</w:t>
      </w:r>
      <w:r w:rsidRPr="00C801A6">
        <w:rPr>
          <w:color w:val="auto"/>
        </w:rPr>
        <w:t xml:space="preserve">, le terme « défavorisé » ou « vulnérable » ou encore « marginalisé » désigne des individus ou des groupes qui risquent davantage de souffrir des effets du Projet considéré et/ou sont plus limités que d’autres dans leur capacité à profiter des avantages dudit Projet. Ces individus ou ces groupes sont aussi plus susceptibles d’être exclus du processus général de consultation ou de ne pouvoir y participer pleinement, et peuvent exiger de ce fait des mesures et/ou une assistance spécifique. (Note 28 de la NES1 du CES de la </w:t>
      </w:r>
      <w:r w:rsidR="00B910A0" w:rsidRPr="00C801A6">
        <w:rPr>
          <w:color w:val="auto"/>
        </w:rPr>
        <w:t>Banque mondiale</w:t>
      </w:r>
      <w:r w:rsidRPr="00C801A6">
        <w:rPr>
          <w:color w:val="auto"/>
        </w:rPr>
        <w:t xml:space="preserve">, 2017) </w:t>
      </w:r>
    </w:p>
    <w:p w14:paraId="5827EE74" w14:textId="77777777" w:rsidR="00575CDF" w:rsidRPr="00C801A6" w:rsidRDefault="00575CDF" w:rsidP="00575CDF">
      <w:pPr>
        <w:rPr>
          <w:color w:val="auto"/>
        </w:rPr>
      </w:pPr>
      <w:r w:rsidRPr="00C801A6">
        <w:rPr>
          <w:color w:val="auto"/>
        </w:rPr>
        <w:t>De manière générale, dans le cadre du Projet, sont définis comme étant des groupes vulnérables les catégories de personne suivantes :</w:t>
      </w:r>
    </w:p>
    <w:p w14:paraId="0EF3B847" w14:textId="77777777" w:rsidR="00575CDF" w:rsidRPr="00C801A6" w:rsidRDefault="00575CDF" w:rsidP="00844538">
      <w:pPr>
        <w:pStyle w:val="ListParagraph"/>
        <w:numPr>
          <w:ilvl w:val="0"/>
          <w:numId w:val="73"/>
        </w:numPr>
        <w:spacing w:after="80" w:line="276" w:lineRule="auto"/>
        <w:ind w:left="850" w:hanging="425"/>
        <w:contextualSpacing w:val="0"/>
        <w:rPr>
          <w:color w:val="auto"/>
        </w:rPr>
      </w:pPr>
      <w:r w:rsidRPr="00C801A6">
        <w:rPr>
          <w:color w:val="auto"/>
        </w:rPr>
        <w:t>les femmes chefs de ménage avec des enfants de bas âge</w:t>
      </w:r>
    </w:p>
    <w:p w14:paraId="36F130FE" w14:textId="77777777" w:rsidR="00575CDF" w:rsidRPr="00C801A6" w:rsidRDefault="00575CDF" w:rsidP="00844538">
      <w:pPr>
        <w:pStyle w:val="ListParagraph"/>
        <w:numPr>
          <w:ilvl w:val="0"/>
          <w:numId w:val="73"/>
        </w:numPr>
        <w:spacing w:after="80" w:line="276" w:lineRule="auto"/>
        <w:ind w:left="850" w:hanging="425"/>
        <w:contextualSpacing w:val="0"/>
        <w:rPr>
          <w:color w:val="auto"/>
        </w:rPr>
      </w:pPr>
      <w:r w:rsidRPr="00C801A6">
        <w:rPr>
          <w:color w:val="auto"/>
        </w:rPr>
        <w:t>les personnes âgées</w:t>
      </w:r>
    </w:p>
    <w:p w14:paraId="5DF158C3" w14:textId="77777777" w:rsidR="00575CDF" w:rsidRPr="00C801A6" w:rsidRDefault="00575CDF" w:rsidP="00844538">
      <w:pPr>
        <w:pStyle w:val="ListParagraph"/>
        <w:numPr>
          <w:ilvl w:val="0"/>
          <w:numId w:val="73"/>
        </w:numPr>
        <w:spacing w:after="80" w:line="276" w:lineRule="auto"/>
        <w:ind w:left="850" w:hanging="425"/>
        <w:contextualSpacing w:val="0"/>
        <w:rPr>
          <w:color w:val="auto"/>
        </w:rPr>
      </w:pPr>
      <w:r w:rsidRPr="00C801A6">
        <w:rPr>
          <w:color w:val="auto"/>
        </w:rPr>
        <w:t>les personnes en situation de handicap</w:t>
      </w:r>
    </w:p>
    <w:p w14:paraId="0EE71E8A" w14:textId="77777777" w:rsidR="00575CDF" w:rsidRPr="00C801A6" w:rsidRDefault="00575CDF" w:rsidP="00844538">
      <w:pPr>
        <w:pStyle w:val="ListParagraph"/>
        <w:numPr>
          <w:ilvl w:val="0"/>
          <w:numId w:val="73"/>
        </w:numPr>
        <w:spacing w:after="80" w:line="276" w:lineRule="auto"/>
        <w:ind w:left="850" w:hanging="425"/>
        <w:contextualSpacing w:val="0"/>
        <w:rPr>
          <w:color w:val="auto"/>
        </w:rPr>
      </w:pPr>
      <w:r w:rsidRPr="00C801A6">
        <w:rPr>
          <w:color w:val="auto"/>
        </w:rPr>
        <w:t>les personnes ou les ménages en situation très précaire</w:t>
      </w:r>
    </w:p>
    <w:p w14:paraId="538B449C" w14:textId="77777777" w:rsidR="00575CDF" w:rsidRPr="00C801A6" w:rsidRDefault="00575CDF" w:rsidP="00844538">
      <w:pPr>
        <w:pStyle w:val="ListParagraph"/>
        <w:numPr>
          <w:ilvl w:val="0"/>
          <w:numId w:val="73"/>
        </w:numPr>
        <w:spacing w:after="80" w:line="276" w:lineRule="auto"/>
        <w:ind w:left="850" w:hanging="425"/>
        <w:contextualSpacing w:val="0"/>
        <w:rPr>
          <w:color w:val="auto"/>
        </w:rPr>
      </w:pPr>
      <w:r w:rsidRPr="00C801A6">
        <w:rPr>
          <w:color w:val="auto"/>
        </w:rPr>
        <w:t>les individus différents à cause de leur orientation sexuelle</w:t>
      </w:r>
    </w:p>
    <w:p w14:paraId="20D40285" w14:textId="77777777" w:rsidR="00575CDF" w:rsidRPr="00C801A6" w:rsidRDefault="00575CDF" w:rsidP="00844538">
      <w:pPr>
        <w:pStyle w:val="ListParagraph"/>
        <w:numPr>
          <w:ilvl w:val="0"/>
          <w:numId w:val="73"/>
        </w:numPr>
        <w:spacing w:after="80" w:line="276" w:lineRule="auto"/>
        <w:ind w:left="850" w:hanging="425"/>
        <w:contextualSpacing w:val="0"/>
        <w:rPr>
          <w:color w:val="auto"/>
        </w:rPr>
      </w:pPr>
      <w:r w:rsidRPr="00C801A6">
        <w:rPr>
          <w:color w:val="auto"/>
        </w:rPr>
        <w:t>les personnes âgées</w:t>
      </w:r>
    </w:p>
    <w:p w14:paraId="007166BC" w14:textId="77777777" w:rsidR="00575CDF" w:rsidRPr="00C801A6" w:rsidRDefault="00575CDF" w:rsidP="00844538">
      <w:pPr>
        <w:pStyle w:val="ListParagraph"/>
        <w:numPr>
          <w:ilvl w:val="0"/>
          <w:numId w:val="73"/>
        </w:numPr>
        <w:spacing w:after="80" w:line="276" w:lineRule="auto"/>
        <w:ind w:left="850" w:hanging="425"/>
        <w:contextualSpacing w:val="0"/>
        <w:rPr>
          <w:color w:val="auto"/>
        </w:rPr>
      </w:pPr>
      <w:r w:rsidRPr="00C801A6">
        <w:rPr>
          <w:color w:val="auto"/>
        </w:rPr>
        <w:t>les individus souffrant de maladies chroniques</w:t>
      </w:r>
    </w:p>
    <w:p w14:paraId="197EF98A" w14:textId="77777777" w:rsidR="00575CDF" w:rsidRPr="00C801A6" w:rsidRDefault="00575CDF" w:rsidP="00844538">
      <w:pPr>
        <w:pStyle w:val="ListParagraph"/>
        <w:numPr>
          <w:ilvl w:val="0"/>
          <w:numId w:val="73"/>
        </w:numPr>
        <w:spacing w:after="80" w:line="276" w:lineRule="auto"/>
        <w:ind w:left="850" w:hanging="425"/>
        <w:contextualSpacing w:val="0"/>
        <w:rPr>
          <w:color w:val="auto"/>
        </w:rPr>
      </w:pPr>
      <w:r w:rsidRPr="00C801A6">
        <w:rPr>
          <w:color w:val="auto"/>
        </w:rPr>
        <w:t>les ménages monoparentaux.</w:t>
      </w:r>
    </w:p>
    <w:p w14:paraId="3737E24D" w14:textId="77777777" w:rsidR="00575CDF" w:rsidRPr="00C801A6" w:rsidRDefault="00575CDF" w:rsidP="00844538">
      <w:pPr>
        <w:pStyle w:val="ListParagraph"/>
        <w:numPr>
          <w:ilvl w:val="0"/>
          <w:numId w:val="73"/>
        </w:numPr>
        <w:spacing w:after="80" w:line="276" w:lineRule="auto"/>
        <w:ind w:left="850" w:hanging="425"/>
        <w:contextualSpacing w:val="0"/>
        <w:rPr>
          <w:color w:val="auto"/>
        </w:rPr>
      </w:pPr>
      <w:r w:rsidRPr="00C801A6">
        <w:rPr>
          <w:color w:val="auto"/>
        </w:rPr>
        <w:t>les ménages dont le chef de famille est sans ressources ou quasiment sans ressources ;</w:t>
      </w:r>
    </w:p>
    <w:p w14:paraId="75F167AB" w14:textId="71366D83" w:rsidR="00575CDF" w:rsidRPr="00C801A6" w:rsidRDefault="00575CDF" w:rsidP="00844538">
      <w:pPr>
        <w:pStyle w:val="ListParagraph"/>
        <w:numPr>
          <w:ilvl w:val="0"/>
          <w:numId w:val="73"/>
        </w:numPr>
        <w:spacing w:line="276" w:lineRule="auto"/>
        <w:ind w:left="851" w:hanging="425"/>
        <w:contextualSpacing w:val="0"/>
        <w:rPr>
          <w:color w:val="auto"/>
        </w:rPr>
      </w:pPr>
      <w:r w:rsidRPr="00C801A6">
        <w:rPr>
          <w:color w:val="auto"/>
        </w:rPr>
        <w:t xml:space="preserve">les personnes victimes de </w:t>
      </w:r>
      <w:r w:rsidR="006F38A3">
        <w:rPr>
          <w:color w:val="auto"/>
        </w:rPr>
        <w:t xml:space="preserve">EAS-HS </w:t>
      </w:r>
      <w:r w:rsidRPr="00C801A6">
        <w:rPr>
          <w:color w:val="auto"/>
        </w:rPr>
        <w:t>.</w:t>
      </w:r>
    </w:p>
    <w:p w14:paraId="4922FC6A" w14:textId="77777777" w:rsidR="00575CDF" w:rsidRPr="00C801A6" w:rsidRDefault="00575CDF" w:rsidP="003042DB">
      <w:pPr>
        <w:pStyle w:val="Heading4"/>
        <w:rPr>
          <w:rFonts w:eastAsiaTheme="minorHAnsi"/>
          <w:color w:val="auto"/>
        </w:rPr>
      </w:pPr>
      <w:bookmarkStart w:id="533" w:name="_Toc230298798"/>
      <w:r w:rsidRPr="00C801A6">
        <w:rPr>
          <w:rFonts w:eastAsia="Arial"/>
          <w:color w:val="auto"/>
          <w:lang w:val="fr"/>
        </w:rPr>
        <w:t>Application de la NES 10 par le Projet</w:t>
      </w:r>
      <w:bookmarkEnd w:id="533"/>
    </w:p>
    <w:p w14:paraId="5E3A3A8F" w14:textId="32861F32" w:rsidR="00575CDF" w:rsidRPr="00C801A6" w:rsidRDefault="00EB2BDF" w:rsidP="00575CDF">
      <w:pPr>
        <w:rPr>
          <w:color w:val="auto"/>
        </w:rPr>
      </w:pPr>
      <w:r>
        <w:rPr>
          <w:color w:val="auto"/>
        </w:rPr>
        <w:t>C</w:t>
      </w:r>
      <w:r w:rsidR="00575CDF" w:rsidRPr="00C801A6">
        <w:rPr>
          <w:color w:val="auto"/>
        </w:rPr>
        <w:t xml:space="preserve">ompte tenu des lacunes de la législation nationale par rapport aux exiegnces de la NES10, ce seront ces dernières qui s’appliqueront pour le Projet </w:t>
      </w:r>
      <w:r w:rsidR="003349AF" w:rsidRPr="00C801A6">
        <w:rPr>
          <w:color w:val="auto"/>
        </w:rPr>
        <w:t>P</w:t>
      </w:r>
      <w:r>
        <w:rPr>
          <w:color w:val="auto"/>
        </w:rPr>
        <w:t>CMCI</w:t>
      </w:r>
      <w:r w:rsidR="00575CDF" w:rsidRPr="00C801A6">
        <w:rPr>
          <w:color w:val="auto"/>
        </w:rPr>
        <w:t>.</w:t>
      </w:r>
    </w:p>
    <w:p w14:paraId="7AE567CC" w14:textId="0FDF0C7C" w:rsidR="00575CDF" w:rsidRPr="00C801A6" w:rsidRDefault="00575CDF" w:rsidP="00575CDF">
      <w:pPr>
        <w:rPr>
          <w:color w:val="auto"/>
        </w:rPr>
      </w:pPr>
      <w:r w:rsidRPr="00C801A6">
        <w:rPr>
          <w:color w:val="auto"/>
        </w:rPr>
        <w:t xml:space="preserve">Pour ce faire, le Projet préparera un PMPP qui sera mis en œuvre tout au long du </w:t>
      </w:r>
      <w:r w:rsidR="00D6045D" w:rsidRPr="00C801A6">
        <w:rPr>
          <w:color w:val="auto"/>
        </w:rPr>
        <w:t>P</w:t>
      </w:r>
      <w:r w:rsidR="00EB2BDF">
        <w:rPr>
          <w:color w:val="auto"/>
        </w:rPr>
        <w:t>CMCI</w:t>
      </w:r>
      <w:r w:rsidRPr="00C801A6">
        <w:rPr>
          <w:color w:val="auto"/>
        </w:rPr>
        <w:t>.</w:t>
      </w:r>
    </w:p>
    <w:p w14:paraId="4DCBF3DF" w14:textId="706C9D47" w:rsidR="00575CDF" w:rsidRPr="00C801A6" w:rsidRDefault="00575CDF" w:rsidP="00C65572">
      <w:pPr>
        <w:pStyle w:val="Heading3"/>
      </w:pPr>
      <w:bookmarkStart w:id="534" w:name="_Toc106320338"/>
      <w:bookmarkStart w:id="535" w:name="_Toc230426044"/>
      <w:r w:rsidRPr="00C801A6">
        <w:lastRenderedPageBreak/>
        <w:t>Directives « Environnement - Hygiène –Sécurité</w:t>
      </w:r>
      <w:r w:rsidR="003349AF" w:rsidRPr="00C801A6">
        <w:t xml:space="preserve"> </w:t>
      </w:r>
      <w:r w:rsidRPr="00C801A6">
        <w:t>»</w:t>
      </w:r>
      <w:bookmarkEnd w:id="534"/>
      <w:bookmarkEnd w:id="535"/>
    </w:p>
    <w:p w14:paraId="2457881B" w14:textId="4D7DDBBF" w:rsidR="00575CDF" w:rsidRPr="00C801A6" w:rsidRDefault="00575CDF" w:rsidP="003042DB">
      <w:pPr>
        <w:pStyle w:val="Heading4"/>
        <w:rPr>
          <w:color w:val="auto"/>
        </w:rPr>
      </w:pPr>
      <w:bookmarkStart w:id="536" w:name="_Toc230298799"/>
      <w:bookmarkStart w:id="537" w:name="_Toc71767820"/>
      <w:r w:rsidRPr="00C801A6">
        <w:rPr>
          <w:color w:val="auto"/>
        </w:rPr>
        <w:t>Directives EHS générales</w:t>
      </w:r>
      <w:bookmarkEnd w:id="536"/>
      <w:r w:rsidRPr="00C801A6">
        <w:rPr>
          <w:color w:val="auto"/>
        </w:rPr>
        <w:t xml:space="preserve"> </w:t>
      </w:r>
      <w:bookmarkEnd w:id="537"/>
    </w:p>
    <w:p w14:paraId="4D0D4255" w14:textId="09463093" w:rsidR="00575CDF" w:rsidRPr="00C801A6" w:rsidRDefault="64C26F39" w:rsidP="00575CDF">
      <w:pPr>
        <w:rPr>
          <w:color w:val="auto"/>
        </w:rPr>
      </w:pPr>
      <w:r w:rsidRPr="00C801A6">
        <w:rPr>
          <w:color w:val="auto"/>
        </w:rPr>
        <w:t xml:space="preserve">Les Directives environnementales, sanitaires et sécuritaires (Directives EHS) du Groupe de la </w:t>
      </w:r>
      <w:r w:rsidR="00B910A0" w:rsidRPr="00C801A6">
        <w:rPr>
          <w:color w:val="auto"/>
        </w:rPr>
        <w:t>Banque mondiale</w:t>
      </w:r>
      <w:r w:rsidRPr="00C801A6">
        <w:rPr>
          <w:color w:val="auto"/>
        </w:rPr>
        <w:t xml:space="preserve"> (GBM)</w:t>
      </w:r>
      <w:r w:rsidR="00575CDF" w:rsidRPr="00C801A6">
        <w:rPr>
          <w:rStyle w:val="FootnoteReference"/>
          <w:color w:val="auto"/>
        </w:rPr>
        <w:footnoteReference w:id="19"/>
      </w:r>
      <w:r w:rsidRPr="00C801A6">
        <w:rPr>
          <w:color w:val="auto"/>
        </w:rPr>
        <w:t xml:space="preserve"> sont des documents de références techniques qui présentent des exemples de bonnes pratiques internationales, de portée générale ou concernant une branche d’activité particulière. Lorsqu’un Etat membre participe à un projet du Groupe de la </w:t>
      </w:r>
      <w:r w:rsidR="00B910A0" w:rsidRPr="00C801A6">
        <w:rPr>
          <w:color w:val="auto"/>
        </w:rPr>
        <w:t>Banque mondiale</w:t>
      </w:r>
      <w:r w:rsidRPr="00C801A6">
        <w:rPr>
          <w:color w:val="auto"/>
        </w:rPr>
        <w:t>, les Directives EHS doivent être suivies conformément aux politiques et normes du pays.</w:t>
      </w:r>
    </w:p>
    <w:p w14:paraId="10B69E82" w14:textId="77777777" w:rsidR="00575CDF" w:rsidRPr="00C801A6" w:rsidRDefault="00575CDF" w:rsidP="00575CDF">
      <w:pPr>
        <w:rPr>
          <w:color w:val="auto"/>
        </w:rPr>
      </w:pPr>
      <w:r w:rsidRPr="00C801A6">
        <w:rPr>
          <w:color w:val="auto"/>
        </w:rPr>
        <w:t>Les Directives EHS générales présentent des principes directeurs environnementaux, sanitaires et sécuritaires applicables dans tous les domaines. Elles abordent les thématiques suivantes :</w:t>
      </w:r>
    </w:p>
    <w:p w14:paraId="48EB9CB8" w14:textId="77777777" w:rsidR="00575CDF" w:rsidRPr="00C801A6" w:rsidRDefault="00575CDF" w:rsidP="00844538">
      <w:pPr>
        <w:pStyle w:val="ListParagraph"/>
        <w:numPr>
          <w:ilvl w:val="1"/>
          <w:numId w:val="182"/>
        </w:numPr>
        <w:spacing w:line="276" w:lineRule="auto"/>
        <w:rPr>
          <w:color w:val="auto"/>
        </w:rPr>
      </w:pPr>
      <w:r w:rsidRPr="00C801A6">
        <w:rPr>
          <w:color w:val="auto"/>
        </w:rPr>
        <w:t>Environnement</w:t>
      </w:r>
    </w:p>
    <w:p w14:paraId="11E8213A" w14:textId="77777777" w:rsidR="00575CDF" w:rsidRPr="00C801A6" w:rsidRDefault="00575CDF" w:rsidP="00844538">
      <w:pPr>
        <w:pStyle w:val="ListParagraph"/>
        <w:numPr>
          <w:ilvl w:val="1"/>
          <w:numId w:val="182"/>
        </w:numPr>
        <w:spacing w:line="276" w:lineRule="auto"/>
        <w:rPr>
          <w:color w:val="auto"/>
        </w:rPr>
      </w:pPr>
      <w:r w:rsidRPr="00C801A6">
        <w:rPr>
          <w:color w:val="auto"/>
        </w:rPr>
        <w:t>Hygiène et sécurité au travail</w:t>
      </w:r>
    </w:p>
    <w:p w14:paraId="114F7482" w14:textId="77777777" w:rsidR="00575CDF" w:rsidRPr="00C801A6" w:rsidRDefault="00575CDF" w:rsidP="00844538">
      <w:pPr>
        <w:pStyle w:val="ListParagraph"/>
        <w:numPr>
          <w:ilvl w:val="1"/>
          <w:numId w:val="182"/>
        </w:numPr>
        <w:spacing w:line="276" w:lineRule="auto"/>
        <w:rPr>
          <w:color w:val="auto"/>
        </w:rPr>
      </w:pPr>
      <w:r w:rsidRPr="00C801A6">
        <w:rPr>
          <w:color w:val="auto"/>
        </w:rPr>
        <w:t>Santé et sécurité des communautés</w:t>
      </w:r>
    </w:p>
    <w:p w14:paraId="303548D0" w14:textId="77777777" w:rsidR="00575CDF" w:rsidRPr="00C801A6" w:rsidRDefault="00575CDF" w:rsidP="00844538">
      <w:pPr>
        <w:pStyle w:val="ListParagraph"/>
        <w:numPr>
          <w:ilvl w:val="1"/>
          <w:numId w:val="182"/>
        </w:numPr>
        <w:spacing w:line="276" w:lineRule="auto"/>
        <w:contextualSpacing w:val="0"/>
        <w:rPr>
          <w:color w:val="auto"/>
        </w:rPr>
      </w:pPr>
      <w:r w:rsidRPr="00C801A6">
        <w:rPr>
          <w:color w:val="auto"/>
        </w:rPr>
        <w:t>Construction et fermeture</w:t>
      </w:r>
    </w:p>
    <w:p w14:paraId="07372623" w14:textId="77777777" w:rsidR="00575CDF" w:rsidRPr="00C801A6" w:rsidRDefault="00575CDF" w:rsidP="00575CDF">
      <w:pPr>
        <w:rPr>
          <w:color w:val="auto"/>
        </w:rPr>
      </w:pPr>
      <w:r w:rsidRPr="00C801A6">
        <w:rPr>
          <w:color w:val="auto"/>
        </w:rPr>
        <w:t>Les Directives HSE générales du GBM précisent notamment l’approche générale pour la gestion des questions HSE sur un projet, à savoir :</w:t>
      </w:r>
    </w:p>
    <w:p w14:paraId="69BEC6A2" w14:textId="77777777" w:rsidR="00575CDF" w:rsidRPr="00C801A6" w:rsidRDefault="00575CDF" w:rsidP="00575CDF">
      <w:pPr>
        <w:ind w:left="567" w:hanging="425"/>
        <w:rPr>
          <w:color w:val="auto"/>
        </w:rPr>
      </w:pPr>
      <w:r w:rsidRPr="00C801A6">
        <w:rPr>
          <w:color w:val="auto"/>
        </w:rPr>
        <w:t>–</w:t>
      </w:r>
      <w:r w:rsidRPr="00C801A6">
        <w:rPr>
          <w:color w:val="auto"/>
        </w:rPr>
        <w:tab/>
        <w:t xml:space="preserve">Identifier les dangers et les risques d’ordre environnemental, sanitaire et sécuritaire, dès la conception ou la définition du cycle du projet, et prendre en compte ces questions notamment lors du processus de conception, établissement des plans d’ingénierie, travaux d’ingénierie. </w:t>
      </w:r>
    </w:p>
    <w:p w14:paraId="56D71E59" w14:textId="77777777" w:rsidR="00575CDF" w:rsidRPr="00C801A6" w:rsidRDefault="00575CDF" w:rsidP="00575CDF">
      <w:pPr>
        <w:ind w:left="567" w:hanging="425"/>
        <w:rPr>
          <w:color w:val="auto"/>
        </w:rPr>
      </w:pPr>
      <w:r w:rsidRPr="00C801A6">
        <w:rPr>
          <w:color w:val="auto"/>
        </w:rPr>
        <w:t>–</w:t>
      </w:r>
      <w:r w:rsidRPr="00C801A6">
        <w:rPr>
          <w:color w:val="auto"/>
        </w:rPr>
        <w:tab/>
        <w:t xml:space="preserve">Faire appel à des spécialistes des questions HSE pour évaluer et gérer les risques et les impacts dans ces domaines, et charger ces spécialistes de fonctions particulières concernant la gestion de l’environnement, comme la préparation de procédures et de plans spécifique. </w:t>
      </w:r>
    </w:p>
    <w:p w14:paraId="15B432F2" w14:textId="77777777" w:rsidR="00575CDF" w:rsidRPr="00C801A6" w:rsidRDefault="00575CDF" w:rsidP="00575CDF">
      <w:pPr>
        <w:ind w:left="567" w:hanging="425"/>
        <w:rPr>
          <w:color w:val="auto"/>
        </w:rPr>
      </w:pPr>
      <w:r w:rsidRPr="00C801A6">
        <w:rPr>
          <w:color w:val="auto"/>
        </w:rPr>
        <w:t>–</w:t>
      </w:r>
      <w:r w:rsidRPr="00C801A6">
        <w:rPr>
          <w:color w:val="auto"/>
        </w:rPr>
        <w:tab/>
        <w:t xml:space="preserve">Evaluer la probabilité et l’ampleur des risques HSE, en se fondant sur la nature du projet et les impacts potentiels sur les travailleurs, la population ou l’environnement, si les risques ne sont pas bien gérés. </w:t>
      </w:r>
    </w:p>
    <w:p w14:paraId="3D1335FF" w14:textId="77777777" w:rsidR="00575CDF" w:rsidRPr="00C801A6" w:rsidRDefault="00575CDF" w:rsidP="00575CDF">
      <w:pPr>
        <w:ind w:left="567" w:hanging="425"/>
        <w:rPr>
          <w:color w:val="auto"/>
        </w:rPr>
      </w:pPr>
      <w:r w:rsidRPr="00C801A6">
        <w:rPr>
          <w:color w:val="auto"/>
        </w:rPr>
        <w:t>–</w:t>
      </w:r>
      <w:r w:rsidRPr="00C801A6">
        <w:rPr>
          <w:color w:val="auto"/>
        </w:rPr>
        <w:tab/>
        <w:t>Etablir des priorités pour les stratégies de gestion des risques afin de réduire le risque global pour la santé humaine et l’environnement, et dans ce cadre, se concentrer sur la prévention des impacts irréversibles ou majeurs.</w:t>
      </w:r>
    </w:p>
    <w:p w14:paraId="250B4770" w14:textId="77777777" w:rsidR="00575CDF" w:rsidRPr="00C801A6" w:rsidRDefault="00575CDF" w:rsidP="00575CDF">
      <w:pPr>
        <w:ind w:left="567" w:hanging="425"/>
        <w:rPr>
          <w:color w:val="auto"/>
        </w:rPr>
      </w:pPr>
      <w:r w:rsidRPr="00C801A6">
        <w:rPr>
          <w:color w:val="auto"/>
        </w:rPr>
        <w:t>–</w:t>
      </w:r>
      <w:r w:rsidRPr="00C801A6">
        <w:rPr>
          <w:color w:val="auto"/>
        </w:rPr>
        <w:tab/>
        <w:t>Favoriser les stratégies qui éliminent la cause du danger à sa source.</w:t>
      </w:r>
    </w:p>
    <w:p w14:paraId="3CC05853" w14:textId="77777777" w:rsidR="00575CDF" w:rsidRPr="00C801A6" w:rsidRDefault="00575CDF" w:rsidP="00575CDF">
      <w:pPr>
        <w:ind w:left="567" w:hanging="425"/>
        <w:rPr>
          <w:color w:val="auto"/>
        </w:rPr>
      </w:pPr>
      <w:r w:rsidRPr="00C801A6">
        <w:rPr>
          <w:color w:val="auto"/>
        </w:rPr>
        <w:t>–</w:t>
      </w:r>
      <w:r w:rsidRPr="00C801A6">
        <w:rPr>
          <w:color w:val="auto"/>
        </w:rPr>
        <w:tab/>
        <w:t>Quand des impacts sont inévitables, mettre en place des dispositifs de contrôle technique et de gestion pour limiter ou réduire le plus possible la probabilité et l’ampleur de toute conséquence indésirable.</w:t>
      </w:r>
    </w:p>
    <w:p w14:paraId="3A092A51" w14:textId="77777777" w:rsidR="00575CDF" w:rsidRPr="00C801A6" w:rsidRDefault="00575CDF" w:rsidP="00575CDF">
      <w:pPr>
        <w:ind w:left="567" w:hanging="425"/>
        <w:rPr>
          <w:color w:val="auto"/>
        </w:rPr>
      </w:pPr>
      <w:r w:rsidRPr="00C801A6">
        <w:rPr>
          <w:color w:val="auto"/>
        </w:rPr>
        <w:lastRenderedPageBreak/>
        <w:t>–</w:t>
      </w:r>
      <w:r w:rsidRPr="00C801A6">
        <w:rPr>
          <w:color w:val="auto"/>
        </w:rPr>
        <w:tab/>
        <w:t>Préparer les travailleurs et les populations voisines pour leur permettre de faire face à des accidents.</w:t>
      </w:r>
    </w:p>
    <w:p w14:paraId="0CA927D1" w14:textId="77777777" w:rsidR="00575CDF" w:rsidRPr="00C801A6" w:rsidRDefault="00575CDF" w:rsidP="00575CDF">
      <w:pPr>
        <w:ind w:left="567" w:hanging="425"/>
        <w:rPr>
          <w:color w:val="auto"/>
        </w:rPr>
      </w:pPr>
      <w:r w:rsidRPr="00C801A6">
        <w:rPr>
          <w:color w:val="auto"/>
        </w:rPr>
        <w:t>–</w:t>
      </w:r>
      <w:r w:rsidRPr="00C801A6">
        <w:rPr>
          <w:color w:val="auto"/>
        </w:rPr>
        <w:tab/>
        <w:t>Améliorer la performance EHS, grâce à un suivi en continu des performances des installations et à une réelle responsabilisation des intervenants.</w:t>
      </w:r>
    </w:p>
    <w:p w14:paraId="50692DDA" w14:textId="77777777" w:rsidR="00575CDF" w:rsidRPr="00C801A6" w:rsidRDefault="00575CDF" w:rsidP="003042DB">
      <w:pPr>
        <w:pStyle w:val="Heading4"/>
        <w:rPr>
          <w:color w:val="auto"/>
        </w:rPr>
      </w:pPr>
      <w:bookmarkStart w:id="538" w:name="_Toc71767821"/>
      <w:bookmarkStart w:id="539" w:name="_Toc230298800"/>
      <w:r w:rsidRPr="00C801A6">
        <w:rPr>
          <w:color w:val="auto"/>
        </w:rPr>
        <w:t>Directives EHS pour les routes à péage</w:t>
      </w:r>
      <w:bookmarkEnd w:id="538"/>
      <w:bookmarkEnd w:id="539"/>
    </w:p>
    <w:p w14:paraId="6E10F57C" w14:textId="77777777" w:rsidR="00575CDF" w:rsidRPr="00C801A6" w:rsidRDefault="00575CDF" w:rsidP="00575CDF">
      <w:pPr>
        <w:rPr>
          <w:color w:val="auto"/>
        </w:rPr>
      </w:pPr>
      <w:r w:rsidRPr="00C801A6">
        <w:rPr>
          <w:color w:val="auto"/>
        </w:rPr>
        <w:t>Bien que les routes à entretenir dans le cadre du Projet ne soient pas des routes à péage, les directives EHS pour les routes à péage (2007) lui sont applicables car ces dernières traitent des problèmes environnementaux, sanitaires et sécuritaires liés aux projets routiers en général, et présentent des recommandations pour les gérer.</w:t>
      </w:r>
    </w:p>
    <w:p w14:paraId="1BA68877" w14:textId="77777777" w:rsidR="00575CDF" w:rsidRPr="00C801A6" w:rsidRDefault="00575CDF" w:rsidP="00575CDF">
      <w:pPr>
        <w:rPr>
          <w:color w:val="auto"/>
        </w:rPr>
      </w:pPr>
      <w:r w:rsidRPr="00C801A6">
        <w:rPr>
          <w:color w:val="auto"/>
        </w:rPr>
        <w:t>Selon ces directives, les problèmes environnementaux posés plus particulièrement par la construction et l’exploitation des toutes concernent notamment :</w:t>
      </w:r>
    </w:p>
    <w:p w14:paraId="5ECDFECB" w14:textId="77777777" w:rsidR="00575CDF" w:rsidRPr="00C801A6" w:rsidRDefault="00575CDF" w:rsidP="00575CDF">
      <w:pPr>
        <w:ind w:left="567" w:hanging="425"/>
        <w:rPr>
          <w:color w:val="auto"/>
        </w:rPr>
      </w:pPr>
      <w:r w:rsidRPr="00C801A6">
        <w:rPr>
          <w:color w:val="auto"/>
        </w:rPr>
        <w:t>–</w:t>
      </w:r>
      <w:r w:rsidRPr="00C801A6">
        <w:rPr>
          <w:color w:val="auto"/>
        </w:rPr>
        <w:tab/>
        <w:t>L’altération et la fragmentation des habitats terrestres et aquatiques</w:t>
      </w:r>
    </w:p>
    <w:p w14:paraId="1FB4891D" w14:textId="77777777" w:rsidR="00575CDF" w:rsidRPr="00C801A6" w:rsidRDefault="00575CDF" w:rsidP="00575CDF">
      <w:pPr>
        <w:ind w:left="567" w:hanging="425"/>
        <w:rPr>
          <w:color w:val="auto"/>
        </w:rPr>
      </w:pPr>
      <w:r w:rsidRPr="00C801A6">
        <w:rPr>
          <w:color w:val="auto"/>
        </w:rPr>
        <w:t>–</w:t>
      </w:r>
      <w:r w:rsidRPr="00C801A6">
        <w:rPr>
          <w:color w:val="auto"/>
        </w:rPr>
        <w:tab/>
        <w:t>L’accroissement du taux de ruissellement des eaux de surface par l’accroissement des superficies étanches</w:t>
      </w:r>
    </w:p>
    <w:p w14:paraId="6BFCEF6E" w14:textId="77777777" w:rsidR="00575CDF" w:rsidRPr="00C801A6" w:rsidRDefault="00575CDF" w:rsidP="00575CDF">
      <w:pPr>
        <w:ind w:left="567" w:hanging="425"/>
        <w:rPr>
          <w:color w:val="auto"/>
        </w:rPr>
      </w:pPr>
      <w:r w:rsidRPr="00C801A6">
        <w:rPr>
          <w:color w:val="auto"/>
        </w:rPr>
        <w:t>–</w:t>
      </w:r>
      <w:r w:rsidRPr="00C801A6">
        <w:rPr>
          <w:color w:val="auto"/>
        </w:rPr>
        <w:tab/>
        <w:t>Les déchets solides générés pendant la construction et l’entretien des routes et des ouvrages connexes</w:t>
      </w:r>
    </w:p>
    <w:p w14:paraId="617A3D41" w14:textId="77777777" w:rsidR="00575CDF" w:rsidRPr="00C801A6" w:rsidRDefault="00575CDF" w:rsidP="00575CDF">
      <w:pPr>
        <w:ind w:left="567" w:hanging="425"/>
        <w:rPr>
          <w:color w:val="auto"/>
        </w:rPr>
      </w:pPr>
      <w:r w:rsidRPr="00C801A6">
        <w:rPr>
          <w:color w:val="auto"/>
        </w:rPr>
        <w:t>–</w:t>
      </w:r>
      <w:r w:rsidRPr="00C801A6">
        <w:rPr>
          <w:color w:val="auto"/>
        </w:rPr>
        <w:tab/>
        <w:t>Le bruit lié à la circulation</w:t>
      </w:r>
    </w:p>
    <w:p w14:paraId="298CCED7" w14:textId="77777777" w:rsidR="00575CDF" w:rsidRPr="00C801A6" w:rsidRDefault="00575CDF" w:rsidP="00575CDF">
      <w:pPr>
        <w:ind w:left="567" w:hanging="425"/>
        <w:rPr>
          <w:color w:val="auto"/>
        </w:rPr>
      </w:pPr>
      <w:r w:rsidRPr="00C801A6">
        <w:rPr>
          <w:color w:val="auto"/>
        </w:rPr>
        <w:t>–</w:t>
      </w:r>
      <w:r w:rsidRPr="00C801A6">
        <w:rPr>
          <w:color w:val="auto"/>
        </w:rPr>
        <w:tab/>
        <w:t>Les émissions atmosphériques dues à la poussière produite par les travaux et aux gaz d’échappement des véhicules</w:t>
      </w:r>
    </w:p>
    <w:p w14:paraId="19E7DAFC" w14:textId="77777777" w:rsidR="00575CDF" w:rsidRPr="00C801A6" w:rsidRDefault="00575CDF" w:rsidP="00575CDF">
      <w:pPr>
        <w:rPr>
          <w:color w:val="auto"/>
        </w:rPr>
      </w:pPr>
      <w:r w:rsidRPr="00C801A6">
        <w:rPr>
          <w:color w:val="auto"/>
        </w:rPr>
        <w:t>Sur le plan social, les impacts sur la santé et la sécurité de la population, liés à la construction des routes sont semblables à ceux de la plupart des grands chantiers de construction (poussière, bruit et vibrations, maladies transmissibles liées à l’afflux temporaire de la main d’œuvre nécessaire aux travaux de construction). Les projets routiers peuvent par ailleurs poser des questions spécifiques sur :</w:t>
      </w:r>
    </w:p>
    <w:p w14:paraId="6EC8B6F5" w14:textId="77777777" w:rsidR="00575CDF" w:rsidRPr="00C801A6" w:rsidRDefault="00575CDF" w:rsidP="00575CDF">
      <w:pPr>
        <w:ind w:left="567" w:hanging="425"/>
        <w:rPr>
          <w:color w:val="auto"/>
        </w:rPr>
      </w:pPr>
      <w:r w:rsidRPr="00C801A6">
        <w:rPr>
          <w:color w:val="auto"/>
        </w:rPr>
        <w:t>–</w:t>
      </w:r>
      <w:r w:rsidRPr="00C801A6">
        <w:rPr>
          <w:color w:val="auto"/>
        </w:rPr>
        <w:tab/>
        <w:t>La sécurité des piétons</w:t>
      </w:r>
    </w:p>
    <w:p w14:paraId="251FC4CD" w14:textId="77777777" w:rsidR="00575CDF" w:rsidRPr="00C801A6" w:rsidRDefault="00575CDF" w:rsidP="00575CDF">
      <w:pPr>
        <w:ind w:left="567" w:hanging="425"/>
        <w:rPr>
          <w:color w:val="auto"/>
        </w:rPr>
      </w:pPr>
      <w:r w:rsidRPr="00C801A6">
        <w:rPr>
          <w:color w:val="auto"/>
        </w:rPr>
        <w:t>–</w:t>
      </w:r>
      <w:r w:rsidRPr="00C801A6">
        <w:rPr>
          <w:color w:val="auto"/>
        </w:rPr>
        <w:tab/>
        <w:t>La sécurité routière.</w:t>
      </w:r>
    </w:p>
    <w:p w14:paraId="4ECDA03F" w14:textId="77777777" w:rsidR="00575CDF" w:rsidRPr="00C801A6" w:rsidRDefault="00575CDF" w:rsidP="003042DB">
      <w:pPr>
        <w:pStyle w:val="Heading4"/>
        <w:rPr>
          <w:color w:val="auto"/>
        </w:rPr>
      </w:pPr>
      <w:bookmarkStart w:id="540" w:name="_Toc71767822"/>
      <w:bookmarkStart w:id="541" w:name="_Toc230298801"/>
      <w:r w:rsidRPr="00C801A6">
        <w:rPr>
          <w:color w:val="auto"/>
        </w:rPr>
        <w:t>Directives EHS pour l’extraction des matériaux de construction</w:t>
      </w:r>
      <w:bookmarkEnd w:id="540"/>
      <w:bookmarkEnd w:id="541"/>
    </w:p>
    <w:p w14:paraId="41897E6F" w14:textId="77777777" w:rsidR="00575CDF" w:rsidRPr="00C801A6" w:rsidRDefault="00575CDF" w:rsidP="00575CDF">
      <w:pPr>
        <w:rPr>
          <w:color w:val="auto"/>
        </w:rPr>
      </w:pPr>
      <w:r w:rsidRPr="00C801A6">
        <w:rPr>
          <w:color w:val="auto"/>
        </w:rPr>
        <w:t>Les directives EHS pour l’extraction des matériaux de construction (2007) sont applicables au projet de réhabilitation des routes nationales car un tel projet nécessitera l’exploitation de zones d’emprunt, de gîtes pour MS et de carrières pour l’approvisionnement en matériaux des différents chantiers. En effet, le champ d’application de ces directives concerne tout autant les activités d’extraction en tant que projets indépendants que celles menées dans le cadre de projets de construction et de travaux de génie civil.</w:t>
      </w:r>
    </w:p>
    <w:p w14:paraId="52C4313B" w14:textId="77777777" w:rsidR="00575CDF" w:rsidRPr="00C801A6" w:rsidRDefault="00575CDF" w:rsidP="00575CDF">
      <w:pPr>
        <w:rPr>
          <w:color w:val="auto"/>
        </w:rPr>
      </w:pPr>
      <w:r w:rsidRPr="00C801A6">
        <w:rPr>
          <w:color w:val="auto"/>
        </w:rPr>
        <w:lastRenderedPageBreak/>
        <w:t>Selon ces directives, les problèmes environnementaux rencontrés durant les phases d’exploitation, de construction et de démantèlement des sites d’extraction des matériaux de construction concernent :</w:t>
      </w:r>
    </w:p>
    <w:p w14:paraId="4BA17428" w14:textId="77777777" w:rsidR="00575CDF" w:rsidRPr="00C801A6" w:rsidRDefault="00575CDF" w:rsidP="00844538">
      <w:pPr>
        <w:pStyle w:val="ListParagraph"/>
        <w:numPr>
          <w:ilvl w:val="0"/>
          <w:numId w:val="69"/>
        </w:numPr>
        <w:spacing w:after="120" w:line="276" w:lineRule="auto"/>
        <w:ind w:left="426" w:hanging="284"/>
        <w:contextualSpacing w:val="0"/>
        <w:rPr>
          <w:color w:val="auto"/>
        </w:rPr>
      </w:pPr>
      <w:r w:rsidRPr="00C801A6">
        <w:rPr>
          <w:color w:val="auto"/>
        </w:rPr>
        <w:t>Les émissions de matières particulaires et poussières</w:t>
      </w:r>
    </w:p>
    <w:p w14:paraId="0BF20690" w14:textId="77777777" w:rsidR="00575CDF" w:rsidRPr="00C801A6" w:rsidRDefault="00575CDF" w:rsidP="00844538">
      <w:pPr>
        <w:pStyle w:val="ListParagraph"/>
        <w:numPr>
          <w:ilvl w:val="0"/>
          <w:numId w:val="69"/>
        </w:numPr>
        <w:spacing w:after="120" w:line="276" w:lineRule="auto"/>
        <w:ind w:left="426" w:hanging="284"/>
        <w:contextualSpacing w:val="0"/>
        <w:rPr>
          <w:color w:val="auto"/>
        </w:rPr>
      </w:pPr>
      <w:r w:rsidRPr="00C801A6">
        <w:rPr>
          <w:color w:val="auto"/>
        </w:rPr>
        <w:t>Les nuisances sonores, ainsi que les vibrations principalement provoquées par les tirs de mines</w:t>
      </w:r>
    </w:p>
    <w:p w14:paraId="5EF28898" w14:textId="77777777" w:rsidR="00575CDF" w:rsidRPr="00C801A6" w:rsidRDefault="00575CDF" w:rsidP="00844538">
      <w:pPr>
        <w:pStyle w:val="ListParagraph"/>
        <w:numPr>
          <w:ilvl w:val="0"/>
          <w:numId w:val="69"/>
        </w:numPr>
        <w:spacing w:after="120" w:line="276" w:lineRule="auto"/>
        <w:ind w:left="426" w:hanging="284"/>
        <w:contextualSpacing w:val="0"/>
        <w:rPr>
          <w:color w:val="auto"/>
        </w:rPr>
      </w:pPr>
      <w:r w:rsidRPr="00C801A6">
        <w:rPr>
          <w:color w:val="auto"/>
        </w:rPr>
        <w:t>La consommation d’eau qui peut être importante, et le rejet d’eaux usées contenant des quantités importantes de matières solides en suspension</w:t>
      </w:r>
    </w:p>
    <w:p w14:paraId="196F1799" w14:textId="77777777" w:rsidR="00575CDF" w:rsidRPr="00C801A6" w:rsidRDefault="00575CDF" w:rsidP="00844538">
      <w:pPr>
        <w:pStyle w:val="ListParagraph"/>
        <w:numPr>
          <w:ilvl w:val="0"/>
          <w:numId w:val="69"/>
        </w:numPr>
        <w:spacing w:after="120" w:line="276" w:lineRule="auto"/>
        <w:ind w:left="426" w:hanging="284"/>
        <w:contextualSpacing w:val="0"/>
        <w:rPr>
          <w:color w:val="auto"/>
        </w:rPr>
      </w:pPr>
      <w:r w:rsidRPr="00C801A6">
        <w:rPr>
          <w:color w:val="auto"/>
        </w:rPr>
        <w:t>Les déchets produits par les activités d’extraction (débris de roche et morts-terrains)</w:t>
      </w:r>
    </w:p>
    <w:p w14:paraId="55E8FD08" w14:textId="77777777" w:rsidR="00575CDF" w:rsidRPr="00C801A6" w:rsidRDefault="00575CDF" w:rsidP="00844538">
      <w:pPr>
        <w:pStyle w:val="ListParagraph"/>
        <w:numPr>
          <w:ilvl w:val="0"/>
          <w:numId w:val="69"/>
        </w:numPr>
        <w:spacing w:after="120" w:line="276" w:lineRule="auto"/>
        <w:ind w:left="426" w:hanging="284"/>
        <w:contextualSpacing w:val="0"/>
        <w:rPr>
          <w:color w:val="auto"/>
        </w:rPr>
      </w:pPr>
      <w:r w:rsidRPr="00C801A6">
        <w:rPr>
          <w:color w:val="auto"/>
        </w:rPr>
        <w:t>Le changement d’affectation des sols dû à la modification de la topographie, des couches superficielles du sol et leur défrichement</w:t>
      </w:r>
    </w:p>
    <w:p w14:paraId="663FFB70" w14:textId="77777777" w:rsidR="00575CDF" w:rsidRPr="00C801A6" w:rsidRDefault="00575CDF" w:rsidP="00844538">
      <w:pPr>
        <w:pStyle w:val="ListParagraph"/>
        <w:numPr>
          <w:ilvl w:val="0"/>
          <w:numId w:val="69"/>
        </w:numPr>
        <w:spacing w:after="120" w:line="276" w:lineRule="auto"/>
        <w:ind w:left="426" w:hanging="284"/>
        <w:contextualSpacing w:val="0"/>
        <w:rPr>
          <w:color w:val="auto"/>
        </w:rPr>
      </w:pPr>
      <w:r w:rsidRPr="00C801A6">
        <w:rPr>
          <w:color w:val="auto"/>
        </w:rPr>
        <w:t>Sur le plan social, les questions concernant la santé et la sécurité de la population qui sont propres aux activités d’extraction de matériaux de construction ont principalement trait aux points suivants :</w:t>
      </w:r>
    </w:p>
    <w:p w14:paraId="3F9DE83B" w14:textId="77777777" w:rsidR="00575CDF" w:rsidRPr="00C801A6" w:rsidRDefault="00575CDF" w:rsidP="00844538">
      <w:pPr>
        <w:pStyle w:val="ListParagraph"/>
        <w:numPr>
          <w:ilvl w:val="0"/>
          <w:numId w:val="69"/>
        </w:numPr>
        <w:spacing w:after="120" w:line="276" w:lineRule="auto"/>
        <w:ind w:left="426" w:hanging="284"/>
        <w:contextualSpacing w:val="0"/>
        <w:rPr>
          <w:color w:val="auto"/>
        </w:rPr>
      </w:pPr>
      <w:r w:rsidRPr="00C801A6">
        <w:rPr>
          <w:color w:val="auto"/>
        </w:rPr>
        <w:t>Instabilité de terrain due aux accumulations de déblais, les bassins et les zones où tirs de mines ont été effectués</w:t>
      </w:r>
    </w:p>
    <w:p w14:paraId="27E2F288" w14:textId="77777777" w:rsidR="00575CDF" w:rsidRPr="00C801A6" w:rsidRDefault="00575CDF" w:rsidP="00844538">
      <w:pPr>
        <w:pStyle w:val="ListParagraph"/>
        <w:numPr>
          <w:ilvl w:val="0"/>
          <w:numId w:val="69"/>
        </w:numPr>
        <w:spacing w:after="120" w:line="276" w:lineRule="auto"/>
        <w:ind w:left="426" w:hanging="284"/>
        <w:contextualSpacing w:val="0"/>
        <w:rPr>
          <w:color w:val="auto"/>
        </w:rPr>
      </w:pPr>
      <w:r w:rsidRPr="00C801A6">
        <w:rPr>
          <w:color w:val="auto"/>
        </w:rPr>
        <w:t>Sécurité lors des explosions : les tirs de mines peuvent provoquer des explosions accidentelles et avoir un impact dans les zones d’habitat aux alentours</w:t>
      </w:r>
    </w:p>
    <w:p w14:paraId="487F0FBE" w14:textId="77777777" w:rsidR="00575CDF" w:rsidRPr="00C801A6" w:rsidRDefault="00575CDF" w:rsidP="00844538">
      <w:pPr>
        <w:pStyle w:val="ListParagraph"/>
        <w:numPr>
          <w:ilvl w:val="0"/>
          <w:numId w:val="69"/>
        </w:numPr>
        <w:spacing w:after="120" w:line="276" w:lineRule="auto"/>
        <w:ind w:left="426" w:hanging="284"/>
        <w:contextualSpacing w:val="0"/>
        <w:rPr>
          <w:color w:val="auto"/>
        </w:rPr>
      </w:pPr>
      <w:r w:rsidRPr="00C801A6">
        <w:rPr>
          <w:color w:val="auto"/>
        </w:rPr>
        <w:t>Remise en état du site</w:t>
      </w:r>
    </w:p>
    <w:p w14:paraId="4D8BB8AD" w14:textId="77777777" w:rsidR="00575CDF" w:rsidRPr="00C801A6" w:rsidRDefault="00575CDF" w:rsidP="003042DB">
      <w:pPr>
        <w:pStyle w:val="Heading4"/>
        <w:rPr>
          <w:color w:val="auto"/>
        </w:rPr>
      </w:pPr>
      <w:bookmarkStart w:id="542" w:name="_Ref71616117"/>
      <w:bookmarkStart w:id="543" w:name="_Toc71767823"/>
      <w:bookmarkStart w:id="544" w:name="_Toc230298802"/>
      <w:r w:rsidRPr="00C801A6">
        <w:rPr>
          <w:color w:val="auto"/>
        </w:rPr>
        <w:t>Directives pour la gestion des risques d’impacts néfastes sur les communautés par un projet temporaire induisant un afflux de main d’œuvre</w:t>
      </w:r>
      <w:bookmarkEnd w:id="542"/>
      <w:bookmarkEnd w:id="543"/>
      <w:bookmarkEnd w:id="544"/>
    </w:p>
    <w:p w14:paraId="043897B9" w14:textId="64C22448" w:rsidR="00575CDF" w:rsidRPr="00C801A6" w:rsidRDefault="00575CDF" w:rsidP="00575CDF">
      <w:pPr>
        <w:rPr>
          <w:color w:val="auto"/>
        </w:rPr>
      </w:pPr>
      <w:r w:rsidRPr="00C801A6">
        <w:rPr>
          <w:color w:val="auto"/>
        </w:rPr>
        <w:t xml:space="preserve">Les projets financés par la </w:t>
      </w:r>
      <w:r w:rsidR="00B910A0" w:rsidRPr="00C801A6">
        <w:rPr>
          <w:color w:val="auto"/>
        </w:rPr>
        <w:t>Banque mondiale</w:t>
      </w:r>
      <w:r w:rsidRPr="00C801A6">
        <w:rPr>
          <w:color w:val="auto"/>
        </w:rPr>
        <w:t xml:space="preserve"> impliquent souvent des travaux de construction de génie civil pour lesquels la force de travail nécessaire et les biens et services associés ne peuvent pas être fournis totalement localement pour plusieurs raisons, dont la </w:t>
      </w:r>
      <w:r w:rsidR="00CE12AB" w:rsidRPr="00C801A6">
        <w:rPr>
          <w:color w:val="auto"/>
        </w:rPr>
        <w:t>non-disponibilité</w:t>
      </w:r>
      <w:r w:rsidRPr="00C801A6">
        <w:rPr>
          <w:color w:val="auto"/>
        </w:rPr>
        <w:t xml:space="preserve"> de travailleurs et le manque de compétences et capacités techniques. Dans ces cas, la main d’œuvre (totale ou partielle) doit être apportée de l’extérieur de la zone du projet. </w:t>
      </w:r>
    </w:p>
    <w:p w14:paraId="0A2143A4" w14:textId="77777777" w:rsidR="00575CDF" w:rsidRPr="00C801A6" w:rsidRDefault="00575CDF" w:rsidP="00575CDF">
      <w:pPr>
        <w:rPr>
          <w:color w:val="auto"/>
        </w:rPr>
      </w:pPr>
      <w:r w:rsidRPr="00C801A6">
        <w:rPr>
          <w:color w:val="auto"/>
        </w:rPr>
        <w:t>Dans plusieurs cas, l’arrivée de main d’œuvre extérieure à la zone du projet engendre l’afflux d’autres personnes (« suiveurs ») qui suivent la main d’œuvre apportée, dans le but de vendre des biens et services, ou pour rechercher des emplois ou des opportunités d’affaires. La migration rapide et l'installation des travailleurs et des « suiveurs » dans la zone du projet est appelée « afflux de main-d'œuvre » et, dans certaines conditions, peut affecter les zones du projet en termes d'infrastructures publiques, de services publics, de logement, de gestion durable des ressources et de dynamiques sociales.</w:t>
      </w:r>
    </w:p>
    <w:p w14:paraId="392C9D3B" w14:textId="77777777" w:rsidR="00575CDF" w:rsidRPr="00C801A6" w:rsidRDefault="00575CDF" w:rsidP="00575CDF">
      <w:pPr>
        <w:rPr>
          <w:color w:val="auto"/>
        </w:rPr>
      </w:pPr>
      <w:r w:rsidRPr="00C801A6">
        <w:rPr>
          <w:color w:val="auto"/>
        </w:rPr>
        <w:t xml:space="preserve">La note technique « </w:t>
      </w:r>
      <w:r w:rsidRPr="00C801A6">
        <w:rPr>
          <w:i/>
          <w:color w:val="auto"/>
        </w:rPr>
        <w:t>Managing the Risks of Adverse Impacts on Communities from Temporary Project Induced Labor Influx</w:t>
      </w:r>
      <w:r w:rsidRPr="00C801A6">
        <w:rPr>
          <w:color w:val="auto"/>
        </w:rPr>
        <w:t xml:space="preserve">, </w:t>
      </w:r>
      <w:r w:rsidRPr="00C801A6">
        <w:rPr>
          <w:i/>
          <w:color w:val="auto"/>
        </w:rPr>
        <w:t>2016</w:t>
      </w:r>
      <w:r w:rsidRPr="00C801A6">
        <w:rPr>
          <w:color w:val="auto"/>
        </w:rPr>
        <w:t> ») fournit ainsi des directives concrètes sur comment aborder l’afflux de main d’œuvre temporaire dans le processus d’évaluation environnementale et sociale. Les principes clés en sont :</w:t>
      </w:r>
    </w:p>
    <w:p w14:paraId="7F98B22D" w14:textId="77777777" w:rsidR="00575CDF" w:rsidRPr="00C801A6" w:rsidRDefault="00575CDF" w:rsidP="00844538">
      <w:pPr>
        <w:pStyle w:val="ListParagraph"/>
        <w:numPr>
          <w:ilvl w:val="0"/>
          <w:numId w:val="69"/>
        </w:numPr>
        <w:spacing w:after="120" w:line="276" w:lineRule="auto"/>
        <w:ind w:left="426" w:hanging="284"/>
        <w:contextualSpacing w:val="0"/>
        <w:rPr>
          <w:rFonts w:eastAsia="Times New Roman" w:cs="Times New Roman"/>
          <w:color w:val="auto"/>
        </w:rPr>
      </w:pPr>
      <w:r w:rsidRPr="00C801A6">
        <w:rPr>
          <w:rFonts w:eastAsia="Times New Roman" w:cs="Times New Roman"/>
          <w:color w:val="auto"/>
        </w:rPr>
        <w:lastRenderedPageBreak/>
        <w:t>Réduire l'afflux de main-d'œuvre en faisant appel à la main-d'œuvre locale ;</w:t>
      </w:r>
    </w:p>
    <w:p w14:paraId="1FF86F12" w14:textId="77777777" w:rsidR="00575CDF" w:rsidRPr="00C801A6" w:rsidRDefault="00575CDF" w:rsidP="00844538">
      <w:pPr>
        <w:pStyle w:val="ListParagraph"/>
        <w:numPr>
          <w:ilvl w:val="0"/>
          <w:numId w:val="69"/>
        </w:numPr>
        <w:spacing w:after="120" w:line="276" w:lineRule="auto"/>
        <w:ind w:left="426" w:hanging="284"/>
        <w:contextualSpacing w:val="0"/>
        <w:rPr>
          <w:rFonts w:eastAsia="Times New Roman" w:cs="Times New Roman"/>
          <w:color w:val="auto"/>
        </w:rPr>
      </w:pPr>
      <w:r w:rsidRPr="00C801A6">
        <w:rPr>
          <w:rFonts w:eastAsia="Times New Roman" w:cs="Times New Roman"/>
          <w:color w:val="auto"/>
        </w:rPr>
        <w:t>Évaluer et gérer le risque d'afflux de main-d'œuvre en utilisant des instruments appropriés (p.ex. Plan de gestion de l’afflux de main d’œuvre et/ou Plan de gestion de la base-vie des travailleurs …) ;</w:t>
      </w:r>
    </w:p>
    <w:p w14:paraId="18C9CFCC" w14:textId="77777777" w:rsidR="00575CDF" w:rsidRPr="00C801A6" w:rsidRDefault="00575CDF" w:rsidP="00844538">
      <w:pPr>
        <w:pStyle w:val="ListParagraph"/>
        <w:numPr>
          <w:ilvl w:val="0"/>
          <w:numId w:val="69"/>
        </w:numPr>
        <w:spacing w:after="120" w:line="276" w:lineRule="auto"/>
        <w:ind w:left="426" w:hanging="284"/>
        <w:contextualSpacing w:val="0"/>
        <w:rPr>
          <w:color w:val="auto"/>
        </w:rPr>
      </w:pPr>
      <w:r w:rsidRPr="00C801A6">
        <w:rPr>
          <w:rFonts w:eastAsia="Times New Roman" w:cs="Times New Roman"/>
          <w:color w:val="auto"/>
        </w:rPr>
        <w:t>Intégrer des mesures d'atténuation so</w:t>
      </w:r>
      <w:r w:rsidRPr="00C801A6">
        <w:rPr>
          <w:color w:val="auto"/>
        </w:rPr>
        <w:t>ciales et environnementales dans le contrat de travaux de génie civil.</w:t>
      </w:r>
    </w:p>
    <w:p w14:paraId="113578D0" w14:textId="77777777" w:rsidR="00575CDF" w:rsidRPr="00C801A6" w:rsidRDefault="00575CDF" w:rsidP="003042DB">
      <w:pPr>
        <w:pStyle w:val="Heading4"/>
        <w:rPr>
          <w:color w:val="auto"/>
        </w:rPr>
      </w:pPr>
      <w:bookmarkStart w:id="545" w:name="_Toc71767824"/>
      <w:bookmarkStart w:id="546" w:name="_Toc230298803"/>
      <w:r w:rsidRPr="00C801A6">
        <w:rPr>
          <w:color w:val="auto"/>
        </w:rPr>
        <w:t>Synthèse des directives EHS applicables au Projet</w:t>
      </w:r>
      <w:bookmarkEnd w:id="545"/>
      <w:bookmarkEnd w:id="546"/>
    </w:p>
    <w:p w14:paraId="4B6883C7" w14:textId="77777777" w:rsidR="00575CDF" w:rsidRPr="00C801A6" w:rsidRDefault="00575CDF" w:rsidP="00575CDF">
      <w:pPr>
        <w:spacing w:after="240"/>
        <w:rPr>
          <w:color w:val="auto"/>
        </w:rPr>
      </w:pPr>
      <w:r w:rsidRPr="00C801A6">
        <w:rPr>
          <w:color w:val="auto"/>
        </w:rPr>
        <w:t>Le tableau ci-après récapitule l’applicabilité des différentes directives EHS par rapport aux différentes activités du projet :</w:t>
      </w:r>
    </w:p>
    <w:p w14:paraId="03943653" w14:textId="43E0BEDB" w:rsidR="00575CDF" w:rsidRPr="00C801A6" w:rsidRDefault="00575CDF" w:rsidP="003609CC">
      <w:pPr>
        <w:pStyle w:val="Caption"/>
        <w:rPr>
          <w:color w:val="auto"/>
        </w:rPr>
      </w:pPr>
      <w:bookmarkStart w:id="547" w:name="_Toc13693054"/>
      <w:bookmarkStart w:id="548" w:name="_Toc14027502"/>
      <w:bookmarkStart w:id="549" w:name="_Toc230427739"/>
      <w:r w:rsidRPr="00C801A6">
        <w:rPr>
          <w:color w:val="auto"/>
        </w:rPr>
        <w:t xml:space="preserve">Tableau </w:t>
      </w:r>
      <w:r w:rsidRPr="00C801A6">
        <w:rPr>
          <w:noProof/>
          <w:color w:val="auto"/>
        </w:rPr>
        <w:fldChar w:fldCharType="begin"/>
      </w:r>
      <w:r w:rsidRPr="00C801A6">
        <w:rPr>
          <w:noProof/>
          <w:color w:val="auto"/>
        </w:rPr>
        <w:instrText xml:space="preserve"> SEQ Tableau \* ARABIC </w:instrText>
      </w:r>
      <w:r w:rsidRPr="00C801A6">
        <w:rPr>
          <w:noProof/>
          <w:color w:val="auto"/>
        </w:rPr>
        <w:fldChar w:fldCharType="separate"/>
      </w:r>
      <w:r w:rsidR="00253F1A">
        <w:rPr>
          <w:noProof/>
          <w:color w:val="auto"/>
        </w:rPr>
        <w:t>19</w:t>
      </w:r>
      <w:r w:rsidRPr="00C801A6">
        <w:rPr>
          <w:noProof/>
          <w:color w:val="auto"/>
        </w:rPr>
        <w:fldChar w:fldCharType="end"/>
      </w:r>
      <w:r w:rsidRPr="00C801A6">
        <w:rPr>
          <w:color w:val="auto"/>
        </w:rPr>
        <w:t> : Champs d’application des directives EHS par rapport aux différentes composantes du projet</w:t>
      </w:r>
      <w:bookmarkEnd w:id="547"/>
      <w:bookmarkEnd w:id="548"/>
      <w:bookmarkEnd w:id="549"/>
    </w:p>
    <w:tbl>
      <w:tblPr>
        <w:tblStyle w:val="TableGrid"/>
        <w:tblW w:w="9108" w:type="dxa"/>
        <w:tblLayout w:type="fixed"/>
        <w:tblLook w:val="04A0" w:firstRow="1" w:lastRow="0" w:firstColumn="1" w:lastColumn="0" w:noHBand="0" w:noVBand="1"/>
      </w:tblPr>
      <w:tblGrid>
        <w:gridCol w:w="2167"/>
        <w:gridCol w:w="1378"/>
        <w:gridCol w:w="1379"/>
        <w:gridCol w:w="1308"/>
        <w:gridCol w:w="1348"/>
        <w:gridCol w:w="1528"/>
      </w:tblGrid>
      <w:tr w:rsidR="00C801A6" w:rsidRPr="00C801A6" w14:paraId="455B8B4A" w14:textId="77777777" w:rsidTr="00EB2BDF">
        <w:trPr>
          <w:tblHeader/>
        </w:trPr>
        <w:tc>
          <w:tcPr>
            <w:tcW w:w="2167" w:type="dxa"/>
            <w:shd w:val="clear" w:color="auto" w:fill="E2EFD9" w:themeFill="accent6" w:themeFillTint="33"/>
            <w:vAlign w:val="center"/>
          </w:tcPr>
          <w:p w14:paraId="67F4B723" w14:textId="77777777" w:rsidR="00575CDF" w:rsidRPr="00C801A6" w:rsidRDefault="00575CDF" w:rsidP="00347FDB">
            <w:pPr>
              <w:pStyle w:val="BodyText"/>
              <w:rPr>
                <w:rFonts w:ascii="Times New Roman" w:hAnsi="Times New Roman" w:cs="Times New Roman"/>
                <w:b/>
                <w:bCs/>
                <w:sz w:val="18"/>
                <w:szCs w:val="18"/>
              </w:rPr>
            </w:pPr>
            <w:r w:rsidRPr="00C801A6">
              <w:rPr>
                <w:rFonts w:ascii="Times New Roman" w:hAnsi="Times New Roman" w:cs="Times New Roman"/>
                <w:b/>
                <w:bCs/>
                <w:sz w:val="18"/>
                <w:szCs w:val="18"/>
              </w:rPr>
              <w:t>Directives EHS</w:t>
            </w:r>
          </w:p>
        </w:tc>
        <w:tc>
          <w:tcPr>
            <w:tcW w:w="1378" w:type="dxa"/>
            <w:shd w:val="clear" w:color="auto" w:fill="E2EFD9" w:themeFill="accent6" w:themeFillTint="33"/>
            <w:vAlign w:val="center"/>
          </w:tcPr>
          <w:p w14:paraId="3222A144" w14:textId="61B922D4" w:rsidR="00575CDF" w:rsidRPr="00C801A6" w:rsidRDefault="00575CDF" w:rsidP="00347FDB">
            <w:pPr>
              <w:pStyle w:val="BodyText"/>
              <w:jc w:val="center"/>
              <w:rPr>
                <w:rFonts w:ascii="Times New Roman" w:hAnsi="Times New Roman" w:cs="Times New Roman"/>
                <w:b/>
                <w:bCs/>
                <w:sz w:val="18"/>
                <w:szCs w:val="18"/>
              </w:rPr>
            </w:pPr>
            <w:r w:rsidRPr="00C801A6">
              <w:rPr>
                <w:rFonts w:ascii="Times New Roman" w:hAnsi="Times New Roman" w:cs="Times New Roman"/>
                <w:b/>
                <w:bCs/>
                <w:sz w:val="18"/>
                <w:szCs w:val="18"/>
              </w:rPr>
              <w:t>Travaux d’aménagement routier</w:t>
            </w:r>
            <w:r w:rsidR="00EB2BDF">
              <w:rPr>
                <w:rFonts w:ascii="Times New Roman" w:hAnsi="Times New Roman" w:cs="Times New Roman"/>
                <w:b/>
                <w:bCs/>
                <w:sz w:val="18"/>
                <w:szCs w:val="18"/>
              </w:rPr>
              <w:t xml:space="preserve"> et portuaire</w:t>
            </w:r>
          </w:p>
        </w:tc>
        <w:tc>
          <w:tcPr>
            <w:tcW w:w="1379" w:type="dxa"/>
            <w:shd w:val="clear" w:color="auto" w:fill="E2EFD9" w:themeFill="accent6" w:themeFillTint="33"/>
            <w:vAlign w:val="center"/>
          </w:tcPr>
          <w:p w14:paraId="75918897" w14:textId="77777777" w:rsidR="00575CDF" w:rsidRPr="00C801A6" w:rsidRDefault="00575CDF" w:rsidP="00347FDB">
            <w:pPr>
              <w:pStyle w:val="BodyText"/>
              <w:jc w:val="center"/>
              <w:rPr>
                <w:rFonts w:ascii="Times New Roman" w:hAnsi="Times New Roman" w:cs="Times New Roman"/>
                <w:b/>
                <w:bCs/>
                <w:sz w:val="18"/>
                <w:szCs w:val="18"/>
              </w:rPr>
            </w:pPr>
            <w:r w:rsidRPr="00C801A6">
              <w:rPr>
                <w:rFonts w:ascii="Times New Roman" w:hAnsi="Times New Roman" w:cs="Times New Roman"/>
                <w:b/>
                <w:bCs/>
                <w:sz w:val="18"/>
                <w:szCs w:val="18"/>
              </w:rPr>
              <w:t>Exploitation bases-vie &amp; installation de chantier</w:t>
            </w:r>
          </w:p>
        </w:tc>
        <w:tc>
          <w:tcPr>
            <w:tcW w:w="1308" w:type="dxa"/>
            <w:shd w:val="clear" w:color="auto" w:fill="E2EFD9" w:themeFill="accent6" w:themeFillTint="33"/>
            <w:vAlign w:val="center"/>
          </w:tcPr>
          <w:p w14:paraId="6B31EF5B" w14:textId="77777777" w:rsidR="00575CDF" w:rsidRPr="00C801A6" w:rsidRDefault="00575CDF" w:rsidP="00347FDB">
            <w:pPr>
              <w:pStyle w:val="BodyText"/>
              <w:jc w:val="center"/>
              <w:rPr>
                <w:rFonts w:ascii="Times New Roman" w:hAnsi="Times New Roman" w:cs="Times New Roman"/>
                <w:b/>
                <w:bCs/>
                <w:sz w:val="18"/>
                <w:szCs w:val="18"/>
              </w:rPr>
            </w:pPr>
            <w:r w:rsidRPr="00C801A6">
              <w:rPr>
                <w:rFonts w:ascii="Times New Roman" w:hAnsi="Times New Roman" w:cs="Times New Roman"/>
                <w:b/>
                <w:bCs/>
                <w:sz w:val="18"/>
                <w:szCs w:val="18"/>
              </w:rPr>
              <w:t>Exploitation gîtes et carrières</w:t>
            </w:r>
          </w:p>
        </w:tc>
        <w:tc>
          <w:tcPr>
            <w:tcW w:w="1348" w:type="dxa"/>
            <w:shd w:val="clear" w:color="auto" w:fill="E2EFD9" w:themeFill="accent6" w:themeFillTint="33"/>
            <w:vAlign w:val="center"/>
          </w:tcPr>
          <w:p w14:paraId="75B8627A" w14:textId="77777777" w:rsidR="00575CDF" w:rsidRPr="00C801A6" w:rsidRDefault="00575CDF" w:rsidP="00347FDB">
            <w:pPr>
              <w:pStyle w:val="BodyText"/>
              <w:jc w:val="center"/>
              <w:rPr>
                <w:rFonts w:ascii="Times New Roman" w:hAnsi="Times New Roman" w:cs="Times New Roman"/>
                <w:b/>
                <w:bCs/>
                <w:sz w:val="18"/>
                <w:szCs w:val="18"/>
              </w:rPr>
            </w:pPr>
            <w:r w:rsidRPr="00C801A6">
              <w:rPr>
                <w:rFonts w:ascii="Times New Roman" w:hAnsi="Times New Roman" w:cs="Times New Roman"/>
                <w:b/>
                <w:bCs/>
                <w:sz w:val="18"/>
                <w:szCs w:val="18"/>
              </w:rPr>
              <w:t>Mobilisation de ressources humaines pour les travaux</w:t>
            </w:r>
          </w:p>
        </w:tc>
        <w:tc>
          <w:tcPr>
            <w:tcW w:w="1528" w:type="dxa"/>
            <w:shd w:val="clear" w:color="auto" w:fill="E2EFD9" w:themeFill="accent6" w:themeFillTint="33"/>
            <w:vAlign w:val="center"/>
          </w:tcPr>
          <w:p w14:paraId="3DA6DC3B" w14:textId="2C4EAF7D" w:rsidR="00575CDF" w:rsidRPr="00C801A6" w:rsidRDefault="00575CDF" w:rsidP="00347FDB">
            <w:pPr>
              <w:pStyle w:val="BodyText"/>
              <w:jc w:val="center"/>
              <w:rPr>
                <w:rFonts w:ascii="Times New Roman" w:hAnsi="Times New Roman" w:cs="Times New Roman"/>
                <w:b/>
                <w:bCs/>
                <w:sz w:val="18"/>
                <w:szCs w:val="18"/>
              </w:rPr>
            </w:pPr>
            <w:r w:rsidRPr="00C801A6">
              <w:rPr>
                <w:rFonts w:ascii="Times New Roman" w:hAnsi="Times New Roman" w:cs="Times New Roman"/>
                <w:b/>
                <w:bCs/>
                <w:sz w:val="18"/>
                <w:szCs w:val="18"/>
              </w:rPr>
              <w:t>Exploitation de l</w:t>
            </w:r>
            <w:r w:rsidR="00EB2BDF">
              <w:rPr>
                <w:rFonts w:ascii="Times New Roman" w:hAnsi="Times New Roman" w:cs="Times New Roman"/>
                <w:b/>
                <w:bCs/>
                <w:sz w:val="18"/>
                <w:szCs w:val="18"/>
              </w:rPr>
              <w:t>’infrastructure</w:t>
            </w:r>
            <w:r w:rsidRPr="00C801A6">
              <w:rPr>
                <w:rFonts w:ascii="Times New Roman" w:hAnsi="Times New Roman" w:cs="Times New Roman"/>
                <w:b/>
                <w:bCs/>
                <w:sz w:val="18"/>
                <w:szCs w:val="18"/>
              </w:rPr>
              <w:t xml:space="preserve"> réhabilitée</w:t>
            </w:r>
          </w:p>
        </w:tc>
      </w:tr>
      <w:tr w:rsidR="00C801A6" w:rsidRPr="00C801A6" w14:paraId="4A4A909A" w14:textId="77777777" w:rsidTr="00EB2BDF">
        <w:tc>
          <w:tcPr>
            <w:tcW w:w="2167" w:type="dxa"/>
          </w:tcPr>
          <w:p w14:paraId="63FB7723" w14:textId="77777777" w:rsidR="00575CDF" w:rsidRPr="00C801A6" w:rsidRDefault="00575CDF" w:rsidP="00347FDB">
            <w:pPr>
              <w:pStyle w:val="BodyText"/>
              <w:spacing w:before="40" w:after="40"/>
              <w:rPr>
                <w:rFonts w:ascii="Times New Roman" w:hAnsi="Times New Roman" w:cs="Times New Roman"/>
              </w:rPr>
            </w:pPr>
            <w:r w:rsidRPr="00C801A6">
              <w:rPr>
                <w:rFonts w:ascii="Times New Roman" w:hAnsi="Times New Roman" w:cs="Times New Roman"/>
              </w:rPr>
              <w:t>Directives EHS générales</w:t>
            </w:r>
          </w:p>
        </w:tc>
        <w:tc>
          <w:tcPr>
            <w:tcW w:w="1378" w:type="dxa"/>
          </w:tcPr>
          <w:p w14:paraId="41167113" w14:textId="77777777" w:rsidR="00575CDF" w:rsidRPr="00C801A6" w:rsidRDefault="00575CDF" w:rsidP="00347FDB">
            <w:pPr>
              <w:pStyle w:val="BodyText"/>
              <w:spacing w:before="40" w:after="40"/>
              <w:jc w:val="center"/>
              <w:rPr>
                <w:rFonts w:ascii="Times New Roman" w:hAnsi="Times New Roman" w:cs="Times New Roman"/>
                <w:b/>
                <w:bCs/>
              </w:rPr>
            </w:pPr>
            <w:r w:rsidRPr="00C801A6">
              <w:rPr>
                <w:rFonts w:ascii="Times New Roman" w:hAnsi="Times New Roman" w:cs="Times New Roman"/>
                <w:b/>
                <w:bCs/>
              </w:rPr>
              <w:t>X</w:t>
            </w:r>
          </w:p>
        </w:tc>
        <w:tc>
          <w:tcPr>
            <w:tcW w:w="1379" w:type="dxa"/>
          </w:tcPr>
          <w:p w14:paraId="14FCCD4E" w14:textId="77777777" w:rsidR="00575CDF" w:rsidRPr="00C801A6" w:rsidRDefault="00575CDF" w:rsidP="00347FDB">
            <w:pPr>
              <w:pStyle w:val="BodyText"/>
              <w:spacing w:before="40" w:after="40"/>
              <w:jc w:val="center"/>
              <w:rPr>
                <w:rFonts w:ascii="Times New Roman" w:hAnsi="Times New Roman" w:cs="Times New Roman"/>
                <w:b/>
                <w:bCs/>
              </w:rPr>
            </w:pPr>
            <w:r w:rsidRPr="00C801A6">
              <w:rPr>
                <w:rFonts w:ascii="Times New Roman" w:hAnsi="Times New Roman" w:cs="Times New Roman"/>
                <w:b/>
                <w:bCs/>
              </w:rPr>
              <w:t>X</w:t>
            </w:r>
          </w:p>
        </w:tc>
        <w:tc>
          <w:tcPr>
            <w:tcW w:w="1308" w:type="dxa"/>
          </w:tcPr>
          <w:p w14:paraId="415CF64A" w14:textId="77777777" w:rsidR="00575CDF" w:rsidRPr="00C801A6" w:rsidRDefault="00575CDF" w:rsidP="00347FDB">
            <w:pPr>
              <w:pStyle w:val="BodyText"/>
              <w:spacing w:before="40" w:after="40"/>
              <w:jc w:val="center"/>
              <w:rPr>
                <w:rFonts w:ascii="Times New Roman" w:hAnsi="Times New Roman" w:cs="Times New Roman"/>
                <w:b/>
                <w:bCs/>
              </w:rPr>
            </w:pPr>
            <w:r w:rsidRPr="00C801A6">
              <w:rPr>
                <w:rFonts w:ascii="Times New Roman" w:hAnsi="Times New Roman" w:cs="Times New Roman"/>
                <w:b/>
                <w:bCs/>
              </w:rPr>
              <w:t>X</w:t>
            </w:r>
          </w:p>
        </w:tc>
        <w:tc>
          <w:tcPr>
            <w:tcW w:w="1348" w:type="dxa"/>
          </w:tcPr>
          <w:p w14:paraId="26613D44" w14:textId="77777777" w:rsidR="00575CDF" w:rsidRPr="00C801A6" w:rsidRDefault="00575CDF" w:rsidP="00347FDB">
            <w:pPr>
              <w:pStyle w:val="BodyText"/>
              <w:spacing w:before="40" w:after="40"/>
              <w:jc w:val="center"/>
              <w:rPr>
                <w:rFonts w:ascii="Times New Roman" w:hAnsi="Times New Roman" w:cs="Times New Roman"/>
                <w:b/>
                <w:bCs/>
              </w:rPr>
            </w:pPr>
            <w:r w:rsidRPr="00C801A6">
              <w:rPr>
                <w:rFonts w:ascii="Times New Roman" w:hAnsi="Times New Roman" w:cs="Times New Roman"/>
                <w:b/>
                <w:bCs/>
              </w:rPr>
              <w:t>X</w:t>
            </w:r>
          </w:p>
        </w:tc>
        <w:tc>
          <w:tcPr>
            <w:tcW w:w="1528" w:type="dxa"/>
          </w:tcPr>
          <w:p w14:paraId="7B781F02" w14:textId="77777777" w:rsidR="00575CDF" w:rsidRPr="00C801A6" w:rsidRDefault="00575CDF" w:rsidP="00347FDB">
            <w:pPr>
              <w:pStyle w:val="BodyText"/>
              <w:spacing w:before="40" w:after="40"/>
              <w:jc w:val="center"/>
              <w:rPr>
                <w:rFonts w:ascii="Times New Roman" w:hAnsi="Times New Roman" w:cs="Times New Roman"/>
                <w:b/>
                <w:bCs/>
              </w:rPr>
            </w:pPr>
            <w:r w:rsidRPr="00C801A6">
              <w:rPr>
                <w:rFonts w:ascii="Times New Roman" w:hAnsi="Times New Roman" w:cs="Times New Roman"/>
                <w:b/>
                <w:bCs/>
              </w:rPr>
              <w:t>X</w:t>
            </w:r>
          </w:p>
        </w:tc>
      </w:tr>
      <w:tr w:rsidR="00C801A6" w:rsidRPr="00C801A6" w14:paraId="49532A28" w14:textId="77777777" w:rsidTr="00EB2BDF">
        <w:tc>
          <w:tcPr>
            <w:tcW w:w="2167" w:type="dxa"/>
          </w:tcPr>
          <w:p w14:paraId="47622D49" w14:textId="77777777" w:rsidR="00575CDF" w:rsidRPr="00C801A6" w:rsidRDefault="00575CDF" w:rsidP="00347FDB">
            <w:pPr>
              <w:pStyle w:val="BodyText"/>
              <w:spacing w:before="40" w:after="40"/>
              <w:rPr>
                <w:rFonts w:ascii="Times New Roman" w:hAnsi="Times New Roman" w:cs="Times New Roman"/>
              </w:rPr>
            </w:pPr>
            <w:r w:rsidRPr="00C801A6">
              <w:rPr>
                <w:rFonts w:ascii="Times New Roman" w:hAnsi="Times New Roman" w:cs="Times New Roman"/>
              </w:rPr>
              <w:t>Directives EHS pour l’extraction des matériaux de construction</w:t>
            </w:r>
          </w:p>
        </w:tc>
        <w:tc>
          <w:tcPr>
            <w:tcW w:w="1378" w:type="dxa"/>
          </w:tcPr>
          <w:p w14:paraId="1C701C2B" w14:textId="77777777" w:rsidR="00575CDF" w:rsidRPr="00C801A6" w:rsidRDefault="00575CDF" w:rsidP="00347FDB">
            <w:pPr>
              <w:pStyle w:val="BodyText"/>
              <w:spacing w:before="40" w:after="40"/>
              <w:jc w:val="center"/>
              <w:rPr>
                <w:rFonts w:ascii="Times New Roman" w:hAnsi="Times New Roman" w:cs="Times New Roman"/>
                <w:b/>
                <w:bCs/>
              </w:rPr>
            </w:pPr>
          </w:p>
        </w:tc>
        <w:tc>
          <w:tcPr>
            <w:tcW w:w="1379" w:type="dxa"/>
          </w:tcPr>
          <w:p w14:paraId="13F55E83" w14:textId="77777777" w:rsidR="00575CDF" w:rsidRPr="00C801A6" w:rsidRDefault="00575CDF" w:rsidP="00347FDB">
            <w:pPr>
              <w:pStyle w:val="BodyText"/>
              <w:spacing w:before="40" w:after="40"/>
              <w:jc w:val="center"/>
              <w:rPr>
                <w:rFonts w:ascii="Times New Roman" w:hAnsi="Times New Roman" w:cs="Times New Roman"/>
                <w:b/>
                <w:bCs/>
              </w:rPr>
            </w:pPr>
          </w:p>
        </w:tc>
        <w:tc>
          <w:tcPr>
            <w:tcW w:w="1308" w:type="dxa"/>
          </w:tcPr>
          <w:p w14:paraId="4737869B" w14:textId="77777777" w:rsidR="00575CDF" w:rsidRPr="00C801A6" w:rsidRDefault="00575CDF" w:rsidP="00347FDB">
            <w:pPr>
              <w:pStyle w:val="BodyText"/>
              <w:spacing w:before="40" w:after="40"/>
              <w:jc w:val="center"/>
              <w:rPr>
                <w:rFonts w:ascii="Times New Roman" w:hAnsi="Times New Roman" w:cs="Times New Roman"/>
                <w:b/>
                <w:bCs/>
              </w:rPr>
            </w:pPr>
            <w:r w:rsidRPr="00C801A6">
              <w:rPr>
                <w:rFonts w:ascii="Times New Roman" w:hAnsi="Times New Roman" w:cs="Times New Roman"/>
                <w:b/>
                <w:bCs/>
              </w:rPr>
              <w:t>X</w:t>
            </w:r>
          </w:p>
        </w:tc>
        <w:tc>
          <w:tcPr>
            <w:tcW w:w="1348" w:type="dxa"/>
          </w:tcPr>
          <w:p w14:paraId="3833B8EF" w14:textId="77777777" w:rsidR="00575CDF" w:rsidRPr="00C801A6" w:rsidRDefault="00575CDF" w:rsidP="00347FDB">
            <w:pPr>
              <w:pStyle w:val="BodyText"/>
              <w:spacing w:before="40" w:after="40"/>
              <w:jc w:val="center"/>
              <w:rPr>
                <w:rFonts w:ascii="Times New Roman" w:hAnsi="Times New Roman" w:cs="Times New Roman"/>
                <w:b/>
                <w:bCs/>
              </w:rPr>
            </w:pPr>
          </w:p>
        </w:tc>
        <w:tc>
          <w:tcPr>
            <w:tcW w:w="1528" w:type="dxa"/>
          </w:tcPr>
          <w:p w14:paraId="334A6D62" w14:textId="77777777" w:rsidR="00575CDF" w:rsidRPr="00C801A6" w:rsidRDefault="00575CDF" w:rsidP="00347FDB">
            <w:pPr>
              <w:pStyle w:val="BodyText"/>
              <w:spacing w:before="40" w:after="40"/>
              <w:jc w:val="center"/>
              <w:rPr>
                <w:rFonts w:ascii="Times New Roman" w:hAnsi="Times New Roman" w:cs="Times New Roman"/>
                <w:b/>
                <w:bCs/>
              </w:rPr>
            </w:pPr>
          </w:p>
        </w:tc>
      </w:tr>
      <w:tr w:rsidR="00C801A6" w:rsidRPr="00C801A6" w14:paraId="0A3172C2" w14:textId="77777777" w:rsidTr="00EB2BDF">
        <w:tc>
          <w:tcPr>
            <w:tcW w:w="2167" w:type="dxa"/>
          </w:tcPr>
          <w:p w14:paraId="16852D68" w14:textId="77777777" w:rsidR="00575CDF" w:rsidRPr="00C801A6" w:rsidRDefault="00575CDF" w:rsidP="00347FDB">
            <w:pPr>
              <w:pStyle w:val="BodyText"/>
              <w:spacing w:before="40" w:after="40"/>
              <w:rPr>
                <w:rFonts w:ascii="Times New Roman" w:hAnsi="Times New Roman" w:cs="Times New Roman"/>
              </w:rPr>
            </w:pPr>
            <w:r w:rsidRPr="00C801A6">
              <w:rPr>
                <w:rFonts w:ascii="Times New Roman" w:hAnsi="Times New Roman" w:cs="Times New Roman"/>
              </w:rPr>
              <w:t>Directives pour la gestion des risques d’impacts néfastes sur les communautés par un projet temporaire induisant un afflux de main d’œuvre</w:t>
            </w:r>
          </w:p>
        </w:tc>
        <w:tc>
          <w:tcPr>
            <w:tcW w:w="1378" w:type="dxa"/>
          </w:tcPr>
          <w:p w14:paraId="0E2B9F57" w14:textId="77777777" w:rsidR="00575CDF" w:rsidRPr="00C801A6" w:rsidRDefault="00575CDF" w:rsidP="00347FDB">
            <w:pPr>
              <w:pStyle w:val="BodyText"/>
              <w:spacing w:before="40" w:after="40"/>
              <w:jc w:val="center"/>
              <w:rPr>
                <w:rFonts w:ascii="Times New Roman" w:hAnsi="Times New Roman" w:cs="Times New Roman"/>
                <w:b/>
                <w:bCs/>
              </w:rPr>
            </w:pPr>
          </w:p>
        </w:tc>
        <w:tc>
          <w:tcPr>
            <w:tcW w:w="1379" w:type="dxa"/>
          </w:tcPr>
          <w:p w14:paraId="3A8C74B1" w14:textId="77777777" w:rsidR="00575CDF" w:rsidRPr="00C801A6" w:rsidRDefault="00575CDF" w:rsidP="00347FDB">
            <w:pPr>
              <w:pStyle w:val="BodyText"/>
              <w:spacing w:before="40" w:after="40"/>
              <w:jc w:val="center"/>
              <w:rPr>
                <w:rFonts w:ascii="Times New Roman" w:hAnsi="Times New Roman" w:cs="Times New Roman"/>
                <w:b/>
                <w:bCs/>
              </w:rPr>
            </w:pPr>
          </w:p>
        </w:tc>
        <w:tc>
          <w:tcPr>
            <w:tcW w:w="1308" w:type="dxa"/>
          </w:tcPr>
          <w:p w14:paraId="39658AF6" w14:textId="77777777" w:rsidR="00575CDF" w:rsidRPr="00C801A6" w:rsidRDefault="00575CDF" w:rsidP="00347FDB">
            <w:pPr>
              <w:pStyle w:val="BodyText"/>
              <w:spacing w:before="40" w:after="40"/>
              <w:jc w:val="center"/>
              <w:rPr>
                <w:rFonts w:ascii="Times New Roman" w:hAnsi="Times New Roman" w:cs="Times New Roman"/>
                <w:b/>
                <w:bCs/>
              </w:rPr>
            </w:pPr>
          </w:p>
        </w:tc>
        <w:tc>
          <w:tcPr>
            <w:tcW w:w="1348" w:type="dxa"/>
          </w:tcPr>
          <w:p w14:paraId="0790BEFC" w14:textId="77777777" w:rsidR="00575CDF" w:rsidRPr="00C801A6" w:rsidRDefault="00575CDF" w:rsidP="00347FDB">
            <w:pPr>
              <w:pStyle w:val="BodyText"/>
              <w:spacing w:before="40" w:after="40"/>
              <w:jc w:val="center"/>
              <w:rPr>
                <w:rFonts w:ascii="Times New Roman" w:hAnsi="Times New Roman" w:cs="Times New Roman"/>
                <w:b/>
                <w:bCs/>
              </w:rPr>
            </w:pPr>
            <w:r w:rsidRPr="00C801A6">
              <w:rPr>
                <w:rFonts w:ascii="Times New Roman" w:hAnsi="Times New Roman" w:cs="Times New Roman"/>
                <w:b/>
                <w:bCs/>
              </w:rPr>
              <w:t>X</w:t>
            </w:r>
          </w:p>
        </w:tc>
        <w:tc>
          <w:tcPr>
            <w:tcW w:w="1528" w:type="dxa"/>
          </w:tcPr>
          <w:p w14:paraId="56FB8530" w14:textId="77777777" w:rsidR="00575CDF" w:rsidRPr="00C801A6" w:rsidRDefault="00575CDF" w:rsidP="00347FDB">
            <w:pPr>
              <w:pStyle w:val="BodyText"/>
              <w:spacing w:before="40" w:after="40"/>
              <w:jc w:val="center"/>
              <w:rPr>
                <w:rFonts w:ascii="Times New Roman" w:hAnsi="Times New Roman" w:cs="Times New Roman"/>
                <w:b/>
                <w:bCs/>
              </w:rPr>
            </w:pPr>
          </w:p>
        </w:tc>
      </w:tr>
    </w:tbl>
    <w:p w14:paraId="260C3AAB" w14:textId="77777777" w:rsidR="00575CDF" w:rsidRPr="00C801A6" w:rsidRDefault="00575CDF" w:rsidP="00575CDF">
      <w:pPr>
        <w:spacing w:line="259" w:lineRule="auto"/>
        <w:jc w:val="left"/>
        <w:rPr>
          <w:rFonts w:ascii="Arial" w:eastAsiaTheme="majorEastAsia" w:hAnsi="Arial" w:cstheme="majorBidi"/>
          <w:b/>
          <w:bCs/>
          <w:caps/>
          <w:color w:val="auto"/>
          <w:sz w:val="22"/>
          <w:szCs w:val="26"/>
        </w:rPr>
      </w:pPr>
      <w:r w:rsidRPr="00C801A6">
        <w:rPr>
          <w:color w:val="auto"/>
        </w:rPr>
        <w:br w:type="page"/>
      </w:r>
    </w:p>
    <w:p w14:paraId="3E3382D2" w14:textId="77777777" w:rsidR="00575CDF" w:rsidRPr="00C801A6" w:rsidRDefault="00575CDF" w:rsidP="00014BC0">
      <w:pPr>
        <w:pStyle w:val="Heading2"/>
      </w:pPr>
      <w:bookmarkStart w:id="550" w:name="_Toc106320339"/>
      <w:bookmarkStart w:id="551" w:name="_Toc230426045"/>
      <w:r w:rsidRPr="00C801A6">
        <w:lastRenderedPageBreak/>
        <w:t>CADRE INSTITUTIONNEL</w:t>
      </w:r>
      <w:bookmarkEnd w:id="550"/>
      <w:bookmarkEnd w:id="551"/>
    </w:p>
    <w:p w14:paraId="0C4DC9F1" w14:textId="77777777" w:rsidR="009868E6" w:rsidRDefault="00575CDF" w:rsidP="00575CDF">
      <w:pPr>
        <w:rPr>
          <w:rFonts w:cs="Times New Roman"/>
          <w:color w:val="auto"/>
        </w:rPr>
      </w:pPr>
      <w:r w:rsidRPr="00C801A6">
        <w:rPr>
          <w:rFonts w:cs="Times New Roman"/>
          <w:color w:val="auto"/>
        </w:rPr>
        <w:t xml:space="preserve">De par son caractère, les activités des composantes du </w:t>
      </w:r>
      <w:r w:rsidR="00D6045D" w:rsidRPr="00C801A6">
        <w:rPr>
          <w:rFonts w:cs="Times New Roman"/>
          <w:color w:val="auto"/>
        </w:rPr>
        <w:t>P</w:t>
      </w:r>
      <w:r w:rsidR="00EB2BDF">
        <w:rPr>
          <w:rFonts w:cs="Times New Roman"/>
          <w:color w:val="auto"/>
        </w:rPr>
        <w:t>CMCI</w:t>
      </w:r>
      <w:r w:rsidRPr="00C801A6">
        <w:rPr>
          <w:rFonts w:cs="Times New Roman"/>
          <w:color w:val="auto"/>
        </w:rPr>
        <w:t xml:space="preserve"> con</w:t>
      </w:r>
      <w:r w:rsidRPr="00C801A6">
        <w:rPr>
          <w:rFonts w:eastAsia="Times New Roman" w:cs="Times New Roman"/>
          <w:color w:val="auto"/>
        </w:rPr>
        <w:t>cernent à la fois des entités publiques concernées par les travaux publics et transport</w:t>
      </w:r>
      <w:r w:rsidRPr="00C801A6">
        <w:rPr>
          <w:rFonts w:cs="Times New Roman"/>
          <w:color w:val="auto"/>
        </w:rPr>
        <w:t>, les aspects environnementaux et sociaux</w:t>
      </w:r>
      <w:r w:rsidR="003349AF" w:rsidRPr="00C801A6">
        <w:rPr>
          <w:rFonts w:cs="Times New Roman"/>
          <w:color w:val="auto"/>
        </w:rPr>
        <w:t xml:space="preserve"> </w:t>
      </w:r>
      <w:r w:rsidRPr="00C801A6">
        <w:rPr>
          <w:rFonts w:cs="Times New Roman"/>
          <w:color w:val="auto"/>
        </w:rPr>
        <w:t xml:space="preserve">et les agences chargées de l’application et du contrôle effectif des règlements et des normes dans ces domaines thématiques ainsi que les secteurs privés. </w:t>
      </w:r>
    </w:p>
    <w:p w14:paraId="0EA3725B" w14:textId="7636F450" w:rsidR="00FC4D3C" w:rsidRPr="00FC4D3C" w:rsidRDefault="009868E6" w:rsidP="00FC4D3C">
      <w:pPr>
        <w:rPr>
          <w:rFonts w:cs="Times New Roman"/>
          <w:color w:val="auto"/>
        </w:rPr>
      </w:pPr>
      <w:r w:rsidRPr="00854ACA">
        <w:rPr>
          <w:rFonts w:cs="Times New Roman"/>
          <w:color w:val="auto"/>
        </w:rPr>
        <w:t>Le Projet PCMCI est mis en œuvre par une UCP dédiée créée au sein de l'Agence routière, l’UCP de l’AR.</w:t>
      </w:r>
      <w:r w:rsidR="00FC4D3C" w:rsidRPr="00FC4D3C">
        <w:rPr>
          <w:rFonts w:asciiTheme="minorHAnsi" w:eastAsia="Times New Roman" w:hAnsiTheme="minorHAnsi" w:cstheme="minorHAnsi"/>
          <w:color w:val="auto"/>
          <w:szCs w:val="24"/>
        </w:rPr>
        <w:t xml:space="preserve"> </w:t>
      </w:r>
      <w:r w:rsidR="00FC4D3C" w:rsidRPr="00FC4D3C">
        <w:rPr>
          <w:rFonts w:cs="Times New Roman"/>
          <w:color w:val="auto"/>
        </w:rPr>
        <w:t xml:space="preserve">Dans le cadre spécifique du CERC, la responsabilité opérationnelle est confiée à l’Unité de Coordination du CERC-PCMCI (UCP CERC-PCMCI), hébergée au sein du Ministère des Travaux Publics. Cette décision repose sur l’expérience acquise par cette unité dans la mise en œuvre des précédentes composantes CERC du PDDR et </w:t>
      </w:r>
      <w:r w:rsidR="00CE71D9">
        <w:rPr>
          <w:rFonts w:cs="Times New Roman"/>
          <w:color w:val="auto"/>
        </w:rPr>
        <w:t xml:space="preserve">de la 1ere phase </w:t>
      </w:r>
      <w:r w:rsidR="00FC4D3C" w:rsidRPr="00FC4D3C">
        <w:rPr>
          <w:rFonts w:cs="Times New Roman"/>
          <w:color w:val="auto"/>
        </w:rPr>
        <w:t xml:space="preserve">du PCMCI. Ce dispositif institutionnel repose sur une collaboration étroite entre les principales parties prenantes, particulièrement l’UCP CERC-PCMCI, l’UCP AR et l’Agence Routière. </w:t>
      </w:r>
    </w:p>
    <w:p w14:paraId="7C0C9F91" w14:textId="7265671E" w:rsidR="009868E6" w:rsidRPr="00854ACA" w:rsidRDefault="009868E6" w:rsidP="009868E6">
      <w:pPr>
        <w:rPr>
          <w:rFonts w:cs="Times New Roman"/>
          <w:color w:val="auto"/>
        </w:rPr>
      </w:pPr>
      <w:r w:rsidRPr="00854ACA">
        <w:rPr>
          <w:rFonts w:cs="Times New Roman"/>
          <w:color w:val="auto"/>
        </w:rPr>
        <w:t>Un Comité de Pilotage de Projet, impliquant des représentants du Ministère des Finances, du Ministère des Travaux Publics, du Fonds Routier, et de l'Agence Routière existe déjà pour assurer la supervision générale du Projet PCMCI et l'approbation de son PTBA, y compris sa composante CERC, et son rôle et sa composition seront maintenus pour l'ensemble du Projet PCMCI, y compris son CERC.</w:t>
      </w:r>
    </w:p>
    <w:p w14:paraId="0B527198" w14:textId="67CABC75" w:rsidR="009868E6" w:rsidRPr="00854ACA" w:rsidRDefault="009868E6" w:rsidP="00854ACA">
      <w:pPr>
        <w:rPr>
          <w:rFonts w:cs="Times New Roman"/>
          <w:color w:val="auto"/>
        </w:rPr>
      </w:pPr>
      <w:r w:rsidRPr="00854ACA">
        <w:rPr>
          <w:rFonts w:cs="Times New Roman"/>
          <w:color w:val="auto"/>
        </w:rPr>
        <w:t xml:space="preserve">Afin de renforcer la coordination avec les autres agences techniques bénéficiaires, telles que l’APMF, et d'assurer les flux d'informations et leur soutien technique pendant la mise en œuvre du projet, un Comité de coordination du CERC est en cours de création - à un niveau technique/de travail - qui comprend des représentants du Ministère de l’Economie et des Finances, du Ministère des Travaux Publics, </w:t>
      </w:r>
      <w:r w:rsidR="00854ACA">
        <w:rPr>
          <w:rFonts w:cs="Times New Roman"/>
          <w:color w:val="auto"/>
        </w:rPr>
        <w:t xml:space="preserve">du Ministère des Transports, </w:t>
      </w:r>
      <w:r w:rsidRPr="00854ACA">
        <w:rPr>
          <w:rFonts w:cs="Times New Roman"/>
          <w:color w:val="auto"/>
        </w:rPr>
        <w:t xml:space="preserve">de l'Agence Routière, </w:t>
      </w:r>
      <w:r w:rsidR="00854ACA">
        <w:rPr>
          <w:rFonts w:cs="Times New Roman"/>
          <w:color w:val="auto"/>
        </w:rPr>
        <w:t>et de l’APMF</w:t>
      </w:r>
      <w:r w:rsidRPr="00854ACA">
        <w:rPr>
          <w:rFonts w:cs="Times New Roman"/>
          <w:color w:val="auto"/>
        </w:rPr>
        <w:t xml:space="preserve">. </w:t>
      </w:r>
    </w:p>
    <w:p w14:paraId="74DC87B1" w14:textId="7F2DF015" w:rsidR="009868E6" w:rsidRPr="00854ACA" w:rsidRDefault="009868E6" w:rsidP="00854ACA">
      <w:pPr>
        <w:rPr>
          <w:rFonts w:cs="Times New Roman"/>
          <w:color w:val="auto"/>
        </w:rPr>
      </w:pPr>
      <w:r w:rsidRPr="00854ACA">
        <w:rPr>
          <w:rFonts w:cs="Times New Roman"/>
          <w:color w:val="auto"/>
        </w:rPr>
        <w:t xml:space="preserve">Le rôle du Comité de coordination est d'assurer la coordination quotidienne de la mise en œuvre du CERC, y compris une implication plus étroite de </w:t>
      </w:r>
      <w:r w:rsidR="00854ACA">
        <w:rPr>
          <w:rFonts w:cs="Times New Roman"/>
          <w:color w:val="auto"/>
        </w:rPr>
        <w:t>l’APMF</w:t>
      </w:r>
      <w:r w:rsidRPr="00854ACA">
        <w:rPr>
          <w:rFonts w:cs="Times New Roman"/>
          <w:color w:val="auto"/>
        </w:rPr>
        <w:t xml:space="preserve"> et de l'Agence Routière dans le contrôle et l'évaluation techniques des activités respectives dont ils sont bénéficiaires.  </w:t>
      </w:r>
    </w:p>
    <w:p w14:paraId="1EF781C9" w14:textId="3731D63F" w:rsidR="009868E6" w:rsidRPr="00854ACA" w:rsidRDefault="009868E6" w:rsidP="00854ACA">
      <w:pPr>
        <w:rPr>
          <w:rFonts w:cs="Times New Roman"/>
          <w:color w:val="auto"/>
        </w:rPr>
      </w:pPr>
      <w:r w:rsidRPr="00854ACA">
        <w:rPr>
          <w:rFonts w:cs="Times New Roman"/>
          <w:color w:val="auto"/>
        </w:rPr>
        <w:t>Afin de refléter les dernières dispositions, en particulier en ce qui concerne la mise en œuvre de la composante CERC par l’UCP</w:t>
      </w:r>
      <w:r w:rsidR="000C095F">
        <w:rPr>
          <w:rFonts w:cs="Times New Roman"/>
          <w:color w:val="auto"/>
        </w:rPr>
        <w:t xml:space="preserve"> CERC PCMCI</w:t>
      </w:r>
      <w:r w:rsidRPr="00854ACA">
        <w:rPr>
          <w:rFonts w:cs="Times New Roman"/>
          <w:color w:val="auto"/>
        </w:rPr>
        <w:t>, le manuel des opérations du PCMCI a été révisé, et un manuel CERC y a été joint, et a été soumis à la Banque mondiale pour examen.</w:t>
      </w:r>
    </w:p>
    <w:p w14:paraId="183AB1D2" w14:textId="0DF4FB8B" w:rsidR="009868E6" w:rsidRPr="00854ACA" w:rsidRDefault="009868E6" w:rsidP="00854ACA">
      <w:pPr>
        <w:rPr>
          <w:rFonts w:cs="Times New Roman"/>
          <w:color w:val="auto"/>
        </w:rPr>
      </w:pPr>
      <w:r w:rsidRPr="00854ACA">
        <w:rPr>
          <w:rFonts w:cs="Times New Roman"/>
          <w:color w:val="auto"/>
        </w:rPr>
        <w:t>Pour permettre la mise en œuvre des activités du CERC concernant l’APMF qui est une entité juridiquement autonome, le Gouvernement, par l’intermédiaire du Ministère des Travaux Publics et de l’UCP</w:t>
      </w:r>
      <w:r w:rsidR="00A641F6">
        <w:rPr>
          <w:rFonts w:cs="Times New Roman"/>
          <w:color w:val="auto"/>
        </w:rPr>
        <w:t xml:space="preserve"> CERC PCMCI</w:t>
      </w:r>
      <w:r w:rsidRPr="00854ACA">
        <w:rPr>
          <w:rFonts w:cs="Times New Roman"/>
          <w:color w:val="auto"/>
        </w:rPr>
        <w:t xml:space="preserve">, prendra les dispositions nécessaires, y compris par voie contractuelle le cas échéant, pour faire en sorte que l’APMF accomplisse ses tâches pour la mise en œuvre du CERC selon des modalités conformes à l’Accord de Financement, notamment la Section I.F. de son Annexe 2, de manière acceptable pour l’Association, conformément à des pratiques administratives et techniques appropriées. </w:t>
      </w:r>
    </w:p>
    <w:p w14:paraId="7ED2E79E" w14:textId="0A62B002" w:rsidR="009868E6" w:rsidRPr="00854ACA" w:rsidRDefault="009868E6" w:rsidP="009868E6">
      <w:pPr>
        <w:rPr>
          <w:rFonts w:cs="Times New Roman"/>
          <w:color w:val="auto"/>
        </w:rPr>
      </w:pPr>
      <w:r w:rsidRPr="00854ACA">
        <w:rPr>
          <w:rFonts w:cs="Times New Roman"/>
          <w:color w:val="auto"/>
        </w:rPr>
        <w:t xml:space="preserve">A cette fin, le Gouvernement fera en sorte, et aura vis-à-vis de l’Association la responsabilité de faire en sorte, que l’APMF se conforme : (1) au Manuel du CERC et au présent Plan d’Action ; (2) aux dispositions des Normes Environnementales et Sociales et instruments liés, </w:t>
      </w:r>
      <w:r w:rsidRPr="00854ACA">
        <w:rPr>
          <w:rFonts w:cs="Times New Roman"/>
          <w:color w:val="auto"/>
        </w:rPr>
        <w:lastRenderedPageBreak/>
        <w:t xml:space="preserve">applicables au Projet ; (3) aux Directives anti-corruption, en tant qu’entités bénéficiant des fonds de l’Association, et notamment, obligeant lesdites entités à prendre les mesures nécessaires pour prévenir et signaler des allégations de fraude et de corruption, et éventuellement visant à permettre à l’Association d’exercer pleinement ses droits d’inspection et d’audit sur les sites et archives concernés par les activités du CERC ; (4) à toutes les exigences fixées par l’UCP </w:t>
      </w:r>
      <w:r w:rsidR="00A641F6">
        <w:rPr>
          <w:rFonts w:cs="Times New Roman"/>
          <w:color w:val="auto"/>
        </w:rPr>
        <w:t>CERC PCMCI</w:t>
      </w:r>
      <w:r w:rsidRPr="00854ACA">
        <w:rPr>
          <w:rFonts w:cs="Times New Roman"/>
          <w:color w:val="auto"/>
        </w:rPr>
        <w:t xml:space="preserve"> conformément à l’Accord de Financement et au Manuel du CERC de fournir toute information et rapports réguliers sur l’utilisation des fonds IDA et les progrès réalisés dans la mise en œuvre de leurs activités respectives dans le cadre du CERC ; et (5) à l’obligation d’utiliser les fonds provenant de l’IDA pour les objectifs prévus, conformément à l’Accord de Financement et aux Conditions Générales, telles que définies dans ledit Accord, et à défaut de s’y conformer, de se voir obligés de restituer lesdits fonds et/ou voir cesser les activités d’urgence futures dans le cadre du CERC conformément à l’Accord de Financement.   </w:t>
      </w:r>
    </w:p>
    <w:p w14:paraId="592E7DD1" w14:textId="2A50F4FA" w:rsidR="00575CDF" w:rsidRPr="00C801A6" w:rsidRDefault="00575CDF" w:rsidP="00575CDF">
      <w:pPr>
        <w:rPr>
          <w:rFonts w:cs="Times New Roman"/>
          <w:color w:val="auto"/>
        </w:rPr>
      </w:pPr>
      <w:r w:rsidRPr="00C801A6">
        <w:rPr>
          <w:rFonts w:cs="Times New Roman"/>
          <w:color w:val="auto"/>
        </w:rPr>
        <w:t>Les attributions des diverses parties, dont les implications de certaines sont conditionnées par le résultat du screening, sont résumées dans le tableau suivant :</w:t>
      </w:r>
    </w:p>
    <w:p w14:paraId="679D985C" w14:textId="6D8D1F4A" w:rsidR="00575CDF" w:rsidRPr="00C801A6" w:rsidRDefault="00575CDF" w:rsidP="003609CC">
      <w:pPr>
        <w:pStyle w:val="Caption"/>
        <w:rPr>
          <w:color w:val="auto"/>
        </w:rPr>
      </w:pPr>
      <w:bookmarkStart w:id="552" w:name="_Toc230427740"/>
      <w:r w:rsidRPr="00C801A6">
        <w:rPr>
          <w:color w:val="auto"/>
        </w:rPr>
        <w:t xml:space="preserve">Tableau </w:t>
      </w:r>
      <w:r w:rsidRPr="00C801A6">
        <w:rPr>
          <w:color w:val="auto"/>
        </w:rPr>
        <w:fldChar w:fldCharType="begin"/>
      </w:r>
      <w:r w:rsidRPr="00C801A6">
        <w:rPr>
          <w:color w:val="auto"/>
        </w:rPr>
        <w:instrText>SEQ Tableau \* ARABIC</w:instrText>
      </w:r>
      <w:r w:rsidRPr="00C801A6">
        <w:rPr>
          <w:color w:val="auto"/>
        </w:rPr>
        <w:fldChar w:fldCharType="separate"/>
      </w:r>
      <w:r w:rsidR="00253F1A">
        <w:rPr>
          <w:noProof/>
          <w:color w:val="auto"/>
        </w:rPr>
        <w:t>20</w:t>
      </w:r>
      <w:r w:rsidRPr="00C801A6">
        <w:rPr>
          <w:color w:val="auto"/>
        </w:rPr>
        <w:fldChar w:fldCharType="end"/>
      </w:r>
      <w:r w:rsidRPr="00C801A6">
        <w:rPr>
          <w:color w:val="auto"/>
        </w:rPr>
        <w:t xml:space="preserve"> : Résumé des attributions des institutions concernées par le </w:t>
      </w:r>
      <w:r w:rsidR="00D6045D" w:rsidRPr="00C801A6">
        <w:rPr>
          <w:color w:val="auto"/>
        </w:rPr>
        <w:t>P</w:t>
      </w:r>
      <w:r w:rsidR="00EB2BDF">
        <w:rPr>
          <w:color w:val="auto"/>
        </w:rPr>
        <w:t>CMCI</w:t>
      </w:r>
      <w:bookmarkEnd w:id="552"/>
    </w:p>
    <w:tbl>
      <w:tblPr>
        <w:tblStyle w:val="TableGrid"/>
        <w:tblW w:w="9067" w:type="dxa"/>
        <w:tblLook w:val="04A0" w:firstRow="1" w:lastRow="0" w:firstColumn="1" w:lastColumn="0" w:noHBand="0" w:noVBand="1"/>
      </w:tblPr>
      <w:tblGrid>
        <w:gridCol w:w="2830"/>
        <w:gridCol w:w="6237"/>
      </w:tblGrid>
      <w:tr w:rsidR="00C801A6" w:rsidRPr="00C801A6" w14:paraId="64554D29" w14:textId="77777777" w:rsidTr="00347FDB">
        <w:trPr>
          <w:tblHeader/>
        </w:trPr>
        <w:tc>
          <w:tcPr>
            <w:tcW w:w="2830" w:type="dxa"/>
            <w:shd w:val="clear" w:color="auto" w:fill="E2EFD9" w:themeFill="accent6" w:themeFillTint="33"/>
          </w:tcPr>
          <w:p w14:paraId="23EAEEAB" w14:textId="77777777" w:rsidR="00575CDF" w:rsidRPr="00C801A6" w:rsidRDefault="00575CDF" w:rsidP="00347FDB">
            <w:pPr>
              <w:spacing w:before="40" w:after="40" w:line="264" w:lineRule="auto"/>
              <w:jc w:val="left"/>
              <w:rPr>
                <w:rFonts w:cs="Times New Roman"/>
                <w:b/>
                <w:bCs/>
                <w:color w:val="auto"/>
                <w:sz w:val="22"/>
              </w:rPr>
            </w:pPr>
            <w:r w:rsidRPr="00C801A6">
              <w:rPr>
                <w:rFonts w:cs="Times New Roman"/>
                <w:b/>
                <w:bCs/>
                <w:color w:val="auto"/>
                <w:sz w:val="22"/>
              </w:rPr>
              <w:t>Institutions</w:t>
            </w:r>
          </w:p>
        </w:tc>
        <w:tc>
          <w:tcPr>
            <w:tcW w:w="6237" w:type="dxa"/>
            <w:shd w:val="clear" w:color="auto" w:fill="E2EFD9" w:themeFill="accent6" w:themeFillTint="33"/>
          </w:tcPr>
          <w:p w14:paraId="06D2E985" w14:textId="62FACBDD" w:rsidR="00575CDF" w:rsidRPr="00C801A6" w:rsidRDefault="00575CDF" w:rsidP="00347FDB">
            <w:pPr>
              <w:spacing w:before="40" w:after="40" w:line="264" w:lineRule="auto"/>
              <w:jc w:val="left"/>
              <w:rPr>
                <w:rFonts w:cs="Times New Roman"/>
                <w:b/>
                <w:bCs/>
                <w:color w:val="auto"/>
                <w:sz w:val="22"/>
              </w:rPr>
            </w:pPr>
            <w:r w:rsidRPr="00C801A6">
              <w:rPr>
                <w:rFonts w:cs="Times New Roman"/>
                <w:b/>
                <w:bCs/>
                <w:color w:val="auto"/>
                <w:sz w:val="22"/>
              </w:rPr>
              <w:t xml:space="preserve">Rôles dans le </w:t>
            </w:r>
            <w:r w:rsidR="00D6045D" w:rsidRPr="00C801A6">
              <w:rPr>
                <w:rFonts w:cs="Times New Roman"/>
                <w:b/>
                <w:bCs/>
                <w:color w:val="auto"/>
                <w:sz w:val="22"/>
              </w:rPr>
              <w:t>P</w:t>
            </w:r>
            <w:r w:rsidR="00BA1420">
              <w:rPr>
                <w:rFonts w:cs="Times New Roman"/>
                <w:b/>
                <w:bCs/>
                <w:color w:val="auto"/>
                <w:sz w:val="22"/>
              </w:rPr>
              <w:t>CMCI</w:t>
            </w:r>
          </w:p>
        </w:tc>
      </w:tr>
      <w:tr w:rsidR="00C801A6" w:rsidRPr="00C801A6" w14:paraId="77E329F7" w14:textId="77777777" w:rsidTr="00347FDB">
        <w:tc>
          <w:tcPr>
            <w:tcW w:w="9067" w:type="dxa"/>
            <w:gridSpan w:val="2"/>
            <w:shd w:val="clear" w:color="auto" w:fill="F2F2F2" w:themeFill="background1" w:themeFillShade="F2"/>
            <w:vAlign w:val="center"/>
          </w:tcPr>
          <w:p w14:paraId="377E006D" w14:textId="77777777" w:rsidR="00575CDF" w:rsidRPr="00C801A6" w:rsidRDefault="00575CDF" w:rsidP="00347FDB">
            <w:pPr>
              <w:spacing w:before="40" w:after="40" w:line="264" w:lineRule="auto"/>
              <w:jc w:val="left"/>
              <w:rPr>
                <w:rFonts w:cs="Times New Roman"/>
                <w:b/>
                <w:bCs/>
                <w:color w:val="auto"/>
                <w:sz w:val="22"/>
              </w:rPr>
            </w:pPr>
            <w:r w:rsidRPr="00C801A6">
              <w:rPr>
                <w:rFonts w:cs="Times New Roman"/>
                <w:b/>
                <w:bCs/>
                <w:color w:val="auto"/>
                <w:sz w:val="22"/>
              </w:rPr>
              <w:t>Institutions intervenant dans le domaine des travaux publics</w:t>
            </w:r>
          </w:p>
        </w:tc>
      </w:tr>
      <w:tr w:rsidR="00C801A6" w:rsidRPr="00C801A6" w14:paraId="3DC85BBA" w14:textId="77777777" w:rsidTr="00347FDB">
        <w:tc>
          <w:tcPr>
            <w:tcW w:w="2830" w:type="dxa"/>
          </w:tcPr>
          <w:p w14:paraId="60CDD6CC" w14:textId="7C903AA3" w:rsidR="00575CDF" w:rsidRPr="00C801A6" w:rsidRDefault="00575CDF" w:rsidP="00844538">
            <w:pPr>
              <w:pStyle w:val="ListParagraph"/>
              <w:numPr>
                <w:ilvl w:val="0"/>
                <w:numId w:val="9"/>
              </w:numPr>
              <w:spacing w:before="40" w:after="40" w:line="264" w:lineRule="auto"/>
              <w:ind w:left="181" w:hanging="181"/>
              <w:contextualSpacing w:val="0"/>
              <w:jc w:val="left"/>
              <w:rPr>
                <w:rFonts w:cs="Times New Roman"/>
                <w:color w:val="auto"/>
                <w:sz w:val="22"/>
              </w:rPr>
            </w:pPr>
            <w:r w:rsidRPr="00C801A6">
              <w:rPr>
                <w:rFonts w:cs="Times New Roman"/>
                <w:color w:val="auto"/>
                <w:sz w:val="22"/>
              </w:rPr>
              <w:t>Ministère en charge</w:t>
            </w:r>
            <w:r w:rsidR="003349AF" w:rsidRPr="00C801A6">
              <w:rPr>
                <w:rFonts w:cs="Times New Roman"/>
                <w:color w:val="auto"/>
                <w:sz w:val="22"/>
              </w:rPr>
              <w:t xml:space="preserve"> </w:t>
            </w:r>
            <w:r w:rsidRPr="00C801A6">
              <w:rPr>
                <w:rFonts w:cs="Times New Roman"/>
                <w:color w:val="auto"/>
                <w:sz w:val="22"/>
              </w:rPr>
              <w:t>des Travaux Publics (</w:t>
            </w:r>
            <w:r w:rsidR="001F446C" w:rsidRPr="00C801A6">
              <w:rPr>
                <w:rFonts w:cs="Times New Roman"/>
                <w:color w:val="auto"/>
                <w:sz w:val="22"/>
              </w:rPr>
              <w:t>MTP</w:t>
            </w:r>
            <w:r w:rsidRPr="00C801A6">
              <w:rPr>
                <w:rFonts w:cs="Times New Roman"/>
                <w:color w:val="auto"/>
                <w:sz w:val="22"/>
              </w:rPr>
              <w:t>)</w:t>
            </w:r>
          </w:p>
        </w:tc>
        <w:tc>
          <w:tcPr>
            <w:tcW w:w="6237" w:type="dxa"/>
          </w:tcPr>
          <w:p w14:paraId="53B649DE" w14:textId="77777777" w:rsidR="00575CDF" w:rsidRPr="00C801A6" w:rsidRDefault="00575CDF" w:rsidP="00844538">
            <w:pPr>
              <w:pStyle w:val="ListParagraph"/>
              <w:numPr>
                <w:ilvl w:val="0"/>
                <w:numId w:val="9"/>
              </w:numPr>
              <w:spacing w:before="40" w:after="40" w:line="264" w:lineRule="auto"/>
              <w:ind w:left="181" w:hanging="181"/>
              <w:contextualSpacing w:val="0"/>
              <w:jc w:val="left"/>
              <w:rPr>
                <w:rFonts w:cs="Times New Roman"/>
                <w:color w:val="auto"/>
                <w:sz w:val="22"/>
              </w:rPr>
            </w:pPr>
            <w:r w:rsidRPr="00C801A6">
              <w:rPr>
                <w:rFonts w:cs="Times New Roman"/>
                <w:color w:val="auto"/>
                <w:sz w:val="22"/>
              </w:rPr>
              <w:t xml:space="preserve">Maîtrise d’ouvrage de l’entretien des routes relevant du réseau des routes nationales </w:t>
            </w:r>
          </w:p>
          <w:p w14:paraId="133CA9DC" w14:textId="44E73802" w:rsidR="00575CDF" w:rsidRPr="00C801A6" w:rsidRDefault="00575CDF" w:rsidP="00844538">
            <w:pPr>
              <w:pStyle w:val="ListParagraph"/>
              <w:numPr>
                <w:ilvl w:val="0"/>
                <w:numId w:val="9"/>
              </w:numPr>
              <w:spacing w:before="40" w:after="40" w:line="264" w:lineRule="auto"/>
              <w:ind w:left="181" w:hanging="181"/>
              <w:contextualSpacing w:val="0"/>
              <w:jc w:val="left"/>
              <w:rPr>
                <w:rFonts w:cs="Times New Roman"/>
                <w:color w:val="auto"/>
                <w:sz w:val="22"/>
              </w:rPr>
            </w:pPr>
            <w:r w:rsidRPr="00C801A6">
              <w:rPr>
                <w:rFonts w:cs="Times New Roman"/>
                <w:color w:val="auto"/>
                <w:sz w:val="22"/>
              </w:rPr>
              <w:t xml:space="preserve">Assure l’exécution générale du </w:t>
            </w:r>
            <w:r w:rsidR="00B57718">
              <w:rPr>
                <w:rFonts w:cs="Times New Roman"/>
                <w:color w:val="auto"/>
                <w:sz w:val="22"/>
              </w:rPr>
              <w:t>sous-</w:t>
            </w:r>
            <w:r w:rsidRPr="00C801A6">
              <w:rPr>
                <w:rFonts w:cs="Times New Roman"/>
                <w:color w:val="auto"/>
                <w:sz w:val="22"/>
              </w:rPr>
              <w:t>projet</w:t>
            </w:r>
            <w:r w:rsidR="00B57718">
              <w:rPr>
                <w:rFonts w:cs="Times New Roman"/>
                <w:color w:val="auto"/>
                <w:sz w:val="22"/>
              </w:rPr>
              <w:t xml:space="preserve"> routier</w:t>
            </w:r>
          </w:p>
          <w:p w14:paraId="194D1918" w14:textId="77777777" w:rsidR="00575CDF" w:rsidRPr="00C801A6" w:rsidRDefault="00575CDF" w:rsidP="00844538">
            <w:pPr>
              <w:pStyle w:val="ListParagraph"/>
              <w:numPr>
                <w:ilvl w:val="0"/>
                <w:numId w:val="9"/>
              </w:numPr>
              <w:spacing w:before="40" w:after="40" w:line="264" w:lineRule="auto"/>
              <w:ind w:left="181" w:hanging="181"/>
              <w:contextualSpacing w:val="0"/>
              <w:jc w:val="left"/>
              <w:rPr>
                <w:rFonts w:cs="Times New Roman"/>
                <w:color w:val="auto"/>
                <w:sz w:val="22"/>
              </w:rPr>
            </w:pPr>
            <w:r w:rsidRPr="00C801A6">
              <w:rPr>
                <w:rFonts w:cs="Times New Roman"/>
                <w:color w:val="auto"/>
                <w:sz w:val="22"/>
              </w:rPr>
              <w:t xml:space="preserve">Assure la tutelle technique </w:t>
            </w:r>
          </w:p>
        </w:tc>
      </w:tr>
      <w:tr w:rsidR="00B57718" w:rsidRPr="00C801A6" w14:paraId="2D2F638D" w14:textId="77777777" w:rsidTr="00347FDB">
        <w:tc>
          <w:tcPr>
            <w:tcW w:w="2830" w:type="dxa"/>
          </w:tcPr>
          <w:p w14:paraId="5D053D3F" w14:textId="21779C29" w:rsidR="00B57718" w:rsidRPr="00C801A6" w:rsidRDefault="00B57718" w:rsidP="00844538">
            <w:pPr>
              <w:pStyle w:val="ListParagraph"/>
              <w:numPr>
                <w:ilvl w:val="0"/>
                <w:numId w:val="9"/>
              </w:numPr>
              <w:spacing w:before="40" w:after="40" w:line="264" w:lineRule="auto"/>
              <w:ind w:left="181" w:hanging="181"/>
              <w:contextualSpacing w:val="0"/>
              <w:jc w:val="left"/>
              <w:rPr>
                <w:rFonts w:cs="Times New Roman"/>
                <w:color w:val="auto"/>
                <w:sz w:val="22"/>
              </w:rPr>
            </w:pPr>
            <w:r>
              <w:rPr>
                <w:rFonts w:cs="Times New Roman"/>
                <w:color w:val="auto"/>
                <w:sz w:val="22"/>
              </w:rPr>
              <w:t>Ministère en charge du Transport</w:t>
            </w:r>
            <w:r w:rsidR="00BA1420">
              <w:rPr>
                <w:rFonts w:cs="Times New Roman"/>
                <w:color w:val="auto"/>
                <w:sz w:val="22"/>
              </w:rPr>
              <w:t xml:space="preserve"> et de la météorologie (MTM)</w:t>
            </w:r>
          </w:p>
        </w:tc>
        <w:tc>
          <w:tcPr>
            <w:tcW w:w="6237" w:type="dxa"/>
          </w:tcPr>
          <w:p w14:paraId="626E82F2" w14:textId="2A9A68A2" w:rsidR="00B57718" w:rsidRPr="00C801A6" w:rsidRDefault="00B57718" w:rsidP="00844538">
            <w:pPr>
              <w:pStyle w:val="ListParagraph"/>
              <w:numPr>
                <w:ilvl w:val="0"/>
                <w:numId w:val="9"/>
              </w:numPr>
              <w:spacing w:before="40" w:after="40" w:line="264" w:lineRule="auto"/>
              <w:ind w:left="181" w:hanging="181"/>
              <w:contextualSpacing w:val="0"/>
              <w:jc w:val="left"/>
              <w:rPr>
                <w:rFonts w:cs="Times New Roman"/>
                <w:color w:val="auto"/>
                <w:sz w:val="22"/>
              </w:rPr>
            </w:pPr>
            <w:r w:rsidRPr="00C801A6">
              <w:rPr>
                <w:rFonts w:cs="Times New Roman"/>
                <w:color w:val="auto"/>
                <w:sz w:val="22"/>
              </w:rPr>
              <w:t>Maîtrise d’ouvrage de l’entretien d</w:t>
            </w:r>
            <w:r>
              <w:rPr>
                <w:rFonts w:cs="Times New Roman"/>
                <w:color w:val="auto"/>
                <w:sz w:val="22"/>
              </w:rPr>
              <w:t>es Ports</w:t>
            </w:r>
            <w:r w:rsidRPr="00C801A6">
              <w:rPr>
                <w:rFonts w:cs="Times New Roman"/>
                <w:color w:val="auto"/>
                <w:sz w:val="22"/>
              </w:rPr>
              <w:t xml:space="preserve"> </w:t>
            </w:r>
          </w:p>
          <w:p w14:paraId="44A27726" w14:textId="309D5DBD" w:rsidR="00B57718" w:rsidRPr="00C801A6" w:rsidRDefault="00B57718" w:rsidP="00844538">
            <w:pPr>
              <w:pStyle w:val="ListParagraph"/>
              <w:numPr>
                <w:ilvl w:val="0"/>
                <w:numId w:val="9"/>
              </w:numPr>
              <w:spacing w:before="40" w:after="40" w:line="264" w:lineRule="auto"/>
              <w:ind w:left="181" w:hanging="181"/>
              <w:contextualSpacing w:val="0"/>
              <w:jc w:val="left"/>
              <w:rPr>
                <w:rFonts w:cs="Times New Roman"/>
                <w:color w:val="auto"/>
                <w:sz w:val="22"/>
              </w:rPr>
            </w:pPr>
            <w:r w:rsidRPr="00C801A6">
              <w:rPr>
                <w:rFonts w:cs="Times New Roman"/>
                <w:color w:val="auto"/>
                <w:sz w:val="22"/>
              </w:rPr>
              <w:t xml:space="preserve">Assure l’exécution générale du </w:t>
            </w:r>
            <w:r>
              <w:rPr>
                <w:rFonts w:cs="Times New Roman"/>
                <w:color w:val="auto"/>
                <w:sz w:val="22"/>
              </w:rPr>
              <w:t>sous-</w:t>
            </w:r>
            <w:r w:rsidRPr="00C801A6">
              <w:rPr>
                <w:rFonts w:cs="Times New Roman"/>
                <w:color w:val="auto"/>
                <w:sz w:val="22"/>
              </w:rPr>
              <w:t>projet</w:t>
            </w:r>
            <w:r>
              <w:rPr>
                <w:rFonts w:cs="Times New Roman"/>
                <w:color w:val="auto"/>
                <w:sz w:val="22"/>
              </w:rPr>
              <w:t xml:space="preserve"> routier</w:t>
            </w:r>
            <w:r w:rsidR="00BA1420">
              <w:rPr>
                <w:rFonts w:cs="Times New Roman"/>
                <w:color w:val="auto"/>
                <w:sz w:val="22"/>
              </w:rPr>
              <w:t xml:space="preserve"> portuaire</w:t>
            </w:r>
          </w:p>
          <w:p w14:paraId="1206499B" w14:textId="77777777" w:rsidR="00B57718" w:rsidRDefault="00B57718" w:rsidP="00844538">
            <w:pPr>
              <w:pStyle w:val="ListParagraph"/>
              <w:numPr>
                <w:ilvl w:val="0"/>
                <w:numId w:val="9"/>
              </w:numPr>
              <w:spacing w:before="40" w:after="40" w:line="264" w:lineRule="auto"/>
              <w:ind w:left="181" w:hanging="181"/>
              <w:contextualSpacing w:val="0"/>
              <w:jc w:val="left"/>
              <w:rPr>
                <w:rFonts w:cs="Times New Roman"/>
                <w:color w:val="auto"/>
                <w:sz w:val="22"/>
              </w:rPr>
            </w:pPr>
            <w:r w:rsidRPr="00C801A6">
              <w:rPr>
                <w:rFonts w:cs="Times New Roman"/>
                <w:color w:val="auto"/>
                <w:sz w:val="22"/>
              </w:rPr>
              <w:t>Assure la tutelle technique</w:t>
            </w:r>
          </w:p>
          <w:p w14:paraId="2D0B7FB7" w14:textId="12F66827" w:rsidR="00BA1420" w:rsidRPr="00C801A6" w:rsidRDefault="00BA1420" w:rsidP="00BA1420">
            <w:pPr>
              <w:pStyle w:val="ListParagraph"/>
              <w:spacing w:before="40" w:after="40" w:line="264" w:lineRule="auto"/>
              <w:ind w:left="181"/>
              <w:contextualSpacing w:val="0"/>
              <w:jc w:val="left"/>
              <w:rPr>
                <w:rFonts w:cs="Times New Roman"/>
                <w:color w:val="auto"/>
                <w:sz w:val="22"/>
              </w:rPr>
            </w:pPr>
          </w:p>
        </w:tc>
      </w:tr>
      <w:tr w:rsidR="00C801A6" w:rsidRPr="00C801A6" w14:paraId="74E6451E" w14:textId="77777777" w:rsidTr="00347FDB">
        <w:trPr>
          <w:trHeight w:val="1680"/>
        </w:trPr>
        <w:tc>
          <w:tcPr>
            <w:tcW w:w="2830" w:type="dxa"/>
          </w:tcPr>
          <w:p w14:paraId="4A73B647" w14:textId="77777777" w:rsidR="00575CDF" w:rsidRPr="00C801A6" w:rsidRDefault="00575CDF" w:rsidP="00844538">
            <w:pPr>
              <w:pStyle w:val="ListParagraph"/>
              <w:numPr>
                <w:ilvl w:val="0"/>
                <w:numId w:val="9"/>
              </w:numPr>
              <w:spacing w:before="40" w:after="40" w:line="264" w:lineRule="auto"/>
              <w:ind w:left="181" w:hanging="181"/>
              <w:contextualSpacing w:val="0"/>
              <w:jc w:val="left"/>
              <w:rPr>
                <w:rFonts w:cs="Times New Roman"/>
                <w:color w:val="auto"/>
                <w:sz w:val="22"/>
              </w:rPr>
            </w:pPr>
            <w:r w:rsidRPr="00C801A6">
              <w:rPr>
                <w:rFonts w:cs="Times New Roman"/>
                <w:color w:val="auto"/>
                <w:sz w:val="22"/>
              </w:rPr>
              <w:t>Direction Générale des Travaux Publics (DGTP)</w:t>
            </w:r>
          </w:p>
          <w:p w14:paraId="5424951D" w14:textId="77777777" w:rsidR="00575CDF" w:rsidRPr="00C801A6" w:rsidRDefault="00575CDF" w:rsidP="00844538">
            <w:pPr>
              <w:pStyle w:val="ListParagraph"/>
              <w:numPr>
                <w:ilvl w:val="0"/>
                <w:numId w:val="9"/>
              </w:numPr>
              <w:spacing w:before="40" w:after="40" w:line="264" w:lineRule="auto"/>
              <w:ind w:left="181" w:hanging="181"/>
              <w:contextualSpacing w:val="0"/>
              <w:jc w:val="left"/>
              <w:rPr>
                <w:rFonts w:cs="Times New Roman"/>
                <w:color w:val="auto"/>
                <w:sz w:val="22"/>
              </w:rPr>
            </w:pPr>
            <w:r w:rsidRPr="00C801A6">
              <w:rPr>
                <w:rFonts w:cs="Times New Roman"/>
                <w:color w:val="auto"/>
                <w:sz w:val="22"/>
              </w:rPr>
              <w:t>Direction des Infrastructures (DINFRA)</w:t>
            </w:r>
          </w:p>
          <w:p w14:paraId="1A7952C7" w14:textId="77777777" w:rsidR="00575CDF" w:rsidRPr="00C801A6" w:rsidRDefault="00575CDF" w:rsidP="00844538">
            <w:pPr>
              <w:pStyle w:val="ListParagraph"/>
              <w:numPr>
                <w:ilvl w:val="0"/>
                <w:numId w:val="9"/>
              </w:numPr>
              <w:spacing w:before="40" w:after="40" w:line="264" w:lineRule="auto"/>
              <w:ind w:left="181" w:hanging="181"/>
              <w:contextualSpacing w:val="0"/>
              <w:jc w:val="left"/>
              <w:rPr>
                <w:rFonts w:cs="Times New Roman"/>
                <w:color w:val="auto"/>
                <w:sz w:val="22"/>
              </w:rPr>
            </w:pPr>
            <w:r w:rsidRPr="00C801A6">
              <w:rPr>
                <w:rFonts w:cs="Times New Roman"/>
                <w:color w:val="auto"/>
                <w:sz w:val="22"/>
              </w:rPr>
              <w:t>Direction Environnementale</w:t>
            </w:r>
          </w:p>
        </w:tc>
        <w:tc>
          <w:tcPr>
            <w:tcW w:w="6237" w:type="dxa"/>
          </w:tcPr>
          <w:p w14:paraId="3B695C95" w14:textId="2251D8DB" w:rsidR="00575CDF" w:rsidRPr="00C801A6" w:rsidRDefault="00575CDF" w:rsidP="00844538">
            <w:pPr>
              <w:pStyle w:val="ListParagraph"/>
              <w:numPr>
                <w:ilvl w:val="0"/>
                <w:numId w:val="9"/>
              </w:numPr>
              <w:spacing w:before="40" w:after="40" w:line="264" w:lineRule="auto"/>
              <w:ind w:left="181" w:hanging="181"/>
              <w:contextualSpacing w:val="0"/>
              <w:jc w:val="left"/>
              <w:rPr>
                <w:rFonts w:cs="Times New Roman"/>
                <w:color w:val="auto"/>
                <w:sz w:val="22"/>
              </w:rPr>
            </w:pPr>
            <w:r w:rsidRPr="00C801A6">
              <w:rPr>
                <w:rFonts w:cs="Times New Roman"/>
                <w:color w:val="auto"/>
                <w:sz w:val="22"/>
              </w:rPr>
              <w:t xml:space="preserve">Responsable des directives et des conseils concernant la direction politique globale, la coordination et l’exécution du </w:t>
            </w:r>
            <w:r w:rsidR="00B57718">
              <w:rPr>
                <w:rFonts w:cs="Times New Roman"/>
                <w:color w:val="auto"/>
                <w:sz w:val="22"/>
              </w:rPr>
              <w:t>sous-</w:t>
            </w:r>
            <w:r w:rsidRPr="00C801A6">
              <w:rPr>
                <w:rFonts w:cs="Times New Roman"/>
                <w:color w:val="auto"/>
                <w:sz w:val="22"/>
              </w:rPr>
              <w:t>proje</w:t>
            </w:r>
            <w:r w:rsidR="00BA1420">
              <w:rPr>
                <w:rFonts w:cs="Times New Roman"/>
                <w:color w:val="auto"/>
                <w:sz w:val="22"/>
              </w:rPr>
              <w:t>t</w:t>
            </w:r>
          </w:p>
          <w:p w14:paraId="5411941F" w14:textId="77777777" w:rsidR="00575CDF" w:rsidRPr="00C801A6" w:rsidRDefault="00575CDF" w:rsidP="00844538">
            <w:pPr>
              <w:pStyle w:val="ListParagraph"/>
              <w:numPr>
                <w:ilvl w:val="0"/>
                <w:numId w:val="9"/>
              </w:numPr>
              <w:spacing w:before="40" w:after="40" w:line="264" w:lineRule="auto"/>
              <w:ind w:left="181" w:hanging="181"/>
              <w:contextualSpacing w:val="0"/>
              <w:jc w:val="left"/>
              <w:rPr>
                <w:rFonts w:cs="Times New Roman"/>
                <w:color w:val="auto"/>
                <w:sz w:val="22"/>
              </w:rPr>
            </w:pPr>
            <w:r w:rsidRPr="00C801A6">
              <w:rPr>
                <w:rFonts w:cs="Times New Roman"/>
                <w:color w:val="auto"/>
                <w:sz w:val="22"/>
              </w:rPr>
              <w:t>Assurent la gestion du Patrimoine routier</w:t>
            </w:r>
          </w:p>
          <w:p w14:paraId="416C5ADA" w14:textId="63F308CF" w:rsidR="00575CDF" w:rsidRPr="00C801A6" w:rsidRDefault="00575CDF" w:rsidP="00844538">
            <w:pPr>
              <w:pStyle w:val="ListParagraph"/>
              <w:numPr>
                <w:ilvl w:val="0"/>
                <w:numId w:val="9"/>
              </w:numPr>
              <w:spacing w:before="40" w:after="40" w:line="264" w:lineRule="auto"/>
              <w:ind w:left="181" w:hanging="181"/>
              <w:contextualSpacing w:val="0"/>
              <w:jc w:val="left"/>
              <w:rPr>
                <w:rFonts w:cs="Times New Roman"/>
                <w:color w:val="auto"/>
                <w:sz w:val="22"/>
              </w:rPr>
            </w:pPr>
            <w:r w:rsidRPr="00C801A6">
              <w:rPr>
                <w:rFonts w:cs="Times New Roman"/>
                <w:color w:val="auto"/>
                <w:sz w:val="22"/>
              </w:rPr>
              <w:t xml:space="preserve">Assurent le contrôle et le suivi du respect des normes techniques et environnementales dans la mise en œuvre du </w:t>
            </w:r>
            <w:r w:rsidR="00B57718">
              <w:rPr>
                <w:rFonts w:cs="Times New Roman"/>
                <w:color w:val="auto"/>
                <w:sz w:val="22"/>
              </w:rPr>
              <w:t>sous-</w:t>
            </w:r>
            <w:r w:rsidRPr="00C801A6">
              <w:rPr>
                <w:rFonts w:cs="Times New Roman"/>
                <w:color w:val="auto"/>
                <w:sz w:val="22"/>
              </w:rPr>
              <w:t xml:space="preserve">projet </w:t>
            </w:r>
          </w:p>
        </w:tc>
      </w:tr>
      <w:tr w:rsidR="00C801A6" w:rsidRPr="00C801A6" w14:paraId="09B74728" w14:textId="77777777" w:rsidTr="00347FDB">
        <w:tc>
          <w:tcPr>
            <w:tcW w:w="2830" w:type="dxa"/>
          </w:tcPr>
          <w:p w14:paraId="40F68DA1" w14:textId="77777777" w:rsidR="00575CDF" w:rsidRPr="00C801A6" w:rsidRDefault="00575CDF" w:rsidP="00844538">
            <w:pPr>
              <w:pStyle w:val="ListParagraph"/>
              <w:numPr>
                <w:ilvl w:val="0"/>
                <w:numId w:val="9"/>
              </w:numPr>
              <w:spacing w:before="40" w:after="40" w:line="264" w:lineRule="auto"/>
              <w:ind w:left="181" w:hanging="181"/>
              <w:contextualSpacing w:val="0"/>
              <w:jc w:val="left"/>
              <w:rPr>
                <w:rFonts w:cs="Times New Roman"/>
                <w:color w:val="auto"/>
                <w:sz w:val="22"/>
              </w:rPr>
            </w:pPr>
            <w:r w:rsidRPr="00C801A6">
              <w:rPr>
                <w:rFonts w:cs="Times New Roman"/>
                <w:color w:val="auto"/>
                <w:sz w:val="22"/>
              </w:rPr>
              <w:t>Agence routière (AR)</w:t>
            </w:r>
          </w:p>
        </w:tc>
        <w:tc>
          <w:tcPr>
            <w:tcW w:w="6237" w:type="dxa"/>
          </w:tcPr>
          <w:p w14:paraId="4DA42B89" w14:textId="77777777" w:rsidR="00575CDF" w:rsidRPr="00C801A6" w:rsidRDefault="00575CDF" w:rsidP="00347FDB">
            <w:pPr>
              <w:spacing w:before="40" w:after="40" w:line="264" w:lineRule="auto"/>
              <w:ind w:left="181" w:hanging="181"/>
              <w:jc w:val="left"/>
              <w:rPr>
                <w:rFonts w:cs="Times New Roman"/>
                <w:color w:val="auto"/>
                <w:sz w:val="22"/>
              </w:rPr>
            </w:pPr>
            <w:r w:rsidRPr="00C801A6">
              <w:rPr>
                <w:rFonts w:cs="Times New Roman"/>
                <w:color w:val="auto"/>
                <w:sz w:val="22"/>
              </w:rPr>
              <w:t>– Maître d’ouvrage délégué</w:t>
            </w:r>
          </w:p>
          <w:p w14:paraId="2E26FCA4" w14:textId="77777777" w:rsidR="00575CDF" w:rsidRPr="00C801A6" w:rsidRDefault="00575CDF" w:rsidP="00347FDB">
            <w:pPr>
              <w:spacing w:before="40" w:after="40" w:line="264" w:lineRule="auto"/>
              <w:ind w:left="181" w:hanging="181"/>
              <w:jc w:val="left"/>
              <w:rPr>
                <w:rFonts w:cs="Times New Roman"/>
                <w:color w:val="auto"/>
                <w:sz w:val="22"/>
              </w:rPr>
            </w:pPr>
            <w:r w:rsidRPr="00C801A6">
              <w:rPr>
                <w:rFonts w:cs="Times New Roman"/>
                <w:color w:val="auto"/>
                <w:sz w:val="22"/>
              </w:rPr>
              <w:t>– Organe de gestion, de mise en œuvre et d’exécution technique du Projet</w:t>
            </w:r>
          </w:p>
          <w:p w14:paraId="28B6D933" w14:textId="6317F452" w:rsidR="00575CDF" w:rsidRPr="00C801A6" w:rsidRDefault="00575CDF" w:rsidP="00347FDB">
            <w:pPr>
              <w:spacing w:before="40" w:after="40" w:line="264" w:lineRule="auto"/>
              <w:ind w:left="181" w:hanging="181"/>
              <w:jc w:val="left"/>
              <w:rPr>
                <w:rFonts w:cs="Times New Roman"/>
                <w:color w:val="auto"/>
                <w:sz w:val="22"/>
              </w:rPr>
            </w:pPr>
            <w:r w:rsidRPr="00C801A6">
              <w:rPr>
                <w:rFonts w:cs="Times New Roman"/>
                <w:color w:val="auto"/>
                <w:sz w:val="22"/>
              </w:rPr>
              <w:t xml:space="preserve">– Agence d’exécution du projet au sein de laquelle </w:t>
            </w:r>
            <w:r w:rsidR="00667BEA" w:rsidRPr="00C801A6">
              <w:rPr>
                <w:rFonts w:cs="Times New Roman"/>
                <w:color w:val="auto"/>
                <w:sz w:val="22"/>
              </w:rPr>
              <w:t>est</w:t>
            </w:r>
            <w:r w:rsidRPr="00C801A6">
              <w:rPr>
                <w:rFonts w:cs="Times New Roman"/>
                <w:color w:val="auto"/>
                <w:sz w:val="22"/>
              </w:rPr>
              <w:t xml:space="preserve"> instituée une Unité de gestion du projet (UGP), qui a la charge de la coordination générale du projet </w:t>
            </w:r>
          </w:p>
        </w:tc>
      </w:tr>
      <w:tr w:rsidR="00854ACA" w:rsidRPr="00C801A6" w14:paraId="23E21E66" w14:textId="77777777" w:rsidTr="00347FDB">
        <w:tc>
          <w:tcPr>
            <w:tcW w:w="2830" w:type="dxa"/>
          </w:tcPr>
          <w:p w14:paraId="2082F33A" w14:textId="0706EC29" w:rsidR="00854ACA" w:rsidRPr="00C801A6" w:rsidRDefault="00854ACA" w:rsidP="00844538">
            <w:pPr>
              <w:pStyle w:val="ListParagraph"/>
              <w:numPr>
                <w:ilvl w:val="0"/>
                <w:numId w:val="9"/>
              </w:numPr>
              <w:spacing w:before="40" w:after="40" w:line="264" w:lineRule="auto"/>
              <w:ind w:left="181" w:hanging="181"/>
              <w:contextualSpacing w:val="0"/>
              <w:jc w:val="left"/>
              <w:rPr>
                <w:rFonts w:cs="Times New Roman"/>
                <w:color w:val="auto"/>
                <w:sz w:val="22"/>
                <w:lang w:eastAsia="en-US"/>
              </w:rPr>
            </w:pPr>
            <w:r w:rsidRPr="00854ACA">
              <w:rPr>
                <w:rFonts w:cs="Times New Roman"/>
                <w:color w:val="auto"/>
                <w:sz w:val="22"/>
                <w:lang w:eastAsia="en-US"/>
              </w:rPr>
              <w:t>UCP/</w:t>
            </w:r>
            <w:r w:rsidR="00774F8B">
              <w:rPr>
                <w:rFonts w:cs="Times New Roman"/>
                <w:color w:val="auto"/>
                <w:sz w:val="22"/>
                <w:lang w:eastAsia="en-US"/>
              </w:rPr>
              <w:t>CERC PCMCI</w:t>
            </w:r>
          </w:p>
        </w:tc>
        <w:tc>
          <w:tcPr>
            <w:tcW w:w="6237" w:type="dxa"/>
          </w:tcPr>
          <w:p w14:paraId="72D7392F" w14:textId="77777777" w:rsidR="00854ACA" w:rsidRPr="00854ACA" w:rsidRDefault="00854ACA" w:rsidP="00854ACA">
            <w:pPr>
              <w:spacing w:before="40" w:after="40" w:line="264" w:lineRule="auto"/>
              <w:ind w:left="181" w:hanging="181"/>
              <w:jc w:val="left"/>
              <w:rPr>
                <w:rFonts w:cs="Times New Roman"/>
                <w:color w:val="auto"/>
                <w:sz w:val="22"/>
              </w:rPr>
            </w:pPr>
            <w:r w:rsidRPr="00854ACA">
              <w:rPr>
                <w:rFonts w:cs="Times New Roman"/>
                <w:color w:val="auto"/>
                <w:sz w:val="22"/>
              </w:rPr>
              <w:t>Maître d’ouvrage délégué pour la composante CERC du projet PCMCI</w:t>
            </w:r>
          </w:p>
          <w:p w14:paraId="5AB9C5B2" w14:textId="45B9C5BF" w:rsidR="00854ACA" w:rsidRPr="00C801A6" w:rsidRDefault="00854ACA" w:rsidP="00854ACA">
            <w:pPr>
              <w:spacing w:before="40" w:after="40" w:line="264" w:lineRule="auto"/>
              <w:ind w:left="181" w:hanging="181"/>
              <w:jc w:val="left"/>
              <w:rPr>
                <w:rFonts w:cs="Times New Roman"/>
                <w:color w:val="auto"/>
                <w:sz w:val="22"/>
              </w:rPr>
            </w:pPr>
            <w:r w:rsidRPr="00854ACA">
              <w:rPr>
                <w:rFonts w:cs="Times New Roman"/>
                <w:color w:val="auto"/>
                <w:sz w:val="22"/>
              </w:rPr>
              <w:lastRenderedPageBreak/>
              <w:t>– Organe de gestion, de mise en œuvre et d’exécution technique, environnementale et sociale du PCMCI/CERC</w:t>
            </w:r>
          </w:p>
        </w:tc>
      </w:tr>
      <w:tr w:rsidR="00854ACA" w:rsidRPr="00C801A6" w14:paraId="6C149147" w14:textId="77777777" w:rsidTr="00347FDB">
        <w:tc>
          <w:tcPr>
            <w:tcW w:w="2830" w:type="dxa"/>
          </w:tcPr>
          <w:p w14:paraId="573183E6" w14:textId="77777777" w:rsidR="00854ACA" w:rsidRPr="00C801A6" w:rsidRDefault="00854ACA" w:rsidP="00844538">
            <w:pPr>
              <w:pStyle w:val="ListParagraph"/>
              <w:numPr>
                <w:ilvl w:val="0"/>
                <w:numId w:val="9"/>
              </w:numPr>
              <w:spacing w:before="40" w:after="40" w:line="264" w:lineRule="auto"/>
              <w:ind w:left="179" w:hanging="179"/>
              <w:contextualSpacing w:val="0"/>
              <w:jc w:val="left"/>
              <w:rPr>
                <w:rFonts w:cs="Times New Roman"/>
                <w:color w:val="auto"/>
                <w:sz w:val="22"/>
              </w:rPr>
            </w:pPr>
            <w:r w:rsidRPr="00C801A6">
              <w:rPr>
                <w:rFonts w:cs="Times New Roman"/>
                <w:color w:val="auto"/>
                <w:sz w:val="22"/>
              </w:rPr>
              <w:lastRenderedPageBreak/>
              <w:t>Fonds Routier (FR)</w:t>
            </w:r>
          </w:p>
        </w:tc>
        <w:tc>
          <w:tcPr>
            <w:tcW w:w="6237" w:type="dxa"/>
          </w:tcPr>
          <w:p w14:paraId="219DFB81" w14:textId="77777777" w:rsidR="00854ACA" w:rsidRPr="00C801A6" w:rsidRDefault="00854ACA" w:rsidP="00854ACA">
            <w:pPr>
              <w:spacing w:before="40" w:after="40" w:line="264" w:lineRule="auto"/>
              <w:jc w:val="left"/>
              <w:rPr>
                <w:rFonts w:cs="Times New Roman"/>
                <w:color w:val="auto"/>
                <w:sz w:val="22"/>
              </w:rPr>
            </w:pPr>
            <w:r w:rsidRPr="00C801A6">
              <w:rPr>
                <w:rFonts w:cs="Times New Roman"/>
                <w:color w:val="auto"/>
                <w:sz w:val="22"/>
              </w:rPr>
              <w:t>– Collecte des ressources, financement des travaux routiers et visa des contrats passés entre le Maître d’Ouvrage et le Titulaire du marché.</w:t>
            </w:r>
          </w:p>
          <w:p w14:paraId="44C63B63" w14:textId="77777777" w:rsidR="00854ACA" w:rsidRPr="00C801A6" w:rsidRDefault="00854ACA" w:rsidP="00854ACA">
            <w:pPr>
              <w:spacing w:before="40" w:after="40" w:line="264" w:lineRule="auto"/>
              <w:jc w:val="left"/>
              <w:rPr>
                <w:rFonts w:cs="Times New Roman"/>
                <w:color w:val="auto"/>
                <w:sz w:val="22"/>
              </w:rPr>
            </w:pPr>
            <w:r w:rsidRPr="00C801A6">
              <w:rPr>
                <w:rFonts w:cs="Times New Roman"/>
                <w:color w:val="auto"/>
                <w:sz w:val="22"/>
              </w:rPr>
              <w:t>– Vérification de conformité et d’exhaustivité des pièces justificatives de paiement avant transmission au Trésor pour exécution du paiement.</w:t>
            </w:r>
          </w:p>
          <w:p w14:paraId="03E10F4C" w14:textId="684FF623" w:rsidR="00854ACA" w:rsidRPr="00C801A6" w:rsidRDefault="00854ACA" w:rsidP="00854ACA">
            <w:pPr>
              <w:spacing w:before="40" w:after="40" w:line="264" w:lineRule="auto"/>
              <w:jc w:val="left"/>
              <w:rPr>
                <w:rFonts w:cs="Times New Roman"/>
                <w:color w:val="auto"/>
                <w:sz w:val="22"/>
              </w:rPr>
            </w:pPr>
            <w:r w:rsidRPr="00C801A6">
              <w:rPr>
                <w:rFonts w:cs="Times New Roman"/>
                <w:color w:val="auto"/>
                <w:sz w:val="22"/>
              </w:rPr>
              <w:t>– Descente éventuelle sur terrain pour audit et inspection des travaux réalisés afin de proposer des améliorations au Maitre d’Ouvrage.</w:t>
            </w:r>
          </w:p>
        </w:tc>
      </w:tr>
      <w:tr w:rsidR="00854ACA" w:rsidRPr="00C801A6" w14:paraId="477FD717" w14:textId="77777777" w:rsidTr="00347FDB">
        <w:tc>
          <w:tcPr>
            <w:tcW w:w="2830" w:type="dxa"/>
          </w:tcPr>
          <w:p w14:paraId="0859360B" w14:textId="2AB2E759" w:rsidR="00854ACA" w:rsidRPr="00C801A6" w:rsidRDefault="00854ACA" w:rsidP="00844538">
            <w:pPr>
              <w:pStyle w:val="ListParagraph"/>
              <w:numPr>
                <w:ilvl w:val="0"/>
                <w:numId w:val="9"/>
              </w:numPr>
              <w:spacing w:before="40" w:after="40" w:line="264" w:lineRule="auto"/>
              <w:ind w:left="179" w:hanging="179"/>
              <w:contextualSpacing w:val="0"/>
              <w:jc w:val="left"/>
              <w:rPr>
                <w:rFonts w:cs="Times New Roman"/>
                <w:color w:val="auto"/>
                <w:sz w:val="22"/>
                <w:lang w:eastAsia="en-US"/>
              </w:rPr>
            </w:pPr>
            <w:r w:rsidRPr="00854ACA">
              <w:rPr>
                <w:rFonts w:cs="Times New Roman"/>
                <w:color w:val="auto"/>
                <w:sz w:val="22"/>
                <w:lang w:eastAsia="en-US"/>
              </w:rPr>
              <w:t>AGENCE PORTUAIRE MARITIME ET FLUVIAL</w:t>
            </w:r>
            <w:r w:rsidR="00744A60">
              <w:rPr>
                <w:rStyle w:val="FootnoteReference"/>
                <w:rFonts w:cs="Times New Roman"/>
                <w:color w:val="auto"/>
                <w:sz w:val="22"/>
                <w:lang w:eastAsia="en-US"/>
              </w:rPr>
              <w:footnoteReference w:id="20"/>
            </w:r>
          </w:p>
        </w:tc>
        <w:tc>
          <w:tcPr>
            <w:tcW w:w="6237" w:type="dxa"/>
          </w:tcPr>
          <w:p w14:paraId="4609C156" w14:textId="77777777" w:rsidR="00854ACA" w:rsidRPr="00854ACA" w:rsidRDefault="00854ACA" w:rsidP="00844538">
            <w:pPr>
              <w:pStyle w:val="ListParagraph"/>
              <w:numPr>
                <w:ilvl w:val="0"/>
                <w:numId w:val="9"/>
              </w:numPr>
              <w:spacing w:before="40" w:after="40" w:line="264" w:lineRule="auto"/>
              <w:ind w:left="181" w:hanging="181"/>
              <w:contextualSpacing w:val="0"/>
              <w:jc w:val="left"/>
              <w:rPr>
                <w:rFonts w:cs="Times New Roman"/>
                <w:color w:val="auto"/>
                <w:sz w:val="22"/>
                <w:lang w:eastAsia="en-US"/>
              </w:rPr>
            </w:pPr>
            <w:r w:rsidRPr="00854ACA">
              <w:rPr>
                <w:rFonts w:cs="Times New Roman"/>
                <w:color w:val="auto"/>
                <w:sz w:val="22"/>
                <w:lang w:eastAsia="en-US"/>
              </w:rPr>
              <w:t>Responsable des directives et des conseils concernant la direction politique globale, la coordination et l’exécution du sous-projet Port du PCMCI/CERC</w:t>
            </w:r>
          </w:p>
          <w:p w14:paraId="7F4ADEB9" w14:textId="77777777" w:rsidR="00854ACA" w:rsidRPr="00854ACA" w:rsidRDefault="00854ACA" w:rsidP="00844538">
            <w:pPr>
              <w:pStyle w:val="ListParagraph"/>
              <w:numPr>
                <w:ilvl w:val="0"/>
                <w:numId w:val="9"/>
              </w:numPr>
              <w:spacing w:before="40" w:after="40" w:line="264" w:lineRule="auto"/>
              <w:ind w:left="181" w:hanging="181"/>
              <w:contextualSpacing w:val="0"/>
              <w:jc w:val="left"/>
              <w:rPr>
                <w:rFonts w:cs="Times New Roman"/>
                <w:color w:val="auto"/>
                <w:sz w:val="22"/>
                <w:lang w:eastAsia="en-US"/>
              </w:rPr>
            </w:pPr>
            <w:r w:rsidRPr="00854ACA">
              <w:rPr>
                <w:rFonts w:cs="Times New Roman"/>
                <w:color w:val="auto"/>
                <w:sz w:val="22"/>
                <w:lang w:eastAsia="en-US"/>
              </w:rPr>
              <w:t>Assure la gestion du Patrimoine Portuaire</w:t>
            </w:r>
          </w:p>
          <w:p w14:paraId="617B051B" w14:textId="764F6148" w:rsidR="00854ACA" w:rsidRPr="00C801A6" w:rsidRDefault="00854ACA" w:rsidP="00854ACA">
            <w:pPr>
              <w:spacing w:before="40" w:after="40" w:line="264" w:lineRule="auto"/>
              <w:jc w:val="left"/>
              <w:rPr>
                <w:rFonts w:cs="Times New Roman"/>
                <w:color w:val="auto"/>
                <w:sz w:val="22"/>
              </w:rPr>
            </w:pPr>
            <w:r w:rsidRPr="00854ACA">
              <w:rPr>
                <w:rFonts w:cs="Times New Roman"/>
                <w:color w:val="auto"/>
                <w:sz w:val="22"/>
              </w:rPr>
              <w:t>Assure le contrôle et le suivi du respect des normes techniques et environnementales dans la mise en œuvre du sous-projet</w:t>
            </w:r>
          </w:p>
        </w:tc>
      </w:tr>
      <w:tr w:rsidR="00854ACA" w:rsidRPr="00C801A6" w14:paraId="2AB8EBCD" w14:textId="77777777" w:rsidTr="00347FDB">
        <w:tc>
          <w:tcPr>
            <w:tcW w:w="9067" w:type="dxa"/>
            <w:gridSpan w:val="2"/>
            <w:shd w:val="clear" w:color="auto" w:fill="F2F2F2" w:themeFill="background1" w:themeFillShade="F2"/>
          </w:tcPr>
          <w:p w14:paraId="6C16333F" w14:textId="77777777" w:rsidR="00854ACA" w:rsidRPr="00C801A6" w:rsidRDefault="00854ACA" w:rsidP="00854ACA">
            <w:pPr>
              <w:spacing w:before="40" w:after="40" w:line="264" w:lineRule="auto"/>
              <w:jc w:val="left"/>
              <w:rPr>
                <w:rFonts w:cs="Times New Roman"/>
                <w:color w:val="auto"/>
                <w:sz w:val="22"/>
              </w:rPr>
            </w:pPr>
            <w:r w:rsidRPr="00C801A6">
              <w:rPr>
                <w:rFonts w:cs="Times New Roman"/>
                <w:b/>
                <w:bCs/>
                <w:color w:val="auto"/>
                <w:sz w:val="22"/>
              </w:rPr>
              <w:t>Institutions intervenant dans les domaines de l’Environnement et la protection de la biodiversité</w:t>
            </w:r>
          </w:p>
        </w:tc>
      </w:tr>
      <w:tr w:rsidR="00854ACA" w:rsidRPr="00C801A6" w14:paraId="67CA7229" w14:textId="77777777" w:rsidTr="00347FDB">
        <w:tc>
          <w:tcPr>
            <w:tcW w:w="2830" w:type="dxa"/>
          </w:tcPr>
          <w:p w14:paraId="133AF151" w14:textId="77777777" w:rsidR="00854ACA" w:rsidRPr="00C801A6" w:rsidRDefault="00854ACA" w:rsidP="00844538">
            <w:pPr>
              <w:pStyle w:val="ListParagraph"/>
              <w:numPr>
                <w:ilvl w:val="0"/>
                <w:numId w:val="9"/>
              </w:numPr>
              <w:spacing w:before="40" w:after="40" w:line="264" w:lineRule="auto"/>
              <w:ind w:left="179" w:hanging="179"/>
              <w:contextualSpacing w:val="0"/>
              <w:jc w:val="left"/>
              <w:rPr>
                <w:rFonts w:cs="Times New Roman"/>
                <w:color w:val="auto"/>
                <w:sz w:val="22"/>
              </w:rPr>
            </w:pPr>
            <w:r w:rsidRPr="00C801A6">
              <w:rPr>
                <w:rFonts w:cs="Times New Roman"/>
                <w:color w:val="auto"/>
                <w:sz w:val="22"/>
              </w:rPr>
              <w:t>Ministère de l’Environnement et du Développement Durable (MEDD)</w:t>
            </w:r>
          </w:p>
        </w:tc>
        <w:tc>
          <w:tcPr>
            <w:tcW w:w="6237" w:type="dxa"/>
          </w:tcPr>
          <w:p w14:paraId="57485BBC" w14:textId="77777777" w:rsidR="00854ACA" w:rsidRPr="00C801A6" w:rsidRDefault="00854ACA" w:rsidP="00854ACA">
            <w:pPr>
              <w:spacing w:before="40" w:after="40" w:line="264" w:lineRule="auto"/>
              <w:jc w:val="left"/>
              <w:rPr>
                <w:rFonts w:cs="Times New Roman"/>
                <w:color w:val="auto"/>
                <w:sz w:val="22"/>
              </w:rPr>
            </w:pPr>
            <w:r w:rsidRPr="00C801A6">
              <w:rPr>
                <w:rFonts w:cs="Times New Roman"/>
                <w:color w:val="auto"/>
                <w:sz w:val="22"/>
              </w:rPr>
              <w:t>– Membre du Comité Technique d’Evaluation (CTE)</w:t>
            </w:r>
          </w:p>
          <w:p w14:paraId="0DF414B1" w14:textId="77777777" w:rsidR="00854ACA" w:rsidRPr="00C801A6" w:rsidRDefault="00854ACA" w:rsidP="00854ACA">
            <w:pPr>
              <w:spacing w:before="40" w:after="40" w:line="264" w:lineRule="auto"/>
              <w:ind w:left="179" w:hanging="142"/>
              <w:jc w:val="left"/>
              <w:rPr>
                <w:rFonts w:cs="Times New Roman"/>
                <w:color w:val="auto"/>
                <w:sz w:val="22"/>
              </w:rPr>
            </w:pPr>
            <w:r w:rsidRPr="00C801A6">
              <w:rPr>
                <w:rFonts w:cs="Times New Roman"/>
                <w:color w:val="auto"/>
                <w:sz w:val="22"/>
              </w:rPr>
              <w:t>– Assure l’évaluation, le suivi, le contrôle et l’inspection environnementaux des sous-projets à travers les directions régionales.</w:t>
            </w:r>
          </w:p>
        </w:tc>
      </w:tr>
      <w:tr w:rsidR="00854ACA" w:rsidRPr="00C801A6" w14:paraId="163DA8F9" w14:textId="77777777" w:rsidTr="00347FDB">
        <w:tc>
          <w:tcPr>
            <w:tcW w:w="2830" w:type="dxa"/>
          </w:tcPr>
          <w:p w14:paraId="5C8A8102" w14:textId="77777777" w:rsidR="00854ACA" w:rsidRPr="00C801A6" w:rsidRDefault="00854ACA" w:rsidP="00844538">
            <w:pPr>
              <w:pStyle w:val="ListParagraph"/>
              <w:numPr>
                <w:ilvl w:val="0"/>
                <w:numId w:val="9"/>
              </w:numPr>
              <w:spacing w:before="40" w:after="40" w:line="264" w:lineRule="auto"/>
              <w:ind w:left="179" w:hanging="179"/>
              <w:contextualSpacing w:val="0"/>
              <w:jc w:val="left"/>
              <w:rPr>
                <w:rFonts w:cs="Times New Roman"/>
                <w:color w:val="auto"/>
                <w:sz w:val="22"/>
              </w:rPr>
            </w:pPr>
            <w:r w:rsidRPr="00C801A6">
              <w:rPr>
                <w:rFonts w:cs="Times New Roman"/>
                <w:color w:val="auto"/>
                <w:sz w:val="22"/>
              </w:rPr>
              <w:t>Office National pour l’Environnement (ONE)</w:t>
            </w:r>
          </w:p>
        </w:tc>
        <w:tc>
          <w:tcPr>
            <w:tcW w:w="6237" w:type="dxa"/>
          </w:tcPr>
          <w:p w14:paraId="48841C11" w14:textId="77777777" w:rsidR="00854ACA" w:rsidRPr="00C801A6" w:rsidRDefault="00854ACA" w:rsidP="00854ACA">
            <w:pPr>
              <w:spacing w:before="40" w:after="40" w:line="264" w:lineRule="auto"/>
              <w:ind w:left="179" w:hanging="179"/>
              <w:rPr>
                <w:rFonts w:cs="Arial"/>
                <w:color w:val="auto"/>
                <w:sz w:val="22"/>
                <w:lang w:eastAsia="ja-JP"/>
              </w:rPr>
            </w:pPr>
            <w:r w:rsidRPr="00C801A6">
              <w:rPr>
                <w:rFonts w:cs="Times New Roman"/>
                <w:color w:val="auto"/>
                <w:sz w:val="22"/>
              </w:rPr>
              <w:t>– O</w:t>
            </w:r>
            <w:r w:rsidRPr="00C801A6">
              <w:rPr>
                <w:rFonts w:cs="Arial"/>
                <w:color w:val="auto"/>
                <w:sz w:val="22"/>
                <w:lang w:eastAsia="ja-JP"/>
              </w:rPr>
              <w:t>rgane opérationnel, maître d’ouvrage délégué et guichet unique pour la MECIE, placé sous la tutelle du Ministère chargé de l’Environnement.</w:t>
            </w:r>
          </w:p>
          <w:p w14:paraId="0F359910" w14:textId="77777777" w:rsidR="00854ACA" w:rsidRPr="00C801A6" w:rsidRDefault="00854ACA" w:rsidP="00854ACA">
            <w:pPr>
              <w:spacing w:before="40" w:after="40" w:line="264" w:lineRule="auto"/>
              <w:ind w:left="179" w:hanging="179"/>
              <w:jc w:val="left"/>
              <w:rPr>
                <w:rFonts w:cs="Times New Roman"/>
                <w:color w:val="auto"/>
                <w:sz w:val="22"/>
              </w:rPr>
            </w:pPr>
            <w:r w:rsidRPr="00C801A6">
              <w:rPr>
                <w:rFonts w:cs="Times New Roman"/>
                <w:color w:val="auto"/>
                <w:sz w:val="22"/>
              </w:rPr>
              <w:t xml:space="preserve">– </w:t>
            </w:r>
            <w:r w:rsidRPr="00C801A6">
              <w:rPr>
                <w:rFonts w:cs="Arial"/>
                <w:color w:val="auto"/>
                <w:sz w:val="22"/>
                <w:lang w:eastAsia="ja-JP"/>
              </w:rPr>
              <w:t>Dans ce projet, il a pour rôle d’établir ou de valider le « screening » sur la base du descriptif succinct du projet et de son milieu d’implantation</w:t>
            </w:r>
          </w:p>
        </w:tc>
      </w:tr>
      <w:tr w:rsidR="00854ACA" w:rsidRPr="00C801A6" w14:paraId="2A5F34A7" w14:textId="77777777" w:rsidTr="00347FDB">
        <w:tc>
          <w:tcPr>
            <w:tcW w:w="2830" w:type="dxa"/>
          </w:tcPr>
          <w:p w14:paraId="568807BC" w14:textId="77777777" w:rsidR="00854ACA" w:rsidRPr="00C801A6" w:rsidRDefault="00854ACA" w:rsidP="00844538">
            <w:pPr>
              <w:pStyle w:val="ListParagraph"/>
              <w:numPr>
                <w:ilvl w:val="0"/>
                <w:numId w:val="9"/>
              </w:numPr>
              <w:spacing w:before="40" w:after="40" w:line="264" w:lineRule="auto"/>
              <w:ind w:left="179" w:hanging="179"/>
              <w:contextualSpacing w:val="0"/>
              <w:jc w:val="left"/>
              <w:rPr>
                <w:rFonts w:cs="Times New Roman"/>
                <w:color w:val="auto"/>
                <w:sz w:val="22"/>
              </w:rPr>
            </w:pPr>
            <w:r w:rsidRPr="00C801A6">
              <w:rPr>
                <w:rFonts w:cs="Times New Roman"/>
                <w:color w:val="auto"/>
                <w:sz w:val="22"/>
              </w:rPr>
              <w:t>Ministère de l’Economie et des Finances (MEF)</w:t>
            </w:r>
          </w:p>
        </w:tc>
        <w:tc>
          <w:tcPr>
            <w:tcW w:w="6237" w:type="dxa"/>
          </w:tcPr>
          <w:p w14:paraId="3B9DA8BD" w14:textId="77777777" w:rsidR="00854ACA" w:rsidRPr="00C801A6" w:rsidRDefault="00854ACA" w:rsidP="00854ACA">
            <w:pPr>
              <w:spacing w:before="40" w:after="40" w:line="264" w:lineRule="auto"/>
              <w:jc w:val="left"/>
              <w:rPr>
                <w:rFonts w:cs="Times New Roman"/>
                <w:color w:val="auto"/>
                <w:sz w:val="22"/>
              </w:rPr>
            </w:pPr>
            <w:r w:rsidRPr="00C801A6">
              <w:rPr>
                <w:rFonts w:cs="Times New Roman"/>
                <w:color w:val="auto"/>
                <w:sz w:val="22"/>
              </w:rPr>
              <w:t>– Elabore et met en œuvre la politique financière, fiscale et budgétaire de l’Etat et assure la tutelle financière des établissements publics ainsi que la programmation des investissements publics.</w:t>
            </w:r>
          </w:p>
        </w:tc>
      </w:tr>
      <w:tr w:rsidR="00854ACA" w:rsidRPr="00C801A6" w14:paraId="5725E281" w14:textId="77777777" w:rsidTr="00347FDB">
        <w:tc>
          <w:tcPr>
            <w:tcW w:w="2830" w:type="dxa"/>
          </w:tcPr>
          <w:p w14:paraId="2173A3EA" w14:textId="77777777" w:rsidR="00854ACA" w:rsidRPr="00C801A6" w:rsidRDefault="00854ACA" w:rsidP="00844538">
            <w:pPr>
              <w:pStyle w:val="ListParagraph"/>
              <w:numPr>
                <w:ilvl w:val="0"/>
                <w:numId w:val="9"/>
              </w:numPr>
              <w:spacing w:before="40" w:after="40" w:line="264" w:lineRule="auto"/>
              <w:ind w:left="179" w:hanging="179"/>
              <w:contextualSpacing w:val="0"/>
              <w:jc w:val="left"/>
              <w:rPr>
                <w:rFonts w:cs="Times New Roman"/>
                <w:color w:val="auto"/>
                <w:sz w:val="22"/>
              </w:rPr>
            </w:pPr>
            <w:r w:rsidRPr="00C801A6">
              <w:rPr>
                <w:rFonts w:cs="Times New Roman"/>
                <w:color w:val="auto"/>
                <w:sz w:val="22"/>
              </w:rPr>
              <w:t>Gestionnaire des Aires protégées</w:t>
            </w:r>
          </w:p>
        </w:tc>
        <w:tc>
          <w:tcPr>
            <w:tcW w:w="6237" w:type="dxa"/>
          </w:tcPr>
          <w:p w14:paraId="6C641927" w14:textId="77777777" w:rsidR="00854ACA" w:rsidRPr="00C801A6" w:rsidRDefault="00854ACA" w:rsidP="00854ACA">
            <w:pPr>
              <w:spacing w:before="40" w:after="40" w:line="264" w:lineRule="auto"/>
              <w:ind w:left="179" w:hanging="179"/>
              <w:jc w:val="left"/>
              <w:rPr>
                <w:rFonts w:cs="Times New Roman"/>
                <w:color w:val="auto"/>
                <w:sz w:val="22"/>
              </w:rPr>
            </w:pPr>
            <w:r w:rsidRPr="00C801A6">
              <w:rPr>
                <w:rFonts w:cs="Times New Roman"/>
                <w:color w:val="auto"/>
                <w:sz w:val="22"/>
              </w:rPr>
              <w:t>– Surveille et contrôle la mise en œuvre des clauses environnementales des sous-projets traversant les aires protégées, le cas échéant, fournit des prescriptions environnementales aux prestataires des travaux</w:t>
            </w:r>
          </w:p>
        </w:tc>
      </w:tr>
      <w:tr w:rsidR="00854ACA" w:rsidRPr="00C801A6" w14:paraId="0D1585A9" w14:textId="77777777" w:rsidTr="00347FDB">
        <w:tc>
          <w:tcPr>
            <w:tcW w:w="9067" w:type="dxa"/>
            <w:gridSpan w:val="2"/>
            <w:shd w:val="clear" w:color="auto" w:fill="F2F2F2" w:themeFill="background1" w:themeFillShade="F2"/>
          </w:tcPr>
          <w:p w14:paraId="5FCB15F0" w14:textId="77777777" w:rsidR="00854ACA" w:rsidRPr="00C801A6" w:rsidRDefault="00854ACA" w:rsidP="00854ACA">
            <w:pPr>
              <w:spacing w:before="40" w:after="40" w:line="264" w:lineRule="auto"/>
              <w:jc w:val="left"/>
              <w:rPr>
                <w:rFonts w:cs="Times New Roman"/>
                <w:color w:val="auto"/>
                <w:sz w:val="22"/>
              </w:rPr>
            </w:pPr>
            <w:r w:rsidRPr="00C801A6">
              <w:rPr>
                <w:rFonts w:cs="Times New Roman"/>
                <w:b/>
                <w:bCs/>
                <w:color w:val="auto"/>
                <w:sz w:val="22"/>
              </w:rPr>
              <w:t xml:space="preserve">Institutions intervenant dans les domaines de la population et santé </w:t>
            </w:r>
          </w:p>
        </w:tc>
      </w:tr>
      <w:tr w:rsidR="00854ACA" w:rsidRPr="00C801A6" w14:paraId="088D02DE" w14:textId="77777777" w:rsidTr="00347FDB">
        <w:tc>
          <w:tcPr>
            <w:tcW w:w="2830" w:type="dxa"/>
          </w:tcPr>
          <w:p w14:paraId="0DB56656" w14:textId="4235E760" w:rsidR="00854ACA" w:rsidRPr="00C801A6" w:rsidRDefault="00854ACA" w:rsidP="00844538">
            <w:pPr>
              <w:pStyle w:val="ListParagraph"/>
              <w:numPr>
                <w:ilvl w:val="0"/>
                <w:numId w:val="9"/>
              </w:numPr>
              <w:spacing w:before="40" w:after="40" w:line="264" w:lineRule="auto"/>
              <w:ind w:left="179" w:hanging="179"/>
              <w:contextualSpacing w:val="0"/>
              <w:jc w:val="left"/>
              <w:rPr>
                <w:rFonts w:cs="Times New Roman"/>
                <w:color w:val="auto"/>
                <w:sz w:val="22"/>
              </w:rPr>
            </w:pPr>
            <w:r w:rsidRPr="00C801A6">
              <w:rPr>
                <w:rFonts w:cs="Times New Roman"/>
                <w:color w:val="auto"/>
                <w:sz w:val="22"/>
              </w:rPr>
              <w:t>Directions Régionales du Ministère de la Population</w:t>
            </w:r>
            <w:r w:rsidR="003E2D1A">
              <w:rPr>
                <w:rFonts w:cs="Times New Roman"/>
                <w:color w:val="auto"/>
                <w:sz w:val="22"/>
              </w:rPr>
              <w:t xml:space="preserve"> et des Solidarités</w:t>
            </w:r>
            <w:r w:rsidRPr="00C801A6">
              <w:rPr>
                <w:rFonts w:cs="Times New Roman"/>
                <w:color w:val="auto"/>
                <w:sz w:val="22"/>
              </w:rPr>
              <w:t xml:space="preserve">  (DRMPS) </w:t>
            </w:r>
          </w:p>
        </w:tc>
        <w:tc>
          <w:tcPr>
            <w:tcW w:w="6237" w:type="dxa"/>
          </w:tcPr>
          <w:p w14:paraId="03239EBA" w14:textId="2F157E0D" w:rsidR="00854ACA" w:rsidRPr="00C801A6" w:rsidRDefault="00854ACA" w:rsidP="00854ACA">
            <w:pPr>
              <w:spacing w:before="40" w:after="40" w:line="264" w:lineRule="auto"/>
              <w:ind w:left="179" w:hanging="142"/>
              <w:jc w:val="left"/>
              <w:rPr>
                <w:rFonts w:cs="Times New Roman"/>
                <w:color w:val="auto"/>
                <w:sz w:val="22"/>
              </w:rPr>
            </w:pPr>
            <w:r w:rsidRPr="00C801A6">
              <w:rPr>
                <w:rFonts w:cs="Times New Roman"/>
                <w:color w:val="auto"/>
                <w:sz w:val="22"/>
              </w:rPr>
              <w:t>– Première instance en charge de la coordination de la lutte contre les Violences basées sur le genre (</w:t>
            </w:r>
            <w:r w:rsidR="006F38A3">
              <w:rPr>
                <w:rFonts w:cs="Times New Roman"/>
                <w:color w:val="auto"/>
                <w:sz w:val="22"/>
              </w:rPr>
              <w:t xml:space="preserve">EAS-HS </w:t>
            </w:r>
            <w:r w:rsidRPr="00C801A6">
              <w:rPr>
                <w:rFonts w:cs="Times New Roman"/>
                <w:color w:val="auto"/>
                <w:sz w:val="22"/>
              </w:rPr>
              <w:t>)</w:t>
            </w:r>
          </w:p>
        </w:tc>
      </w:tr>
      <w:tr w:rsidR="00854ACA" w:rsidRPr="00C801A6" w14:paraId="5F230351" w14:textId="77777777" w:rsidTr="00347FDB">
        <w:tc>
          <w:tcPr>
            <w:tcW w:w="2830" w:type="dxa"/>
          </w:tcPr>
          <w:p w14:paraId="24B3A218" w14:textId="77777777" w:rsidR="00854ACA" w:rsidRPr="00C801A6" w:rsidRDefault="00854ACA" w:rsidP="00844538">
            <w:pPr>
              <w:pStyle w:val="ListParagraph"/>
              <w:numPr>
                <w:ilvl w:val="0"/>
                <w:numId w:val="9"/>
              </w:numPr>
              <w:spacing w:before="40" w:after="40" w:line="264" w:lineRule="auto"/>
              <w:ind w:left="179" w:hanging="179"/>
              <w:contextualSpacing w:val="0"/>
              <w:jc w:val="left"/>
              <w:rPr>
                <w:rFonts w:cs="Times New Roman"/>
                <w:color w:val="auto"/>
                <w:sz w:val="22"/>
              </w:rPr>
            </w:pPr>
            <w:r w:rsidRPr="00C801A6">
              <w:rPr>
                <w:rFonts w:cs="Times New Roman"/>
                <w:color w:val="auto"/>
                <w:sz w:val="22"/>
              </w:rPr>
              <w:lastRenderedPageBreak/>
              <w:t>Directions Régionales du Ministère de la Santé Publique (DRMSP)</w:t>
            </w:r>
          </w:p>
        </w:tc>
        <w:tc>
          <w:tcPr>
            <w:tcW w:w="6237" w:type="dxa"/>
          </w:tcPr>
          <w:p w14:paraId="1A5E39F8" w14:textId="77777777" w:rsidR="00854ACA" w:rsidRPr="00C801A6" w:rsidRDefault="00854ACA" w:rsidP="00854ACA">
            <w:pPr>
              <w:spacing w:before="40" w:after="40" w:line="264" w:lineRule="auto"/>
              <w:ind w:left="179" w:hanging="179"/>
              <w:jc w:val="left"/>
              <w:rPr>
                <w:rFonts w:cs="Times New Roman"/>
                <w:color w:val="auto"/>
                <w:sz w:val="22"/>
              </w:rPr>
            </w:pPr>
            <w:r w:rsidRPr="00C801A6">
              <w:rPr>
                <w:rFonts w:cs="Times New Roman"/>
                <w:color w:val="auto"/>
                <w:sz w:val="22"/>
              </w:rPr>
              <w:t>– Renforce la veille sanitaire et les vigilances épidémiologiques ainsi que le contrôle et la sécurité sanitaire au niveau des frontières</w:t>
            </w:r>
          </w:p>
          <w:p w14:paraId="2BE29FB9" w14:textId="77777777" w:rsidR="00854ACA" w:rsidRPr="00C801A6" w:rsidRDefault="00854ACA" w:rsidP="00854ACA">
            <w:pPr>
              <w:spacing w:before="40" w:after="40" w:line="264" w:lineRule="auto"/>
              <w:jc w:val="left"/>
              <w:rPr>
                <w:rFonts w:cs="Times New Roman"/>
                <w:color w:val="auto"/>
                <w:sz w:val="22"/>
              </w:rPr>
            </w:pPr>
            <w:r w:rsidRPr="00C801A6">
              <w:rPr>
                <w:rFonts w:cs="Times New Roman"/>
                <w:color w:val="auto"/>
                <w:sz w:val="22"/>
              </w:rPr>
              <w:t>– Appui à la sensibilisation sur la lutte contre le VIH / SIDA</w:t>
            </w:r>
          </w:p>
          <w:p w14:paraId="30163604" w14:textId="77777777" w:rsidR="00854ACA" w:rsidRPr="00C801A6" w:rsidRDefault="00854ACA" w:rsidP="00854ACA">
            <w:pPr>
              <w:spacing w:before="40" w:after="40" w:line="264" w:lineRule="auto"/>
              <w:ind w:left="179" w:hanging="179"/>
              <w:jc w:val="left"/>
              <w:rPr>
                <w:rFonts w:cs="Times New Roman"/>
                <w:color w:val="auto"/>
                <w:sz w:val="22"/>
              </w:rPr>
            </w:pPr>
            <w:r w:rsidRPr="00C801A6">
              <w:rPr>
                <w:rFonts w:cs="Times New Roman"/>
                <w:color w:val="auto"/>
                <w:sz w:val="22"/>
              </w:rPr>
              <w:t>– Appui à la sensibilisation sur les mesures de distanciation dans le contexte COVID-19 actuel</w:t>
            </w:r>
          </w:p>
        </w:tc>
      </w:tr>
      <w:tr w:rsidR="00854ACA" w:rsidRPr="00C801A6" w14:paraId="73CA5B1D" w14:textId="77777777" w:rsidTr="00347FDB">
        <w:tc>
          <w:tcPr>
            <w:tcW w:w="9067" w:type="dxa"/>
            <w:gridSpan w:val="2"/>
            <w:shd w:val="clear" w:color="auto" w:fill="F2F2F2" w:themeFill="background1" w:themeFillShade="F2"/>
          </w:tcPr>
          <w:p w14:paraId="5D432409" w14:textId="77777777" w:rsidR="00854ACA" w:rsidRPr="00C801A6" w:rsidRDefault="00854ACA" w:rsidP="00854ACA">
            <w:pPr>
              <w:spacing w:before="40" w:after="40" w:line="264" w:lineRule="auto"/>
              <w:jc w:val="left"/>
              <w:rPr>
                <w:rFonts w:cs="Times New Roman"/>
                <w:b/>
                <w:bCs/>
                <w:color w:val="auto"/>
                <w:sz w:val="22"/>
              </w:rPr>
            </w:pPr>
            <w:r w:rsidRPr="00C801A6">
              <w:rPr>
                <w:rFonts w:cs="Times New Roman"/>
                <w:b/>
                <w:bCs/>
                <w:color w:val="auto"/>
                <w:sz w:val="22"/>
              </w:rPr>
              <w:t>Collectivités territoriales</w:t>
            </w:r>
          </w:p>
        </w:tc>
      </w:tr>
      <w:tr w:rsidR="00854ACA" w:rsidRPr="00C801A6" w14:paraId="2C908485" w14:textId="77777777" w:rsidTr="00347FDB">
        <w:tc>
          <w:tcPr>
            <w:tcW w:w="2830" w:type="dxa"/>
          </w:tcPr>
          <w:p w14:paraId="35164C51" w14:textId="77777777" w:rsidR="00854ACA" w:rsidRPr="00C801A6" w:rsidRDefault="00854ACA" w:rsidP="00844538">
            <w:pPr>
              <w:pStyle w:val="ListParagraph"/>
              <w:numPr>
                <w:ilvl w:val="0"/>
                <w:numId w:val="9"/>
              </w:numPr>
              <w:spacing w:before="40" w:after="40" w:line="264" w:lineRule="auto"/>
              <w:ind w:left="179" w:hanging="179"/>
              <w:contextualSpacing w:val="0"/>
              <w:jc w:val="left"/>
              <w:rPr>
                <w:rFonts w:cs="Times New Roman"/>
                <w:color w:val="auto"/>
                <w:sz w:val="22"/>
              </w:rPr>
            </w:pPr>
            <w:r w:rsidRPr="00C801A6">
              <w:rPr>
                <w:rFonts w:cs="Times New Roman"/>
                <w:color w:val="auto"/>
                <w:sz w:val="22"/>
              </w:rPr>
              <w:t>Régions</w:t>
            </w:r>
          </w:p>
          <w:p w14:paraId="337A7EBE" w14:textId="77777777" w:rsidR="00854ACA" w:rsidRPr="00C801A6" w:rsidRDefault="00854ACA" w:rsidP="00844538">
            <w:pPr>
              <w:pStyle w:val="ListParagraph"/>
              <w:numPr>
                <w:ilvl w:val="0"/>
                <w:numId w:val="9"/>
              </w:numPr>
              <w:spacing w:before="40" w:after="40" w:line="264" w:lineRule="auto"/>
              <w:ind w:left="179" w:hanging="179"/>
              <w:contextualSpacing w:val="0"/>
              <w:jc w:val="left"/>
              <w:rPr>
                <w:rFonts w:cs="Times New Roman"/>
                <w:color w:val="auto"/>
                <w:sz w:val="22"/>
              </w:rPr>
            </w:pPr>
            <w:r w:rsidRPr="00C801A6">
              <w:rPr>
                <w:rFonts w:cs="Times New Roman"/>
                <w:color w:val="auto"/>
                <w:sz w:val="22"/>
              </w:rPr>
              <w:t>Districts</w:t>
            </w:r>
          </w:p>
          <w:p w14:paraId="7D5D0527" w14:textId="77777777" w:rsidR="00854ACA" w:rsidRPr="00C801A6" w:rsidRDefault="00854ACA" w:rsidP="00844538">
            <w:pPr>
              <w:pStyle w:val="ListParagraph"/>
              <w:numPr>
                <w:ilvl w:val="0"/>
                <w:numId w:val="9"/>
              </w:numPr>
              <w:spacing w:before="40" w:after="40" w:line="264" w:lineRule="auto"/>
              <w:ind w:left="179" w:hanging="179"/>
              <w:contextualSpacing w:val="0"/>
              <w:jc w:val="left"/>
              <w:rPr>
                <w:rFonts w:cs="Times New Roman"/>
                <w:color w:val="auto"/>
                <w:sz w:val="22"/>
              </w:rPr>
            </w:pPr>
            <w:r w:rsidRPr="00C801A6">
              <w:rPr>
                <w:rFonts w:cs="Times New Roman"/>
                <w:color w:val="auto"/>
                <w:sz w:val="22"/>
              </w:rPr>
              <w:t>Communes</w:t>
            </w:r>
          </w:p>
          <w:p w14:paraId="749BA9F8" w14:textId="77777777" w:rsidR="00854ACA" w:rsidRPr="00C801A6" w:rsidRDefault="00854ACA" w:rsidP="00844538">
            <w:pPr>
              <w:pStyle w:val="ListParagraph"/>
              <w:numPr>
                <w:ilvl w:val="0"/>
                <w:numId w:val="9"/>
              </w:numPr>
              <w:spacing w:before="40" w:after="40" w:line="264" w:lineRule="auto"/>
              <w:ind w:left="179" w:hanging="179"/>
              <w:contextualSpacing w:val="0"/>
              <w:jc w:val="left"/>
              <w:rPr>
                <w:rFonts w:cs="Times New Roman"/>
                <w:color w:val="auto"/>
                <w:sz w:val="22"/>
              </w:rPr>
            </w:pPr>
            <w:r w:rsidRPr="00C801A6">
              <w:rPr>
                <w:rFonts w:cs="Times New Roman"/>
                <w:color w:val="auto"/>
                <w:sz w:val="22"/>
              </w:rPr>
              <w:t>Fokontany concernés</w:t>
            </w:r>
          </w:p>
        </w:tc>
        <w:tc>
          <w:tcPr>
            <w:tcW w:w="6237" w:type="dxa"/>
          </w:tcPr>
          <w:p w14:paraId="12D4723A" w14:textId="77777777" w:rsidR="00854ACA" w:rsidRPr="00C801A6" w:rsidRDefault="00854ACA" w:rsidP="00854ACA">
            <w:pPr>
              <w:spacing w:before="40" w:after="40" w:line="264" w:lineRule="auto"/>
              <w:ind w:left="179" w:hanging="179"/>
              <w:jc w:val="left"/>
              <w:rPr>
                <w:rFonts w:cs="Times New Roman"/>
                <w:color w:val="auto"/>
                <w:sz w:val="22"/>
              </w:rPr>
            </w:pPr>
            <w:r w:rsidRPr="00C801A6">
              <w:rPr>
                <w:rFonts w:cs="Times New Roman"/>
                <w:color w:val="auto"/>
                <w:sz w:val="22"/>
              </w:rPr>
              <w:t>– Veille et alerte en cas de non-respect des clauses environnementales et des Directives HSE</w:t>
            </w:r>
          </w:p>
          <w:p w14:paraId="7B2EDA88" w14:textId="77777777" w:rsidR="00854ACA" w:rsidRPr="00C801A6" w:rsidRDefault="00854ACA" w:rsidP="00854ACA">
            <w:pPr>
              <w:spacing w:before="40" w:after="40" w:line="264" w:lineRule="auto"/>
              <w:jc w:val="left"/>
              <w:rPr>
                <w:rFonts w:cs="Times New Roman"/>
                <w:color w:val="auto"/>
                <w:sz w:val="22"/>
              </w:rPr>
            </w:pPr>
            <w:r w:rsidRPr="00C801A6">
              <w:rPr>
                <w:rFonts w:cs="Times New Roman"/>
                <w:color w:val="auto"/>
                <w:sz w:val="22"/>
              </w:rPr>
              <w:t xml:space="preserve">– Membre du Comité de Gestion des plaintes </w:t>
            </w:r>
          </w:p>
          <w:p w14:paraId="4F828DD7" w14:textId="77777777" w:rsidR="00854ACA" w:rsidRPr="00C801A6" w:rsidRDefault="00854ACA" w:rsidP="00854ACA">
            <w:pPr>
              <w:spacing w:before="40" w:after="40" w:line="264" w:lineRule="auto"/>
              <w:jc w:val="left"/>
              <w:rPr>
                <w:rFonts w:cs="Times New Roman"/>
                <w:color w:val="auto"/>
                <w:sz w:val="22"/>
              </w:rPr>
            </w:pPr>
            <w:r w:rsidRPr="00C801A6">
              <w:rPr>
                <w:rFonts w:cs="Times New Roman"/>
                <w:color w:val="auto"/>
                <w:sz w:val="22"/>
              </w:rPr>
              <w:t>– Facilitateurs pour la bonne marche des sous-projets</w:t>
            </w:r>
          </w:p>
          <w:p w14:paraId="5E884373" w14:textId="77777777" w:rsidR="00854ACA" w:rsidRPr="00C801A6" w:rsidRDefault="00854ACA" w:rsidP="00854ACA">
            <w:pPr>
              <w:spacing w:before="40" w:after="40" w:line="264" w:lineRule="auto"/>
              <w:jc w:val="left"/>
              <w:rPr>
                <w:rFonts w:cs="Times New Roman"/>
                <w:color w:val="auto"/>
                <w:sz w:val="22"/>
              </w:rPr>
            </w:pPr>
            <w:r w:rsidRPr="00C801A6">
              <w:rPr>
                <w:rFonts w:cs="Times New Roman"/>
                <w:color w:val="auto"/>
                <w:sz w:val="22"/>
              </w:rPr>
              <w:t>– Participent à la réussite des sous-projets</w:t>
            </w:r>
          </w:p>
        </w:tc>
      </w:tr>
      <w:tr w:rsidR="00854ACA" w:rsidRPr="00C801A6" w14:paraId="7D0A6E0C" w14:textId="77777777" w:rsidTr="00347FDB">
        <w:tc>
          <w:tcPr>
            <w:tcW w:w="9067" w:type="dxa"/>
            <w:gridSpan w:val="2"/>
            <w:shd w:val="clear" w:color="auto" w:fill="F2F2F2" w:themeFill="background1" w:themeFillShade="F2"/>
          </w:tcPr>
          <w:p w14:paraId="3F38B1D1" w14:textId="77777777" w:rsidR="00854ACA" w:rsidRPr="00C801A6" w:rsidRDefault="00854ACA" w:rsidP="00854ACA">
            <w:pPr>
              <w:spacing w:before="40" w:after="40" w:line="264" w:lineRule="auto"/>
              <w:jc w:val="left"/>
              <w:rPr>
                <w:rFonts w:cs="Times New Roman"/>
                <w:b/>
                <w:bCs/>
                <w:color w:val="auto"/>
                <w:sz w:val="22"/>
              </w:rPr>
            </w:pPr>
            <w:r w:rsidRPr="00C801A6">
              <w:rPr>
                <w:rFonts w:cs="Times New Roman"/>
                <w:b/>
                <w:bCs/>
                <w:color w:val="auto"/>
                <w:sz w:val="22"/>
              </w:rPr>
              <w:t xml:space="preserve">Prestataires </w:t>
            </w:r>
          </w:p>
        </w:tc>
      </w:tr>
      <w:tr w:rsidR="00854ACA" w:rsidRPr="00C801A6" w14:paraId="3C22A30A" w14:textId="77777777" w:rsidTr="00347FDB">
        <w:tc>
          <w:tcPr>
            <w:tcW w:w="2830" w:type="dxa"/>
          </w:tcPr>
          <w:p w14:paraId="131CEC7A" w14:textId="30EC143B" w:rsidR="00854ACA" w:rsidRPr="003617DE" w:rsidRDefault="00854ACA" w:rsidP="00844538">
            <w:pPr>
              <w:pStyle w:val="ListParagraph"/>
              <w:numPr>
                <w:ilvl w:val="0"/>
                <w:numId w:val="9"/>
              </w:numPr>
              <w:spacing w:before="40" w:after="40" w:line="264" w:lineRule="auto"/>
              <w:ind w:left="179" w:hanging="179"/>
              <w:contextualSpacing w:val="0"/>
              <w:jc w:val="left"/>
              <w:rPr>
                <w:rFonts w:cs="Times New Roman"/>
                <w:color w:val="auto"/>
                <w:sz w:val="22"/>
              </w:rPr>
            </w:pPr>
            <w:r w:rsidRPr="00C801A6">
              <w:rPr>
                <w:rFonts w:cs="Times New Roman"/>
                <w:color w:val="auto"/>
                <w:sz w:val="22"/>
              </w:rPr>
              <w:t>Bureaux de contrôle</w:t>
            </w:r>
          </w:p>
        </w:tc>
        <w:tc>
          <w:tcPr>
            <w:tcW w:w="6237" w:type="dxa"/>
          </w:tcPr>
          <w:p w14:paraId="57A8CA4D" w14:textId="24410958" w:rsidR="00854ACA" w:rsidRPr="00C801A6" w:rsidRDefault="00854ACA" w:rsidP="00854ACA">
            <w:pPr>
              <w:spacing w:before="40" w:after="40" w:line="264" w:lineRule="auto"/>
              <w:ind w:left="179" w:hanging="142"/>
              <w:jc w:val="left"/>
              <w:rPr>
                <w:rFonts w:cs="Times New Roman"/>
                <w:color w:val="auto"/>
                <w:sz w:val="22"/>
              </w:rPr>
            </w:pPr>
            <w:r w:rsidRPr="00C801A6">
              <w:rPr>
                <w:rFonts w:cs="Times New Roman"/>
                <w:color w:val="auto"/>
                <w:sz w:val="22"/>
              </w:rPr>
              <w:t>– Assurent la</w:t>
            </w:r>
            <w:r w:rsidR="001C51E7">
              <w:rPr>
                <w:rFonts w:cs="Times New Roman"/>
                <w:color w:val="auto"/>
                <w:sz w:val="22"/>
              </w:rPr>
              <w:t xml:space="preserve"> contrôle, suivi et</w:t>
            </w:r>
            <w:r w:rsidRPr="00C801A6">
              <w:rPr>
                <w:rFonts w:cs="Times New Roman"/>
                <w:color w:val="auto"/>
                <w:sz w:val="22"/>
              </w:rPr>
              <w:t xml:space="preserve"> surveillance environnementale et la mise en œuvre des clauses environnementales et sociales</w:t>
            </w:r>
          </w:p>
          <w:p w14:paraId="5366105E" w14:textId="77777777" w:rsidR="001C51E7" w:rsidRDefault="00854ACA" w:rsidP="001C51E7">
            <w:pPr>
              <w:spacing w:before="40" w:after="40" w:line="264" w:lineRule="auto"/>
              <w:ind w:left="179" w:hanging="179"/>
              <w:rPr>
                <w:rFonts w:cs="Times New Roman"/>
                <w:color w:val="auto"/>
                <w:sz w:val="22"/>
              </w:rPr>
            </w:pPr>
            <w:r w:rsidRPr="00C801A6">
              <w:rPr>
                <w:rFonts w:cs="Times New Roman"/>
                <w:color w:val="auto"/>
                <w:sz w:val="22"/>
              </w:rPr>
              <w:t>– Assurent la sensibilisation de leurs employés respectifs pour le respect et la mise en œuvre des mesures d’atténuation préconisées</w:t>
            </w:r>
          </w:p>
          <w:p w14:paraId="0165DED8" w14:textId="22A2F0F2" w:rsidR="001C51E7" w:rsidRPr="003617DE" w:rsidRDefault="001C51E7" w:rsidP="003617DE">
            <w:pPr>
              <w:spacing w:before="40" w:after="40" w:line="264" w:lineRule="auto"/>
              <w:ind w:left="179" w:hanging="179"/>
              <w:rPr>
                <w:rFonts w:cs="Times New Roman"/>
                <w:color w:val="auto"/>
                <w:sz w:val="22"/>
              </w:rPr>
            </w:pPr>
            <w:r w:rsidRPr="00C801A6">
              <w:rPr>
                <w:rFonts w:cs="Times New Roman"/>
                <w:color w:val="auto"/>
                <w:sz w:val="22"/>
              </w:rPr>
              <w:t>–</w:t>
            </w:r>
            <w:r>
              <w:rPr>
                <w:rFonts w:cs="Times New Roman"/>
                <w:color w:val="auto"/>
                <w:sz w:val="22"/>
              </w:rPr>
              <w:t xml:space="preserve"> Valident les différents outils utiles dans la mise en œuvre des différentes activités dans les composantes du projet</w:t>
            </w:r>
          </w:p>
        </w:tc>
      </w:tr>
      <w:tr w:rsidR="001C51E7" w:rsidRPr="00C801A6" w14:paraId="392D13BF" w14:textId="77777777" w:rsidTr="00347FDB">
        <w:tc>
          <w:tcPr>
            <w:tcW w:w="2830" w:type="dxa"/>
          </w:tcPr>
          <w:p w14:paraId="0B7DA2D4" w14:textId="2EA94492" w:rsidR="001C51E7" w:rsidRPr="00C801A6" w:rsidRDefault="001C51E7" w:rsidP="00844538">
            <w:pPr>
              <w:pStyle w:val="ListParagraph"/>
              <w:numPr>
                <w:ilvl w:val="0"/>
                <w:numId w:val="9"/>
              </w:numPr>
              <w:spacing w:before="40" w:after="40" w:line="264" w:lineRule="auto"/>
              <w:ind w:left="179" w:hanging="179"/>
              <w:contextualSpacing w:val="0"/>
              <w:jc w:val="left"/>
              <w:rPr>
                <w:rFonts w:cs="Times New Roman"/>
                <w:color w:val="auto"/>
                <w:sz w:val="22"/>
              </w:rPr>
            </w:pPr>
            <w:r w:rsidRPr="00C801A6">
              <w:rPr>
                <w:rFonts w:cs="Times New Roman"/>
                <w:color w:val="auto"/>
                <w:sz w:val="22"/>
              </w:rPr>
              <w:t>Entreprises</w:t>
            </w:r>
          </w:p>
        </w:tc>
        <w:tc>
          <w:tcPr>
            <w:tcW w:w="6237" w:type="dxa"/>
          </w:tcPr>
          <w:p w14:paraId="6EAA65A8" w14:textId="77777777" w:rsidR="001C51E7" w:rsidRDefault="001C51E7" w:rsidP="00854ACA">
            <w:pPr>
              <w:spacing w:before="40" w:after="40" w:line="264" w:lineRule="auto"/>
              <w:ind w:left="179" w:hanging="142"/>
              <w:jc w:val="left"/>
              <w:rPr>
                <w:rFonts w:cs="Times New Roman"/>
                <w:color w:val="auto"/>
                <w:sz w:val="22"/>
              </w:rPr>
            </w:pPr>
            <w:r w:rsidRPr="00C801A6">
              <w:rPr>
                <w:rFonts w:cs="Times New Roman"/>
                <w:color w:val="auto"/>
                <w:sz w:val="22"/>
              </w:rPr>
              <w:t>–</w:t>
            </w:r>
            <w:r>
              <w:rPr>
                <w:rFonts w:cs="Times New Roman"/>
                <w:color w:val="auto"/>
                <w:sz w:val="22"/>
              </w:rPr>
              <w:t>Mise en œuvre des PGES-E liés aux travaux</w:t>
            </w:r>
          </w:p>
          <w:p w14:paraId="0794EABC" w14:textId="77777777" w:rsidR="001C51E7" w:rsidRDefault="001C51E7" w:rsidP="00854ACA">
            <w:pPr>
              <w:spacing w:before="40" w:after="40" w:line="264" w:lineRule="auto"/>
              <w:ind w:left="179" w:hanging="142"/>
              <w:jc w:val="left"/>
              <w:rPr>
                <w:rFonts w:cs="Times New Roman"/>
                <w:color w:val="auto"/>
                <w:sz w:val="22"/>
              </w:rPr>
            </w:pPr>
            <w:r w:rsidRPr="00C801A6">
              <w:rPr>
                <w:rFonts w:cs="Times New Roman"/>
                <w:color w:val="auto"/>
                <w:sz w:val="22"/>
              </w:rPr>
              <w:t>–</w:t>
            </w:r>
            <w:r>
              <w:rPr>
                <w:rFonts w:cs="Times New Roman"/>
                <w:color w:val="auto"/>
                <w:sz w:val="22"/>
              </w:rPr>
              <w:t>Prise en compte des Directives HSE dans la préparation et la mise en œuvre des travaux ;</w:t>
            </w:r>
          </w:p>
          <w:p w14:paraId="7164B706" w14:textId="77777777" w:rsidR="001C51E7" w:rsidRDefault="001C51E7" w:rsidP="00854ACA">
            <w:pPr>
              <w:spacing w:before="40" w:after="40" w:line="264" w:lineRule="auto"/>
              <w:ind w:left="179" w:hanging="142"/>
              <w:jc w:val="left"/>
              <w:rPr>
                <w:rFonts w:cs="Times New Roman"/>
                <w:color w:val="auto"/>
                <w:sz w:val="22"/>
              </w:rPr>
            </w:pPr>
            <w:r w:rsidRPr="00C801A6">
              <w:rPr>
                <w:rFonts w:cs="Times New Roman"/>
                <w:color w:val="auto"/>
                <w:sz w:val="22"/>
              </w:rPr>
              <w:t>–</w:t>
            </w:r>
            <w:r>
              <w:rPr>
                <w:rFonts w:cs="Times New Roman"/>
                <w:color w:val="auto"/>
                <w:sz w:val="22"/>
              </w:rPr>
              <w:t xml:space="preserve">Elaborent les différents outils utiles dans la mise en œuvre des différentes activités dans les composantes </w:t>
            </w:r>
          </w:p>
          <w:p w14:paraId="6DDC581C" w14:textId="7443804D" w:rsidR="001C51E7" w:rsidRPr="00C801A6" w:rsidRDefault="001C51E7" w:rsidP="00854ACA">
            <w:pPr>
              <w:spacing w:before="40" w:after="40" w:line="264" w:lineRule="auto"/>
              <w:ind w:left="179" w:hanging="142"/>
              <w:jc w:val="left"/>
              <w:rPr>
                <w:rFonts w:cs="Times New Roman"/>
                <w:color w:val="auto"/>
                <w:sz w:val="22"/>
              </w:rPr>
            </w:pPr>
            <w:r w:rsidRPr="00C801A6">
              <w:rPr>
                <w:rFonts w:cs="Times New Roman"/>
                <w:color w:val="auto"/>
                <w:sz w:val="22"/>
              </w:rPr>
              <w:t>–</w:t>
            </w:r>
            <w:r>
              <w:rPr>
                <w:rFonts w:cs="Times New Roman"/>
                <w:color w:val="auto"/>
                <w:sz w:val="22"/>
              </w:rPr>
              <w:t>Suivi environnemental et social en interne</w:t>
            </w:r>
          </w:p>
        </w:tc>
      </w:tr>
    </w:tbl>
    <w:p w14:paraId="4F4C5220" w14:textId="604F1299" w:rsidR="00851A1D" w:rsidRPr="00C801A6" w:rsidRDefault="00851A1D" w:rsidP="00347FDB">
      <w:pPr>
        <w:tabs>
          <w:tab w:val="left" w:pos="2830"/>
        </w:tabs>
        <w:spacing w:before="40" w:after="40" w:line="264" w:lineRule="auto"/>
        <w:ind w:hanging="142"/>
        <w:jc w:val="left"/>
        <w:rPr>
          <w:rFonts w:cs="Times New Roman"/>
          <w:color w:val="auto"/>
          <w:sz w:val="22"/>
          <w:lang w:eastAsia="zh-CN"/>
        </w:rPr>
      </w:pPr>
    </w:p>
    <w:p w14:paraId="048E408D" w14:textId="77777777" w:rsidR="00851A1D" w:rsidRPr="00C801A6" w:rsidRDefault="00851A1D" w:rsidP="00347FDB">
      <w:pPr>
        <w:tabs>
          <w:tab w:val="left" w:pos="2830"/>
        </w:tabs>
        <w:spacing w:before="40" w:after="40" w:line="264" w:lineRule="auto"/>
        <w:ind w:hanging="142"/>
        <w:jc w:val="left"/>
        <w:rPr>
          <w:rFonts w:cs="Times New Roman"/>
          <w:color w:val="auto"/>
          <w:sz w:val="22"/>
        </w:rPr>
      </w:pPr>
    </w:p>
    <w:p w14:paraId="17D594AC" w14:textId="77777777" w:rsidR="00575CDF" w:rsidRPr="00C801A6" w:rsidRDefault="00575CDF" w:rsidP="00575CDF">
      <w:pPr>
        <w:pStyle w:val="Normal122"/>
        <w:rPr>
          <w:lang w:val="fr-FR"/>
        </w:rPr>
        <w:sectPr w:rsidR="00575CDF" w:rsidRPr="00C801A6" w:rsidSect="00635A10">
          <w:pgSz w:w="11907" w:h="16840" w:code="9"/>
          <w:pgMar w:top="1418" w:right="1418" w:bottom="1418" w:left="1418" w:header="709" w:footer="709" w:gutter="0"/>
          <w:cols w:space="708"/>
          <w:docGrid w:linePitch="360"/>
        </w:sectPr>
      </w:pPr>
    </w:p>
    <w:p w14:paraId="77B547D9" w14:textId="77777777" w:rsidR="00575CDF" w:rsidRPr="00C801A6" w:rsidRDefault="00575CDF" w:rsidP="00014BC0">
      <w:pPr>
        <w:pStyle w:val="Heading1"/>
      </w:pPr>
      <w:bookmarkStart w:id="553" w:name="_Ref71592124"/>
      <w:bookmarkStart w:id="554" w:name="_Ref71592141"/>
      <w:bookmarkStart w:id="555" w:name="_Toc71767859"/>
      <w:bookmarkStart w:id="556" w:name="_Toc106320340"/>
      <w:bookmarkStart w:id="557" w:name="_Toc230426046"/>
      <w:r w:rsidRPr="00C801A6">
        <w:lastRenderedPageBreak/>
        <w:t>ANALYSE DES ALTERNATIVES</w:t>
      </w:r>
      <w:bookmarkEnd w:id="553"/>
      <w:bookmarkEnd w:id="554"/>
      <w:bookmarkEnd w:id="555"/>
      <w:bookmarkEnd w:id="556"/>
      <w:bookmarkEnd w:id="557"/>
    </w:p>
    <w:p w14:paraId="009246F9" w14:textId="77777777" w:rsidR="00575CDF" w:rsidRPr="00C801A6" w:rsidRDefault="00575CDF" w:rsidP="00575CDF">
      <w:pPr>
        <w:rPr>
          <w:color w:val="auto"/>
        </w:rPr>
      </w:pPr>
      <w:r w:rsidRPr="00C801A6">
        <w:rPr>
          <w:color w:val="auto"/>
        </w:rPr>
        <w:t>Selon la NES 1, les études E&amp;S doivent inclure un examen des alternatives techniquement et financièrement réalisables et la documentation de la justification du choix de l’option proposée. Dans cette section, les alternatives suivantes sont évaluées :</w:t>
      </w:r>
    </w:p>
    <w:p w14:paraId="06B96ABE" w14:textId="6BD0EAC8" w:rsidR="00575CDF" w:rsidRPr="00C801A6" w:rsidRDefault="00575CDF" w:rsidP="00014BC0">
      <w:pPr>
        <w:pStyle w:val="Heading2"/>
      </w:pPr>
      <w:bookmarkStart w:id="558" w:name="_Toc71767860"/>
      <w:bookmarkStart w:id="559" w:name="_Toc106320341"/>
      <w:bookmarkStart w:id="560" w:name="_Toc230426047"/>
      <w:r w:rsidRPr="00C801A6">
        <w:t>EVOLUTION POSSIBLE DE LA SITUATION « SANS LE PROJET</w:t>
      </w:r>
      <w:r w:rsidR="00D135C3" w:rsidRPr="00C801A6">
        <w:t xml:space="preserve"> </w:t>
      </w:r>
      <w:r w:rsidR="00542938">
        <w:t>PCMCI</w:t>
      </w:r>
      <w:r w:rsidRPr="00C801A6">
        <w:t> »</w:t>
      </w:r>
      <w:bookmarkEnd w:id="558"/>
      <w:bookmarkEnd w:id="559"/>
      <w:bookmarkEnd w:id="560"/>
    </w:p>
    <w:p w14:paraId="1240BBEA" w14:textId="06F6D6CB" w:rsidR="00575CDF" w:rsidRPr="00C801A6" w:rsidRDefault="00575CDF" w:rsidP="00575CDF">
      <w:pPr>
        <w:rPr>
          <w:color w:val="auto"/>
        </w:rPr>
      </w:pPr>
      <w:r w:rsidRPr="00C801A6">
        <w:rPr>
          <w:color w:val="auto"/>
        </w:rPr>
        <w:t xml:space="preserve">Selon le document de la </w:t>
      </w:r>
      <w:r w:rsidR="00B910A0" w:rsidRPr="00C801A6">
        <w:rPr>
          <w:color w:val="auto"/>
        </w:rPr>
        <w:t>Banque mondiale</w:t>
      </w:r>
      <w:r w:rsidRPr="00C801A6">
        <w:rPr>
          <w:color w:val="auto"/>
        </w:rPr>
        <w:t xml:space="preserve">, « Transport Note n° TRN » du 4 Juin 2005, reporter à plus tard les travaux d’entretien des routes entraîne des coûts directs et indirects élevés : </w:t>
      </w:r>
    </w:p>
    <w:p w14:paraId="5875CA86" w14:textId="77777777" w:rsidR="00575CDF" w:rsidRPr="00C801A6" w:rsidRDefault="00575CDF" w:rsidP="00844538">
      <w:pPr>
        <w:pStyle w:val="ListParagraph"/>
        <w:numPr>
          <w:ilvl w:val="0"/>
          <w:numId w:val="1"/>
        </w:numPr>
        <w:spacing w:line="276" w:lineRule="auto"/>
        <w:ind w:left="850" w:hanging="425"/>
        <w:contextualSpacing w:val="0"/>
        <w:rPr>
          <w:color w:val="auto"/>
        </w:rPr>
      </w:pPr>
      <w:r w:rsidRPr="00C801A6">
        <w:rPr>
          <w:color w:val="auto"/>
        </w:rPr>
        <w:t>Si on procède sans tarder à la réparation de la voirie, les coûts sont généralement modestes</w:t>
      </w:r>
    </w:p>
    <w:p w14:paraId="39E755F4" w14:textId="77777777" w:rsidR="00575CDF" w:rsidRPr="00C801A6" w:rsidRDefault="00575CDF" w:rsidP="00844538">
      <w:pPr>
        <w:pStyle w:val="ListParagraph"/>
        <w:numPr>
          <w:ilvl w:val="0"/>
          <w:numId w:val="1"/>
        </w:numPr>
        <w:spacing w:line="276" w:lineRule="auto"/>
        <w:ind w:left="851" w:hanging="425"/>
        <w:rPr>
          <w:color w:val="auto"/>
        </w:rPr>
      </w:pPr>
      <w:r w:rsidRPr="00C801A6">
        <w:rPr>
          <w:color w:val="auto"/>
        </w:rPr>
        <w:t>Mais si on néglige de faire les réparations qui s’imposent, un tronçon complet de route peut devenir inutilisable, ce qui obligera à le reconstruire entièrement pour un coût, en moyenne, au moins trois fois plus élevé que le coût de l'entretien.</w:t>
      </w:r>
    </w:p>
    <w:p w14:paraId="7AD93692" w14:textId="77777777" w:rsidR="00575CDF" w:rsidRPr="00C801A6" w:rsidRDefault="00575CDF" w:rsidP="002F7E21">
      <w:pPr>
        <w:ind w:left="425"/>
        <w:rPr>
          <w:color w:val="auto"/>
        </w:rPr>
      </w:pPr>
      <w:r w:rsidRPr="00C801A6">
        <w:rPr>
          <w:color w:val="auto"/>
        </w:rPr>
        <w:t>Dans le même fil d’idées, selon la South African National Road Agency Ltd. (SANRAL, 2004) :</w:t>
      </w:r>
    </w:p>
    <w:p w14:paraId="7A0F836F" w14:textId="77777777" w:rsidR="00575CDF" w:rsidRPr="00C801A6" w:rsidRDefault="00575CDF" w:rsidP="00844538">
      <w:pPr>
        <w:pStyle w:val="ListParagraph"/>
        <w:numPr>
          <w:ilvl w:val="0"/>
          <w:numId w:val="37"/>
        </w:numPr>
        <w:spacing w:line="276" w:lineRule="auto"/>
        <w:ind w:left="850" w:hanging="425"/>
        <w:contextualSpacing w:val="0"/>
        <w:rPr>
          <w:color w:val="auto"/>
        </w:rPr>
      </w:pPr>
      <w:r w:rsidRPr="00C801A6">
        <w:rPr>
          <w:color w:val="auto"/>
        </w:rPr>
        <w:t xml:space="preserve">après trois ans de négligence, les coûts de réfection représenteraient six fois les coûts d’entretien, </w:t>
      </w:r>
    </w:p>
    <w:p w14:paraId="40323807" w14:textId="77777777" w:rsidR="00575CDF" w:rsidRPr="00C801A6" w:rsidRDefault="00575CDF" w:rsidP="00844538">
      <w:pPr>
        <w:pStyle w:val="ListParagraph"/>
        <w:numPr>
          <w:ilvl w:val="0"/>
          <w:numId w:val="37"/>
        </w:numPr>
        <w:spacing w:line="276" w:lineRule="auto"/>
        <w:ind w:left="851" w:hanging="425"/>
        <w:rPr>
          <w:color w:val="auto"/>
        </w:rPr>
      </w:pPr>
      <w:r w:rsidRPr="00C801A6">
        <w:rPr>
          <w:color w:val="auto"/>
        </w:rPr>
        <w:t>si on attend cinq ans, les coûts deviendraient 18 fois plus.</w:t>
      </w:r>
    </w:p>
    <w:p w14:paraId="619C4460" w14:textId="77777777" w:rsidR="00575CDF" w:rsidRPr="00C801A6" w:rsidRDefault="00575CDF" w:rsidP="002F7E21">
      <w:pPr>
        <w:ind w:left="425"/>
        <w:rPr>
          <w:color w:val="auto"/>
        </w:rPr>
      </w:pPr>
      <w:r w:rsidRPr="00C801A6">
        <w:rPr>
          <w:color w:val="auto"/>
        </w:rPr>
        <w:t>Mis à part les coûts, les objectifs socioéconomiques ne seront pas atteints, entre autres :</w:t>
      </w:r>
    </w:p>
    <w:p w14:paraId="42F7FCED" w14:textId="77777777" w:rsidR="00575CDF" w:rsidRPr="00C801A6" w:rsidRDefault="00575CDF" w:rsidP="00844538">
      <w:pPr>
        <w:pStyle w:val="ListParagraph"/>
        <w:numPr>
          <w:ilvl w:val="0"/>
          <w:numId w:val="4"/>
        </w:numPr>
        <w:spacing w:line="276" w:lineRule="auto"/>
        <w:ind w:left="851" w:hanging="425"/>
        <w:contextualSpacing w:val="0"/>
        <w:rPr>
          <w:color w:val="auto"/>
        </w:rPr>
      </w:pPr>
      <w:r w:rsidRPr="00C801A6">
        <w:rPr>
          <w:color w:val="auto"/>
        </w:rPr>
        <w:t>La sécurité des biens et des personnes sur le parcours considéré ne sera pas améliorée (accidents de la route, autres) ;</w:t>
      </w:r>
    </w:p>
    <w:p w14:paraId="3EAEF913" w14:textId="77777777" w:rsidR="00575CDF" w:rsidRPr="00C801A6" w:rsidRDefault="00575CDF" w:rsidP="00844538">
      <w:pPr>
        <w:pStyle w:val="ListParagraph"/>
        <w:numPr>
          <w:ilvl w:val="0"/>
          <w:numId w:val="4"/>
        </w:numPr>
        <w:spacing w:line="276" w:lineRule="auto"/>
        <w:ind w:left="851" w:hanging="425"/>
        <w:contextualSpacing w:val="0"/>
        <w:rPr>
          <w:color w:val="auto"/>
        </w:rPr>
      </w:pPr>
      <w:r w:rsidRPr="00C801A6">
        <w:rPr>
          <w:color w:val="auto"/>
        </w:rPr>
        <w:t>Le temps de parcours et les coûts des déplacements iront en se dégradant ;</w:t>
      </w:r>
    </w:p>
    <w:p w14:paraId="599613BC" w14:textId="77777777" w:rsidR="00575CDF" w:rsidRPr="00C801A6" w:rsidRDefault="00575CDF" w:rsidP="00844538">
      <w:pPr>
        <w:pStyle w:val="ListParagraph"/>
        <w:numPr>
          <w:ilvl w:val="0"/>
          <w:numId w:val="4"/>
        </w:numPr>
        <w:spacing w:line="276" w:lineRule="auto"/>
        <w:ind w:left="851" w:hanging="425"/>
        <w:contextualSpacing w:val="0"/>
        <w:rPr>
          <w:color w:val="auto"/>
        </w:rPr>
      </w:pPr>
      <w:r w:rsidRPr="00C801A6">
        <w:rPr>
          <w:color w:val="auto"/>
        </w:rPr>
        <w:t>Les échanges économiques seront de plus en plus difficiles alors qu’une route nationale est prévue relier des centres économiques ;</w:t>
      </w:r>
    </w:p>
    <w:p w14:paraId="6D7FF839" w14:textId="77777777" w:rsidR="00575CDF" w:rsidRPr="00C801A6" w:rsidRDefault="00575CDF" w:rsidP="00844538">
      <w:pPr>
        <w:pStyle w:val="ListParagraph"/>
        <w:numPr>
          <w:ilvl w:val="0"/>
          <w:numId w:val="4"/>
        </w:numPr>
        <w:spacing w:line="276" w:lineRule="auto"/>
        <w:ind w:left="851" w:hanging="425"/>
        <w:contextualSpacing w:val="0"/>
        <w:rPr>
          <w:color w:val="auto"/>
        </w:rPr>
      </w:pPr>
      <w:r w:rsidRPr="00C801A6">
        <w:rPr>
          <w:color w:val="auto"/>
        </w:rPr>
        <w:t>Il n’y aura pas de création d’emplois dans le secteur, les entreprises de génie civil auront moins d’opportunités ;</w:t>
      </w:r>
    </w:p>
    <w:p w14:paraId="6162963F" w14:textId="77777777" w:rsidR="00575CDF" w:rsidRPr="00C801A6" w:rsidRDefault="00575CDF" w:rsidP="00844538">
      <w:pPr>
        <w:pStyle w:val="ListParagraph"/>
        <w:numPr>
          <w:ilvl w:val="0"/>
          <w:numId w:val="4"/>
        </w:numPr>
        <w:spacing w:line="276" w:lineRule="auto"/>
        <w:ind w:left="851" w:hanging="425"/>
        <w:contextualSpacing w:val="0"/>
        <w:rPr>
          <w:color w:val="auto"/>
        </w:rPr>
      </w:pPr>
      <w:r w:rsidRPr="00C801A6">
        <w:rPr>
          <w:color w:val="auto"/>
        </w:rPr>
        <w:t>Autres.</w:t>
      </w:r>
    </w:p>
    <w:p w14:paraId="1E2ACC53" w14:textId="2DB5CE7A" w:rsidR="00575CDF" w:rsidRPr="00C801A6" w:rsidRDefault="00575CDF" w:rsidP="00575CDF">
      <w:pPr>
        <w:rPr>
          <w:color w:val="auto"/>
        </w:rPr>
      </w:pPr>
      <w:r w:rsidRPr="00C801A6">
        <w:rPr>
          <w:color w:val="auto"/>
        </w:rPr>
        <w:t>En résumé, les contributions du secteur « Transports » à l’économie ne seront pas assurés.</w:t>
      </w:r>
    </w:p>
    <w:p w14:paraId="32BEE92D" w14:textId="18424ABB" w:rsidR="00D135C3" w:rsidRPr="00C801A6" w:rsidRDefault="00D135C3" w:rsidP="00014BC0">
      <w:pPr>
        <w:pStyle w:val="Heading2"/>
      </w:pPr>
      <w:bookmarkStart w:id="561" w:name="_Toc106320342"/>
      <w:bookmarkStart w:id="562" w:name="_Toc230426048"/>
      <w:r w:rsidRPr="00C801A6">
        <w:t xml:space="preserve">Evolution de la situation </w:t>
      </w:r>
      <w:r w:rsidR="00A0167E" w:rsidRPr="00C801A6">
        <w:t>sa</w:t>
      </w:r>
      <w:r w:rsidRPr="00C801A6">
        <w:t>ns la Composante CERC</w:t>
      </w:r>
      <w:bookmarkEnd w:id="561"/>
      <w:bookmarkEnd w:id="562"/>
    </w:p>
    <w:p w14:paraId="39EE9B95" w14:textId="4730CB27" w:rsidR="00A0167E" w:rsidRPr="00C801A6" w:rsidRDefault="00D135C3" w:rsidP="00D135C3">
      <w:pPr>
        <w:rPr>
          <w:color w:val="auto"/>
        </w:rPr>
      </w:pPr>
      <w:r w:rsidRPr="00C801A6">
        <w:rPr>
          <w:color w:val="auto"/>
        </w:rPr>
        <w:t>Le GoM manque de ressources financières. Sans le déclenchement de la Composante CERC du P</w:t>
      </w:r>
      <w:r w:rsidR="00BA1420">
        <w:rPr>
          <w:color w:val="auto"/>
        </w:rPr>
        <w:t>CMCI</w:t>
      </w:r>
      <w:r w:rsidRPr="00C801A6">
        <w:rPr>
          <w:color w:val="auto"/>
        </w:rPr>
        <w:t xml:space="preserve">, les infrastructures endommagées </w:t>
      </w:r>
      <w:r w:rsidR="00BA1420">
        <w:rPr>
          <w:color w:val="auto"/>
        </w:rPr>
        <w:t>par les intempéries</w:t>
      </w:r>
      <w:r w:rsidRPr="00C801A6">
        <w:rPr>
          <w:color w:val="auto"/>
        </w:rPr>
        <w:t xml:space="preserve"> mettront beaucoup de temps à être reconstruites ou réhabilitées. </w:t>
      </w:r>
    </w:p>
    <w:p w14:paraId="778FEFEE" w14:textId="4239AEAB" w:rsidR="00D135C3" w:rsidRPr="00C801A6" w:rsidRDefault="00D135C3" w:rsidP="00D135C3">
      <w:pPr>
        <w:rPr>
          <w:color w:val="auto"/>
        </w:rPr>
      </w:pPr>
      <w:r w:rsidRPr="00C801A6">
        <w:rPr>
          <w:color w:val="auto"/>
        </w:rPr>
        <w:t>Il est même possible qu’une partie restera non réhabilitée.</w:t>
      </w:r>
    </w:p>
    <w:p w14:paraId="6AED5308" w14:textId="7D7E77A5" w:rsidR="00575CDF" w:rsidRPr="00C801A6" w:rsidRDefault="00575CDF" w:rsidP="00014BC0">
      <w:pPr>
        <w:pStyle w:val="Heading2"/>
      </w:pPr>
      <w:bookmarkStart w:id="563" w:name="_Toc71767861"/>
      <w:bookmarkStart w:id="564" w:name="_Toc106320343"/>
      <w:bookmarkStart w:id="565" w:name="_Toc230426049"/>
      <w:r w:rsidRPr="00C801A6">
        <w:lastRenderedPageBreak/>
        <w:t>SITUATION « AVEC LE PROJET »</w:t>
      </w:r>
      <w:bookmarkEnd w:id="563"/>
      <w:r w:rsidR="00D135C3" w:rsidRPr="00C801A6">
        <w:t>, y compris le CERC</w:t>
      </w:r>
      <w:bookmarkEnd w:id="564"/>
      <w:bookmarkEnd w:id="565"/>
    </w:p>
    <w:p w14:paraId="2D9753AB" w14:textId="4B116BA1" w:rsidR="00575CDF" w:rsidRPr="00C801A6" w:rsidRDefault="00D135C3" w:rsidP="00575CDF">
      <w:pPr>
        <w:rPr>
          <w:color w:val="auto"/>
        </w:rPr>
      </w:pPr>
      <w:r w:rsidRPr="00C801A6">
        <w:rPr>
          <w:color w:val="auto"/>
        </w:rPr>
        <w:t>Pour la Composante 1 : la</w:t>
      </w:r>
      <w:r w:rsidR="00575CDF" w:rsidRPr="00C801A6">
        <w:rPr>
          <w:color w:val="auto"/>
        </w:rPr>
        <w:t xml:space="preserve"> situation est analysée en détails dans la Section </w:t>
      </w:r>
      <w:r w:rsidR="00575CDF" w:rsidRPr="00C801A6">
        <w:rPr>
          <w:b/>
          <w:color w:val="auto"/>
        </w:rPr>
        <w:fldChar w:fldCharType="begin"/>
      </w:r>
      <w:r w:rsidR="00575CDF" w:rsidRPr="00C801A6">
        <w:rPr>
          <w:b/>
          <w:color w:val="auto"/>
        </w:rPr>
        <w:instrText xml:space="preserve"> REF _Ref71593963 \w \h  \* MERGEFORMAT </w:instrText>
      </w:r>
      <w:r w:rsidR="00575CDF" w:rsidRPr="00C801A6">
        <w:rPr>
          <w:b/>
          <w:color w:val="auto"/>
        </w:rPr>
      </w:r>
      <w:r w:rsidR="00575CDF" w:rsidRPr="00C801A6">
        <w:rPr>
          <w:b/>
          <w:color w:val="auto"/>
        </w:rPr>
        <w:fldChar w:fldCharType="separate"/>
      </w:r>
      <w:r w:rsidR="00635A10">
        <w:rPr>
          <w:b/>
          <w:color w:val="auto"/>
        </w:rPr>
        <w:t>0</w:t>
      </w:r>
      <w:r w:rsidR="00575CDF" w:rsidRPr="00C801A6">
        <w:rPr>
          <w:b/>
          <w:color w:val="auto"/>
        </w:rPr>
        <w:fldChar w:fldCharType="end"/>
      </w:r>
      <w:r w:rsidR="00575CDF" w:rsidRPr="00C801A6">
        <w:rPr>
          <w:b/>
          <w:color w:val="auto"/>
        </w:rPr>
        <w:t xml:space="preserve">. </w:t>
      </w:r>
      <w:r w:rsidR="00575CDF" w:rsidRPr="00C801A6">
        <w:rPr>
          <w:color w:val="auto"/>
        </w:rPr>
        <w:t>N’empêche qu’il est utile de rappeler que, pour cette situation, des sous-options existent :</w:t>
      </w:r>
    </w:p>
    <w:p w14:paraId="2171810B" w14:textId="77777777" w:rsidR="00575CDF" w:rsidRPr="00C801A6" w:rsidRDefault="00575CDF" w:rsidP="00844538">
      <w:pPr>
        <w:pStyle w:val="ListParagraph"/>
        <w:numPr>
          <w:ilvl w:val="0"/>
          <w:numId w:val="1"/>
        </w:numPr>
        <w:spacing w:after="40" w:line="276" w:lineRule="auto"/>
        <w:ind w:left="850" w:hanging="425"/>
        <w:contextualSpacing w:val="0"/>
        <w:rPr>
          <w:color w:val="auto"/>
        </w:rPr>
      </w:pPr>
      <w:r w:rsidRPr="00C801A6">
        <w:rPr>
          <w:color w:val="auto"/>
        </w:rPr>
        <w:t>Entretien courant</w:t>
      </w:r>
    </w:p>
    <w:p w14:paraId="1A704622" w14:textId="77777777" w:rsidR="00575CDF" w:rsidRPr="00C801A6" w:rsidRDefault="00575CDF" w:rsidP="00844538">
      <w:pPr>
        <w:pStyle w:val="ListParagraph"/>
        <w:numPr>
          <w:ilvl w:val="0"/>
          <w:numId w:val="1"/>
        </w:numPr>
        <w:spacing w:line="276" w:lineRule="auto"/>
        <w:ind w:left="850" w:hanging="425"/>
        <w:contextualSpacing w:val="0"/>
        <w:rPr>
          <w:color w:val="auto"/>
        </w:rPr>
      </w:pPr>
      <w:r w:rsidRPr="00C801A6">
        <w:rPr>
          <w:color w:val="auto"/>
        </w:rPr>
        <w:t>Entretien périodique.</w:t>
      </w:r>
    </w:p>
    <w:p w14:paraId="603F5699" w14:textId="18578339" w:rsidR="00575CDF" w:rsidRPr="00C801A6" w:rsidRDefault="00575CDF" w:rsidP="00575CDF">
      <w:pPr>
        <w:rPr>
          <w:color w:val="auto"/>
        </w:rPr>
      </w:pPr>
      <w:r w:rsidRPr="00C801A6">
        <w:rPr>
          <w:color w:val="auto"/>
        </w:rPr>
        <w:t>Dans un cas comme dans l’autre, les avantages socioéconomiques sont nombreux.</w:t>
      </w:r>
    </w:p>
    <w:p w14:paraId="7051E6DD" w14:textId="5570C2B0" w:rsidR="00D135C3" w:rsidRPr="00C801A6" w:rsidRDefault="00A0167E" w:rsidP="00575CDF">
      <w:pPr>
        <w:rPr>
          <w:color w:val="auto"/>
        </w:rPr>
      </w:pPr>
      <w:r w:rsidRPr="00C801A6">
        <w:rPr>
          <w:color w:val="auto"/>
        </w:rPr>
        <w:t>Pour la Composante CERC : Les retombées positives seront multiples et se feront ressentir à court terme. D’une manière générale, les activités CERC assureront la continuité des services pour tous les secteurs concernés.</w:t>
      </w:r>
    </w:p>
    <w:p w14:paraId="78EA1A06" w14:textId="77777777" w:rsidR="00575CDF" w:rsidRPr="00C801A6" w:rsidRDefault="00575CDF" w:rsidP="00014BC0">
      <w:pPr>
        <w:pStyle w:val="Heading2"/>
      </w:pPr>
      <w:bookmarkStart w:id="566" w:name="_Toc71767862"/>
      <w:bookmarkStart w:id="567" w:name="_Toc106320344"/>
      <w:bookmarkStart w:id="568" w:name="_Toc230426050"/>
      <w:r w:rsidRPr="00C801A6">
        <w:t>CONCLUSIONS PARTIELLES</w:t>
      </w:r>
      <w:bookmarkEnd w:id="566"/>
      <w:bookmarkEnd w:id="567"/>
      <w:bookmarkEnd w:id="568"/>
    </w:p>
    <w:p w14:paraId="47F54E57" w14:textId="12F0245D" w:rsidR="00575CDF" w:rsidRPr="00C801A6" w:rsidRDefault="00575CDF" w:rsidP="00575CDF">
      <w:pPr>
        <w:rPr>
          <w:color w:val="auto"/>
        </w:rPr>
      </w:pPr>
      <w:r w:rsidRPr="00C801A6">
        <w:rPr>
          <w:color w:val="auto"/>
        </w:rPr>
        <w:t>Pour le cas du secteur « routes nationales »</w:t>
      </w:r>
      <w:r w:rsidR="00BA1420">
        <w:rPr>
          <w:color w:val="auto"/>
        </w:rPr>
        <w:t xml:space="preserve"> et du secteur « transport maritime »</w:t>
      </w:r>
      <w:r w:rsidRPr="00C801A6">
        <w:rPr>
          <w:color w:val="auto"/>
        </w:rPr>
        <w:t>, la documentation sur les situations « sans le projet » et « avec le projet » est très bien fournie que ce soit au plan national ou au plan international. En somme :</w:t>
      </w:r>
    </w:p>
    <w:p w14:paraId="28CB4AAE" w14:textId="39E0F66A" w:rsidR="00575CDF" w:rsidRPr="00C801A6" w:rsidRDefault="00575CDF" w:rsidP="00844538">
      <w:pPr>
        <w:pStyle w:val="ListParagraph"/>
        <w:numPr>
          <w:ilvl w:val="0"/>
          <w:numId w:val="1"/>
        </w:numPr>
        <w:spacing w:line="276" w:lineRule="auto"/>
        <w:ind w:left="850" w:hanging="425"/>
        <w:contextualSpacing w:val="0"/>
        <w:rPr>
          <w:color w:val="auto"/>
        </w:rPr>
      </w:pPr>
      <w:r w:rsidRPr="00C801A6">
        <w:rPr>
          <w:color w:val="auto"/>
        </w:rPr>
        <w:t xml:space="preserve">L’option « no-go » ne se justifie que dans des situations exceptionnelles dans le pays, par exemple suite à une crise sociopolitique. Autrement, </w:t>
      </w:r>
      <w:r w:rsidR="002F7E21" w:rsidRPr="00C801A6">
        <w:rPr>
          <w:color w:val="auto"/>
        </w:rPr>
        <w:t>à moins que le G</w:t>
      </w:r>
      <w:r w:rsidR="002E4ABA" w:rsidRPr="00C801A6">
        <w:rPr>
          <w:color w:val="auto"/>
        </w:rPr>
        <w:t>o</w:t>
      </w:r>
      <w:r w:rsidR="002F7E21" w:rsidRPr="00C801A6">
        <w:rPr>
          <w:color w:val="auto"/>
        </w:rPr>
        <w:t>uvernement ne décide autrement</w:t>
      </w:r>
      <w:r w:rsidRPr="00C801A6">
        <w:rPr>
          <w:color w:val="auto"/>
        </w:rPr>
        <w:t>, cette option devrait toujours être exclue.</w:t>
      </w:r>
    </w:p>
    <w:p w14:paraId="19FCBE58" w14:textId="1A076B29" w:rsidR="00575CDF" w:rsidRPr="00C801A6" w:rsidRDefault="00575CDF" w:rsidP="00844538">
      <w:pPr>
        <w:pStyle w:val="ListParagraph"/>
        <w:numPr>
          <w:ilvl w:val="0"/>
          <w:numId w:val="1"/>
        </w:numPr>
        <w:spacing w:line="276" w:lineRule="auto"/>
        <w:ind w:left="850" w:hanging="425"/>
        <w:contextualSpacing w:val="0"/>
        <w:rPr>
          <w:color w:val="auto"/>
        </w:rPr>
      </w:pPr>
      <w:r w:rsidRPr="00C801A6">
        <w:rPr>
          <w:color w:val="auto"/>
        </w:rPr>
        <w:t xml:space="preserve">En cas de crise sanitaire ou d’autres urgences (cataclysmes naturels, autres), les avantages liés à bon réseau routier </w:t>
      </w:r>
      <w:r w:rsidR="002F7E21" w:rsidRPr="00C801A6">
        <w:rPr>
          <w:color w:val="auto"/>
        </w:rPr>
        <w:t xml:space="preserve">/ </w:t>
      </w:r>
      <w:r w:rsidR="0043239F">
        <w:rPr>
          <w:color w:val="auto"/>
        </w:rPr>
        <w:t>maritime</w:t>
      </w:r>
      <w:r w:rsidR="002F7E21" w:rsidRPr="00C801A6">
        <w:rPr>
          <w:color w:val="auto"/>
        </w:rPr>
        <w:t xml:space="preserve"> </w:t>
      </w:r>
      <w:r w:rsidRPr="00C801A6">
        <w:rPr>
          <w:color w:val="auto"/>
        </w:rPr>
        <w:t>faciliteront les opérations</w:t>
      </w:r>
      <w:r w:rsidR="002F7E21" w:rsidRPr="00C801A6">
        <w:rPr>
          <w:color w:val="auto"/>
        </w:rPr>
        <w:t xml:space="preserve"> d’aide aux sinistrés</w:t>
      </w:r>
      <w:r w:rsidRPr="00C801A6">
        <w:rPr>
          <w:color w:val="auto"/>
        </w:rPr>
        <w:t>.</w:t>
      </w:r>
      <w:r w:rsidR="002F7E21" w:rsidRPr="00C801A6">
        <w:rPr>
          <w:color w:val="auto"/>
        </w:rPr>
        <w:t xml:space="preserve"> </w:t>
      </w:r>
      <w:r w:rsidR="00F732F9" w:rsidRPr="00C801A6">
        <w:rPr>
          <w:color w:val="auto"/>
        </w:rPr>
        <w:t>En outre, u</w:t>
      </w:r>
      <w:r w:rsidR="002F7E21" w:rsidRPr="00C801A6">
        <w:rPr>
          <w:color w:val="auto"/>
        </w:rPr>
        <w:t>n bon réseau d’alimentation en électricité faciliter</w:t>
      </w:r>
      <w:r w:rsidR="00BA1420">
        <w:rPr>
          <w:color w:val="auto"/>
        </w:rPr>
        <w:t>ait</w:t>
      </w:r>
      <w:r w:rsidR="002F7E21" w:rsidRPr="00C801A6">
        <w:rPr>
          <w:color w:val="auto"/>
        </w:rPr>
        <w:t>, entre autres, les communications</w:t>
      </w:r>
      <w:r w:rsidR="00F732F9" w:rsidRPr="00C801A6">
        <w:rPr>
          <w:color w:val="auto"/>
        </w:rPr>
        <w:t xml:space="preserve"> entre les parties concernées</w:t>
      </w:r>
      <w:r w:rsidR="002F7E21" w:rsidRPr="00C801A6">
        <w:rPr>
          <w:color w:val="auto"/>
        </w:rPr>
        <w:t>.</w:t>
      </w:r>
    </w:p>
    <w:p w14:paraId="101EF43D" w14:textId="4DA2FC72" w:rsidR="00575CDF" w:rsidRPr="00C801A6" w:rsidRDefault="00575CDF" w:rsidP="00844538">
      <w:pPr>
        <w:pStyle w:val="ListParagraph"/>
        <w:numPr>
          <w:ilvl w:val="0"/>
          <w:numId w:val="1"/>
        </w:numPr>
        <w:spacing w:line="276" w:lineRule="auto"/>
        <w:ind w:left="851" w:hanging="425"/>
        <w:contextualSpacing w:val="0"/>
        <w:rPr>
          <w:color w:val="auto"/>
        </w:rPr>
      </w:pPr>
      <w:r w:rsidRPr="00C801A6">
        <w:rPr>
          <w:color w:val="auto"/>
        </w:rPr>
        <w:t xml:space="preserve">En période de normalité, </w:t>
      </w:r>
      <w:r w:rsidR="002F7E21" w:rsidRPr="00C801A6">
        <w:rPr>
          <w:color w:val="auto"/>
        </w:rPr>
        <w:t>des infrastructures</w:t>
      </w:r>
      <w:r w:rsidRPr="00C801A6">
        <w:rPr>
          <w:color w:val="auto"/>
        </w:rPr>
        <w:t xml:space="preserve"> </w:t>
      </w:r>
      <w:r w:rsidR="00854ACA">
        <w:rPr>
          <w:color w:val="auto"/>
        </w:rPr>
        <w:t xml:space="preserve">de transport </w:t>
      </w:r>
      <w:r w:rsidRPr="00C801A6">
        <w:rPr>
          <w:color w:val="auto"/>
        </w:rPr>
        <w:t>bien entretenue</w:t>
      </w:r>
      <w:r w:rsidR="002F7E21" w:rsidRPr="00C801A6">
        <w:rPr>
          <w:color w:val="auto"/>
        </w:rPr>
        <w:t>s</w:t>
      </w:r>
      <w:r w:rsidRPr="00C801A6">
        <w:rPr>
          <w:color w:val="auto"/>
        </w:rPr>
        <w:t xml:space="preserve"> contribue</w:t>
      </w:r>
      <w:r w:rsidR="002F7E21" w:rsidRPr="00C801A6">
        <w:rPr>
          <w:color w:val="auto"/>
        </w:rPr>
        <w:t>nt</w:t>
      </w:r>
      <w:r w:rsidRPr="00C801A6">
        <w:rPr>
          <w:color w:val="auto"/>
        </w:rPr>
        <w:t xml:space="preserve"> grandement au développement socioéconomiqu</w:t>
      </w:r>
      <w:r w:rsidR="00BA1420">
        <w:rPr>
          <w:color w:val="auto"/>
        </w:rPr>
        <w:t>e</w:t>
      </w:r>
      <w:r w:rsidRPr="00C801A6">
        <w:rPr>
          <w:color w:val="auto"/>
        </w:rPr>
        <w:t>.</w:t>
      </w:r>
    </w:p>
    <w:p w14:paraId="6C2837E5" w14:textId="510AB1ED" w:rsidR="00F573A1" w:rsidRPr="00C801A6" w:rsidRDefault="00F573A1" w:rsidP="00844538">
      <w:pPr>
        <w:pStyle w:val="ListParagraph"/>
        <w:numPr>
          <w:ilvl w:val="0"/>
          <w:numId w:val="1"/>
        </w:numPr>
        <w:spacing w:line="276" w:lineRule="auto"/>
        <w:ind w:left="851" w:hanging="425"/>
        <w:contextualSpacing w:val="0"/>
        <w:rPr>
          <w:color w:val="auto"/>
        </w:rPr>
      </w:pPr>
      <w:r w:rsidRPr="00C801A6">
        <w:rPr>
          <w:color w:val="auto"/>
        </w:rPr>
        <w:t xml:space="preserve">D’une manière globale, la mise en œuvre des activités CERC permettra d’assurer la continuité des services actuels : transports routiers et voies </w:t>
      </w:r>
      <w:r w:rsidR="0043239F">
        <w:rPr>
          <w:color w:val="auto"/>
        </w:rPr>
        <w:t>maritimes</w:t>
      </w:r>
      <w:r w:rsidRPr="00C801A6">
        <w:rPr>
          <w:color w:val="auto"/>
        </w:rPr>
        <w:t>, autres.</w:t>
      </w:r>
    </w:p>
    <w:p w14:paraId="0E8C7977" w14:textId="4BA61EE6" w:rsidR="00575CDF" w:rsidRPr="00C801A6" w:rsidRDefault="00575CDF" w:rsidP="00575CDF">
      <w:pPr>
        <w:rPr>
          <w:color w:val="auto"/>
        </w:rPr>
      </w:pPr>
      <w:r w:rsidRPr="00C801A6">
        <w:rPr>
          <w:color w:val="auto"/>
        </w:rPr>
        <w:t>En somme, il est recommandé d’exclure l’option « no-go »</w:t>
      </w:r>
      <w:r w:rsidR="00F573A1" w:rsidRPr="00C801A6">
        <w:rPr>
          <w:color w:val="auto"/>
        </w:rPr>
        <w:t>, aussi bien pour la Composante 1 que pour la Composante CERC.</w:t>
      </w:r>
    </w:p>
    <w:p w14:paraId="5BA46997" w14:textId="77777777" w:rsidR="00575CDF" w:rsidRDefault="00575CDF" w:rsidP="00575CDF">
      <w:pPr>
        <w:pStyle w:val="Normal122"/>
        <w:spacing w:line="276" w:lineRule="auto"/>
        <w:rPr>
          <w:lang w:val="fr-FR"/>
        </w:rPr>
      </w:pPr>
    </w:p>
    <w:p w14:paraId="690BF806" w14:textId="3CA3313B" w:rsidR="00987286" w:rsidRPr="00C801A6" w:rsidRDefault="00987286" w:rsidP="00575CDF">
      <w:pPr>
        <w:pStyle w:val="Normal122"/>
        <w:spacing w:line="276" w:lineRule="auto"/>
        <w:rPr>
          <w:lang w:val="fr-FR"/>
        </w:rPr>
        <w:sectPr w:rsidR="00987286" w:rsidRPr="00C801A6" w:rsidSect="00635A10">
          <w:pgSz w:w="11907" w:h="16840" w:code="9"/>
          <w:pgMar w:top="1418" w:right="1418" w:bottom="1418" w:left="1418" w:header="709" w:footer="709" w:gutter="0"/>
          <w:cols w:space="708"/>
          <w:docGrid w:linePitch="360"/>
        </w:sectPr>
      </w:pPr>
    </w:p>
    <w:p w14:paraId="0B36E7E8" w14:textId="77777777" w:rsidR="00575CDF" w:rsidRPr="00C801A6" w:rsidRDefault="00575CDF" w:rsidP="00014BC0">
      <w:pPr>
        <w:pStyle w:val="Heading1"/>
      </w:pPr>
      <w:bookmarkStart w:id="569" w:name="_Toc71767863"/>
      <w:bookmarkStart w:id="570" w:name="_Toc106320345"/>
      <w:bookmarkStart w:id="571" w:name="_Toc230426051"/>
      <w:r w:rsidRPr="00C801A6">
        <w:lastRenderedPageBreak/>
        <w:t>IDENTIFICATION ET EVALUATION DES IMPACTS POTENTIELS types</w:t>
      </w:r>
      <w:bookmarkEnd w:id="569"/>
      <w:bookmarkEnd w:id="570"/>
      <w:bookmarkEnd w:id="571"/>
    </w:p>
    <w:p w14:paraId="546B6E12" w14:textId="77777777" w:rsidR="00575CDF" w:rsidRPr="00C801A6" w:rsidRDefault="00575CDF" w:rsidP="00575CDF">
      <w:pPr>
        <w:rPr>
          <w:color w:val="auto"/>
        </w:rPr>
      </w:pPr>
      <w:r w:rsidRPr="00987286">
        <w:rPr>
          <w:color w:val="auto"/>
        </w:rPr>
        <w:t>A titre de rappel, ce sont les activités relatives à un projet donné qui constituent les sources d’impacts. Dans le cas de travaux routiers, les activités sont liées à l’état de dégradation de la route considérée : il s’avère alors utile de donner un bref aperçu sur les divers types de dégradation pour mieux comprendre les impacts E&amp;S.</w:t>
      </w:r>
    </w:p>
    <w:p w14:paraId="386A8A9F" w14:textId="0811CDBF" w:rsidR="00575CDF" w:rsidRPr="00C801A6" w:rsidRDefault="00575CDF" w:rsidP="00014BC0">
      <w:pPr>
        <w:pStyle w:val="Heading2"/>
      </w:pPr>
      <w:bookmarkStart w:id="572" w:name="_Toc71767864"/>
      <w:bookmarkStart w:id="573" w:name="_Toc106320346"/>
      <w:bookmarkStart w:id="574" w:name="_Toc230426052"/>
      <w:r w:rsidRPr="00C801A6">
        <w:t>SOURCES ET TYPES DE DEGRADATION</w:t>
      </w:r>
      <w:bookmarkEnd w:id="572"/>
      <w:bookmarkEnd w:id="573"/>
      <w:bookmarkEnd w:id="574"/>
    </w:p>
    <w:p w14:paraId="56E0F8AE" w14:textId="5E74C1E9" w:rsidR="0043239F" w:rsidRPr="00C801A6" w:rsidRDefault="0043239F" w:rsidP="00C65572">
      <w:pPr>
        <w:pStyle w:val="Heading3"/>
      </w:pPr>
      <w:bookmarkStart w:id="575" w:name="_Toc230426053"/>
      <w:r>
        <w:t>Dégradation des routes</w:t>
      </w:r>
      <w:bookmarkEnd w:id="575"/>
    </w:p>
    <w:p w14:paraId="6A54C6AF" w14:textId="56BAF6D7" w:rsidR="00575CDF" w:rsidRPr="00C801A6" w:rsidRDefault="00575CDF" w:rsidP="00575CDF">
      <w:pPr>
        <w:rPr>
          <w:color w:val="auto"/>
        </w:rPr>
      </w:pPr>
      <w:r w:rsidRPr="00C801A6">
        <w:rPr>
          <w:color w:val="auto"/>
        </w:rPr>
        <w:t>Sur une route nationale donnée, les dégradations varient souvent avec les tronçons : l’on note des tronçons où il n’y a pas de dégradations, sur certains tronçons le niveau de dégradation est faible et, sur d’autres sections, les dégradations sont plus avancées.</w:t>
      </w:r>
    </w:p>
    <w:p w14:paraId="51570802" w14:textId="77777777" w:rsidR="00575CDF" w:rsidRPr="00C801A6" w:rsidRDefault="00575CDF" w:rsidP="00575CDF">
      <w:pPr>
        <w:rPr>
          <w:color w:val="auto"/>
        </w:rPr>
      </w:pPr>
      <w:r w:rsidRPr="00C801A6">
        <w:rPr>
          <w:color w:val="auto"/>
        </w:rPr>
        <w:t>A ce titre, plusieurs méthodes peuvent être utilisées pour évaluer le niveau de dégradation d’une route revêtue (basé sur l’indice de dégradation sur des sections homogènes).</w:t>
      </w:r>
    </w:p>
    <w:p w14:paraId="12DB05CD" w14:textId="77777777" w:rsidR="00575CDF" w:rsidRPr="00C801A6" w:rsidRDefault="00575CDF" w:rsidP="00575CDF">
      <w:pPr>
        <w:rPr>
          <w:color w:val="auto"/>
        </w:rPr>
      </w:pPr>
      <w:r w:rsidRPr="00C801A6">
        <w:rPr>
          <w:color w:val="auto"/>
        </w:rPr>
        <w:t>L’indice de dégradation permettra, par la suite, de déterminer le niveau d’aménagement requis pour la route considérée.</w:t>
      </w:r>
    </w:p>
    <w:p w14:paraId="777A517A" w14:textId="77777777" w:rsidR="00575CDF" w:rsidRPr="00C801A6" w:rsidRDefault="00575CDF" w:rsidP="00575CDF">
      <w:pPr>
        <w:rPr>
          <w:color w:val="auto"/>
          <w:szCs w:val="24"/>
        </w:rPr>
      </w:pPr>
      <w:bookmarkStart w:id="576" w:name="_Toc71181869"/>
      <w:r w:rsidRPr="00C801A6">
        <w:rPr>
          <w:color w:val="auto"/>
          <w:szCs w:val="24"/>
        </w:rPr>
        <w:t>Les principales sources de dégradation des routes</w:t>
      </w:r>
      <w:bookmarkEnd w:id="576"/>
      <w:r w:rsidRPr="00C801A6">
        <w:rPr>
          <w:color w:val="auto"/>
          <w:szCs w:val="24"/>
        </w:rPr>
        <w:t xml:space="preserve"> sont liées aux aspects ci-après :</w:t>
      </w:r>
    </w:p>
    <w:p w14:paraId="2A94A484" w14:textId="77777777" w:rsidR="00575CDF" w:rsidRPr="00C801A6" w:rsidRDefault="00575CDF" w:rsidP="00844538">
      <w:pPr>
        <w:pStyle w:val="ListParagraph"/>
        <w:numPr>
          <w:ilvl w:val="0"/>
          <w:numId w:val="34"/>
        </w:numPr>
        <w:spacing w:after="80" w:line="276" w:lineRule="auto"/>
        <w:ind w:left="850" w:hanging="425"/>
        <w:contextualSpacing w:val="0"/>
        <w:rPr>
          <w:color w:val="auto"/>
        </w:rPr>
      </w:pPr>
      <w:bookmarkStart w:id="577" w:name="2.1"/>
      <w:r w:rsidRPr="00C801A6">
        <w:rPr>
          <w:color w:val="auto"/>
        </w:rPr>
        <w:t>Sollicitations du trafic</w:t>
      </w:r>
      <w:bookmarkEnd w:id="577"/>
    </w:p>
    <w:p w14:paraId="237824B6" w14:textId="77777777" w:rsidR="00575CDF" w:rsidRPr="00C801A6" w:rsidRDefault="00575CDF" w:rsidP="00844538">
      <w:pPr>
        <w:pStyle w:val="ListParagraph"/>
        <w:numPr>
          <w:ilvl w:val="0"/>
          <w:numId w:val="34"/>
        </w:numPr>
        <w:spacing w:after="80" w:line="276" w:lineRule="auto"/>
        <w:ind w:left="850" w:hanging="425"/>
        <w:contextualSpacing w:val="0"/>
        <w:rPr>
          <w:color w:val="auto"/>
          <w:szCs w:val="24"/>
        </w:rPr>
      </w:pPr>
      <w:r w:rsidRPr="00C801A6">
        <w:rPr>
          <w:color w:val="auto"/>
          <w:szCs w:val="24"/>
        </w:rPr>
        <w:t>Sollicitations liées au climat</w:t>
      </w:r>
    </w:p>
    <w:p w14:paraId="53251BE7" w14:textId="77777777" w:rsidR="00575CDF" w:rsidRPr="00C801A6" w:rsidRDefault="00575CDF" w:rsidP="00844538">
      <w:pPr>
        <w:pStyle w:val="ListParagraph"/>
        <w:numPr>
          <w:ilvl w:val="0"/>
          <w:numId w:val="34"/>
        </w:numPr>
        <w:spacing w:line="276" w:lineRule="auto"/>
        <w:ind w:left="850" w:hanging="425"/>
        <w:rPr>
          <w:color w:val="auto"/>
          <w:szCs w:val="24"/>
        </w:rPr>
      </w:pPr>
      <w:r w:rsidRPr="00C801A6">
        <w:rPr>
          <w:color w:val="auto"/>
          <w:szCs w:val="24"/>
        </w:rPr>
        <w:t xml:space="preserve">Conditions techniques </w:t>
      </w:r>
    </w:p>
    <w:p w14:paraId="51AC5930" w14:textId="77777777" w:rsidR="00575CDF" w:rsidRPr="00C801A6" w:rsidRDefault="64C26F39" w:rsidP="00575CDF">
      <w:pPr>
        <w:rPr>
          <w:color w:val="auto"/>
          <w:szCs w:val="24"/>
        </w:rPr>
      </w:pPr>
      <w:bookmarkStart w:id="578" w:name="_Toc71181870"/>
      <w:r w:rsidRPr="00C801A6">
        <w:rPr>
          <w:color w:val="auto"/>
        </w:rPr>
        <w:t>Les principaux types de dégradations</w:t>
      </w:r>
      <w:bookmarkEnd w:id="578"/>
      <w:r w:rsidRPr="00C801A6">
        <w:rPr>
          <w:color w:val="auto"/>
        </w:rPr>
        <w:t xml:space="preserve"> se rapportent aux aspects qui suivent</w:t>
      </w:r>
      <w:r w:rsidR="00575CDF" w:rsidRPr="00C801A6">
        <w:rPr>
          <w:rStyle w:val="FootnoteReference"/>
          <w:color w:val="auto"/>
        </w:rPr>
        <w:footnoteReference w:id="21"/>
      </w:r>
      <w:r w:rsidRPr="00C801A6">
        <w:rPr>
          <w:color w:val="auto"/>
          <w:szCs w:val="24"/>
        </w:rPr>
        <w:t> :</w:t>
      </w:r>
    </w:p>
    <w:p w14:paraId="5BE67255" w14:textId="77777777" w:rsidR="00575CDF" w:rsidRPr="00C801A6" w:rsidRDefault="00575CDF" w:rsidP="00844538">
      <w:pPr>
        <w:pStyle w:val="ListParagraph"/>
        <w:numPr>
          <w:ilvl w:val="0"/>
          <w:numId w:val="35"/>
        </w:numPr>
        <w:spacing w:line="276" w:lineRule="auto"/>
        <w:ind w:left="567" w:hanging="283"/>
        <w:rPr>
          <w:b/>
          <w:color w:val="auto"/>
          <w:szCs w:val="24"/>
          <w:u w:val="single"/>
        </w:rPr>
      </w:pPr>
      <w:r w:rsidRPr="00C801A6">
        <w:rPr>
          <w:b/>
          <w:color w:val="auto"/>
          <w:szCs w:val="24"/>
          <w:u w:val="single"/>
        </w:rPr>
        <w:t>Les dégradations non structurelles</w:t>
      </w:r>
    </w:p>
    <w:p w14:paraId="32BD164C" w14:textId="77777777" w:rsidR="00575CDF" w:rsidRPr="00987286" w:rsidRDefault="00575CDF" w:rsidP="00987286">
      <w:pPr>
        <w:rPr>
          <w:color w:val="auto"/>
        </w:rPr>
      </w:pPr>
      <w:r w:rsidRPr="00987286">
        <w:rPr>
          <w:color w:val="auto"/>
        </w:rPr>
        <w:t>Encore appelées « dégradations superficielles », elles engendrent des réparations qui, généralement, ne sont pas liées à la capacité structurelle de la chaussée.</w:t>
      </w:r>
    </w:p>
    <w:p w14:paraId="1B0D3F46" w14:textId="77777777" w:rsidR="00575CDF" w:rsidRPr="00C801A6" w:rsidRDefault="00575CDF" w:rsidP="00844538">
      <w:pPr>
        <w:pStyle w:val="ListParagraph"/>
        <w:numPr>
          <w:ilvl w:val="0"/>
          <w:numId w:val="35"/>
        </w:numPr>
        <w:spacing w:line="276" w:lineRule="auto"/>
        <w:ind w:left="567" w:hanging="283"/>
        <w:rPr>
          <w:b/>
          <w:color w:val="auto"/>
          <w:szCs w:val="24"/>
          <w:u w:val="single"/>
        </w:rPr>
      </w:pPr>
      <w:r w:rsidRPr="00C801A6">
        <w:rPr>
          <w:b/>
          <w:color w:val="auto"/>
          <w:szCs w:val="24"/>
          <w:u w:val="single"/>
        </w:rPr>
        <w:t>Les dégradations structurelles</w:t>
      </w:r>
    </w:p>
    <w:p w14:paraId="664115DA" w14:textId="77777777" w:rsidR="00575CDF" w:rsidRPr="00987286" w:rsidRDefault="00575CDF" w:rsidP="00987286">
      <w:pPr>
        <w:rPr>
          <w:color w:val="auto"/>
        </w:rPr>
      </w:pPr>
      <w:r w:rsidRPr="00987286">
        <w:rPr>
          <w:color w:val="auto"/>
        </w:rPr>
        <w:t>On différencie les dégradations sur les routes revêtues à travers quatre grands groupes (ou familles), à savoir :</w:t>
      </w:r>
    </w:p>
    <w:p w14:paraId="69F03997" w14:textId="77777777" w:rsidR="00575CDF" w:rsidRPr="00C801A6" w:rsidRDefault="00575CDF" w:rsidP="00844538">
      <w:pPr>
        <w:pStyle w:val="ListParagraph"/>
        <w:numPr>
          <w:ilvl w:val="1"/>
          <w:numId w:val="35"/>
        </w:numPr>
        <w:tabs>
          <w:tab w:val="left" w:pos="709"/>
          <w:tab w:val="left" w:pos="993"/>
        </w:tabs>
        <w:spacing w:line="276" w:lineRule="auto"/>
        <w:ind w:left="850" w:hanging="283"/>
        <w:contextualSpacing w:val="0"/>
        <w:rPr>
          <w:color w:val="auto"/>
          <w:szCs w:val="24"/>
          <w:u w:val="single"/>
        </w:rPr>
      </w:pPr>
      <w:bookmarkStart w:id="579" w:name="_Toc71181871"/>
      <w:r w:rsidRPr="00C801A6">
        <w:rPr>
          <w:color w:val="auto"/>
          <w:szCs w:val="24"/>
          <w:u w:val="single"/>
        </w:rPr>
        <w:t>Les déformations</w:t>
      </w:r>
      <w:bookmarkEnd w:id="579"/>
    </w:p>
    <w:p w14:paraId="3FDE3730" w14:textId="77777777" w:rsidR="00575CDF" w:rsidRPr="00C801A6" w:rsidRDefault="00575CDF" w:rsidP="00844538">
      <w:pPr>
        <w:pStyle w:val="ListParagraph"/>
        <w:numPr>
          <w:ilvl w:val="0"/>
          <w:numId w:val="36"/>
        </w:numPr>
        <w:tabs>
          <w:tab w:val="left" w:pos="2220"/>
        </w:tabs>
        <w:spacing w:after="40" w:line="276" w:lineRule="auto"/>
        <w:ind w:left="1066" w:hanging="357"/>
        <w:contextualSpacing w:val="0"/>
        <w:rPr>
          <w:color w:val="auto"/>
          <w:szCs w:val="24"/>
        </w:rPr>
      </w:pPr>
      <w:r w:rsidRPr="00C801A6">
        <w:rPr>
          <w:color w:val="auto"/>
          <w:szCs w:val="24"/>
        </w:rPr>
        <w:t>Les affaissements</w:t>
      </w:r>
    </w:p>
    <w:p w14:paraId="4AF80467" w14:textId="77777777" w:rsidR="00575CDF" w:rsidRPr="00C801A6" w:rsidRDefault="00575CDF" w:rsidP="00844538">
      <w:pPr>
        <w:pStyle w:val="ListParagraph"/>
        <w:numPr>
          <w:ilvl w:val="0"/>
          <w:numId w:val="36"/>
        </w:numPr>
        <w:tabs>
          <w:tab w:val="left" w:pos="2220"/>
        </w:tabs>
        <w:spacing w:after="40" w:line="276" w:lineRule="auto"/>
        <w:ind w:left="1066" w:hanging="357"/>
        <w:contextualSpacing w:val="0"/>
        <w:rPr>
          <w:color w:val="auto"/>
          <w:szCs w:val="24"/>
        </w:rPr>
      </w:pPr>
      <w:r w:rsidRPr="00C801A6">
        <w:rPr>
          <w:color w:val="auto"/>
          <w:szCs w:val="24"/>
        </w:rPr>
        <w:t>Les orniérages</w:t>
      </w:r>
    </w:p>
    <w:p w14:paraId="27CDC6B3" w14:textId="77777777" w:rsidR="00575CDF" w:rsidRPr="00C801A6" w:rsidRDefault="00575CDF" w:rsidP="00844538">
      <w:pPr>
        <w:pStyle w:val="ListParagraph"/>
        <w:numPr>
          <w:ilvl w:val="0"/>
          <w:numId w:val="36"/>
        </w:numPr>
        <w:tabs>
          <w:tab w:val="left" w:pos="2220"/>
        </w:tabs>
        <w:spacing w:line="276" w:lineRule="auto"/>
        <w:ind w:left="1066" w:hanging="357"/>
        <w:contextualSpacing w:val="0"/>
        <w:rPr>
          <w:color w:val="auto"/>
          <w:szCs w:val="24"/>
        </w:rPr>
      </w:pPr>
      <w:r w:rsidRPr="00C801A6">
        <w:rPr>
          <w:color w:val="auto"/>
          <w:szCs w:val="24"/>
        </w:rPr>
        <w:t>Les bourrelets </w:t>
      </w:r>
    </w:p>
    <w:p w14:paraId="1C4C8E5B" w14:textId="77777777" w:rsidR="00575CDF" w:rsidRPr="00C801A6" w:rsidRDefault="00575CDF" w:rsidP="00844538">
      <w:pPr>
        <w:pStyle w:val="ListParagraph"/>
        <w:numPr>
          <w:ilvl w:val="1"/>
          <w:numId w:val="35"/>
        </w:numPr>
        <w:tabs>
          <w:tab w:val="left" w:pos="709"/>
          <w:tab w:val="left" w:pos="993"/>
        </w:tabs>
        <w:spacing w:line="276" w:lineRule="auto"/>
        <w:ind w:left="850" w:hanging="283"/>
        <w:contextualSpacing w:val="0"/>
        <w:rPr>
          <w:color w:val="auto"/>
          <w:szCs w:val="24"/>
          <w:u w:val="single"/>
        </w:rPr>
      </w:pPr>
      <w:bookmarkStart w:id="580" w:name="_Toc71181872"/>
      <w:r w:rsidRPr="00C801A6">
        <w:rPr>
          <w:color w:val="auto"/>
          <w:szCs w:val="24"/>
          <w:u w:val="single"/>
        </w:rPr>
        <w:t>Les fissurations</w:t>
      </w:r>
      <w:bookmarkEnd w:id="580"/>
    </w:p>
    <w:p w14:paraId="3FFDFDEB" w14:textId="77777777" w:rsidR="00575CDF" w:rsidRPr="00C801A6" w:rsidRDefault="00575CDF" w:rsidP="00844538">
      <w:pPr>
        <w:pStyle w:val="ListParagraph"/>
        <w:numPr>
          <w:ilvl w:val="0"/>
          <w:numId w:val="36"/>
        </w:numPr>
        <w:tabs>
          <w:tab w:val="left" w:pos="2220"/>
        </w:tabs>
        <w:spacing w:after="40" w:line="276" w:lineRule="auto"/>
        <w:ind w:left="1066" w:hanging="357"/>
        <w:contextualSpacing w:val="0"/>
        <w:rPr>
          <w:color w:val="auto"/>
          <w:szCs w:val="24"/>
        </w:rPr>
      </w:pPr>
      <w:r w:rsidRPr="00C801A6">
        <w:rPr>
          <w:color w:val="auto"/>
          <w:szCs w:val="24"/>
        </w:rPr>
        <w:lastRenderedPageBreak/>
        <w:t>Les fissures transversales</w:t>
      </w:r>
    </w:p>
    <w:p w14:paraId="0E02F771" w14:textId="77777777" w:rsidR="00575CDF" w:rsidRPr="00C801A6" w:rsidRDefault="00575CDF" w:rsidP="00844538">
      <w:pPr>
        <w:pStyle w:val="ListParagraph"/>
        <w:numPr>
          <w:ilvl w:val="0"/>
          <w:numId w:val="36"/>
        </w:numPr>
        <w:tabs>
          <w:tab w:val="left" w:pos="2220"/>
        </w:tabs>
        <w:spacing w:after="40" w:line="276" w:lineRule="auto"/>
        <w:ind w:left="1066" w:hanging="357"/>
        <w:contextualSpacing w:val="0"/>
        <w:rPr>
          <w:color w:val="auto"/>
          <w:szCs w:val="24"/>
        </w:rPr>
      </w:pPr>
      <w:r w:rsidRPr="00C801A6">
        <w:rPr>
          <w:color w:val="auto"/>
          <w:szCs w:val="24"/>
        </w:rPr>
        <w:t>Les fissures longitudinales</w:t>
      </w:r>
    </w:p>
    <w:p w14:paraId="22DB6014" w14:textId="77777777" w:rsidR="00575CDF" w:rsidRPr="00C801A6" w:rsidRDefault="00575CDF" w:rsidP="00844538">
      <w:pPr>
        <w:pStyle w:val="ListParagraph"/>
        <w:numPr>
          <w:ilvl w:val="0"/>
          <w:numId w:val="36"/>
        </w:numPr>
        <w:tabs>
          <w:tab w:val="left" w:pos="2220"/>
        </w:tabs>
        <w:spacing w:line="276" w:lineRule="auto"/>
        <w:ind w:left="1066" w:hanging="357"/>
        <w:contextualSpacing w:val="0"/>
        <w:rPr>
          <w:color w:val="auto"/>
          <w:szCs w:val="24"/>
        </w:rPr>
      </w:pPr>
      <w:r w:rsidRPr="00C801A6">
        <w:rPr>
          <w:color w:val="auto"/>
          <w:szCs w:val="24"/>
        </w:rPr>
        <w:t>Le faïençage</w:t>
      </w:r>
    </w:p>
    <w:p w14:paraId="55019151" w14:textId="77777777" w:rsidR="00575CDF" w:rsidRPr="00C801A6" w:rsidRDefault="00575CDF" w:rsidP="00844538">
      <w:pPr>
        <w:pStyle w:val="ListParagraph"/>
        <w:numPr>
          <w:ilvl w:val="1"/>
          <w:numId w:val="35"/>
        </w:numPr>
        <w:spacing w:line="276" w:lineRule="auto"/>
        <w:ind w:left="850" w:hanging="425"/>
        <w:contextualSpacing w:val="0"/>
        <w:rPr>
          <w:color w:val="auto"/>
          <w:szCs w:val="24"/>
          <w:u w:val="single"/>
        </w:rPr>
      </w:pPr>
      <w:bookmarkStart w:id="581" w:name="_Toc71181873"/>
      <w:r w:rsidRPr="00C801A6">
        <w:rPr>
          <w:color w:val="auto"/>
          <w:szCs w:val="24"/>
          <w:u w:val="single"/>
        </w:rPr>
        <w:t>Les arrachements</w:t>
      </w:r>
      <w:bookmarkEnd w:id="581"/>
    </w:p>
    <w:p w14:paraId="3830B727" w14:textId="77777777" w:rsidR="00575CDF" w:rsidRPr="00C801A6" w:rsidRDefault="00575CDF" w:rsidP="00844538">
      <w:pPr>
        <w:pStyle w:val="ListParagraph"/>
        <w:numPr>
          <w:ilvl w:val="0"/>
          <w:numId w:val="36"/>
        </w:numPr>
        <w:tabs>
          <w:tab w:val="left" w:pos="2220"/>
        </w:tabs>
        <w:spacing w:after="40" w:line="276" w:lineRule="auto"/>
        <w:ind w:left="1066" w:hanging="357"/>
        <w:contextualSpacing w:val="0"/>
        <w:rPr>
          <w:color w:val="auto"/>
          <w:szCs w:val="24"/>
        </w:rPr>
      </w:pPr>
      <w:r w:rsidRPr="00C801A6">
        <w:rPr>
          <w:color w:val="auto"/>
          <w:szCs w:val="24"/>
        </w:rPr>
        <w:t>Le désenrobage, le plumage, le peignage</w:t>
      </w:r>
    </w:p>
    <w:p w14:paraId="3FEF2E22" w14:textId="77777777" w:rsidR="00575CDF" w:rsidRPr="00C801A6" w:rsidRDefault="00575CDF" w:rsidP="00844538">
      <w:pPr>
        <w:pStyle w:val="ListParagraph"/>
        <w:numPr>
          <w:ilvl w:val="0"/>
          <w:numId w:val="36"/>
        </w:numPr>
        <w:tabs>
          <w:tab w:val="left" w:pos="2220"/>
        </w:tabs>
        <w:spacing w:after="40" w:line="276" w:lineRule="auto"/>
        <w:ind w:left="1066" w:hanging="357"/>
        <w:contextualSpacing w:val="0"/>
        <w:rPr>
          <w:color w:val="auto"/>
          <w:szCs w:val="24"/>
        </w:rPr>
      </w:pPr>
      <w:r w:rsidRPr="00C801A6">
        <w:rPr>
          <w:color w:val="auto"/>
          <w:szCs w:val="24"/>
        </w:rPr>
        <w:t>Les pelades</w:t>
      </w:r>
    </w:p>
    <w:p w14:paraId="55C99575" w14:textId="77777777" w:rsidR="00575CDF" w:rsidRPr="00C801A6" w:rsidRDefault="00575CDF" w:rsidP="00844538">
      <w:pPr>
        <w:pStyle w:val="ListParagraph"/>
        <w:numPr>
          <w:ilvl w:val="0"/>
          <w:numId w:val="36"/>
        </w:numPr>
        <w:tabs>
          <w:tab w:val="left" w:pos="2220"/>
        </w:tabs>
        <w:spacing w:after="40" w:line="276" w:lineRule="auto"/>
        <w:ind w:left="1066" w:hanging="357"/>
        <w:contextualSpacing w:val="0"/>
        <w:rPr>
          <w:color w:val="auto"/>
          <w:szCs w:val="24"/>
        </w:rPr>
      </w:pPr>
      <w:r w:rsidRPr="00C801A6">
        <w:rPr>
          <w:color w:val="auto"/>
          <w:szCs w:val="24"/>
        </w:rPr>
        <w:t>Les nids de poule</w:t>
      </w:r>
    </w:p>
    <w:p w14:paraId="317791CE" w14:textId="0FB0FC70" w:rsidR="00575CDF" w:rsidRDefault="00575CDF" w:rsidP="00844538">
      <w:pPr>
        <w:pStyle w:val="ListParagraph"/>
        <w:numPr>
          <w:ilvl w:val="0"/>
          <w:numId w:val="36"/>
        </w:numPr>
        <w:tabs>
          <w:tab w:val="left" w:pos="2220"/>
        </w:tabs>
        <w:spacing w:line="276" w:lineRule="auto"/>
        <w:ind w:left="1066" w:hanging="357"/>
        <w:contextualSpacing w:val="0"/>
        <w:rPr>
          <w:color w:val="auto"/>
          <w:szCs w:val="24"/>
        </w:rPr>
      </w:pPr>
      <w:r w:rsidRPr="00C801A6">
        <w:rPr>
          <w:color w:val="auto"/>
          <w:szCs w:val="24"/>
        </w:rPr>
        <w:t>Les réparations.</w:t>
      </w:r>
    </w:p>
    <w:p w14:paraId="50A16DBE" w14:textId="08E4DA48" w:rsidR="0043239F" w:rsidRPr="00C801A6" w:rsidRDefault="0043239F" w:rsidP="00C65572">
      <w:pPr>
        <w:pStyle w:val="Heading3"/>
      </w:pPr>
      <w:bookmarkStart w:id="582" w:name="_Toc230426054"/>
      <w:r>
        <w:t>Dégradation du Port</w:t>
      </w:r>
      <w:bookmarkEnd w:id="582"/>
    </w:p>
    <w:p w14:paraId="0B6BAEDA" w14:textId="4B9C6310" w:rsidR="0043239F" w:rsidRDefault="006042FC" w:rsidP="0043239F">
      <w:pPr>
        <w:tabs>
          <w:tab w:val="left" w:pos="2220"/>
        </w:tabs>
        <w:rPr>
          <w:color w:val="auto"/>
          <w:szCs w:val="24"/>
        </w:rPr>
      </w:pPr>
      <w:r w:rsidRPr="006042FC">
        <w:rPr>
          <w:color w:val="auto"/>
          <w:szCs w:val="24"/>
        </w:rPr>
        <w:t>Ce</w:t>
      </w:r>
      <w:r>
        <w:rPr>
          <w:color w:val="auto"/>
          <w:szCs w:val="24"/>
        </w:rPr>
        <w:t xml:space="preserve"> paragraphe est spécifique du Port de Mahajanga, </w:t>
      </w:r>
      <w:r w:rsidR="00987286">
        <w:rPr>
          <w:color w:val="auto"/>
          <w:szCs w:val="24"/>
        </w:rPr>
        <w:t xml:space="preserve">parmi les </w:t>
      </w:r>
      <w:r>
        <w:rPr>
          <w:color w:val="auto"/>
          <w:szCs w:val="24"/>
        </w:rPr>
        <w:t>objet</w:t>
      </w:r>
      <w:r w:rsidR="00987286">
        <w:rPr>
          <w:color w:val="auto"/>
          <w:szCs w:val="24"/>
        </w:rPr>
        <w:t>s</w:t>
      </w:r>
      <w:r>
        <w:rPr>
          <w:color w:val="auto"/>
          <w:szCs w:val="24"/>
        </w:rPr>
        <w:t xml:space="preserve"> de l’intervention de la composante CERC</w:t>
      </w:r>
      <w:r w:rsidR="007F4D0F">
        <w:rPr>
          <w:color w:val="auto"/>
          <w:szCs w:val="24"/>
        </w:rPr>
        <w:t>1</w:t>
      </w:r>
      <w:r>
        <w:rPr>
          <w:color w:val="auto"/>
          <w:szCs w:val="24"/>
        </w:rPr>
        <w:t>/PCMCI. Les travaux à entreprendre concernent la réhabilitation des quais Vuillemin et Coste accompagnés d’aménagement de terre-pl</w:t>
      </w:r>
      <w:r w:rsidR="00542DF2">
        <w:rPr>
          <w:color w:val="auto"/>
          <w:szCs w:val="24"/>
        </w:rPr>
        <w:t>eins</w:t>
      </w:r>
      <w:r>
        <w:rPr>
          <w:color w:val="auto"/>
          <w:szCs w:val="24"/>
        </w:rPr>
        <w:t>.</w:t>
      </w:r>
    </w:p>
    <w:p w14:paraId="076EE025" w14:textId="77777777" w:rsidR="006042FC" w:rsidRPr="006042FC" w:rsidRDefault="006042FC" w:rsidP="006042FC">
      <w:pPr>
        <w:tabs>
          <w:tab w:val="num" w:pos="1068"/>
          <w:tab w:val="left" w:pos="2220"/>
        </w:tabs>
        <w:rPr>
          <w:color w:val="auto"/>
          <w:szCs w:val="24"/>
        </w:rPr>
      </w:pPr>
      <w:r w:rsidRPr="006042FC">
        <w:rPr>
          <w:color w:val="auto"/>
          <w:szCs w:val="24"/>
        </w:rPr>
        <w:t>L’état du quai Coste (96 m) est extrêmement préoccupant : Les palplanches et les réparations de fortunes faites dessus au début des années 1990 sont totalement corrodées / dégradées ; ce quai menace de s’effondrer à tout moment. Dans une moindre mesure, une situation similaire est constatée au quai Barriquand II (60 m) dont les pieux métalliques sont totalement corrodés, avec là aussi un risque d’effondrement réel ;</w:t>
      </w:r>
    </w:p>
    <w:p w14:paraId="75BAA2D4" w14:textId="77777777" w:rsidR="006042FC" w:rsidRPr="006042FC" w:rsidRDefault="006042FC" w:rsidP="006042FC">
      <w:pPr>
        <w:tabs>
          <w:tab w:val="num" w:pos="1068"/>
          <w:tab w:val="left" w:pos="2220"/>
        </w:tabs>
        <w:rPr>
          <w:color w:val="auto"/>
          <w:szCs w:val="24"/>
        </w:rPr>
      </w:pPr>
      <w:r w:rsidRPr="006042FC">
        <w:rPr>
          <w:color w:val="auto"/>
          <w:szCs w:val="24"/>
        </w:rPr>
        <w:t>Le quai Vuillemin d’une longueur totale de 154 m, formant un angle saillant avec le quai Coste et ayant une profondeur d’eau à quai de 1,00 m (marée basse de vive eau), est un quai sur pieux en béton armé surmonté d’une dalle en béton armé. À l’exception de l’escalier et des deux pieux effondrés, la structure maritime ne semble pas en péril bien qu’elle nécessite des réparations urgentes (parement en béton armé éclaté avec corrosion de certains aciers) ainsi que la mise en place d’équipements de quais appropriées ;</w:t>
      </w:r>
    </w:p>
    <w:p w14:paraId="3369FF2B" w14:textId="77777777" w:rsidR="006042FC" w:rsidRPr="006042FC" w:rsidRDefault="006042FC" w:rsidP="006042FC">
      <w:pPr>
        <w:tabs>
          <w:tab w:val="num" w:pos="1068"/>
          <w:tab w:val="left" w:pos="2220"/>
        </w:tabs>
        <w:rPr>
          <w:color w:val="auto"/>
          <w:szCs w:val="24"/>
        </w:rPr>
      </w:pPr>
      <w:r w:rsidRPr="006042FC">
        <w:rPr>
          <w:color w:val="auto"/>
          <w:szCs w:val="24"/>
        </w:rPr>
        <w:t xml:space="preserve">Les principaux problèmes rencontrés au niveau du quai Vuillemin sont les suivants : </w:t>
      </w:r>
    </w:p>
    <w:p w14:paraId="046EE21A" w14:textId="1FB1B207" w:rsidR="006042FC" w:rsidRPr="006042FC" w:rsidRDefault="006042FC" w:rsidP="00844538">
      <w:pPr>
        <w:pStyle w:val="ListParagraph"/>
        <w:numPr>
          <w:ilvl w:val="0"/>
          <w:numId w:val="174"/>
        </w:numPr>
        <w:tabs>
          <w:tab w:val="num" w:pos="1068"/>
          <w:tab w:val="left" w:pos="2220"/>
        </w:tabs>
        <w:rPr>
          <w:color w:val="auto"/>
          <w:szCs w:val="24"/>
        </w:rPr>
      </w:pPr>
      <w:r w:rsidRPr="006042FC">
        <w:rPr>
          <w:color w:val="auto"/>
          <w:szCs w:val="24"/>
        </w:rPr>
        <w:t xml:space="preserve">La structure du quai (et notamment de la dalle qui le surmonte) n’a pas été conçue pour supporter du trafic lourd et notamment de conteneurs ; ceci est la raison pour laquelle, </w:t>
      </w:r>
      <w:r w:rsidR="00987286">
        <w:rPr>
          <w:color w:val="auto"/>
          <w:szCs w:val="24"/>
        </w:rPr>
        <w:t xml:space="preserve">une étude menée en </w:t>
      </w:r>
      <w:r w:rsidRPr="006042FC">
        <w:rPr>
          <w:color w:val="auto"/>
          <w:szCs w:val="24"/>
        </w:rPr>
        <w:t>2004 a préconisé son rempiètement (reconstruction totale) de façon à ce qu’il puisse être utilisé pour la manutention des conteneurs ;</w:t>
      </w:r>
    </w:p>
    <w:p w14:paraId="2CE4ABE1" w14:textId="77777777" w:rsidR="006042FC" w:rsidRPr="006042FC" w:rsidRDefault="006042FC" w:rsidP="00844538">
      <w:pPr>
        <w:pStyle w:val="ListParagraph"/>
        <w:numPr>
          <w:ilvl w:val="0"/>
          <w:numId w:val="174"/>
        </w:numPr>
        <w:tabs>
          <w:tab w:val="num" w:pos="1068"/>
          <w:tab w:val="left" w:pos="2220"/>
        </w:tabs>
        <w:rPr>
          <w:color w:val="auto"/>
          <w:szCs w:val="24"/>
        </w:rPr>
      </w:pPr>
      <w:r w:rsidRPr="006042FC">
        <w:rPr>
          <w:color w:val="auto"/>
          <w:szCs w:val="24"/>
        </w:rPr>
        <w:t>Il y a également un problème structurel au niveau de l’arrière de la dalle de quai sous laquelle se trouve un talus en enrochement. Cette protection en enrochement en désordre et qui a besoin de rechargement a pour conséquence une fuite importante des matériaux du terre-plein et un très fort affaissement de celui-ci derrière la dalle dépasse une vingtaine de centimètres.</w:t>
      </w:r>
    </w:p>
    <w:p w14:paraId="09B66274" w14:textId="35B408AC" w:rsidR="006042FC" w:rsidRPr="006042FC" w:rsidRDefault="006042FC" w:rsidP="006042FC">
      <w:pPr>
        <w:tabs>
          <w:tab w:val="num" w:pos="1068"/>
          <w:tab w:val="left" w:pos="2220"/>
        </w:tabs>
        <w:rPr>
          <w:color w:val="auto"/>
          <w:szCs w:val="24"/>
        </w:rPr>
      </w:pPr>
      <w:r w:rsidRPr="006042FC">
        <w:rPr>
          <w:color w:val="auto"/>
          <w:szCs w:val="24"/>
        </w:rPr>
        <w:t xml:space="preserve">L’état catastrophique d’une grande partie des terre-pleins, notamment bord à quai et qui présentent de très fortes déformations, complique les conditions d’exploitation ; </w:t>
      </w:r>
      <w:r w:rsidR="00EA6D56">
        <w:rPr>
          <w:color w:val="auto"/>
          <w:szCs w:val="24"/>
        </w:rPr>
        <w:t>et conduit à la dégradation d</w:t>
      </w:r>
      <w:r w:rsidRPr="006042FC">
        <w:rPr>
          <w:color w:val="auto"/>
          <w:szCs w:val="24"/>
        </w:rPr>
        <w:t xml:space="preserve">es engins de manutention. </w:t>
      </w:r>
    </w:p>
    <w:p w14:paraId="4F7840AF" w14:textId="482BF569" w:rsidR="006042FC" w:rsidRPr="006042FC" w:rsidRDefault="006042FC" w:rsidP="006042FC">
      <w:pPr>
        <w:tabs>
          <w:tab w:val="num" w:pos="1068"/>
          <w:tab w:val="left" w:pos="2220"/>
        </w:tabs>
        <w:rPr>
          <w:color w:val="auto"/>
          <w:szCs w:val="24"/>
        </w:rPr>
      </w:pPr>
      <w:r w:rsidRPr="006042FC">
        <w:rPr>
          <w:color w:val="auto"/>
          <w:szCs w:val="24"/>
        </w:rPr>
        <w:t xml:space="preserve">Les opérations portuaires sont handicapées par la limitation des profondeurs due à la sédimentation. </w:t>
      </w:r>
    </w:p>
    <w:p w14:paraId="1E6B5591" w14:textId="77777777" w:rsidR="006042FC" w:rsidRPr="0043239F" w:rsidRDefault="006042FC" w:rsidP="0043239F">
      <w:pPr>
        <w:tabs>
          <w:tab w:val="left" w:pos="2220"/>
        </w:tabs>
        <w:rPr>
          <w:color w:val="auto"/>
          <w:szCs w:val="24"/>
        </w:rPr>
      </w:pPr>
    </w:p>
    <w:p w14:paraId="53215FAE" w14:textId="77777777" w:rsidR="00575CDF" w:rsidRPr="00C801A6" w:rsidRDefault="00575CDF" w:rsidP="00014BC0">
      <w:pPr>
        <w:pStyle w:val="Heading2"/>
      </w:pPr>
      <w:bookmarkStart w:id="583" w:name="_Toc71767865"/>
      <w:bookmarkStart w:id="584" w:name="_Toc106320347"/>
      <w:bookmarkStart w:id="585" w:name="_Toc230426055"/>
      <w:r w:rsidRPr="00C801A6">
        <w:lastRenderedPageBreak/>
        <w:t>IDENTIFICATION DES IMPACTS POTENTIELS GLOBAUX</w:t>
      </w:r>
      <w:bookmarkEnd w:id="583"/>
      <w:bookmarkEnd w:id="584"/>
      <w:bookmarkEnd w:id="585"/>
    </w:p>
    <w:p w14:paraId="426079DE" w14:textId="77777777" w:rsidR="00575CDF" w:rsidRPr="00C801A6" w:rsidRDefault="00575CDF" w:rsidP="00C65572">
      <w:pPr>
        <w:pStyle w:val="Heading3"/>
      </w:pPr>
      <w:bookmarkStart w:id="586" w:name="_Toc71767866"/>
      <w:bookmarkStart w:id="587" w:name="_Toc106320348"/>
      <w:bookmarkStart w:id="588" w:name="_Toc230426056"/>
      <w:r w:rsidRPr="00C801A6">
        <w:t>Sources d’impacts</w:t>
      </w:r>
      <w:bookmarkEnd w:id="586"/>
      <w:bookmarkEnd w:id="587"/>
      <w:bookmarkEnd w:id="588"/>
    </w:p>
    <w:p w14:paraId="0A300375" w14:textId="2F219F6A" w:rsidR="00575CDF" w:rsidRPr="00C801A6" w:rsidRDefault="00575CDF" w:rsidP="00575CDF">
      <w:pPr>
        <w:rPr>
          <w:color w:val="auto"/>
        </w:rPr>
      </w:pPr>
      <w:r w:rsidRPr="00C801A6">
        <w:rPr>
          <w:color w:val="auto"/>
        </w:rPr>
        <w:t>Les activités relatives aux travaux envisagés constituent les sources d’impacts. Elles peuvent être résumées sous-forme de tableau</w:t>
      </w:r>
      <w:r w:rsidR="00BC4554" w:rsidRPr="00C801A6">
        <w:rPr>
          <w:color w:val="auto"/>
        </w:rPr>
        <w:t xml:space="preserve"> en tenant compte du fait que les opérations de réinstallation ne s’appliquent pas au CERC</w:t>
      </w:r>
      <w:r w:rsidRPr="00C801A6">
        <w:rPr>
          <w:color w:val="auto"/>
        </w:rPr>
        <w:t> :</w:t>
      </w:r>
    </w:p>
    <w:p w14:paraId="6F014FC1" w14:textId="424A2302" w:rsidR="00575CDF" w:rsidRPr="00C801A6" w:rsidRDefault="00575CDF" w:rsidP="003609CC">
      <w:pPr>
        <w:pStyle w:val="Caption"/>
        <w:rPr>
          <w:color w:val="auto"/>
        </w:rPr>
      </w:pPr>
      <w:bookmarkStart w:id="589" w:name="_Toc230427741"/>
      <w:r w:rsidRPr="00C801A6">
        <w:rPr>
          <w:color w:val="auto"/>
        </w:rPr>
        <w:t xml:space="preserve">Tableau </w:t>
      </w:r>
      <w:r w:rsidRPr="00C801A6">
        <w:rPr>
          <w:color w:val="auto"/>
        </w:rPr>
        <w:fldChar w:fldCharType="begin"/>
      </w:r>
      <w:r w:rsidRPr="00C801A6">
        <w:rPr>
          <w:color w:val="auto"/>
        </w:rPr>
        <w:instrText>SEQ Tableau \* ARABIC</w:instrText>
      </w:r>
      <w:r w:rsidRPr="00C801A6">
        <w:rPr>
          <w:color w:val="auto"/>
        </w:rPr>
        <w:fldChar w:fldCharType="separate"/>
      </w:r>
      <w:r w:rsidR="00253F1A">
        <w:rPr>
          <w:noProof/>
          <w:color w:val="auto"/>
        </w:rPr>
        <w:t>21</w:t>
      </w:r>
      <w:r w:rsidRPr="00C801A6">
        <w:rPr>
          <w:color w:val="auto"/>
        </w:rPr>
        <w:fldChar w:fldCharType="end"/>
      </w:r>
      <w:r w:rsidRPr="00C801A6">
        <w:rPr>
          <w:color w:val="auto"/>
        </w:rPr>
        <w:t> : Sources d’impacts</w:t>
      </w:r>
      <w:r w:rsidR="00BC4554" w:rsidRPr="00C801A6">
        <w:rPr>
          <w:color w:val="auto"/>
        </w:rPr>
        <w:t xml:space="preserve"> - – ROUTES ET </w:t>
      </w:r>
      <w:r w:rsidR="00EA6D56">
        <w:rPr>
          <w:color w:val="auto"/>
        </w:rPr>
        <w:t>infrastructures</w:t>
      </w:r>
      <w:r w:rsidR="00BC4554" w:rsidRPr="00C801A6">
        <w:rPr>
          <w:color w:val="auto"/>
        </w:rPr>
        <w:t xml:space="preserve"> </w:t>
      </w:r>
      <w:r w:rsidR="0043239F">
        <w:rPr>
          <w:color w:val="auto"/>
        </w:rPr>
        <w:t>MARITIMES</w:t>
      </w:r>
      <w:bookmarkEnd w:id="589"/>
    </w:p>
    <w:tbl>
      <w:tblPr>
        <w:tblStyle w:val="TableGrid"/>
        <w:tblW w:w="9209" w:type="dxa"/>
        <w:tblLook w:val="04A0" w:firstRow="1" w:lastRow="0" w:firstColumn="1" w:lastColumn="0" w:noHBand="0" w:noVBand="1"/>
      </w:tblPr>
      <w:tblGrid>
        <w:gridCol w:w="1997"/>
        <w:gridCol w:w="2351"/>
        <w:gridCol w:w="2360"/>
        <w:gridCol w:w="2501"/>
      </w:tblGrid>
      <w:tr w:rsidR="00C801A6" w:rsidRPr="00C801A6" w14:paraId="7EEE47A3" w14:textId="77777777" w:rsidTr="00253F1A">
        <w:trPr>
          <w:tblHeader/>
        </w:trPr>
        <w:tc>
          <w:tcPr>
            <w:tcW w:w="1997" w:type="dxa"/>
            <w:vMerge w:val="restart"/>
            <w:tcBorders>
              <w:tl2br w:val="single" w:sz="4" w:space="0" w:color="auto"/>
            </w:tcBorders>
            <w:shd w:val="clear" w:color="auto" w:fill="E2EFD9" w:themeFill="accent6" w:themeFillTint="33"/>
          </w:tcPr>
          <w:p w14:paraId="205D9E6B" w14:textId="77777777" w:rsidR="00575CDF" w:rsidRPr="00C801A6" w:rsidRDefault="00575CDF" w:rsidP="00347FDB">
            <w:pPr>
              <w:spacing w:before="40" w:after="40" w:line="240" w:lineRule="auto"/>
              <w:jc w:val="right"/>
              <w:rPr>
                <w:b/>
                <w:color w:val="auto"/>
                <w:sz w:val="20"/>
              </w:rPr>
            </w:pPr>
            <w:r w:rsidRPr="00C801A6">
              <w:rPr>
                <w:b/>
                <w:color w:val="auto"/>
                <w:sz w:val="20"/>
              </w:rPr>
              <w:t>Sources</w:t>
            </w:r>
          </w:p>
          <w:p w14:paraId="429339BA" w14:textId="77777777" w:rsidR="00575CDF" w:rsidRPr="00C801A6" w:rsidRDefault="00575CDF" w:rsidP="00347FDB">
            <w:pPr>
              <w:spacing w:before="40" w:after="40" w:line="240" w:lineRule="auto"/>
              <w:rPr>
                <w:b/>
                <w:color w:val="auto"/>
                <w:sz w:val="20"/>
              </w:rPr>
            </w:pPr>
            <w:r w:rsidRPr="00C801A6">
              <w:rPr>
                <w:b/>
                <w:color w:val="auto"/>
                <w:sz w:val="20"/>
              </w:rPr>
              <w:t>Phases</w:t>
            </w:r>
          </w:p>
        </w:tc>
        <w:tc>
          <w:tcPr>
            <w:tcW w:w="7212" w:type="dxa"/>
            <w:gridSpan w:val="3"/>
            <w:shd w:val="clear" w:color="auto" w:fill="E2EFD9" w:themeFill="accent6" w:themeFillTint="33"/>
          </w:tcPr>
          <w:p w14:paraId="251A59A8" w14:textId="77777777" w:rsidR="00575CDF" w:rsidRPr="00C801A6" w:rsidRDefault="00575CDF" w:rsidP="00347FDB">
            <w:pPr>
              <w:spacing w:before="40" w:after="40" w:line="240" w:lineRule="auto"/>
              <w:jc w:val="center"/>
              <w:rPr>
                <w:b/>
                <w:color w:val="auto"/>
                <w:sz w:val="20"/>
              </w:rPr>
            </w:pPr>
            <w:r w:rsidRPr="00C801A6">
              <w:rPr>
                <w:b/>
                <w:color w:val="auto"/>
                <w:sz w:val="20"/>
              </w:rPr>
              <w:t>SOURCES D’IMPACTS</w:t>
            </w:r>
          </w:p>
        </w:tc>
      </w:tr>
      <w:tr w:rsidR="00C801A6" w:rsidRPr="00C801A6" w14:paraId="203635B8" w14:textId="77777777" w:rsidTr="00253F1A">
        <w:trPr>
          <w:tblHeader/>
        </w:trPr>
        <w:tc>
          <w:tcPr>
            <w:tcW w:w="1997" w:type="dxa"/>
            <w:vMerge/>
            <w:tcBorders>
              <w:tl2br w:val="single" w:sz="4" w:space="0" w:color="auto"/>
            </w:tcBorders>
            <w:shd w:val="clear" w:color="auto" w:fill="E2EFD9" w:themeFill="accent6" w:themeFillTint="33"/>
          </w:tcPr>
          <w:p w14:paraId="163F2E9B" w14:textId="77777777" w:rsidR="00575CDF" w:rsidRPr="00C801A6" w:rsidRDefault="00575CDF" w:rsidP="00347FDB">
            <w:pPr>
              <w:spacing w:before="40" w:after="40" w:line="240" w:lineRule="auto"/>
              <w:rPr>
                <w:b/>
                <w:color w:val="auto"/>
                <w:sz w:val="20"/>
              </w:rPr>
            </w:pPr>
          </w:p>
        </w:tc>
        <w:tc>
          <w:tcPr>
            <w:tcW w:w="2351" w:type="dxa"/>
            <w:shd w:val="clear" w:color="auto" w:fill="E2EFD9" w:themeFill="accent6" w:themeFillTint="33"/>
          </w:tcPr>
          <w:p w14:paraId="10EBA37D" w14:textId="77777777" w:rsidR="00575CDF" w:rsidRPr="00C801A6" w:rsidRDefault="00575CDF" w:rsidP="00347FDB">
            <w:pPr>
              <w:spacing w:before="40" w:after="40" w:line="240" w:lineRule="auto"/>
              <w:jc w:val="center"/>
              <w:rPr>
                <w:b/>
                <w:color w:val="auto"/>
                <w:sz w:val="20"/>
              </w:rPr>
            </w:pPr>
            <w:r w:rsidRPr="00C801A6">
              <w:rPr>
                <w:b/>
                <w:color w:val="auto"/>
                <w:sz w:val="20"/>
              </w:rPr>
              <w:t>Sur le linéaire à entretenir</w:t>
            </w:r>
          </w:p>
        </w:tc>
        <w:tc>
          <w:tcPr>
            <w:tcW w:w="2360" w:type="dxa"/>
            <w:shd w:val="clear" w:color="auto" w:fill="E2EFD9" w:themeFill="accent6" w:themeFillTint="33"/>
          </w:tcPr>
          <w:p w14:paraId="3AEBA836" w14:textId="77777777" w:rsidR="00575CDF" w:rsidRPr="00C801A6" w:rsidRDefault="00575CDF" w:rsidP="00347FDB">
            <w:pPr>
              <w:spacing w:before="40" w:after="40" w:line="240" w:lineRule="auto"/>
              <w:jc w:val="center"/>
              <w:rPr>
                <w:b/>
                <w:color w:val="auto"/>
                <w:sz w:val="20"/>
              </w:rPr>
            </w:pPr>
            <w:r w:rsidRPr="00C801A6">
              <w:rPr>
                <w:b/>
                <w:color w:val="auto"/>
                <w:sz w:val="20"/>
              </w:rPr>
              <w:t>Base-vie</w:t>
            </w:r>
          </w:p>
        </w:tc>
        <w:tc>
          <w:tcPr>
            <w:tcW w:w="2501" w:type="dxa"/>
            <w:shd w:val="clear" w:color="auto" w:fill="E2EFD9" w:themeFill="accent6" w:themeFillTint="33"/>
            <w:vAlign w:val="center"/>
          </w:tcPr>
          <w:p w14:paraId="7DA0E320" w14:textId="77777777" w:rsidR="00575CDF" w:rsidRPr="00C801A6" w:rsidRDefault="00575CDF" w:rsidP="00347FDB">
            <w:pPr>
              <w:spacing w:before="40" w:after="40" w:line="240" w:lineRule="auto"/>
              <w:jc w:val="center"/>
              <w:rPr>
                <w:b/>
                <w:color w:val="auto"/>
                <w:sz w:val="20"/>
              </w:rPr>
            </w:pPr>
            <w:r w:rsidRPr="00C801A6">
              <w:rPr>
                <w:b/>
                <w:color w:val="auto"/>
                <w:sz w:val="20"/>
              </w:rPr>
              <w:t>Au niveau des sites d’extraction</w:t>
            </w:r>
          </w:p>
        </w:tc>
      </w:tr>
      <w:tr w:rsidR="00C801A6" w:rsidRPr="00C801A6" w14:paraId="4158F1AC" w14:textId="77777777" w:rsidTr="00347FDB">
        <w:tc>
          <w:tcPr>
            <w:tcW w:w="1997" w:type="dxa"/>
          </w:tcPr>
          <w:p w14:paraId="5AB78751" w14:textId="77777777" w:rsidR="00575CDF" w:rsidRPr="00C801A6" w:rsidRDefault="00575CDF" w:rsidP="00347FDB">
            <w:pPr>
              <w:spacing w:before="20" w:after="20"/>
              <w:jc w:val="left"/>
              <w:rPr>
                <w:color w:val="auto"/>
                <w:sz w:val="20"/>
              </w:rPr>
            </w:pPr>
            <w:r w:rsidRPr="00C801A6">
              <w:rPr>
                <w:color w:val="auto"/>
                <w:sz w:val="20"/>
              </w:rPr>
              <w:t>Phase de préparation</w:t>
            </w:r>
          </w:p>
        </w:tc>
        <w:tc>
          <w:tcPr>
            <w:tcW w:w="2351" w:type="dxa"/>
          </w:tcPr>
          <w:p w14:paraId="4DCF2676" w14:textId="77777777" w:rsidR="00575CDF" w:rsidRPr="00C801A6" w:rsidRDefault="00575CDF" w:rsidP="00844538">
            <w:pPr>
              <w:pStyle w:val="ListParagraph"/>
              <w:numPr>
                <w:ilvl w:val="0"/>
                <w:numId w:val="34"/>
              </w:numPr>
              <w:spacing w:before="20" w:after="20" w:line="276" w:lineRule="auto"/>
              <w:ind w:left="142" w:hanging="142"/>
              <w:contextualSpacing w:val="0"/>
              <w:jc w:val="left"/>
              <w:rPr>
                <w:color w:val="auto"/>
                <w:sz w:val="20"/>
              </w:rPr>
            </w:pPr>
            <w:r w:rsidRPr="00C801A6">
              <w:rPr>
                <w:color w:val="auto"/>
                <w:sz w:val="20"/>
              </w:rPr>
              <w:t>Arpentage et signalisations</w:t>
            </w:r>
          </w:p>
          <w:p w14:paraId="1F035642" w14:textId="77777777" w:rsidR="00575CDF" w:rsidRPr="00C801A6" w:rsidRDefault="00575CDF" w:rsidP="00844538">
            <w:pPr>
              <w:pStyle w:val="ListParagraph"/>
              <w:numPr>
                <w:ilvl w:val="0"/>
                <w:numId w:val="34"/>
              </w:numPr>
              <w:spacing w:before="20" w:after="20" w:line="276" w:lineRule="auto"/>
              <w:ind w:left="142" w:hanging="142"/>
              <w:contextualSpacing w:val="0"/>
              <w:jc w:val="left"/>
              <w:rPr>
                <w:color w:val="auto"/>
                <w:sz w:val="20"/>
              </w:rPr>
            </w:pPr>
            <w:r w:rsidRPr="00C801A6">
              <w:rPr>
                <w:color w:val="auto"/>
                <w:sz w:val="20"/>
              </w:rPr>
              <w:t>Libération d’emprise (cas de travaux d’entretien périodique)</w:t>
            </w:r>
          </w:p>
        </w:tc>
        <w:tc>
          <w:tcPr>
            <w:tcW w:w="2360" w:type="dxa"/>
          </w:tcPr>
          <w:p w14:paraId="5E10F033" w14:textId="77777777" w:rsidR="00575CDF" w:rsidRPr="00C801A6" w:rsidRDefault="00575CDF" w:rsidP="00844538">
            <w:pPr>
              <w:pStyle w:val="ListParagraph"/>
              <w:numPr>
                <w:ilvl w:val="0"/>
                <w:numId w:val="34"/>
              </w:numPr>
              <w:spacing w:before="20" w:after="20" w:line="276" w:lineRule="auto"/>
              <w:ind w:left="142" w:hanging="142"/>
              <w:contextualSpacing w:val="0"/>
              <w:jc w:val="left"/>
              <w:rPr>
                <w:color w:val="auto"/>
                <w:sz w:val="20"/>
              </w:rPr>
            </w:pPr>
            <w:r w:rsidRPr="00C801A6">
              <w:rPr>
                <w:color w:val="auto"/>
                <w:sz w:val="20"/>
              </w:rPr>
              <w:t>Installation de la base-vie</w:t>
            </w:r>
          </w:p>
          <w:p w14:paraId="4ADBC6A5" w14:textId="77777777" w:rsidR="00575CDF" w:rsidRPr="00C801A6" w:rsidRDefault="00575CDF" w:rsidP="00844538">
            <w:pPr>
              <w:pStyle w:val="ListParagraph"/>
              <w:numPr>
                <w:ilvl w:val="0"/>
                <w:numId w:val="34"/>
              </w:numPr>
              <w:spacing w:before="20" w:after="20" w:line="276" w:lineRule="auto"/>
              <w:ind w:left="142" w:hanging="142"/>
              <w:contextualSpacing w:val="0"/>
              <w:jc w:val="left"/>
              <w:rPr>
                <w:color w:val="auto"/>
                <w:sz w:val="20"/>
              </w:rPr>
            </w:pPr>
            <w:r w:rsidRPr="00C801A6">
              <w:rPr>
                <w:color w:val="auto"/>
                <w:sz w:val="20"/>
              </w:rPr>
              <w:t>Activités de la base-vie (changement de site avec l’avancement des travaux)</w:t>
            </w:r>
          </w:p>
          <w:p w14:paraId="6C6073EB" w14:textId="77777777" w:rsidR="00575CDF" w:rsidRPr="00C801A6" w:rsidRDefault="00575CDF" w:rsidP="00844538">
            <w:pPr>
              <w:pStyle w:val="ListParagraph"/>
              <w:numPr>
                <w:ilvl w:val="0"/>
                <w:numId w:val="34"/>
              </w:numPr>
              <w:spacing w:before="20" w:after="20" w:line="276" w:lineRule="auto"/>
              <w:ind w:left="142" w:hanging="142"/>
              <w:contextualSpacing w:val="0"/>
              <w:jc w:val="left"/>
              <w:rPr>
                <w:color w:val="auto"/>
                <w:sz w:val="20"/>
              </w:rPr>
            </w:pPr>
            <w:r w:rsidRPr="00C801A6">
              <w:rPr>
                <w:color w:val="auto"/>
                <w:sz w:val="20"/>
              </w:rPr>
              <w:t>Localisation des base-vies : Sécurité des biens et des personnes dans les base-vies (vols, attaques des base-vies …)</w:t>
            </w:r>
          </w:p>
          <w:p w14:paraId="4B4BDF41" w14:textId="77777777" w:rsidR="00575CDF" w:rsidRPr="00C801A6" w:rsidRDefault="00575CDF" w:rsidP="00844538">
            <w:pPr>
              <w:pStyle w:val="ListParagraph"/>
              <w:numPr>
                <w:ilvl w:val="0"/>
                <w:numId w:val="34"/>
              </w:numPr>
              <w:spacing w:before="20" w:after="20" w:line="276" w:lineRule="auto"/>
              <w:ind w:left="142" w:hanging="142"/>
              <w:contextualSpacing w:val="0"/>
              <w:jc w:val="left"/>
              <w:rPr>
                <w:color w:val="auto"/>
                <w:sz w:val="20"/>
              </w:rPr>
            </w:pPr>
            <w:r w:rsidRPr="00C801A6">
              <w:rPr>
                <w:color w:val="auto"/>
                <w:sz w:val="20"/>
              </w:rPr>
              <w:t>Présence de forces de l’ordre : sécurisation physique des base-vies, risques par rapport à l’implication de tels agents sur la communauté</w:t>
            </w:r>
          </w:p>
        </w:tc>
        <w:tc>
          <w:tcPr>
            <w:tcW w:w="2501" w:type="dxa"/>
          </w:tcPr>
          <w:p w14:paraId="38C09535" w14:textId="77777777" w:rsidR="00575CDF" w:rsidRPr="00C801A6" w:rsidRDefault="00575CDF" w:rsidP="00844538">
            <w:pPr>
              <w:pStyle w:val="ListParagraph"/>
              <w:numPr>
                <w:ilvl w:val="0"/>
                <w:numId w:val="34"/>
              </w:numPr>
              <w:spacing w:before="20" w:after="20" w:line="276" w:lineRule="auto"/>
              <w:ind w:left="142" w:hanging="142"/>
              <w:contextualSpacing w:val="0"/>
              <w:jc w:val="left"/>
              <w:rPr>
                <w:color w:val="auto"/>
                <w:sz w:val="20"/>
              </w:rPr>
            </w:pPr>
            <w:r w:rsidRPr="00C801A6">
              <w:rPr>
                <w:color w:val="auto"/>
                <w:sz w:val="20"/>
              </w:rPr>
              <w:t>Préparation du site</w:t>
            </w:r>
          </w:p>
          <w:p w14:paraId="4F28EEDD" w14:textId="77777777" w:rsidR="00575CDF" w:rsidRPr="00C801A6" w:rsidRDefault="00575CDF" w:rsidP="00844538">
            <w:pPr>
              <w:pStyle w:val="ListParagraph"/>
              <w:numPr>
                <w:ilvl w:val="0"/>
                <w:numId w:val="34"/>
              </w:numPr>
              <w:spacing w:before="20" w:after="20" w:line="276" w:lineRule="auto"/>
              <w:ind w:left="142" w:hanging="142"/>
              <w:contextualSpacing w:val="0"/>
              <w:jc w:val="left"/>
              <w:rPr>
                <w:color w:val="auto"/>
                <w:sz w:val="20"/>
              </w:rPr>
            </w:pPr>
            <w:r w:rsidRPr="00C801A6">
              <w:rPr>
                <w:color w:val="auto"/>
                <w:sz w:val="20"/>
              </w:rPr>
              <w:t>Défrichement / Nettoyage : impacts possibles sur des biens privés et sur la couverture végétale</w:t>
            </w:r>
          </w:p>
          <w:p w14:paraId="7060819A" w14:textId="77777777" w:rsidR="00575CDF" w:rsidRPr="00C801A6" w:rsidRDefault="00575CDF" w:rsidP="00844538">
            <w:pPr>
              <w:pStyle w:val="ListParagraph"/>
              <w:numPr>
                <w:ilvl w:val="0"/>
                <w:numId w:val="34"/>
              </w:numPr>
              <w:spacing w:before="20" w:after="20" w:line="276" w:lineRule="auto"/>
              <w:ind w:left="142" w:hanging="142"/>
              <w:contextualSpacing w:val="0"/>
              <w:jc w:val="left"/>
              <w:rPr>
                <w:color w:val="auto"/>
                <w:sz w:val="20"/>
              </w:rPr>
            </w:pPr>
            <w:r w:rsidRPr="00C801A6">
              <w:rPr>
                <w:color w:val="auto"/>
                <w:sz w:val="20"/>
              </w:rPr>
              <w:t>Installation des matériels et équipements (cas d’une carrière pour produits rocheux)</w:t>
            </w:r>
          </w:p>
        </w:tc>
      </w:tr>
      <w:tr w:rsidR="00C801A6" w:rsidRPr="00C801A6" w14:paraId="44C90D92" w14:textId="77777777" w:rsidTr="00347FDB">
        <w:tc>
          <w:tcPr>
            <w:tcW w:w="1997" w:type="dxa"/>
          </w:tcPr>
          <w:p w14:paraId="0C3C2FB9" w14:textId="77777777" w:rsidR="00575CDF" w:rsidRPr="00C801A6" w:rsidRDefault="00575CDF" w:rsidP="00347FDB">
            <w:pPr>
              <w:spacing w:before="20" w:after="20"/>
              <w:jc w:val="left"/>
              <w:rPr>
                <w:color w:val="auto"/>
                <w:sz w:val="20"/>
              </w:rPr>
            </w:pPr>
            <w:r w:rsidRPr="00C801A6">
              <w:rPr>
                <w:color w:val="auto"/>
                <w:sz w:val="20"/>
              </w:rPr>
              <w:t>Phase de travaux</w:t>
            </w:r>
          </w:p>
        </w:tc>
        <w:tc>
          <w:tcPr>
            <w:tcW w:w="2351" w:type="dxa"/>
          </w:tcPr>
          <w:p w14:paraId="7BFF96AF" w14:textId="77777777" w:rsidR="00575CDF" w:rsidRPr="00C801A6" w:rsidRDefault="00575CDF" w:rsidP="00844538">
            <w:pPr>
              <w:pStyle w:val="ListParagraph"/>
              <w:numPr>
                <w:ilvl w:val="0"/>
                <w:numId w:val="34"/>
              </w:numPr>
              <w:spacing w:before="20" w:after="20" w:line="276" w:lineRule="auto"/>
              <w:ind w:left="142" w:hanging="142"/>
              <w:contextualSpacing w:val="0"/>
              <w:jc w:val="left"/>
              <w:rPr>
                <w:color w:val="auto"/>
                <w:sz w:val="20"/>
              </w:rPr>
            </w:pPr>
            <w:r w:rsidRPr="00C801A6">
              <w:rPr>
                <w:color w:val="auto"/>
                <w:sz w:val="20"/>
              </w:rPr>
              <w:t>Travaux proprement dits</w:t>
            </w:r>
          </w:p>
          <w:p w14:paraId="1744A68C" w14:textId="77777777" w:rsidR="00575CDF" w:rsidRPr="00C801A6" w:rsidRDefault="00575CDF" w:rsidP="00844538">
            <w:pPr>
              <w:pStyle w:val="ListParagraph"/>
              <w:numPr>
                <w:ilvl w:val="0"/>
                <w:numId w:val="34"/>
              </w:numPr>
              <w:spacing w:before="20" w:after="20" w:line="276" w:lineRule="auto"/>
              <w:ind w:left="142" w:hanging="142"/>
              <w:contextualSpacing w:val="0"/>
              <w:jc w:val="left"/>
              <w:rPr>
                <w:color w:val="auto"/>
                <w:sz w:val="20"/>
              </w:rPr>
            </w:pPr>
            <w:r w:rsidRPr="00C801A6">
              <w:rPr>
                <w:color w:val="auto"/>
                <w:sz w:val="20"/>
              </w:rPr>
              <w:t>Déviations (cas de travaux d’entretien périodique)</w:t>
            </w:r>
          </w:p>
          <w:p w14:paraId="3FB5FCC9" w14:textId="77777777" w:rsidR="00575CDF" w:rsidRPr="00C801A6" w:rsidRDefault="00575CDF" w:rsidP="00844538">
            <w:pPr>
              <w:pStyle w:val="ListParagraph"/>
              <w:numPr>
                <w:ilvl w:val="0"/>
                <w:numId w:val="34"/>
              </w:numPr>
              <w:spacing w:before="20" w:after="20" w:line="276" w:lineRule="auto"/>
              <w:ind w:left="142" w:hanging="142"/>
              <w:contextualSpacing w:val="0"/>
              <w:jc w:val="left"/>
              <w:rPr>
                <w:color w:val="auto"/>
                <w:sz w:val="20"/>
              </w:rPr>
            </w:pPr>
            <w:r w:rsidRPr="00C801A6">
              <w:rPr>
                <w:color w:val="auto"/>
                <w:sz w:val="20"/>
              </w:rPr>
              <w:t>Utilisation des matériels et équipements</w:t>
            </w:r>
          </w:p>
          <w:p w14:paraId="43AF8023" w14:textId="77777777" w:rsidR="00575CDF" w:rsidRPr="00C801A6" w:rsidRDefault="00575CDF" w:rsidP="00844538">
            <w:pPr>
              <w:pStyle w:val="ListParagraph"/>
              <w:numPr>
                <w:ilvl w:val="0"/>
                <w:numId w:val="34"/>
              </w:numPr>
              <w:spacing w:before="20" w:after="20" w:line="276" w:lineRule="auto"/>
              <w:ind w:left="142" w:hanging="142"/>
              <w:contextualSpacing w:val="0"/>
              <w:jc w:val="left"/>
              <w:rPr>
                <w:color w:val="auto"/>
                <w:sz w:val="20"/>
              </w:rPr>
            </w:pPr>
            <w:r w:rsidRPr="00C801A6">
              <w:rPr>
                <w:color w:val="auto"/>
                <w:sz w:val="20"/>
              </w:rPr>
              <w:t>Emploi et conditions de travail :</w:t>
            </w:r>
          </w:p>
          <w:p w14:paraId="3ED3A5BE" w14:textId="77777777" w:rsidR="00575CDF" w:rsidRPr="00C801A6" w:rsidRDefault="00575CDF" w:rsidP="00844538">
            <w:pPr>
              <w:pStyle w:val="ListParagraph"/>
              <w:numPr>
                <w:ilvl w:val="1"/>
                <w:numId w:val="34"/>
              </w:numPr>
              <w:spacing w:before="20" w:after="20" w:line="276" w:lineRule="auto"/>
              <w:ind w:left="284" w:hanging="142"/>
              <w:contextualSpacing w:val="0"/>
              <w:jc w:val="left"/>
              <w:rPr>
                <w:color w:val="auto"/>
                <w:sz w:val="20"/>
              </w:rPr>
            </w:pPr>
            <w:r w:rsidRPr="00C801A6">
              <w:rPr>
                <w:color w:val="auto"/>
                <w:sz w:val="20"/>
              </w:rPr>
              <w:t>inclusion, exclusion, discrimination …</w:t>
            </w:r>
          </w:p>
          <w:p w14:paraId="588A3A7F" w14:textId="77777777" w:rsidR="00575CDF" w:rsidRPr="00C801A6" w:rsidRDefault="00575CDF" w:rsidP="00844538">
            <w:pPr>
              <w:pStyle w:val="ListParagraph"/>
              <w:numPr>
                <w:ilvl w:val="1"/>
                <w:numId w:val="34"/>
              </w:numPr>
              <w:spacing w:before="20" w:after="20" w:line="276" w:lineRule="auto"/>
              <w:ind w:left="284" w:hanging="142"/>
              <w:contextualSpacing w:val="0"/>
              <w:jc w:val="left"/>
              <w:rPr>
                <w:color w:val="auto"/>
                <w:sz w:val="20"/>
              </w:rPr>
            </w:pPr>
            <w:r w:rsidRPr="00C801A6">
              <w:rPr>
                <w:color w:val="auto"/>
                <w:sz w:val="20"/>
              </w:rPr>
              <w:t>sécurité des travailleurs</w:t>
            </w:r>
          </w:p>
        </w:tc>
        <w:tc>
          <w:tcPr>
            <w:tcW w:w="2360" w:type="dxa"/>
          </w:tcPr>
          <w:p w14:paraId="49F2F71F" w14:textId="77777777" w:rsidR="00575CDF" w:rsidRPr="00C801A6" w:rsidRDefault="00575CDF" w:rsidP="00844538">
            <w:pPr>
              <w:pStyle w:val="ListParagraph"/>
              <w:numPr>
                <w:ilvl w:val="0"/>
                <w:numId w:val="34"/>
              </w:numPr>
              <w:spacing w:before="20" w:after="20" w:line="276" w:lineRule="auto"/>
              <w:ind w:left="142" w:hanging="142"/>
              <w:contextualSpacing w:val="0"/>
              <w:jc w:val="left"/>
              <w:rPr>
                <w:color w:val="auto"/>
                <w:sz w:val="20"/>
              </w:rPr>
            </w:pPr>
            <w:r w:rsidRPr="00C801A6">
              <w:rPr>
                <w:color w:val="auto"/>
                <w:sz w:val="20"/>
              </w:rPr>
              <w:t>Activités liées à l’exploitation de la base-vie</w:t>
            </w:r>
          </w:p>
        </w:tc>
        <w:tc>
          <w:tcPr>
            <w:tcW w:w="2501" w:type="dxa"/>
          </w:tcPr>
          <w:p w14:paraId="08FF4A10" w14:textId="77777777" w:rsidR="00575CDF" w:rsidRPr="00C801A6" w:rsidRDefault="00575CDF" w:rsidP="00844538">
            <w:pPr>
              <w:pStyle w:val="ListParagraph"/>
              <w:numPr>
                <w:ilvl w:val="0"/>
                <w:numId w:val="34"/>
              </w:numPr>
              <w:spacing w:before="20" w:after="20" w:line="276" w:lineRule="auto"/>
              <w:ind w:left="142" w:hanging="142"/>
              <w:contextualSpacing w:val="0"/>
              <w:jc w:val="left"/>
              <w:rPr>
                <w:color w:val="auto"/>
                <w:sz w:val="20"/>
              </w:rPr>
            </w:pPr>
            <w:r w:rsidRPr="00C801A6">
              <w:rPr>
                <w:color w:val="auto"/>
                <w:sz w:val="20"/>
              </w:rPr>
              <w:t>Activités liées à l’exploitation des sites</w:t>
            </w:r>
          </w:p>
        </w:tc>
      </w:tr>
      <w:tr w:rsidR="00C801A6" w:rsidRPr="00C801A6" w14:paraId="08252871" w14:textId="77777777" w:rsidTr="00347FDB">
        <w:tc>
          <w:tcPr>
            <w:tcW w:w="1997" w:type="dxa"/>
          </w:tcPr>
          <w:p w14:paraId="701A77FF" w14:textId="77777777" w:rsidR="00575CDF" w:rsidRPr="00C801A6" w:rsidRDefault="00575CDF" w:rsidP="00347FDB">
            <w:pPr>
              <w:spacing w:before="20" w:after="20"/>
              <w:jc w:val="left"/>
              <w:rPr>
                <w:color w:val="auto"/>
                <w:sz w:val="20"/>
              </w:rPr>
            </w:pPr>
            <w:r w:rsidRPr="00C801A6">
              <w:rPr>
                <w:color w:val="auto"/>
                <w:sz w:val="20"/>
              </w:rPr>
              <w:t>Phase de clôture de chantier</w:t>
            </w:r>
          </w:p>
        </w:tc>
        <w:tc>
          <w:tcPr>
            <w:tcW w:w="2351" w:type="dxa"/>
          </w:tcPr>
          <w:p w14:paraId="427A694C" w14:textId="77777777" w:rsidR="00575CDF" w:rsidRPr="00C801A6" w:rsidRDefault="00575CDF" w:rsidP="00844538">
            <w:pPr>
              <w:pStyle w:val="ListParagraph"/>
              <w:numPr>
                <w:ilvl w:val="0"/>
                <w:numId w:val="34"/>
              </w:numPr>
              <w:spacing w:before="20" w:after="20" w:line="276" w:lineRule="auto"/>
              <w:ind w:left="142" w:hanging="142"/>
              <w:contextualSpacing w:val="0"/>
              <w:jc w:val="left"/>
              <w:rPr>
                <w:color w:val="auto"/>
                <w:sz w:val="20"/>
              </w:rPr>
            </w:pPr>
            <w:r w:rsidRPr="00C801A6">
              <w:rPr>
                <w:color w:val="auto"/>
                <w:sz w:val="20"/>
              </w:rPr>
              <w:t>Fermeture du chantier</w:t>
            </w:r>
          </w:p>
        </w:tc>
        <w:tc>
          <w:tcPr>
            <w:tcW w:w="2360" w:type="dxa"/>
          </w:tcPr>
          <w:p w14:paraId="6D266598" w14:textId="77777777" w:rsidR="00575CDF" w:rsidRPr="00C801A6" w:rsidRDefault="00575CDF" w:rsidP="00844538">
            <w:pPr>
              <w:pStyle w:val="ListParagraph"/>
              <w:numPr>
                <w:ilvl w:val="0"/>
                <w:numId w:val="34"/>
              </w:numPr>
              <w:spacing w:before="20" w:after="20" w:line="276" w:lineRule="auto"/>
              <w:ind w:left="142" w:hanging="142"/>
              <w:contextualSpacing w:val="0"/>
              <w:jc w:val="left"/>
              <w:rPr>
                <w:color w:val="auto"/>
                <w:sz w:val="20"/>
              </w:rPr>
            </w:pPr>
            <w:r w:rsidRPr="00C801A6">
              <w:rPr>
                <w:color w:val="auto"/>
                <w:sz w:val="20"/>
              </w:rPr>
              <w:t xml:space="preserve">Démolition des constructions temporaires </w:t>
            </w:r>
          </w:p>
          <w:p w14:paraId="75146204" w14:textId="77777777" w:rsidR="00575CDF" w:rsidRPr="00C801A6" w:rsidRDefault="00575CDF" w:rsidP="00844538">
            <w:pPr>
              <w:pStyle w:val="ListParagraph"/>
              <w:numPr>
                <w:ilvl w:val="0"/>
                <w:numId w:val="34"/>
              </w:numPr>
              <w:spacing w:before="20" w:after="20" w:line="276" w:lineRule="auto"/>
              <w:ind w:left="142" w:hanging="142"/>
              <w:contextualSpacing w:val="0"/>
              <w:jc w:val="left"/>
              <w:rPr>
                <w:color w:val="auto"/>
                <w:sz w:val="20"/>
              </w:rPr>
            </w:pPr>
            <w:r w:rsidRPr="00C801A6">
              <w:rPr>
                <w:color w:val="auto"/>
                <w:sz w:val="20"/>
              </w:rPr>
              <w:t>Démobilisation</w:t>
            </w:r>
          </w:p>
        </w:tc>
        <w:tc>
          <w:tcPr>
            <w:tcW w:w="2501" w:type="dxa"/>
          </w:tcPr>
          <w:p w14:paraId="2A011F94" w14:textId="77777777" w:rsidR="00575CDF" w:rsidRPr="00C801A6" w:rsidRDefault="00575CDF" w:rsidP="00844538">
            <w:pPr>
              <w:pStyle w:val="ListParagraph"/>
              <w:numPr>
                <w:ilvl w:val="0"/>
                <w:numId w:val="34"/>
              </w:numPr>
              <w:spacing w:before="20" w:after="20" w:line="276" w:lineRule="auto"/>
              <w:ind w:left="142" w:hanging="142"/>
              <w:contextualSpacing w:val="0"/>
              <w:jc w:val="left"/>
              <w:rPr>
                <w:color w:val="auto"/>
                <w:sz w:val="20"/>
              </w:rPr>
            </w:pPr>
            <w:r w:rsidRPr="00C801A6">
              <w:rPr>
                <w:color w:val="auto"/>
                <w:sz w:val="20"/>
              </w:rPr>
              <w:t>Fermeture des sites</w:t>
            </w:r>
          </w:p>
        </w:tc>
      </w:tr>
      <w:tr w:rsidR="00C801A6" w:rsidRPr="00C801A6" w14:paraId="64DEAD2A" w14:textId="77777777" w:rsidTr="00347FDB">
        <w:tc>
          <w:tcPr>
            <w:tcW w:w="1997" w:type="dxa"/>
          </w:tcPr>
          <w:p w14:paraId="3B85621F" w14:textId="77777777" w:rsidR="00575CDF" w:rsidRPr="00C801A6" w:rsidRDefault="00575CDF" w:rsidP="00347FDB">
            <w:pPr>
              <w:spacing w:before="20" w:after="20"/>
              <w:jc w:val="left"/>
              <w:rPr>
                <w:color w:val="auto"/>
                <w:sz w:val="20"/>
              </w:rPr>
            </w:pPr>
            <w:r w:rsidRPr="00C801A6">
              <w:rPr>
                <w:color w:val="auto"/>
                <w:sz w:val="20"/>
              </w:rPr>
              <w:t>Phase de mise en service</w:t>
            </w:r>
          </w:p>
          <w:p w14:paraId="148D28F5" w14:textId="0C462F6C" w:rsidR="00BC4554" w:rsidRPr="00C801A6" w:rsidRDefault="00BC4554" w:rsidP="00347FDB">
            <w:pPr>
              <w:spacing w:before="20" w:after="20"/>
              <w:jc w:val="left"/>
              <w:rPr>
                <w:i/>
                <w:iCs/>
                <w:color w:val="auto"/>
                <w:sz w:val="20"/>
              </w:rPr>
            </w:pPr>
            <w:r w:rsidRPr="00C801A6">
              <w:rPr>
                <w:i/>
                <w:iCs/>
                <w:color w:val="auto"/>
                <w:sz w:val="20"/>
              </w:rPr>
              <w:lastRenderedPageBreak/>
              <w:t>(Cette phase ne s’applique pas à la Composante CERC)</w:t>
            </w:r>
          </w:p>
        </w:tc>
        <w:tc>
          <w:tcPr>
            <w:tcW w:w="2351" w:type="dxa"/>
          </w:tcPr>
          <w:p w14:paraId="0668F16F" w14:textId="0E504662" w:rsidR="00575CDF" w:rsidRPr="00C801A6" w:rsidRDefault="00575CDF" w:rsidP="00844538">
            <w:pPr>
              <w:pStyle w:val="ListParagraph"/>
              <w:numPr>
                <w:ilvl w:val="0"/>
                <w:numId w:val="34"/>
              </w:numPr>
              <w:spacing w:before="20" w:after="20" w:line="276" w:lineRule="auto"/>
              <w:ind w:left="142" w:hanging="142"/>
              <w:contextualSpacing w:val="0"/>
              <w:jc w:val="left"/>
              <w:rPr>
                <w:color w:val="auto"/>
                <w:sz w:val="20"/>
              </w:rPr>
            </w:pPr>
            <w:r w:rsidRPr="00C801A6">
              <w:rPr>
                <w:color w:val="auto"/>
                <w:sz w:val="20"/>
              </w:rPr>
              <w:lastRenderedPageBreak/>
              <w:t xml:space="preserve">Risques liés à l’ouverture des routes </w:t>
            </w:r>
            <w:r w:rsidR="00BC4554" w:rsidRPr="00C801A6">
              <w:rPr>
                <w:color w:val="auto"/>
                <w:sz w:val="20"/>
              </w:rPr>
              <w:t xml:space="preserve">réhabilitées </w:t>
            </w:r>
            <w:r w:rsidRPr="00C801A6">
              <w:rPr>
                <w:color w:val="auto"/>
                <w:sz w:val="20"/>
              </w:rPr>
              <w:t>aux usagers</w:t>
            </w:r>
          </w:p>
        </w:tc>
        <w:tc>
          <w:tcPr>
            <w:tcW w:w="2360" w:type="dxa"/>
            <w:shd w:val="clear" w:color="auto" w:fill="FFF2CC" w:themeFill="accent4" w:themeFillTint="33"/>
          </w:tcPr>
          <w:p w14:paraId="0302EC2C" w14:textId="77777777" w:rsidR="00575CDF" w:rsidRPr="00C801A6" w:rsidRDefault="00575CDF" w:rsidP="00347FDB">
            <w:pPr>
              <w:spacing w:before="20" w:after="20"/>
              <w:jc w:val="left"/>
              <w:rPr>
                <w:color w:val="auto"/>
                <w:sz w:val="20"/>
              </w:rPr>
            </w:pPr>
            <w:r w:rsidRPr="00C801A6">
              <w:rPr>
                <w:color w:val="auto"/>
                <w:sz w:val="20"/>
              </w:rPr>
              <w:t>Non-applicable</w:t>
            </w:r>
          </w:p>
        </w:tc>
        <w:tc>
          <w:tcPr>
            <w:tcW w:w="2501" w:type="dxa"/>
            <w:shd w:val="clear" w:color="auto" w:fill="FFF2CC" w:themeFill="accent4" w:themeFillTint="33"/>
          </w:tcPr>
          <w:p w14:paraId="222AF3FB" w14:textId="77777777" w:rsidR="00575CDF" w:rsidRPr="00C801A6" w:rsidRDefault="00575CDF" w:rsidP="00844538">
            <w:pPr>
              <w:pStyle w:val="ListParagraph"/>
              <w:numPr>
                <w:ilvl w:val="0"/>
                <w:numId w:val="34"/>
              </w:numPr>
              <w:spacing w:before="20" w:after="20" w:line="276" w:lineRule="auto"/>
              <w:ind w:left="142" w:hanging="142"/>
              <w:contextualSpacing w:val="0"/>
              <w:jc w:val="left"/>
              <w:rPr>
                <w:color w:val="auto"/>
                <w:sz w:val="20"/>
              </w:rPr>
            </w:pPr>
            <w:r w:rsidRPr="00C801A6">
              <w:rPr>
                <w:color w:val="auto"/>
                <w:sz w:val="20"/>
              </w:rPr>
              <w:t>Non-applicable</w:t>
            </w:r>
          </w:p>
        </w:tc>
      </w:tr>
    </w:tbl>
    <w:p w14:paraId="4DA611F4" w14:textId="50E4BE4A" w:rsidR="00575CDF" w:rsidRPr="00C801A6" w:rsidRDefault="00EA6D56" w:rsidP="00575CDF">
      <w:pPr>
        <w:spacing w:before="240"/>
        <w:rPr>
          <w:color w:val="auto"/>
        </w:rPr>
      </w:pPr>
      <w:r>
        <w:rPr>
          <w:color w:val="auto"/>
        </w:rPr>
        <w:t>Vu la longueur des routes à entretenir, l</w:t>
      </w:r>
      <w:r w:rsidR="00575CDF" w:rsidRPr="00C801A6">
        <w:rPr>
          <w:color w:val="auto"/>
        </w:rPr>
        <w:t>es sources d’impacts sont donc multiples et couvrent à la fois le chantier routier proprement dit, les bases-vie (</w:t>
      </w:r>
      <w:r>
        <w:rPr>
          <w:color w:val="auto"/>
        </w:rPr>
        <w:t>primaires et secondaires</w:t>
      </w:r>
      <w:r w:rsidR="00575CDF" w:rsidRPr="00C801A6">
        <w:rPr>
          <w:color w:val="auto"/>
        </w:rPr>
        <w:t>) et les sites d’extraction (compte tenu de la plus-value de transport, ces sites vont changer avec l’avancement du front de chantier)</w:t>
      </w:r>
    </w:p>
    <w:p w14:paraId="6AB8FBA0" w14:textId="3103D2CD" w:rsidR="00575CDF" w:rsidRPr="00C801A6" w:rsidRDefault="00575CDF" w:rsidP="00C65572">
      <w:pPr>
        <w:pStyle w:val="Heading3"/>
      </w:pPr>
      <w:bookmarkStart w:id="590" w:name="_Ref71593699"/>
      <w:bookmarkStart w:id="591" w:name="_Ref71593744"/>
      <w:bookmarkStart w:id="592" w:name="_Ref71593963"/>
      <w:bookmarkStart w:id="593" w:name="_Ref71630995"/>
      <w:bookmarkStart w:id="594" w:name="_Toc71767867"/>
      <w:bookmarkStart w:id="595" w:name="_Toc106320349"/>
      <w:bookmarkStart w:id="596" w:name="_Toc230426057"/>
      <w:r w:rsidRPr="00C801A6">
        <w:t>Impacts types bénéfiques</w:t>
      </w:r>
      <w:bookmarkEnd w:id="590"/>
      <w:bookmarkEnd w:id="591"/>
      <w:bookmarkEnd w:id="592"/>
      <w:bookmarkEnd w:id="593"/>
      <w:bookmarkEnd w:id="594"/>
      <w:bookmarkEnd w:id="595"/>
      <w:bookmarkEnd w:id="596"/>
    </w:p>
    <w:p w14:paraId="559A1AA4" w14:textId="3490B443" w:rsidR="00575CDF" w:rsidRPr="00C801A6" w:rsidRDefault="00575CDF" w:rsidP="00575CDF">
      <w:pPr>
        <w:rPr>
          <w:color w:val="auto"/>
        </w:rPr>
      </w:pPr>
      <w:r w:rsidRPr="00C801A6">
        <w:rPr>
          <w:color w:val="auto"/>
        </w:rPr>
        <w:t xml:space="preserve">Il est bien connu que, sauf en période de crise sociopolitique, les travaux routiers </w:t>
      </w:r>
      <w:r w:rsidR="00C93373">
        <w:rPr>
          <w:color w:val="auto"/>
        </w:rPr>
        <w:t xml:space="preserve">et portuaires </w:t>
      </w:r>
      <w:r w:rsidRPr="00C801A6">
        <w:rPr>
          <w:color w:val="auto"/>
        </w:rPr>
        <w:t xml:space="preserve">sont réputés être des sources constantes d’emplois car les travaux en question devraient être réalisées sur une base régulière. Nonobstant ce fait, les retombées positives attendues des travaux d’entretien de routes nationales </w:t>
      </w:r>
      <w:r w:rsidR="00C93373">
        <w:rPr>
          <w:color w:val="auto"/>
        </w:rPr>
        <w:t xml:space="preserve">et de réhabilitation de port </w:t>
      </w:r>
      <w:r w:rsidRPr="00C801A6">
        <w:rPr>
          <w:color w:val="auto"/>
        </w:rPr>
        <w:t>sont multiples, ne se laisse que du fait de leurs vocations :</w:t>
      </w:r>
    </w:p>
    <w:p w14:paraId="3120EEA7" w14:textId="77777777" w:rsidR="00BE728C" w:rsidRPr="00C801A6" w:rsidRDefault="00BE728C" w:rsidP="00844538">
      <w:pPr>
        <w:pStyle w:val="ListParagraph"/>
        <w:numPr>
          <w:ilvl w:val="1"/>
          <w:numId w:val="27"/>
        </w:numPr>
        <w:spacing w:after="80" w:line="276" w:lineRule="auto"/>
        <w:ind w:left="1276" w:hanging="425"/>
        <w:contextualSpacing w:val="0"/>
        <w:rPr>
          <w:color w:val="auto"/>
        </w:rPr>
      </w:pPr>
      <w:r w:rsidRPr="00C801A6">
        <w:rPr>
          <w:color w:val="auto"/>
        </w:rPr>
        <w:t>Création d’emplois et de sources de revenus supplémentaires pour les ménages des ouvriers</w:t>
      </w:r>
    </w:p>
    <w:p w14:paraId="5BDE4281" w14:textId="77777777" w:rsidR="00BE728C" w:rsidRPr="00C801A6" w:rsidRDefault="00BE728C" w:rsidP="00844538">
      <w:pPr>
        <w:pStyle w:val="ListParagraph"/>
        <w:numPr>
          <w:ilvl w:val="1"/>
          <w:numId w:val="27"/>
        </w:numPr>
        <w:spacing w:after="80" w:line="276" w:lineRule="auto"/>
        <w:ind w:left="1276" w:hanging="425"/>
        <w:contextualSpacing w:val="0"/>
        <w:rPr>
          <w:color w:val="auto"/>
        </w:rPr>
      </w:pPr>
      <w:r w:rsidRPr="00C801A6">
        <w:rPr>
          <w:color w:val="auto"/>
        </w:rPr>
        <w:t xml:space="preserve">Continuité de la circulation après les travaux </w:t>
      </w:r>
    </w:p>
    <w:p w14:paraId="5870B8BD" w14:textId="1679DB49" w:rsidR="00BE728C" w:rsidRPr="00C801A6" w:rsidRDefault="00BE728C" w:rsidP="00844538">
      <w:pPr>
        <w:pStyle w:val="ListParagraph"/>
        <w:numPr>
          <w:ilvl w:val="1"/>
          <w:numId w:val="27"/>
        </w:numPr>
        <w:spacing w:after="80" w:line="276" w:lineRule="auto"/>
        <w:ind w:left="1276" w:hanging="425"/>
        <w:contextualSpacing w:val="0"/>
        <w:rPr>
          <w:color w:val="auto"/>
        </w:rPr>
      </w:pPr>
      <w:r w:rsidRPr="00C801A6">
        <w:rPr>
          <w:color w:val="auto"/>
        </w:rPr>
        <w:t>Fluidité de la circulation</w:t>
      </w:r>
    </w:p>
    <w:p w14:paraId="0C828197" w14:textId="3A8563FF" w:rsidR="00BE728C" w:rsidRPr="00C801A6" w:rsidRDefault="00BE728C" w:rsidP="00844538">
      <w:pPr>
        <w:pStyle w:val="ListParagraph"/>
        <w:numPr>
          <w:ilvl w:val="1"/>
          <w:numId w:val="27"/>
        </w:numPr>
        <w:spacing w:after="80" w:line="276" w:lineRule="auto"/>
        <w:ind w:left="1276" w:hanging="425"/>
        <w:contextualSpacing w:val="0"/>
        <w:rPr>
          <w:color w:val="auto"/>
        </w:rPr>
      </w:pPr>
      <w:r w:rsidRPr="00C801A6">
        <w:rPr>
          <w:color w:val="auto"/>
        </w:rPr>
        <w:t>Reprise des échanges commerciaux au plan inter-régional</w:t>
      </w:r>
      <w:r w:rsidR="00C93373">
        <w:rPr>
          <w:color w:val="auto"/>
        </w:rPr>
        <w:t xml:space="preserve"> et internationaux</w:t>
      </w:r>
    </w:p>
    <w:p w14:paraId="09B9F55C" w14:textId="77777777" w:rsidR="00BE728C" w:rsidRPr="00C801A6" w:rsidRDefault="00BE728C" w:rsidP="00844538">
      <w:pPr>
        <w:pStyle w:val="ListParagraph"/>
        <w:numPr>
          <w:ilvl w:val="1"/>
          <w:numId w:val="27"/>
        </w:numPr>
        <w:spacing w:after="80" w:line="276" w:lineRule="auto"/>
        <w:ind w:left="1276" w:hanging="425"/>
        <w:contextualSpacing w:val="0"/>
        <w:rPr>
          <w:color w:val="auto"/>
        </w:rPr>
      </w:pPr>
      <w:r w:rsidRPr="00C801A6">
        <w:rPr>
          <w:color w:val="auto"/>
        </w:rPr>
        <w:t>Raccourcissement de la durée du parcours et gain de temps subséquent</w:t>
      </w:r>
    </w:p>
    <w:p w14:paraId="3E06853E" w14:textId="77777777" w:rsidR="00BE728C" w:rsidRPr="00C801A6" w:rsidRDefault="00BE728C" w:rsidP="00844538">
      <w:pPr>
        <w:pStyle w:val="ListParagraph"/>
        <w:numPr>
          <w:ilvl w:val="1"/>
          <w:numId w:val="27"/>
        </w:numPr>
        <w:spacing w:after="80" w:line="276" w:lineRule="auto"/>
        <w:ind w:left="1276" w:hanging="425"/>
        <w:contextualSpacing w:val="0"/>
        <w:rPr>
          <w:color w:val="auto"/>
        </w:rPr>
      </w:pPr>
      <w:r w:rsidRPr="00C801A6">
        <w:rPr>
          <w:color w:val="auto"/>
        </w:rPr>
        <w:t>Réduction des coûts d’entretien des véhicules</w:t>
      </w:r>
    </w:p>
    <w:p w14:paraId="1B32658E" w14:textId="77777777" w:rsidR="00BE728C" w:rsidRPr="00C801A6" w:rsidRDefault="00BE728C" w:rsidP="00844538">
      <w:pPr>
        <w:pStyle w:val="ListParagraph"/>
        <w:numPr>
          <w:ilvl w:val="1"/>
          <w:numId w:val="27"/>
        </w:numPr>
        <w:spacing w:after="80" w:line="276" w:lineRule="auto"/>
        <w:ind w:left="1276" w:hanging="425"/>
        <w:contextualSpacing w:val="0"/>
        <w:rPr>
          <w:color w:val="auto"/>
        </w:rPr>
      </w:pPr>
      <w:r w:rsidRPr="00C801A6">
        <w:rPr>
          <w:color w:val="auto"/>
        </w:rPr>
        <w:t>Stabilité des coûts des déplacements motorisés</w:t>
      </w:r>
    </w:p>
    <w:p w14:paraId="24FBE9A8" w14:textId="77777777" w:rsidR="009846D9" w:rsidRPr="00C801A6" w:rsidRDefault="009846D9" w:rsidP="00844538">
      <w:pPr>
        <w:pStyle w:val="ListParagraph"/>
        <w:numPr>
          <w:ilvl w:val="1"/>
          <w:numId w:val="27"/>
        </w:numPr>
        <w:spacing w:after="80" w:line="276" w:lineRule="auto"/>
        <w:ind w:left="1276" w:hanging="425"/>
        <w:contextualSpacing w:val="0"/>
        <w:rPr>
          <w:color w:val="auto"/>
        </w:rPr>
      </w:pPr>
      <w:r w:rsidRPr="00C801A6">
        <w:rPr>
          <w:color w:val="auto"/>
        </w:rPr>
        <w:t>Augmentation de l’attrait des Régions concernées et du pays en tant que destinations touristiques</w:t>
      </w:r>
    </w:p>
    <w:p w14:paraId="6F3F9697" w14:textId="0EA949FC" w:rsidR="009846D9" w:rsidRPr="00C801A6" w:rsidRDefault="009846D9" w:rsidP="00844538">
      <w:pPr>
        <w:pStyle w:val="ListParagraph"/>
        <w:numPr>
          <w:ilvl w:val="1"/>
          <w:numId w:val="27"/>
        </w:numPr>
        <w:spacing w:after="80" w:line="276" w:lineRule="auto"/>
        <w:ind w:left="1276" w:hanging="425"/>
        <w:contextualSpacing w:val="0"/>
        <w:rPr>
          <w:color w:val="auto"/>
        </w:rPr>
      </w:pPr>
      <w:r w:rsidRPr="00C801A6">
        <w:rPr>
          <w:color w:val="auto"/>
        </w:rPr>
        <w:t>Amélioration des échanges commerciaux au plan national</w:t>
      </w:r>
      <w:r w:rsidR="00C93373">
        <w:rPr>
          <w:color w:val="auto"/>
        </w:rPr>
        <w:t xml:space="preserve"> et international</w:t>
      </w:r>
    </w:p>
    <w:p w14:paraId="754A309E" w14:textId="77777777" w:rsidR="009846D9" w:rsidRPr="00C801A6" w:rsidRDefault="009846D9" w:rsidP="00844538">
      <w:pPr>
        <w:pStyle w:val="ListParagraph"/>
        <w:numPr>
          <w:ilvl w:val="1"/>
          <w:numId w:val="27"/>
        </w:numPr>
        <w:spacing w:after="80" w:line="276" w:lineRule="auto"/>
        <w:ind w:left="1276" w:hanging="425"/>
        <w:contextualSpacing w:val="0"/>
        <w:rPr>
          <w:color w:val="auto"/>
        </w:rPr>
      </w:pPr>
      <w:r w:rsidRPr="00C801A6">
        <w:rPr>
          <w:color w:val="auto"/>
        </w:rPr>
        <w:t>Contribution à l’amélioration des conditions de vie des usagers</w:t>
      </w:r>
    </w:p>
    <w:p w14:paraId="736B5337" w14:textId="77777777" w:rsidR="00BE728C" w:rsidRPr="00C801A6" w:rsidRDefault="00BE728C" w:rsidP="00844538">
      <w:pPr>
        <w:pStyle w:val="ListParagraph"/>
        <w:numPr>
          <w:ilvl w:val="1"/>
          <w:numId w:val="27"/>
        </w:numPr>
        <w:spacing w:after="80" w:line="276" w:lineRule="auto"/>
        <w:ind w:left="1276" w:hanging="425"/>
        <w:contextualSpacing w:val="0"/>
        <w:rPr>
          <w:color w:val="auto"/>
        </w:rPr>
      </w:pPr>
      <w:r w:rsidRPr="00C801A6">
        <w:rPr>
          <w:color w:val="auto"/>
        </w:rPr>
        <w:t>La réhabilitation de RN facilitera l’accès des populations aux principaux centres administratifs, économiques, médicaux, scolaires, et développera également les échanges</w:t>
      </w:r>
    </w:p>
    <w:p w14:paraId="21910ABE" w14:textId="77777777" w:rsidR="00BE728C" w:rsidRPr="00C801A6" w:rsidRDefault="00BE728C" w:rsidP="00844538">
      <w:pPr>
        <w:pStyle w:val="ListParagraph"/>
        <w:numPr>
          <w:ilvl w:val="1"/>
          <w:numId w:val="27"/>
        </w:numPr>
        <w:spacing w:after="80" w:line="276" w:lineRule="auto"/>
        <w:ind w:left="1276" w:hanging="425"/>
        <w:contextualSpacing w:val="0"/>
        <w:rPr>
          <w:color w:val="auto"/>
        </w:rPr>
      </w:pPr>
      <w:r w:rsidRPr="00C801A6">
        <w:rPr>
          <w:color w:val="auto"/>
        </w:rPr>
        <w:t>Contribution à l’amélioration des relations entre populations des diverses Régions car les opportunités de rencontre seront plus fréquentes</w:t>
      </w:r>
    </w:p>
    <w:p w14:paraId="5455CF66" w14:textId="77777777" w:rsidR="00BE728C" w:rsidRPr="00C801A6" w:rsidRDefault="00BE728C" w:rsidP="00844538">
      <w:pPr>
        <w:pStyle w:val="ListParagraph"/>
        <w:numPr>
          <w:ilvl w:val="1"/>
          <w:numId w:val="27"/>
        </w:numPr>
        <w:spacing w:after="80" w:line="276" w:lineRule="auto"/>
        <w:ind w:left="1276" w:hanging="425"/>
        <w:contextualSpacing w:val="0"/>
        <w:rPr>
          <w:color w:val="auto"/>
        </w:rPr>
      </w:pPr>
      <w:r w:rsidRPr="00C801A6">
        <w:rPr>
          <w:color w:val="auto"/>
        </w:rPr>
        <w:t>Amélioration de la sécurité des biens et des personnes</w:t>
      </w:r>
    </w:p>
    <w:p w14:paraId="7B02549E" w14:textId="77777777" w:rsidR="00BE728C" w:rsidRPr="00C801A6" w:rsidRDefault="00BE728C" w:rsidP="00844538">
      <w:pPr>
        <w:pStyle w:val="ListParagraph"/>
        <w:numPr>
          <w:ilvl w:val="1"/>
          <w:numId w:val="27"/>
        </w:numPr>
        <w:spacing w:line="276" w:lineRule="auto"/>
        <w:ind w:left="1276" w:hanging="425"/>
        <w:contextualSpacing w:val="0"/>
        <w:rPr>
          <w:color w:val="auto"/>
        </w:rPr>
      </w:pPr>
      <w:r w:rsidRPr="00C801A6">
        <w:rPr>
          <w:color w:val="auto"/>
        </w:rPr>
        <w:t>Désenclavement des zones desservies.</w:t>
      </w:r>
    </w:p>
    <w:p w14:paraId="60045D7F" w14:textId="38D3D359" w:rsidR="00BE728C" w:rsidRDefault="00C93373" w:rsidP="00844538">
      <w:pPr>
        <w:pStyle w:val="ListParagraph"/>
        <w:numPr>
          <w:ilvl w:val="1"/>
          <w:numId w:val="27"/>
        </w:numPr>
        <w:spacing w:after="80" w:line="276" w:lineRule="auto"/>
        <w:ind w:left="1276" w:hanging="425"/>
        <w:contextualSpacing w:val="0"/>
        <w:rPr>
          <w:color w:val="auto"/>
        </w:rPr>
      </w:pPr>
      <w:r>
        <w:rPr>
          <w:color w:val="auto"/>
        </w:rPr>
        <w:t>Augmentation du nombre de touche des navires internationaux</w:t>
      </w:r>
    </w:p>
    <w:p w14:paraId="315FCEB5" w14:textId="79E124BE" w:rsidR="00C93373" w:rsidRDefault="00C93373" w:rsidP="00844538">
      <w:pPr>
        <w:pStyle w:val="ListParagraph"/>
        <w:numPr>
          <w:ilvl w:val="1"/>
          <w:numId w:val="27"/>
        </w:numPr>
        <w:spacing w:after="80" w:line="276" w:lineRule="auto"/>
        <w:ind w:left="1276" w:hanging="425"/>
        <w:contextualSpacing w:val="0"/>
        <w:rPr>
          <w:color w:val="auto"/>
        </w:rPr>
      </w:pPr>
      <w:r>
        <w:rPr>
          <w:color w:val="auto"/>
        </w:rPr>
        <w:t>Amélioration des conditions opérationnelles du port réhabilité</w:t>
      </w:r>
    </w:p>
    <w:p w14:paraId="4D4B8821" w14:textId="7F0776E7" w:rsidR="00C93373" w:rsidRPr="00C801A6" w:rsidRDefault="00C93373" w:rsidP="00844538">
      <w:pPr>
        <w:pStyle w:val="ListParagraph"/>
        <w:numPr>
          <w:ilvl w:val="1"/>
          <w:numId w:val="27"/>
        </w:numPr>
        <w:spacing w:after="80" w:line="276" w:lineRule="auto"/>
        <w:ind w:left="1276" w:hanging="425"/>
        <w:contextualSpacing w:val="0"/>
        <w:rPr>
          <w:color w:val="auto"/>
        </w:rPr>
      </w:pPr>
      <w:r>
        <w:rPr>
          <w:color w:val="auto"/>
        </w:rPr>
        <w:t xml:space="preserve">Amélioration de la plateforme d’échange commerciale </w:t>
      </w:r>
      <w:r w:rsidR="00CE71D9">
        <w:rPr>
          <w:color w:val="auto"/>
        </w:rPr>
        <w:t>international</w:t>
      </w:r>
    </w:p>
    <w:p w14:paraId="24FEA0F9" w14:textId="6819C8C4" w:rsidR="00575CDF" w:rsidRPr="00C801A6" w:rsidRDefault="00575CDF" w:rsidP="00C65572">
      <w:pPr>
        <w:pStyle w:val="Heading3"/>
      </w:pPr>
      <w:bookmarkStart w:id="597" w:name="_Toc71767868"/>
      <w:bookmarkStart w:id="598" w:name="_Toc106320350"/>
      <w:bookmarkStart w:id="599" w:name="_Toc230426058"/>
      <w:r w:rsidRPr="00C801A6">
        <w:lastRenderedPageBreak/>
        <w:t>Impacts</w:t>
      </w:r>
      <w:r w:rsidR="007715A8" w:rsidRPr="00C801A6">
        <w:t xml:space="preserve"> </w:t>
      </w:r>
      <w:r w:rsidRPr="00C801A6">
        <w:t>types négatifs</w:t>
      </w:r>
      <w:bookmarkEnd w:id="597"/>
      <w:bookmarkEnd w:id="598"/>
      <w:bookmarkEnd w:id="599"/>
    </w:p>
    <w:p w14:paraId="04FC56BF" w14:textId="77777777" w:rsidR="009846D9" w:rsidRPr="00C801A6" w:rsidRDefault="009846D9" w:rsidP="009846D9">
      <w:pPr>
        <w:shd w:val="clear" w:color="auto" w:fill="FFFFFF" w:themeFill="background1"/>
        <w:rPr>
          <w:color w:val="auto"/>
        </w:rPr>
      </w:pPr>
      <w:r w:rsidRPr="00C801A6">
        <w:rPr>
          <w:color w:val="auto"/>
          <w:u w:val="single"/>
        </w:rPr>
        <w:t>Notes</w:t>
      </w:r>
      <w:r w:rsidR="00575CDF" w:rsidRPr="00C801A6">
        <w:rPr>
          <w:color w:val="auto"/>
          <w:u w:val="single"/>
        </w:rPr>
        <w:t> :</w:t>
      </w:r>
      <w:r w:rsidR="00575CDF" w:rsidRPr="00C801A6">
        <w:rPr>
          <w:color w:val="auto"/>
        </w:rPr>
        <w:t xml:space="preserve"> </w:t>
      </w:r>
    </w:p>
    <w:p w14:paraId="2B666AF1" w14:textId="78A8837C" w:rsidR="00B033D2" w:rsidRPr="00C93373" w:rsidRDefault="00575CDF" w:rsidP="00C93373">
      <w:pPr>
        <w:shd w:val="clear" w:color="auto" w:fill="FFFFFF" w:themeFill="background1"/>
        <w:rPr>
          <w:color w:val="auto"/>
        </w:rPr>
      </w:pPr>
      <w:r w:rsidRPr="00C93373">
        <w:rPr>
          <w:color w:val="auto"/>
        </w:rPr>
        <w:t xml:space="preserve">Qu’il s’agisse de travaux </w:t>
      </w:r>
      <w:r w:rsidR="009846D9" w:rsidRPr="00C93373">
        <w:rPr>
          <w:color w:val="auto"/>
        </w:rPr>
        <w:t>routiers (</w:t>
      </w:r>
      <w:r w:rsidRPr="00C93373">
        <w:rPr>
          <w:color w:val="auto"/>
        </w:rPr>
        <w:t>entretien courant</w:t>
      </w:r>
      <w:r w:rsidR="009846D9" w:rsidRPr="00C93373">
        <w:rPr>
          <w:color w:val="auto"/>
        </w:rPr>
        <w:t xml:space="preserve">, </w:t>
      </w:r>
      <w:r w:rsidRPr="00C93373">
        <w:rPr>
          <w:color w:val="auto"/>
        </w:rPr>
        <w:t>travaux d’entretien périodique</w:t>
      </w:r>
      <w:r w:rsidR="009846D9" w:rsidRPr="00C93373">
        <w:rPr>
          <w:color w:val="auto"/>
        </w:rPr>
        <w:t xml:space="preserve">) ou de travaux sur </w:t>
      </w:r>
      <w:r w:rsidR="00C93373" w:rsidRPr="00C93373">
        <w:rPr>
          <w:color w:val="auto"/>
        </w:rPr>
        <w:t>le port</w:t>
      </w:r>
      <w:r w:rsidR="00E14579">
        <w:rPr>
          <w:color w:val="auto"/>
        </w:rPr>
        <w:t xml:space="preserve"> (réhabilitation quai, aménagement terre-plein)</w:t>
      </w:r>
      <w:r w:rsidR="009846D9" w:rsidRPr="00C93373">
        <w:rPr>
          <w:color w:val="auto"/>
        </w:rPr>
        <w:t>,</w:t>
      </w:r>
      <w:r w:rsidRPr="00C93373">
        <w:rPr>
          <w:color w:val="auto"/>
        </w:rPr>
        <w:t xml:space="preserve"> les sources d’impacts et les impacts restent identiques mais c’est l’envergure des travaux qui change sensiblement. </w:t>
      </w:r>
    </w:p>
    <w:p w14:paraId="44D3813D" w14:textId="77777777" w:rsidR="00B033D2" w:rsidRPr="00C801A6" w:rsidRDefault="00575CDF" w:rsidP="00C93373">
      <w:pPr>
        <w:shd w:val="clear" w:color="auto" w:fill="FFFFFF" w:themeFill="background1"/>
        <w:rPr>
          <w:color w:val="auto"/>
        </w:rPr>
      </w:pPr>
      <w:r w:rsidRPr="00C801A6">
        <w:rPr>
          <w:color w:val="auto"/>
        </w:rPr>
        <w:t>L</w:t>
      </w:r>
      <w:r w:rsidR="00B033D2" w:rsidRPr="00C801A6">
        <w:rPr>
          <w:color w:val="auto"/>
        </w:rPr>
        <w:t>es</w:t>
      </w:r>
      <w:r w:rsidRPr="00C801A6">
        <w:rPr>
          <w:color w:val="auto"/>
        </w:rPr>
        <w:t xml:space="preserve"> principale</w:t>
      </w:r>
      <w:r w:rsidR="00B033D2" w:rsidRPr="00C801A6">
        <w:rPr>
          <w:color w:val="auto"/>
        </w:rPr>
        <w:t>s</w:t>
      </w:r>
      <w:r w:rsidRPr="00C801A6">
        <w:rPr>
          <w:color w:val="auto"/>
        </w:rPr>
        <w:t xml:space="preserve"> différence</w:t>
      </w:r>
      <w:r w:rsidR="00B033D2" w:rsidRPr="00C801A6">
        <w:rPr>
          <w:color w:val="auto"/>
        </w:rPr>
        <w:t>s</w:t>
      </w:r>
      <w:r w:rsidRPr="00C801A6">
        <w:rPr>
          <w:color w:val="auto"/>
        </w:rPr>
        <w:t xml:space="preserve"> </w:t>
      </w:r>
      <w:r w:rsidR="00B033D2" w:rsidRPr="00C801A6">
        <w:rPr>
          <w:color w:val="auto"/>
        </w:rPr>
        <w:t>sont</w:t>
      </w:r>
      <w:r w:rsidRPr="00C801A6">
        <w:rPr>
          <w:color w:val="auto"/>
        </w:rPr>
        <w:t xml:space="preserve"> l</w:t>
      </w:r>
      <w:r w:rsidR="00B033D2" w:rsidRPr="00C801A6">
        <w:rPr>
          <w:color w:val="auto"/>
        </w:rPr>
        <w:t>es</w:t>
      </w:r>
      <w:r w:rsidRPr="00C801A6">
        <w:rPr>
          <w:color w:val="auto"/>
        </w:rPr>
        <w:t xml:space="preserve"> suivante</w:t>
      </w:r>
      <w:r w:rsidR="00B033D2" w:rsidRPr="00C801A6">
        <w:rPr>
          <w:color w:val="auto"/>
        </w:rPr>
        <w:t>s</w:t>
      </w:r>
      <w:r w:rsidRPr="00C801A6">
        <w:rPr>
          <w:color w:val="auto"/>
        </w:rPr>
        <w:t xml:space="preserve"> : </w:t>
      </w:r>
    </w:p>
    <w:p w14:paraId="577237F0" w14:textId="71D4DBAD" w:rsidR="00575CDF" w:rsidRPr="00C801A6" w:rsidRDefault="00B033D2" w:rsidP="00844538">
      <w:pPr>
        <w:pStyle w:val="ListParagraph"/>
        <w:numPr>
          <w:ilvl w:val="0"/>
          <w:numId w:val="160"/>
        </w:numPr>
        <w:shd w:val="clear" w:color="auto" w:fill="FFFFFF" w:themeFill="background1"/>
        <w:ind w:left="567" w:hanging="283"/>
        <w:contextualSpacing w:val="0"/>
        <w:rPr>
          <w:color w:val="auto"/>
        </w:rPr>
      </w:pPr>
      <w:r w:rsidRPr="00C801A6">
        <w:rPr>
          <w:color w:val="auto"/>
        </w:rPr>
        <w:t>C</w:t>
      </w:r>
      <w:r w:rsidR="00575CDF" w:rsidRPr="00C801A6">
        <w:rPr>
          <w:color w:val="auto"/>
        </w:rPr>
        <w:t>ontrairement à des travaux d’entretien périodique, les travaux d’</w:t>
      </w:r>
      <w:r w:rsidR="00C93373">
        <w:rPr>
          <w:color w:val="auto"/>
        </w:rPr>
        <w:t>urgence</w:t>
      </w:r>
      <w:r w:rsidR="00575CDF" w:rsidRPr="00C801A6">
        <w:rPr>
          <w:color w:val="auto"/>
        </w:rPr>
        <w:t xml:space="preserve"> ne sont pas susceptibles de perturber des activités économiques ni d’impacter des biens privés. Les premiers ne sont donc pas susceptibles de nécessiter la préparation et la mise en œuvre de Plan de réinstallation.</w:t>
      </w:r>
    </w:p>
    <w:p w14:paraId="0D38A166" w14:textId="5C697D3E" w:rsidR="009846D9" w:rsidRPr="00C93373" w:rsidRDefault="00B033D2" w:rsidP="00844538">
      <w:pPr>
        <w:pStyle w:val="ListParagraph"/>
        <w:numPr>
          <w:ilvl w:val="0"/>
          <w:numId w:val="160"/>
        </w:numPr>
        <w:shd w:val="clear" w:color="auto" w:fill="FFFFFF" w:themeFill="background1"/>
        <w:ind w:left="567" w:hanging="283"/>
        <w:contextualSpacing w:val="0"/>
        <w:rPr>
          <w:color w:val="auto"/>
        </w:rPr>
      </w:pPr>
      <w:r w:rsidRPr="00C801A6">
        <w:rPr>
          <w:color w:val="auto"/>
        </w:rPr>
        <w:t xml:space="preserve">Il n’y pas d’élargissement d’emprise durant les travaux </w:t>
      </w:r>
      <w:r w:rsidR="00EA46FE">
        <w:rPr>
          <w:color w:val="auto"/>
        </w:rPr>
        <w:t xml:space="preserve">d’urgence </w:t>
      </w:r>
      <w:r w:rsidRPr="00C801A6">
        <w:rPr>
          <w:color w:val="auto"/>
        </w:rPr>
        <w:t xml:space="preserve">de réparation des </w:t>
      </w:r>
      <w:r w:rsidR="00CE71D9">
        <w:rPr>
          <w:color w:val="auto"/>
        </w:rPr>
        <w:t>infrastructures</w:t>
      </w:r>
      <w:r w:rsidR="00C716B3">
        <w:rPr>
          <w:color w:val="auto"/>
        </w:rPr>
        <w:t xml:space="preserve"> routières et portuaires</w:t>
      </w:r>
      <w:r w:rsidRPr="00C801A6">
        <w:rPr>
          <w:color w:val="auto"/>
        </w:rPr>
        <w:t>.</w:t>
      </w:r>
    </w:p>
    <w:p w14:paraId="53D8D6F7" w14:textId="74845BB5" w:rsidR="00575CDF" w:rsidRPr="00C801A6" w:rsidRDefault="00C93373" w:rsidP="003042DB">
      <w:pPr>
        <w:pStyle w:val="Heading4"/>
        <w:rPr>
          <w:color w:val="auto"/>
        </w:rPr>
      </w:pPr>
      <w:bookmarkStart w:id="600" w:name="_Toc230298804"/>
      <w:r>
        <w:rPr>
          <w:color w:val="auto"/>
        </w:rPr>
        <w:t>PHASE PREPARATOIRE</w:t>
      </w:r>
      <w:bookmarkEnd w:id="600"/>
    </w:p>
    <w:p w14:paraId="7A0F4D67" w14:textId="77777777" w:rsidR="00575CDF" w:rsidRPr="00C801A6" w:rsidRDefault="00575CDF" w:rsidP="00575CDF">
      <w:pPr>
        <w:rPr>
          <w:color w:val="auto"/>
        </w:rPr>
      </w:pPr>
      <w:r w:rsidRPr="00C801A6">
        <w:rPr>
          <w:color w:val="auto"/>
        </w:rPr>
        <w:t>Les travaux préparatoires comprennent (i) l’installation de chantier (ii) la libération de l’emprise de la route (si elle est occupée) et (iii) la sélection et la préparation des sites d’extraction.</w:t>
      </w:r>
    </w:p>
    <w:p w14:paraId="38196D57" w14:textId="77777777" w:rsidR="00575CDF" w:rsidRPr="00C801A6" w:rsidRDefault="00575CDF" w:rsidP="00575CDF">
      <w:pPr>
        <w:rPr>
          <w:color w:val="auto"/>
        </w:rPr>
      </w:pPr>
      <w:r w:rsidRPr="00C801A6">
        <w:rPr>
          <w:color w:val="auto"/>
        </w:rPr>
        <w:t>Les impacts-types y afférents sont décrits ci-dessous :</w:t>
      </w:r>
    </w:p>
    <w:p w14:paraId="42848570" w14:textId="77777777" w:rsidR="00575CDF" w:rsidRPr="00C801A6" w:rsidRDefault="00575CDF" w:rsidP="00844538">
      <w:pPr>
        <w:pStyle w:val="ListParagraph"/>
        <w:numPr>
          <w:ilvl w:val="0"/>
          <w:numId w:val="183"/>
        </w:numPr>
        <w:spacing w:line="276" w:lineRule="auto"/>
        <w:rPr>
          <w:i/>
          <w:iCs/>
          <w:color w:val="auto"/>
        </w:rPr>
      </w:pPr>
      <w:bookmarkStart w:id="601" w:name="_Hlk71793792"/>
      <w:r w:rsidRPr="00C801A6">
        <w:rPr>
          <w:i/>
          <w:iCs/>
          <w:color w:val="auto"/>
        </w:rPr>
        <w:t>Risques d’accidents de circulation durant l’a</w:t>
      </w:r>
      <w:r w:rsidRPr="00C801A6">
        <w:rPr>
          <w:i/>
          <w:iCs/>
          <w:color w:val="auto"/>
          <w:lang w:eastAsia="fr-FR"/>
        </w:rPr>
        <w:t>menée des matériels et équipements</w:t>
      </w:r>
    </w:p>
    <w:p w14:paraId="70FFE390" w14:textId="1D074398" w:rsidR="00575CDF" w:rsidRPr="00EA6D56" w:rsidRDefault="00C716B3" w:rsidP="00844538">
      <w:pPr>
        <w:pStyle w:val="ListParagraph"/>
        <w:numPr>
          <w:ilvl w:val="1"/>
          <w:numId w:val="183"/>
        </w:numPr>
        <w:rPr>
          <w:color w:val="auto"/>
        </w:rPr>
      </w:pPr>
      <w:r w:rsidRPr="00EA6D56">
        <w:rPr>
          <w:color w:val="auto"/>
        </w:rPr>
        <w:t xml:space="preserve">Les </w:t>
      </w:r>
      <w:r w:rsidR="00575CDF" w:rsidRPr="00EA6D56">
        <w:rPr>
          <w:color w:val="auto"/>
        </w:rPr>
        <w:t>entreprise</w:t>
      </w:r>
      <w:r w:rsidRPr="00EA6D56">
        <w:rPr>
          <w:color w:val="auto"/>
        </w:rPr>
        <w:t>s</w:t>
      </w:r>
      <w:r w:rsidR="00575CDF" w:rsidRPr="00EA6D56">
        <w:rPr>
          <w:color w:val="auto"/>
        </w:rPr>
        <w:t xml:space="preserve"> titulaire</w:t>
      </w:r>
      <w:r w:rsidRPr="00EA6D56">
        <w:rPr>
          <w:color w:val="auto"/>
        </w:rPr>
        <w:t>s</w:t>
      </w:r>
      <w:r w:rsidR="00575CDF" w:rsidRPr="00EA6D56">
        <w:rPr>
          <w:color w:val="auto"/>
        </w:rPr>
        <w:t xml:space="preserve"> des travaux </w:t>
      </w:r>
      <w:r w:rsidR="00266C9F" w:rsidRPr="00EA6D56">
        <w:rPr>
          <w:color w:val="auto"/>
        </w:rPr>
        <w:t>v</w:t>
      </w:r>
      <w:r w:rsidRPr="00EA6D56">
        <w:rPr>
          <w:color w:val="auto"/>
        </w:rPr>
        <w:t>ont</w:t>
      </w:r>
      <w:r w:rsidR="00266C9F" w:rsidRPr="00EA6D56">
        <w:rPr>
          <w:color w:val="auto"/>
        </w:rPr>
        <w:t xml:space="preserve"> ramener leur</w:t>
      </w:r>
      <w:r w:rsidRPr="00EA6D56">
        <w:rPr>
          <w:color w:val="auto"/>
        </w:rPr>
        <w:t>s</w:t>
      </w:r>
      <w:r w:rsidR="00266C9F" w:rsidRPr="00EA6D56">
        <w:rPr>
          <w:color w:val="auto"/>
        </w:rPr>
        <w:t xml:space="preserve"> matériel</w:t>
      </w:r>
      <w:r w:rsidRPr="00EA6D56">
        <w:rPr>
          <w:color w:val="auto"/>
        </w:rPr>
        <w:t>s</w:t>
      </w:r>
      <w:r w:rsidR="00266C9F" w:rsidRPr="00EA6D56">
        <w:rPr>
          <w:color w:val="auto"/>
        </w:rPr>
        <w:t xml:space="preserve"> depuis </w:t>
      </w:r>
      <w:r w:rsidRPr="00EA6D56">
        <w:rPr>
          <w:color w:val="auto"/>
        </w:rPr>
        <w:t>leurs bases d’origine vers les chantiers</w:t>
      </w:r>
      <w:r w:rsidR="00575CDF" w:rsidRPr="00EA6D56">
        <w:rPr>
          <w:color w:val="auto"/>
        </w:rPr>
        <w:t>. Des accidents de la route sont alors possibles.</w:t>
      </w:r>
    </w:p>
    <w:p w14:paraId="23CA0F43" w14:textId="77777777" w:rsidR="00575CDF" w:rsidRPr="00C801A6" w:rsidRDefault="00575CDF" w:rsidP="00844538">
      <w:pPr>
        <w:pStyle w:val="ListParagraph"/>
        <w:numPr>
          <w:ilvl w:val="0"/>
          <w:numId w:val="183"/>
        </w:numPr>
        <w:spacing w:line="276" w:lineRule="auto"/>
        <w:rPr>
          <w:i/>
          <w:iCs/>
          <w:color w:val="auto"/>
          <w:lang w:eastAsia="fr-FR"/>
        </w:rPr>
      </w:pPr>
      <w:r w:rsidRPr="00C801A6">
        <w:rPr>
          <w:i/>
          <w:iCs/>
          <w:color w:val="auto"/>
        </w:rPr>
        <w:t>Risques de conflits sociaux liés au recrutement des ouvriers</w:t>
      </w:r>
      <w:r w:rsidRPr="00C801A6">
        <w:rPr>
          <w:i/>
          <w:iCs/>
          <w:color w:val="auto"/>
          <w:lang w:eastAsia="fr-FR"/>
        </w:rPr>
        <w:t xml:space="preserve"> et à d’autres aspects</w:t>
      </w:r>
    </w:p>
    <w:p w14:paraId="19B8523C" w14:textId="6C6F0AAB" w:rsidR="00575CDF" w:rsidRPr="00EA6D56" w:rsidRDefault="00575CDF" w:rsidP="00844538">
      <w:pPr>
        <w:pStyle w:val="ListParagraph"/>
        <w:numPr>
          <w:ilvl w:val="1"/>
          <w:numId w:val="183"/>
        </w:numPr>
        <w:rPr>
          <w:color w:val="auto"/>
          <w:lang w:eastAsia="fr-FR"/>
        </w:rPr>
      </w:pPr>
      <w:r w:rsidRPr="00EA6D56">
        <w:rPr>
          <w:color w:val="auto"/>
          <w:lang w:eastAsia="fr-FR"/>
        </w:rPr>
        <w:t>Divers postes de travail sont requis dans un chantier routier</w:t>
      </w:r>
      <w:r w:rsidR="00C716B3" w:rsidRPr="00EA6D56">
        <w:rPr>
          <w:color w:val="auto"/>
          <w:lang w:eastAsia="fr-FR"/>
        </w:rPr>
        <w:t xml:space="preserve"> et portuaire</w:t>
      </w:r>
      <w:r w:rsidRPr="00EA6D56">
        <w:rPr>
          <w:color w:val="auto"/>
          <w:lang w:eastAsia="fr-FR"/>
        </w:rPr>
        <w:t>. Pour les postes sans qualification, particulière, les populations locales réclament, généralement, un recrutement local. Ce qui peut être précurseur à des conflits sociaux car le front de chantier se déplace et les ouvriers d’une zone donnée sont amenés à travailler dans d’autres zones.</w:t>
      </w:r>
    </w:p>
    <w:p w14:paraId="4F3799EB" w14:textId="78C79A75" w:rsidR="00575CDF" w:rsidRPr="00EA6D56" w:rsidRDefault="00575CDF" w:rsidP="00844538">
      <w:pPr>
        <w:pStyle w:val="ListParagraph"/>
        <w:numPr>
          <w:ilvl w:val="1"/>
          <w:numId w:val="183"/>
        </w:numPr>
        <w:rPr>
          <w:color w:val="auto"/>
          <w:lang w:eastAsia="fr-FR"/>
        </w:rPr>
      </w:pPr>
      <w:r w:rsidRPr="00EA6D56">
        <w:rPr>
          <w:color w:val="auto"/>
          <w:lang w:eastAsia="fr-FR"/>
        </w:rPr>
        <w:t xml:space="preserve">Mais, au-delà des recrutements d’ouvriers, il est évident que les conflits sociaux peuvent avoir d’autres sources : promiscuité sexuelle, actes </w:t>
      </w:r>
      <w:r w:rsidR="006F38A3">
        <w:rPr>
          <w:color w:val="auto"/>
          <w:lang w:eastAsia="fr-FR"/>
        </w:rPr>
        <w:t xml:space="preserve">EAS-HS </w:t>
      </w:r>
      <w:r w:rsidRPr="00EA6D56">
        <w:rPr>
          <w:color w:val="auto"/>
          <w:lang w:eastAsia="fr-FR"/>
        </w:rPr>
        <w:t>, non-respect des us et coutumes, autres.</w:t>
      </w:r>
    </w:p>
    <w:p w14:paraId="2318A936" w14:textId="77777777" w:rsidR="00575CDF" w:rsidRPr="00C801A6" w:rsidRDefault="00575CDF" w:rsidP="00844538">
      <w:pPr>
        <w:pStyle w:val="ListParagraph"/>
        <w:numPr>
          <w:ilvl w:val="0"/>
          <w:numId w:val="183"/>
        </w:numPr>
        <w:spacing w:line="276" w:lineRule="auto"/>
        <w:contextualSpacing w:val="0"/>
        <w:rPr>
          <w:color w:val="auto"/>
          <w:szCs w:val="24"/>
        </w:rPr>
      </w:pPr>
      <w:r w:rsidRPr="00C801A6">
        <w:rPr>
          <w:color w:val="auto"/>
          <w:szCs w:val="24"/>
        </w:rPr>
        <w:t>Emploi et conditions de travail :</w:t>
      </w:r>
    </w:p>
    <w:p w14:paraId="0420321F" w14:textId="77777777" w:rsidR="00575CDF" w:rsidRPr="00C801A6" w:rsidRDefault="00575CDF" w:rsidP="00844538">
      <w:pPr>
        <w:pStyle w:val="ListParagraph"/>
        <w:numPr>
          <w:ilvl w:val="1"/>
          <w:numId w:val="34"/>
        </w:numPr>
        <w:spacing w:line="276" w:lineRule="auto"/>
        <w:ind w:left="1276" w:hanging="425"/>
        <w:jc w:val="left"/>
        <w:rPr>
          <w:color w:val="auto"/>
          <w:szCs w:val="24"/>
        </w:rPr>
      </w:pPr>
      <w:r w:rsidRPr="00C801A6">
        <w:rPr>
          <w:color w:val="auto"/>
          <w:szCs w:val="24"/>
        </w:rPr>
        <w:t>Risques d’exclusion, de discrimination …</w:t>
      </w:r>
    </w:p>
    <w:p w14:paraId="622F76E6" w14:textId="77777777" w:rsidR="00575CDF" w:rsidRPr="00C801A6" w:rsidRDefault="00575CDF" w:rsidP="00575CDF">
      <w:pPr>
        <w:ind w:left="1276"/>
        <w:rPr>
          <w:color w:val="auto"/>
          <w:szCs w:val="24"/>
        </w:rPr>
      </w:pPr>
      <w:r w:rsidRPr="00C801A6">
        <w:rPr>
          <w:color w:val="auto"/>
          <w:szCs w:val="24"/>
        </w:rPr>
        <w:t>Certaines personnes peuvent être exclues du processus de recrutement du fait de son origine ethnique, ses convictions politiques, son éventuel handicap physique ou d’autres raisons.</w:t>
      </w:r>
    </w:p>
    <w:p w14:paraId="51F132C4" w14:textId="77777777" w:rsidR="00575CDF" w:rsidRPr="00C801A6" w:rsidRDefault="00575CDF" w:rsidP="00844538">
      <w:pPr>
        <w:pStyle w:val="ListParagraph"/>
        <w:numPr>
          <w:ilvl w:val="1"/>
          <w:numId w:val="34"/>
        </w:numPr>
        <w:spacing w:line="276" w:lineRule="auto"/>
        <w:ind w:left="1276" w:hanging="425"/>
        <w:contextualSpacing w:val="0"/>
        <w:jc w:val="left"/>
        <w:rPr>
          <w:color w:val="auto"/>
          <w:szCs w:val="24"/>
        </w:rPr>
      </w:pPr>
      <w:r w:rsidRPr="00C801A6">
        <w:rPr>
          <w:color w:val="auto"/>
          <w:szCs w:val="24"/>
        </w:rPr>
        <w:t>Sécurité physique des travailleurs</w:t>
      </w:r>
    </w:p>
    <w:p w14:paraId="2D35618C" w14:textId="77777777" w:rsidR="00575CDF" w:rsidRPr="00C801A6" w:rsidRDefault="00575CDF" w:rsidP="00575CDF">
      <w:pPr>
        <w:ind w:left="1276"/>
        <w:jc w:val="left"/>
        <w:rPr>
          <w:color w:val="auto"/>
          <w:szCs w:val="24"/>
        </w:rPr>
      </w:pPr>
      <w:r w:rsidRPr="00C801A6">
        <w:rPr>
          <w:color w:val="auto"/>
          <w:szCs w:val="24"/>
        </w:rPr>
        <w:t>Parfois, des riverains peuvent ne pas être satisfaits des travaux de l’entreprise et, injustement, c’est à des travailleurs qu’ils s’en prennent. Selon le cas, d’autres raisons peuvent, également, mettre en cause la sécurité physique des travailleurs.</w:t>
      </w:r>
    </w:p>
    <w:p w14:paraId="73EBF140" w14:textId="1C85F101" w:rsidR="00575CDF" w:rsidRPr="00EA6D56" w:rsidRDefault="00575CDF" w:rsidP="00EA6D56">
      <w:pPr>
        <w:rPr>
          <w:color w:val="auto"/>
          <w:szCs w:val="24"/>
        </w:rPr>
      </w:pPr>
    </w:p>
    <w:p w14:paraId="3D9329B3" w14:textId="77777777" w:rsidR="00575CDF" w:rsidRPr="00C801A6" w:rsidRDefault="00575CDF" w:rsidP="00EA6D56">
      <w:pPr>
        <w:rPr>
          <w:color w:val="auto"/>
        </w:rPr>
      </w:pPr>
      <w:r w:rsidRPr="00C801A6">
        <w:rPr>
          <w:color w:val="auto"/>
        </w:rPr>
        <w:lastRenderedPageBreak/>
        <w:t>L’expérience montre que la sécurité des biens et des personnes dans les base-vies peut être impactée : des vols au niveau des base-vies, des attaques de base-vies … ont été enregistrés durant les derniers mois.</w:t>
      </w:r>
    </w:p>
    <w:p w14:paraId="51B37ED5" w14:textId="77777777" w:rsidR="00575CDF" w:rsidRPr="00C801A6" w:rsidRDefault="00575CDF" w:rsidP="00EA6D56">
      <w:pPr>
        <w:rPr>
          <w:color w:val="auto"/>
        </w:rPr>
      </w:pPr>
      <w:r w:rsidRPr="00C801A6">
        <w:rPr>
          <w:color w:val="auto"/>
        </w:rPr>
        <w:t>En réponse, les entreprises font venir des agents des forces de l’ordre au niveau des base-vies pour en assurer la sécurisation. Toutefois, des risques par rapport à l’implication de tels agents sur les communautés riveraines peuvent arriver : non-respect des us et coutumes, relations avec les partenaires féminins, autres.</w:t>
      </w:r>
    </w:p>
    <w:p w14:paraId="6E15A42B" w14:textId="77777777" w:rsidR="00575CDF" w:rsidRPr="00EA6D56" w:rsidRDefault="00575CDF" w:rsidP="00844538">
      <w:pPr>
        <w:pStyle w:val="ListParagraph"/>
        <w:numPr>
          <w:ilvl w:val="0"/>
          <w:numId w:val="183"/>
        </w:numPr>
        <w:spacing w:line="276" w:lineRule="auto"/>
        <w:contextualSpacing w:val="0"/>
        <w:rPr>
          <w:i/>
          <w:color w:val="auto"/>
          <w:szCs w:val="24"/>
        </w:rPr>
      </w:pPr>
      <w:r w:rsidRPr="00EA6D56">
        <w:rPr>
          <w:i/>
          <w:color w:val="auto"/>
          <w:szCs w:val="24"/>
        </w:rPr>
        <w:t>Risques liés à l’installation de la base-vie</w:t>
      </w:r>
    </w:p>
    <w:p w14:paraId="4F47E9F3" w14:textId="7AF921BA" w:rsidR="00575CDF" w:rsidRDefault="00575CDF" w:rsidP="00575CDF">
      <w:pPr>
        <w:ind w:left="851"/>
        <w:rPr>
          <w:color w:val="auto"/>
          <w:lang w:eastAsia="fr-FR"/>
        </w:rPr>
      </w:pPr>
      <w:r w:rsidRPr="00C801A6">
        <w:rPr>
          <w:color w:val="auto"/>
          <w:lang w:eastAsia="fr-FR"/>
        </w:rPr>
        <w:t>Le linéaire d’une RN est généralement élevé. Aussi, pour des raisons de commodité site de la base-vie se déplacera avec le front de chantier. Dans tous les cas, il y aura des risques de pollution liés aux eaux usées, aux travaux d’entretien mécanique ou de lavage des matériels et équipements. Les risques de pollution relatifs aux déchets de la base-vie et des activités associées sont, également, à considérer. Il en est de même pour les risques liés à la sécurité physique du chantier.</w:t>
      </w:r>
    </w:p>
    <w:p w14:paraId="428FD415" w14:textId="66B8C122" w:rsidR="00C716B3" w:rsidRPr="00C801A6" w:rsidRDefault="00C716B3" w:rsidP="00575CDF">
      <w:pPr>
        <w:ind w:left="851"/>
        <w:rPr>
          <w:color w:val="auto"/>
          <w:lang w:eastAsia="fr-FR"/>
        </w:rPr>
      </w:pPr>
      <w:r>
        <w:rPr>
          <w:color w:val="auto"/>
          <w:lang w:eastAsia="fr-FR"/>
        </w:rPr>
        <w:t>Pour le chantier portuaire, le port de Mahajanga se situe dans une agglomération. Aussi, l’installation de la base vie au niveau de ce port pourrait entraîner des gênes auprès des riverains et au niveau des opérations portuaires. Les risques liés à l’installation de la base vie mentionnés dans le chantier routier reste valable pour cette opération spécifique des travaux au niveau du port.</w:t>
      </w:r>
    </w:p>
    <w:p w14:paraId="14E6F183" w14:textId="77777777" w:rsidR="00575CDF" w:rsidRPr="00EA6D56" w:rsidRDefault="00575CDF" w:rsidP="00844538">
      <w:pPr>
        <w:pStyle w:val="ListParagraph"/>
        <w:numPr>
          <w:ilvl w:val="0"/>
          <w:numId w:val="183"/>
        </w:numPr>
        <w:spacing w:line="276" w:lineRule="auto"/>
        <w:contextualSpacing w:val="0"/>
        <w:rPr>
          <w:i/>
          <w:color w:val="auto"/>
          <w:szCs w:val="24"/>
        </w:rPr>
      </w:pPr>
      <w:r w:rsidRPr="00EA6D56">
        <w:rPr>
          <w:i/>
          <w:color w:val="auto"/>
          <w:szCs w:val="24"/>
        </w:rPr>
        <w:t>Perte de couverture végétale / base-vie</w:t>
      </w:r>
    </w:p>
    <w:p w14:paraId="7ACBE715" w14:textId="77777777" w:rsidR="00575CDF" w:rsidRPr="00C801A6" w:rsidRDefault="00575CDF" w:rsidP="00575CDF">
      <w:pPr>
        <w:ind w:left="851"/>
        <w:rPr>
          <w:color w:val="auto"/>
          <w:lang w:eastAsia="fr-FR"/>
        </w:rPr>
      </w:pPr>
      <w:r w:rsidRPr="00C801A6">
        <w:rPr>
          <w:color w:val="auto"/>
          <w:lang w:eastAsia="fr-FR"/>
        </w:rPr>
        <w:t>Si une nouvelle aire est sélectionnée pour l’implantation de la base-vie, un nettoyage préliminaire sera requis. Il en résultera des pertes de couverture végétale.</w:t>
      </w:r>
    </w:p>
    <w:p w14:paraId="7B6D0F2E" w14:textId="77777777" w:rsidR="00575CDF" w:rsidRPr="00EA6D56" w:rsidRDefault="00575CDF" w:rsidP="00844538">
      <w:pPr>
        <w:pStyle w:val="ListParagraph"/>
        <w:numPr>
          <w:ilvl w:val="0"/>
          <w:numId w:val="183"/>
        </w:numPr>
        <w:spacing w:line="276" w:lineRule="auto"/>
        <w:contextualSpacing w:val="0"/>
        <w:rPr>
          <w:i/>
          <w:color w:val="auto"/>
          <w:szCs w:val="24"/>
        </w:rPr>
      </w:pPr>
      <w:r w:rsidRPr="00EA6D56">
        <w:rPr>
          <w:i/>
          <w:color w:val="auto"/>
          <w:szCs w:val="24"/>
        </w:rPr>
        <w:t>Instauration d’un climat de méfiance entre l’Entreprise de travaux et les riverains</w:t>
      </w:r>
    </w:p>
    <w:p w14:paraId="21EC4FF9" w14:textId="77777777" w:rsidR="00575CDF" w:rsidRPr="00C801A6" w:rsidRDefault="00575CDF" w:rsidP="00575CDF">
      <w:pPr>
        <w:ind w:left="851"/>
        <w:rPr>
          <w:color w:val="auto"/>
          <w:lang w:eastAsia="fr-FR"/>
        </w:rPr>
      </w:pPr>
      <w:r w:rsidRPr="00C801A6">
        <w:rPr>
          <w:color w:val="auto"/>
          <w:lang w:eastAsia="fr-FR"/>
        </w:rPr>
        <w:t>L’installation d’une entreprise dans une zone rurale peut, parfois, être une source de méfiance pour les riverains.</w:t>
      </w:r>
    </w:p>
    <w:p w14:paraId="01C4CB78" w14:textId="77777777" w:rsidR="00575CDF" w:rsidRPr="00EA6D56" w:rsidRDefault="00575CDF" w:rsidP="00844538">
      <w:pPr>
        <w:pStyle w:val="ListParagraph"/>
        <w:numPr>
          <w:ilvl w:val="0"/>
          <w:numId w:val="183"/>
        </w:numPr>
        <w:spacing w:line="276" w:lineRule="auto"/>
        <w:contextualSpacing w:val="0"/>
        <w:rPr>
          <w:i/>
          <w:color w:val="auto"/>
          <w:szCs w:val="24"/>
        </w:rPr>
      </w:pPr>
      <w:r w:rsidRPr="00EA6D56">
        <w:rPr>
          <w:i/>
          <w:color w:val="auto"/>
          <w:szCs w:val="24"/>
        </w:rPr>
        <w:t>Risques liés à la préparation des sites d’extraction</w:t>
      </w:r>
    </w:p>
    <w:p w14:paraId="75BE5D0F" w14:textId="0709D8A3" w:rsidR="00575CDF" w:rsidRPr="00C801A6" w:rsidRDefault="00575CDF" w:rsidP="00575CDF">
      <w:pPr>
        <w:ind w:left="851"/>
        <w:rPr>
          <w:color w:val="auto"/>
          <w:lang w:eastAsia="fr-FR"/>
        </w:rPr>
      </w:pPr>
      <w:r w:rsidRPr="00C801A6">
        <w:rPr>
          <w:color w:val="auto"/>
          <w:lang w:eastAsia="fr-FR"/>
        </w:rPr>
        <w:t xml:space="preserve">Pour des travaux sur </w:t>
      </w:r>
      <w:r w:rsidR="00C716B3">
        <w:rPr>
          <w:color w:val="auto"/>
          <w:lang w:eastAsia="fr-FR"/>
        </w:rPr>
        <w:t>les routes nationales et au niveau du port</w:t>
      </w:r>
      <w:r w:rsidRPr="00C801A6">
        <w:rPr>
          <w:color w:val="auto"/>
          <w:lang w:eastAsia="fr-FR"/>
        </w:rPr>
        <w:t>, les sites d’extraction changeront avec l’avancement du front de chantier, ce qui est susceptible d’entraîner l’exploitation de plusieurs sites d’extraction. Or, il peut y avoir des cultures ou des plants d’arbres utilitaires sur ces sites : toute ou partie de ces biens privés pourra ainsi être détruite.</w:t>
      </w:r>
    </w:p>
    <w:p w14:paraId="2304F793" w14:textId="77777777" w:rsidR="00575CDF" w:rsidRPr="00C801A6" w:rsidRDefault="00575CDF" w:rsidP="00575CDF">
      <w:pPr>
        <w:ind w:left="851"/>
        <w:rPr>
          <w:color w:val="auto"/>
          <w:lang w:eastAsia="fr-FR"/>
        </w:rPr>
      </w:pPr>
      <w:r w:rsidRPr="00C801A6">
        <w:rPr>
          <w:color w:val="auto"/>
          <w:lang w:eastAsia="fr-FR"/>
        </w:rPr>
        <w:t>En outre, le nettoyage / défrichement d’un site donné est sujet à des pertes de couverture végétale et être précurseur à des phénomènes d’érosion.</w:t>
      </w:r>
    </w:p>
    <w:p w14:paraId="109A74D5" w14:textId="77777777" w:rsidR="00575CDF" w:rsidRPr="00EA6D56" w:rsidRDefault="00575CDF" w:rsidP="00844538">
      <w:pPr>
        <w:pStyle w:val="ListParagraph"/>
        <w:numPr>
          <w:ilvl w:val="0"/>
          <w:numId w:val="183"/>
        </w:numPr>
        <w:spacing w:line="276" w:lineRule="auto"/>
        <w:contextualSpacing w:val="0"/>
        <w:rPr>
          <w:i/>
          <w:color w:val="auto"/>
          <w:szCs w:val="24"/>
        </w:rPr>
      </w:pPr>
      <w:r w:rsidRPr="00EA6D56">
        <w:rPr>
          <w:i/>
          <w:color w:val="auto"/>
          <w:szCs w:val="24"/>
        </w:rPr>
        <w:t>Altération de la qualité de l’air / Emission de poussières</w:t>
      </w:r>
    </w:p>
    <w:p w14:paraId="1080CC39" w14:textId="3DBEDFE1" w:rsidR="00575CDF" w:rsidRDefault="00575CDF" w:rsidP="00575CDF">
      <w:pPr>
        <w:ind w:left="851"/>
        <w:rPr>
          <w:color w:val="auto"/>
          <w:lang w:eastAsia="fr-FR"/>
        </w:rPr>
      </w:pPr>
      <w:r w:rsidRPr="00C801A6">
        <w:rPr>
          <w:color w:val="auto"/>
          <w:lang w:eastAsia="fr-FR"/>
        </w:rPr>
        <w:t>L’exploitation d’un site d’extraction donné peut donner lieu à des soulèvements de poussière et à l’altération subséquente de la qualité de l’air.</w:t>
      </w:r>
    </w:p>
    <w:p w14:paraId="5E9F867D" w14:textId="77777777" w:rsidR="001C76FC" w:rsidRPr="00C801A6" w:rsidRDefault="001C76FC" w:rsidP="00575CDF">
      <w:pPr>
        <w:ind w:left="851"/>
        <w:rPr>
          <w:color w:val="auto"/>
          <w:lang w:eastAsia="fr-FR"/>
        </w:rPr>
      </w:pPr>
    </w:p>
    <w:p w14:paraId="3BB04B39" w14:textId="77777777" w:rsidR="00575CDF" w:rsidRPr="00EA6D56" w:rsidRDefault="00575CDF" w:rsidP="00844538">
      <w:pPr>
        <w:pStyle w:val="ListParagraph"/>
        <w:numPr>
          <w:ilvl w:val="0"/>
          <w:numId w:val="183"/>
        </w:numPr>
        <w:spacing w:line="276" w:lineRule="auto"/>
        <w:contextualSpacing w:val="0"/>
        <w:rPr>
          <w:i/>
          <w:color w:val="auto"/>
          <w:szCs w:val="24"/>
        </w:rPr>
      </w:pPr>
      <w:r w:rsidRPr="00EA6D56">
        <w:rPr>
          <w:i/>
          <w:color w:val="auto"/>
          <w:szCs w:val="24"/>
        </w:rPr>
        <w:t>Risques liés à l’afflux d’ouvriers immigrés</w:t>
      </w:r>
    </w:p>
    <w:p w14:paraId="7542A99D" w14:textId="77777777" w:rsidR="00575CDF" w:rsidRPr="00C801A6" w:rsidRDefault="00575CDF" w:rsidP="00575CDF">
      <w:pPr>
        <w:ind w:left="851"/>
        <w:rPr>
          <w:color w:val="auto"/>
          <w:lang w:eastAsia="fr-FR"/>
        </w:rPr>
      </w:pPr>
      <w:r w:rsidRPr="00C801A6">
        <w:rPr>
          <w:color w:val="auto"/>
          <w:lang w:eastAsia="fr-FR"/>
        </w:rPr>
        <w:t>Les travaux de réhabilitation de routes nécessitent souvent de la main d’œuvre extérieure à la zone d’intervention (en moyenne, il y a environ 40% de l’effectif qui est constitué par ce type de main d’œuvre), notamment lorsque la main d’œuvre locale est déjà employée ou ne dispose pas des compétences techniques attendues. Divers types de risques peuvent donc apparaître :</w:t>
      </w:r>
    </w:p>
    <w:p w14:paraId="1971D90F" w14:textId="77777777" w:rsidR="00575CDF" w:rsidRPr="00C801A6" w:rsidRDefault="00575CDF" w:rsidP="00844538">
      <w:pPr>
        <w:pStyle w:val="ListParagraph"/>
        <w:numPr>
          <w:ilvl w:val="0"/>
          <w:numId w:val="43"/>
        </w:numPr>
        <w:spacing w:after="80" w:line="276" w:lineRule="auto"/>
        <w:ind w:left="1276" w:hanging="425"/>
        <w:contextualSpacing w:val="0"/>
        <w:rPr>
          <w:color w:val="auto"/>
          <w:lang w:eastAsia="fr-FR"/>
        </w:rPr>
      </w:pPr>
      <w:r w:rsidRPr="00C801A6">
        <w:rPr>
          <w:color w:val="auto"/>
          <w:lang w:eastAsia="fr-FR"/>
        </w:rPr>
        <w:t>Risques liés à la promiscuité sexuelle (risques de propagation de maladies sexuellement transmissibles, d’augmentation du taux de comportements illicites, etc.)</w:t>
      </w:r>
    </w:p>
    <w:p w14:paraId="3FA0D304" w14:textId="77777777" w:rsidR="00575CDF" w:rsidRPr="00C801A6" w:rsidRDefault="00575CDF" w:rsidP="00844538">
      <w:pPr>
        <w:pStyle w:val="ListParagraph"/>
        <w:numPr>
          <w:ilvl w:val="0"/>
          <w:numId w:val="43"/>
        </w:numPr>
        <w:spacing w:after="80" w:line="276" w:lineRule="auto"/>
        <w:ind w:left="1276" w:hanging="425"/>
        <w:contextualSpacing w:val="0"/>
        <w:rPr>
          <w:color w:val="auto"/>
          <w:lang w:eastAsia="fr-FR"/>
        </w:rPr>
      </w:pPr>
      <w:r w:rsidRPr="00C801A6">
        <w:rPr>
          <w:color w:val="auto"/>
          <w:lang w:eastAsia="fr-FR"/>
        </w:rPr>
        <w:t>Risques d’inflation locale</w:t>
      </w:r>
    </w:p>
    <w:p w14:paraId="17CC0DA2" w14:textId="77777777" w:rsidR="00575CDF" w:rsidRPr="00C801A6" w:rsidRDefault="00575CDF" w:rsidP="00844538">
      <w:pPr>
        <w:pStyle w:val="ListParagraph"/>
        <w:numPr>
          <w:ilvl w:val="0"/>
          <w:numId w:val="43"/>
        </w:numPr>
        <w:spacing w:after="80" w:line="276" w:lineRule="auto"/>
        <w:ind w:left="1276" w:hanging="425"/>
        <w:contextualSpacing w:val="0"/>
        <w:rPr>
          <w:color w:val="auto"/>
          <w:lang w:eastAsia="fr-FR"/>
        </w:rPr>
      </w:pPr>
      <w:r w:rsidRPr="00C801A6">
        <w:rPr>
          <w:color w:val="auto"/>
          <w:lang w:eastAsia="fr-FR"/>
        </w:rPr>
        <w:t>Risques de conflits sociaux</w:t>
      </w:r>
    </w:p>
    <w:p w14:paraId="0A33B6C7" w14:textId="77777777" w:rsidR="00575CDF" w:rsidRPr="00C801A6" w:rsidRDefault="00575CDF" w:rsidP="00844538">
      <w:pPr>
        <w:pStyle w:val="ListParagraph"/>
        <w:numPr>
          <w:ilvl w:val="0"/>
          <w:numId w:val="43"/>
        </w:numPr>
        <w:spacing w:after="80" w:line="276" w:lineRule="auto"/>
        <w:ind w:left="1276" w:hanging="425"/>
        <w:contextualSpacing w:val="0"/>
        <w:rPr>
          <w:color w:val="auto"/>
          <w:lang w:eastAsia="fr-FR"/>
        </w:rPr>
      </w:pPr>
      <w:r w:rsidRPr="00C801A6">
        <w:rPr>
          <w:color w:val="auto"/>
          <w:lang w:eastAsia="fr-FR"/>
        </w:rPr>
        <w:t>Risques de prolifération de maladies contagieuses comme le COVID-19</w:t>
      </w:r>
    </w:p>
    <w:p w14:paraId="7CF7A93C" w14:textId="77777777" w:rsidR="00575CDF" w:rsidRPr="00C801A6" w:rsidRDefault="00575CDF" w:rsidP="00844538">
      <w:pPr>
        <w:pStyle w:val="ListParagraph"/>
        <w:numPr>
          <w:ilvl w:val="0"/>
          <w:numId w:val="43"/>
        </w:numPr>
        <w:spacing w:after="80" w:line="276" w:lineRule="auto"/>
        <w:ind w:left="1276" w:hanging="425"/>
        <w:contextualSpacing w:val="0"/>
        <w:rPr>
          <w:color w:val="auto"/>
          <w:lang w:eastAsia="fr-FR"/>
        </w:rPr>
      </w:pPr>
      <w:r w:rsidRPr="00C801A6">
        <w:rPr>
          <w:color w:val="auto"/>
          <w:lang w:eastAsia="fr-FR"/>
        </w:rPr>
        <w:t>Risques d’augmentation des pressions sur les services sociaux de base : Centres de santé, etc.</w:t>
      </w:r>
    </w:p>
    <w:p w14:paraId="442464CC" w14:textId="77777777" w:rsidR="00575CDF" w:rsidRPr="00C801A6" w:rsidRDefault="00575CDF" w:rsidP="00844538">
      <w:pPr>
        <w:pStyle w:val="ListParagraph"/>
        <w:numPr>
          <w:ilvl w:val="0"/>
          <w:numId w:val="43"/>
        </w:numPr>
        <w:spacing w:after="80" w:line="276" w:lineRule="auto"/>
        <w:ind w:left="1276" w:hanging="425"/>
        <w:contextualSpacing w:val="0"/>
        <w:rPr>
          <w:color w:val="auto"/>
          <w:lang w:eastAsia="fr-FR"/>
        </w:rPr>
      </w:pPr>
      <w:r w:rsidRPr="00C801A6">
        <w:rPr>
          <w:color w:val="auto"/>
          <w:lang w:eastAsia="fr-FR"/>
        </w:rPr>
        <w:t>Risques d’augmentation des pressions sur les ressources naturelles</w:t>
      </w:r>
    </w:p>
    <w:p w14:paraId="433BC5A5" w14:textId="131037FE" w:rsidR="00575CDF" w:rsidRPr="00C801A6" w:rsidRDefault="00575CDF" w:rsidP="00844538">
      <w:pPr>
        <w:pStyle w:val="ListParagraph"/>
        <w:numPr>
          <w:ilvl w:val="0"/>
          <w:numId w:val="43"/>
        </w:numPr>
        <w:spacing w:line="276" w:lineRule="auto"/>
        <w:ind w:left="1276" w:hanging="425"/>
        <w:contextualSpacing w:val="0"/>
        <w:rPr>
          <w:color w:val="auto"/>
          <w:lang w:eastAsia="fr-FR"/>
        </w:rPr>
      </w:pPr>
      <w:r w:rsidRPr="00C801A6">
        <w:rPr>
          <w:color w:val="auto"/>
          <w:lang w:eastAsia="fr-FR"/>
        </w:rPr>
        <w:t xml:space="preserve">Risques d’augmentation des cas d’actes </w:t>
      </w:r>
      <w:r w:rsidR="006F38A3">
        <w:rPr>
          <w:color w:val="auto"/>
          <w:lang w:eastAsia="fr-FR"/>
        </w:rPr>
        <w:t xml:space="preserve">EAS-HS </w:t>
      </w:r>
      <w:r w:rsidRPr="00C801A6">
        <w:rPr>
          <w:color w:val="auto"/>
          <w:lang w:eastAsia="fr-FR"/>
        </w:rPr>
        <w:t>.</w:t>
      </w:r>
    </w:p>
    <w:bookmarkEnd w:id="601"/>
    <w:p w14:paraId="671A151E" w14:textId="77777777" w:rsidR="00575CDF" w:rsidRPr="00C801A6" w:rsidRDefault="00575CDF" w:rsidP="00EA6D56">
      <w:pPr>
        <w:pBdr>
          <w:top w:val="single" w:sz="4" w:space="1" w:color="auto"/>
          <w:left w:val="single" w:sz="4" w:space="31" w:color="auto"/>
          <w:bottom w:val="single" w:sz="4" w:space="1" w:color="auto"/>
          <w:right w:val="single" w:sz="4" w:space="4" w:color="auto"/>
        </w:pBdr>
        <w:shd w:val="clear" w:color="auto" w:fill="FFFFFF" w:themeFill="background1"/>
        <w:ind w:left="851"/>
        <w:rPr>
          <w:b/>
          <w:color w:val="auto"/>
          <w:sz w:val="22"/>
        </w:rPr>
      </w:pPr>
      <w:r w:rsidRPr="00C801A6">
        <w:rPr>
          <w:b/>
          <w:color w:val="auto"/>
          <w:sz w:val="22"/>
        </w:rPr>
        <w:t xml:space="preserve">Exigences particulières liées aux directives </w:t>
      </w:r>
      <w:r w:rsidRPr="00C801A6">
        <w:rPr>
          <w:b/>
          <w:bCs/>
          <w:color w:val="auto"/>
          <w:sz w:val="22"/>
        </w:rPr>
        <w:t>EHS</w:t>
      </w:r>
      <w:r w:rsidRPr="00C801A6">
        <w:rPr>
          <w:b/>
          <w:color w:val="auto"/>
          <w:sz w:val="22"/>
        </w:rPr>
        <w:t xml:space="preserve"> de la Banque en cas d’afflux élevé d’ouvriers immigrés</w:t>
      </w:r>
    </w:p>
    <w:p w14:paraId="6EA9195B" w14:textId="115394E0" w:rsidR="00575CDF" w:rsidRPr="00C801A6" w:rsidRDefault="00575CDF" w:rsidP="00EA6D56">
      <w:pPr>
        <w:pBdr>
          <w:top w:val="single" w:sz="4" w:space="1" w:color="auto"/>
          <w:left w:val="single" w:sz="4" w:space="31" w:color="auto"/>
          <w:bottom w:val="single" w:sz="4" w:space="1" w:color="auto"/>
          <w:right w:val="single" w:sz="4" w:space="4" w:color="auto"/>
        </w:pBdr>
        <w:shd w:val="clear" w:color="auto" w:fill="FFFFFF" w:themeFill="background1"/>
        <w:ind w:left="851"/>
        <w:rPr>
          <w:color w:val="auto"/>
        </w:rPr>
      </w:pPr>
      <w:r w:rsidRPr="00C801A6">
        <w:rPr>
          <w:color w:val="auto"/>
        </w:rPr>
        <w:t xml:space="preserve">Dans de tels cas, des exigences spécifiques de la </w:t>
      </w:r>
      <w:r w:rsidR="00B910A0" w:rsidRPr="00C801A6">
        <w:rPr>
          <w:color w:val="auto"/>
        </w:rPr>
        <w:t>Banque mondiale</w:t>
      </w:r>
      <w:r w:rsidRPr="00C801A6">
        <w:rPr>
          <w:color w:val="auto"/>
        </w:rPr>
        <w:t xml:space="preserve"> s’appliquent</w:t>
      </w:r>
    </w:p>
    <w:p w14:paraId="65494837" w14:textId="5D10A26D" w:rsidR="001E0949" w:rsidRDefault="00C93373" w:rsidP="003042DB">
      <w:pPr>
        <w:pStyle w:val="Heading4"/>
        <w:rPr>
          <w:color w:val="auto"/>
        </w:rPr>
      </w:pPr>
      <w:bookmarkStart w:id="602" w:name="_Toc230298805"/>
      <w:r>
        <w:rPr>
          <w:color w:val="auto"/>
        </w:rPr>
        <w:t>PHASE DE TRAVAUX</w:t>
      </w:r>
      <w:bookmarkEnd w:id="602"/>
    </w:p>
    <w:p w14:paraId="6E44A5B1" w14:textId="77777777" w:rsidR="00C93373" w:rsidRPr="00C801A6" w:rsidRDefault="00C93373" w:rsidP="00C93373">
      <w:pPr>
        <w:rPr>
          <w:color w:val="auto"/>
        </w:rPr>
      </w:pPr>
      <w:r w:rsidRPr="00C801A6">
        <w:rPr>
          <w:color w:val="auto"/>
        </w:rPr>
        <w:t>Durant la phase d’exécution, les travaux peuvent porter sur la chaussée et/ou sur des ouvrages hydrauliques : scarification, purge des couches à remplacer, balayage et imprégnation au cut-back, ouvrages hydrauliques, autres.</w:t>
      </w:r>
    </w:p>
    <w:p w14:paraId="5A9573C1" w14:textId="77777777" w:rsidR="00C93373" w:rsidRPr="00C801A6" w:rsidRDefault="00C93373" w:rsidP="00C93373">
      <w:pPr>
        <w:rPr>
          <w:color w:val="auto"/>
        </w:rPr>
      </w:pPr>
      <w:r w:rsidRPr="00C801A6">
        <w:rPr>
          <w:color w:val="auto"/>
        </w:rPr>
        <w:t>Les impacts types y afférents sont multiples :</w:t>
      </w:r>
    </w:p>
    <w:p w14:paraId="3286A814" w14:textId="77777777" w:rsidR="00C93373" w:rsidRPr="00C801A6" w:rsidRDefault="00C93373" w:rsidP="00844538">
      <w:pPr>
        <w:pStyle w:val="ListParagraph"/>
        <w:numPr>
          <w:ilvl w:val="0"/>
          <w:numId w:val="42"/>
        </w:numPr>
        <w:spacing w:line="276" w:lineRule="auto"/>
        <w:ind w:left="851" w:hanging="425"/>
        <w:rPr>
          <w:i/>
          <w:iCs/>
          <w:color w:val="auto"/>
        </w:rPr>
      </w:pPr>
      <w:bookmarkStart w:id="603" w:name="_Hlk71793872"/>
      <w:r w:rsidRPr="00C801A6">
        <w:rPr>
          <w:i/>
          <w:iCs/>
          <w:color w:val="auto"/>
        </w:rPr>
        <w:t>Altération de la qualité de l’air et risques de maladies pulmonaires subséquentes</w:t>
      </w:r>
    </w:p>
    <w:p w14:paraId="72EACF7E" w14:textId="77777777" w:rsidR="00C93373" w:rsidRPr="00C801A6" w:rsidRDefault="00C93373" w:rsidP="00C93373">
      <w:pPr>
        <w:ind w:left="851"/>
        <w:rPr>
          <w:color w:val="auto"/>
        </w:rPr>
      </w:pPr>
      <w:r w:rsidRPr="00C801A6">
        <w:rPr>
          <w:color w:val="auto"/>
        </w:rPr>
        <w:t xml:space="preserve">Les impacts peuvent être liés à des soulèvements de poussières provoquées par les travaux de purge et de nettoyage </w:t>
      </w:r>
      <w:r w:rsidRPr="00C801A6">
        <w:rPr>
          <w:color w:val="auto"/>
          <w:lang w:eastAsia="fr-FR"/>
        </w:rPr>
        <w:t>des zones dégradées de la chaussée</w:t>
      </w:r>
      <w:r w:rsidRPr="00C801A6">
        <w:rPr>
          <w:color w:val="auto"/>
        </w:rPr>
        <w:t xml:space="preserve">. Ils peuvent aussi être provoqués par la manipulation de matières pulvérulentes en général ou la préparation des matériaux en vue de la réparation des couches de revêtement. </w:t>
      </w:r>
    </w:p>
    <w:p w14:paraId="352718DF" w14:textId="77777777" w:rsidR="00C93373" w:rsidRPr="00C801A6" w:rsidRDefault="00C93373" w:rsidP="00844538">
      <w:pPr>
        <w:pStyle w:val="ListParagraph"/>
        <w:numPr>
          <w:ilvl w:val="0"/>
          <w:numId w:val="42"/>
        </w:numPr>
        <w:spacing w:line="276" w:lineRule="auto"/>
        <w:ind w:left="851" w:hanging="425"/>
        <w:rPr>
          <w:i/>
          <w:iCs/>
          <w:color w:val="auto"/>
        </w:rPr>
      </w:pPr>
      <w:r w:rsidRPr="00C801A6">
        <w:rPr>
          <w:i/>
          <w:iCs/>
          <w:color w:val="auto"/>
        </w:rPr>
        <w:t>Altération de l’ambiance sonore par les bruits émanant des véhicules de transport et des engins (compacteur, autres)</w:t>
      </w:r>
    </w:p>
    <w:p w14:paraId="37F205D8" w14:textId="77777777" w:rsidR="00C93373" w:rsidRPr="00C801A6" w:rsidRDefault="00C93373" w:rsidP="00C93373">
      <w:pPr>
        <w:ind w:left="851"/>
        <w:rPr>
          <w:rFonts w:eastAsia="Times New Roman" w:cs="Times New Roman"/>
          <w:color w:val="auto"/>
        </w:rPr>
      </w:pPr>
      <w:r w:rsidRPr="00C801A6">
        <w:rPr>
          <w:color w:val="auto"/>
        </w:rPr>
        <w:t xml:space="preserve">Le matériel utilisé est bruyant, qu’il s’agisse de travaux d’entretien courant ou </w:t>
      </w:r>
      <w:r w:rsidRPr="00C801A6">
        <w:rPr>
          <w:rFonts w:eastAsia="Times New Roman" w:cs="Times New Roman"/>
          <w:color w:val="auto"/>
        </w:rPr>
        <w:t>périodique.</w:t>
      </w:r>
    </w:p>
    <w:p w14:paraId="5AD6F959" w14:textId="77777777" w:rsidR="00C93373" w:rsidRPr="00C801A6" w:rsidRDefault="00C93373" w:rsidP="00844538">
      <w:pPr>
        <w:pStyle w:val="ListParagraph"/>
        <w:numPr>
          <w:ilvl w:val="0"/>
          <w:numId w:val="42"/>
        </w:numPr>
        <w:spacing w:line="276" w:lineRule="auto"/>
        <w:ind w:left="850" w:hanging="425"/>
        <w:contextualSpacing w:val="0"/>
        <w:rPr>
          <w:rFonts w:eastAsia="Times New Roman" w:cs="Times New Roman"/>
          <w:i/>
          <w:color w:val="auto"/>
        </w:rPr>
      </w:pPr>
      <w:r w:rsidRPr="00C801A6">
        <w:rPr>
          <w:rFonts w:eastAsia="Times New Roman" w:cs="Times New Roman"/>
          <w:i/>
          <w:color w:val="auto"/>
        </w:rPr>
        <w:t>Risque de pollution due à la mauvaise gestion des déchets générés par les travaux</w:t>
      </w:r>
    </w:p>
    <w:p w14:paraId="0428A8EC" w14:textId="77777777" w:rsidR="00C93373" w:rsidRPr="00C801A6" w:rsidRDefault="00C93373" w:rsidP="00844538">
      <w:pPr>
        <w:pStyle w:val="ListParagraph"/>
        <w:numPr>
          <w:ilvl w:val="0"/>
          <w:numId w:val="42"/>
        </w:numPr>
        <w:spacing w:line="276" w:lineRule="auto"/>
        <w:ind w:left="851" w:hanging="425"/>
        <w:rPr>
          <w:rFonts w:eastAsia="Times New Roman" w:cs="Times New Roman"/>
          <w:i/>
          <w:color w:val="auto"/>
        </w:rPr>
      </w:pPr>
      <w:r w:rsidRPr="00C801A6">
        <w:rPr>
          <w:rFonts w:eastAsia="Times New Roman" w:cs="Times New Roman"/>
          <w:i/>
          <w:color w:val="auto"/>
        </w:rPr>
        <w:lastRenderedPageBreak/>
        <w:t>Risques d’accidents de travail</w:t>
      </w:r>
    </w:p>
    <w:p w14:paraId="26E51431" w14:textId="77777777" w:rsidR="00C93373" w:rsidRPr="00C801A6" w:rsidRDefault="00C93373" w:rsidP="00C93373">
      <w:pPr>
        <w:ind w:left="851"/>
        <w:rPr>
          <w:color w:val="auto"/>
        </w:rPr>
      </w:pPr>
      <w:r w:rsidRPr="00C801A6">
        <w:rPr>
          <w:color w:val="auto"/>
        </w:rPr>
        <w:t>Les accidents de travail sont toujours possibles dans un chantier. Identiquement, au niveau de la base-vie, des accidents de travail sont possibles : au niveau des aires de préfabrication, au niveau des ateliers de maintenance des véhicules, autres (nonobstant la sécurité physique des base-vies par rapports à des attaques)</w:t>
      </w:r>
    </w:p>
    <w:p w14:paraId="3D4466F4" w14:textId="77777777" w:rsidR="00C93373" w:rsidRPr="00C801A6" w:rsidRDefault="00C93373" w:rsidP="00C93373">
      <w:pPr>
        <w:ind w:left="851"/>
        <w:rPr>
          <w:color w:val="auto"/>
        </w:rPr>
      </w:pPr>
      <w:r w:rsidRPr="00C801A6">
        <w:rPr>
          <w:color w:val="auto"/>
        </w:rPr>
        <w:t>Les accidents qui ont lieu sur des trajets parcours par des véhicules de l’entreprise ou de la MdC sont, également, compris dans les accidents de travail.</w:t>
      </w:r>
    </w:p>
    <w:p w14:paraId="042E7F9A" w14:textId="77777777" w:rsidR="00C93373" w:rsidRPr="00C801A6" w:rsidRDefault="00C93373" w:rsidP="00844538">
      <w:pPr>
        <w:pStyle w:val="ListParagraph"/>
        <w:numPr>
          <w:ilvl w:val="0"/>
          <w:numId w:val="42"/>
        </w:numPr>
        <w:spacing w:line="276" w:lineRule="auto"/>
        <w:ind w:left="851" w:hanging="425"/>
        <w:rPr>
          <w:i/>
          <w:iCs/>
          <w:color w:val="auto"/>
        </w:rPr>
      </w:pPr>
      <w:r w:rsidRPr="00C801A6">
        <w:rPr>
          <w:i/>
          <w:iCs/>
          <w:color w:val="auto"/>
        </w:rPr>
        <w:t xml:space="preserve">Perturbation de la circulation au niveau du front de chantier. Risque d’accident de circulation </w:t>
      </w:r>
    </w:p>
    <w:p w14:paraId="06E1EC13" w14:textId="77777777" w:rsidR="00C93373" w:rsidRPr="00C801A6" w:rsidRDefault="00C93373" w:rsidP="00C93373">
      <w:pPr>
        <w:ind w:left="851"/>
        <w:rPr>
          <w:color w:val="auto"/>
        </w:rPr>
      </w:pPr>
      <w:r w:rsidRPr="00C801A6">
        <w:rPr>
          <w:color w:val="auto"/>
        </w:rPr>
        <w:t>La circulation sur la chaussée sera perturbée durant les travaux sur une zone donnée. De telles situations sont susceptibles de causer des accidents de circulation.</w:t>
      </w:r>
    </w:p>
    <w:p w14:paraId="242A4010" w14:textId="77777777" w:rsidR="00C93373" w:rsidRPr="00C801A6" w:rsidRDefault="00C93373" w:rsidP="00C93373">
      <w:pPr>
        <w:ind w:left="851"/>
        <w:rPr>
          <w:color w:val="auto"/>
        </w:rPr>
      </w:pPr>
      <w:r w:rsidRPr="00C801A6">
        <w:rPr>
          <w:color w:val="auto"/>
        </w:rPr>
        <w:t>Identiquement, la circulation des camions de transport de matériaux peut causer les mêmes types d’accident.</w:t>
      </w:r>
    </w:p>
    <w:p w14:paraId="03E87145" w14:textId="77777777" w:rsidR="00C93373" w:rsidRPr="00C801A6" w:rsidRDefault="00C93373" w:rsidP="00844538">
      <w:pPr>
        <w:pStyle w:val="ListParagraph"/>
        <w:numPr>
          <w:ilvl w:val="0"/>
          <w:numId w:val="42"/>
        </w:numPr>
        <w:spacing w:line="276" w:lineRule="auto"/>
        <w:ind w:left="851" w:hanging="425"/>
        <w:rPr>
          <w:i/>
          <w:iCs/>
          <w:color w:val="auto"/>
        </w:rPr>
      </w:pPr>
      <w:r w:rsidRPr="00C801A6">
        <w:rPr>
          <w:i/>
          <w:iCs/>
          <w:color w:val="auto"/>
        </w:rPr>
        <w:t>Risques pour les espèces biologiques</w:t>
      </w:r>
    </w:p>
    <w:p w14:paraId="074E142D" w14:textId="77777777" w:rsidR="00C93373" w:rsidRPr="00C801A6" w:rsidRDefault="00C93373" w:rsidP="00C93373">
      <w:pPr>
        <w:ind w:left="851"/>
        <w:rPr>
          <w:color w:val="auto"/>
        </w:rPr>
      </w:pPr>
      <w:r w:rsidRPr="00C801A6">
        <w:rPr>
          <w:color w:val="auto"/>
        </w:rPr>
        <w:t>Certaines routes nationales traversent des forêts ou, parfois, des aires protégées. Pour les espèces faunistiques, selon le cas, il y a des risques d’effarouchement ou même des risques d’écrasement.</w:t>
      </w:r>
    </w:p>
    <w:p w14:paraId="5968A6FD" w14:textId="77777777" w:rsidR="00C93373" w:rsidRPr="00C801A6" w:rsidRDefault="00C93373" w:rsidP="00844538">
      <w:pPr>
        <w:pStyle w:val="ListParagraph"/>
        <w:numPr>
          <w:ilvl w:val="0"/>
          <w:numId w:val="42"/>
        </w:numPr>
        <w:spacing w:line="276" w:lineRule="auto"/>
        <w:ind w:left="851" w:hanging="425"/>
        <w:rPr>
          <w:i/>
          <w:iCs/>
          <w:color w:val="auto"/>
        </w:rPr>
      </w:pPr>
      <w:r w:rsidRPr="00C801A6">
        <w:rPr>
          <w:i/>
          <w:iCs/>
          <w:color w:val="auto"/>
        </w:rPr>
        <w:t>Impacts possibles sur des sites culturels/cultuels</w:t>
      </w:r>
    </w:p>
    <w:p w14:paraId="1EDB0AEF" w14:textId="77777777" w:rsidR="00C93373" w:rsidRPr="00C801A6" w:rsidRDefault="00C93373" w:rsidP="00C93373">
      <w:pPr>
        <w:ind w:left="851"/>
        <w:rPr>
          <w:color w:val="auto"/>
        </w:rPr>
      </w:pPr>
      <w:r w:rsidRPr="00C801A6">
        <w:rPr>
          <w:color w:val="auto"/>
        </w:rPr>
        <w:t>Dans certaines régions, des arbres sacrés ou des stèles se trouvent sur le bord de routes :</w:t>
      </w:r>
    </w:p>
    <w:p w14:paraId="543F3031" w14:textId="77777777" w:rsidR="00C93373" w:rsidRPr="00C801A6" w:rsidRDefault="00C93373" w:rsidP="00844538">
      <w:pPr>
        <w:pStyle w:val="ListParagraph"/>
        <w:numPr>
          <w:ilvl w:val="0"/>
          <w:numId w:val="44"/>
        </w:numPr>
        <w:spacing w:after="80" w:line="276" w:lineRule="auto"/>
        <w:ind w:left="1276" w:hanging="425"/>
        <w:contextualSpacing w:val="0"/>
        <w:rPr>
          <w:color w:val="auto"/>
        </w:rPr>
      </w:pPr>
      <w:r w:rsidRPr="00C801A6">
        <w:rPr>
          <w:color w:val="auto"/>
        </w:rPr>
        <w:t>Pour les cas des travaux d’entretien courant, ce problème n’existe pas.</w:t>
      </w:r>
    </w:p>
    <w:p w14:paraId="17289894" w14:textId="77777777" w:rsidR="00C93373" w:rsidRPr="00C801A6" w:rsidRDefault="00C93373" w:rsidP="00844538">
      <w:pPr>
        <w:pStyle w:val="ListParagraph"/>
        <w:numPr>
          <w:ilvl w:val="0"/>
          <w:numId w:val="44"/>
        </w:numPr>
        <w:spacing w:line="276" w:lineRule="auto"/>
        <w:ind w:left="1276" w:hanging="425"/>
        <w:contextualSpacing w:val="0"/>
        <w:rPr>
          <w:color w:val="auto"/>
        </w:rPr>
      </w:pPr>
      <w:r w:rsidRPr="00C801A6">
        <w:rPr>
          <w:color w:val="auto"/>
        </w:rPr>
        <w:t>Pour les cas des travaux d’entretien périodique, des perturbations sont possibles.</w:t>
      </w:r>
    </w:p>
    <w:p w14:paraId="0B7211E7" w14:textId="77777777" w:rsidR="00C93373" w:rsidRPr="00C801A6" w:rsidRDefault="00C93373" w:rsidP="00844538">
      <w:pPr>
        <w:pStyle w:val="ListParagraph"/>
        <w:numPr>
          <w:ilvl w:val="0"/>
          <w:numId w:val="42"/>
        </w:numPr>
        <w:spacing w:line="276" w:lineRule="auto"/>
        <w:ind w:left="850" w:hanging="425"/>
        <w:contextualSpacing w:val="0"/>
        <w:rPr>
          <w:color w:val="auto"/>
          <w:lang w:eastAsia="fr-FR"/>
        </w:rPr>
      </w:pPr>
      <w:r w:rsidRPr="00C801A6">
        <w:rPr>
          <w:i/>
          <w:iCs/>
          <w:color w:val="auto"/>
        </w:rPr>
        <w:t>Risques d’augmentation de l’incidence de maladies transmissibles ou contagieuses :</w:t>
      </w:r>
      <w:r w:rsidRPr="00C801A6">
        <w:rPr>
          <w:color w:val="auto"/>
        </w:rPr>
        <w:t xml:space="preserve"> </w:t>
      </w:r>
    </w:p>
    <w:p w14:paraId="32257DDF" w14:textId="77777777" w:rsidR="00C93373" w:rsidRPr="00C801A6" w:rsidRDefault="00C93373" w:rsidP="00C93373">
      <w:pPr>
        <w:pStyle w:val="ListParagraph"/>
        <w:spacing w:line="276" w:lineRule="auto"/>
        <w:ind w:left="850"/>
        <w:contextualSpacing w:val="0"/>
        <w:rPr>
          <w:color w:val="auto"/>
        </w:rPr>
      </w:pPr>
      <w:r w:rsidRPr="00C801A6">
        <w:rPr>
          <w:color w:val="auto"/>
        </w:rPr>
        <w:t>VIH/SIDA et autres infections sexuellement transmissibles associées à la présence d’ouvriers, Covid-19 …</w:t>
      </w:r>
    </w:p>
    <w:p w14:paraId="635A9B44" w14:textId="7F4738E4" w:rsidR="00C93373" w:rsidRPr="00C801A6" w:rsidRDefault="00C93373" w:rsidP="00844538">
      <w:pPr>
        <w:pStyle w:val="ListParagraph"/>
        <w:numPr>
          <w:ilvl w:val="0"/>
          <w:numId w:val="42"/>
        </w:numPr>
        <w:spacing w:line="276" w:lineRule="auto"/>
        <w:ind w:left="851" w:hanging="425"/>
        <w:rPr>
          <w:i/>
          <w:iCs/>
          <w:color w:val="auto"/>
        </w:rPr>
      </w:pPr>
      <w:r w:rsidRPr="00C801A6">
        <w:rPr>
          <w:i/>
          <w:iCs/>
          <w:color w:val="auto"/>
        </w:rPr>
        <w:t xml:space="preserve">Risques de </w:t>
      </w:r>
      <w:r w:rsidR="006F38A3">
        <w:rPr>
          <w:i/>
          <w:iCs/>
          <w:color w:val="auto"/>
        </w:rPr>
        <w:t xml:space="preserve">EAS-HS </w:t>
      </w:r>
    </w:p>
    <w:bookmarkEnd w:id="603"/>
    <w:p w14:paraId="260375F1" w14:textId="4828CC64" w:rsidR="00C93373" w:rsidRPr="00C801A6" w:rsidRDefault="00C93373" w:rsidP="00C93373">
      <w:pPr>
        <w:ind w:left="851"/>
        <w:rPr>
          <w:color w:val="auto"/>
        </w:rPr>
      </w:pPr>
      <w:r w:rsidRPr="00C801A6">
        <w:rPr>
          <w:color w:val="auto"/>
        </w:rPr>
        <w:t xml:space="preserve">Beaucoup de travaux sont réalisés à la main, ce qui requiert le recrutement d’un nombre élevé de main d’œuvre : les risques liés à la recrudescence d’actes </w:t>
      </w:r>
      <w:r w:rsidR="006F38A3">
        <w:rPr>
          <w:color w:val="auto"/>
        </w:rPr>
        <w:t xml:space="preserve">EAS-HS </w:t>
      </w:r>
      <w:r w:rsidRPr="00C801A6">
        <w:rPr>
          <w:color w:val="auto"/>
        </w:rPr>
        <w:t xml:space="preserve"> peuvent ainsi augmenter.</w:t>
      </w:r>
    </w:p>
    <w:p w14:paraId="6DD06A27" w14:textId="77777777" w:rsidR="00C93373" w:rsidRPr="00C801A6" w:rsidRDefault="00C93373" w:rsidP="00C93373">
      <w:pPr>
        <w:ind w:left="851"/>
        <w:rPr>
          <w:color w:val="auto"/>
        </w:rPr>
      </w:pPr>
      <w:r w:rsidRPr="00C801A6">
        <w:rPr>
          <w:color w:val="auto"/>
        </w:rPr>
        <w:t>Néanmoins, du fait du manque de données, il n’y a pas eu de réponses par rapport à ces problématiques durant les consultations publiques.</w:t>
      </w:r>
    </w:p>
    <w:p w14:paraId="4EC458FF" w14:textId="366172FC" w:rsidR="00CE12AB" w:rsidRPr="00C801A6" w:rsidRDefault="00C93373" w:rsidP="003042DB">
      <w:pPr>
        <w:pStyle w:val="Heading4"/>
        <w:rPr>
          <w:color w:val="auto"/>
        </w:rPr>
      </w:pPr>
      <w:bookmarkStart w:id="604" w:name="_Toc230298806"/>
      <w:r>
        <w:rPr>
          <w:color w:val="auto"/>
        </w:rPr>
        <w:t>PHASE DE REPLI DE CHANTIER</w:t>
      </w:r>
      <w:bookmarkEnd w:id="604"/>
    </w:p>
    <w:p w14:paraId="68F19382" w14:textId="77777777" w:rsidR="00C93373" w:rsidRPr="00C801A6" w:rsidRDefault="00C93373" w:rsidP="00C93373">
      <w:pPr>
        <w:rPr>
          <w:color w:val="auto"/>
        </w:rPr>
      </w:pPr>
      <w:r w:rsidRPr="00C801A6">
        <w:rPr>
          <w:color w:val="auto"/>
        </w:rPr>
        <w:t>A la fin d’un chantier donné, les problèmes se rapportent aux risques de pollution de diverses natures au niveau du chantier : abandon de déchets de chantier sur les bords des routes, matières résiduelles diverses au niveau d’une base-vie, autres.</w:t>
      </w:r>
    </w:p>
    <w:p w14:paraId="16B4D206" w14:textId="77777777" w:rsidR="00C93373" w:rsidRPr="00C801A6" w:rsidRDefault="00C93373" w:rsidP="00C93373">
      <w:pPr>
        <w:rPr>
          <w:color w:val="auto"/>
        </w:rPr>
      </w:pPr>
      <w:r w:rsidRPr="00C801A6">
        <w:rPr>
          <w:color w:val="auto"/>
        </w:rPr>
        <w:lastRenderedPageBreak/>
        <w:t>Au moment du repli de chantier, les ma</w:t>
      </w:r>
      <w:r w:rsidRPr="00C801A6">
        <w:rPr>
          <w:rFonts w:eastAsia="Times New Roman" w:cs="Times New Roman"/>
          <w:color w:val="auto"/>
        </w:rPr>
        <w:t>tériels et les équipements devront</w:t>
      </w:r>
      <w:r w:rsidRPr="00C801A6">
        <w:rPr>
          <w:color w:val="auto"/>
        </w:rPr>
        <w:t xml:space="preserve"> être rapatriés : des risques d’accidents sont à craindre.</w:t>
      </w:r>
    </w:p>
    <w:p w14:paraId="10DE397F" w14:textId="77777777" w:rsidR="00575CDF" w:rsidRPr="00C801A6" w:rsidRDefault="00575CDF" w:rsidP="003042DB">
      <w:pPr>
        <w:pStyle w:val="Heading4"/>
        <w:rPr>
          <w:color w:val="auto"/>
        </w:rPr>
      </w:pPr>
      <w:bookmarkStart w:id="605" w:name="_Toc71794939"/>
      <w:bookmarkStart w:id="606" w:name="_Toc230298807"/>
      <w:r w:rsidRPr="00C801A6">
        <w:rPr>
          <w:color w:val="auto"/>
        </w:rPr>
        <w:t>Impacts types associés à l’exploitation de sites d’extraction</w:t>
      </w:r>
      <w:bookmarkEnd w:id="605"/>
      <w:bookmarkEnd w:id="606"/>
    </w:p>
    <w:p w14:paraId="38507EDA" w14:textId="73C5FE27" w:rsidR="00575CDF" w:rsidRPr="00C801A6" w:rsidRDefault="00575CDF" w:rsidP="00575CDF">
      <w:pPr>
        <w:rPr>
          <w:color w:val="auto"/>
        </w:rPr>
      </w:pPr>
      <w:r w:rsidRPr="00C801A6">
        <w:rPr>
          <w:color w:val="auto"/>
        </w:rPr>
        <w:t xml:space="preserve">L’exploitation de sites d’extraction de matériaux est sujette à de multiples impacts qui sont souvent négligés par les entreprises. Ils peuvent être résumés </w:t>
      </w:r>
      <w:r w:rsidR="000E40DE" w:rsidRPr="00C801A6">
        <w:rPr>
          <w:color w:val="auto"/>
        </w:rPr>
        <w:t>dans le tableau 2</w:t>
      </w:r>
      <w:r w:rsidR="001C76FC">
        <w:rPr>
          <w:color w:val="auto"/>
        </w:rPr>
        <w:t>8</w:t>
      </w:r>
      <w:r w:rsidR="000E40DE" w:rsidRPr="00C801A6">
        <w:rPr>
          <w:color w:val="auto"/>
        </w:rPr>
        <w:t xml:space="preserve"> </w:t>
      </w:r>
      <w:r w:rsidR="00C716B3">
        <w:rPr>
          <w:color w:val="auto"/>
        </w:rPr>
        <w:t>suivant</w:t>
      </w:r>
      <w:r w:rsidRPr="00C801A6">
        <w:rPr>
          <w:color w:val="auto"/>
        </w:rPr>
        <w:t> :</w:t>
      </w:r>
    </w:p>
    <w:p w14:paraId="517989FA" w14:textId="60A38C22" w:rsidR="00C716B3" w:rsidRDefault="00C716B3" w:rsidP="00C716B3">
      <w:pPr>
        <w:pStyle w:val="Caption"/>
        <w:keepNext/>
      </w:pPr>
      <w:bookmarkStart w:id="607" w:name="_Toc230427742"/>
      <w:r>
        <w:t xml:space="preserve">Tableau </w:t>
      </w:r>
      <w:r w:rsidR="00E44887">
        <w:fldChar w:fldCharType="begin"/>
      </w:r>
      <w:r w:rsidR="00E44887">
        <w:instrText xml:space="preserve"> SEQ Tableau \* ARABIC </w:instrText>
      </w:r>
      <w:r w:rsidR="00E44887">
        <w:fldChar w:fldCharType="separate"/>
      </w:r>
      <w:r w:rsidR="00253F1A">
        <w:rPr>
          <w:noProof/>
        </w:rPr>
        <w:t>22</w:t>
      </w:r>
      <w:r w:rsidR="00E44887">
        <w:rPr>
          <w:noProof/>
        </w:rPr>
        <w:fldChar w:fldCharType="end"/>
      </w:r>
      <w:r>
        <w:t> : IMPACTS TYPE LIES AUX SITES D’EXTRACTION</w:t>
      </w:r>
      <w:bookmarkEnd w:id="607"/>
    </w:p>
    <w:tbl>
      <w:tblPr>
        <w:tblW w:w="9327"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81"/>
        <w:gridCol w:w="3690"/>
        <w:gridCol w:w="1018"/>
        <w:gridCol w:w="1019"/>
        <w:gridCol w:w="1019"/>
      </w:tblGrid>
      <w:tr w:rsidR="00C801A6" w:rsidRPr="00C801A6" w14:paraId="3995A2E0" w14:textId="77777777" w:rsidTr="00C716B3">
        <w:trPr>
          <w:trHeight w:val="162"/>
          <w:tblHeader/>
        </w:trPr>
        <w:tc>
          <w:tcPr>
            <w:tcW w:w="2581" w:type="dxa"/>
            <w:vMerge w:val="restart"/>
            <w:tcBorders>
              <w:top w:val="single" w:sz="4" w:space="0" w:color="auto"/>
            </w:tcBorders>
            <w:shd w:val="clear" w:color="auto" w:fill="E2EFD9" w:themeFill="accent6" w:themeFillTint="33"/>
            <w:vAlign w:val="center"/>
          </w:tcPr>
          <w:p w14:paraId="5E86785E" w14:textId="77777777" w:rsidR="00575CDF" w:rsidRPr="00C801A6" w:rsidRDefault="00575CDF" w:rsidP="00347FDB">
            <w:pPr>
              <w:spacing w:before="30" w:after="30"/>
              <w:jc w:val="left"/>
              <w:rPr>
                <w:rFonts w:cs="Times New Roman"/>
                <w:b/>
                <w:bCs/>
                <w:color w:val="auto"/>
                <w:sz w:val="20"/>
              </w:rPr>
            </w:pPr>
            <w:r w:rsidRPr="00C801A6">
              <w:rPr>
                <w:rFonts w:cs="Times New Roman"/>
                <w:b/>
                <w:bCs/>
                <w:color w:val="auto"/>
                <w:sz w:val="20"/>
              </w:rPr>
              <w:t>Sources d’impact</w:t>
            </w:r>
          </w:p>
        </w:tc>
        <w:tc>
          <w:tcPr>
            <w:tcW w:w="3690" w:type="dxa"/>
            <w:vMerge w:val="restart"/>
            <w:tcBorders>
              <w:top w:val="single" w:sz="4" w:space="0" w:color="auto"/>
            </w:tcBorders>
            <w:shd w:val="clear" w:color="auto" w:fill="E2EFD9" w:themeFill="accent6" w:themeFillTint="33"/>
            <w:vAlign w:val="center"/>
          </w:tcPr>
          <w:p w14:paraId="67C49D31" w14:textId="77777777" w:rsidR="00575CDF" w:rsidRPr="00C801A6" w:rsidRDefault="00575CDF" w:rsidP="00347FDB">
            <w:pPr>
              <w:spacing w:before="30" w:after="30"/>
              <w:jc w:val="left"/>
              <w:rPr>
                <w:rFonts w:cs="Times New Roman"/>
                <w:b/>
                <w:bCs/>
                <w:color w:val="auto"/>
                <w:sz w:val="20"/>
              </w:rPr>
            </w:pPr>
            <w:r w:rsidRPr="00C801A6">
              <w:rPr>
                <w:rFonts w:cs="Times New Roman"/>
                <w:b/>
                <w:bCs/>
                <w:color w:val="auto"/>
                <w:sz w:val="20"/>
              </w:rPr>
              <w:t>Impacts types</w:t>
            </w:r>
          </w:p>
        </w:tc>
        <w:tc>
          <w:tcPr>
            <w:tcW w:w="3056" w:type="dxa"/>
            <w:gridSpan w:val="3"/>
            <w:tcBorders>
              <w:top w:val="single" w:sz="4" w:space="0" w:color="auto"/>
            </w:tcBorders>
            <w:shd w:val="clear" w:color="auto" w:fill="E2EFD9" w:themeFill="accent6" w:themeFillTint="33"/>
            <w:vAlign w:val="center"/>
          </w:tcPr>
          <w:p w14:paraId="7CCF58FB" w14:textId="77777777" w:rsidR="00575CDF" w:rsidRPr="00C801A6" w:rsidRDefault="00575CDF" w:rsidP="00347FDB">
            <w:pPr>
              <w:spacing w:before="30" w:after="30"/>
              <w:jc w:val="center"/>
              <w:rPr>
                <w:rFonts w:cs="Times New Roman"/>
                <w:b/>
                <w:bCs/>
                <w:color w:val="auto"/>
                <w:sz w:val="20"/>
              </w:rPr>
            </w:pPr>
            <w:r w:rsidRPr="00C801A6">
              <w:rPr>
                <w:rFonts w:cs="Times New Roman"/>
                <w:b/>
                <w:bCs/>
                <w:color w:val="auto"/>
                <w:sz w:val="20"/>
              </w:rPr>
              <w:t>Applicabilité</w:t>
            </w:r>
          </w:p>
        </w:tc>
      </w:tr>
      <w:tr w:rsidR="00C801A6" w:rsidRPr="00C801A6" w14:paraId="283B6DA0" w14:textId="77777777" w:rsidTr="00C716B3">
        <w:trPr>
          <w:trHeight w:val="155"/>
          <w:tblHeader/>
        </w:trPr>
        <w:tc>
          <w:tcPr>
            <w:tcW w:w="2581" w:type="dxa"/>
            <w:vMerge/>
            <w:shd w:val="clear" w:color="auto" w:fill="E2EFD9" w:themeFill="accent6" w:themeFillTint="33"/>
            <w:vAlign w:val="center"/>
          </w:tcPr>
          <w:p w14:paraId="3C96316F" w14:textId="77777777" w:rsidR="00575CDF" w:rsidRPr="00C801A6" w:rsidRDefault="00575CDF" w:rsidP="00347FDB">
            <w:pPr>
              <w:spacing w:before="30" w:after="30"/>
              <w:jc w:val="left"/>
              <w:rPr>
                <w:rFonts w:cs="Times New Roman"/>
                <w:b/>
                <w:bCs/>
                <w:color w:val="auto"/>
                <w:sz w:val="20"/>
              </w:rPr>
            </w:pPr>
          </w:p>
        </w:tc>
        <w:tc>
          <w:tcPr>
            <w:tcW w:w="3690" w:type="dxa"/>
            <w:vMerge/>
            <w:shd w:val="clear" w:color="auto" w:fill="E2EFD9" w:themeFill="accent6" w:themeFillTint="33"/>
            <w:vAlign w:val="center"/>
          </w:tcPr>
          <w:p w14:paraId="68F342CB" w14:textId="77777777" w:rsidR="00575CDF" w:rsidRPr="00C801A6" w:rsidRDefault="00575CDF" w:rsidP="00347FDB">
            <w:pPr>
              <w:spacing w:before="30" w:after="30"/>
              <w:jc w:val="left"/>
              <w:rPr>
                <w:rFonts w:cs="Times New Roman"/>
                <w:b/>
                <w:bCs/>
                <w:color w:val="auto"/>
                <w:sz w:val="20"/>
              </w:rPr>
            </w:pPr>
          </w:p>
        </w:tc>
        <w:tc>
          <w:tcPr>
            <w:tcW w:w="1018" w:type="dxa"/>
            <w:shd w:val="clear" w:color="auto" w:fill="E2EFD9" w:themeFill="accent6" w:themeFillTint="33"/>
            <w:vAlign w:val="center"/>
          </w:tcPr>
          <w:p w14:paraId="57564CEC" w14:textId="77777777" w:rsidR="00575CDF" w:rsidRPr="00C801A6" w:rsidRDefault="00575CDF" w:rsidP="00943BEA">
            <w:pPr>
              <w:spacing w:before="30" w:after="30"/>
              <w:jc w:val="center"/>
              <w:rPr>
                <w:rFonts w:cs="Times New Roman"/>
                <w:b/>
                <w:bCs/>
                <w:color w:val="auto"/>
                <w:sz w:val="20"/>
              </w:rPr>
            </w:pPr>
            <w:r w:rsidRPr="00C801A6">
              <w:rPr>
                <w:rFonts w:cs="Times New Roman"/>
                <w:b/>
                <w:bCs/>
                <w:color w:val="auto"/>
                <w:sz w:val="20"/>
              </w:rPr>
              <w:t>Carrière</w:t>
            </w:r>
          </w:p>
        </w:tc>
        <w:tc>
          <w:tcPr>
            <w:tcW w:w="1019" w:type="dxa"/>
            <w:shd w:val="clear" w:color="auto" w:fill="E2EFD9" w:themeFill="accent6" w:themeFillTint="33"/>
            <w:vAlign w:val="center"/>
          </w:tcPr>
          <w:p w14:paraId="24D1D825" w14:textId="77777777" w:rsidR="00575CDF" w:rsidRPr="00C801A6" w:rsidRDefault="00575CDF" w:rsidP="00943BEA">
            <w:pPr>
              <w:spacing w:before="30" w:after="30"/>
              <w:jc w:val="center"/>
              <w:rPr>
                <w:rFonts w:cs="Times New Roman"/>
                <w:b/>
                <w:bCs/>
                <w:color w:val="auto"/>
                <w:sz w:val="20"/>
              </w:rPr>
            </w:pPr>
            <w:r w:rsidRPr="00C801A6">
              <w:rPr>
                <w:rFonts w:cs="Times New Roman"/>
                <w:b/>
                <w:bCs/>
                <w:color w:val="auto"/>
                <w:sz w:val="20"/>
              </w:rPr>
              <w:t>Gîte</w:t>
            </w:r>
          </w:p>
        </w:tc>
        <w:tc>
          <w:tcPr>
            <w:tcW w:w="1019" w:type="dxa"/>
            <w:shd w:val="clear" w:color="auto" w:fill="E2EFD9" w:themeFill="accent6" w:themeFillTint="33"/>
            <w:vAlign w:val="center"/>
          </w:tcPr>
          <w:p w14:paraId="215DD830" w14:textId="77777777" w:rsidR="00575CDF" w:rsidRPr="00C801A6" w:rsidRDefault="00575CDF" w:rsidP="00943BEA">
            <w:pPr>
              <w:spacing w:before="30" w:after="30"/>
              <w:jc w:val="center"/>
              <w:rPr>
                <w:rFonts w:cs="Times New Roman"/>
                <w:b/>
                <w:bCs/>
                <w:color w:val="auto"/>
                <w:sz w:val="20"/>
              </w:rPr>
            </w:pPr>
            <w:r w:rsidRPr="00C801A6">
              <w:rPr>
                <w:rFonts w:cs="Times New Roman"/>
                <w:b/>
                <w:bCs/>
                <w:color w:val="auto"/>
                <w:sz w:val="20"/>
              </w:rPr>
              <w:t>Emprunt</w:t>
            </w:r>
          </w:p>
        </w:tc>
      </w:tr>
      <w:tr w:rsidR="00C801A6" w:rsidRPr="00C801A6" w14:paraId="33F58038" w14:textId="77777777" w:rsidTr="00C716B3">
        <w:trPr>
          <w:trHeight w:val="406"/>
        </w:trPr>
        <w:tc>
          <w:tcPr>
            <w:tcW w:w="9327" w:type="dxa"/>
            <w:gridSpan w:val="5"/>
            <w:vAlign w:val="center"/>
          </w:tcPr>
          <w:p w14:paraId="0AE951D8" w14:textId="77777777" w:rsidR="00575CDF" w:rsidRPr="00C801A6" w:rsidRDefault="00575CDF" w:rsidP="00347FDB">
            <w:pPr>
              <w:spacing w:before="30" w:after="30"/>
              <w:jc w:val="left"/>
              <w:rPr>
                <w:rFonts w:cs="Times New Roman"/>
                <w:b/>
                <w:bCs/>
                <w:color w:val="auto"/>
                <w:sz w:val="20"/>
              </w:rPr>
            </w:pPr>
            <w:r w:rsidRPr="00C801A6">
              <w:rPr>
                <w:rFonts w:cs="Times New Roman"/>
                <w:b/>
                <w:bCs/>
                <w:color w:val="auto"/>
                <w:sz w:val="20"/>
              </w:rPr>
              <w:t>Phase préparatoire et de mise en place des installations</w:t>
            </w:r>
          </w:p>
        </w:tc>
      </w:tr>
      <w:tr w:rsidR="00C801A6" w:rsidRPr="00C801A6" w14:paraId="34A470E9" w14:textId="77777777" w:rsidTr="00C716B3">
        <w:trPr>
          <w:trHeight w:val="526"/>
        </w:trPr>
        <w:tc>
          <w:tcPr>
            <w:tcW w:w="2581" w:type="dxa"/>
            <w:vMerge w:val="restart"/>
          </w:tcPr>
          <w:p w14:paraId="6C44B963" w14:textId="77777777" w:rsidR="00575CDF" w:rsidRPr="00C801A6" w:rsidRDefault="00575CDF" w:rsidP="00347FDB">
            <w:pPr>
              <w:spacing w:before="30" w:after="30"/>
              <w:jc w:val="left"/>
              <w:rPr>
                <w:rFonts w:cs="Times New Roman"/>
                <w:color w:val="auto"/>
                <w:sz w:val="20"/>
              </w:rPr>
            </w:pPr>
            <w:r w:rsidRPr="00C801A6">
              <w:rPr>
                <w:rFonts w:cs="Times New Roman"/>
                <w:color w:val="auto"/>
                <w:sz w:val="20"/>
              </w:rPr>
              <w:t>Débroussaillage / Décapage</w:t>
            </w:r>
          </w:p>
        </w:tc>
        <w:tc>
          <w:tcPr>
            <w:tcW w:w="3690" w:type="dxa"/>
          </w:tcPr>
          <w:p w14:paraId="2388EB06" w14:textId="77777777" w:rsidR="00575CDF" w:rsidRPr="00C801A6" w:rsidRDefault="00575CDF" w:rsidP="00347FDB">
            <w:pPr>
              <w:spacing w:before="30" w:after="30"/>
              <w:jc w:val="left"/>
              <w:rPr>
                <w:rFonts w:cs="Times New Roman"/>
                <w:color w:val="auto"/>
                <w:sz w:val="20"/>
              </w:rPr>
            </w:pPr>
            <w:r w:rsidRPr="00C801A6">
              <w:rPr>
                <w:rFonts w:cs="Times New Roman"/>
                <w:color w:val="auto"/>
                <w:sz w:val="20"/>
              </w:rPr>
              <w:t>Disparition d’une partie de la couverture végétale</w:t>
            </w:r>
          </w:p>
        </w:tc>
        <w:tc>
          <w:tcPr>
            <w:tcW w:w="1018" w:type="dxa"/>
          </w:tcPr>
          <w:p w14:paraId="56AD19EC" w14:textId="77777777" w:rsidR="00575CDF" w:rsidRPr="00C801A6" w:rsidRDefault="00575CDF" w:rsidP="00347FDB">
            <w:pPr>
              <w:spacing w:before="30" w:after="30"/>
              <w:jc w:val="center"/>
              <w:rPr>
                <w:rFonts w:cs="Times New Roman"/>
                <w:color w:val="auto"/>
                <w:sz w:val="20"/>
              </w:rPr>
            </w:pPr>
            <w:r w:rsidRPr="00C801A6">
              <w:rPr>
                <w:rFonts w:cs="Times New Roman"/>
                <w:bCs/>
                <w:iCs/>
                <w:color w:val="auto"/>
                <w:sz w:val="20"/>
              </w:rPr>
              <w:t>X</w:t>
            </w:r>
          </w:p>
        </w:tc>
        <w:tc>
          <w:tcPr>
            <w:tcW w:w="1019" w:type="dxa"/>
          </w:tcPr>
          <w:p w14:paraId="49C85D48" w14:textId="77777777" w:rsidR="00575CDF" w:rsidRPr="00C801A6" w:rsidRDefault="00575CDF" w:rsidP="00347FDB">
            <w:pPr>
              <w:spacing w:before="30" w:after="30"/>
              <w:jc w:val="center"/>
              <w:rPr>
                <w:rFonts w:cs="Times New Roman"/>
                <w:color w:val="auto"/>
                <w:sz w:val="20"/>
              </w:rPr>
            </w:pPr>
            <w:r w:rsidRPr="00C801A6">
              <w:rPr>
                <w:rFonts w:cs="Times New Roman"/>
                <w:bCs/>
                <w:iCs/>
                <w:color w:val="auto"/>
                <w:sz w:val="20"/>
              </w:rPr>
              <w:t>X</w:t>
            </w:r>
          </w:p>
        </w:tc>
        <w:tc>
          <w:tcPr>
            <w:tcW w:w="1019" w:type="dxa"/>
          </w:tcPr>
          <w:p w14:paraId="26AF783D" w14:textId="77777777" w:rsidR="00575CDF" w:rsidRPr="00C801A6" w:rsidRDefault="00575CDF" w:rsidP="00347FDB">
            <w:pPr>
              <w:spacing w:before="30" w:after="30"/>
              <w:jc w:val="center"/>
              <w:rPr>
                <w:rFonts w:cs="Times New Roman"/>
                <w:color w:val="auto"/>
                <w:sz w:val="20"/>
              </w:rPr>
            </w:pPr>
            <w:r w:rsidRPr="00C801A6">
              <w:rPr>
                <w:rFonts w:cs="Times New Roman"/>
                <w:bCs/>
                <w:iCs/>
                <w:color w:val="auto"/>
                <w:sz w:val="20"/>
              </w:rPr>
              <w:t>X</w:t>
            </w:r>
          </w:p>
        </w:tc>
      </w:tr>
      <w:tr w:rsidR="00C801A6" w:rsidRPr="00C801A6" w14:paraId="7AA621C9" w14:textId="77777777" w:rsidTr="00C716B3">
        <w:trPr>
          <w:trHeight w:val="351"/>
        </w:trPr>
        <w:tc>
          <w:tcPr>
            <w:tcW w:w="2581" w:type="dxa"/>
            <w:vMerge/>
          </w:tcPr>
          <w:p w14:paraId="238C6FB1" w14:textId="77777777" w:rsidR="00575CDF" w:rsidRPr="00C801A6" w:rsidRDefault="00575CDF" w:rsidP="00347FDB">
            <w:pPr>
              <w:spacing w:before="30" w:after="30"/>
              <w:jc w:val="left"/>
              <w:rPr>
                <w:rFonts w:cs="Times New Roman"/>
                <w:color w:val="auto"/>
                <w:sz w:val="20"/>
              </w:rPr>
            </w:pPr>
          </w:p>
        </w:tc>
        <w:tc>
          <w:tcPr>
            <w:tcW w:w="3690" w:type="dxa"/>
          </w:tcPr>
          <w:p w14:paraId="5DA592FE" w14:textId="77777777" w:rsidR="00575CDF" w:rsidRPr="00C801A6" w:rsidRDefault="00575CDF" w:rsidP="00347FDB">
            <w:pPr>
              <w:spacing w:before="30" w:after="30"/>
              <w:jc w:val="left"/>
              <w:rPr>
                <w:rFonts w:cs="Times New Roman"/>
                <w:color w:val="auto"/>
                <w:sz w:val="20"/>
              </w:rPr>
            </w:pPr>
            <w:r w:rsidRPr="00C801A6">
              <w:rPr>
                <w:rFonts w:cs="Times New Roman"/>
                <w:color w:val="auto"/>
                <w:sz w:val="20"/>
              </w:rPr>
              <w:t>Risques d’amorce d’érosion</w:t>
            </w:r>
          </w:p>
        </w:tc>
        <w:tc>
          <w:tcPr>
            <w:tcW w:w="1018" w:type="dxa"/>
          </w:tcPr>
          <w:p w14:paraId="3405153B" w14:textId="77777777" w:rsidR="00575CDF" w:rsidRPr="00C801A6" w:rsidRDefault="00575CDF" w:rsidP="00347FDB">
            <w:pPr>
              <w:spacing w:before="30" w:after="30"/>
              <w:jc w:val="center"/>
              <w:rPr>
                <w:rFonts w:cs="Times New Roman"/>
                <w:color w:val="auto"/>
                <w:sz w:val="20"/>
              </w:rPr>
            </w:pPr>
            <w:r w:rsidRPr="00C801A6">
              <w:rPr>
                <w:rFonts w:cs="Times New Roman"/>
                <w:bCs/>
                <w:iCs/>
                <w:color w:val="auto"/>
                <w:sz w:val="20"/>
              </w:rPr>
              <w:t>X</w:t>
            </w:r>
          </w:p>
        </w:tc>
        <w:tc>
          <w:tcPr>
            <w:tcW w:w="1019" w:type="dxa"/>
          </w:tcPr>
          <w:p w14:paraId="420C550C" w14:textId="77777777" w:rsidR="00575CDF" w:rsidRPr="00C801A6" w:rsidRDefault="00575CDF" w:rsidP="00347FDB">
            <w:pPr>
              <w:spacing w:before="30" w:after="30"/>
              <w:jc w:val="center"/>
              <w:rPr>
                <w:rFonts w:cs="Times New Roman"/>
                <w:color w:val="auto"/>
                <w:sz w:val="20"/>
              </w:rPr>
            </w:pPr>
            <w:r w:rsidRPr="00C801A6">
              <w:rPr>
                <w:rFonts w:cs="Times New Roman"/>
                <w:bCs/>
                <w:iCs/>
                <w:color w:val="auto"/>
                <w:sz w:val="20"/>
              </w:rPr>
              <w:t>X</w:t>
            </w:r>
          </w:p>
        </w:tc>
        <w:tc>
          <w:tcPr>
            <w:tcW w:w="1019" w:type="dxa"/>
          </w:tcPr>
          <w:p w14:paraId="6E277450" w14:textId="77777777" w:rsidR="00575CDF" w:rsidRPr="00C801A6" w:rsidRDefault="00575CDF" w:rsidP="00347FDB">
            <w:pPr>
              <w:spacing w:before="30" w:after="30"/>
              <w:jc w:val="center"/>
              <w:rPr>
                <w:rFonts w:cs="Times New Roman"/>
                <w:color w:val="auto"/>
                <w:sz w:val="20"/>
              </w:rPr>
            </w:pPr>
            <w:r w:rsidRPr="00C801A6">
              <w:rPr>
                <w:rFonts w:cs="Times New Roman"/>
                <w:bCs/>
                <w:iCs/>
                <w:color w:val="auto"/>
                <w:sz w:val="20"/>
              </w:rPr>
              <w:t>X</w:t>
            </w:r>
          </w:p>
        </w:tc>
      </w:tr>
      <w:tr w:rsidR="00C801A6" w:rsidRPr="00C801A6" w14:paraId="6AF2F9EE" w14:textId="77777777" w:rsidTr="00C716B3">
        <w:tc>
          <w:tcPr>
            <w:tcW w:w="2581" w:type="dxa"/>
          </w:tcPr>
          <w:p w14:paraId="526B1E9E" w14:textId="77777777" w:rsidR="00575CDF" w:rsidRPr="00C801A6" w:rsidRDefault="00575CDF" w:rsidP="00347FDB">
            <w:pPr>
              <w:spacing w:before="30" w:after="30"/>
              <w:jc w:val="left"/>
              <w:rPr>
                <w:rFonts w:cs="Times New Roman"/>
                <w:color w:val="auto"/>
                <w:sz w:val="20"/>
              </w:rPr>
            </w:pPr>
            <w:r w:rsidRPr="00C801A6">
              <w:rPr>
                <w:rFonts w:cs="Times New Roman"/>
                <w:color w:val="auto"/>
                <w:sz w:val="20"/>
              </w:rPr>
              <w:t>Travaux préparatoires et de construction</w:t>
            </w:r>
          </w:p>
        </w:tc>
        <w:tc>
          <w:tcPr>
            <w:tcW w:w="3690" w:type="dxa"/>
          </w:tcPr>
          <w:p w14:paraId="72828450" w14:textId="77777777" w:rsidR="00575CDF" w:rsidRPr="00C801A6" w:rsidRDefault="00575CDF" w:rsidP="00347FDB">
            <w:pPr>
              <w:spacing w:before="30" w:after="30"/>
              <w:jc w:val="left"/>
              <w:rPr>
                <w:rFonts w:cs="Times New Roman"/>
                <w:color w:val="auto"/>
                <w:sz w:val="20"/>
              </w:rPr>
            </w:pPr>
            <w:r w:rsidRPr="00C801A6">
              <w:rPr>
                <w:rFonts w:cs="Times New Roman"/>
                <w:color w:val="auto"/>
                <w:sz w:val="20"/>
              </w:rPr>
              <w:t>Emissions de bruits et de poussières</w:t>
            </w:r>
          </w:p>
        </w:tc>
        <w:tc>
          <w:tcPr>
            <w:tcW w:w="1018" w:type="dxa"/>
          </w:tcPr>
          <w:p w14:paraId="141AE701" w14:textId="77777777" w:rsidR="00575CDF" w:rsidRPr="00C801A6" w:rsidRDefault="00575CDF" w:rsidP="00347FDB">
            <w:pPr>
              <w:spacing w:before="30" w:after="30"/>
              <w:jc w:val="center"/>
              <w:rPr>
                <w:rFonts w:cs="Times New Roman"/>
                <w:color w:val="auto"/>
                <w:sz w:val="20"/>
              </w:rPr>
            </w:pPr>
            <w:r w:rsidRPr="00C801A6">
              <w:rPr>
                <w:rFonts w:cs="Times New Roman"/>
                <w:bCs/>
                <w:iCs/>
                <w:color w:val="auto"/>
                <w:sz w:val="20"/>
              </w:rPr>
              <w:t>X</w:t>
            </w:r>
          </w:p>
        </w:tc>
        <w:tc>
          <w:tcPr>
            <w:tcW w:w="1019" w:type="dxa"/>
          </w:tcPr>
          <w:p w14:paraId="671CC13E" w14:textId="77777777" w:rsidR="00575CDF" w:rsidRPr="00C801A6" w:rsidRDefault="00575CDF" w:rsidP="00347FDB">
            <w:pPr>
              <w:spacing w:before="30" w:after="30"/>
              <w:jc w:val="center"/>
              <w:rPr>
                <w:rFonts w:cs="Times New Roman"/>
                <w:color w:val="auto"/>
                <w:sz w:val="20"/>
              </w:rPr>
            </w:pPr>
            <w:r w:rsidRPr="00C801A6">
              <w:rPr>
                <w:rFonts w:cs="Times New Roman"/>
                <w:bCs/>
                <w:iCs/>
                <w:color w:val="auto"/>
                <w:sz w:val="20"/>
              </w:rPr>
              <w:t>X</w:t>
            </w:r>
          </w:p>
        </w:tc>
        <w:tc>
          <w:tcPr>
            <w:tcW w:w="1019" w:type="dxa"/>
          </w:tcPr>
          <w:p w14:paraId="552E43FC" w14:textId="77777777" w:rsidR="00575CDF" w:rsidRPr="00C801A6" w:rsidRDefault="00575CDF" w:rsidP="00347FDB">
            <w:pPr>
              <w:spacing w:before="30" w:after="30"/>
              <w:jc w:val="center"/>
              <w:rPr>
                <w:rFonts w:cs="Times New Roman"/>
                <w:color w:val="auto"/>
                <w:sz w:val="20"/>
              </w:rPr>
            </w:pPr>
            <w:r w:rsidRPr="00C801A6">
              <w:rPr>
                <w:rFonts w:cs="Times New Roman"/>
                <w:bCs/>
                <w:iCs/>
                <w:color w:val="auto"/>
                <w:sz w:val="20"/>
              </w:rPr>
              <w:t>X</w:t>
            </w:r>
          </w:p>
        </w:tc>
      </w:tr>
      <w:tr w:rsidR="00C801A6" w:rsidRPr="00C801A6" w14:paraId="738BE157" w14:textId="77777777" w:rsidTr="00C716B3">
        <w:tc>
          <w:tcPr>
            <w:tcW w:w="2581" w:type="dxa"/>
          </w:tcPr>
          <w:p w14:paraId="066B0212" w14:textId="77777777" w:rsidR="00575CDF" w:rsidRPr="00C801A6" w:rsidRDefault="00575CDF" w:rsidP="00347FDB">
            <w:pPr>
              <w:spacing w:before="30" w:after="30"/>
              <w:jc w:val="left"/>
              <w:rPr>
                <w:rFonts w:cs="Times New Roman"/>
                <w:color w:val="auto"/>
                <w:sz w:val="20"/>
              </w:rPr>
            </w:pPr>
            <w:r w:rsidRPr="00C801A6">
              <w:rPr>
                <w:rFonts w:cs="Times New Roman"/>
                <w:color w:val="auto"/>
                <w:sz w:val="20"/>
              </w:rPr>
              <w:t>Terrassements</w:t>
            </w:r>
          </w:p>
        </w:tc>
        <w:tc>
          <w:tcPr>
            <w:tcW w:w="3690" w:type="dxa"/>
          </w:tcPr>
          <w:p w14:paraId="523B2183" w14:textId="77777777" w:rsidR="00575CDF" w:rsidRPr="00C801A6" w:rsidRDefault="00575CDF" w:rsidP="00347FDB">
            <w:pPr>
              <w:spacing w:before="30" w:after="30"/>
              <w:jc w:val="left"/>
              <w:rPr>
                <w:rFonts w:cs="Times New Roman"/>
                <w:color w:val="auto"/>
                <w:sz w:val="20"/>
              </w:rPr>
            </w:pPr>
            <w:r w:rsidRPr="00C801A6">
              <w:rPr>
                <w:rFonts w:cs="Times New Roman"/>
                <w:color w:val="auto"/>
                <w:sz w:val="20"/>
              </w:rPr>
              <w:t>Augmentation de la compacité du sol et réduction subséquente de l’infiltration de l’eau</w:t>
            </w:r>
          </w:p>
        </w:tc>
        <w:tc>
          <w:tcPr>
            <w:tcW w:w="1018" w:type="dxa"/>
          </w:tcPr>
          <w:p w14:paraId="4181888A" w14:textId="77777777" w:rsidR="00575CDF" w:rsidRPr="00C801A6" w:rsidRDefault="00575CDF" w:rsidP="00347FDB">
            <w:pPr>
              <w:spacing w:before="30" w:after="30"/>
              <w:jc w:val="center"/>
              <w:rPr>
                <w:rFonts w:cs="Times New Roman"/>
                <w:b/>
                <w:bCs/>
                <w:i/>
                <w:iCs/>
                <w:color w:val="auto"/>
                <w:sz w:val="20"/>
              </w:rPr>
            </w:pPr>
            <w:r w:rsidRPr="00C801A6">
              <w:rPr>
                <w:rFonts w:cs="Times New Roman"/>
                <w:bCs/>
                <w:iCs/>
                <w:color w:val="auto"/>
                <w:sz w:val="20"/>
              </w:rPr>
              <w:t>X</w:t>
            </w:r>
          </w:p>
        </w:tc>
        <w:tc>
          <w:tcPr>
            <w:tcW w:w="1019" w:type="dxa"/>
          </w:tcPr>
          <w:p w14:paraId="215FE9D4" w14:textId="77777777" w:rsidR="00575CDF" w:rsidRPr="00C801A6" w:rsidRDefault="00575CDF" w:rsidP="00347FDB">
            <w:pPr>
              <w:spacing w:before="30" w:after="30"/>
              <w:jc w:val="center"/>
              <w:rPr>
                <w:rFonts w:cs="Times New Roman"/>
                <w:b/>
                <w:bCs/>
                <w:i/>
                <w:iCs/>
                <w:color w:val="auto"/>
                <w:sz w:val="20"/>
              </w:rPr>
            </w:pPr>
            <w:r w:rsidRPr="00C801A6">
              <w:rPr>
                <w:rFonts w:cs="Times New Roman"/>
                <w:bCs/>
                <w:iCs/>
                <w:color w:val="auto"/>
                <w:sz w:val="20"/>
              </w:rPr>
              <w:t>X</w:t>
            </w:r>
          </w:p>
        </w:tc>
        <w:tc>
          <w:tcPr>
            <w:tcW w:w="1019" w:type="dxa"/>
          </w:tcPr>
          <w:p w14:paraId="779A3FBB" w14:textId="77777777" w:rsidR="00575CDF" w:rsidRPr="00C801A6" w:rsidRDefault="00575CDF" w:rsidP="00347FDB">
            <w:pPr>
              <w:spacing w:before="30" w:after="30"/>
              <w:jc w:val="center"/>
              <w:rPr>
                <w:rFonts w:cs="Times New Roman"/>
                <w:b/>
                <w:bCs/>
                <w:i/>
                <w:iCs/>
                <w:color w:val="auto"/>
                <w:sz w:val="20"/>
              </w:rPr>
            </w:pPr>
            <w:r w:rsidRPr="00C801A6">
              <w:rPr>
                <w:rFonts w:cs="Times New Roman"/>
                <w:bCs/>
                <w:iCs/>
                <w:color w:val="auto"/>
                <w:sz w:val="20"/>
              </w:rPr>
              <w:t>X</w:t>
            </w:r>
          </w:p>
        </w:tc>
      </w:tr>
      <w:tr w:rsidR="00C801A6" w:rsidRPr="00C801A6" w14:paraId="73B146DF" w14:textId="77777777" w:rsidTr="00C716B3">
        <w:trPr>
          <w:trHeight w:val="589"/>
        </w:trPr>
        <w:tc>
          <w:tcPr>
            <w:tcW w:w="2581" w:type="dxa"/>
            <w:vMerge w:val="restart"/>
          </w:tcPr>
          <w:p w14:paraId="5850C2E9" w14:textId="77777777" w:rsidR="00575CDF" w:rsidRPr="00C801A6" w:rsidRDefault="00575CDF" w:rsidP="00347FDB">
            <w:pPr>
              <w:spacing w:before="30" w:after="30"/>
              <w:jc w:val="left"/>
              <w:rPr>
                <w:rFonts w:cs="Times New Roman"/>
                <w:color w:val="auto"/>
                <w:sz w:val="20"/>
              </w:rPr>
            </w:pPr>
            <w:r w:rsidRPr="00C801A6">
              <w:rPr>
                <w:rFonts w:cs="Times New Roman"/>
                <w:color w:val="auto"/>
                <w:sz w:val="20"/>
              </w:rPr>
              <w:t>Amélioration des voies d’accès : déblais (purge des bourbiers) et remblais / déblais</w:t>
            </w:r>
          </w:p>
        </w:tc>
        <w:tc>
          <w:tcPr>
            <w:tcW w:w="3690" w:type="dxa"/>
          </w:tcPr>
          <w:p w14:paraId="2D524BAC" w14:textId="77777777" w:rsidR="00575CDF" w:rsidRPr="00C801A6" w:rsidRDefault="00575CDF" w:rsidP="00347FDB">
            <w:pPr>
              <w:spacing w:before="30" w:after="30"/>
              <w:jc w:val="left"/>
              <w:rPr>
                <w:rFonts w:cs="Times New Roman"/>
                <w:color w:val="auto"/>
                <w:sz w:val="20"/>
              </w:rPr>
            </w:pPr>
            <w:r w:rsidRPr="00C801A6">
              <w:rPr>
                <w:rFonts w:cs="Times New Roman"/>
                <w:color w:val="auto"/>
                <w:sz w:val="20"/>
              </w:rPr>
              <w:t>Risques de modification de l’écoulement naturel des eaux</w:t>
            </w:r>
          </w:p>
        </w:tc>
        <w:tc>
          <w:tcPr>
            <w:tcW w:w="1018" w:type="dxa"/>
          </w:tcPr>
          <w:p w14:paraId="492DD5F5" w14:textId="77777777" w:rsidR="00575CDF" w:rsidRPr="00C801A6" w:rsidRDefault="00575CDF" w:rsidP="00347FDB">
            <w:pPr>
              <w:spacing w:before="30" w:after="30"/>
              <w:jc w:val="center"/>
              <w:rPr>
                <w:rFonts w:cs="Times New Roman"/>
                <w:b/>
                <w:bCs/>
                <w:i/>
                <w:iCs/>
                <w:color w:val="auto"/>
                <w:sz w:val="20"/>
              </w:rPr>
            </w:pPr>
            <w:r w:rsidRPr="00C801A6">
              <w:rPr>
                <w:rFonts w:cs="Times New Roman"/>
                <w:bCs/>
                <w:iCs/>
                <w:color w:val="auto"/>
                <w:sz w:val="20"/>
              </w:rPr>
              <w:t>X</w:t>
            </w:r>
          </w:p>
        </w:tc>
        <w:tc>
          <w:tcPr>
            <w:tcW w:w="1019" w:type="dxa"/>
          </w:tcPr>
          <w:p w14:paraId="7E75F4FD" w14:textId="77777777" w:rsidR="00575CDF" w:rsidRPr="00C801A6" w:rsidRDefault="00575CDF" w:rsidP="00347FDB">
            <w:pPr>
              <w:spacing w:before="30" w:after="30"/>
              <w:jc w:val="center"/>
              <w:rPr>
                <w:rFonts w:cs="Times New Roman"/>
                <w:b/>
                <w:bCs/>
                <w:i/>
                <w:iCs/>
                <w:color w:val="auto"/>
                <w:sz w:val="20"/>
              </w:rPr>
            </w:pPr>
            <w:r w:rsidRPr="00C801A6">
              <w:rPr>
                <w:rFonts w:cs="Times New Roman"/>
                <w:bCs/>
                <w:iCs/>
                <w:color w:val="auto"/>
                <w:sz w:val="20"/>
              </w:rPr>
              <w:t>X</w:t>
            </w:r>
          </w:p>
        </w:tc>
        <w:tc>
          <w:tcPr>
            <w:tcW w:w="1019" w:type="dxa"/>
          </w:tcPr>
          <w:p w14:paraId="0E4477B6" w14:textId="77777777" w:rsidR="00575CDF" w:rsidRPr="00C801A6" w:rsidRDefault="00575CDF" w:rsidP="00347FDB">
            <w:pPr>
              <w:spacing w:before="30" w:after="30"/>
              <w:jc w:val="center"/>
              <w:rPr>
                <w:rFonts w:cs="Times New Roman"/>
                <w:b/>
                <w:bCs/>
                <w:i/>
                <w:iCs/>
                <w:color w:val="auto"/>
                <w:sz w:val="20"/>
              </w:rPr>
            </w:pPr>
            <w:r w:rsidRPr="00C801A6">
              <w:rPr>
                <w:rFonts w:cs="Times New Roman"/>
                <w:bCs/>
                <w:iCs/>
                <w:color w:val="auto"/>
                <w:sz w:val="20"/>
              </w:rPr>
              <w:t>X</w:t>
            </w:r>
          </w:p>
        </w:tc>
      </w:tr>
      <w:tr w:rsidR="00C801A6" w:rsidRPr="00C801A6" w14:paraId="4629CFB8" w14:textId="77777777" w:rsidTr="00C716B3">
        <w:trPr>
          <w:trHeight w:val="288"/>
        </w:trPr>
        <w:tc>
          <w:tcPr>
            <w:tcW w:w="2581" w:type="dxa"/>
            <w:vMerge/>
          </w:tcPr>
          <w:p w14:paraId="72F8DD55" w14:textId="77777777" w:rsidR="00575CDF" w:rsidRPr="00C801A6" w:rsidRDefault="00575CDF" w:rsidP="00347FDB">
            <w:pPr>
              <w:spacing w:before="30" w:after="30"/>
              <w:jc w:val="left"/>
              <w:rPr>
                <w:rFonts w:cs="Times New Roman"/>
                <w:color w:val="auto"/>
                <w:sz w:val="20"/>
              </w:rPr>
            </w:pPr>
          </w:p>
        </w:tc>
        <w:tc>
          <w:tcPr>
            <w:tcW w:w="3690" w:type="dxa"/>
          </w:tcPr>
          <w:p w14:paraId="504FFDB0" w14:textId="77777777" w:rsidR="00575CDF" w:rsidRPr="00C801A6" w:rsidRDefault="00575CDF" w:rsidP="00347FDB">
            <w:pPr>
              <w:spacing w:before="30" w:after="30"/>
              <w:jc w:val="left"/>
              <w:rPr>
                <w:rFonts w:cs="Times New Roman"/>
                <w:color w:val="auto"/>
                <w:sz w:val="20"/>
              </w:rPr>
            </w:pPr>
            <w:r w:rsidRPr="00C801A6">
              <w:rPr>
                <w:rFonts w:cs="Times New Roman"/>
                <w:color w:val="auto"/>
                <w:sz w:val="20"/>
              </w:rPr>
              <w:t>Stabilité des talus</w:t>
            </w:r>
          </w:p>
        </w:tc>
        <w:tc>
          <w:tcPr>
            <w:tcW w:w="1018" w:type="dxa"/>
          </w:tcPr>
          <w:p w14:paraId="27C433DD" w14:textId="77777777" w:rsidR="00575CDF" w:rsidRPr="00C801A6" w:rsidRDefault="00575CDF" w:rsidP="00347FDB">
            <w:pPr>
              <w:spacing w:before="30" w:after="30"/>
              <w:jc w:val="center"/>
              <w:rPr>
                <w:rFonts w:cs="Times New Roman"/>
                <w:bCs/>
                <w:iCs/>
                <w:color w:val="auto"/>
                <w:sz w:val="20"/>
              </w:rPr>
            </w:pPr>
            <w:r w:rsidRPr="00C801A6">
              <w:rPr>
                <w:rFonts w:cs="Times New Roman"/>
                <w:bCs/>
                <w:iCs/>
                <w:color w:val="auto"/>
                <w:sz w:val="20"/>
              </w:rPr>
              <w:t>X</w:t>
            </w:r>
          </w:p>
        </w:tc>
        <w:tc>
          <w:tcPr>
            <w:tcW w:w="1019" w:type="dxa"/>
          </w:tcPr>
          <w:p w14:paraId="2D06607B" w14:textId="77777777" w:rsidR="00575CDF" w:rsidRPr="00C801A6" w:rsidRDefault="00575CDF" w:rsidP="00347FDB">
            <w:pPr>
              <w:spacing w:before="30" w:after="30"/>
              <w:jc w:val="center"/>
              <w:rPr>
                <w:rFonts w:cs="Times New Roman"/>
                <w:bCs/>
                <w:iCs/>
                <w:color w:val="auto"/>
                <w:sz w:val="20"/>
              </w:rPr>
            </w:pPr>
            <w:r w:rsidRPr="00C801A6">
              <w:rPr>
                <w:rFonts w:cs="Times New Roman"/>
                <w:bCs/>
                <w:iCs/>
                <w:color w:val="auto"/>
                <w:sz w:val="20"/>
              </w:rPr>
              <w:t>X</w:t>
            </w:r>
          </w:p>
        </w:tc>
        <w:tc>
          <w:tcPr>
            <w:tcW w:w="1019" w:type="dxa"/>
          </w:tcPr>
          <w:p w14:paraId="68B01530" w14:textId="77777777" w:rsidR="00575CDF" w:rsidRPr="00C801A6" w:rsidRDefault="00575CDF" w:rsidP="00347FDB">
            <w:pPr>
              <w:spacing w:before="30" w:after="30"/>
              <w:jc w:val="center"/>
              <w:rPr>
                <w:rFonts w:cs="Times New Roman"/>
                <w:bCs/>
                <w:iCs/>
                <w:color w:val="auto"/>
                <w:sz w:val="20"/>
              </w:rPr>
            </w:pPr>
            <w:r w:rsidRPr="00C801A6">
              <w:rPr>
                <w:rFonts w:cs="Times New Roman"/>
                <w:bCs/>
                <w:iCs/>
                <w:color w:val="auto"/>
                <w:sz w:val="20"/>
              </w:rPr>
              <w:t>X</w:t>
            </w:r>
          </w:p>
        </w:tc>
      </w:tr>
      <w:tr w:rsidR="00C801A6" w:rsidRPr="00C801A6" w14:paraId="6018943C" w14:textId="77777777" w:rsidTr="00C716B3">
        <w:trPr>
          <w:trHeight w:val="776"/>
        </w:trPr>
        <w:tc>
          <w:tcPr>
            <w:tcW w:w="2581" w:type="dxa"/>
            <w:vMerge w:val="restart"/>
          </w:tcPr>
          <w:p w14:paraId="4D12944B" w14:textId="77777777" w:rsidR="00575CDF" w:rsidRPr="00C801A6" w:rsidRDefault="00575CDF" w:rsidP="00347FDB">
            <w:pPr>
              <w:spacing w:before="30" w:after="30"/>
              <w:jc w:val="left"/>
              <w:rPr>
                <w:rFonts w:cs="Times New Roman"/>
                <w:color w:val="auto"/>
                <w:sz w:val="20"/>
              </w:rPr>
            </w:pPr>
            <w:r w:rsidRPr="00C801A6">
              <w:rPr>
                <w:rFonts w:cs="Times New Roman"/>
                <w:color w:val="auto"/>
                <w:sz w:val="20"/>
              </w:rPr>
              <w:t>Stockage de gazole</w:t>
            </w:r>
          </w:p>
        </w:tc>
        <w:tc>
          <w:tcPr>
            <w:tcW w:w="3690" w:type="dxa"/>
          </w:tcPr>
          <w:p w14:paraId="5CCFE1E7" w14:textId="77777777" w:rsidR="00575CDF" w:rsidRPr="00C801A6" w:rsidRDefault="00575CDF" w:rsidP="00347FDB">
            <w:pPr>
              <w:spacing w:before="30" w:after="30"/>
              <w:jc w:val="left"/>
              <w:rPr>
                <w:rFonts w:cs="Times New Roman"/>
                <w:color w:val="auto"/>
                <w:sz w:val="20"/>
              </w:rPr>
            </w:pPr>
            <w:r w:rsidRPr="00C801A6">
              <w:rPr>
                <w:rFonts w:cs="Times New Roman"/>
                <w:color w:val="auto"/>
                <w:sz w:val="20"/>
              </w:rPr>
              <w:t>Risques de fuites ou de déversements accidentels d’hydrocarbures et pollution subséquente</w:t>
            </w:r>
          </w:p>
        </w:tc>
        <w:tc>
          <w:tcPr>
            <w:tcW w:w="1018" w:type="dxa"/>
          </w:tcPr>
          <w:p w14:paraId="2E1A40E6" w14:textId="77777777" w:rsidR="00575CDF" w:rsidRPr="00C801A6" w:rsidRDefault="00575CDF" w:rsidP="00347FDB">
            <w:pPr>
              <w:spacing w:before="30" w:after="30"/>
              <w:jc w:val="center"/>
              <w:rPr>
                <w:rFonts w:cs="Times New Roman"/>
                <w:bCs/>
                <w:iCs/>
                <w:color w:val="auto"/>
                <w:sz w:val="20"/>
              </w:rPr>
            </w:pPr>
            <w:r w:rsidRPr="00C801A6">
              <w:rPr>
                <w:rFonts w:cs="Times New Roman"/>
                <w:bCs/>
                <w:iCs/>
                <w:color w:val="auto"/>
                <w:sz w:val="20"/>
              </w:rPr>
              <w:t>X</w:t>
            </w:r>
          </w:p>
        </w:tc>
        <w:tc>
          <w:tcPr>
            <w:tcW w:w="1019" w:type="dxa"/>
          </w:tcPr>
          <w:p w14:paraId="40387333" w14:textId="77777777" w:rsidR="00575CDF" w:rsidRPr="00C801A6" w:rsidRDefault="00575CDF" w:rsidP="00347FDB">
            <w:pPr>
              <w:spacing w:before="30" w:after="30"/>
              <w:jc w:val="center"/>
              <w:rPr>
                <w:rFonts w:cs="Times New Roman"/>
                <w:bCs/>
                <w:iCs/>
                <w:color w:val="auto"/>
                <w:sz w:val="20"/>
              </w:rPr>
            </w:pPr>
            <w:r w:rsidRPr="00C801A6">
              <w:rPr>
                <w:rFonts w:cs="Times New Roman"/>
                <w:bCs/>
                <w:iCs/>
                <w:color w:val="auto"/>
                <w:sz w:val="20"/>
              </w:rPr>
              <w:t>X</w:t>
            </w:r>
          </w:p>
        </w:tc>
        <w:tc>
          <w:tcPr>
            <w:tcW w:w="1019" w:type="dxa"/>
          </w:tcPr>
          <w:p w14:paraId="50A8357B" w14:textId="77777777" w:rsidR="00575CDF" w:rsidRPr="00C801A6" w:rsidRDefault="00575CDF" w:rsidP="00347FDB">
            <w:pPr>
              <w:spacing w:before="30" w:after="30"/>
              <w:jc w:val="center"/>
              <w:rPr>
                <w:rFonts w:cs="Times New Roman"/>
                <w:bCs/>
                <w:iCs/>
                <w:color w:val="auto"/>
                <w:sz w:val="20"/>
              </w:rPr>
            </w:pPr>
            <w:r w:rsidRPr="00C801A6">
              <w:rPr>
                <w:rFonts w:cs="Times New Roman"/>
                <w:bCs/>
                <w:iCs/>
                <w:color w:val="auto"/>
                <w:sz w:val="20"/>
              </w:rPr>
              <w:t>X</w:t>
            </w:r>
          </w:p>
        </w:tc>
      </w:tr>
      <w:tr w:rsidR="00C801A6" w:rsidRPr="00C801A6" w14:paraId="792AAC6A" w14:textId="77777777" w:rsidTr="00C716B3">
        <w:trPr>
          <w:trHeight w:val="376"/>
        </w:trPr>
        <w:tc>
          <w:tcPr>
            <w:tcW w:w="2581" w:type="dxa"/>
            <w:vMerge/>
          </w:tcPr>
          <w:p w14:paraId="29FBB8DC" w14:textId="77777777" w:rsidR="00575CDF" w:rsidRPr="00C801A6" w:rsidRDefault="00575CDF" w:rsidP="00347FDB">
            <w:pPr>
              <w:spacing w:before="30" w:after="30"/>
              <w:jc w:val="left"/>
              <w:rPr>
                <w:rFonts w:cs="Times New Roman"/>
                <w:color w:val="auto"/>
                <w:sz w:val="20"/>
              </w:rPr>
            </w:pPr>
          </w:p>
        </w:tc>
        <w:tc>
          <w:tcPr>
            <w:tcW w:w="3690" w:type="dxa"/>
          </w:tcPr>
          <w:p w14:paraId="38EF9B73" w14:textId="77777777" w:rsidR="00575CDF" w:rsidRPr="00C801A6" w:rsidRDefault="00575CDF" w:rsidP="00347FDB">
            <w:pPr>
              <w:spacing w:before="30" w:after="30"/>
              <w:jc w:val="left"/>
              <w:rPr>
                <w:rFonts w:cs="Times New Roman"/>
                <w:color w:val="auto"/>
                <w:sz w:val="20"/>
              </w:rPr>
            </w:pPr>
            <w:r w:rsidRPr="00C801A6">
              <w:rPr>
                <w:rFonts w:cs="Times New Roman"/>
                <w:color w:val="auto"/>
                <w:sz w:val="20"/>
              </w:rPr>
              <w:t>Risques d’incendie</w:t>
            </w:r>
          </w:p>
        </w:tc>
        <w:tc>
          <w:tcPr>
            <w:tcW w:w="1018" w:type="dxa"/>
          </w:tcPr>
          <w:p w14:paraId="5B2B6836" w14:textId="77777777" w:rsidR="00575CDF" w:rsidRPr="00C801A6" w:rsidRDefault="00575CDF" w:rsidP="00347FDB">
            <w:pPr>
              <w:spacing w:before="30" w:after="30"/>
              <w:jc w:val="center"/>
              <w:rPr>
                <w:rFonts w:cs="Times New Roman"/>
                <w:bCs/>
                <w:iCs/>
                <w:color w:val="auto"/>
                <w:sz w:val="20"/>
              </w:rPr>
            </w:pPr>
            <w:r w:rsidRPr="00C801A6">
              <w:rPr>
                <w:rFonts w:cs="Times New Roman"/>
                <w:bCs/>
                <w:iCs/>
                <w:color w:val="auto"/>
                <w:sz w:val="20"/>
              </w:rPr>
              <w:t>X</w:t>
            </w:r>
          </w:p>
        </w:tc>
        <w:tc>
          <w:tcPr>
            <w:tcW w:w="1019" w:type="dxa"/>
          </w:tcPr>
          <w:p w14:paraId="2B49CCDD" w14:textId="77777777" w:rsidR="00575CDF" w:rsidRPr="00C801A6" w:rsidRDefault="00575CDF" w:rsidP="00347FDB">
            <w:pPr>
              <w:spacing w:before="30" w:after="30"/>
              <w:jc w:val="center"/>
              <w:rPr>
                <w:rFonts w:cs="Times New Roman"/>
                <w:bCs/>
                <w:iCs/>
                <w:color w:val="auto"/>
                <w:sz w:val="20"/>
              </w:rPr>
            </w:pPr>
            <w:r w:rsidRPr="00C801A6">
              <w:rPr>
                <w:rFonts w:cs="Times New Roman"/>
                <w:bCs/>
                <w:iCs/>
                <w:color w:val="auto"/>
                <w:sz w:val="20"/>
              </w:rPr>
              <w:t>X</w:t>
            </w:r>
          </w:p>
        </w:tc>
        <w:tc>
          <w:tcPr>
            <w:tcW w:w="1019" w:type="dxa"/>
          </w:tcPr>
          <w:p w14:paraId="49450DAE" w14:textId="77777777" w:rsidR="00575CDF" w:rsidRPr="00C801A6" w:rsidRDefault="00575CDF" w:rsidP="00347FDB">
            <w:pPr>
              <w:spacing w:before="30" w:after="30"/>
              <w:jc w:val="center"/>
              <w:rPr>
                <w:rFonts w:cs="Times New Roman"/>
                <w:bCs/>
                <w:iCs/>
                <w:color w:val="auto"/>
                <w:sz w:val="20"/>
              </w:rPr>
            </w:pPr>
            <w:r w:rsidRPr="00C801A6">
              <w:rPr>
                <w:rFonts w:cs="Times New Roman"/>
                <w:bCs/>
                <w:iCs/>
                <w:color w:val="auto"/>
                <w:sz w:val="20"/>
              </w:rPr>
              <w:t>X</w:t>
            </w:r>
          </w:p>
        </w:tc>
      </w:tr>
      <w:tr w:rsidR="00C801A6" w:rsidRPr="00C801A6" w14:paraId="3079C438" w14:textId="77777777" w:rsidTr="00C716B3">
        <w:tc>
          <w:tcPr>
            <w:tcW w:w="2581" w:type="dxa"/>
          </w:tcPr>
          <w:p w14:paraId="75256766" w14:textId="77777777" w:rsidR="00575CDF" w:rsidRPr="00C801A6" w:rsidRDefault="00575CDF" w:rsidP="00347FDB">
            <w:pPr>
              <w:spacing w:before="30" w:after="30"/>
              <w:jc w:val="left"/>
              <w:rPr>
                <w:rFonts w:cs="Times New Roman"/>
                <w:color w:val="auto"/>
                <w:sz w:val="20"/>
              </w:rPr>
            </w:pPr>
            <w:r w:rsidRPr="00C801A6">
              <w:rPr>
                <w:rFonts w:cs="Times New Roman"/>
                <w:color w:val="auto"/>
                <w:sz w:val="20"/>
              </w:rPr>
              <w:t>Transport et circulation</w:t>
            </w:r>
          </w:p>
        </w:tc>
        <w:tc>
          <w:tcPr>
            <w:tcW w:w="3690" w:type="dxa"/>
          </w:tcPr>
          <w:p w14:paraId="36FCAEDD" w14:textId="77777777" w:rsidR="00575CDF" w:rsidRPr="00C801A6" w:rsidRDefault="00575CDF" w:rsidP="00347FDB">
            <w:pPr>
              <w:spacing w:before="30" w:after="30"/>
              <w:jc w:val="left"/>
              <w:rPr>
                <w:rFonts w:cs="Times New Roman"/>
                <w:color w:val="auto"/>
                <w:sz w:val="20"/>
              </w:rPr>
            </w:pPr>
            <w:r w:rsidRPr="00C801A6">
              <w:rPr>
                <w:rFonts w:cs="Times New Roman"/>
                <w:color w:val="auto"/>
                <w:sz w:val="20"/>
              </w:rPr>
              <w:t>Risques d’accidents</w:t>
            </w:r>
          </w:p>
        </w:tc>
        <w:tc>
          <w:tcPr>
            <w:tcW w:w="1018" w:type="dxa"/>
          </w:tcPr>
          <w:p w14:paraId="16CD230A" w14:textId="77777777" w:rsidR="00575CDF" w:rsidRPr="00C801A6" w:rsidRDefault="00575CDF" w:rsidP="00347FDB">
            <w:pPr>
              <w:spacing w:before="30" w:after="30"/>
              <w:jc w:val="center"/>
              <w:rPr>
                <w:rFonts w:cs="Times New Roman"/>
                <w:bCs/>
                <w:iCs/>
                <w:color w:val="auto"/>
                <w:sz w:val="20"/>
              </w:rPr>
            </w:pPr>
            <w:r w:rsidRPr="00C801A6">
              <w:rPr>
                <w:rFonts w:cs="Times New Roman"/>
                <w:bCs/>
                <w:iCs/>
                <w:color w:val="auto"/>
                <w:sz w:val="20"/>
              </w:rPr>
              <w:t>X</w:t>
            </w:r>
          </w:p>
        </w:tc>
        <w:tc>
          <w:tcPr>
            <w:tcW w:w="1019" w:type="dxa"/>
          </w:tcPr>
          <w:p w14:paraId="56C5E670" w14:textId="77777777" w:rsidR="00575CDF" w:rsidRPr="00C801A6" w:rsidRDefault="00575CDF" w:rsidP="00347FDB">
            <w:pPr>
              <w:spacing w:before="30" w:after="30"/>
              <w:jc w:val="center"/>
              <w:rPr>
                <w:rFonts w:cs="Times New Roman"/>
                <w:bCs/>
                <w:iCs/>
                <w:color w:val="auto"/>
                <w:sz w:val="20"/>
              </w:rPr>
            </w:pPr>
            <w:r w:rsidRPr="00C801A6">
              <w:rPr>
                <w:rFonts w:cs="Times New Roman"/>
                <w:bCs/>
                <w:iCs/>
                <w:color w:val="auto"/>
                <w:sz w:val="20"/>
              </w:rPr>
              <w:t>X</w:t>
            </w:r>
          </w:p>
        </w:tc>
        <w:tc>
          <w:tcPr>
            <w:tcW w:w="1019" w:type="dxa"/>
          </w:tcPr>
          <w:p w14:paraId="01262C2F" w14:textId="77777777" w:rsidR="00575CDF" w:rsidRPr="00C801A6" w:rsidRDefault="00575CDF" w:rsidP="00347FDB">
            <w:pPr>
              <w:spacing w:before="30" w:after="30"/>
              <w:jc w:val="center"/>
              <w:rPr>
                <w:rFonts w:cs="Times New Roman"/>
                <w:bCs/>
                <w:iCs/>
                <w:color w:val="auto"/>
                <w:sz w:val="20"/>
              </w:rPr>
            </w:pPr>
            <w:r w:rsidRPr="00C801A6">
              <w:rPr>
                <w:rFonts w:cs="Times New Roman"/>
                <w:bCs/>
                <w:iCs/>
                <w:color w:val="auto"/>
                <w:sz w:val="20"/>
              </w:rPr>
              <w:t>X</w:t>
            </w:r>
          </w:p>
        </w:tc>
      </w:tr>
      <w:tr w:rsidR="00C801A6" w:rsidRPr="00C801A6" w14:paraId="45D085FA" w14:textId="77777777" w:rsidTr="00C716B3">
        <w:trPr>
          <w:trHeight w:val="379"/>
        </w:trPr>
        <w:tc>
          <w:tcPr>
            <w:tcW w:w="9327" w:type="dxa"/>
            <w:gridSpan w:val="5"/>
            <w:vAlign w:val="center"/>
          </w:tcPr>
          <w:p w14:paraId="4A695436" w14:textId="77777777" w:rsidR="00575CDF" w:rsidRPr="00C801A6" w:rsidRDefault="00575CDF" w:rsidP="00347FDB">
            <w:pPr>
              <w:spacing w:before="30" w:after="30"/>
              <w:jc w:val="left"/>
              <w:rPr>
                <w:rFonts w:cs="Times New Roman"/>
                <w:b/>
                <w:bCs/>
                <w:color w:val="auto"/>
                <w:sz w:val="20"/>
              </w:rPr>
            </w:pPr>
            <w:r w:rsidRPr="00C801A6">
              <w:rPr>
                <w:rFonts w:cs="Times New Roman"/>
                <w:b/>
                <w:bCs/>
                <w:color w:val="auto"/>
                <w:sz w:val="20"/>
              </w:rPr>
              <w:t>Phase d’exploitation</w:t>
            </w:r>
          </w:p>
        </w:tc>
      </w:tr>
      <w:tr w:rsidR="00C801A6" w:rsidRPr="00C801A6" w14:paraId="6F25AB5E" w14:textId="77777777" w:rsidTr="00C716B3">
        <w:trPr>
          <w:trHeight w:val="151"/>
        </w:trPr>
        <w:tc>
          <w:tcPr>
            <w:tcW w:w="2581" w:type="dxa"/>
            <w:vMerge w:val="restart"/>
            <w:vAlign w:val="center"/>
          </w:tcPr>
          <w:p w14:paraId="6BB0AE9F" w14:textId="77777777" w:rsidR="00575CDF" w:rsidRPr="00C801A6" w:rsidRDefault="00575CDF" w:rsidP="00347FDB">
            <w:pPr>
              <w:spacing w:before="40" w:after="40"/>
              <w:jc w:val="left"/>
              <w:rPr>
                <w:rFonts w:cs="Times New Roman"/>
                <w:color w:val="auto"/>
                <w:sz w:val="20"/>
              </w:rPr>
            </w:pPr>
            <w:r w:rsidRPr="00C801A6">
              <w:rPr>
                <w:rFonts w:cs="Times New Roman"/>
                <w:color w:val="auto"/>
                <w:sz w:val="20"/>
              </w:rPr>
              <w:t>Utilisation d’explosifs</w:t>
            </w:r>
          </w:p>
        </w:tc>
        <w:tc>
          <w:tcPr>
            <w:tcW w:w="3690" w:type="dxa"/>
          </w:tcPr>
          <w:p w14:paraId="7427EBB1" w14:textId="77777777" w:rsidR="00575CDF" w:rsidRPr="00C801A6" w:rsidRDefault="00575CDF" w:rsidP="00347FDB">
            <w:pPr>
              <w:spacing w:before="30" w:after="30"/>
              <w:jc w:val="left"/>
              <w:rPr>
                <w:rFonts w:cs="Times New Roman"/>
                <w:color w:val="auto"/>
                <w:sz w:val="20"/>
              </w:rPr>
            </w:pPr>
            <w:r w:rsidRPr="00C801A6">
              <w:rPr>
                <w:rFonts w:cs="Times New Roman"/>
                <w:color w:val="auto"/>
                <w:sz w:val="20"/>
              </w:rPr>
              <w:t>Risques de fuites d’explosifs</w:t>
            </w:r>
          </w:p>
        </w:tc>
        <w:tc>
          <w:tcPr>
            <w:tcW w:w="1018" w:type="dxa"/>
          </w:tcPr>
          <w:p w14:paraId="3A89CEBA" w14:textId="77777777" w:rsidR="00575CDF" w:rsidRPr="00C801A6" w:rsidRDefault="00575CDF" w:rsidP="00347FDB">
            <w:pPr>
              <w:spacing w:before="30" w:after="30"/>
              <w:jc w:val="center"/>
              <w:rPr>
                <w:rFonts w:cs="Times New Roman"/>
                <w:color w:val="auto"/>
                <w:sz w:val="20"/>
              </w:rPr>
            </w:pPr>
            <w:r w:rsidRPr="00C801A6">
              <w:rPr>
                <w:rFonts w:cs="Times New Roman"/>
                <w:color w:val="auto"/>
                <w:sz w:val="20"/>
              </w:rPr>
              <w:t>X</w:t>
            </w:r>
          </w:p>
        </w:tc>
        <w:tc>
          <w:tcPr>
            <w:tcW w:w="1019" w:type="dxa"/>
          </w:tcPr>
          <w:p w14:paraId="53CC7EED" w14:textId="77777777" w:rsidR="00575CDF" w:rsidRPr="00C801A6" w:rsidRDefault="00575CDF" w:rsidP="00347FDB">
            <w:pPr>
              <w:spacing w:before="30" w:after="30"/>
              <w:jc w:val="center"/>
              <w:rPr>
                <w:rFonts w:cs="Times New Roman"/>
                <w:color w:val="auto"/>
                <w:sz w:val="20"/>
              </w:rPr>
            </w:pPr>
            <w:r w:rsidRPr="00C801A6">
              <w:rPr>
                <w:rFonts w:cs="Times New Roman"/>
                <w:color w:val="auto"/>
                <w:sz w:val="20"/>
              </w:rPr>
              <w:t>NA</w:t>
            </w:r>
          </w:p>
        </w:tc>
        <w:tc>
          <w:tcPr>
            <w:tcW w:w="1019" w:type="dxa"/>
          </w:tcPr>
          <w:p w14:paraId="672E1D44" w14:textId="77777777" w:rsidR="00575CDF" w:rsidRPr="00C801A6" w:rsidRDefault="00575CDF" w:rsidP="00347FDB">
            <w:pPr>
              <w:spacing w:before="30" w:after="30"/>
              <w:jc w:val="center"/>
              <w:rPr>
                <w:rFonts w:cs="Times New Roman"/>
                <w:color w:val="auto"/>
                <w:sz w:val="20"/>
              </w:rPr>
            </w:pPr>
            <w:r w:rsidRPr="00C801A6">
              <w:rPr>
                <w:rFonts w:cs="Times New Roman"/>
                <w:color w:val="auto"/>
                <w:sz w:val="20"/>
              </w:rPr>
              <w:t>NA</w:t>
            </w:r>
          </w:p>
        </w:tc>
      </w:tr>
      <w:tr w:rsidR="00C801A6" w:rsidRPr="00C801A6" w14:paraId="5D5D11F0" w14:textId="77777777" w:rsidTr="00C716B3">
        <w:trPr>
          <w:trHeight w:val="200"/>
        </w:trPr>
        <w:tc>
          <w:tcPr>
            <w:tcW w:w="2581" w:type="dxa"/>
            <w:vMerge/>
            <w:vAlign w:val="center"/>
          </w:tcPr>
          <w:p w14:paraId="132C240C" w14:textId="77777777" w:rsidR="00575CDF" w:rsidRPr="00C801A6" w:rsidRDefault="00575CDF" w:rsidP="00347FDB">
            <w:pPr>
              <w:spacing w:before="40" w:after="40"/>
              <w:jc w:val="left"/>
              <w:rPr>
                <w:rFonts w:cs="Times New Roman"/>
                <w:color w:val="auto"/>
                <w:sz w:val="20"/>
              </w:rPr>
            </w:pPr>
          </w:p>
        </w:tc>
        <w:tc>
          <w:tcPr>
            <w:tcW w:w="3690" w:type="dxa"/>
          </w:tcPr>
          <w:p w14:paraId="1F6F8D3E" w14:textId="77777777" w:rsidR="00575CDF" w:rsidRPr="00C801A6" w:rsidRDefault="00575CDF" w:rsidP="00347FDB">
            <w:pPr>
              <w:spacing w:before="30" w:after="30"/>
              <w:jc w:val="left"/>
              <w:rPr>
                <w:rFonts w:cs="Times New Roman"/>
                <w:color w:val="auto"/>
                <w:sz w:val="20"/>
              </w:rPr>
            </w:pPr>
            <w:r w:rsidRPr="00C801A6">
              <w:rPr>
                <w:rFonts w:cs="Times New Roman"/>
                <w:color w:val="auto"/>
                <w:sz w:val="20"/>
              </w:rPr>
              <w:t>Risques d’accidents liés aux tirs à l’explosif</w:t>
            </w:r>
          </w:p>
        </w:tc>
        <w:tc>
          <w:tcPr>
            <w:tcW w:w="1018" w:type="dxa"/>
          </w:tcPr>
          <w:p w14:paraId="158A55CC" w14:textId="77777777" w:rsidR="00575CDF" w:rsidRPr="00C801A6" w:rsidRDefault="00575CDF" w:rsidP="00347FDB">
            <w:pPr>
              <w:spacing w:before="30" w:after="30"/>
              <w:jc w:val="center"/>
              <w:rPr>
                <w:rFonts w:cs="Times New Roman"/>
                <w:color w:val="auto"/>
                <w:sz w:val="20"/>
              </w:rPr>
            </w:pPr>
            <w:r w:rsidRPr="00C801A6">
              <w:rPr>
                <w:rFonts w:cs="Times New Roman"/>
                <w:color w:val="auto"/>
                <w:sz w:val="20"/>
              </w:rPr>
              <w:t>X</w:t>
            </w:r>
          </w:p>
        </w:tc>
        <w:tc>
          <w:tcPr>
            <w:tcW w:w="1019" w:type="dxa"/>
          </w:tcPr>
          <w:p w14:paraId="770A3784" w14:textId="77777777" w:rsidR="00575CDF" w:rsidRPr="00C801A6" w:rsidRDefault="00575CDF" w:rsidP="00347FDB">
            <w:pPr>
              <w:spacing w:before="30" w:after="30"/>
              <w:jc w:val="center"/>
              <w:rPr>
                <w:rFonts w:cs="Times New Roman"/>
                <w:color w:val="auto"/>
                <w:sz w:val="20"/>
              </w:rPr>
            </w:pPr>
            <w:r w:rsidRPr="00C801A6">
              <w:rPr>
                <w:rFonts w:cs="Times New Roman"/>
                <w:color w:val="auto"/>
                <w:sz w:val="20"/>
              </w:rPr>
              <w:t>NA</w:t>
            </w:r>
          </w:p>
        </w:tc>
        <w:tc>
          <w:tcPr>
            <w:tcW w:w="1019" w:type="dxa"/>
          </w:tcPr>
          <w:p w14:paraId="5E00BCEF" w14:textId="77777777" w:rsidR="00575CDF" w:rsidRPr="00C801A6" w:rsidRDefault="00575CDF" w:rsidP="00347FDB">
            <w:pPr>
              <w:spacing w:before="30" w:after="30"/>
              <w:jc w:val="center"/>
              <w:rPr>
                <w:rFonts w:cs="Times New Roman"/>
                <w:color w:val="auto"/>
                <w:sz w:val="20"/>
              </w:rPr>
            </w:pPr>
            <w:r w:rsidRPr="00C801A6">
              <w:rPr>
                <w:rFonts w:cs="Times New Roman"/>
                <w:color w:val="auto"/>
                <w:sz w:val="20"/>
              </w:rPr>
              <w:t>NA</w:t>
            </w:r>
          </w:p>
        </w:tc>
      </w:tr>
      <w:tr w:rsidR="00C801A6" w:rsidRPr="00C801A6" w14:paraId="72247711" w14:textId="77777777" w:rsidTr="00C716B3">
        <w:tc>
          <w:tcPr>
            <w:tcW w:w="2581" w:type="dxa"/>
          </w:tcPr>
          <w:p w14:paraId="5685FA5B" w14:textId="77777777" w:rsidR="00575CDF" w:rsidRPr="00C801A6" w:rsidRDefault="00575CDF" w:rsidP="00347FDB">
            <w:pPr>
              <w:spacing w:before="30" w:after="30"/>
              <w:jc w:val="left"/>
              <w:rPr>
                <w:rFonts w:cs="Times New Roman"/>
                <w:color w:val="auto"/>
                <w:sz w:val="20"/>
              </w:rPr>
            </w:pPr>
            <w:r w:rsidRPr="00C801A6">
              <w:rPr>
                <w:rFonts w:cs="Times New Roman"/>
                <w:color w:val="auto"/>
                <w:sz w:val="20"/>
              </w:rPr>
              <w:t>Abattage et concassage</w:t>
            </w:r>
          </w:p>
        </w:tc>
        <w:tc>
          <w:tcPr>
            <w:tcW w:w="3690" w:type="dxa"/>
          </w:tcPr>
          <w:p w14:paraId="6CE24A8D" w14:textId="77777777" w:rsidR="00575CDF" w:rsidRPr="00C801A6" w:rsidRDefault="00575CDF" w:rsidP="00347FDB">
            <w:pPr>
              <w:spacing w:before="30" w:after="30"/>
              <w:jc w:val="left"/>
              <w:rPr>
                <w:rFonts w:cs="Times New Roman"/>
                <w:color w:val="auto"/>
                <w:sz w:val="20"/>
              </w:rPr>
            </w:pPr>
            <w:r w:rsidRPr="00C801A6">
              <w:rPr>
                <w:rFonts w:cs="Times New Roman"/>
                <w:color w:val="auto"/>
                <w:sz w:val="20"/>
              </w:rPr>
              <w:t>Nuisances (bruits et poussières)</w:t>
            </w:r>
          </w:p>
        </w:tc>
        <w:tc>
          <w:tcPr>
            <w:tcW w:w="1018" w:type="dxa"/>
          </w:tcPr>
          <w:p w14:paraId="4052E6BA" w14:textId="77777777" w:rsidR="00575CDF" w:rsidRPr="00C801A6" w:rsidRDefault="00575CDF" w:rsidP="00347FDB">
            <w:pPr>
              <w:spacing w:before="30" w:after="30"/>
              <w:jc w:val="center"/>
              <w:rPr>
                <w:rFonts w:cs="Times New Roman"/>
                <w:color w:val="auto"/>
                <w:sz w:val="20"/>
              </w:rPr>
            </w:pPr>
            <w:r w:rsidRPr="00C801A6">
              <w:rPr>
                <w:rFonts w:cs="Times New Roman"/>
                <w:color w:val="auto"/>
                <w:sz w:val="20"/>
              </w:rPr>
              <w:t>X</w:t>
            </w:r>
          </w:p>
        </w:tc>
        <w:tc>
          <w:tcPr>
            <w:tcW w:w="1019" w:type="dxa"/>
          </w:tcPr>
          <w:p w14:paraId="476A4FCD" w14:textId="77777777" w:rsidR="00575CDF" w:rsidRPr="00C801A6" w:rsidRDefault="00575CDF" w:rsidP="00347FDB">
            <w:pPr>
              <w:spacing w:before="30" w:after="30"/>
              <w:jc w:val="center"/>
              <w:rPr>
                <w:rFonts w:cs="Times New Roman"/>
                <w:color w:val="auto"/>
                <w:sz w:val="20"/>
              </w:rPr>
            </w:pPr>
            <w:r w:rsidRPr="00C801A6">
              <w:rPr>
                <w:rFonts w:cs="Times New Roman"/>
                <w:color w:val="auto"/>
                <w:sz w:val="20"/>
              </w:rPr>
              <w:t>NA</w:t>
            </w:r>
          </w:p>
        </w:tc>
        <w:tc>
          <w:tcPr>
            <w:tcW w:w="1019" w:type="dxa"/>
          </w:tcPr>
          <w:p w14:paraId="54844A55" w14:textId="77777777" w:rsidR="00575CDF" w:rsidRPr="00C801A6" w:rsidRDefault="00575CDF" w:rsidP="00347FDB">
            <w:pPr>
              <w:spacing w:before="30" w:after="30"/>
              <w:jc w:val="center"/>
              <w:rPr>
                <w:rFonts w:cs="Times New Roman"/>
                <w:color w:val="auto"/>
                <w:sz w:val="20"/>
              </w:rPr>
            </w:pPr>
            <w:r w:rsidRPr="00C801A6">
              <w:rPr>
                <w:rFonts w:cs="Times New Roman"/>
                <w:color w:val="auto"/>
                <w:sz w:val="20"/>
              </w:rPr>
              <w:t>NA</w:t>
            </w:r>
          </w:p>
        </w:tc>
      </w:tr>
      <w:tr w:rsidR="00C801A6" w:rsidRPr="00C801A6" w14:paraId="3A941F05" w14:textId="77777777" w:rsidTr="00C716B3">
        <w:trPr>
          <w:trHeight w:val="338"/>
        </w:trPr>
        <w:tc>
          <w:tcPr>
            <w:tcW w:w="2581" w:type="dxa"/>
            <w:vMerge w:val="restart"/>
          </w:tcPr>
          <w:p w14:paraId="7BF8BF5C" w14:textId="77777777" w:rsidR="00575CDF" w:rsidRPr="00C801A6" w:rsidRDefault="00575CDF" w:rsidP="00347FDB">
            <w:pPr>
              <w:spacing w:before="30" w:after="30"/>
              <w:jc w:val="left"/>
              <w:rPr>
                <w:rFonts w:cs="Times New Roman"/>
                <w:color w:val="auto"/>
                <w:sz w:val="20"/>
              </w:rPr>
            </w:pPr>
            <w:r w:rsidRPr="00C801A6">
              <w:rPr>
                <w:rFonts w:cs="Times New Roman"/>
                <w:color w:val="auto"/>
                <w:sz w:val="20"/>
              </w:rPr>
              <w:t xml:space="preserve">Déchets </w:t>
            </w:r>
          </w:p>
        </w:tc>
        <w:tc>
          <w:tcPr>
            <w:tcW w:w="3690" w:type="dxa"/>
          </w:tcPr>
          <w:p w14:paraId="10D213C0" w14:textId="77777777" w:rsidR="00575CDF" w:rsidRPr="00C801A6" w:rsidRDefault="00575CDF" w:rsidP="00347FDB">
            <w:pPr>
              <w:spacing w:before="30" w:after="30"/>
              <w:jc w:val="left"/>
              <w:rPr>
                <w:rFonts w:cs="Times New Roman"/>
                <w:color w:val="auto"/>
                <w:sz w:val="20"/>
              </w:rPr>
            </w:pPr>
            <w:r w:rsidRPr="00C801A6">
              <w:rPr>
                <w:rFonts w:cs="Times New Roman"/>
                <w:color w:val="auto"/>
                <w:sz w:val="20"/>
              </w:rPr>
              <w:t>Altération du paysage visuel</w:t>
            </w:r>
          </w:p>
        </w:tc>
        <w:tc>
          <w:tcPr>
            <w:tcW w:w="1018" w:type="dxa"/>
          </w:tcPr>
          <w:p w14:paraId="664C72CE" w14:textId="77777777" w:rsidR="00575CDF" w:rsidRPr="00C801A6" w:rsidRDefault="00575CDF" w:rsidP="00347FDB">
            <w:pPr>
              <w:spacing w:before="30" w:after="30"/>
              <w:jc w:val="center"/>
              <w:rPr>
                <w:rFonts w:cs="Times New Roman"/>
                <w:color w:val="auto"/>
                <w:sz w:val="20"/>
              </w:rPr>
            </w:pPr>
            <w:r w:rsidRPr="00C801A6">
              <w:rPr>
                <w:rFonts w:cs="Times New Roman"/>
                <w:color w:val="auto"/>
                <w:sz w:val="20"/>
              </w:rPr>
              <w:t>X</w:t>
            </w:r>
          </w:p>
        </w:tc>
        <w:tc>
          <w:tcPr>
            <w:tcW w:w="1019" w:type="dxa"/>
          </w:tcPr>
          <w:p w14:paraId="1DDD42AC" w14:textId="77777777" w:rsidR="00575CDF" w:rsidRPr="00C801A6" w:rsidRDefault="00575CDF" w:rsidP="00347FDB">
            <w:pPr>
              <w:spacing w:before="30" w:after="30"/>
              <w:jc w:val="center"/>
              <w:rPr>
                <w:rFonts w:cs="Times New Roman"/>
                <w:color w:val="auto"/>
                <w:sz w:val="20"/>
              </w:rPr>
            </w:pPr>
            <w:r w:rsidRPr="00C801A6">
              <w:rPr>
                <w:rFonts w:cs="Times New Roman"/>
                <w:color w:val="auto"/>
                <w:sz w:val="20"/>
              </w:rPr>
              <w:t>X</w:t>
            </w:r>
          </w:p>
        </w:tc>
        <w:tc>
          <w:tcPr>
            <w:tcW w:w="1019" w:type="dxa"/>
          </w:tcPr>
          <w:p w14:paraId="4C53814C" w14:textId="77777777" w:rsidR="00575CDF" w:rsidRPr="00C801A6" w:rsidRDefault="00575CDF" w:rsidP="00347FDB">
            <w:pPr>
              <w:spacing w:before="30" w:after="30"/>
              <w:jc w:val="center"/>
              <w:rPr>
                <w:rFonts w:cs="Times New Roman"/>
                <w:color w:val="auto"/>
                <w:sz w:val="20"/>
              </w:rPr>
            </w:pPr>
            <w:r w:rsidRPr="00C801A6">
              <w:rPr>
                <w:rFonts w:cs="Times New Roman"/>
                <w:color w:val="auto"/>
                <w:sz w:val="20"/>
              </w:rPr>
              <w:t>X</w:t>
            </w:r>
          </w:p>
        </w:tc>
      </w:tr>
      <w:tr w:rsidR="00C801A6" w:rsidRPr="00C801A6" w14:paraId="5DBE40C9" w14:textId="77777777" w:rsidTr="00C716B3">
        <w:trPr>
          <w:trHeight w:val="288"/>
        </w:trPr>
        <w:tc>
          <w:tcPr>
            <w:tcW w:w="2581" w:type="dxa"/>
            <w:vMerge/>
          </w:tcPr>
          <w:p w14:paraId="5F76D78F" w14:textId="77777777" w:rsidR="00575CDF" w:rsidRPr="00C801A6" w:rsidRDefault="00575CDF" w:rsidP="00347FDB">
            <w:pPr>
              <w:spacing w:before="30" w:after="30"/>
              <w:jc w:val="left"/>
              <w:rPr>
                <w:rFonts w:cs="Times New Roman"/>
                <w:color w:val="auto"/>
                <w:sz w:val="20"/>
              </w:rPr>
            </w:pPr>
          </w:p>
        </w:tc>
        <w:tc>
          <w:tcPr>
            <w:tcW w:w="3690" w:type="dxa"/>
          </w:tcPr>
          <w:p w14:paraId="6D38737F" w14:textId="77777777" w:rsidR="00575CDF" w:rsidRPr="00C801A6" w:rsidRDefault="00575CDF" w:rsidP="00347FDB">
            <w:pPr>
              <w:spacing w:before="30" w:after="30"/>
              <w:jc w:val="left"/>
              <w:rPr>
                <w:rFonts w:cs="Times New Roman"/>
                <w:color w:val="auto"/>
                <w:sz w:val="20"/>
              </w:rPr>
            </w:pPr>
            <w:r w:rsidRPr="00C801A6">
              <w:rPr>
                <w:rFonts w:cs="Times New Roman"/>
                <w:color w:val="auto"/>
                <w:sz w:val="20"/>
              </w:rPr>
              <w:t>Risques de pollution des eaux</w:t>
            </w:r>
          </w:p>
        </w:tc>
        <w:tc>
          <w:tcPr>
            <w:tcW w:w="1018" w:type="dxa"/>
          </w:tcPr>
          <w:p w14:paraId="29B3B437" w14:textId="77777777" w:rsidR="00575CDF" w:rsidRPr="00C801A6" w:rsidRDefault="00575CDF" w:rsidP="00347FDB">
            <w:pPr>
              <w:spacing w:before="30" w:after="30"/>
              <w:jc w:val="center"/>
              <w:rPr>
                <w:rFonts w:cs="Times New Roman"/>
                <w:color w:val="auto"/>
                <w:sz w:val="20"/>
              </w:rPr>
            </w:pPr>
            <w:r w:rsidRPr="00C801A6">
              <w:rPr>
                <w:rFonts w:cs="Times New Roman"/>
                <w:color w:val="auto"/>
                <w:sz w:val="20"/>
              </w:rPr>
              <w:t>X</w:t>
            </w:r>
          </w:p>
        </w:tc>
        <w:tc>
          <w:tcPr>
            <w:tcW w:w="1019" w:type="dxa"/>
          </w:tcPr>
          <w:p w14:paraId="6E157D2A" w14:textId="77777777" w:rsidR="00575CDF" w:rsidRPr="00C801A6" w:rsidRDefault="00575CDF" w:rsidP="00347FDB">
            <w:pPr>
              <w:spacing w:before="30" w:after="30"/>
              <w:jc w:val="center"/>
              <w:rPr>
                <w:rFonts w:cs="Times New Roman"/>
                <w:color w:val="auto"/>
                <w:sz w:val="20"/>
              </w:rPr>
            </w:pPr>
            <w:r w:rsidRPr="00C801A6">
              <w:rPr>
                <w:rFonts w:cs="Times New Roman"/>
                <w:color w:val="auto"/>
                <w:sz w:val="20"/>
              </w:rPr>
              <w:t>X</w:t>
            </w:r>
          </w:p>
        </w:tc>
        <w:tc>
          <w:tcPr>
            <w:tcW w:w="1019" w:type="dxa"/>
          </w:tcPr>
          <w:p w14:paraId="496FB6A2" w14:textId="77777777" w:rsidR="00575CDF" w:rsidRPr="00C801A6" w:rsidRDefault="00575CDF" w:rsidP="00347FDB">
            <w:pPr>
              <w:spacing w:before="30" w:after="30"/>
              <w:jc w:val="center"/>
              <w:rPr>
                <w:rFonts w:cs="Times New Roman"/>
                <w:color w:val="auto"/>
                <w:sz w:val="20"/>
              </w:rPr>
            </w:pPr>
            <w:r w:rsidRPr="00C801A6">
              <w:rPr>
                <w:rFonts w:cs="Times New Roman"/>
                <w:color w:val="auto"/>
                <w:sz w:val="20"/>
              </w:rPr>
              <w:t>X</w:t>
            </w:r>
          </w:p>
        </w:tc>
      </w:tr>
      <w:tr w:rsidR="00C801A6" w:rsidRPr="00C801A6" w14:paraId="7A90FBDA" w14:textId="77777777" w:rsidTr="00C716B3">
        <w:tc>
          <w:tcPr>
            <w:tcW w:w="2581" w:type="dxa"/>
          </w:tcPr>
          <w:p w14:paraId="66C85A59" w14:textId="77777777" w:rsidR="00575CDF" w:rsidRPr="00C801A6" w:rsidRDefault="00575CDF" w:rsidP="00347FDB">
            <w:pPr>
              <w:spacing w:before="30" w:after="30"/>
              <w:jc w:val="left"/>
              <w:rPr>
                <w:rFonts w:cs="Times New Roman"/>
                <w:color w:val="auto"/>
                <w:sz w:val="20"/>
              </w:rPr>
            </w:pPr>
            <w:r w:rsidRPr="00C801A6">
              <w:rPr>
                <w:rFonts w:cs="Times New Roman"/>
                <w:color w:val="auto"/>
                <w:sz w:val="20"/>
              </w:rPr>
              <w:t xml:space="preserve">Exploitation </w:t>
            </w:r>
          </w:p>
        </w:tc>
        <w:tc>
          <w:tcPr>
            <w:tcW w:w="3690" w:type="dxa"/>
          </w:tcPr>
          <w:p w14:paraId="2F3F07C9" w14:textId="77777777" w:rsidR="00575CDF" w:rsidRPr="00C801A6" w:rsidRDefault="00575CDF" w:rsidP="00347FDB">
            <w:pPr>
              <w:spacing w:before="30" w:after="30"/>
              <w:jc w:val="left"/>
              <w:rPr>
                <w:rFonts w:cs="Times New Roman"/>
                <w:color w:val="auto"/>
                <w:sz w:val="20"/>
              </w:rPr>
            </w:pPr>
            <w:r w:rsidRPr="00C801A6">
              <w:rPr>
                <w:rFonts w:cs="Times New Roman"/>
                <w:color w:val="auto"/>
                <w:sz w:val="20"/>
              </w:rPr>
              <w:t>Modification du paysage actuel</w:t>
            </w:r>
          </w:p>
        </w:tc>
        <w:tc>
          <w:tcPr>
            <w:tcW w:w="1018" w:type="dxa"/>
          </w:tcPr>
          <w:p w14:paraId="201A82BD" w14:textId="77777777" w:rsidR="00575CDF" w:rsidRPr="00C801A6" w:rsidRDefault="00575CDF" w:rsidP="00347FDB">
            <w:pPr>
              <w:spacing w:before="30" w:after="30"/>
              <w:jc w:val="center"/>
              <w:rPr>
                <w:rFonts w:cs="Times New Roman"/>
                <w:color w:val="auto"/>
                <w:sz w:val="20"/>
              </w:rPr>
            </w:pPr>
            <w:r w:rsidRPr="00C801A6">
              <w:rPr>
                <w:rFonts w:cs="Times New Roman"/>
                <w:color w:val="auto"/>
                <w:sz w:val="20"/>
              </w:rPr>
              <w:t>X</w:t>
            </w:r>
          </w:p>
        </w:tc>
        <w:tc>
          <w:tcPr>
            <w:tcW w:w="1019" w:type="dxa"/>
          </w:tcPr>
          <w:p w14:paraId="34164289" w14:textId="77777777" w:rsidR="00575CDF" w:rsidRPr="00C801A6" w:rsidRDefault="00575CDF" w:rsidP="00347FDB">
            <w:pPr>
              <w:spacing w:before="30" w:after="30"/>
              <w:jc w:val="center"/>
              <w:rPr>
                <w:rFonts w:cs="Times New Roman"/>
                <w:color w:val="auto"/>
                <w:sz w:val="20"/>
              </w:rPr>
            </w:pPr>
            <w:r w:rsidRPr="00C801A6">
              <w:rPr>
                <w:rFonts w:cs="Times New Roman"/>
                <w:color w:val="auto"/>
                <w:sz w:val="20"/>
              </w:rPr>
              <w:t>X</w:t>
            </w:r>
          </w:p>
        </w:tc>
        <w:tc>
          <w:tcPr>
            <w:tcW w:w="1019" w:type="dxa"/>
          </w:tcPr>
          <w:p w14:paraId="55034C3F" w14:textId="77777777" w:rsidR="00575CDF" w:rsidRPr="00C801A6" w:rsidRDefault="00575CDF" w:rsidP="00347FDB">
            <w:pPr>
              <w:spacing w:before="30" w:after="30"/>
              <w:jc w:val="center"/>
              <w:rPr>
                <w:rFonts w:cs="Times New Roman"/>
                <w:color w:val="auto"/>
                <w:sz w:val="20"/>
              </w:rPr>
            </w:pPr>
            <w:r w:rsidRPr="00C801A6">
              <w:rPr>
                <w:rFonts w:cs="Times New Roman"/>
                <w:color w:val="auto"/>
                <w:sz w:val="20"/>
              </w:rPr>
              <w:t>X</w:t>
            </w:r>
          </w:p>
        </w:tc>
      </w:tr>
      <w:tr w:rsidR="00C801A6" w:rsidRPr="00C801A6" w14:paraId="0AF13BEA" w14:textId="77777777" w:rsidTr="00C716B3">
        <w:tc>
          <w:tcPr>
            <w:tcW w:w="2581" w:type="dxa"/>
            <w:tcBorders>
              <w:top w:val="single" w:sz="4" w:space="0" w:color="auto"/>
              <w:left w:val="single" w:sz="4" w:space="0" w:color="auto"/>
              <w:bottom w:val="single" w:sz="4" w:space="0" w:color="auto"/>
              <w:right w:val="single" w:sz="4" w:space="0" w:color="auto"/>
            </w:tcBorders>
          </w:tcPr>
          <w:p w14:paraId="271ADAC6" w14:textId="77777777" w:rsidR="00575CDF" w:rsidRPr="00C801A6" w:rsidRDefault="00575CDF" w:rsidP="00347FDB">
            <w:pPr>
              <w:spacing w:before="30" w:after="30"/>
              <w:jc w:val="left"/>
              <w:rPr>
                <w:rFonts w:cs="Times New Roman"/>
                <w:color w:val="auto"/>
                <w:sz w:val="20"/>
              </w:rPr>
            </w:pPr>
            <w:r w:rsidRPr="00C801A6">
              <w:rPr>
                <w:rFonts w:cs="Times New Roman"/>
                <w:color w:val="auto"/>
                <w:sz w:val="20"/>
              </w:rPr>
              <w:t>Transport et circulation</w:t>
            </w:r>
          </w:p>
        </w:tc>
        <w:tc>
          <w:tcPr>
            <w:tcW w:w="3690" w:type="dxa"/>
            <w:tcBorders>
              <w:top w:val="single" w:sz="4" w:space="0" w:color="auto"/>
              <w:left w:val="single" w:sz="4" w:space="0" w:color="auto"/>
              <w:bottom w:val="single" w:sz="4" w:space="0" w:color="auto"/>
              <w:right w:val="single" w:sz="4" w:space="0" w:color="auto"/>
            </w:tcBorders>
          </w:tcPr>
          <w:p w14:paraId="4C47AC14" w14:textId="77777777" w:rsidR="00575CDF" w:rsidRPr="00C801A6" w:rsidRDefault="00575CDF" w:rsidP="00347FDB">
            <w:pPr>
              <w:spacing w:before="30" w:after="30"/>
              <w:jc w:val="left"/>
              <w:rPr>
                <w:rFonts w:cs="Times New Roman"/>
                <w:color w:val="auto"/>
                <w:sz w:val="20"/>
              </w:rPr>
            </w:pPr>
            <w:r w:rsidRPr="00C801A6">
              <w:rPr>
                <w:rFonts w:cs="Times New Roman"/>
                <w:color w:val="auto"/>
                <w:sz w:val="20"/>
              </w:rPr>
              <w:t>Risques d’accidents</w:t>
            </w:r>
          </w:p>
        </w:tc>
        <w:tc>
          <w:tcPr>
            <w:tcW w:w="1018" w:type="dxa"/>
            <w:tcBorders>
              <w:top w:val="single" w:sz="4" w:space="0" w:color="auto"/>
              <w:left w:val="single" w:sz="4" w:space="0" w:color="auto"/>
              <w:bottom w:val="single" w:sz="4" w:space="0" w:color="auto"/>
              <w:right w:val="single" w:sz="4" w:space="0" w:color="auto"/>
            </w:tcBorders>
          </w:tcPr>
          <w:p w14:paraId="74A16669" w14:textId="77777777" w:rsidR="00575CDF" w:rsidRPr="00C801A6" w:rsidRDefault="00575CDF" w:rsidP="00347FDB">
            <w:pPr>
              <w:spacing w:before="30" w:after="30"/>
              <w:jc w:val="center"/>
              <w:rPr>
                <w:rFonts w:cs="Times New Roman"/>
                <w:color w:val="auto"/>
                <w:sz w:val="20"/>
              </w:rPr>
            </w:pPr>
            <w:r w:rsidRPr="00C801A6">
              <w:rPr>
                <w:rFonts w:cs="Times New Roman"/>
                <w:color w:val="auto"/>
                <w:sz w:val="20"/>
              </w:rPr>
              <w:t>X</w:t>
            </w:r>
          </w:p>
        </w:tc>
        <w:tc>
          <w:tcPr>
            <w:tcW w:w="1019" w:type="dxa"/>
            <w:tcBorders>
              <w:top w:val="single" w:sz="4" w:space="0" w:color="auto"/>
              <w:left w:val="single" w:sz="4" w:space="0" w:color="auto"/>
              <w:bottom w:val="single" w:sz="4" w:space="0" w:color="auto"/>
              <w:right w:val="single" w:sz="4" w:space="0" w:color="auto"/>
            </w:tcBorders>
          </w:tcPr>
          <w:p w14:paraId="6EE2C09B" w14:textId="77777777" w:rsidR="00575CDF" w:rsidRPr="00C801A6" w:rsidRDefault="00575CDF" w:rsidP="00347FDB">
            <w:pPr>
              <w:spacing w:before="30" w:after="30"/>
              <w:jc w:val="center"/>
              <w:rPr>
                <w:rFonts w:cs="Times New Roman"/>
                <w:color w:val="auto"/>
                <w:sz w:val="20"/>
              </w:rPr>
            </w:pPr>
            <w:r w:rsidRPr="00C801A6">
              <w:rPr>
                <w:rFonts w:cs="Times New Roman"/>
                <w:color w:val="auto"/>
                <w:sz w:val="20"/>
              </w:rPr>
              <w:t>X</w:t>
            </w:r>
          </w:p>
        </w:tc>
        <w:tc>
          <w:tcPr>
            <w:tcW w:w="1019" w:type="dxa"/>
            <w:tcBorders>
              <w:top w:val="single" w:sz="4" w:space="0" w:color="auto"/>
              <w:left w:val="single" w:sz="4" w:space="0" w:color="auto"/>
              <w:bottom w:val="single" w:sz="4" w:space="0" w:color="auto"/>
              <w:right w:val="single" w:sz="4" w:space="0" w:color="auto"/>
            </w:tcBorders>
          </w:tcPr>
          <w:p w14:paraId="0C03DAE5" w14:textId="77777777" w:rsidR="00575CDF" w:rsidRPr="00C801A6" w:rsidRDefault="00575CDF" w:rsidP="00347FDB">
            <w:pPr>
              <w:spacing w:before="30" w:after="30"/>
              <w:jc w:val="center"/>
              <w:rPr>
                <w:rFonts w:cs="Times New Roman"/>
                <w:color w:val="auto"/>
                <w:sz w:val="20"/>
              </w:rPr>
            </w:pPr>
            <w:r w:rsidRPr="00C801A6">
              <w:rPr>
                <w:rFonts w:cs="Times New Roman"/>
                <w:color w:val="auto"/>
                <w:sz w:val="20"/>
              </w:rPr>
              <w:t>X</w:t>
            </w:r>
          </w:p>
        </w:tc>
      </w:tr>
      <w:tr w:rsidR="00C801A6" w:rsidRPr="00C801A6" w14:paraId="0C52B9A2" w14:textId="77777777" w:rsidTr="00C716B3">
        <w:tc>
          <w:tcPr>
            <w:tcW w:w="2581" w:type="dxa"/>
            <w:tcBorders>
              <w:top w:val="single" w:sz="4" w:space="0" w:color="auto"/>
              <w:left w:val="single" w:sz="4" w:space="0" w:color="auto"/>
              <w:bottom w:val="single" w:sz="4" w:space="0" w:color="auto"/>
              <w:right w:val="single" w:sz="4" w:space="0" w:color="auto"/>
            </w:tcBorders>
          </w:tcPr>
          <w:p w14:paraId="639446BD" w14:textId="77777777" w:rsidR="00575CDF" w:rsidRPr="00C801A6" w:rsidRDefault="00575CDF" w:rsidP="00347FDB">
            <w:pPr>
              <w:spacing w:before="30" w:after="30"/>
              <w:jc w:val="left"/>
              <w:rPr>
                <w:rFonts w:cs="Times New Roman"/>
                <w:color w:val="auto"/>
                <w:sz w:val="20"/>
              </w:rPr>
            </w:pPr>
            <w:r w:rsidRPr="00C801A6">
              <w:rPr>
                <w:rFonts w:cs="Times New Roman"/>
                <w:color w:val="auto"/>
                <w:sz w:val="20"/>
              </w:rPr>
              <w:t>Abattage par des tirs à l’explosif</w:t>
            </w:r>
          </w:p>
        </w:tc>
        <w:tc>
          <w:tcPr>
            <w:tcW w:w="3690" w:type="dxa"/>
            <w:tcBorders>
              <w:top w:val="single" w:sz="4" w:space="0" w:color="auto"/>
              <w:left w:val="single" w:sz="4" w:space="0" w:color="auto"/>
              <w:bottom w:val="single" w:sz="4" w:space="0" w:color="auto"/>
              <w:right w:val="single" w:sz="4" w:space="0" w:color="auto"/>
            </w:tcBorders>
          </w:tcPr>
          <w:p w14:paraId="4A6AAC7B" w14:textId="77777777" w:rsidR="00575CDF" w:rsidRPr="00C801A6" w:rsidRDefault="00575CDF" w:rsidP="00347FDB">
            <w:pPr>
              <w:spacing w:before="30" w:after="30"/>
              <w:jc w:val="left"/>
              <w:rPr>
                <w:rFonts w:cs="Times New Roman"/>
                <w:color w:val="auto"/>
                <w:sz w:val="20"/>
              </w:rPr>
            </w:pPr>
            <w:r w:rsidRPr="00C801A6">
              <w:rPr>
                <w:rFonts w:cs="Times New Roman"/>
                <w:color w:val="auto"/>
                <w:sz w:val="20"/>
              </w:rPr>
              <w:t>Risques d’accidents</w:t>
            </w:r>
          </w:p>
        </w:tc>
        <w:tc>
          <w:tcPr>
            <w:tcW w:w="1018" w:type="dxa"/>
            <w:tcBorders>
              <w:top w:val="single" w:sz="4" w:space="0" w:color="auto"/>
              <w:left w:val="single" w:sz="4" w:space="0" w:color="auto"/>
              <w:bottom w:val="single" w:sz="4" w:space="0" w:color="auto"/>
              <w:right w:val="single" w:sz="4" w:space="0" w:color="auto"/>
            </w:tcBorders>
          </w:tcPr>
          <w:p w14:paraId="7967D321" w14:textId="77777777" w:rsidR="00575CDF" w:rsidRPr="00C801A6" w:rsidRDefault="00575CDF" w:rsidP="00347FDB">
            <w:pPr>
              <w:spacing w:before="30" w:after="30"/>
              <w:jc w:val="center"/>
              <w:rPr>
                <w:rFonts w:cs="Times New Roman"/>
                <w:color w:val="auto"/>
                <w:sz w:val="20"/>
              </w:rPr>
            </w:pPr>
            <w:r w:rsidRPr="00C801A6">
              <w:rPr>
                <w:rFonts w:cs="Times New Roman"/>
                <w:color w:val="auto"/>
                <w:sz w:val="20"/>
              </w:rPr>
              <w:t>X</w:t>
            </w:r>
          </w:p>
        </w:tc>
        <w:tc>
          <w:tcPr>
            <w:tcW w:w="1019" w:type="dxa"/>
            <w:tcBorders>
              <w:top w:val="single" w:sz="4" w:space="0" w:color="auto"/>
              <w:left w:val="single" w:sz="4" w:space="0" w:color="auto"/>
              <w:bottom w:val="single" w:sz="4" w:space="0" w:color="auto"/>
              <w:right w:val="single" w:sz="4" w:space="0" w:color="auto"/>
            </w:tcBorders>
          </w:tcPr>
          <w:p w14:paraId="1F1BA123" w14:textId="77777777" w:rsidR="00575CDF" w:rsidRPr="00C801A6" w:rsidRDefault="00575CDF" w:rsidP="00347FDB">
            <w:pPr>
              <w:spacing w:before="30" w:after="30"/>
              <w:jc w:val="center"/>
              <w:rPr>
                <w:rFonts w:cs="Times New Roman"/>
                <w:color w:val="auto"/>
                <w:sz w:val="20"/>
              </w:rPr>
            </w:pPr>
            <w:r w:rsidRPr="00C801A6">
              <w:rPr>
                <w:rFonts w:cs="Times New Roman"/>
                <w:color w:val="auto"/>
                <w:sz w:val="20"/>
              </w:rPr>
              <w:t>NA</w:t>
            </w:r>
          </w:p>
        </w:tc>
        <w:tc>
          <w:tcPr>
            <w:tcW w:w="1019" w:type="dxa"/>
            <w:tcBorders>
              <w:top w:val="single" w:sz="4" w:space="0" w:color="auto"/>
              <w:left w:val="single" w:sz="4" w:space="0" w:color="auto"/>
              <w:bottom w:val="single" w:sz="4" w:space="0" w:color="auto"/>
              <w:right w:val="single" w:sz="4" w:space="0" w:color="auto"/>
            </w:tcBorders>
          </w:tcPr>
          <w:p w14:paraId="020170D8" w14:textId="77777777" w:rsidR="00575CDF" w:rsidRPr="00C801A6" w:rsidRDefault="00575CDF" w:rsidP="00347FDB">
            <w:pPr>
              <w:spacing w:before="30" w:after="30"/>
              <w:jc w:val="center"/>
              <w:rPr>
                <w:rFonts w:cs="Times New Roman"/>
                <w:color w:val="auto"/>
                <w:sz w:val="20"/>
              </w:rPr>
            </w:pPr>
            <w:r w:rsidRPr="00C801A6">
              <w:rPr>
                <w:rFonts w:cs="Times New Roman"/>
                <w:color w:val="auto"/>
                <w:sz w:val="20"/>
              </w:rPr>
              <w:t>NA</w:t>
            </w:r>
          </w:p>
        </w:tc>
      </w:tr>
      <w:tr w:rsidR="00C801A6" w:rsidRPr="00C801A6" w14:paraId="3904AB03" w14:textId="77777777" w:rsidTr="00C716B3">
        <w:trPr>
          <w:trHeight w:val="324"/>
        </w:trPr>
        <w:tc>
          <w:tcPr>
            <w:tcW w:w="9327" w:type="dxa"/>
            <w:gridSpan w:val="5"/>
            <w:tcBorders>
              <w:top w:val="single" w:sz="4" w:space="0" w:color="auto"/>
              <w:left w:val="single" w:sz="4" w:space="0" w:color="auto"/>
              <w:bottom w:val="single" w:sz="4" w:space="0" w:color="auto"/>
              <w:right w:val="single" w:sz="4" w:space="0" w:color="auto"/>
            </w:tcBorders>
            <w:vAlign w:val="center"/>
          </w:tcPr>
          <w:p w14:paraId="5CA820F1" w14:textId="77777777" w:rsidR="00575CDF" w:rsidRPr="00C801A6" w:rsidRDefault="00575CDF" w:rsidP="00347FDB">
            <w:pPr>
              <w:spacing w:before="30" w:after="30"/>
              <w:jc w:val="left"/>
              <w:rPr>
                <w:rFonts w:cs="Times New Roman"/>
                <w:color w:val="auto"/>
                <w:sz w:val="20"/>
              </w:rPr>
            </w:pPr>
            <w:r w:rsidRPr="00C801A6">
              <w:rPr>
                <w:rFonts w:cs="Times New Roman"/>
                <w:b/>
                <w:bCs/>
                <w:caps/>
                <w:color w:val="auto"/>
                <w:sz w:val="20"/>
              </w:rPr>
              <w:t>P</w:t>
            </w:r>
            <w:r w:rsidRPr="00C801A6">
              <w:rPr>
                <w:rFonts w:cs="Times New Roman"/>
                <w:b/>
                <w:bCs/>
                <w:color w:val="auto"/>
                <w:sz w:val="20"/>
              </w:rPr>
              <w:t>hase de fermeture</w:t>
            </w:r>
          </w:p>
        </w:tc>
      </w:tr>
      <w:tr w:rsidR="00C801A6" w:rsidRPr="00C801A6" w14:paraId="3A5FC4E1" w14:textId="77777777" w:rsidTr="00C716B3">
        <w:trPr>
          <w:trHeight w:val="359"/>
        </w:trPr>
        <w:tc>
          <w:tcPr>
            <w:tcW w:w="2581" w:type="dxa"/>
            <w:vMerge w:val="restart"/>
          </w:tcPr>
          <w:p w14:paraId="03216B1C" w14:textId="77777777" w:rsidR="00575CDF" w:rsidRPr="00C801A6" w:rsidRDefault="00575CDF" w:rsidP="00347FDB">
            <w:pPr>
              <w:spacing w:before="30" w:after="0"/>
              <w:jc w:val="left"/>
              <w:rPr>
                <w:rFonts w:cs="Times New Roman"/>
                <w:color w:val="auto"/>
                <w:sz w:val="20"/>
              </w:rPr>
            </w:pPr>
            <w:r w:rsidRPr="00C801A6">
              <w:rPr>
                <w:rFonts w:cs="Times New Roman"/>
                <w:color w:val="auto"/>
                <w:sz w:val="20"/>
              </w:rPr>
              <w:t>Opérations de fermeture</w:t>
            </w:r>
          </w:p>
        </w:tc>
        <w:tc>
          <w:tcPr>
            <w:tcW w:w="3690" w:type="dxa"/>
            <w:vAlign w:val="center"/>
          </w:tcPr>
          <w:p w14:paraId="3416BC8E" w14:textId="77777777" w:rsidR="00575CDF" w:rsidRPr="00C801A6" w:rsidRDefault="00575CDF" w:rsidP="00347FDB">
            <w:pPr>
              <w:spacing w:before="30" w:after="0"/>
              <w:jc w:val="left"/>
              <w:rPr>
                <w:rFonts w:cs="Times New Roman"/>
                <w:color w:val="auto"/>
                <w:sz w:val="20"/>
              </w:rPr>
            </w:pPr>
            <w:r w:rsidRPr="00C801A6">
              <w:rPr>
                <w:rFonts w:cs="Times New Roman"/>
                <w:color w:val="auto"/>
                <w:sz w:val="20"/>
              </w:rPr>
              <w:t>Modification du paysage</w:t>
            </w:r>
          </w:p>
        </w:tc>
        <w:tc>
          <w:tcPr>
            <w:tcW w:w="1018" w:type="dxa"/>
            <w:vAlign w:val="center"/>
          </w:tcPr>
          <w:p w14:paraId="674C73F2" w14:textId="77777777" w:rsidR="00575CDF" w:rsidRPr="00C801A6" w:rsidRDefault="00575CDF" w:rsidP="00347FDB">
            <w:pPr>
              <w:spacing w:before="30" w:after="0"/>
              <w:jc w:val="center"/>
              <w:rPr>
                <w:rFonts w:cs="Times New Roman"/>
                <w:color w:val="auto"/>
                <w:sz w:val="20"/>
              </w:rPr>
            </w:pPr>
            <w:r w:rsidRPr="00C801A6">
              <w:rPr>
                <w:rFonts w:cs="Times New Roman"/>
                <w:color w:val="auto"/>
                <w:sz w:val="20"/>
              </w:rPr>
              <w:t>X</w:t>
            </w:r>
          </w:p>
        </w:tc>
        <w:tc>
          <w:tcPr>
            <w:tcW w:w="1019" w:type="dxa"/>
            <w:vAlign w:val="center"/>
          </w:tcPr>
          <w:p w14:paraId="7B08EC05" w14:textId="77777777" w:rsidR="00575CDF" w:rsidRPr="00C801A6" w:rsidRDefault="00575CDF" w:rsidP="00347FDB">
            <w:pPr>
              <w:spacing w:before="30" w:after="0"/>
              <w:jc w:val="center"/>
              <w:rPr>
                <w:rFonts w:cs="Times New Roman"/>
                <w:color w:val="auto"/>
                <w:sz w:val="20"/>
              </w:rPr>
            </w:pPr>
            <w:r w:rsidRPr="00C801A6">
              <w:rPr>
                <w:rFonts w:cs="Times New Roman"/>
                <w:color w:val="auto"/>
                <w:sz w:val="20"/>
              </w:rPr>
              <w:t>X</w:t>
            </w:r>
          </w:p>
        </w:tc>
        <w:tc>
          <w:tcPr>
            <w:tcW w:w="1019" w:type="dxa"/>
            <w:vAlign w:val="center"/>
          </w:tcPr>
          <w:p w14:paraId="2053653E" w14:textId="77777777" w:rsidR="00575CDF" w:rsidRPr="00C801A6" w:rsidRDefault="00575CDF" w:rsidP="00347FDB">
            <w:pPr>
              <w:spacing w:before="30" w:after="0"/>
              <w:jc w:val="center"/>
              <w:rPr>
                <w:rFonts w:cs="Times New Roman"/>
                <w:color w:val="auto"/>
                <w:sz w:val="20"/>
              </w:rPr>
            </w:pPr>
            <w:r w:rsidRPr="00C801A6">
              <w:rPr>
                <w:rFonts w:cs="Times New Roman"/>
                <w:color w:val="auto"/>
                <w:sz w:val="20"/>
              </w:rPr>
              <w:t>X</w:t>
            </w:r>
          </w:p>
        </w:tc>
      </w:tr>
      <w:tr w:rsidR="00C801A6" w:rsidRPr="00C801A6" w14:paraId="6C064C58" w14:textId="77777777" w:rsidTr="00C716B3">
        <w:trPr>
          <w:trHeight w:val="359"/>
        </w:trPr>
        <w:tc>
          <w:tcPr>
            <w:tcW w:w="2581" w:type="dxa"/>
            <w:vMerge/>
          </w:tcPr>
          <w:p w14:paraId="0710BEEA" w14:textId="77777777" w:rsidR="00575CDF" w:rsidRPr="00C801A6" w:rsidRDefault="00575CDF" w:rsidP="00347FDB">
            <w:pPr>
              <w:spacing w:before="30" w:after="0"/>
              <w:jc w:val="left"/>
              <w:rPr>
                <w:rFonts w:cs="Times New Roman"/>
                <w:color w:val="auto"/>
                <w:sz w:val="20"/>
              </w:rPr>
            </w:pPr>
          </w:p>
        </w:tc>
        <w:tc>
          <w:tcPr>
            <w:tcW w:w="3690" w:type="dxa"/>
            <w:vAlign w:val="center"/>
          </w:tcPr>
          <w:p w14:paraId="2878BBF3" w14:textId="77777777" w:rsidR="00575CDF" w:rsidRPr="00C801A6" w:rsidRDefault="00575CDF" w:rsidP="00347FDB">
            <w:pPr>
              <w:spacing w:after="0"/>
              <w:jc w:val="left"/>
              <w:rPr>
                <w:rFonts w:cs="Times New Roman"/>
                <w:color w:val="auto"/>
                <w:sz w:val="20"/>
              </w:rPr>
            </w:pPr>
            <w:r w:rsidRPr="00C801A6">
              <w:rPr>
                <w:rFonts w:cs="Times New Roman"/>
                <w:color w:val="auto"/>
                <w:sz w:val="20"/>
              </w:rPr>
              <w:t>Risques d’accidents liés au front de taille</w:t>
            </w:r>
          </w:p>
        </w:tc>
        <w:tc>
          <w:tcPr>
            <w:tcW w:w="1018" w:type="dxa"/>
            <w:vAlign w:val="center"/>
          </w:tcPr>
          <w:p w14:paraId="3ACF21CF" w14:textId="77777777" w:rsidR="00575CDF" w:rsidRPr="00C801A6" w:rsidRDefault="00575CDF" w:rsidP="00347FDB">
            <w:pPr>
              <w:spacing w:before="30" w:after="0"/>
              <w:jc w:val="center"/>
              <w:rPr>
                <w:rFonts w:cs="Times New Roman"/>
                <w:color w:val="auto"/>
                <w:sz w:val="20"/>
              </w:rPr>
            </w:pPr>
            <w:r w:rsidRPr="00C801A6">
              <w:rPr>
                <w:rFonts w:cs="Times New Roman"/>
                <w:color w:val="auto"/>
                <w:sz w:val="20"/>
              </w:rPr>
              <w:t>X</w:t>
            </w:r>
          </w:p>
        </w:tc>
        <w:tc>
          <w:tcPr>
            <w:tcW w:w="1019" w:type="dxa"/>
            <w:vAlign w:val="center"/>
          </w:tcPr>
          <w:p w14:paraId="3750D572" w14:textId="77777777" w:rsidR="00575CDF" w:rsidRPr="00C801A6" w:rsidRDefault="00575CDF" w:rsidP="00347FDB">
            <w:pPr>
              <w:spacing w:before="30" w:after="0"/>
              <w:jc w:val="center"/>
              <w:rPr>
                <w:rFonts w:cs="Times New Roman"/>
                <w:color w:val="auto"/>
                <w:sz w:val="20"/>
              </w:rPr>
            </w:pPr>
            <w:r w:rsidRPr="00C801A6">
              <w:rPr>
                <w:rFonts w:cs="Times New Roman"/>
                <w:color w:val="auto"/>
                <w:sz w:val="20"/>
              </w:rPr>
              <w:t>X</w:t>
            </w:r>
          </w:p>
        </w:tc>
        <w:tc>
          <w:tcPr>
            <w:tcW w:w="1019" w:type="dxa"/>
            <w:vAlign w:val="center"/>
          </w:tcPr>
          <w:p w14:paraId="331948B0" w14:textId="77777777" w:rsidR="00575CDF" w:rsidRPr="00C801A6" w:rsidRDefault="00575CDF" w:rsidP="00347FDB">
            <w:pPr>
              <w:spacing w:before="30" w:after="0"/>
              <w:jc w:val="center"/>
              <w:rPr>
                <w:rFonts w:cs="Times New Roman"/>
                <w:color w:val="auto"/>
                <w:sz w:val="20"/>
              </w:rPr>
            </w:pPr>
            <w:r w:rsidRPr="00C801A6">
              <w:rPr>
                <w:rFonts w:cs="Times New Roman"/>
                <w:color w:val="auto"/>
                <w:sz w:val="20"/>
              </w:rPr>
              <w:t>X</w:t>
            </w:r>
          </w:p>
        </w:tc>
      </w:tr>
      <w:tr w:rsidR="00C801A6" w:rsidRPr="00C801A6" w14:paraId="48D1D49D" w14:textId="77777777" w:rsidTr="00C716B3">
        <w:trPr>
          <w:trHeight w:val="359"/>
        </w:trPr>
        <w:tc>
          <w:tcPr>
            <w:tcW w:w="2581" w:type="dxa"/>
            <w:vMerge/>
          </w:tcPr>
          <w:p w14:paraId="48ABC5F4" w14:textId="77777777" w:rsidR="00575CDF" w:rsidRPr="00C801A6" w:rsidRDefault="00575CDF" w:rsidP="00347FDB">
            <w:pPr>
              <w:spacing w:before="30" w:after="0"/>
              <w:jc w:val="left"/>
              <w:rPr>
                <w:rFonts w:cs="Times New Roman"/>
                <w:color w:val="auto"/>
                <w:sz w:val="20"/>
              </w:rPr>
            </w:pPr>
          </w:p>
        </w:tc>
        <w:tc>
          <w:tcPr>
            <w:tcW w:w="3690" w:type="dxa"/>
            <w:vAlign w:val="center"/>
          </w:tcPr>
          <w:p w14:paraId="00D5F065" w14:textId="77777777" w:rsidR="00575CDF" w:rsidRPr="00C801A6" w:rsidRDefault="00575CDF" w:rsidP="00347FDB">
            <w:pPr>
              <w:spacing w:after="0"/>
              <w:jc w:val="left"/>
              <w:rPr>
                <w:rFonts w:cs="Times New Roman"/>
                <w:color w:val="auto"/>
                <w:sz w:val="20"/>
              </w:rPr>
            </w:pPr>
            <w:r w:rsidRPr="00C801A6">
              <w:rPr>
                <w:rFonts w:cs="Times New Roman"/>
                <w:color w:val="auto"/>
                <w:sz w:val="20"/>
              </w:rPr>
              <w:t>Risques de pollution</w:t>
            </w:r>
          </w:p>
        </w:tc>
        <w:tc>
          <w:tcPr>
            <w:tcW w:w="1018" w:type="dxa"/>
            <w:vAlign w:val="center"/>
          </w:tcPr>
          <w:p w14:paraId="2A74027F" w14:textId="77777777" w:rsidR="00575CDF" w:rsidRPr="00C801A6" w:rsidRDefault="00575CDF" w:rsidP="00347FDB">
            <w:pPr>
              <w:spacing w:before="30" w:after="0"/>
              <w:jc w:val="center"/>
              <w:rPr>
                <w:rFonts w:cs="Times New Roman"/>
                <w:color w:val="auto"/>
                <w:sz w:val="20"/>
              </w:rPr>
            </w:pPr>
            <w:r w:rsidRPr="00C801A6">
              <w:rPr>
                <w:rFonts w:cs="Times New Roman"/>
                <w:color w:val="auto"/>
                <w:sz w:val="20"/>
              </w:rPr>
              <w:t>X</w:t>
            </w:r>
          </w:p>
        </w:tc>
        <w:tc>
          <w:tcPr>
            <w:tcW w:w="1019" w:type="dxa"/>
            <w:vAlign w:val="center"/>
          </w:tcPr>
          <w:p w14:paraId="3F9097A2" w14:textId="77777777" w:rsidR="00575CDF" w:rsidRPr="00C801A6" w:rsidRDefault="00575CDF" w:rsidP="00347FDB">
            <w:pPr>
              <w:spacing w:before="30" w:after="0"/>
              <w:jc w:val="center"/>
              <w:rPr>
                <w:rFonts w:cs="Times New Roman"/>
                <w:color w:val="auto"/>
                <w:sz w:val="20"/>
              </w:rPr>
            </w:pPr>
            <w:r w:rsidRPr="00C801A6">
              <w:rPr>
                <w:rFonts w:cs="Times New Roman"/>
                <w:color w:val="auto"/>
                <w:sz w:val="20"/>
              </w:rPr>
              <w:t>X</w:t>
            </w:r>
          </w:p>
        </w:tc>
        <w:tc>
          <w:tcPr>
            <w:tcW w:w="1019" w:type="dxa"/>
            <w:vAlign w:val="center"/>
          </w:tcPr>
          <w:p w14:paraId="2915EA7F" w14:textId="77777777" w:rsidR="00575CDF" w:rsidRPr="00C801A6" w:rsidRDefault="00575CDF" w:rsidP="00347FDB">
            <w:pPr>
              <w:spacing w:before="30" w:after="0"/>
              <w:jc w:val="center"/>
              <w:rPr>
                <w:rFonts w:cs="Times New Roman"/>
                <w:color w:val="auto"/>
                <w:sz w:val="20"/>
              </w:rPr>
            </w:pPr>
            <w:r w:rsidRPr="00C801A6">
              <w:rPr>
                <w:rFonts w:cs="Times New Roman"/>
                <w:color w:val="auto"/>
                <w:sz w:val="20"/>
              </w:rPr>
              <w:t>X</w:t>
            </w:r>
          </w:p>
        </w:tc>
      </w:tr>
    </w:tbl>
    <w:p w14:paraId="34D67A01" w14:textId="4FC7ADCF" w:rsidR="00575CDF" w:rsidRPr="00C801A6" w:rsidRDefault="00575CDF" w:rsidP="00575CDF">
      <w:pPr>
        <w:spacing w:before="240"/>
        <w:rPr>
          <w:color w:val="auto"/>
        </w:rPr>
      </w:pPr>
      <w:r w:rsidRPr="00C801A6">
        <w:rPr>
          <w:color w:val="auto"/>
        </w:rPr>
        <w:lastRenderedPageBreak/>
        <w:t>Au moment de la fermeture d’un site donné, il n’est pas rare que les fronts de taille dépassent les limites fixées par la réglementation en vigueur, sous prétexte que ledit site sera encore utilisé dans le futur</w:t>
      </w:r>
      <w:r w:rsidR="000E40DE" w:rsidRPr="00C801A6">
        <w:rPr>
          <w:color w:val="auto"/>
        </w:rPr>
        <w:t xml:space="preserve"> (</w:t>
      </w:r>
      <w:r w:rsidR="00C716B3">
        <w:rPr>
          <w:color w:val="auto"/>
        </w:rPr>
        <w:t>figure 1</w:t>
      </w:r>
      <w:r w:rsidR="001C76FC">
        <w:rPr>
          <w:color w:val="auto"/>
        </w:rPr>
        <w:t>7</w:t>
      </w:r>
      <w:r w:rsidR="000E40DE" w:rsidRPr="00C801A6">
        <w:rPr>
          <w:color w:val="auto"/>
        </w:rPr>
        <w:t xml:space="preserve"> ci-dessous).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5"/>
      </w:tblGrid>
      <w:tr w:rsidR="00C801A6" w:rsidRPr="00C801A6" w14:paraId="23DC8D28" w14:textId="77777777" w:rsidTr="00347FDB">
        <w:tc>
          <w:tcPr>
            <w:tcW w:w="4605" w:type="dxa"/>
          </w:tcPr>
          <w:p w14:paraId="23135294" w14:textId="77777777" w:rsidR="00575CDF" w:rsidRPr="00C801A6" w:rsidRDefault="00575CDF" w:rsidP="00347FDB">
            <w:pPr>
              <w:rPr>
                <w:color w:val="auto"/>
              </w:rPr>
            </w:pPr>
            <w:r w:rsidRPr="00C801A6">
              <w:rPr>
                <w:noProof/>
                <w:color w:val="auto"/>
                <w:lang w:eastAsia="fr-FR"/>
              </w:rPr>
              <w:drawing>
                <wp:inline distT="0" distB="0" distL="0" distR="0" wp14:anchorId="64470248" wp14:editId="132F7B85">
                  <wp:extent cx="2527300" cy="1895475"/>
                  <wp:effectExtent l="0" t="0" r="6350" b="9525"/>
                  <wp:docPr id="406508171" name="Image 28" descr="carrière_Doany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
                          <pic:cNvPicPr/>
                        </pic:nvPicPr>
                        <pic:blipFill>
                          <a:blip r:embed="rId47" cstate="email">
                            <a:extLst>
                              <a:ext uri="{28A0092B-C50C-407E-A947-70E740481C1C}">
                                <a14:useLocalDpi xmlns:a14="http://schemas.microsoft.com/office/drawing/2010/main"/>
                              </a:ext>
                            </a:extLst>
                          </a:blip>
                          <a:stretch>
                            <a:fillRect/>
                          </a:stretch>
                        </pic:blipFill>
                        <pic:spPr>
                          <a:xfrm>
                            <a:off x="0" y="0"/>
                            <a:ext cx="2527300" cy="1895475"/>
                          </a:xfrm>
                          <a:prstGeom prst="rect">
                            <a:avLst/>
                          </a:prstGeom>
                        </pic:spPr>
                      </pic:pic>
                    </a:graphicData>
                  </a:graphic>
                </wp:inline>
              </w:drawing>
            </w:r>
          </w:p>
        </w:tc>
        <w:tc>
          <w:tcPr>
            <w:tcW w:w="4605" w:type="dxa"/>
          </w:tcPr>
          <w:p w14:paraId="3753C5EB" w14:textId="77777777" w:rsidR="00575CDF" w:rsidRPr="00C801A6" w:rsidRDefault="00575CDF" w:rsidP="00347FDB">
            <w:pPr>
              <w:rPr>
                <w:color w:val="auto"/>
              </w:rPr>
            </w:pPr>
            <w:r w:rsidRPr="00C801A6">
              <w:rPr>
                <w:noProof/>
                <w:color w:val="auto"/>
                <w:lang w:eastAsia="fr-FR"/>
              </w:rPr>
              <w:drawing>
                <wp:inline distT="0" distB="0" distL="0" distR="0" wp14:anchorId="1FA25E5B" wp14:editId="330A9603">
                  <wp:extent cx="2526271" cy="1895475"/>
                  <wp:effectExtent l="0" t="0" r="7620" b="0"/>
                  <wp:docPr id="406508172" name="Image 4" descr="C:\DATA\Job\EIE\EIE_RN5a_RN6\pics\Gisement_RN6\IMG_0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ATA\Job\EIE\EIE_RN5a_RN6\pics\Gisement_RN6\IMG_0834.JPG"/>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2539080" cy="1905086"/>
                          </a:xfrm>
                          <a:prstGeom prst="rect">
                            <a:avLst/>
                          </a:prstGeom>
                          <a:noFill/>
                          <a:ln w="9525">
                            <a:noFill/>
                            <a:miter lim="800000"/>
                            <a:headEnd/>
                            <a:tailEnd/>
                          </a:ln>
                        </pic:spPr>
                      </pic:pic>
                    </a:graphicData>
                  </a:graphic>
                </wp:inline>
              </w:drawing>
            </w:r>
          </w:p>
        </w:tc>
      </w:tr>
    </w:tbl>
    <w:p w14:paraId="5F2007A1" w14:textId="6689198A" w:rsidR="00575CDF" w:rsidRPr="00C801A6" w:rsidRDefault="00C716B3" w:rsidP="00C716B3">
      <w:pPr>
        <w:pStyle w:val="Caption"/>
        <w:rPr>
          <w:color w:val="auto"/>
        </w:rPr>
      </w:pPr>
      <w:bookmarkStart w:id="608" w:name="_Toc105158079"/>
      <w:bookmarkStart w:id="609" w:name="_Toc230426715"/>
      <w:r>
        <w:t xml:space="preserve">Figure </w:t>
      </w:r>
      <w:r w:rsidR="004233C4">
        <w:fldChar w:fldCharType="begin"/>
      </w:r>
      <w:r w:rsidR="004233C4">
        <w:instrText xml:space="preserve"> SEQ Figure \* ARABIC </w:instrText>
      </w:r>
      <w:r w:rsidR="004233C4">
        <w:fldChar w:fldCharType="separate"/>
      </w:r>
      <w:r w:rsidR="00D13682">
        <w:rPr>
          <w:noProof/>
        </w:rPr>
        <w:t>20</w:t>
      </w:r>
      <w:r w:rsidR="004233C4">
        <w:rPr>
          <w:noProof/>
        </w:rPr>
        <w:fldChar w:fldCharType="end"/>
      </w:r>
      <w:r w:rsidR="00575CDF" w:rsidRPr="00C801A6">
        <w:rPr>
          <w:color w:val="auto"/>
        </w:rPr>
        <w:t> : E</w:t>
      </w:r>
      <w:r w:rsidR="00D13682" w:rsidRPr="00C801A6">
        <w:rPr>
          <w:caps w:val="0"/>
          <w:color w:val="auto"/>
        </w:rPr>
        <w:t xml:space="preserve">xemples de sites non remis en etat apres des travaux sur des </w:t>
      </w:r>
      <w:r w:rsidR="00575CDF" w:rsidRPr="00C801A6">
        <w:rPr>
          <w:color w:val="auto"/>
        </w:rPr>
        <w:t>RN</w:t>
      </w:r>
      <w:bookmarkEnd w:id="608"/>
      <w:bookmarkEnd w:id="609"/>
    </w:p>
    <w:p w14:paraId="6AD18BFE" w14:textId="0DD15E58" w:rsidR="00575CDF" w:rsidRPr="00C801A6" w:rsidRDefault="00575CDF" w:rsidP="00014BC0">
      <w:pPr>
        <w:pStyle w:val="Heading2"/>
      </w:pPr>
      <w:bookmarkStart w:id="610" w:name="_Toc71794940"/>
      <w:bookmarkStart w:id="611" w:name="_Toc106320351"/>
      <w:bookmarkStart w:id="612" w:name="_Toc230426059"/>
      <w:r w:rsidRPr="00C801A6">
        <w:t>METHODE D’EVALUATION DES IMPACTS</w:t>
      </w:r>
      <w:bookmarkEnd w:id="610"/>
      <w:bookmarkEnd w:id="611"/>
      <w:bookmarkEnd w:id="612"/>
    </w:p>
    <w:p w14:paraId="03F48DAE" w14:textId="77777777" w:rsidR="00575CDF" w:rsidRPr="00C801A6" w:rsidRDefault="00575CDF" w:rsidP="00575CDF">
      <w:pPr>
        <w:rPr>
          <w:color w:val="auto"/>
        </w:rPr>
      </w:pPr>
      <w:r w:rsidRPr="00C801A6">
        <w:rPr>
          <w:color w:val="auto"/>
        </w:rPr>
        <w:t>Diverses méthodes peuvent être usitées pour l’évaluation des impacts : du fait de sa simplicité, la méthode proposée est celle de la matrice de Fecteau.</w:t>
      </w:r>
    </w:p>
    <w:p w14:paraId="57EC102B" w14:textId="77777777" w:rsidR="00575CDF" w:rsidRPr="00C801A6" w:rsidRDefault="00575CDF" w:rsidP="00575CDF">
      <w:pPr>
        <w:rPr>
          <w:rFonts w:cs="Times New Roman"/>
          <w:color w:val="auto"/>
          <w:szCs w:val="24"/>
        </w:rPr>
      </w:pPr>
      <w:r w:rsidRPr="00C801A6">
        <w:rPr>
          <w:rFonts w:cs="Times New Roman"/>
          <w:color w:val="auto"/>
          <w:szCs w:val="24"/>
        </w:rPr>
        <w:t>L’importance des impacts négatifs sera appréciée avec les paramètres suivants :</w:t>
      </w:r>
    </w:p>
    <w:p w14:paraId="16353829" w14:textId="2A427DC2" w:rsidR="00575CDF" w:rsidRPr="00C801A6" w:rsidRDefault="00575CDF" w:rsidP="00844538">
      <w:pPr>
        <w:pStyle w:val="PlainText"/>
        <w:numPr>
          <w:ilvl w:val="0"/>
          <w:numId w:val="45"/>
        </w:numPr>
        <w:shd w:val="clear" w:color="auto" w:fill="FFFFFF" w:themeFill="background1"/>
        <w:spacing w:before="120" w:after="80" w:line="240" w:lineRule="auto"/>
        <w:jc w:val="both"/>
        <w:rPr>
          <w:rFonts w:ascii="Times New Roman" w:hAnsi="Times New Roman"/>
          <w:iCs/>
          <w:sz w:val="24"/>
          <w:szCs w:val="24"/>
          <w:lang w:val="fr-CA"/>
        </w:rPr>
      </w:pPr>
      <w:r w:rsidRPr="00C801A6">
        <w:rPr>
          <w:rFonts w:ascii="Times New Roman" w:hAnsi="Times New Roman"/>
          <w:b/>
          <w:sz w:val="24"/>
          <w:szCs w:val="24"/>
        </w:rPr>
        <w:t>Valeur</w:t>
      </w:r>
      <w:r w:rsidRPr="00C801A6">
        <w:rPr>
          <w:rFonts w:ascii="Times New Roman" w:hAnsi="Times New Roman"/>
          <w:b/>
          <w:bCs/>
          <w:iCs/>
          <w:sz w:val="24"/>
          <w:szCs w:val="24"/>
          <w:lang w:val="fr-CA"/>
        </w:rPr>
        <w:t xml:space="preserve"> de l’élément impacté</w:t>
      </w:r>
      <w:r w:rsidR="00C716B3">
        <w:rPr>
          <w:rFonts w:ascii="Times New Roman" w:hAnsi="Times New Roman"/>
          <w:b/>
          <w:bCs/>
          <w:iCs/>
          <w:sz w:val="24"/>
          <w:szCs w:val="24"/>
          <w:lang w:val="fr-CA"/>
        </w:rPr>
        <w:t xml:space="preserve"> </w:t>
      </w:r>
      <w:r w:rsidRPr="00C801A6">
        <w:rPr>
          <w:rFonts w:ascii="Times New Roman" w:hAnsi="Times New Roman"/>
          <w:b/>
          <w:bCs/>
          <w:iCs/>
          <w:sz w:val="24"/>
          <w:szCs w:val="24"/>
          <w:lang w:val="fr-CA"/>
        </w:rPr>
        <w:t xml:space="preserve">: </w:t>
      </w:r>
      <w:r w:rsidRPr="00C801A6">
        <w:rPr>
          <w:rFonts w:ascii="Times New Roman" w:hAnsi="Times New Roman"/>
          <w:iCs/>
          <w:sz w:val="24"/>
          <w:szCs w:val="24"/>
          <w:lang w:val="fr-CA"/>
        </w:rPr>
        <w:t xml:space="preserve">elle découle d’un jugement global qui exprime le degré de conservation et de protection accordé à cet élément. Elle peut être : </w:t>
      </w:r>
    </w:p>
    <w:tbl>
      <w:tblPr>
        <w:tblW w:w="0" w:type="auto"/>
        <w:tblInd w:w="468" w:type="dxa"/>
        <w:tblLook w:val="01E0" w:firstRow="1" w:lastRow="1" w:firstColumn="1" w:lastColumn="1" w:noHBand="0" w:noVBand="0"/>
      </w:tblPr>
      <w:tblGrid>
        <w:gridCol w:w="1322"/>
        <w:gridCol w:w="7281"/>
      </w:tblGrid>
      <w:tr w:rsidR="00C801A6" w:rsidRPr="00C801A6" w14:paraId="5C18F290" w14:textId="77777777" w:rsidTr="00347FDB">
        <w:tc>
          <w:tcPr>
            <w:tcW w:w="1327" w:type="dxa"/>
          </w:tcPr>
          <w:p w14:paraId="12B83E03" w14:textId="77777777" w:rsidR="00575CDF" w:rsidRPr="00C801A6" w:rsidRDefault="00575CDF" w:rsidP="00347FDB">
            <w:pPr>
              <w:pStyle w:val="PlainText"/>
              <w:spacing w:before="60" w:after="60"/>
              <w:jc w:val="both"/>
              <w:rPr>
                <w:rFonts w:ascii="Times New Roman" w:hAnsi="Times New Roman"/>
                <w:i/>
                <w:sz w:val="24"/>
                <w:szCs w:val="24"/>
                <w:lang w:val="fr-CA"/>
              </w:rPr>
            </w:pPr>
            <w:r w:rsidRPr="00C801A6">
              <w:rPr>
                <w:rFonts w:ascii="Times New Roman" w:hAnsi="Times New Roman"/>
                <w:i/>
                <w:sz w:val="24"/>
                <w:szCs w:val="24"/>
                <w:lang w:val="fr-CA"/>
              </w:rPr>
              <w:t>Forte :</w:t>
            </w:r>
            <w:r w:rsidRPr="00C801A6">
              <w:rPr>
                <w:rFonts w:ascii="Times New Roman" w:hAnsi="Times New Roman"/>
                <w:iCs/>
                <w:sz w:val="24"/>
                <w:szCs w:val="24"/>
                <w:lang w:val="fr-CA"/>
              </w:rPr>
              <w:t xml:space="preserve"> </w:t>
            </w:r>
          </w:p>
        </w:tc>
        <w:tc>
          <w:tcPr>
            <w:tcW w:w="7455" w:type="dxa"/>
          </w:tcPr>
          <w:p w14:paraId="412FA6A6" w14:textId="396B9B03" w:rsidR="00575CDF" w:rsidRPr="00C801A6" w:rsidRDefault="00C716B3" w:rsidP="00347FDB">
            <w:pPr>
              <w:pStyle w:val="PlainText"/>
              <w:spacing w:before="60" w:after="60"/>
              <w:jc w:val="both"/>
              <w:rPr>
                <w:rFonts w:ascii="Times New Roman" w:hAnsi="Times New Roman"/>
                <w:i/>
                <w:sz w:val="24"/>
                <w:szCs w:val="24"/>
                <w:u w:val="single"/>
                <w:lang w:val="fr-CA"/>
              </w:rPr>
            </w:pPr>
            <w:r>
              <w:rPr>
                <w:rFonts w:ascii="Times New Roman" w:hAnsi="Times New Roman"/>
                <w:iCs/>
                <w:sz w:val="24"/>
                <w:szCs w:val="24"/>
                <w:lang w:val="fr-CA"/>
              </w:rPr>
              <w:t>L</w:t>
            </w:r>
            <w:r w:rsidR="00575CDF" w:rsidRPr="00C801A6">
              <w:rPr>
                <w:rFonts w:ascii="Times New Roman" w:hAnsi="Times New Roman"/>
                <w:iCs/>
                <w:sz w:val="24"/>
                <w:szCs w:val="24"/>
                <w:lang w:val="fr-CA"/>
              </w:rPr>
              <w:t>orsqu’un élément présente des qualités exceptionnelles et dont la conservation ou la protection font l’objet d’un consensus.</w:t>
            </w:r>
          </w:p>
        </w:tc>
      </w:tr>
      <w:tr w:rsidR="00C801A6" w:rsidRPr="00C801A6" w14:paraId="6DAC11EC" w14:textId="77777777" w:rsidTr="00347FDB">
        <w:tblPrEx>
          <w:tblCellMar>
            <w:left w:w="70" w:type="dxa"/>
            <w:right w:w="70" w:type="dxa"/>
          </w:tblCellMar>
          <w:tblLook w:val="0000" w:firstRow="0" w:lastRow="0" w:firstColumn="0" w:lastColumn="0" w:noHBand="0" w:noVBand="0"/>
        </w:tblPrEx>
        <w:tc>
          <w:tcPr>
            <w:tcW w:w="1327" w:type="dxa"/>
          </w:tcPr>
          <w:p w14:paraId="441E6A5C" w14:textId="77777777" w:rsidR="00575CDF" w:rsidRPr="00C801A6" w:rsidRDefault="00575CDF" w:rsidP="00347FDB">
            <w:pPr>
              <w:pStyle w:val="PlainText"/>
              <w:spacing w:before="60" w:after="60"/>
              <w:jc w:val="both"/>
              <w:rPr>
                <w:rFonts w:ascii="Times New Roman" w:hAnsi="Times New Roman"/>
                <w:i/>
                <w:sz w:val="24"/>
                <w:szCs w:val="24"/>
                <w:lang w:val="fr-CA"/>
              </w:rPr>
            </w:pPr>
            <w:r w:rsidRPr="00C801A6">
              <w:rPr>
                <w:rFonts w:ascii="Times New Roman" w:hAnsi="Times New Roman"/>
                <w:i/>
                <w:sz w:val="24"/>
                <w:szCs w:val="24"/>
                <w:lang w:val="fr-CA"/>
              </w:rPr>
              <w:t>Moyenne </w:t>
            </w:r>
            <w:r w:rsidRPr="00C801A6">
              <w:rPr>
                <w:rFonts w:ascii="Times New Roman" w:hAnsi="Times New Roman"/>
                <w:iCs/>
                <w:sz w:val="24"/>
                <w:szCs w:val="24"/>
                <w:lang w:val="fr-CA"/>
              </w:rPr>
              <w:t xml:space="preserve">: </w:t>
            </w:r>
          </w:p>
        </w:tc>
        <w:tc>
          <w:tcPr>
            <w:tcW w:w="7455" w:type="dxa"/>
          </w:tcPr>
          <w:p w14:paraId="5DE3226A" w14:textId="14A0467B" w:rsidR="00575CDF" w:rsidRPr="00C801A6" w:rsidRDefault="00C716B3" w:rsidP="00347FDB">
            <w:pPr>
              <w:pStyle w:val="PlainText"/>
              <w:spacing w:before="60" w:after="60"/>
              <w:jc w:val="both"/>
              <w:rPr>
                <w:rFonts w:ascii="Times New Roman" w:hAnsi="Times New Roman"/>
                <w:i/>
                <w:sz w:val="24"/>
                <w:szCs w:val="24"/>
                <w:u w:val="single"/>
                <w:lang w:val="fr-CA"/>
              </w:rPr>
            </w:pPr>
            <w:r>
              <w:rPr>
                <w:rFonts w:ascii="Times New Roman" w:hAnsi="Times New Roman"/>
                <w:iCs/>
                <w:sz w:val="24"/>
                <w:szCs w:val="24"/>
                <w:lang w:val="fr-CA"/>
              </w:rPr>
              <w:t>L</w:t>
            </w:r>
            <w:r w:rsidR="00575CDF" w:rsidRPr="00C801A6">
              <w:rPr>
                <w:rFonts w:ascii="Times New Roman" w:hAnsi="Times New Roman"/>
                <w:iCs/>
                <w:sz w:val="24"/>
                <w:szCs w:val="24"/>
                <w:lang w:val="fr-CA"/>
              </w:rPr>
              <w:t>orsque la conservation ou la protection d’un élément représente un sujet de préoccupation ou dont les activités ou les ressources sont appréciées.</w:t>
            </w:r>
          </w:p>
        </w:tc>
      </w:tr>
      <w:tr w:rsidR="00C801A6" w:rsidRPr="00C801A6" w14:paraId="40C69752" w14:textId="77777777" w:rsidTr="00347FDB">
        <w:tblPrEx>
          <w:tblCellMar>
            <w:left w:w="70" w:type="dxa"/>
            <w:right w:w="70" w:type="dxa"/>
          </w:tblCellMar>
          <w:tblLook w:val="0000" w:firstRow="0" w:lastRow="0" w:firstColumn="0" w:lastColumn="0" w:noHBand="0" w:noVBand="0"/>
        </w:tblPrEx>
        <w:tc>
          <w:tcPr>
            <w:tcW w:w="1327" w:type="dxa"/>
          </w:tcPr>
          <w:p w14:paraId="7D388DA1" w14:textId="77777777" w:rsidR="00575CDF" w:rsidRPr="00C801A6" w:rsidRDefault="00575CDF" w:rsidP="00347FDB">
            <w:pPr>
              <w:pStyle w:val="PlainText"/>
              <w:spacing w:before="60" w:after="60"/>
              <w:jc w:val="both"/>
              <w:rPr>
                <w:rFonts w:ascii="Times New Roman" w:hAnsi="Times New Roman"/>
                <w:i/>
                <w:sz w:val="24"/>
                <w:szCs w:val="24"/>
                <w:lang w:val="fr-CA"/>
              </w:rPr>
            </w:pPr>
            <w:r w:rsidRPr="00C801A6">
              <w:rPr>
                <w:rFonts w:ascii="Times New Roman" w:hAnsi="Times New Roman"/>
                <w:i/>
                <w:sz w:val="24"/>
                <w:szCs w:val="24"/>
                <w:lang w:val="fr-CA"/>
              </w:rPr>
              <w:t>Faible </w:t>
            </w:r>
            <w:r w:rsidRPr="00C801A6">
              <w:rPr>
                <w:rFonts w:ascii="Times New Roman" w:hAnsi="Times New Roman"/>
                <w:iCs/>
                <w:sz w:val="24"/>
                <w:szCs w:val="24"/>
                <w:lang w:val="fr-CA"/>
              </w:rPr>
              <w:t xml:space="preserve">: </w:t>
            </w:r>
          </w:p>
        </w:tc>
        <w:tc>
          <w:tcPr>
            <w:tcW w:w="7455" w:type="dxa"/>
          </w:tcPr>
          <w:p w14:paraId="7D9E6646" w14:textId="54AB3E4A" w:rsidR="00575CDF" w:rsidRPr="00C801A6" w:rsidRDefault="00C716B3" w:rsidP="00347FDB">
            <w:pPr>
              <w:pStyle w:val="PlainText"/>
              <w:spacing w:before="60" w:after="60"/>
              <w:jc w:val="both"/>
              <w:rPr>
                <w:rFonts w:ascii="Times New Roman" w:hAnsi="Times New Roman"/>
                <w:i/>
                <w:sz w:val="24"/>
                <w:szCs w:val="24"/>
                <w:u w:val="single"/>
                <w:lang w:val="fr-CA"/>
              </w:rPr>
            </w:pPr>
            <w:r>
              <w:rPr>
                <w:rFonts w:ascii="Times New Roman" w:hAnsi="Times New Roman"/>
                <w:iCs/>
                <w:sz w:val="24"/>
                <w:szCs w:val="24"/>
                <w:lang w:val="fr-CA"/>
              </w:rPr>
              <w:t>L</w:t>
            </w:r>
            <w:r w:rsidR="00575CDF" w:rsidRPr="00C801A6">
              <w:rPr>
                <w:rFonts w:ascii="Times New Roman" w:hAnsi="Times New Roman"/>
                <w:iCs/>
                <w:sz w:val="24"/>
                <w:szCs w:val="24"/>
                <w:lang w:val="fr-CA"/>
              </w:rPr>
              <w:t>orsqu’un élément suscite peu de préoccupations, de protection ou de conservation.</w:t>
            </w:r>
          </w:p>
        </w:tc>
      </w:tr>
    </w:tbl>
    <w:p w14:paraId="1DA8036D" w14:textId="77777777" w:rsidR="00575CDF" w:rsidRPr="00C801A6" w:rsidRDefault="00575CDF" w:rsidP="00844538">
      <w:pPr>
        <w:pStyle w:val="PlainText"/>
        <w:numPr>
          <w:ilvl w:val="0"/>
          <w:numId w:val="45"/>
        </w:numPr>
        <w:shd w:val="clear" w:color="auto" w:fill="FFFFFF" w:themeFill="background1"/>
        <w:spacing w:before="120" w:after="80" w:line="240" w:lineRule="auto"/>
        <w:jc w:val="both"/>
        <w:rPr>
          <w:rFonts w:ascii="Times New Roman" w:hAnsi="Times New Roman"/>
          <w:sz w:val="24"/>
          <w:szCs w:val="24"/>
        </w:rPr>
      </w:pPr>
      <w:r w:rsidRPr="00C801A6">
        <w:rPr>
          <w:rFonts w:ascii="Times New Roman" w:hAnsi="Times New Roman"/>
          <w:b/>
          <w:sz w:val="24"/>
          <w:szCs w:val="24"/>
        </w:rPr>
        <w:t>Intensité</w:t>
      </w:r>
      <w:r w:rsidRPr="00C801A6">
        <w:rPr>
          <w:rFonts w:ascii="Times New Roman" w:hAnsi="Times New Roman"/>
          <w:sz w:val="24"/>
          <w:szCs w:val="24"/>
        </w:rPr>
        <w:t xml:space="preserve"> ou </w:t>
      </w:r>
      <w:r w:rsidRPr="00C801A6">
        <w:rPr>
          <w:rFonts w:ascii="Times New Roman" w:hAnsi="Times New Roman"/>
          <w:b/>
          <w:sz w:val="24"/>
          <w:szCs w:val="24"/>
        </w:rPr>
        <w:t>ampleur</w:t>
      </w:r>
      <w:r w:rsidRPr="00C801A6">
        <w:rPr>
          <w:rFonts w:ascii="Times New Roman" w:hAnsi="Times New Roman"/>
          <w:sz w:val="24"/>
          <w:szCs w:val="24"/>
        </w:rPr>
        <w:t xml:space="preserve"> de la perturbation ou de la modification : souvent, on distingue 3 degrés de perturbation</w:t>
      </w:r>
    </w:p>
    <w:tbl>
      <w:tblPr>
        <w:tblW w:w="0" w:type="auto"/>
        <w:tblInd w:w="496" w:type="dxa"/>
        <w:tblLayout w:type="fixed"/>
        <w:tblCellMar>
          <w:left w:w="70" w:type="dxa"/>
          <w:right w:w="70" w:type="dxa"/>
        </w:tblCellMar>
        <w:tblLook w:val="0000" w:firstRow="0" w:lastRow="0" w:firstColumn="0" w:lastColumn="0" w:noHBand="0" w:noVBand="0"/>
      </w:tblPr>
      <w:tblGrid>
        <w:gridCol w:w="992"/>
        <w:gridCol w:w="7723"/>
      </w:tblGrid>
      <w:tr w:rsidR="00C801A6" w:rsidRPr="00C801A6" w14:paraId="672A09B8" w14:textId="77777777" w:rsidTr="00347FDB">
        <w:tc>
          <w:tcPr>
            <w:tcW w:w="992" w:type="dxa"/>
          </w:tcPr>
          <w:p w14:paraId="51982FE2" w14:textId="74DB7622" w:rsidR="00575CDF" w:rsidRPr="00C801A6" w:rsidRDefault="00575CDF" w:rsidP="00347FDB">
            <w:pPr>
              <w:pStyle w:val="PlainText"/>
              <w:spacing w:before="60" w:after="60"/>
              <w:jc w:val="both"/>
              <w:rPr>
                <w:rFonts w:ascii="Times New Roman" w:hAnsi="Times New Roman"/>
                <w:sz w:val="24"/>
                <w:szCs w:val="24"/>
              </w:rPr>
            </w:pPr>
            <w:r w:rsidRPr="00C801A6">
              <w:rPr>
                <w:rFonts w:ascii="Times New Roman" w:hAnsi="Times New Roman"/>
                <w:i/>
                <w:sz w:val="24"/>
                <w:szCs w:val="24"/>
              </w:rPr>
              <w:t>Fort</w:t>
            </w:r>
            <w:r w:rsidR="00C716B3">
              <w:rPr>
                <w:rFonts w:ascii="Times New Roman" w:hAnsi="Times New Roman"/>
                <w:i/>
                <w:sz w:val="24"/>
                <w:szCs w:val="24"/>
              </w:rPr>
              <w:t xml:space="preserve"> </w:t>
            </w:r>
            <w:r w:rsidRPr="00C801A6">
              <w:rPr>
                <w:rFonts w:ascii="Times New Roman" w:hAnsi="Times New Roman"/>
                <w:sz w:val="24"/>
                <w:szCs w:val="24"/>
              </w:rPr>
              <w:t xml:space="preserve">: </w:t>
            </w:r>
          </w:p>
        </w:tc>
        <w:tc>
          <w:tcPr>
            <w:tcW w:w="7723" w:type="dxa"/>
          </w:tcPr>
          <w:p w14:paraId="5671CF49" w14:textId="2A5B2161" w:rsidR="00575CDF" w:rsidRPr="00C801A6" w:rsidRDefault="00C716B3" w:rsidP="00347FDB">
            <w:pPr>
              <w:pStyle w:val="PlainText"/>
              <w:spacing w:before="60" w:after="60"/>
              <w:jc w:val="both"/>
              <w:rPr>
                <w:rFonts w:ascii="Times New Roman" w:hAnsi="Times New Roman"/>
                <w:sz w:val="24"/>
                <w:szCs w:val="24"/>
              </w:rPr>
            </w:pPr>
            <w:r>
              <w:rPr>
                <w:rFonts w:ascii="Times New Roman" w:hAnsi="Times New Roman"/>
                <w:sz w:val="24"/>
                <w:szCs w:val="24"/>
              </w:rPr>
              <w:t>L</w:t>
            </w:r>
            <w:r w:rsidR="00575CDF" w:rsidRPr="00C801A6">
              <w:rPr>
                <w:rFonts w:ascii="Times New Roman" w:hAnsi="Times New Roman"/>
                <w:sz w:val="24"/>
                <w:szCs w:val="24"/>
              </w:rPr>
              <w:t>'impact met en cause l'intégrité de l'élément de l'Environnement considéré et en modifie complètement sa dynamique.</w:t>
            </w:r>
          </w:p>
        </w:tc>
      </w:tr>
      <w:tr w:rsidR="00C801A6" w:rsidRPr="00C801A6" w14:paraId="6AF2BFDA" w14:textId="77777777" w:rsidTr="00347FDB">
        <w:tc>
          <w:tcPr>
            <w:tcW w:w="992" w:type="dxa"/>
          </w:tcPr>
          <w:p w14:paraId="52C3CEC1" w14:textId="224FE2DA" w:rsidR="00575CDF" w:rsidRPr="00C801A6" w:rsidRDefault="00575CDF" w:rsidP="00347FDB">
            <w:pPr>
              <w:pStyle w:val="PlainText"/>
              <w:spacing w:before="60" w:after="60"/>
              <w:jc w:val="both"/>
              <w:rPr>
                <w:rFonts w:ascii="Times New Roman" w:hAnsi="Times New Roman"/>
                <w:sz w:val="24"/>
                <w:szCs w:val="24"/>
              </w:rPr>
            </w:pPr>
            <w:r w:rsidRPr="00C801A6">
              <w:rPr>
                <w:rFonts w:ascii="Times New Roman" w:hAnsi="Times New Roman"/>
                <w:i/>
                <w:sz w:val="24"/>
                <w:szCs w:val="24"/>
              </w:rPr>
              <w:t>Moyen</w:t>
            </w:r>
            <w:r w:rsidR="00C716B3">
              <w:rPr>
                <w:rFonts w:ascii="Times New Roman" w:hAnsi="Times New Roman"/>
                <w:i/>
                <w:sz w:val="24"/>
                <w:szCs w:val="24"/>
              </w:rPr>
              <w:t xml:space="preserve"> </w:t>
            </w:r>
            <w:r w:rsidRPr="00C801A6">
              <w:rPr>
                <w:rFonts w:ascii="Times New Roman" w:hAnsi="Times New Roman"/>
                <w:sz w:val="24"/>
                <w:szCs w:val="24"/>
              </w:rPr>
              <w:t xml:space="preserve">: </w:t>
            </w:r>
          </w:p>
        </w:tc>
        <w:tc>
          <w:tcPr>
            <w:tcW w:w="7723" w:type="dxa"/>
          </w:tcPr>
          <w:p w14:paraId="3CDFA611" w14:textId="2B3A40FA" w:rsidR="00575CDF" w:rsidRPr="00C801A6" w:rsidRDefault="00C716B3" w:rsidP="00347FDB">
            <w:pPr>
              <w:pStyle w:val="PlainText"/>
              <w:spacing w:before="60" w:after="60"/>
              <w:jc w:val="both"/>
              <w:rPr>
                <w:rFonts w:ascii="Times New Roman" w:hAnsi="Times New Roman"/>
                <w:sz w:val="24"/>
                <w:szCs w:val="24"/>
              </w:rPr>
            </w:pPr>
            <w:r>
              <w:rPr>
                <w:rFonts w:ascii="Times New Roman" w:hAnsi="Times New Roman"/>
                <w:sz w:val="24"/>
                <w:szCs w:val="24"/>
              </w:rPr>
              <w:t>L</w:t>
            </w:r>
            <w:r w:rsidR="00575CDF" w:rsidRPr="00C801A6">
              <w:rPr>
                <w:rFonts w:ascii="Times New Roman" w:hAnsi="Times New Roman"/>
                <w:sz w:val="24"/>
                <w:szCs w:val="24"/>
              </w:rPr>
              <w:t>'impact modifie l'élément sans pour autant en modifier les fonctions</w:t>
            </w:r>
          </w:p>
        </w:tc>
      </w:tr>
      <w:tr w:rsidR="00C801A6" w:rsidRPr="00C801A6" w14:paraId="21F35FCB" w14:textId="77777777" w:rsidTr="00347FDB">
        <w:tc>
          <w:tcPr>
            <w:tcW w:w="992" w:type="dxa"/>
          </w:tcPr>
          <w:p w14:paraId="7DB6FAB0" w14:textId="6DBE7945" w:rsidR="00575CDF" w:rsidRPr="00C801A6" w:rsidRDefault="00575CDF" w:rsidP="00347FDB">
            <w:pPr>
              <w:pStyle w:val="PlainText"/>
              <w:spacing w:before="60" w:after="60"/>
              <w:jc w:val="both"/>
              <w:rPr>
                <w:rFonts w:ascii="Times New Roman" w:hAnsi="Times New Roman"/>
                <w:sz w:val="24"/>
                <w:szCs w:val="24"/>
              </w:rPr>
            </w:pPr>
            <w:r w:rsidRPr="00C801A6">
              <w:rPr>
                <w:rFonts w:ascii="Times New Roman" w:hAnsi="Times New Roman"/>
                <w:i/>
                <w:sz w:val="24"/>
                <w:szCs w:val="24"/>
              </w:rPr>
              <w:t>Faible</w:t>
            </w:r>
            <w:r w:rsidR="00C716B3">
              <w:rPr>
                <w:rFonts w:ascii="Times New Roman" w:hAnsi="Times New Roman"/>
                <w:i/>
                <w:sz w:val="24"/>
                <w:szCs w:val="24"/>
              </w:rPr>
              <w:t xml:space="preserve"> </w:t>
            </w:r>
            <w:r w:rsidRPr="00C801A6">
              <w:rPr>
                <w:rFonts w:ascii="Times New Roman" w:hAnsi="Times New Roman"/>
                <w:sz w:val="24"/>
                <w:szCs w:val="24"/>
              </w:rPr>
              <w:t xml:space="preserve">: </w:t>
            </w:r>
          </w:p>
        </w:tc>
        <w:tc>
          <w:tcPr>
            <w:tcW w:w="7723" w:type="dxa"/>
          </w:tcPr>
          <w:p w14:paraId="6FBC32BD" w14:textId="75FF9731" w:rsidR="00575CDF" w:rsidRPr="00C801A6" w:rsidRDefault="00C716B3" w:rsidP="00347FDB">
            <w:pPr>
              <w:pStyle w:val="PlainText"/>
              <w:spacing w:before="60" w:after="60"/>
              <w:jc w:val="both"/>
              <w:rPr>
                <w:rFonts w:ascii="Times New Roman" w:hAnsi="Times New Roman"/>
                <w:sz w:val="24"/>
                <w:szCs w:val="24"/>
              </w:rPr>
            </w:pPr>
            <w:r>
              <w:rPr>
                <w:rFonts w:ascii="Times New Roman" w:hAnsi="Times New Roman"/>
                <w:sz w:val="24"/>
                <w:szCs w:val="24"/>
              </w:rPr>
              <w:t>L</w:t>
            </w:r>
            <w:r w:rsidR="00575CDF" w:rsidRPr="00C801A6">
              <w:rPr>
                <w:rFonts w:ascii="Times New Roman" w:hAnsi="Times New Roman"/>
                <w:sz w:val="24"/>
                <w:szCs w:val="24"/>
              </w:rPr>
              <w:t>'impact se résume en une modification superficielle de l'élément sans en altérer la dynamique ni sa qualité.</w:t>
            </w:r>
          </w:p>
        </w:tc>
      </w:tr>
    </w:tbl>
    <w:p w14:paraId="10AEAE37" w14:textId="77777777" w:rsidR="00575CDF" w:rsidRPr="00C801A6" w:rsidRDefault="00575CDF" w:rsidP="00844538">
      <w:pPr>
        <w:pStyle w:val="PlainText"/>
        <w:numPr>
          <w:ilvl w:val="0"/>
          <w:numId w:val="45"/>
        </w:numPr>
        <w:shd w:val="clear" w:color="auto" w:fill="FFFFFF" w:themeFill="background1"/>
        <w:spacing w:before="120" w:after="80" w:line="240" w:lineRule="auto"/>
        <w:jc w:val="both"/>
        <w:rPr>
          <w:rFonts w:ascii="Times New Roman" w:hAnsi="Times New Roman"/>
          <w:sz w:val="24"/>
          <w:szCs w:val="24"/>
        </w:rPr>
      </w:pPr>
      <w:r w:rsidRPr="00C801A6">
        <w:rPr>
          <w:rFonts w:ascii="Times New Roman" w:hAnsi="Times New Roman"/>
          <w:b/>
          <w:sz w:val="24"/>
          <w:szCs w:val="24"/>
        </w:rPr>
        <w:t>Étendue</w:t>
      </w:r>
      <w:r w:rsidRPr="00C801A6">
        <w:rPr>
          <w:rFonts w:ascii="Times New Roman" w:hAnsi="Times New Roman"/>
          <w:b/>
          <w:bCs/>
          <w:sz w:val="24"/>
          <w:szCs w:val="24"/>
        </w:rPr>
        <w:t xml:space="preserve"> </w:t>
      </w:r>
      <w:r w:rsidRPr="00C801A6">
        <w:rPr>
          <w:rFonts w:ascii="Times New Roman" w:hAnsi="Times New Roman"/>
          <w:sz w:val="24"/>
          <w:szCs w:val="24"/>
        </w:rPr>
        <w:t>: elle correspond à la portée spatiale de l'impact considéré. Habituellement, on distingue les 3 niveaux suivants :</w:t>
      </w:r>
    </w:p>
    <w:tbl>
      <w:tblPr>
        <w:tblW w:w="8905" w:type="dxa"/>
        <w:tblInd w:w="496" w:type="dxa"/>
        <w:tblLayout w:type="fixed"/>
        <w:tblCellMar>
          <w:left w:w="70" w:type="dxa"/>
          <w:right w:w="70" w:type="dxa"/>
        </w:tblCellMar>
        <w:tblLook w:val="0000" w:firstRow="0" w:lastRow="0" w:firstColumn="0" w:lastColumn="0" w:noHBand="0" w:noVBand="0"/>
      </w:tblPr>
      <w:tblGrid>
        <w:gridCol w:w="1347"/>
        <w:gridCol w:w="7558"/>
      </w:tblGrid>
      <w:tr w:rsidR="00C801A6" w:rsidRPr="00C801A6" w14:paraId="09000F29" w14:textId="77777777" w:rsidTr="00C716B3">
        <w:tc>
          <w:tcPr>
            <w:tcW w:w="1347" w:type="dxa"/>
          </w:tcPr>
          <w:p w14:paraId="185E21B1" w14:textId="4ADAB540" w:rsidR="00575CDF" w:rsidRPr="00C801A6" w:rsidRDefault="00575CDF" w:rsidP="00347FDB">
            <w:pPr>
              <w:pStyle w:val="PlainText"/>
              <w:spacing w:before="60" w:after="60"/>
              <w:jc w:val="both"/>
              <w:rPr>
                <w:rFonts w:ascii="Times New Roman" w:hAnsi="Times New Roman"/>
                <w:sz w:val="24"/>
                <w:szCs w:val="24"/>
              </w:rPr>
            </w:pPr>
            <w:r w:rsidRPr="00C801A6">
              <w:rPr>
                <w:rFonts w:ascii="Times New Roman" w:hAnsi="Times New Roman"/>
                <w:i/>
                <w:sz w:val="24"/>
                <w:szCs w:val="24"/>
              </w:rPr>
              <w:lastRenderedPageBreak/>
              <w:t>Régionale</w:t>
            </w:r>
            <w:r w:rsidR="00C716B3">
              <w:rPr>
                <w:rFonts w:ascii="Times New Roman" w:hAnsi="Times New Roman"/>
                <w:i/>
                <w:sz w:val="24"/>
                <w:szCs w:val="24"/>
              </w:rPr>
              <w:t xml:space="preserve"> </w:t>
            </w:r>
            <w:r w:rsidRPr="00C801A6">
              <w:rPr>
                <w:rFonts w:ascii="Times New Roman" w:hAnsi="Times New Roman"/>
                <w:sz w:val="24"/>
                <w:szCs w:val="24"/>
              </w:rPr>
              <w:t xml:space="preserve">: </w:t>
            </w:r>
          </w:p>
        </w:tc>
        <w:tc>
          <w:tcPr>
            <w:tcW w:w="7558" w:type="dxa"/>
          </w:tcPr>
          <w:p w14:paraId="6E3F2F22" w14:textId="6F62EB78" w:rsidR="00575CDF" w:rsidRPr="00C801A6" w:rsidRDefault="00C716B3" w:rsidP="00347FDB">
            <w:pPr>
              <w:pStyle w:val="PlainText"/>
              <w:spacing w:before="60" w:after="60"/>
              <w:jc w:val="both"/>
              <w:rPr>
                <w:rFonts w:ascii="Times New Roman" w:hAnsi="Times New Roman"/>
                <w:sz w:val="24"/>
                <w:szCs w:val="24"/>
              </w:rPr>
            </w:pPr>
            <w:r>
              <w:rPr>
                <w:rFonts w:ascii="Times New Roman" w:hAnsi="Times New Roman"/>
                <w:sz w:val="24"/>
                <w:szCs w:val="24"/>
              </w:rPr>
              <w:t>L</w:t>
            </w:r>
            <w:r w:rsidR="00575CDF" w:rsidRPr="00C801A6">
              <w:rPr>
                <w:rFonts w:ascii="Times New Roman" w:hAnsi="Times New Roman"/>
                <w:sz w:val="24"/>
                <w:szCs w:val="24"/>
              </w:rPr>
              <w:t xml:space="preserve">'impact sera ressenti par une part importante de la population ou des récepteurs d'impact en </w:t>
            </w:r>
            <w:r w:rsidR="00FD3227" w:rsidRPr="00C801A6">
              <w:rPr>
                <w:rFonts w:ascii="Times New Roman" w:hAnsi="Times New Roman"/>
                <w:sz w:val="24"/>
                <w:szCs w:val="24"/>
              </w:rPr>
              <w:t>général ;</w:t>
            </w:r>
          </w:p>
        </w:tc>
      </w:tr>
      <w:tr w:rsidR="00C801A6" w:rsidRPr="00C801A6" w14:paraId="51444886" w14:textId="77777777" w:rsidTr="00C716B3">
        <w:tc>
          <w:tcPr>
            <w:tcW w:w="1347" w:type="dxa"/>
          </w:tcPr>
          <w:p w14:paraId="62524945" w14:textId="43682607" w:rsidR="00575CDF" w:rsidRPr="00C801A6" w:rsidRDefault="00575CDF" w:rsidP="00347FDB">
            <w:pPr>
              <w:pStyle w:val="PlainText"/>
              <w:spacing w:before="60" w:after="60"/>
              <w:jc w:val="both"/>
              <w:rPr>
                <w:rFonts w:ascii="Times New Roman" w:hAnsi="Times New Roman"/>
                <w:sz w:val="24"/>
                <w:szCs w:val="24"/>
              </w:rPr>
            </w:pPr>
            <w:r w:rsidRPr="00C801A6">
              <w:rPr>
                <w:rFonts w:ascii="Times New Roman" w:hAnsi="Times New Roman"/>
                <w:i/>
                <w:sz w:val="24"/>
                <w:szCs w:val="24"/>
              </w:rPr>
              <w:t>Zonale</w:t>
            </w:r>
            <w:r w:rsidR="00C716B3">
              <w:rPr>
                <w:rFonts w:ascii="Times New Roman" w:hAnsi="Times New Roman"/>
                <w:i/>
                <w:sz w:val="24"/>
                <w:szCs w:val="24"/>
              </w:rPr>
              <w:t xml:space="preserve"> </w:t>
            </w:r>
            <w:r w:rsidRPr="00C801A6">
              <w:rPr>
                <w:rFonts w:ascii="Times New Roman" w:hAnsi="Times New Roman"/>
                <w:sz w:val="24"/>
                <w:szCs w:val="24"/>
              </w:rPr>
              <w:t xml:space="preserve">: </w:t>
            </w:r>
          </w:p>
        </w:tc>
        <w:tc>
          <w:tcPr>
            <w:tcW w:w="7558" w:type="dxa"/>
          </w:tcPr>
          <w:p w14:paraId="09D1D0CF" w14:textId="3370EF72" w:rsidR="00575CDF" w:rsidRPr="00C801A6" w:rsidRDefault="00FD3227" w:rsidP="00347FDB">
            <w:pPr>
              <w:pStyle w:val="PlainText"/>
              <w:spacing w:before="60" w:after="60"/>
              <w:jc w:val="both"/>
              <w:rPr>
                <w:rFonts w:ascii="Times New Roman" w:hAnsi="Times New Roman"/>
                <w:sz w:val="24"/>
                <w:szCs w:val="24"/>
              </w:rPr>
            </w:pPr>
            <w:r>
              <w:rPr>
                <w:rFonts w:ascii="Times New Roman" w:hAnsi="Times New Roman"/>
                <w:sz w:val="24"/>
                <w:szCs w:val="24"/>
              </w:rPr>
              <w:t>L</w:t>
            </w:r>
            <w:r w:rsidR="00575CDF" w:rsidRPr="00C801A6">
              <w:rPr>
                <w:rFonts w:ascii="Times New Roman" w:hAnsi="Times New Roman"/>
                <w:sz w:val="24"/>
                <w:szCs w:val="24"/>
              </w:rPr>
              <w:t>'impact sera ressenti par les récepteurs situés à l'intérieur de la zone d'étude (exemple</w:t>
            </w:r>
            <w:r>
              <w:rPr>
                <w:rFonts w:ascii="Times New Roman" w:hAnsi="Times New Roman"/>
                <w:sz w:val="24"/>
                <w:szCs w:val="24"/>
              </w:rPr>
              <w:t xml:space="preserve"> </w:t>
            </w:r>
            <w:r w:rsidR="00575CDF" w:rsidRPr="00C801A6">
              <w:rPr>
                <w:rFonts w:ascii="Times New Roman" w:hAnsi="Times New Roman"/>
                <w:sz w:val="24"/>
                <w:szCs w:val="24"/>
              </w:rPr>
              <w:t>: commune)</w:t>
            </w:r>
          </w:p>
        </w:tc>
      </w:tr>
      <w:tr w:rsidR="00C801A6" w:rsidRPr="00C801A6" w14:paraId="41482E93" w14:textId="77777777" w:rsidTr="00C716B3">
        <w:tc>
          <w:tcPr>
            <w:tcW w:w="1347" w:type="dxa"/>
          </w:tcPr>
          <w:p w14:paraId="439F26C7" w14:textId="0D87A2DA" w:rsidR="00575CDF" w:rsidRPr="00C801A6" w:rsidRDefault="00575CDF" w:rsidP="00347FDB">
            <w:pPr>
              <w:pStyle w:val="PlainText"/>
              <w:spacing w:before="60" w:after="60"/>
              <w:jc w:val="both"/>
              <w:rPr>
                <w:rFonts w:ascii="Times New Roman" w:hAnsi="Times New Roman"/>
                <w:sz w:val="24"/>
                <w:szCs w:val="24"/>
              </w:rPr>
            </w:pPr>
            <w:r w:rsidRPr="00C801A6">
              <w:rPr>
                <w:rFonts w:ascii="Times New Roman" w:hAnsi="Times New Roman"/>
                <w:i/>
                <w:sz w:val="24"/>
                <w:szCs w:val="24"/>
              </w:rPr>
              <w:t>Locale</w:t>
            </w:r>
            <w:r w:rsidR="00C716B3">
              <w:rPr>
                <w:rFonts w:ascii="Times New Roman" w:hAnsi="Times New Roman"/>
                <w:i/>
                <w:sz w:val="24"/>
                <w:szCs w:val="24"/>
              </w:rPr>
              <w:t xml:space="preserve"> </w:t>
            </w:r>
            <w:r w:rsidRPr="00C801A6">
              <w:rPr>
                <w:rFonts w:ascii="Times New Roman" w:hAnsi="Times New Roman"/>
                <w:sz w:val="24"/>
                <w:szCs w:val="24"/>
              </w:rPr>
              <w:t xml:space="preserve">: </w:t>
            </w:r>
          </w:p>
        </w:tc>
        <w:tc>
          <w:tcPr>
            <w:tcW w:w="7558" w:type="dxa"/>
          </w:tcPr>
          <w:p w14:paraId="4B9F81ED" w14:textId="0E9EAF13" w:rsidR="00575CDF" w:rsidRPr="00C801A6" w:rsidRDefault="00FD3227" w:rsidP="00347FDB">
            <w:pPr>
              <w:pStyle w:val="PlainText"/>
              <w:spacing w:before="60" w:after="60"/>
              <w:jc w:val="both"/>
              <w:rPr>
                <w:rFonts w:ascii="Times New Roman" w:hAnsi="Times New Roman"/>
                <w:sz w:val="24"/>
                <w:szCs w:val="24"/>
              </w:rPr>
            </w:pPr>
            <w:r>
              <w:rPr>
                <w:rFonts w:ascii="Times New Roman" w:hAnsi="Times New Roman"/>
                <w:sz w:val="24"/>
                <w:szCs w:val="24"/>
              </w:rPr>
              <w:t>L</w:t>
            </w:r>
            <w:r w:rsidR="00575CDF" w:rsidRPr="00C801A6">
              <w:rPr>
                <w:rFonts w:ascii="Times New Roman" w:hAnsi="Times New Roman"/>
                <w:sz w:val="24"/>
                <w:szCs w:val="24"/>
              </w:rPr>
              <w:t>'impact ne sera ressenti que par une proportion limitée des récepteurs (exemple</w:t>
            </w:r>
            <w:r>
              <w:rPr>
                <w:rFonts w:ascii="Times New Roman" w:hAnsi="Times New Roman"/>
                <w:sz w:val="24"/>
                <w:szCs w:val="24"/>
              </w:rPr>
              <w:t xml:space="preserve"> </w:t>
            </w:r>
            <w:r w:rsidR="00575CDF" w:rsidRPr="00C801A6">
              <w:rPr>
                <w:rFonts w:ascii="Times New Roman" w:hAnsi="Times New Roman"/>
                <w:sz w:val="24"/>
                <w:szCs w:val="24"/>
              </w:rPr>
              <w:t>: hameau)</w:t>
            </w:r>
          </w:p>
        </w:tc>
      </w:tr>
    </w:tbl>
    <w:p w14:paraId="092F9034" w14:textId="77777777" w:rsidR="00575CDF" w:rsidRPr="00C801A6" w:rsidRDefault="00575CDF" w:rsidP="00844538">
      <w:pPr>
        <w:pStyle w:val="PlainText"/>
        <w:numPr>
          <w:ilvl w:val="0"/>
          <w:numId w:val="45"/>
        </w:numPr>
        <w:shd w:val="clear" w:color="auto" w:fill="FFFFFF" w:themeFill="background1"/>
        <w:spacing w:before="120" w:after="80" w:line="240" w:lineRule="auto"/>
        <w:jc w:val="both"/>
        <w:rPr>
          <w:rFonts w:ascii="Times New Roman" w:hAnsi="Times New Roman"/>
          <w:sz w:val="24"/>
          <w:szCs w:val="24"/>
        </w:rPr>
      </w:pPr>
      <w:r w:rsidRPr="00C801A6">
        <w:rPr>
          <w:rFonts w:ascii="Times New Roman" w:hAnsi="Times New Roman"/>
          <w:b/>
          <w:sz w:val="24"/>
          <w:szCs w:val="24"/>
        </w:rPr>
        <w:t>Durée</w:t>
      </w:r>
      <w:r w:rsidRPr="00C801A6">
        <w:rPr>
          <w:rFonts w:ascii="Times New Roman" w:hAnsi="Times New Roman"/>
          <w:b/>
          <w:bCs/>
          <w:sz w:val="24"/>
          <w:szCs w:val="24"/>
        </w:rPr>
        <w:t xml:space="preserve"> </w:t>
      </w:r>
      <w:r w:rsidRPr="00C801A6">
        <w:rPr>
          <w:rFonts w:ascii="Times New Roman" w:hAnsi="Times New Roman"/>
          <w:sz w:val="24"/>
          <w:szCs w:val="24"/>
        </w:rPr>
        <w:t>: un impact peut être</w:t>
      </w:r>
    </w:p>
    <w:tbl>
      <w:tblPr>
        <w:tblW w:w="0" w:type="auto"/>
        <w:tblInd w:w="468" w:type="dxa"/>
        <w:tblLook w:val="01E0" w:firstRow="1" w:lastRow="1" w:firstColumn="1" w:lastColumn="1" w:noHBand="0" w:noVBand="0"/>
      </w:tblPr>
      <w:tblGrid>
        <w:gridCol w:w="1653"/>
        <w:gridCol w:w="6950"/>
      </w:tblGrid>
      <w:tr w:rsidR="00C801A6" w:rsidRPr="00C801A6" w14:paraId="0C582CC1" w14:textId="77777777" w:rsidTr="00347FDB">
        <w:tc>
          <w:tcPr>
            <w:tcW w:w="1460" w:type="dxa"/>
          </w:tcPr>
          <w:p w14:paraId="00BBC35B" w14:textId="77777777" w:rsidR="00575CDF" w:rsidRPr="00C801A6" w:rsidRDefault="00575CDF" w:rsidP="00347FDB">
            <w:pPr>
              <w:pStyle w:val="PlainText"/>
              <w:spacing w:before="60" w:after="60"/>
              <w:jc w:val="both"/>
              <w:rPr>
                <w:rFonts w:ascii="Times New Roman" w:hAnsi="Times New Roman"/>
                <w:b/>
                <w:sz w:val="24"/>
                <w:szCs w:val="24"/>
              </w:rPr>
            </w:pPr>
            <w:r w:rsidRPr="00C801A6">
              <w:rPr>
                <w:rFonts w:ascii="Times New Roman" w:hAnsi="Times New Roman"/>
                <w:i/>
                <w:sz w:val="24"/>
                <w:szCs w:val="24"/>
              </w:rPr>
              <w:t>Permanente</w:t>
            </w:r>
            <w:r w:rsidRPr="00C801A6">
              <w:rPr>
                <w:rFonts w:ascii="Times New Roman" w:hAnsi="Times New Roman"/>
                <w:b/>
                <w:sz w:val="24"/>
                <w:szCs w:val="24"/>
              </w:rPr>
              <w:t> :</w:t>
            </w:r>
          </w:p>
        </w:tc>
        <w:tc>
          <w:tcPr>
            <w:tcW w:w="7360" w:type="dxa"/>
          </w:tcPr>
          <w:p w14:paraId="3E4230D5" w14:textId="72FA2AE5" w:rsidR="00575CDF" w:rsidRPr="00C801A6" w:rsidRDefault="00FD3227" w:rsidP="00347FDB">
            <w:pPr>
              <w:pStyle w:val="PlainText"/>
              <w:spacing w:before="60" w:after="60"/>
              <w:jc w:val="both"/>
              <w:rPr>
                <w:rFonts w:ascii="Times New Roman" w:hAnsi="Times New Roman"/>
                <w:b/>
                <w:sz w:val="24"/>
                <w:szCs w:val="24"/>
              </w:rPr>
            </w:pPr>
            <w:r>
              <w:rPr>
                <w:rFonts w:ascii="Times New Roman" w:hAnsi="Times New Roman"/>
                <w:iCs/>
                <w:sz w:val="24"/>
                <w:szCs w:val="24"/>
                <w:lang w:val="fr-CA"/>
              </w:rPr>
              <w:t>S</w:t>
            </w:r>
            <w:r w:rsidR="00575CDF" w:rsidRPr="00C801A6">
              <w:rPr>
                <w:rFonts w:ascii="Times New Roman" w:hAnsi="Times New Roman"/>
                <w:iCs/>
                <w:sz w:val="24"/>
                <w:szCs w:val="24"/>
                <w:lang w:val="fr-CA"/>
              </w:rPr>
              <w:t xml:space="preserve">’il a un caractère d’irréversibilité et </w:t>
            </w:r>
            <w:r w:rsidR="00575CDF" w:rsidRPr="00C801A6">
              <w:rPr>
                <w:rFonts w:ascii="Times New Roman" w:hAnsi="Times New Roman"/>
                <w:sz w:val="24"/>
                <w:szCs w:val="24"/>
              </w:rPr>
              <w:t>quand ses effets sont ressentis de manière définitive ou sur une longue</w:t>
            </w:r>
            <w:r w:rsidR="003349AF" w:rsidRPr="00C801A6">
              <w:rPr>
                <w:rFonts w:ascii="Times New Roman" w:hAnsi="Times New Roman"/>
                <w:sz w:val="24"/>
                <w:szCs w:val="24"/>
              </w:rPr>
              <w:t xml:space="preserve"> </w:t>
            </w:r>
            <w:r w:rsidR="00575CDF" w:rsidRPr="00C801A6">
              <w:rPr>
                <w:rFonts w:ascii="Times New Roman" w:hAnsi="Times New Roman"/>
                <w:sz w:val="24"/>
                <w:szCs w:val="24"/>
              </w:rPr>
              <w:t>durée</w:t>
            </w:r>
            <w:r w:rsidR="00575CDF" w:rsidRPr="00C801A6">
              <w:rPr>
                <w:rFonts w:ascii="Times New Roman" w:hAnsi="Times New Roman"/>
                <w:b/>
                <w:sz w:val="24"/>
                <w:szCs w:val="24"/>
              </w:rPr>
              <w:t xml:space="preserve"> </w:t>
            </w:r>
          </w:p>
        </w:tc>
      </w:tr>
      <w:tr w:rsidR="00C801A6" w:rsidRPr="00C801A6" w14:paraId="6E07E80D" w14:textId="77777777" w:rsidTr="00347FDB">
        <w:tblPrEx>
          <w:tblCellMar>
            <w:left w:w="70" w:type="dxa"/>
            <w:right w:w="70" w:type="dxa"/>
          </w:tblCellMar>
          <w:tblLook w:val="0000" w:firstRow="0" w:lastRow="0" w:firstColumn="0" w:lastColumn="0" w:noHBand="0" w:noVBand="0"/>
        </w:tblPrEx>
        <w:tc>
          <w:tcPr>
            <w:tcW w:w="1460" w:type="dxa"/>
          </w:tcPr>
          <w:p w14:paraId="2DB9B118" w14:textId="77777777" w:rsidR="00575CDF" w:rsidRPr="00C801A6" w:rsidRDefault="00575CDF" w:rsidP="00347FDB">
            <w:pPr>
              <w:pStyle w:val="PlainText"/>
              <w:spacing w:before="60" w:after="60"/>
              <w:jc w:val="both"/>
              <w:rPr>
                <w:rFonts w:ascii="Times New Roman" w:hAnsi="Times New Roman"/>
                <w:b/>
                <w:sz w:val="24"/>
                <w:szCs w:val="24"/>
              </w:rPr>
            </w:pPr>
            <w:r w:rsidRPr="00C801A6">
              <w:rPr>
                <w:rFonts w:ascii="Times New Roman" w:hAnsi="Times New Roman"/>
                <w:i/>
                <w:sz w:val="24"/>
                <w:szCs w:val="24"/>
              </w:rPr>
              <w:t>Temporaire</w:t>
            </w:r>
            <w:r w:rsidRPr="00C801A6">
              <w:rPr>
                <w:rFonts w:ascii="Times New Roman" w:hAnsi="Times New Roman"/>
                <w:b/>
                <w:sz w:val="24"/>
                <w:szCs w:val="24"/>
              </w:rPr>
              <w:t> :</w:t>
            </w:r>
          </w:p>
        </w:tc>
        <w:tc>
          <w:tcPr>
            <w:tcW w:w="7360" w:type="dxa"/>
          </w:tcPr>
          <w:p w14:paraId="47CBBC69" w14:textId="2BC07A26" w:rsidR="00575CDF" w:rsidRPr="00C801A6" w:rsidRDefault="00FD3227" w:rsidP="00347FDB">
            <w:pPr>
              <w:pStyle w:val="PlainText"/>
              <w:spacing w:before="60" w:after="60"/>
              <w:jc w:val="both"/>
              <w:rPr>
                <w:rFonts w:ascii="Times New Roman" w:hAnsi="Times New Roman"/>
                <w:sz w:val="24"/>
                <w:szCs w:val="24"/>
              </w:rPr>
            </w:pPr>
            <w:r>
              <w:rPr>
                <w:rFonts w:ascii="Times New Roman" w:hAnsi="Times New Roman"/>
                <w:sz w:val="24"/>
                <w:szCs w:val="24"/>
              </w:rPr>
              <w:t>S</w:t>
            </w:r>
            <w:r w:rsidR="00575CDF" w:rsidRPr="00C801A6">
              <w:rPr>
                <w:rFonts w:ascii="Times New Roman" w:hAnsi="Times New Roman"/>
                <w:sz w:val="24"/>
                <w:szCs w:val="24"/>
              </w:rPr>
              <w:t>'il ne dure que le temps d'une phase du projet</w:t>
            </w:r>
          </w:p>
        </w:tc>
      </w:tr>
      <w:tr w:rsidR="00C801A6" w:rsidRPr="00C801A6" w14:paraId="42BDC5D1" w14:textId="77777777" w:rsidTr="00347FDB">
        <w:tblPrEx>
          <w:tblCellMar>
            <w:left w:w="70" w:type="dxa"/>
            <w:right w:w="70" w:type="dxa"/>
          </w:tblCellMar>
          <w:tblLook w:val="0000" w:firstRow="0" w:lastRow="0" w:firstColumn="0" w:lastColumn="0" w:noHBand="0" w:noVBand="0"/>
        </w:tblPrEx>
        <w:tc>
          <w:tcPr>
            <w:tcW w:w="1460" w:type="dxa"/>
          </w:tcPr>
          <w:p w14:paraId="405E27BE" w14:textId="77777777" w:rsidR="00575CDF" w:rsidRPr="00C801A6" w:rsidRDefault="00575CDF" w:rsidP="00347FDB">
            <w:pPr>
              <w:pStyle w:val="PlainText"/>
              <w:spacing w:before="60" w:after="60"/>
              <w:jc w:val="both"/>
              <w:rPr>
                <w:rFonts w:ascii="Times New Roman" w:hAnsi="Times New Roman"/>
                <w:b/>
                <w:sz w:val="24"/>
                <w:szCs w:val="24"/>
              </w:rPr>
            </w:pPr>
            <w:r w:rsidRPr="00C801A6">
              <w:rPr>
                <w:rFonts w:ascii="Times New Roman" w:hAnsi="Times New Roman"/>
                <w:i/>
                <w:sz w:val="24"/>
                <w:szCs w:val="24"/>
              </w:rPr>
              <w:t>Occasionnelle :</w:t>
            </w:r>
            <w:r w:rsidRPr="00C801A6">
              <w:rPr>
                <w:rFonts w:ascii="Times New Roman" w:hAnsi="Times New Roman"/>
                <w:b/>
                <w:sz w:val="24"/>
                <w:szCs w:val="24"/>
              </w:rPr>
              <w:t xml:space="preserve"> </w:t>
            </w:r>
          </w:p>
        </w:tc>
        <w:tc>
          <w:tcPr>
            <w:tcW w:w="7360" w:type="dxa"/>
          </w:tcPr>
          <w:p w14:paraId="772788F3" w14:textId="55F6A124" w:rsidR="00575CDF" w:rsidRPr="00C801A6" w:rsidRDefault="00CE71D9" w:rsidP="00347FDB">
            <w:pPr>
              <w:pStyle w:val="PlainText"/>
              <w:spacing w:before="60" w:after="60"/>
              <w:jc w:val="both"/>
              <w:rPr>
                <w:rFonts w:ascii="Times New Roman" w:hAnsi="Times New Roman"/>
                <w:sz w:val="24"/>
                <w:szCs w:val="24"/>
              </w:rPr>
            </w:pPr>
            <w:r w:rsidRPr="00C801A6">
              <w:rPr>
                <w:rFonts w:ascii="Times New Roman" w:hAnsi="Times New Roman"/>
                <w:sz w:val="24"/>
                <w:szCs w:val="24"/>
              </w:rPr>
              <w:t>S’il</w:t>
            </w:r>
            <w:r w:rsidR="00575CDF" w:rsidRPr="00C801A6">
              <w:rPr>
                <w:rFonts w:ascii="Times New Roman" w:hAnsi="Times New Roman"/>
                <w:sz w:val="24"/>
                <w:szCs w:val="24"/>
              </w:rPr>
              <w:t xml:space="preserve"> ne touche un ou des éléments de l'Environnement que pendant une courte période</w:t>
            </w:r>
            <w:r w:rsidR="00575CDF" w:rsidRPr="00C801A6">
              <w:rPr>
                <w:rFonts w:ascii="Times New Roman" w:hAnsi="Times New Roman"/>
                <w:b/>
                <w:sz w:val="24"/>
                <w:szCs w:val="24"/>
              </w:rPr>
              <w:t>.</w:t>
            </w:r>
          </w:p>
        </w:tc>
      </w:tr>
    </w:tbl>
    <w:p w14:paraId="055AC05E" w14:textId="77777777" w:rsidR="00575CDF" w:rsidRPr="00C801A6" w:rsidRDefault="00575CDF" w:rsidP="00844538">
      <w:pPr>
        <w:pStyle w:val="PlainText"/>
        <w:numPr>
          <w:ilvl w:val="0"/>
          <w:numId w:val="45"/>
        </w:numPr>
        <w:shd w:val="clear" w:color="auto" w:fill="FFFFFF" w:themeFill="background1"/>
        <w:spacing w:before="120" w:after="80" w:line="240" w:lineRule="auto"/>
        <w:jc w:val="both"/>
        <w:rPr>
          <w:rFonts w:ascii="Times New Roman" w:hAnsi="Times New Roman"/>
          <w:sz w:val="24"/>
          <w:szCs w:val="24"/>
        </w:rPr>
      </w:pPr>
      <w:r w:rsidRPr="00C801A6">
        <w:rPr>
          <w:rFonts w:ascii="Times New Roman" w:hAnsi="Times New Roman"/>
          <w:b/>
          <w:sz w:val="24"/>
          <w:szCs w:val="24"/>
        </w:rPr>
        <w:t>Fréquence</w:t>
      </w:r>
      <w:r w:rsidRPr="00C801A6">
        <w:rPr>
          <w:rFonts w:ascii="Times New Roman" w:hAnsi="Times New Roman"/>
          <w:b/>
          <w:bCs/>
          <w:sz w:val="24"/>
          <w:szCs w:val="24"/>
        </w:rPr>
        <w:t xml:space="preserve"> </w:t>
      </w:r>
      <w:r w:rsidRPr="00C801A6">
        <w:rPr>
          <w:rFonts w:ascii="Times New Roman" w:hAnsi="Times New Roman"/>
          <w:sz w:val="24"/>
          <w:szCs w:val="24"/>
        </w:rPr>
        <w:t xml:space="preserve">: la fréquence peut être caractérisée de plusieurs façons suivant le niveau de risque et de danger. Souvent, on la qualifie de </w:t>
      </w:r>
      <w:r w:rsidRPr="00C801A6">
        <w:rPr>
          <w:rFonts w:ascii="Times New Roman" w:hAnsi="Times New Roman"/>
          <w:i/>
          <w:sz w:val="24"/>
          <w:szCs w:val="24"/>
        </w:rPr>
        <w:t>faible</w:t>
      </w:r>
      <w:r w:rsidRPr="00C801A6">
        <w:rPr>
          <w:rFonts w:ascii="Times New Roman" w:hAnsi="Times New Roman"/>
          <w:sz w:val="24"/>
          <w:szCs w:val="24"/>
        </w:rPr>
        <w:t xml:space="preserve">, </w:t>
      </w:r>
      <w:r w:rsidRPr="00C801A6">
        <w:rPr>
          <w:rFonts w:ascii="Times New Roman" w:hAnsi="Times New Roman"/>
          <w:i/>
          <w:sz w:val="24"/>
          <w:szCs w:val="24"/>
        </w:rPr>
        <w:t>moyenne</w:t>
      </w:r>
      <w:r w:rsidRPr="00C801A6">
        <w:rPr>
          <w:rFonts w:ascii="Times New Roman" w:hAnsi="Times New Roman"/>
          <w:sz w:val="24"/>
          <w:szCs w:val="24"/>
        </w:rPr>
        <w:t xml:space="preserve"> ou </w:t>
      </w:r>
      <w:r w:rsidRPr="00C801A6">
        <w:rPr>
          <w:rFonts w:ascii="Times New Roman" w:hAnsi="Times New Roman"/>
          <w:i/>
          <w:sz w:val="24"/>
          <w:szCs w:val="24"/>
        </w:rPr>
        <w:t>élevée</w:t>
      </w:r>
      <w:r w:rsidRPr="00C801A6">
        <w:rPr>
          <w:rFonts w:ascii="Times New Roman" w:hAnsi="Times New Roman"/>
          <w:sz w:val="24"/>
          <w:szCs w:val="24"/>
        </w:rPr>
        <w:t>. Ici, tout est relatif car un accident qui se passe une fois par an à une fréquence très élevée.</w:t>
      </w:r>
    </w:p>
    <w:p w14:paraId="059276AC" w14:textId="77777777" w:rsidR="00575CDF" w:rsidRPr="00C801A6" w:rsidRDefault="00575CDF" w:rsidP="00575CDF">
      <w:pPr>
        <w:tabs>
          <w:tab w:val="left" w:pos="993"/>
        </w:tabs>
        <w:rPr>
          <w:rFonts w:cs="Times New Roman"/>
          <w:color w:val="auto"/>
          <w:szCs w:val="24"/>
        </w:rPr>
      </w:pPr>
      <w:r w:rsidRPr="00C801A6">
        <w:rPr>
          <w:rFonts w:cs="Times New Roman"/>
          <w:color w:val="auto"/>
          <w:szCs w:val="24"/>
        </w:rPr>
        <w:t>L’importance de l’impact est évaluée selon les critères d’évaluation cités ci-dessus. L’impact peut ainsi avoir une importance majeure, intermédiaire ou mineure.</w:t>
      </w:r>
    </w:p>
    <w:p w14:paraId="5EDF5184" w14:textId="20F4AC96" w:rsidR="00575CDF" w:rsidRPr="00C801A6" w:rsidRDefault="00FD3227" w:rsidP="001C76FC">
      <w:pPr>
        <w:pStyle w:val="Caption"/>
        <w:spacing w:after="360"/>
        <w:rPr>
          <w:rFonts w:ascii="Times New Roman" w:hAnsi="Times New Roman" w:cs="Times New Roman"/>
          <w:color w:val="auto"/>
        </w:rPr>
      </w:pPr>
      <w:bookmarkStart w:id="613" w:name="_Toc230427743"/>
      <w:r>
        <w:t xml:space="preserve">Tableau </w:t>
      </w:r>
      <w:r w:rsidR="00E44887">
        <w:fldChar w:fldCharType="begin"/>
      </w:r>
      <w:r w:rsidR="00E44887">
        <w:instrText xml:space="preserve"> SEQ Tableau \* ARABIC </w:instrText>
      </w:r>
      <w:r w:rsidR="00E44887">
        <w:fldChar w:fldCharType="separate"/>
      </w:r>
      <w:r w:rsidR="00253F1A">
        <w:rPr>
          <w:noProof/>
        </w:rPr>
        <w:t>23</w:t>
      </w:r>
      <w:r w:rsidR="00E44887">
        <w:rPr>
          <w:noProof/>
        </w:rPr>
        <w:fldChar w:fldCharType="end"/>
      </w:r>
      <w:r w:rsidR="00575CDF" w:rsidRPr="00C801A6">
        <w:rPr>
          <w:color w:val="auto"/>
        </w:rPr>
        <w:t> : Grille d’évaluation des impacts</w:t>
      </w:r>
      <w:r w:rsidR="00575CDF" w:rsidRPr="00C801A6">
        <w:rPr>
          <w:rFonts w:ascii="Times New Roman" w:hAnsi="Times New Roman" w:cs="Times New Roman"/>
          <w:color w:val="auto"/>
        </w:rPr>
        <w:t xml:space="preserve"> (matrice de Fecteau)</w:t>
      </w:r>
      <w:bookmarkEnd w:id="613"/>
    </w:p>
    <w:tbl>
      <w:tblPr>
        <w:tblW w:w="946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5"/>
        <w:gridCol w:w="1118"/>
        <w:gridCol w:w="1260"/>
        <w:gridCol w:w="1440"/>
        <w:gridCol w:w="1099"/>
        <w:gridCol w:w="1099"/>
        <w:gridCol w:w="1100"/>
        <w:gridCol w:w="360"/>
      </w:tblGrid>
      <w:tr w:rsidR="00C801A6" w:rsidRPr="00C801A6" w14:paraId="48EFF1FC" w14:textId="77777777" w:rsidTr="00347FDB">
        <w:trPr>
          <w:gridAfter w:val="1"/>
          <w:wAfter w:w="360" w:type="dxa"/>
          <w:trHeight w:val="360"/>
          <w:tblHeader/>
        </w:trPr>
        <w:tc>
          <w:tcPr>
            <w:tcW w:w="1985" w:type="dxa"/>
            <w:vMerge w:val="restart"/>
            <w:shd w:val="clear" w:color="auto" w:fill="E2EFD9" w:themeFill="accent6" w:themeFillTint="33"/>
            <w:vAlign w:val="center"/>
          </w:tcPr>
          <w:p w14:paraId="38471529" w14:textId="77777777" w:rsidR="00575CDF" w:rsidRPr="00C801A6" w:rsidRDefault="00575CDF" w:rsidP="00347FDB">
            <w:pPr>
              <w:spacing w:before="20" w:after="20" w:line="264" w:lineRule="auto"/>
              <w:jc w:val="center"/>
              <w:rPr>
                <w:rFonts w:cs="Times New Roman"/>
                <w:b/>
                <w:bCs/>
                <w:color w:val="auto"/>
                <w:sz w:val="20"/>
                <w:szCs w:val="20"/>
                <w:lang w:val="fr-CA"/>
              </w:rPr>
            </w:pPr>
            <w:r w:rsidRPr="00C801A6">
              <w:rPr>
                <w:rFonts w:cs="Times New Roman"/>
                <w:b/>
                <w:bCs/>
                <w:color w:val="auto"/>
                <w:sz w:val="20"/>
                <w:szCs w:val="20"/>
                <w:lang w:val="fr-CA"/>
              </w:rPr>
              <w:t>Valeur de l’élément subissant l’impact</w:t>
            </w:r>
          </w:p>
        </w:tc>
        <w:tc>
          <w:tcPr>
            <w:tcW w:w="1118" w:type="dxa"/>
            <w:vMerge w:val="restart"/>
            <w:shd w:val="clear" w:color="auto" w:fill="E2EFD9" w:themeFill="accent6" w:themeFillTint="33"/>
            <w:vAlign w:val="center"/>
          </w:tcPr>
          <w:p w14:paraId="1A03A86E" w14:textId="77777777" w:rsidR="00575CDF" w:rsidRPr="00C801A6" w:rsidRDefault="00575CDF" w:rsidP="00347FDB">
            <w:pPr>
              <w:spacing w:before="20" w:after="20" w:line="264" w:lineRule="auto"/>
              <w:jc w:val="left"/>
              <w:rPr>
                <w:rFonts w:cs="Times New Roman"/>
                <w:b/>
                <w:bCs/>
                <w:color w:val="auto"/>
                <w:sz w:val="20"/>
                <w:szCs w:val="20"/>
                <w:lang w:val="fr-CA" w:eastAsia="fr-CA"/>
              </w:rPr>
            </w:pPr>
            <w:r w:rsidRPr="00C801A6">
              <w:rPr>
                <w:rFonts w:cs="Times New Roman"/>
                <w:b/>
                <w:bCs/>
                <w:color w:val="auto"/>
                <w:sz w:val="20"/>
                <w:szCs w:val="20"/>
                <w:lang w:val="fr-CA" w:eastAsia="fr-CA"/>
              </w:rPr>
              <w:t>Intensité</w:t>
            </w:r>
          </w:p>
        </w:tc>
        <w:tc>
          <w:tcPr>
            <w:tcW w:w="1260" w:type="dxa"/>
            <w:vMerge w:val="restart"/>
            <w:shd w:val="clear" w:color="auto" w:fill="E2EFD9" w:themeFill="accent6" w:themeFillTint="33"/>
            <w:vAlign w:val="center"/>
          </w:tcPr>
          <w:p w14:paraId="196131F8" w14:textId="77777777" w:rsidR="00575CDF" w:rsidRPr="00C801A6" w:rsidRDefault="00575CDF" w:rsidP="00347FDB">
            <w:pPr>
              <w:spacing w:before="20" w:after="20" w:line="264" w:lineRule="auto"/>
              <w:jc w:val="left"/>
              <w:rPr>
                <w:rFonts w:cs="Times New Roman"/>
                <w:color w:val="auto"/>
                <w:sz w:val="20"/>
                <w:szCs w:val="20"/>
              </w:rPr>
            </w:pPr>
            <w:r w:rsidRPr="00C801A6">
              <w:rPr>
                <w:rFonts w:cs="Times New Roman"/>
                <w:b/>
                <w:bCs/>
                <w:color w:val="auto"/>
                <w:sz w:val="20"/>
                <w:szCs w:val="20"/>
                <w:lang w:val="fr-CA" w:eastAsia="fr-CA"/>
              </w:rPr>
              <w:t>Étendue</w:t>
            </w:r>
          </w:p>
        </w:tc>
        <w:tc>
          <w:tcPr>
            <w:tcW w:w="1440" w:type="dxa"/>
            <w:vMerge w:val="restart"/>
            <w:shd w:val="clear" w:color="auto" w:fill="E2EFD9" w:themeFill="accent6" w:themeFillTint="33"/>
            <w:vAlign w:val="center"/>
          </w:tcPr>
          <w:p w14:paraId="40C6BECD"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b/>
                <w:bCs/>
                <w:color w:val="auto"/>
                <w:sz w:val="20"/>
                <w:szCs w:val="20"/>
                <w:lang w:val="fr-CA" w:eastAsia="fr-CA"/>
              </w:rPr>
              <w:t>Durée</w:t>
            </w:r>
          </w:p>
        </w:tc>
        <w:tc>
          <w:tcPr>
            <w:tcW w:w="3298" w:type="dxa"/>
            <w:gridSpan w:val="3"/>
            <w:shd w:val="clear" w:color="auto" w:fill="E2EFD9" w:themeFill="accent6" w:themeFillTint="33"/>
            <w:vAlign w:val="center"/>
          </w:tcPr>
          <w:p w14:paraId="239291CC"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b/>
                <w:bCs/>
                <w:color w:val="auto"/>
                <w:sz w:val="20"/>
                <w:szCs w:val="20"/>
                <w:lang w:val="fr-CA" w:eastAsia="fr-CA"/>
              </w:rPr>
              <w:t>Importance de l’impact</w:t>
            </w:r>
          </w:p>
        </w:tc>
      </w:tr>
      <w:tr w:rsidR="00C801A6" w:rsidRPr="00C801A6" w14:paraId="7EDFB660" w14:textId="77777777" w:rsidTr="00347FDB">
        <w:trPr>
          <w:gridAfter w:val="1"/>
          <w:wAfter w:w="360" w:type="dxa"/>
          <w:tblHeader/>
        </w:trPr>
        <w:tc>
          <w:tcPr>
            <w:tcW w:w="1985" w:type="dxa"/>
            <w:vMerge/>
            <w:shd w:val="clear" w:color="auto" w:fill="E2EFD9" w:themeFill="accent6" w:themeFillTint="33"/>
          </w:tcPr>
          <w:p w14:paraId="38233733" w14:textId="77777777" w:rsidR="00575CDF" w:rsidRPr="00C801A6" w:rsidRDefault="00575CDF" w:rsidP="00347FDB">
            <w:pPr>
              <w:spacing w:before="20" w:after="20" w:line="264" w:lineRule="auto"/>
              <w:rPr>
                <w:rFonts w:cs="Times New Roman"/>
                <w:color w:val="auto"/>
                <w:sz w:val="20"/>
                <w:szCs w:val="20"/>
              </w:rPr>
            </w:pPr>
          </w:p>
        </w:tc>
        <w:tc>
          <w:tcPr>
            <w:tcW w:w="1118" w:type="dxa"/>
            <w:vMerge/>
            <w:shd w:val="clear" w:color="auto" w:fill="E2EFD9" w:themeFill="accent6" w:themeFillTint="33"/>
          </w:tcPr>
          <w:p w14:paraId="3A097386" w14:textId="77777777" w:rsidR="00575CDF" w:rsidRPr="00C801A6" w:rsidRDefault="00575CDF" w:rsidP="00347FDB">
            <w:pPr>
              <w:spacing w:before="20" w:after="20" w:line="264" w:lineRule="auto"/>
              <w:jc w:val="left"/>
              <w:rPr>
                <w:rFonts w:cs="Times New Roman"/>
                <w:color w:val="auto"/>
                <w:sz w:val="20"/>
                <w:szCs w:val="20"/>
              </w:rPr>
            </w:pPr>
          </w:p>
        </w:tc>
        <w:tc>
          <w:tcPr>
            <w:tcW w:w="1260" w:type="dxa"/>
            <w:vMerge/>
            <w:shd w:val="clear" w:color="auto" w:fill="E2EFD9" w:themeFill="accent6" w:themeFillTint="33"/>
          </w:tcPr>
          <w:p w14:paraId="17A1A6E9" w14:textId="77777777" w:rsidR="00575CDF" w:rsidRPr="00C801A6" w:rsidRDefault="00575CDF" w:rsidP="00347FDB">
            <w:pPr>
              <w:spacing w:before="20" w:after="20" w:line="264" w:lineRule="auto"/>
              <w:jc w:val="left"/>
              <w:rPr>
                <w:rFonts w:cs="Times New Roman"/>
                <w:color w:val="auto"/>
                <w:sz w:val="20"/>
                <w:szCs w:val="20"/>
              </w:rPr>
            </w:pPr>
          </w:p>
        </w:tc>
        <w:tc>
          <w:tcPr>
            <w:tcW w:w="1440" w:type="dxa"/>
            <w:vMerge/>
            <w:shd w:val="clear" w:color="auto" w:fill="E2EFD9" w:themeFill="accent6" w:themeFillTint="33"/>
          </w:tcPr>
          <w:p w14:paraId="2F8CFA35" w14:textId="77777777" w:rsidR="00575CDF" w:rsidRPr="00C801A6" w:rsidRDefault="00575CDF" w:rsidP="00347FDB">
            <w:pPr>
              <w:spacing w:before="20" w:after="20" w:line="264" w:lineRule="auto"/>
              <w:rPr>
                <w:rFonts w:cs="Times New Roman"/>
                <w:color w:val="auto"/>
                <w:sz w:val="20"/>
                <w:szCs w:val="20"/>
              </w:rPr>
            </w:pPr>
          </w:p>
        </w:tc>
        <w:tc>
          <w:tcPr>
            <w:tcW w:w="1099" w:type="dxa"/>
            <w:shd w:val="clear" w:color="auto" w:fill="E2EFD9" w:themeFill="accent6" w:themeFillTint="33"/>
            <w:vAlign w:val="center"/>
          </w:tcPr>
          <w:p w14:paraId="4E679A9F"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b/>
                <w:bCs/>
                <w:color w:val="auto"/>
                <w:sz w:val="20"/>
                <w:szCs w:val="20"/>
                <w:lang w:val="fr-CA" w:eastAsia="fr-CA"/>
              </w:rPr>
              <w:t>Majeure</w:t>
            </w:r>
          </w:p>
        </w:tc>
        <w:tc>
          <w:tcPr>
            <w:tcW w:w="1099" w:type="dxa"/>
            <w:shd w:val="clear" w:color="auto" w:fill="E2EFD9" w:themeFill="accent6" w:themeFillTint="33"/>
            <w:vAlign w:val="center"/>
          </w:tcPr>
          <w:p w14:paraId="77A397A8"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b/>
                <w:bCs/>
                <w:color w:val="auto"/>
                <w:sz w:val="20"/>
                <w:szCs w:val="20"/>
                <w:lang w:val="fr-CA" w:eastAsia="fr-CA"/>
              </w:rPr>
              <w:t>Moyenne</w:t>
            </w:r>
          </w:p>
        </w:tc>
        <w:tc>
          <w:tcPr>
            <w:tcW w:w="1100" w:type="dxa"/>
            <w:shd w:val="clear" w:color="auto" w:fill="E2EFD9" w:themeFill="accent6" w:themeFillTint="33"/>
            <w:vAlign w:val="center"/>
          </w:tcPr>
          <w:p w14:paraId="59FDF653"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b/>
                <w:bCs/>
                <w:color w:val="auto"/>
                <w:sz w:val="20"/>
                <w:szCs w:val="20"/>
                <w:lang w:val="fr-CA" w:eastAsia="fr-CA"/>
              </w:rPr>
              <w:t>Mineure</w:t>
            </w:r>
          </w:p>
        </w:tc>
      </w:tr>
      <w:tr w:rsidR="00C801A6" w:rsidRPr="00C801A6" w14:paraId="539594A8" w14:textId="77777777" w:rsidTr="00347FDB">
        <w:trPr>
          <w:gridAfter w:val="1"/>
          <w:wAfter w:w="360" w:type="dxa"/>
        </w:trPr>
        <w:tc>
          <w:tcPr>
            <w:tcW w:w="1985" w:type="dxa"/>
            <w:vMerge w:val="restart"/>
            <w:vAlign w:val="center"/>
          </w:tcPr>
          <w:p w14:paraId="6764741D" w14:textId="77777777" w:rsidR="00575CDF" w:rsidRPr="00C801A6" w:rsidRDefault="00575CDF" w:rsidP="00347FDB">
            <w:pPr>
              <w:autoSpaceDE w:val="0"/>
              <w:autoSpaceDN w:val="0"/>
              <w:adjustRightInd w:val="0"/>
              <w:spacing w:before="20" w:after="20" w:line="264" w:lineRule="auto"/>
              <w:rPr>
                <w:rFonts w:cs="Times New Roman"/>
                <w:color w:val="auto"/>
                <w:sz w:val="20"/>
                <w:szCs w:val="20"/>
              </w:rPr>
            </w:pPr>
            <w:r w:rsidRPr="00C801A6">
              <w:rPr>
                <w:rFonts w:cs="Times New Roman"/>
                <w:color w:val="auto"/>
                <w:sz w:val="20"/>
                <w:szCs w:val="20"/>
              </w:rPr>
              <w:t>Elevée</w:t>
            </w:r>
          </w:p>
        </w:tc>
        <w:tc>
          <w:tcPr>
            <w:tcW w:w="1118" w:type="dxa"/>
            <w:vMerge w:val="restart"/>
            <w:vAlign w:val="center"/>
          </w:tcPr>
          <w:p w14:paraId="13C76477" w14:textId="77777777" w:rsidR="00575CDF" w:rsidRPr="00C801A6" w:rsidRDefault="00575CDF" w:rsidP="00347FDB">
            <w:pPr>
              <w:spacing w:before="20" w:after="20" w:line="264" w:lineRule="auto"/>
              <w:jc w:val="left"/>
              <w:rPr>
                <w:rFonts w:cs="Times New Roman"/>
                <w:color w:val="auto"/>
                <w:sz w:val="20"/>
                <w:szCs w:val="20"/>
              </w:rPr>
            </w:pPr>
            <w:r w:rsidRPr="00C801A6">
              <w:rPr>
                <w:rFonts w:cs="Times New Roman"/>
                <w:color w:val="auto"/>
                <w:sz w:val="20"/>
                <w:szCs w:val="20"/>
                <w:lang w:val="fr-CA" w:eastAsia="fr-CA"/>
              </w:rPr>
              <w:t>Forte</w:t>
            </w:r>
          </w:p>
        </w:tc>
        <w:tc>
          <w:tcPr>
            <w:tcW w:w="1260" w:type="dxa"/>
            <w:vMerge w:val="restart"/>
            <w:vAlign w:val="center"/>
          </w:tcPr>
          <w:p w14:paraId="6365DA3B" w14:textId="77777777" w:rsidR="00575CDF" w:rsidRPr="00C801A6" w:rsidRDefault="00575CDF" w:rsidP="00347FDB">
            <w:pPr>
              <w:spacing w:before="20" w:after="20" w:line="264" w:lineRule="auto"/>
              <w:jc w:val="left"/>
              <w:rPr>
                <w:rFonts w:cs="Times New Roman"/>
                <w:color w:val="auto"/>
                <w:sz w:val="20"/>
                <w:szCs w:val="20"/>
              </w:rPr>
            </w:pPr>
            <w:r w:rsidRPr="00C801A6">
              <w:rPr>
                <w:rFonts w:cs="Times New Roman"/>
                <w:color w:val="auto"/>
                <w:sz w:val="20"/>
                <w:szCs w:val="20"/>
              </w:rPr>
              <w:t>Régionale</w:t>
            </w:r>
          </w:p>
        </w:tc>
        <w:tc>
          <w:tcPr>
            <w:tcW w:w="1440" w:type="dxa"/>
          </w:tcPr>
          <w:p w14:paraId="557201B1"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Permanente</w:t>
            </w:r>
          </w:p>
        </w:tc>
        <w:tc>
          <w:tcPr>
            <w:tcW w:w="1099" w:type="dxa"/>
            <w:vAlign w:val="center"/>
          </w:tcPr>
          <w:p w14:paraId="11B7D199"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color w:val="auto"/>
                <w:sz w:val="20"/>
                <w:szCs w:val="20"/>
              </w:rPr>
              <w:t>x</w:t>
            </w:r>
          </w:p>
        </w:tc>
        <w:tc>
          <w:tcPr>
            <w:tcW w:w="1099" w:type="dxa"/>
            <w:vAlign w:val="center"/>
          </w:tcPr>
          <w:p w14:paraId="53F09C71" w14:textId="77777777" w:rsidR="00575CDF" w:rsidRPr="00C801A6" w:rsidRDefault="00575CDF" w:rsidP="00347FDB">
            <w:pPr>
              <w:spacing w:before="20" w:after="20" w:line="264" w:lineRule="auto"/>
              <w:jc w:val="center"/>
              <w:rPr>
                <w:rFonts w:cs="Times New Roman"/>
                <w:color w:val="auto"/>
                <w:sz w:val="20"/>
                <w:szCs w:val="20"/>
              </w:rPr>
            </w:pPr>
          </w:p>
        </w:tc>
        <w:tc>
          <w:tcPr>
            <w:tcW w:w="1100" w:type="dxa"/>
            <w:vAlign w:val="center"/>
          </w:tcPr>
          <w:p w14:paraId="50AE8E4A" w14:textId="77777777" w:rsidR="00575CDF" w:rsidRPr="00C801A6" w:rsidRDefault="00575CDF" w:rsidP="00347FDB">
            <w:pPr>
              <w:spacing w:before="20" w:after="20" w:line="264" w:lineRule="auto"/>
              <w:jc w:val="center"/>
              <w:rPr>
                <w:rFonts w:cs="Times New Roman"/>
                <w:color w:val="auto"/>
                <w:sz w:val="20"/>
                <w:szCs w:val="20"/>
              </w:rPr>
            </w:pPr>
          </w:p>
        </w:tc>
      </w:tr>
      <w:tr w:rsidR="00C801A6" w:rsidRPr="00C801A6" w14:paraId="19908D2C" w14:textId="77777777" w:rsidTr="00347FDB">
        <w:trPr>
          <w:gridAfter w:val="1"/>
          <w:wAfter w:w="360" w:type="dxa"/>
        </w:trPr>
        <w:tc>
          <w:tcPr>
            <w:tcW w:w="1985" w:type="dxa"/>
            <w:vMerge/>
          </w:tcPr>
          <w:p w14:paraId="2C74E0D3" w14:textId="77777777" w:rsidR="00575CDF" w:rsidRPr="00C801A6" w:rsidRDefault="00575CDF" w:rsidP="00347FDB">
            <w:pPr>
              <w:spacing w:before="20" w:after="20" w:line="264" w:lineRule="auto"/>
              <w:rPr>
                <w:rFonts w:cs="Times New Roman"/>
                <w:color w:val="auto"/>
                <w:sz w:val="20"/>
                <w:szCs w:val="20"/>
              </w:rPr>
            </w:pPr>
          </w:p>
        </w:tc>
        <w:tc>
          <w:tcPr>
            <w:tcW w:w="1118" w:type="dxa"/>
            <w:vMerge/>
          </w:tcPr>
          <w:p w14:paraId="1AE1D8CB" w14:textId="77777777" w:rsidR="00575CDF" w:rsidRPr="00C801A6" w:rsidRDefault="00575CDF" w:rsidP="00347FDB">
            <w:pPr>
              <w:spacing w:before="20" w:after="20" w:line="264" w:lineRule="auto"/>
              <w:jc w:val="left"/>
              <w:rPr>
                <w:rFonts w:cs="Times New Roman"/>
                <w:color w:val="auto"/>
                <w:sz w:val="20"/>
                <w:szCs w:val="20"/>
              </w:rPr>
            </w:pPr>
          </w:p>
        </w:tc>
        <w:tc>
          <w:tcPr>
            <w:tcW w:w="1260" w:type="dxa"/>
            <w:vMerge/>
          </w:tcPr>
          <w:p w14:paraId="6546AAED" w14:textId="77777777" w:rsidR="00575CDF" w:rsidRPr="00C801A6" w:rsidRDefault="00575CDF" w:rsidP="00347FDB">
            <w:pPr>
              <w:spacing w:before="20" w:after="20" w:line="264" w:lineRule="auto"/>
              <w:jc w:val="left"/>
              <w:rPr>
                <w:rFonts w:cs="Times New Roman"/>
                <w:color w:val="auto"/>
                <w:sz w:val="20"/>
                <w:szCs w:val="20"/>
              </w:rPr>
            </w:pPr>
          </w:p>
        </w:tc>
        <w:tc>
          <w:tcPr>
            <w:tcW w:w="1440" w:type="dxa"/>
          </w:tcPr>
          <w:p w14:paraId="6318355D"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Temporaire</w:t>
            </w:r>
          </w:p>
        </w:tc>
        <w:tc>
          <w:tcPr>
            <w:tcW w:w="1099" w:type="dxa"/>
            <w:vAlign w:val="center"/>
          </w:tcPr>
          <w:p w14:paraId="32C426E0"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color w:val="auto"/>
                <w:sz w:val="20"/>
                <w:szCs w:val="20"/>
              </w:rPr>
              <w:t>x</w:t>
            </w:r>
          </w:p>
        </w:tc>
        <w:tc>
          <w:tcPr>
            <w:tcW w:w="1099" w:type="dxa"/>
            <w:vAlign w:val="center"/>
          </w:tcPr>
          <w:p w14:paraId="2A141D0B" w14:textId="77777777" w:rsidR="00575CDF" w:rsidRPr="00C801A6" w:rsidRDefault="00575CDF" w:rsidP="00347FDB">
            <w:pPr>
              <w:spacing w:before="20" w:after="20" w:line="264" w:lineRule="auto"/>
              <w:jc w:val="center"/>
              <w:rPr>
                <w:rFonts w:cs="Times New Roman"/>
                <w:color w:val="auto"/>
                <w:sz w:val="20"/>
                <w:szCs w:val="20"/>
              </w:rPr>
            </w:pPr>
          </w:p>
        </w:tc>
        <w:tc>
          <w:tcPr>
            <w:tcW w:w="1100" w:type="dxa"/>
            <w:vAlign w:val="center"/>
          </w:tcPr>
          <w:p w14:paraId="60AAF547" w14:textId="77777777" w:rsidR="00575CDF" w:rsidRPr="00C801A6" w:rsidRDefault="00575CDF" w:rsidP="00347FDB">
            <w:pPr>
              <w:spacing w:before="20" w:after="20" w:line="264" w:lineRule="auto"/>
              <w:jc w:val="center"/>
              <w:rPr>
                <w:rFonts w:cs="Times New Roman"/>
                <w:color w:val="auto"/>
                <w:sz w:val="20"/>
                <w:szCs w:val="20"/>
              </w:rPr>
            </w:pPr>
          </w:p>
        </w:tc>
      </w:tr>
      <w:tr w:rsidR="00C801A6" w:rsidRPr="00C801A6" w14:paraId="077B3D17" w14:textId="77777777" w:rsidTr="00347FDB">
        <w:trPr>
          <w:gridAfter w:val="1"/>
          <w:wAfter w:w="360" w:type="dxa"/>
        </w:trPr>
        <w:tc>
          <w:tcPr>
            <w:tcW w:w="1985" w:type="dxa"/>
            <w:vMerge/>
          </w:tcPr>
          <w:p w14:paraId="5984856F" w14:textId="77777777" w:rsidR="00575CDF" w:rsidRPr="00C801A6" w:rsidRDefault="00575CDF" w:rsidP="00347FDB">
            <w:pPr>
              <w:spacing w:before="20" w:after="20" w:line="264" w:lineRule="auto"/>
              <w:rPr>
                <w:rFonts w:cs="Times New Roman"/>
                <w:color w:val="auto"/>
                <w:sz w:val="20"/>
                <w:szCs w:val="20"/>
              </w:rPr>
            </w:pPr>
          </w:p>
        </w:tc>
        <w:tc>
          <w:tcPr>
            <w:tcW w:w="1118" w:type="dxa"/>
            <w:vMerge/>
          </w:tcPr>
          <w:p w14:paraId="4BFFD2DB" w14:textId="77777777" w:rsidR="00575CDF" w:rsidRPr="00C801A6" w:rsidRDefault="00575CDF" w:rsidP="00347FDB">
            <w:pPr>
              <w:spacing w:before="20" w:after="20" w:line="264" w:lineRule="auto"/>
              <w:jc w:val="left"/>
              <w:rPr>
                <w:rFonts w:cs="Times New Roman"/>
                <w:color w:val="auto"/>
                <w:sz w:val="20"/>
                <w:szCs w:val="20"/>
              </w:rPr>
            </w:pPr>
          </w:p>
        </w:tc>
        <w:tc>
          <w:tcPr>
            <w:tcW w:w="1260" w:type="dxa"/>
            <w:vMerge w:val="restart"/>
            <w:vAlign w:val="center"/>
          </w:tcPr>
          <w:p w14:paraId="30490C1A" w14:textId="77777777" w:rsidR="00575CDF" w:rsidRPr="00C801A6" w:rsidRDefault="00575CDF" w:rsidP="00347FDB">
            <w:pPr>
              <w:spacing w:before="20" w:after="20" w:line="264" w:lineRule="auto"/>
              <w:jc w:val="left"/>
              <w:rPr>
                <w:rFonts w:cs="Times New Roman"/>
                <w:color w:val="auto"/>
                <w:sz w:val="20"/>
                <w:szCs w:val="20"/>
              </w:rPr>
            </w:pPr>
            <w:r w:rsidRPr="00C801A6">
              <w:rPr>
                <w:rFonts w:cs="Times New Roman"/>
                <w:color w:val="auto"/>
                <w:sz w:val="20"/>
                <w:szCs w:val="20"/>
              </w:rPr>
              <w:t>Zonale</w:t>
            </w:r>
          </w:p>
        </w:tc>
        <w:tc>
          <w:tcPr>
            <w:tcW w:w="1440" w:type="dxa"/>
          </w:tcPr>
          <w:p w14:paraId="7D62148A"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Permanente</w:t>
            </w:r>
          </w:p>
        </w:tc>
        <w:tc>
          <w:tcPr>
            <w:tcW w:w="1099" w:type="dxa"/>
            <w:vAlign w:val="center"/>
          </w:tcPr>
          <w:p w14:paraId="36BADCD5"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color w:val="auto"/>
                <w:sz w:val="20"/>
                <w:szCs w:val="20"/>
              </w:rPr>
              <w:t>x</w:t>
            </w:r>
          </w:p>
        </w:tc>
        <w:tc>
          <w:tcPr>
            <w:tcW w:w="1099" w:type="dxa"/>
            <w:vAlign w:val="center"/>
          </w:tcPr>
          <w:p w14:paraId="39B6A408" w14:textId="77777777" w:rsidR="00575CDF" w:rsidRPr="00C801A6" w:rsidRDefault="00575CDF" w:rsidP="00347FDB">
            <w:pPr>
              <w:spacing w:before="20" w:after="20" w:line="264" w:lineRule="auto"/>
              <w:jc w:val="center"/>
              <w:rPr>
                <w:rFonts w:cs="Times New Roman"/>
                <w:color w:val="auto"/>
                <w:sz w:val="20"/>
                <w:szCs w:val="20"/>
              </w:rPr>
            </w:pPr>
          </w:p>
        </w:tc>
        <w:tc>
          <w:tcPr>
            <w:tcW w:w="1100" w:type="dxa"/>
            <w:vAlign w:val="center"/>
          </w:tcPr>
          <w:p w14:paraId="2EBF99C7" w14:textId="77777777" w:rsidR="00575CDF" w:rsidRPr="00C801A6" w:rsidRDefault="00575CDF" w:rsidP="00347FDB">
            <w:pPr>
              <w:spacing w:before="20" w:after="20" w:line="264" w:lineRule="auto"/>
              <w:jc w:val="center"/>
              <w:rPr>
                <w:rFonts w:cs="Times New Roman"/>
                <w:color w:val="auto"/>
                <w:sz w:val="20"/>
                <w:szCs w:val="20"/>
              </w:rPr>
            </w:pPr>
          </w:p>
        </w:tc>
      </w:tr>
      <w:tr w:rsidR="00C801A6" w:rsidRPr="00C801A6" w14:paraId="40BFD198" w14:textId="77777777" w:rsidTr="00347FDB">
        <w:trPr>
          <w:gridAfter w:val="1"/>
          <w:wAfter w:w="360" w:type="dxa"/>
        </w:trPr>
        <w:tc>
          <w:tcPr>
            <w:tcW w:w="1985" w:type="dxa"/>
            <w:vMerge/>
          </w:tcPr>
          <w:p w14:paraId="1DE34E02" w14:textId="77777777" w:rsidR="00575CDF" w:rsidRPr="00C801A6" w:rsidRDefault="00575CDF" w:rsidP="00347FDB">
            <w:pPr>
              <w:spacing w:before="20" w:after="20" w:line="264" w:lineRule="auto"/>
              <w:rPr>
                <w:rFonts w:cs="Times New Roman"/>
                <w:color w:val="auto"/>
                <w:sz w:val="20"/>
                <w:szCs w:val="20"/>
              </w:rPr>
            </w:pPr>
          </w:p>
        </w:tc>
        <w:tc>
          <w:tcPr>
            <w:tcW w:w="1118" w:type="dxa"/>
            <w:vMerge/>
          </w:tcPr>
          <w:p w14:paraId="34347479" w14:textId="77777777" w:rsidR="00575CDF" w:rsidRPr="00C801A6" w:rsidRDefault="00575CDF" w:rsidP="00347FDB">
            <w:pPr>
              <w:spacing w:before="20" w:after="20" w:line="264" w:lineRule="auto"/>
              <w:jc w:val="left"/>
              <w:rPr>
                <w:rFonts w:cs="Times New Roman"/>
                <w:color w:val="auto"/>
                <w:sz w:val="20"/>
                <w:szCs w:val="20"/>
              </w:rPr>
            </w:pPr>
          </w:p>
        </w:tc>
        <w:tc>
          <w:tcPr>
            <w:tcW w:w="1260" w:type="dxa"/>
            <w:vMerge/>
          </w:tcPr>
          <w:p w14:paraId="5B652650" w14:textId="77777777" w:rsidR="00575CDF" w:rsidRPr="00C801A6" w:rsidRDefault="00575CDF" w:rsidP="00347FDB">
            <w:pPr>
              <w:spacing w:before="20" w:after="20" w:line="264" w:lineRule="auto"/>
              <w:jc w:val="left"/>
              <w:rPr>
                <w:rFonts w:cs="Times New Roman"/>
                <w:color w:val="auto"/>
                <w:sz w:val="20"/>
                <w:szCs w:val="20"/>
              </w:rPr>
            </w:pPr>
          </w:p>
        </w:tc>
        <w:tc>
          <w:tcPr>
            <w:tcW w:w="1440" w:type="dxa"/>
          </w:tcPr>
          <w:p w14:paraId="527BBB87"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Temporaire</w:t>
            </w:r>
          </w:p>
        </w:tc>
        <w:tc>
          <w:tcPr>
            <w:tcW w:w="1099" w:type="dxa"/>
            <w:vAlign w:val="center"/>
          </w:tcPr>
          <w:p w14:paraId="6FD61C88"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color w:val="auto"/>
                <w:sz w:val="20"/>
                <w:szCs w:val="20"/>
              </w:rPr>
              <w:t>x</w:t>
            </w:r>
          </w:p>
        </w:tc>
        <w:tc>
          <w:tcPr>
            <w:tcW w:w="1099" w:type="dxa"/>
            <w:vAlign w:val="center"/>
          </w:tcPr>
          <w:p w14:paraId="04117C3B" w14:textId="77777777" w:rsidR="00575CDF" w:rsidRPr="00C801A6" w:rsidRDefault="00575CDF" w:rsidP="00347FDB">
            <w:pPr>
              <w:spacing w:before="20" w:after="20" w:line="264" w:lineRule="auto"/>
              <w:jc w:val="center"/>
              <w:rPr>
                <w:rFonts w:cs="Times New Roman"/>
                <w:color w:val="auto"/>
                <w:sz w:val="20"/>
                <w:szCs w:val="20"/>
              </w:rPr>
            </w:pPr>
          </w:p>
        </w:tc>
        <w:tc>
          <w:tcPr>
            <w:tcW w:w="1100" w:type="dxa"/>
            <w:vAlign w:val="center"/>
          </w:tcPr>
          <w:p w14:paraId="2DD7896C" w14:textId="77777777" w:rsidR="00575CDF" w:rsidRPr="00C801A6" w:rsidRDefault="00575CDF" w:rsidP="00347FDB">
            <w:pPr>
              <w:spacing w:before="20" w:after="20" w:line="264" w:lineRule="auto"/>
              <w:jc w:val="center"/>
              <w:rPr>
                <w:rFonts w:cs="Times New Roman"/>
                <w:color w:val="auto"/>
                <w:sz w:val="20"/>
                <w:szCs w:val="20"/>
              </w:rPr>
            </w:pPr>
          </w:p>
        </w:tc>
      </w:tr>
      <w:tr w:rsidR="00C801A6" w:rsidRPr="00C801A6" w14:paraId="557B00C3" w14:textId="77777777" w:rsidTr="00347FDB">
        <w:trPr>
          <w:gridAfter w:val="1"/>
          <w:wAfter w:w="360" w:type="dxa"/>
        </w:trPr>
        <w:tc>
          <w:tcPr>
            <w:tcW w:w="1985" w:type="dxa"/>
            <w:vMerge/>
          </w:tcPr>
          <w:p w14:paraId="19D89A80" w14:textId="77777777" w:rsidR="00575CDF" w:rsidRPr="00C801A6" w:rsidRDefault="00575CDF" w:rsidP="00347FDB">
            <w:pPr>
              <w:spacing w:before="20" w:after="20" w:line="264" w:lineRule="auto"/>
              <w:rPr>
                <w:rFonts w:cs="Times New Roman"/>
                <w:color w:val="auto"/>
                <w:sz w:val="20"/>
                <w:szCs w:val="20"/>
              </w:rPr>
            </w:pPr>
          </w:p>
        </w:tc>
        <w:tc>
          <w:tcPr>
            <w:tcW w:w="1118" w:type="dxa"/>
            <w:vMerge/>
          </w:tcPr>
          <w:p w14:paraId="25ABD1A8" w14:textId="77777777" w:rsidR="00575CDF" w:rsidRPr="00C801A6" w:rsidRDefault="00575CDF" w:rsidP="00347FDB">
            <w:pPr>
              <w:spacing w:before="20" w:after="20" w:line="264" w:lineRule="auto"/>
              <w:jc w:val="left"/>
              <w:rPr>
                <w:rFonts w:cs="Times New Roman"/>
                <w:color w:val="auto"/>
                <w:sz w:val="20"/>
                <w:szCs w:val="20"/>
              </w:rPr>
            </w:pPr>
          </w:p>
        </w:tc>
        <w:tc>
          <w:tcPr>
            <w:tcW w:w="1260" w:type="dxa"/>
            <w:vMerge w:val="restart"/>
            <w:vAlign w:val="center"/>
          </w:tcPr>
          <w:p w14:paraId="4B96D380" w14:textId="77777777" w:rsidR="00575CDF" w:rsidRPr="00C801A6" w:rsidRDefault="00575CDF" w:rsidP="00347FDB">
            <w:pPr>
              <w:spacing w:before="20" w:after="20" w:line="264" w:lineRule="auto"/>
              <w:jc w:val="left"/>
              <w:rPr>
                <w:rFonts w:cs="Times New Roman"/>
                <w:color w:val="auto"/>
                <w:sz w:val="20"/>
                <w:szCs w:val="20"/>
              </w:rPr>
            </w:pPr>
            <w:r w:rsidRPr="00C801A6">
              <w:rPr>
                <w:rFonts w:cs="Times New Roman"/>
                <w:color w:val="auto"/>
                <w:sz w:val="20"/>
                <w:szCs w:val="20"/>
              </w:rPr>
              <w:t>Locale</w:t>
            </w:r>
          </w:p>
        </w:tc>
        <w:tc>
          <w:tcPr>
            <w:tcW w:w="1440" w:type="dxa"/>
          </w:tcPr>
          <w:p w14:paraId="743CBB8D"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Permanente</w:t>
            </w:r>
          </w:p>
        </w:tc>
        <w:tc>
          <w:tcPr>
            <w:tcW w:w="1099" w:type="dxa"/>
            <w:vAlign w:val="center"/>
          </w:tcPr>
          <w:p w14:paraId="58F3F932"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color w:val="auto"/>
                <w:sz w:val="20"/>
                <w:szCs w:val="20"/>
              </w:rPr>
              <w:t>x</w:t>
            </w:r>
          </w:p>
        </w:tc>
        <w:tc>
          <w:tcPr>
            <w:tcW w:w="1099" w:type="dxa"/>
            <w:vAlign w:val="center"/>
          </w:tcPr>
          <w:p w14:paraId="22ABDF70" w14:textId="77777777" w:rsidR="00575CDF" w:rsidRPr="00C801A6" w:rsidRDefault="00575CDF" w:rsidP="00347FDB">
            <w:pPr>
              <w:spacing w:before="20" w:after="20" w:line="264" w:lineRule="auto"/>
              <w:jc w:val="center"/>
              <w:rPr>
                <w:rFonts w:cs="Times New Roman"/>
                <w:color w:val="auto"/>
                <w:sz w:val="20"/>
                <w:szCs w:val="20"/>
              </w:rPr>
            </w:pPr>
          </w:p>
        </w:tc>
        <w:tc>
          <w:tcPr>
            <w:tcW w:w="1100" w:type="dxa"/>
            <w:vAlign w:val="center"/>
          </w:tcPr>
          <w:p w14:paraId="36A79139" w14:textId="77777777" w:rsidR="00575CDF" w:rsidRPr="00C801A6" w:rsidRDefault="00575CDF" w:rsidP="00347FDB">
            <w:pPr>
              <w:spacing w:before="20" w:after="20" w:line="264" w:lineRule="auto"/>
              <w:jc w:val="center"/>
              <w:rPr>
                <w:rFonts w:cs="Times New Roman"/>
                <w:color w:val="auto"/>
                <w:sz w:val="20"/>
                <w:szCs w:val="20"/>
              </w:rPr>
            </w:pPr>
          </w:p>
        </w:tc>
      </w:tr>
      <w:tr w:rsidR="00C801A6" w:rsidRPr="00C801A6" w14:paraId="0C0DDD69" w14:textId="77777777" w:rsidTr="00347FDB">
        <w:trPr>
          <w:gridAfter w:val="1"/>
          <w:wAfter w:w="360" w:type="dxa"/>
        </w:trPr>
        <w:tc>
          <w:tcPr>
            <w:tcW w:w="1985" w:type="dxa"/>
            <w:vMerge/>
          </w:tcPr>
          <w:p w14:paraId="6AD9167F" w14:textId="77777777" w:rsidR="00575CDF" w:rsidRPr="00C801A6" w:rsidRDefault="00575CDF" w:rsidP="00347FDB">
            <w:pPr>
              <w:spacing w:before="20" w:after="20" w:line="264" w:lineRule="auto"/>
              <w:rPr>
                <w:rFonts w:cs="Times New Roman"/>
                <w:color w:val="auto"/>
                <w:sz w:val="20"/>
                <w:szCs w:val="20"/>
              </w:rPr>
            </w:pPr>
          </w:p>
        </w:tc>
        <w:tc>
          <w:tcPr>
            <w:tcW w:w="1118" w:type="dxa"/>
            <w:vMerge/>
          </w:tcPr>
          <w:p w14:paraId="2541084A" w14:textId="77777777" w:rsidR="00575CDF" w:rsidRPr="00C801A6" w:rsidRDefault="00575CDF" w:rsidP="00347FDB">
            <w:pPr>
              <w:spacing w:before="20" w:after="20" w:line="264" w:lineRule="auto"/>
              <w:jc w:val="left"/>
              <w:rPr>
                <w:rFonts w:cs="Times New Roman"/>
                <w:color w:val="auto"/>
                <w:sz w:val="20"/>
                <w:szCs w:val="20"/>
              </w:rPr>
            </w:pPr>
          </w:p>
        </w:tc>
        <w:tc>
          <w:tcPr>
            <w:tcW w:w="1260" w:type="dxa"/>
            <w:vMerge/>
          </w:tcPr>
          <w:p w14:paraId="4AE7C5FD" w14:textId="77777777" w:rsidR="00575CDF" w:rsidRPr="00C801A6" w:rsidRDefault="00575CDF" w:rsidP="00347FDB">
            <w:pPr>
              <w:spacing w:before="20" w:after="20" w:line="264" w:lineRule="auto"/>
              <w:jc w:val="left"/>
              <w:rPr>
                <w:rFonts w:cs="Times New Roman"/>
                <w:color w:val="auto"/>
                <w:sz w:val="20"/>
                <w:szCs w:val="20"/>
              </w:rPr>
            </w:pPr>
          </w:p>
        </w:tc>
        <w:tc>
          <w:tcPr>
            <w:tcW w:w="1440" w:type="dxa"/>
          </w:tcPr>
          <w:p w14:paraId="38A36336"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Temporaire</w:t>
            </w:r>
          </w:p>
        </w:tc>
        <w:tc>
          <w:tcPr>
            <w:tcW w:w="1099" w:type="dxa"/>
            <w:vAlign w:val="center"/>
          </w:tcPr>
          <w:p w14:paraId="6F21E276" w14:textId="77777777" w:rsidR="00575CDF" w:rsidRPr="00C801A6" w:rsidRDefault="00575CDF" w:rsidP="00347FDB">
            <w:pPr>
              <w:spacing w:before="20" w:after="20" w:line="264" w:lineRule="auto"/>
              <w:jc w:val="center"/>
              <w:rPr>
                <w:rFonts w:cs="Times New Roman"/>
                <w:color w:val="auto"/>
                <w:sz w:val="20"/>
                <w:szCs w:val="20"/>
              </w:rPr>
            </w:pPr>
          </w:p>
        </w:tc>
        <w:tc>
          <w:tcPr>
            <w:tcW w:w="1099" w:type="dxa"/>
            <w:vAlign w:val="center"/>
          </w:tcPr>
          <w:p w14:paraId="01F9AC87"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color w:val="auto"/>
                <w:sz w:val="20"/>
                <w:szCs w:val="20"/>
              </w:rPr>
              <w:t>x</w:t>
            </w:r>
          </w:p>
        </w:tc>
        <w:tc>
          <w:tcPr>
            <w:tcW w:w="1100" w:type="dxa"/>
            <w:vAlign w:val="center"/>
          </w:tcPr>
          <w:p w14:paraId="625C5AA2" w14:textId="77777777" w:rsidR="00575CDF" w:rsidRPr="00C801A6" w:rsidRDefault="00575CDF" w:rsidP="00347FDB">
            <w:pPr>
              <w:spacing w:before="20" w:after="20" w:line="264" w:lineRule="auto"/>
              <w:jc w:val="center"/>
              <w:rPr>
                <w:rFonts w:cs="Times New Roman"/>
                <w:color w:val="auto"/>
                <w:sz w:val="20"/>
                <w:szCs w:val="20"/>
              </w:rPr>
            </w:pPr>
          </w:p>
        </w:tc>
      </w:tr>
      <w:tr w:rsidR="00C801A6" w:rsidRPr="00C801A6" w14:paraId="7ABB5A38" w14:textId="77777777" w:rsidTr="00347FDB">
        <w:trPr>
          <w:gridAfter w:val="1"/>
          <w:wAfter w:w="360" w:type="dxa"/>
        </w:trPr>
        <w:tc>
          <w:tcPr>
            <w:tcW w:w="1985" w:type="dxa"/>
            <w:vMerge/>
            <w:vAlign w:val="center"/>
          </w:tcPr>
          <w:p w14:paraId="0AF3C67C" w14:textId="77777777" w:rsidR="00575CDF" w:rsidRPr="00C801A6" w:rsidRDefault="00575CDF" w:rsidP="00347FDB">
            <w:pPr>
              <w:spacing w:before="20" w:after="20" w:line="264" w:lineRule="auto"/>
              <w:jc w:val="center"/>
              <w:rPr>
                <w:rFonts w:cs="Times New Roman"/>
                <w:color w:val="auto"/>
                <w:sz w:val="20"/>
                <w:szCs w:val="20"/>
              </w:rPr>
            </w:pPr>
          </w:p>
        </w:tc>
        <w:tc>
          <w:tcPr>
            <w:tcW w:w="1118" w:type="dxa"/>
            <w:vMerge w:val="restart"/>
            <w:vAlign w:val="center"/>
          </w:tcPr>
          <w:p w14:paraId="45124582" w14:textId="77777777" w:rsidR="00575CDF" w:rsidRPr="00C801A6" w:rsidRDefault="00575CDF" w:rsidP="00347FDB">
            <w:pPr>
              <w:spacing w:before="20" w:after="20" w:line="264" w:lineRule="auto"/>
              <w:jc w:val="left"/>
              <w:rPr>
                <w:rFonts w:cs="Times New Roman"/>
                <w:color w:val="auto"/>
                <w:sz w:val="20"/>
                <w:szCs w:val="20"/>
              </w:rPr>
            </w:pPr>
            <w:r w:rsidRPr="00C801A6">
              <w:rPr>
                <w:rFonts w:cs="Times New Roman"/>
                <w:color w:val="auto"/>
                <w:sz w:val="20"/>
                <w:szCs w:val="20"/>
              </w:rPr>
              <w:t>Moyenne</w:t>
            </w:r>
          </w:p>
        </w:tc>
        <w:tc>
          <w:tcPr>
            <w:tcW w:w="1260" w:type="dxa"/>
            <w:vMerge w:val="restart"/>
            <w:vAlign w:val="center"/>
          </w:tcPr>
          <w:p w14:paraId="69016A7C" w14:textId="77777777" w:rsidR="00575CDF" w:rsidRPr="00C801A6" w:rsidRDefault="00575CDF" w:rsidP="00347FDB">
            <w:pPr>
              <w:spacing w:before="20" w:after="20" w:line="264" w:lineRule="auto"/>
              <w:jc w:val="left"/>
              <w:rPr>
                <w:rFonts w:cs="Times New Roman"/>
                <w:color w:val="auto"/>
                <w:sz w:val="20"/>
                <w:szCs w:val="20"/>
              </w:rPr>
            </w:pPr>
            <w:r w:rsidRPr="00C801A6">
              <w:rPr>
                <w:rFonts w:cs="Times New Roman"/>
                <w:color w:val="auto"/>
                <w:sz w:val="20"/>
                <w:szCs w:val="20"/>
              </w:rPr>
              <w:t>Régionale</w:t>
            </w:r>
          </w:p>
        </w:tc>
        <w:tc>
          <w:tcPr>
            <w:tcW w:w="1440" w:type="dxa"/>
          </w:tcPr>
          <w:p w14:paraId="765F0437"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Permanente</w:t>
            </w:r>
          </w:p>
        </w:tc>
        <w:tc>
          <w:tcPr>
            <w:tcW w:w="1099" w:type="dxa"/>
            <w:vAlign w:val="center"/>
          </w:tcPr>
          <w:p w14:paraId="3631A4C6"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color w:val="auto"/>
                <w:sz w:val="20"/>
                <w:szCs w:val="20"/>
              </w:rPr>
              <w:t>x</w:t>
            </w:r>
          </w:p>
        </w:tc>
        <w:tc>
          <w:tcPr>
            <w:tcW w:w="1099" w:type="dxa"/>
            <w:vAlign w:val="center"/>
          </w:tcPr>
          <w:p w14:paraId="298AFDE6" w14:textId="77777777" w:rsidR="00575CDF" w:rsidRPr="00C801A6" w:rsidRDefault="00575CDF" w:rsidP="00347FDB">
            <w:pPr>
              <w:spacing w:before="20" w:after="20" w:line="264" w:lineRule="auto"/>
              <w:jc w:val="center"/>
              <w:rPr>
                <w:rFonts w:cs="Times New Roman"/>
                <w:color w:val="auto"/>
                <w:sz w:val="20"/>
                <w:szCs w:val="20"/>
              </w:rPr>
            </w:pPr>
          </w:p>
        </w:tc>
        <w:tc>
          <w:tcPr>
            <w:tcW w:w="1100" w:type="dxa"/>
            <w:vAlign w:val="center"/>
          </w:tcPr>
          <w:p w14:paraId="543B1C59" w14:textId="77777777" w:rsidR="00575CDF" w:rsidRPr="00C801A6" w:rsidRDefault="00575CDF" w:rsidP="00347FDB">
            <w:pPr>
              <w:spacing w:before="20" w:after="20" w:line="264" w:lineRule="auto"/>
              <w:jc w:val="center"/>
              <w:rPr>
                <w:rFonts w:cs="Times New Roman"/>
                <w:color w:val="auto"/>
                <w:sz w:val="20"/>
                <w:szCs w:val="20"/>
              </w:rPr>
            </w:pPr>
          </w:p>
        </w:tc>
      </w:tr>
      <w:tr w:rsidR="00C801A6" w:rsidRPr="00C801A6" w14:paraId="1643142E" w14:textId="77777777" w:rsidTr="00347FDB">
        <w:trPr>
          <w:gridAfter w:val="1"/>
          <w:wAfter w:w="360" w:type="dxa"/>
        </w:trPr>
        <w:tc>
          <w:tcPr>
            <w:tcW w:w="1985" w:type="dxa"/>
            <w:vMerge/>
            <w:vAlign w:val="center"/>
          </w:tcPr>
          <w:p w14:paraId="00811906" w14:textId="77777777" w:rsidR="00575CDF" w:rsidRPr="00C801A6" w:rsidRDefault="00575CDF" w:rsidP="00347FDB">
            <w:pPr>
              <w:spacing w:before="20" w:after="20" w:line="264" w:lineRule="auto"/>
              <w:jc w:val="center"/>
              <w:rPr>
                <w:rFonts w:cs="Times New Roman"/>
                <w:color w:val="auto"/>
                <w:sz w:val="20"/>
                <w:szCs w:val="20"/>
              </w:rPr>
            </w:pPr>
          </w:p>
        </w:tc>
        <w:tc>
          <w:tcPr>
            <w:tcW w:w="1118" w:type="dxa"/>
            <w:vMerge/>
          </w:tcPr>
          <w:p w14:paraId="73A9A643" w14:textId="77777777" w:rsidR="00575CDF" w:rsidRPr="00C801A6" w:rsidRDefault="00575CDF" w:rsidP="00347FDB">
            <w:pPr>
              <w:spacing w:before="20" w:after="20" w:line="264" w:lineRule="auto"/>
              <w:jc w:val="left"/>
              <w:rPr>
                <w:rFonts w:cs="Times New Roman"/>
                <w:color w:val="auto"/>
                <w:sz w:val="20"/>
                <w:szCs w:val="20"/>
              </w:rPr>
            </w:pPr>
          </w:p>
        </w:tc>
        <w:tc>
          <w:tcPr>
            <w:tcW w:w="1260" w:type="dxa"/>
            <w:vMerge/>
          </w:tcPr>
          <w:p w14:paraId="4E5C4330" w14:textId="77777777" w:rsidR="00575CDF" w:rsidRPr="00C801A6" w:rsidRDefault="00575CDF" w:rsidP="00347FDB">
            <w:pPr>
              <w:spacing w:before="20" w:after="20" w:line="264" w:lineRule="auto"/>
              <w:jc w:val="left"/>
              <w:rPr>
                <w:rFonts w:cs="Times New Roman"/>
                <w:color w:val="auto"/>
                <w:sz w:val="20"/>
                <w:szCs w:val="20"/>
              </w:rPr>
            </w:pPr>
          </w:p>
        </w:tc>
        <w:tc>
          <w:tcPr>
            <w:tcW w:w="1440" w:type="dxa"/>
          </w:tcPr>
          <w:p w14:paraId="448A6E91"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Temporaire</w:t>
            </w:r>
          </w:p>
        </w:tc>
        <w:tc>
          <w:tcPr>
            <w:tcW w:w="1099" w:type="dxa"/>
            <w:vAlign w:val="center"/>
          </w:tcPr>
          <w:p w14:paraId="0DC07A42"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color w:val="auto"/>
                <w:sz w:val="20"/>
                <w:szCs w:val="20"/>
              </w:rPr>
              <w:t>x</w:t>
            </w:r>
          </w:p>
        </w:tc>
        <w:tc>
          <w:tcPr>
            <w:tcW w:w="1099" w:type="dxa"/>
            <w:vAlign w:val="center"/>
          </w:tcPr>
          <w:p w14:paraId="2C1EF7B1" w14:textId="77777777" w:rsidR="00575CDF" w:rsidRPr="00C801A6" w:rsidRDefault="00575CDF" w:rsidP="00347FDB">
            <w:pPr>
              <w:spacing w:before="20" w:after="20" w:line="264" w:lineRule="auto"/>
              <w:jc w:val="center"/>
              <w:rPr>
                <w:rFonts w:cs="Times New Roman"/>
                <w:color w:val="auto"/>
                <w:sz w:val="20"/>
                <w:szCs w:val="20"/>
              </w:rPr>
            </w:pPr>
          </w:p>
        </w:tc>
        <w:tc>
          <w:tcPr>
            <w:tcW w:w="1100" w:type="dxa"/>
            <w:vAlign w:val="center"/>
          </w:tcPr>
          <w:p w14:paraId="3B11003E" w14:textId="77777777" w:rsidR="00575CDF" w:rsidRPr="00C801A6" w:rsidRDefault="00575CDF" w:rsidP="00347FDB">
            <w:pPr>
              <w:spacing w:before="20" w:after="20" w:line="264" w:lineRule="auto"/>
              <w:jc w:val="center"/>
              <w:rPr>
                <w:rFonts w:cs="Times New Roman"/>
                <w:color w:val="auto"/>
                <w:sz w:val="20"/>
                <w:szCs w:val="20"/>
              </w:rPr>
            </w:pPr>
          </w:p>
        </w:tc>
      </w:tr>
      <w:tr w:rsidR="00C801A6" w:rsidRPr="00C801A6" w14:paraId="6DE63694" w14:textId="77777777" w:rsidTr="00347FDB">
        <w:trPr>
          <w:gridAfter w:val="1"/>
          <w:wAfter w:w="360" w:type="dxa"/>
        </w:trPr>
        <w:tc>
          <w:tcPr>
            <w:tcW w:w="1985" w:type="dxa"/>
            <w:vMerge/>
            <w:vAlign w:val="center"/>
          </w:tcPr>
          <w:p w14:paraId="2669F165" w14:textId="77777777" w:rsidR="00575CDF" w:rsidRPr="00C801A6" w:rsidRDefault="00575CDF" w:rsidP="00347FDB">
            <w:pPr>
              <w:spacing w:before="20" w:after="20" w:line="264" w:lineRule="auto"/>
              <w:jc w:val="center"/>
              <w:rPr>
                <w:rFonts w:cs="Times New Roman"/>
                <w:color w:val="auto"/>
                <w:sz w:val="20"/>
                <w:szCs w:val="20"/>
              </w:rPr>
            </w:pPr>
          </w:p>
        </w:tc>
        <w:tc>
          <w:tcPr>
            <w:tcW w:w="1118" w:type="dxa"/>
            <w:vMerge/>
          </w:tcPr>
          <w:p w14:paraId="495E6A83" w14:textId="77777777" w:rsidR="00575CDF" w:rsidRPr="00C801A6" w:rsidRDefault="00575CDF" w:rsidP="00347FDB">
            <w:pPr>
              <w:spacing w:before="20" w:after="20" w:line="264" w:lineRule="auto"/>
              <w:jc w:val="left"/>
              <w:rPr>
                <w:rFonts w:cs="Times New Roman"/>
                <w:color w:val="auto"/>
                <w:sz w:val="20"/>
                <w:szCs w:val="20"/>
              </w:rPr>
            </w:pPr>
          </w:p>
        </w:tc>
        <w:tc>
          <w:tcPr>
            <w:tcW w:w="1260" w:type="dxa"/>
            <w:vMerge w:val="restart"/>
            <w:vAlign w:val="center"/>
          </w:tcPr>
          <w:p w14:paraId="4628ED9E" w14:textId="77777777" w:rsidR="00575CDF" w:rsidRPr="00C801A6" w:rsidRDefault="00575CDF" w:rsidP="00347FDB">
            <w:pPr>
              <w:spacing w:before="20" w:after="20" w:line="264" w:lineRule="auto"/>
              <w:jc w:val="left"/>
              <w:rPr>
                <w:rFonts w:cs="Times New Roman"/>
                <w:color w:val="auto"/>
                <w:sz w:val="20"/>
                <w:szCs w:val="20"/>
              </w:rPr>
            </w:pPr>
            <w:r w:rsidRPr="00C801A6">
              <w:rPr>
                <w:rFonts w:cs="Times New Roman"/>
                <w:color w:val="auto"/>
                <w:sz w:val="20"/>
                <w:szCs w:val="20"/>
              </w:rPr>
              <w:t>Zonale</w:t>
            </w:r>
          </w:p>
        </w:tc>
        <w:tc>
          <w:tcPr>
            <w:tcW w:w="1440" w:type="dxa"/>
          </w:tcPr>
          <w:p w14:paraId="2B30B1EC"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Permanente</w:t>
            </w:r>
          </w:p>
        </w:tc>
        <w:tc>
          <w:tcPr>
            <w:tcW w:w="1099" w:type="dxa"/>
            <w:vAlign w:val="center"/>
          </w:tcPr>
          <w:p w14:paraId="06267751"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color w:val="auto"/>
                <w:sz w:val="20"/>
                <w:szCs w:val="20"/>
              </w:rPr>
              <w:t>x</w:t>
            </w:r>
          </w:p>
        </w:tc>
        <w:tc>
          <w:tcPr>
            <w:tcW w:w="1099" w:type="dxa"/>
            <w:vAlign w:val="center"/>
          </w:tcPr>
          <w:p w14:paraId="0CBC03F8" w14:textId="77777777" w:rsidR="00575CDF" w:rsidRPr="00C801A6" w:rsidRDefault="00575CDF" w:rsidP="00347FDB">
            <w:pPr>
              <w:spacing w:before="20" w:after="20" w:line="264" w:lineRule="auto"/>
              <w:jc w:val="center"/>
              <w:rPr>
                <w:rFonts w:cs="Times New Roman"/>
                <w:color w:val="auto"/>
                <w:sz w:val="20"/>
                <w:szCs w:val="20"/>
              </w:rPr>
            </w:pPr>
          </w:p>
        </w:tc>
        <w:tc>
          <w:tcPr>
            <w:tcW w:w="1100" w:type="dxa"/>
            <w:vAlign w:val="center"/>
          </w:tcPr>
          <w:p w14:paraId="23F0F4A5" w14:textId="77777777" w:rsidR="00575CDF" w:rsidRPr="00C801A6" w:rsidRDefault="00575CDF" w:rsidP="00347FDB">
            <w:pPr>
              <w:spacing w:before="20" w:after="20" w:line="264" w:lineRule="auto"/>
              <w:jc w:val="center"/>
              <w:rPr>
                <w:rFonts w:cs="Times New Roman"/>
                <w:color w:val="auto"/>
                <w:sz w:val="20"/>
                <w:szCs w:val="20"/>
              </w:rPr>
            </w:pPr>
          </w:p>
        </w:tc>
      </w:tr>
      <w:tr w:rsidR="00C801A6" w:rsidRPr="00C801A6" w14:paraId="5B140CF3" w14:textId="77777777" w:rsidTr="00347FDB">
        <w:trPr>
          <w:gridAfter w:val="1"/>
          <w:wAfter w:w="360" w:type="dxa"/>
        </w:trPr>
        <w:tc>
          <w:tcPr>
            <w:tcW w:w="1985" w:type="dxa"/>
            <w:vMerge/>
            <w:vAlign w:val="center"/>
          </w:tcPr>
          <w:p w14:paraId="33C8C766" w14:textId="77777777" w:rsidR="00575CDF" w:rsidRPr="00C801A6" w:rsidRDefault="00575CDF" w:rsidP="00347FDB">
            <w:pPr>
              <w:spacing w:before="20" w:after="20" w:line="264" w:lineRule="auto"/>
              <w:jc w:val="center"/>
              <w:rPr>
                <w:rFonts w:cs="Times New Roman"/>
                <w:color w:val="auto"/>
                <w:sz w:val="20"/>
                <w:szCs w:val="20"/>
              </w:rPr>
            </w:pPr>
          </w:p>
        </w:tc>
        <w:tc>
          <w:tcPr>
            <w:tcW w:w="1118" w:type="dxa"/>
            <w:vMerge/>
          </w:tcPr>
          <w:p w14:paraId="389662CE" w14:textId="77777777" w:rsidR="00575CDF" w:rsidRPr="00C801A6" w:rsidRDefault="00575CDF" w:rsidP="00347FDB">
            <w:pPr>
              <w:spacing w:before="20" w:after="20" w:line="264" w:lineRule="auto"/>
              <w:jc w:val="left"/>
              <w:rPr>
                <w:rFonts w:cs="Times New Roman"/>
                <w:color w:val="auto"/>
                <w:sz w:val="20"/>
                <w:szCs w:val="20"/>
              </w:rPr>
            </w:pPr>
          </w:p>
        </w:tc>
        <w:tc>
          <w:tcPr>
            <w:tcW w:w="1260" w:type="dxa"/>
            <w:vMerge/>
          </w:tcPr>
          <w:p w14:paraId="7C594F00" w14:textId="77777777" w:rsidR="00575CDF" w:rsidRPr="00C801A6" w:rsidRDefault="00575CDF" w:rsidP="00347FDB">
            <w:pPr>
              <w:spacing w:before="20" w:after="20" w:line="264" w:lineRule="auto"/>
              <w:jc w:val="left"/>
              <w:rPr>
                <w:rFonts w:cs="Times New Roman"/>
                <w:color w:val="auto"/>
                <w:sz w:val="20"/>
                <w:szCs w:val="20"/>
              </w:rPr>
            </w:pPr>
          </w:p>
        </w:tc>
        <w:tc>
          <w:tcPr>
            <w:tcW w:w="1440" w:type="dxa"/>
          </w:tcPr>
          <w:p w14:paraId="0938AEDC"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Temporaire</w:t>
            </w:r>
          </w:p>
        </w:tc>
        <w:tc>
          <w:tcPr>
            <w:tcW w:w="1099" w:type="dxa"/>
            <w:vAlign w:val="center"/>
          </w:tcPr>
          <w:p w14:paraId="5E98EB23" w14:textId="77777777" w:rsidR="00575CDF" w:rsidRPr="00C801A6" w:rsidRDefault="00575CDF" w:rsidP="00347FDB">
            <w:pPr>
              <w:spacing w:before="20" w:after="20" w:line="264" w:lineRule="auto"/>
              <w:jc w:val="center"/>
              <w:rPr>
                <w:rFonts w:cs="Times New Roman"/>
                <w:color w:val="auto"/>
                <w:sz w:val="20"/>
                <w:szCs w:val="20"/>
              </w:rPr>
            </w:pPr>
          </w:p>
        </w:tc>
        <w:tc>
          <w:tcPr>
            <w:tcW w:w="1099" w:type="dxa"/>
            <w:vAlign w:val="center"/>
          </w:tcPr>
          <w:p w14:paraId="2B8186EA"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color w:val="auto"/>
                <w:sz w:val="20"/>
                <w:szCs w:val="20"/>
              </w:rPr>
              <w:t>x</w:t>
            </w:r>
          </w:p>
        </w:tc>
        <w:tc>
          <w:tcPr>
            <w:tcW w:w="1100" w:type="dxa"/>
            <w:vAlign w:val="center"/>
          </w:tcPr>
          <w:p w14:paraId="232199C0" w14:textId="77777777" w:rsidR="00575CDF" w:rsidRPr="00C801A6" w:rsidRDefault="00575CDF" w:rsidP="00347FDB">
            <w:pPr>
              <w:spacing w:before="20" w:after="20" w:line="264" w:lineRule="auto"/>
              <w:jc w:val="center"/>
              <w:rPr>
                <w:rFonts w:cs="Times New Roman"/>
                <w:color w:val="auto"/>
                <w:sz w:val="20"/>
                <w:szCs w:val="20"/>
              </w:rPr>
            </w:pPr>
          </w:p>
        </w:tc>
      </w:tr>
      <w:tr w:rsidR="00C801A6" w:rsidRPr="00C801A6" w14:paraId="3A186EA2" w14:textId="77777777" w:rsidTr="00347FDB">
        <w:trPr>
          <w:gridAfter w:val="1"/>
          <w:wAfter w:w="360" w:type="dxa"/>
        </w:trPr>
        <w:tc>
          <w:tcPr>
            <w:tcW w:w="1985" w:type="dxa"/>
            <w:vMerge/>
            <w:vAlign w:val="center"/>
          </w:tcPr>
          <w:p w14:paraId="2B41BAF1" w14:textId="77777777" w:rsidR="00575CDF" w:rsidRPr="00C801A6" w:rsidRDefault="00575CDF" w:rsidP="00347FDB">
            <w:pPr>
              <w:spacing w:before="20" w:after="20" w:line="264" w:lineRule="auto"/>
              <w:jc w:val="center"/>
              <w:rPr>
                <w:rFonts w:cs="Times New Roman"/>
                <w:color w:val="auto"/>
                <w:sz w:val="20"/>
                <w:szCs w:val="20"/>
              </w:rPr>
            </w:pPr>
          </w:p>
        </w:tc>
        <w:tc>
          <w:tcPr>
            <w:tcW w:w="1118" w:type="dxa"/>
            <w:vMerge/>
          </w:tcPr>
          <w:p w14:paraId="13AD8246" w14:textId="77777777" w:rsidR="00575CDF" w:rsidRPr="00C801A6" w:rsidRDefault="00575CDF" w:rsidP="00347FDB">
            <w:pPr>
              <w:spacing w:before="20" w:after="20" w:line="264" w:lineRule="auto"/>
              <w:jc w:val="left"/>
              <w:rPr>
                <w:rFonts w:cs="Times New Roman"/>
                <w:color w:val="auto"/>
                <w:sz w:val="20"/>
                <w:szCs w:val="20"/>
              </w:rPr>
            </w:pPr>
          </w:p>
        </w:tc>
        <w:tc>
          <w:tcPr>
            <w:tcW w:w="1260" w:type="dxa"/>
            <w:vMerge w:val="restart"/>
            <w:vAlign w:val="center"/>
          </w:tcPr>
          <w:p w14:paraId="026B7F4A" w14:textId="77777777" w:rsidR="00575CDF" w:rsidRPr="00C801A6" w:rsidRDefault="00575CDF" w:rsidP="00347FDB">
            <w:pPr>
              <w:spacing w:before="20" w:after="20" w:line="264" w:lineRule="auto"/>
              <w:jc w:val="left"/>
              <w:rPr>
                <w:rFonts w:cs="Times New Roman"/>
                <w:color w:val="auto"/>
                <w:sz w:val="20"/>
                <w:szCs w:val="20"/>
              </w:rPr>
            </w:pPr>
            <w:r w:rsidRPr="00C801A6">
              <w:rPr>
                <w:rFonts w:cs="Times New Roman"/>
                <w:color w:val="auto"/>
                <w:sz w:val="20"/>
                <w:szCs w:val="20"/>
              </w:rPr>
              <w:t>Locale</w:t>
            </w:r>
          </w:p>
        </w:tc>
        <w:tc>
          <w:tcPr>
            <w:tcW w:w="1440" w:type="dxa"/>
          </w:tcPr>
          <w:p w14:paraId="70FEF4C6"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Permanente</w:t>
            </w:r>
          </w:p>
        </w:tc>
        <w:tc>
          <w:tcPr>
            <w:tcW w:w="1099" w:type="dxa"/>
            <w:vAlign w:val="center"/>
          </w:tcPr>
          <w:p w14:paraId="0001474C" w14:textId="77777777" w:rsidR="00575CDF" w:rsidRPr="00C801A6" w:rsidRDefault="00575CDF" w:rsidP="00347FDB">
            <w:pPr>
              <w:spacing w:before="20" w:after="20" w:line="264" w:lineRule="auto"/>
              <w:jc w:val="center"/>
              <w:rPr>
                <w:rFonts w:cs="Times New Roman"/>
                <w:color w:val="auto"/>
                <w:sz w:val="20"/>
                <w:szCs w:val="20"/>
              </w:rPr>
            </w:pPr>
          </w:p>
        </w:tc>
        <w:tc>
          <w:tcPr>
            <w:tcW w:w="1099" w:type="dxa"/>
            <w:vAlign w:val="center"/>
          </w:tcPr>
          <w:p w14:paraId="4C18E049"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color w:val="auto"/>
                <w:sz w:val="20"/>
                <w:szCs w:val="20"/>
              </w:rPr>
              <w:t>x</w:t>
            </w:r>
          </w:p>
        </w:tc>
        <w:tc>
          <w:tcPr>
            <w:tcW w:w="1100" w:type="dxa"/>
            <w:vAlign w:val="center"/>
          </w:tcPr>
          <w:p w14:paraId="71613AC4" w14:textId="77777777" w:rsidR="00575CDF" w:rsidRPr="00C801A6" w:rsidRDefault="00575CDF" w:rsidP="00347FDB">
            <w:pPr>
              <w:spacing w:before="20" w:after="20" w:line="264" w:lineRule="auto"/>
              <w:jc w:val="center"/>
              <w:rPr>
                <w:rFonts w:cs="Times New Roman"/>
                <w:color w:val="auto"/>
                <w:sz w:val="20"/>
                <w:szCs w:val="20"/>
              </w:rPr>
            </w:pPr>
          </w:p>
        </w:tc>
      </w:tr>
      <w:tr w:rsidR="00C801A6" w:rsidRPr="00C801A6" w14:paraId="2CF3FA29" w14:textId="77777777" w:rsidTr="00347FDB">
        <w:trPr>
          <w:gridAfter w:val="1"/>
          <w:wAfter w:w="360" w:type="dxa"/>
        </w:trPr>
        <w:tc>
          <w:tcPr>
            <w:tcW w:w="1985" w:type="dxa"/>
            <w:vMerge/>
            <w:vAlign w:val="center"/>
          </w:tcPr>
          <w:p w14:paraId="56591963" w14:textId="77777777" w:rsidR="00575CDF" w:rsidRPr="00C801A6" w:rsidRDefault="00575CDF" w:rsidP="00347FDB">
            <w:pPr>
              <w:spacing w:before="20" w:after="20" w:line="264" w:lineRule="auto"/>
              <w:jc w:val="center"/>
              <w:rPr>
                <w:rFonts w:cs="Times New Roman"/>
                <w:color w:val="auto"/>
                <w:sz w:val="20"/>
                <w:szCs w:val="20"/>
              </w:rPr>
            </w:pPr>
          </w:p>
        </w:tc>
        <w:tc>
          <w:tcPr>
            <w:tcW w:w="1118" w:type="dxa"/>
            <w:vMerge/>
          </w:tcPr>
          <w:p w14:paraId="332FD151" w14:textId="77777777" w:rsidR="00575CDF" w:rsidRPr="00C801A6" w:rsidRDefault="00575CDF" w:rsidP="00347FDB">
            <w:pPr>
              <w:spacing w:before="20" w:after="20" w:line="264" w:lineRule="auto"/>
              <w:jc w:val="left"/>
              <w:rPr>
                <w:rFonts w:cs="Times New Roman"/>
                <w:color w:val="auto"/>
                <w:sz w:val="20"/>
                <w:szCs w:val="20"/>
              </w:rPr>
            </w:pPr>
          </w:p>
        </w:tc>
        <w:tc>
          <w:tcPr>
            <w:tcW w:w="1260" w:type="dxa"/>
            <w:vMerge/>
          </w:tcPr>
          <w:p w14:paraId="4C7DEEE9" w14:textId="77777777" w:rsidR="00575CDF" w:rsidRPr="00C801A6" w:rsidRDefault="00575CDF" w:rsidP="00347FDB">
            <w:pPr>
              <w:spacing w:before="20" w:after="20" w:line="264" w:lineRule="auto"/>
              <w:jc w:val="left"/>
              <w:rPr>
                <w:rFonts w:cs="Times New Roman"/>
                <w:color w:val="auto"/>
                <w:sz w:val="20"/>
                <w:szCs w:val="20"/>
              </w:rPr>
            </w:pPr>
          </w:p>
        </w:tc>
        <w:tc>
          <w:tcPr>
            <w:tcW w:w="1440" w:type="dxa"/>
          </w:tcPr>
          <w:p w14:paraId="16433C5C"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Temporaire</w:t>
            </w:r>
          </w:p>
        </w:tc>
        <w:tc>
          <w:tcPr>
            <w:tcW w:w="1099" w:type="dxa"/>
            <w:vAlign w:val="center"/>
          </w:tcPr>
          <w:p w14:paraId="2C6F557D" w14:textId="77777777" w:rsidR="00575CDF" w:rsidRPr="00C801A6" w:rsidRDefault="00575CDF" w:rsidP="00347FDB">
            <w:pPr>
              <w:spacing w:before="20" w:after="20" w:line="264" w:lineRule="auto"/>
              <w:jc w:val="center"/>
              <w:rPr>
                <w:rFonts w:cs="Times New Roman"/>
                <w:color w:val="auto"/>
                <w:sz w:val="20"/>
                <w:szCs w:val="20"/>
              </w:rPr>
            </w:pPr>
          </w:p>
        </w:tc>
        <w:tc>
          <w:tcPr>
            <w:tcW w:w="1099" w:type="dxa"/>
            <w:vAlign w:val="center"/>
          </w:tcPr>
          <w:p w14:paraId="462F5B80" w14:textId="77777777" w:rsidR="00575CDF" w:rsidRPr="00C801A6" w:rsidRDefault="00575CDF" w:rsidP="00347FDB">
            <w:pPr>
              <w:spacing w:before="20" w:after="20" w:line="264" w:lineRule="auto"/>
              <w:jc w:val="center"/>
              <w:rPr>
                <w:rFonts w:cs="Times New Roman"/>
                <w:color w:val="auto"/>
                <w:sz w:val="20"/>
                <w:szCs w:val="20"/>
              </w:rPr>
            </w:pPr>
          </w:p>
        </w:tc>
        <w:tc>
          <w:tcPr>
            <w:tcW w:w="1100" w:type="dxa"/>
            <w:vAlign w:val="center"/>
          </w:tcPr>
          <w:p w14:paraId="21D61518"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color w:val="auto"/>
                <w:sz w:val="20"/>
                <w:szCs w:val="20"/>
              </w:rPr>
              <w:t>x</w:t>
            </w:r>
          </w:p>
        </w:tc>
      </w:tr>
      <w:tr w:rsidR="00C801A6" w:rsidRPr="00C801A6" w14:paraId="7EC42BA2" w14:textId="77777777" w:rsidTr="00347FDB">
        <w:trPr>
          <w:gridAfter w:val="1"/>
          <w:wAfter w:w="360" w:type="dxa"/>
        </w:trPr>
        <w:tc>
          <w:tcPr>
            <w:tcW w:w="1985" w:type="dxa"/>
            <w:vMerge/>
            <w:vAlign w:val="center"/>
          </w:tcPr>
          <w:p w14:paraId="26D0B277" w14:textId="77777777" w:rsidR="00575CDF" w:rsidRPr="00C801A6" w:rsidRDefault="00575CDF" w:rsidP="00347FDB">
            <w:pPr>
              <w:spacing w:before="20" w:after="20" w:line="264" w:lineRule="auto"/>
              <w:jc w:val="center"/>
              <w:rPr>
                <w:rFonts w:cs="Times New Roman"/>
                <w:color w:val="auto"/>
                <w:sz w:val="20"/>
                <w:szCs w:val="20"/>
              </w:rPr>
            </w:pPr>
          </w:p>
        </w:tc>
        <w:tc>
          <w:tcPr>
            <w:tcW w:w="1118" w:type="dxa"/>
            <w:vMerge w:val="restart"/>
            <w:vAlign w:val="center"/>
          </w:tcPr>
          <w:p w14:paraId="2F5B4238" w14:textId="77777777" w:rsidR="00575CDF" w:rsidRPr="00C801A6" w:rsidRDefault="00575CDF" w:rsidP="00347FDB">
            <w:pPr>
              <w:spacing w:before="20" w:after="20" w:line="264" w:lineRule="auto"/>
              <w:jc w:val="left"/>
              <w:rPr>
                <w:rFonts w:cs="Times New Roman"/>
                <w:color w:val="auto"/>
                <w:sz w:val="20"/>
                <w:szCs w:val="20"/>
              </w:rPr>
            </w:pPr>
            <w:r w:rsidRPr="00C801A6">
              <w:rPr>
                <w:rFonts w:cs="Times New Roman"/>
                <w:color w:val="auto"/>
                <w:sz w:val="20"/>
                <w:szCs w:val="20"/>
              </w:rPr>
              <w:t>Faible</w:t>
            </w:r>
          </w:p>
        </w:tc>
        <w:tc>
          <w:tcPr>
            <w:tcW w:w="1260" w:type="dxa"/>
            <w:vMerge w:val="restart"/>
            <w:vAlign w:val="center"/>
          </w:tcPr>
          <w:p w14:paraId="5B0820A7" w14:textId="77777777" w:rsidR="00575CDF" w:rsidRPr="00C801A6" w:rsidRDefault="00575CDF" w:rsidP="00347FDB">
            <w:pPr>
              <w:spacing w:before="20" w:after="20" w:line="264" w:lineRule="auto"/>
              <w:jc w:val="left"/>
              <w:rPr>
                <w:rFonts w:cs="Times New Roman"/>
                <w:color w:val="auto"/>
                <w:sz w:val="20"/>
                <w:szCs w:val="20"/>
              </w:rPr>
            </w:pPr>
            <w:r w:rsidRPr="00C801A6">
              <w:rPr>
                <w:rFonts w:cs="Times New Roman"/>
                <w:color w:val="auto"/>
                <w:sz w:val="20"/>
                <w:szCs w:val="20"/>
              </w:rPr>
              <w:t>Régionale</w:t>
            </w:r>
          </w:p>
        </w:tc>
        <w:tc>
          <w:tcPr>
            <w:tcW w:w="1440" w:type="dxa"/>
          </w:tcPr>
          <w:p w14:paraId="61D99D5A"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Permanente</w:t>
            </w:r>
          </w:p>
        </w:tc>
        <w:tc>
          <w:tcPr>
            <w:tcW w:w="1099" w:type="dxa"/>
            <w:vAlign w:val="center"/>
          </w:tcPr>
          <w:p w14:paraId="74767B1B"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color w:val="auto"/>
                <w:sz w:val="20"/>
                <w:szCs w:val="20"/>
              </w:rPr>
              <w:t>x</w:t>
            </w:r>
          </w:p>
        </w:tc>
        <w:tc>
          <w:tcPr>
            <w:tcW w:w="1099" w:type="dxa"/>
            <w:vAlign w:val="center"/>
          </w:tcPr>
          <w:p w14:paraId="005DACDB" w14:textId="77777777" w:rsidR="00575CDF" w:rsidRPr="00C801A6" w:rsidRDefault="00575CDF" w:rsidP="00347FDB">
            <w:pPr>
              <w:spacing w:before="20" w:after="20" w:line="264" w:lineRule="auto"/>
              <w:jc w:val="center"/>
              <w:rPr>
                <w:rFonts w:cs="Times New Roman"/>
                <w:color w:val="auto"/>
                <w:sz w:val="20"/>
                <w:szCs w:val="20"/>
              </w:rPr>
            </w:pPr>
          </w:p>
        </w:tc>
        <w:tc>
          <w:tcPr>
            <w:tcW w:w="1100" w:type="dxa"/>
            <w:vAlign w:val="center"/>
          </w:tcPr>
          <w:p w14:paraId="24BCEC5B" w14:textId="77777777" w:rsidR="00575CDF" w:rsidRPr="00C801A6" w:rsidRDefault="00575CDF" w:rsidP="00347FDB">
            <w:pPr>
              <w:spacing w:before="20" w:after="20" w:line="264" w:lineRule="auto"/>
              <w:jc w:val="center"/>
              <w:rPr>
                <w:rFonts w:cs="Times New Roman"/>
                <w:color w:val="auto"/>
                <w:sz w:val="20"/>
                <w:szCs w:val="20"/>
              </w:rPr>
            </w:pPr>
          </w:p>
        </w:tc>
      </w:tr>
      <w:tr w:rsidR="00C801A6" w:rsidRPr="00C801A6" w14:paraId="48062C3F" w14:textId="77777777" w:rsidTr="00347FDB">
        <w:trPr>
          <w:gridAfter w:val="1"/>
          <w:wAfter w:w="360" w:type="dxa"/>
        </w:trPr>
        <w:tc>
          <w:tcPr>
            <w:tcW w:w="1985" w:type="dxa"/>
            <w:vMerge/>
          </w:tcPr>
          <w:p w14:paraId="46CAE681" w14:textId="77777777" w:rsidR="00575CDF" w:rsidRPr="00C801A6" w:rsidRDefault="00575CDF" w:rsidP="00347FDB">
            <w:pPr>
              <w:spacing w:before="20" w:after="20" w:line="264" w:lineRule="auto"/>
              <w:rPr>
                <w:rFonts w:cs="Times New Roman"/>
                <w:color w:val="auto"/>
                <w:sz w:val="20"/>
                <w:szCs w:val="20"/>
              </w:rPr>
            </w:pPr>
          </w:p>
        </w:tc>
        <w:tc>
          <w:tcPr>
            <w:tcW w:w="1118" w:type="dxa"/>
            <w:vMerge/>
          </w:tcPr>
          <w:p w14:paraId="70F9B80E" w14:textId="77777777" w:rsidR="00575CDF" w:rsidRPr="00C801A6" w:rsidRDefault="00575CDF" w:rsidP="00347FDB">
            <w:pPr>
              <w:spacing w:before="20" w:after="20" w:line="264" w:lineRule="auto"/>
              <w:jc w:val="left"/>
              <w:rPr>
                <w:rFonts w:cs="Times New Roman"/>
                <w:color w:val="auto"/>
                <w:sz w:val="20"/>
                <w:szCs w:val="20"/>
              </w:rPr>
            </w:pPr>
          </w:p>
        </w:tc>
        <w:tc>
          <w:tcPr>
            <w:tcW w:w="1260" w:type="dxa"/>
            <w:vMerge/>
          </w:tcPr>
          <w:p w14:paraId="3716DF15" w14:textId="77777777" w:rsidR="00575CDF" w:rsidRPr="00C801A6" w:rsidRDefault="00575CDF" w:rsidP="00347FDB">
            <w:pPr>
              <w:spacing w:before="20" w:after="20" w:line="264" w:lineRule="auto"/>
              <w:jc w:val="left"/>
              <w:rPr>
                <w:rFonts w:cs="Times New Roman"/>
                <w:color w:val="auto"/>
                <w:sz w:val="20"/>
                <w:szCs w:val="20"/>
              </w:rPr>
            </w:pPr>
          </w:p>
        </w:tc>
        <w:tc>
          <w:tcPr>
            <w:tcW w:w="1440" w:type="dxa"/>
          </w:tcPr>
          <w:p w14:paraId="0378F4FC"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Temporaire</w:t>
            </w:r>
          </w:p>
        </w:tc>
        <w:tc>
          <w:tcPr>
            <w:tcW w:w="1099" w:type="dxa"/>
            <w:vAlign w:val="center"/>
          </w:tcPr>
          <w:p w14:paraId="525B1E8B" w14:textId="77777777" w:rsidR="00575CDF" w:rsidRPr="00C801A6" w:rsidRDefault="00575CDF" w:rsidP="00347FDB">
            <w:pPr>
              <w:spacing w:before="20" w:after="20" w:line="264" w:lineRule="auto"/>
              <w:jc w:val="center"/>
              <w:rPr>
                <w:rFonts w:cs="Times New Roman"/>
                <w:color w:val="auto"/>
                <w:sz w:val="20"/>
                <w:szCs w:val="20"/>
              </w:rPr>
            </w:pPr>
          </w:p>
        </w:tc>
        <w:tc>
          <w:tcPr>
            <w:tcW w:w="1099" w:type="dxa"/>
            <w:vAlign w:val="center"/>
          </w:tcPr>
          <w:p w14:paraId="0CAFA0C7"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color w:val="auto"/>
                <w:sz w:val="20"/>
                <w:szCs w:val="20"/>
              </w:rPr>
              <w:t>x</w:t>
            </w:r>
          </w:p>
        </w:tc>
        <w:tc>
          <w:tcPr>
            <w:tcW w:w="1100" w:type="dxa"/>
            <w:vAlign w:val="center"/>
          </w:tcPr>
          <w:p w14:paraId="48B7A372" w14:textId="77777777" w:rsidR="00575CDF" w:rsidRPr="00C801A6" w:rsidRDefault="00575CDF" w:rsidP="00347FDB">
            <w:pPr>
              <w:spacing w:before="20" w:after="20" w:line="264" w:lineRule="auto"/>
              <w:jc w:val="center"/>
              <w:rPr>
                <w:rFonts w:cs="Times New Roman"/>
                <w:color w:val="auto"/>
                <w:sz w:val="20"/>
                <w:szCs w:val="20"/>
              </w:rPr>
            </w:pPr>
          </w:p>
        </w:tc>
      </w:tr>
      <w:tr w:rsidR="00C801A6" w:rsidRPr="00C801A6" w14:paraId="0F5D4EEA" w14:textId="77777777" w:rsidTr="00347FDB">
        <w:trPr>
          <w:gridAfter w:val="1"/>
          <w:wAfter w:w="360" w:type="dxa"/>
        </w:trPr>
        <w:tc>
          <w:tcPr>
            <w:tcW w:w="1985" w:type="dxa"/>
            <w:vMerge/>
          </w:tcPr>
          <w:p w14:paraId="2FDC52F1" w14:textId="77777777" w:rsidR="00575CDF" w:rsidRPr="00C801A6" w:rsidRDefault="00575CDF" w:rsidP="00347FDB">
            <w:pPr>
              <w:spacing w:before="20" w:after="20" w:line="264" w:lineRule="auto"/>
              <w:rPr>
                <w:rFonts w:cs="Times New Roman"/>
                <w:color w:val="auto"/>
                <w:sz w:val="20"/>
                <w:szCs w:val="20"/>
              </w:rPr>
            </w:pPr>
          </w:p>
        </w:tc>
        <w:tc>
          <w:tcPr>
            <w:tcW w:w="1118" w:type="dxa"/>
            <w:vMerge/>
          </w:tcPr>
          <w:p w14:paraId="3266AA2A" w14:textId="77777777" w:rsidR="00575CDF" w:rsidRPr="00C801A6" w:rsidRDefault="00575CDF" w:rsidP="00347FDB">
            <w:pPr>
              <w:spacing w:before="20" w:after="20" w:line="264" w:lineRule="auto"/>
              <w:jc w:val="left"/>
              <w:rPr>
                <w:rFonts w:cs="Times New Roman"/>
                <w:color w:val="auto"/>
                <w:sz w:val="20"/>
                <w:szCs w:val="20"/>
              </w:rPr>
            </w:pPr>
          </w:p>
        </w:tc>
        <w:tc>
          <w:tcPr>
            <w:tcW w:w="1260" w:type="dxa"/>
            <w:vMerge w:val="restart"/>
            <w:vAlign w:val="center"/>
          </w:tcPr>
          <w:p w14:paraId="279AD318" w14:textId="77777777" w:rsidR="00575CDF" w:rsidRPr="00C801A6" w:rsidRDefault="00575CDF" w:rsidP="00347FDB">
            <w:pPr>
              <w:spacing w:before="20" w:after="20" w:line="264" w:lineRule="auto"/>
              <w:jc w:val="left"/>
              <w:rPr>
                <w:rFonts w:cs="Times New Roman"/>
                <w:color w:val="auto"/>
                <w:sz w:val="20"/>
                <w:szCs w:val="20"/>
              </w:rPr>
            </w:pPr>
            <w:r w:rsidRPr="00C801A6">
              <w:rPr>
                <w:rFonts w:cs="Times New Roman"/>
                <w:color w:val="auto"/>
                <w:sz w:val="20"/>
                <w:szCs w:val="20"/>
              </w:rPr>
              <w:t>Zonale</w:t>
            </w:r>
          </w:p>
        </w:tc>
        <w:tc>
          <w:tcPr>
            <w:tcW w:w="1440" w:type="dxa"/>
          </w:tcPr>
          <w:p w14:paraId="79A0FE48"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Permanente</w:t>
            </w:r>
          </w:p>
        </w:tc>
        <w:tc>
          <w:tcPr>
            <w:tcW w:w="1099" w:type="dxa"/>
            <w:vAlign w:val="center"/>
          </w:tcPr>
          <w:p w14:paraId="304803B2" w14:textId="77777777" w:rsidR="00575CDF" w:rsidRPr="00C801A6" w:rsidRDefault="00575CDF" w:rsidP="00347FDB">
            <w:pPr>
              <w:spacing w:before="20" w:after="20" w:line="264" w:lineRule="auto"/>
              <w:jc w:val="center"/>
              <w:rPr>
                <w:rFonts w:cs="Times New Roman"/>
                <w:color w:val="auto"/>
                <w:sz w:val="20"/>
                <w:szCs w:val="20"/>
              </w:rPr>
            </w:pPr>
          </w:p>
        </w:tc>
        <w:tc>
          <w:tcPr>
            <w:tcW w:w="1099" w:type="dxa"/>
            <w:vAlign w:val="center"/>
          </w:tcPr>
          <w:p w14:paraId="55C2A119"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color w:val="auto"/>
                <w:sz w:val="20"/>
                <w:szCs w:val="20"/>
              </w:rPr>
              <w:t>x</w:t>
            </w:r>
          </w:p>
        </w:tc>
        <w:tc>
          <w:tcPr>
            <w:tcW w:w="1100" w:type="dxa"/>
            <w:vAlign w:val="center"/>
          </w:tcPr>
          <w:p w14:paraId="26AB2954" w14:textId="77777777" w:rsidR="00575CDF" w:rsidRPr="00C801A6" w:rsidRDefault="00575CDF" w:rsidP="00347FDB">
            <w:pPr>
              <w:spacing w:before="20" w:after="20" w:line="264" w:lineRule="auto"/>
              <w:jc w:val="center"/>
              <w:rPr>
                <w:rFonts w:cs="Times New Roman"/>
                <w:color w:val="auto"/>
                <w:sz w:val="20"/>
                <w:szCs w:val="20"/>
              </w:rPr>
            </w:pPr>
          </w:p>
        </w:tc>
      </w:tr>
      <w:tr w:rsidR="00C801A6" w:rsidRPr="00C801A6" w14:paraId="5A32E7E9" w14:textId="77777777" w:rsidTr="00347FDB">
        <w:trPr>
          <w:gridAfter w:val="1"/>
          <w:wAfter w:w="360" w:type="dxa"/>
        </w:trPr>
        <w:tc>
          <w:tcPr>
            <w:tcW w:w="1985" w:type="dxa"/>
            <w:vMerge/>
          </w:tcPr>
          <w:p w14:paraId="09A920DB" w14:textId="77777777" w:rsidR="00575CDF" w:rsidRPr="00C801A6" w:rsidRDefault="00575CDF" w:rsidP="00347FDB">
            <w:pPr>
              <w:spacing w:before="20" w:after="20" w:line="264" w:lineRule="auto"/>
              <w:rPr>
                <w:rFonts w:cs="Times New Roman"/>
                <w:color w:val="auto"/>
                <w:sz w:val="20"/>
                <w:szCs w:val="20"/>
              </w:rPr>
            </w:pPr>
          </w:p>
        </w:tc>
        <w:tc>
          <w:tcPr>
            <w:tcW w:w="1118" w:type="dxa"/>
            <w:vMerge/>
          </w:tcPr>
          <w:p w14:paraId="385E2DBA" w14:textId="77777777" w:rsidR="00575CDF" w:rsidRPr="00C801A6" w:rsidRDefault="00575CDF" w:rsidP="00347FDB">
            <w:pPr>
              <w:spacing w:before="20" w:after="20" w:line="264" w:lineRule="auto"/>
              <w:jc w:val="left"/>
              <w:rPr>
                <w:rFonts w:cs="Times New Roman"/>
                <w:color w:val="auto"/>
                <w:sz w:val="20"/>
                <w:szCs w:val="20"/>
              </w:rPr>
            </w:pPr>
          </w:p>
        </w:tc>
        <w:tc>
          <w:tcPr>
            <w:tcW w:w="1260" w:type="dxa"/>
            <w:vMerge/>
          </w:tcPr>
          <w:p w14:paraId="100D0CF1" w14:textId="77777777" w:rsidR="00575CDF" w:rsidRPr="00C801A6" w:rsidRDefault="00575CDF" w:rsidP="00347FDB">
            <w:pPr>
              <w:spacing w:before="20" w:after="20" w:line="264" w:lineRule="auto"/>
              <w:jc w:val="left"/>
              <w:rPr>
                <w:rFonts w:cs="Times New Roman"/>
                <w:color w:val="auto"/>
                <w:sz w:val="20"/>
                <w:szCs w:val="20"/>
              </w:rPr>
            </w:pPr>
          </w:p>
        </w:tc>
        <w:tc>
          <w:tcPr>
            <w:tcW w:w="1440" w:type="dxa"/>
          </w:tcPr>
          <w:p w14:paraId="5FB64141"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Temporaire</w:t>
            </w:r>
          </w:p>
        </w:tc>
        <w:tc>
          <w:tcPr>
            <w:tcW w:w="1099" w:type="dxa"/>
            <w:vAlign w:val="center"/>
          </w:tcPr>
          <w:p w14:paraId="6DF2544B" w14:textId="77777777" w:rsidR="00575CDF" w:rsidRPr="00C801A6" w:rsidRDefault="00575CDF" w:rsidP="00347FDB">
            <w:pPr>
              <w:spacing w:before="20" w:after="20" w:line="264" w:lineRule="auto"/>
              <w:jc w:val="center"/>
              <w:rPr>
                <w:rFonts w:cs="Times New Roman"/>
                <w:color w:val="auto"/>
                <w:sz w:val="20"/>
                <w:szCs w:val="20"/>
              </w:rPr>
            </w:pPr>
          </w:p>
        </w:tc>
        <w:tc>
          <w:tcPr>
            <w:tcW w:w="1099" w:type="dxa"/>
            <w:vAlign w:val="center"/>
          </w:tcPr>
          <w:p w14:paraId="0498C0DA" w14:textId="77777777" w:rsidR="00575CDF" w:rsidRPr="00C801A6" w:rsidRDefault="00575CDF" w:rsidP="00347FDB">
            <w:pPr>
              <w:spacing w:before="20" w:after="20" w:line="264" w:lineRule="auto"/>
              <w:jc w:val="center"/>
              <w:rPr>
                <w:rFonts w:cs="Times New Roman"/>
                <w:color w:val="auto"/>
                <w:sz w:val="20"/>
                <w:szCs w:val="20"/>
              </w:rPr>
            </w:pPr>
          </w:p>
        </w:tc>
        <w:tc>
          <w:tcPr>
            <w:tcW w:w="1100" w:type="dxa"/>
            <w:vAlign w:val="center"/>
          </w:tcPr>
          <w:p w14:paraId="732B2B8E"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color w:val="auto"/>
                <w:sz w:val="20"/>
                <w:szCs w:val="20"/>
              </w:rPr>
              <w:t>x</w:t>
            </w:r>
          </w:p>
        </w:tc>
      </w:tr>
      <w:tr w:rsidR="00C801A6" w:rsidRPr="00C801A6" w14:paraId="615FB017" w14:textId="77777777" w:rsidTr="00347FDB">
        <w:trPr>
          <w:gridAfter w:val="1"/>
          <w:wAfter w:w="360" w:type="dxa"/>
        </w:trPr>
        <w:tc>
          <w:tcPr>
            <w:tcW w:w="1985" w:type="dxa"/>
            <w:vMerge/>
          </w:tcPr>
          <w:p w14:paraId="6DF7C343" w14:textId="77777777" w:rsidR="00575CDF" w:rsidRPr="00C801A6" w:rsidRDefault="00575CDF" w:rsidP="00347FDB">
            <w:pPr>
              <w:spacing w:before="20" w:after="20" w:line="264" w:lineRule="auto"/>
              <w:rPr>
                <w:rFonts w:cs="Times New Roman"/>
                <w:color w:val="auto"/>
                <w:sz w:val="20"/>
                <w:szCs w:val="20"/>
              </w:rPr>
            </w:pPr>
          </w:p>
        </w:tc>
        <w:tc>
          <w:tcPr>
            <w:tcW w:w="1118" w:type="dxa"/>
            <w:vMerge/>
          </w:tcPr>
          <w:p w14:paraId="550AD793" w14:textId="77777777" w:rsidR="00575CDF" w:rsidRPr="00C801A6" w:rsidRDefault="00575CDF" w:rsidP="00347FDB">
            <w:pPr>
              <w:spacing w:before="20" w:after="20" w:line="264" w:lineRule="auto"/>
              <w:jc w:val="left"/>
              <w:rPr>
                <w:rFonts w:cs="Times New Roman"/>
                <w:color w:val="auto"/>
                <w:sz w:val="20"/>
                <w:szCs w:val="20"/>
              </w:rPr>
            </w:pPr>
          </w:p>
        </w:tc>
        <w:tc>
          <w:tcPr>
            <w:tcW w:w="1260" w:type="dxa"/>
            <w:vMerge w:val="restart"/>
            <w:vAlign w:val="center"/>
          </w:tcPr>
          <w:p w14:paraId="1BFD1485" w14:textId="77777777" w:rsidR="00575CDF" w:rsidRPr="00C801A6" w:rsidRDefault="00575CDF" w:rsidP="00347FDB">
            <w:pPr>
              <w:spacing w:before="20" w:after="20" w:line="264" w:lineRule="auto"/>
              <w:jc w:val="left"/>
              <w:rPr>
                <w:rFonts w:cs="Times New Roman"/>
                <w:color w:val="auto"/>
                <w:sz w:val="20"/>
                <w:szCs w:val="20"/>
              </w:rPr>
            </w:pPr>
            <w:r w:rsidRPr="00C801A6">
              <w:rPr>
                <w:rFonts w:cs="Times New Roman"/>
                <w:color w:val="auto"/>
                <w:sz w:val="20"/>
                <w:szCs w:val="20"/>
              </w:rPr>
              <w:t>Locale</w:t>
            </w:r>
          </w:p>
        </w:tc>
        <w:tc>
          <w:tcPr>
            <w:tcW w:w="1440" w:type="dxa"/>
          </w:tcPr>
          <w:p w14:paraId="5708FE4B"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Permanente</w:t>
            </w:r>
          </w:p>
        </w:tc>
        <w:tc>
          <w:tcPr>
            <w:tcW w:w="1099" w:type="dxa"/>
            <w:vAlign w:val="center"/>
          </w:tcPr>
          <w:p w14:paraId="0F106422" w14:textId="77777777" w:rsidR="00575CDF" w:rsidRPr="00C801A6" w:rsidRDefault="00575CDF" w:rsidP="00347FDB">
            <w:pPr>
              <w:spacing w:before="20" w:after="20" w:line="264" w:lineRule="auto"/>
              <w:jc w:val="center"/>
              <w:rPr>
                <w:rFonts w:cs="Times New Roman"/>
                <w:color w:val="auto"/>
                <w:sz w:val="20"/>
                <w:szCs w:val="20"/>
              </w:rPr>
            </w:pPr>
          </w:p>
        </w:tc>
        <w:tc>
          <w:tcPr>
            <w:tcW w:w="1099" w:type="dxa"/>
            <w:vAlign w:val="center"/>
          </w:tcPr>
          <w:p w14:paraId="02DE1A83"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color w:val="auto"/>
                <w:sz w:val="20"/>
                <w:szCs w:val="20"/>
              </w:rPr>
              <w:t>x</w:t>
            </w:r>
          </w:p>
        </w:tc>
        <w:tc>
          <w:tcPr>
            <w:tcW w:w="1100" w:type="dxa"/>
            <w:vAlign w:val="center"/>
          </w:tcPr>
          <w:p w14:paraId="1DABC2DF" w14:textId="77777777" w:rsidR="00575CDF" w:rsidRPr="00C801A6" w:rsidRDefault="00575CDF" w:rsidP="00347FDB">
            <w:pPr>
              <w:spacing w:before="20" w:after="20" w:line="264" w:lineRule="auto"/>
              <w:jc w:val="center"/>
              <w:rPr>
                <w:rFonts w:cs="Times New Roman"/>
                <w:color w:val="auto"/>
                <w:sz w:val="20"/>
                <w:szCs w:val="20"/>
              </w:rPr>
            </w:pPr>
          </w:p>
        </w:tc>
      </w:tr>
      <w:tr w:rsidR="00C801A6" w:rsidRPr="00C801A6" w14:paraId="786344E5" w14:textId="77777777" w:rsidTr="00347FDB">
        <w:trPr>
          <w:gridAfter w:val="1"/>
          <w:wAfter w:w="360" w:type="dxa"/>
        </w:trPr>
        <w:tc>
          <w:tcPr>
            <w:tcW w:w="1985" w:type="dxa"/>
            <w:vMerge/>
          </w:tcPr>
          <w:p w14:paraId="2EF35359" w14:textId="77777777" w:rsidR="00575CDF" w:rsidRPr="00C801A6" w:rsidRDefault="00575CDF" w:rsidP="00347FDB">
            <w:pPr>
              <w:spacing w:before="20" w:after="20" w:line="264" w:lineRule="auto"/>
              <w:rPr>
                <w:rFonts w:cs="Times New Roman"/>
                <w:color w:val="auto"/>
                <w:sz w:val="20"/>
                <w:szCs w:val="20"/>
              </w:rPr>
            </w:pPr>
          </w:p>
        </w:tc>
        <w:tc>
          <w:tcPr>
            <w:tcW w:w="1118" w:type="dxa"/>
            <w:vMerge/>
          </w:tcPr>
          <w:p w14:paraId="47D153E0" w14:textId="77777777" w:rsidR="00575CDF" w:rsidRPr="00C801A6" w:rsidRDefault="00575CDF" w:rsidP="00347FDB">
            <w:pPr>
              <w:spacing w:before="20" w:after="20" w:line="264" w:lineRule="auto"/>
              <w:jc w:val="left"/>
              <w:rPr>
                <w:rFonts w:cs="Times New Roman"/>
                <w:color w:val="auto"/>
                <w:sz w:val="20"/>
                <w:szCs w:val="20"/>
              </w:rPr>
            </w:pPr>
          </w:p>
        </w:tc>
        <w:tc>
          <w:tcPr>
            <w:tcW w:w="1260" w:type="dxa"/>
            <w:vMerge/>
          </w:tcPr>
          <w:p w14:paraId="448B8A59" w14:textId="77777777" w:rsidR="00575CDF" w:rsidRPr="00C801A6" w:rsidRDefault="00575CDF" w:rsidP="00347FDB">
            <w:pPr>
              <w:spacing w:before="20" w:after="20" w:line="264" w:lineRule="auto"/>
              <w:jc w:val="left"/>
              <w:rPr>
                <w:rFonts w:cs="Times New Roman"/>
                <w:color w:val="auto"/>
                <w:sz w:val="20"/>
                <w:szCs w:val="20"/>
              </w:rPr>
            </w:pPr>
          </w:p>
        </w:tc>
        <w:tc>
          <w:tcPr>
            <w:tcW w:w="1440" w:type="dxa"/>
          </w:tcPr>
          <w:p w14:paraId="3847473B"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Temporaire</w:t>
            </w:r>
          </w:p>
        </w:tc>
        <w:tc>
          <w:tcPr>
            <w:tcW w:w="1099" w:type="dxa"/>
            <w:vAlign w:val="center"/>
          </w:tcPr>
          <w:p w14:paraId="2184868A" w14:textId="77777777" w:rsidR="00575CDF" w:rsidRPr="00C801A6" w:rsidRDefault="00575CDF" w:rsidP="00347FDB">
            <w:pPr>
              <w:spacing w:before="20" w:after="20" w:line="264" w:lineRule="auto"/>
              <w:jc w:val="center"/>
              <w:rPr>
                <w:rFonts w:cs="Times New Roman"/>
                <w:color w:val="auto"/>
                <w:sz w:val="20"/>
                <w:szCs w:val="20"/>
              </w:rPr>
            </w:pPr>
          </w:p>
        </w:tc>
        <w:tc>
          <w:tcPr>
            <w:tcW w:w="1099" w:type="dxa"/>
            <w:vAlign w:val="center"/>
          </w:tcPr>
          <w:p w14:paraId="742A2962" w14:textId="77777777" w:rsidR="00575CDF" w:rsidRPr="00C801A6" w:rsidRDefault="00575CDF" w:rsidP="00347FDB">
            <w:pPr>
              <w:spacing w:before="20" w:after="20" w:line="264" w:lineRule="auto"/>
              <w:jc w:val="center"/>
              <w:rPr>
                <w:rFonts w:cs="Times New Roman"/>
                <w:color w:val="auto"/>
                <w:sz w:val="20"/>
                <w:szCs w:val="20"/>
              </w:rPr>
            </w:pPr>
          </w:p>
        </w:tc>
        <w:tc>
          <w:tcPr>
            <w:tcW w:w="1100" w:type="dxa"/>
            <w:vAlign w:val="center"/>
          </w:tcPr>
          <w:p w14:paraId="108278DC"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color w:val="auto"/>
                <w:sz w:val="20"/>
                <w:szCs w:val="20"/>
              </w:rPr>
              <w:t>x</w:t>
            </w:r>
          </w:p>
        </w:tc>
      </w:tr>
      <w:tr w:rsidR="00C801A6" w:rsidRPr="00C801A6" w14:paraId="0B37ABD7" w14:textId="77777777" w:rsidTr="00347FDB">
        <w:trPr>
          <w:gridAfter w:val="1"/>
          <w:wAfter w:w="360" w:type="dxa"/>
        </w:trPr>
        <w:tc>
          <w:tcPr>
            <w:tcW w:w="1985" w:type="dxa"/>
            <w:vMerge w:val="restart"/>
            <w:vAlign w:val="center"/>
          </w:tcPr>
          <w:p w14:paraId="1356EF25"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lastRenderedPageBreak/>
              <w:t>Moyenne</w:t>
            </w:r>
          </w:p>
        </w:tc>
        <w:tc>
          <w:tcPr>
            <w:tcW w:w="1118" w:type="dxa"/>
            <w:vMerge w:val="restart"/>
            <w:vAlign w:val="center"/>
          </w:tcPr>
          <w:p w14:paraId="09210BED" w14:textId="77777777" w:rsidR="00575CDF" w:rsidRPr="00C801A6" w:rsidRDefault="00575CDF" w:rsidP="00347FDB">
            <w:pPr>
              <w:spacing w:before="20" w:after="20" w:line="264" w:lineRule="auto"/>
              <w:jc w:val="left"/>
              <w:rPr>
                <w:rFonts w:cs="Times New Roman"/>
                <w:color w:val="auto"/>
                <w:sz w:val="20"/>
                <w:szCs w:val="20"/>
              </w:rPr>
            </w:pPr>
            <w:r w:rsidRPr="00C801A6">
              <w:rPr>
                <w:rFonts w:cs="Times New Roman"/>
                <w:color w:val="auto"/>
                <w:sz w:val="20"/>
                <w:szCs w:val="20"/>
                <w:lang w:val="fr-CA" w:eastAsia="fr-CA"/>
              </w:rPr>
              <w:t>Forte</w:t>
            </w:r>
          </w:p>
        </w:tc>
        <w:tc>
          <w:tcPr>
            <w:tcW w:w="1260" w:type="dxa"/>
            <w:vMerge w:val="restart"/>
            <w:vAlign w:val="center"/>
          </w:tcPr>
          <w:p w14:paraId="53D34063" w14:textId="77777777" w:rsidR="00575CDF" w:rsidRPr="00C801A6" w:rsidRDefault="00575CDF" w:rsidP="00347FDB">
            <w:pPr>
              <w:spacing w:before="20" w:after="20" w:line="264" w:lineRule="auto"/>
              <w:jc w:val="left"/>
              <w:rPr>
                <w:rFonts w:cs="Times New Roman"/>
                <w:color w:val="auto"/>
                <w:sz w:val="20"/>
                <w:szCs w:val="20"/>
              </w:rPr>
            </w:pPr>
            <w:r w:rsidRPr="00C801A6">
              <w:rPr>
                <w:rFonts w:cs="Times New Roman"/>
                <w:color w:val="auto"/>
                <w:sz w:val="20"/>
                <w:szCs w:val="20"/>
              </w:rPr>
              <w:t>Régionale</w:t>
            </w:r>
          </w:p>
        </w:tc>
        <w:tc>
          <w:tcPr>
            <w:tcW w:w="1440" w:type="dxa"/>
          </w:tcPr>
          <w:p w14:paraId="6A5A0621"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Permanente</w:t>
            </w:r>
          </w:p>
        </w:tc>
        <w:tc>
          <w:tcPr>
            <w:tcW w:w="1099" w:type="dxa"/>
            <w:vAlign w:val="center"/>
          </w:tcPr>
          <w:p w14:paraId="1AAA1CF9"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color w:val="auto"/>
                <w:sz w:val="20"/>
                <w:szCs w:val="20"/>
              </w:rPr>
              <w:t>x</w:t>
            </w:r>
          </w:p>
        </w:tc>
        <w:tc>
          <w:tcPr>
            <w:tcW w:w="1099" w:type="dxa"/>
            <w:vAlign w:val="center"/>
          </w:tcPr>
          <w:p w14:paraId="0B262F0A" w14:textId="77777777" w:rsidR="00575CDF" w:rsidRPr="00C801A6" w:rsidRDefault="00575CDF" w:rsidP="00347FDB">
            <w:pPr>
              <w:spacing w:before="20" w:after="20" w:line="264" w:lineRule="auto"/>
              <w:jc w:val="center"/>
              <w:rPr>
                <w:rFonts w:cs="Times New Roman"/>
                <w:color w:val="auto"/>
                <w:sz w:val="20"/>
                <w:szCs w:val="20"/>
              </w:rPr>
            </w:pPr>
          </w:p>
        </w:tc>
        <w:tc>
          <w:tcPr>
            <w:tcW w:w="1100" w:type="dxa"/>
            <w:vAlign w:val="center"/>
          </w:tcPr>
          <w:p w14:paraId="52E7370C" w14:textId="77777777" w:rsidR="00575CDF" w:rsidRPr="00C801A6" w:rsidRDefault="00575CDF" w:rsidP="00347FDB">
            <w:pPr>
              <w:spacing w:before="20" w:after="20" w:line="264" w:lineRule="auto"/>
              <w:jc w:val="center"/>
              <w:rPr>
                <w:rFonts w:cs="Times New Roman"/>
                <w:color w:val="auto"/>
                <w:sz w:val="20"/>
                <w:szCs w:val="20"/>
              </w:rPr>
            </w:pPr>
          </w:p>
        </w:tc>
      </w:tr>
      <w:tr w:rsidR="00C801A6" w:rsidRPr="00C801A6" w14:paraId="6FB2E7B2" w14:textId="77777777" w:rsidTr="00347FDB">
        <w:trPr>
          <w:gridAfter w:val="1"/>
          <w:wAfter w:w="360" w:type="dxa"/>
        </w:trPr>
        <w:tc>
          <w:tcPr>
            <w:tcW w:w="1985" w:type="dxa"/>
            <w:vMerge/>
          </w:tcPr>
          <w:p w14:paraId="71C820D5" w14:textId="77777777" w:rsidR="00575CDF" w:rsidRPr="00C801A6" w:rsidRDefault="00575CDF" w:rsidP="00347FDB">
            <w:pPr>
              <w:spacing w:before="20" w:after="20" w:line="264" w:lineRule="auto"/>
              <w:rPr>
                <w:rFonts w:cs="Times New Roman"/>
                <w:color w:val="auto"/>
                <w:sz w:val="20"/>
                <w:szCs w:val="20"/>
              </w:rPr>
            </w:pPr>
          </w:p>
        </w:tc>
        <w:tc>
          <w:tcPr>
            <w:tcW w:w="1118" w:type="dxa"/>
            <w:vMerge/>
          </w:tcPr>
          <w:p w14:paraId="25A08165" w14:textId="77777777" w:rsidR="00575CDF" w:rsidRPr="00C801A6" w:rsidRDefault="00575CDF" w:rsidP="00347FDB">
            <w:pPr>
              <w:spacing w:before="20" w:after="20" w:line="264" w:lineRule="auto"/>
              <w:jc w:val="left"/>
              <w:rPr>
                <w:rFonts w:cs="Times New Roman"/>
                <w:color w:val="auto"/>
                <w:sz w:val="20"/>
                <w:szCs w:val="20"/>
              </w:rPr>
            </w:pPr>
          </w:p>
        </w:tc>
        <w:tc>
          <w:tcPr>
            <w:tcW w:w="1260" w:type="dxa"/>
            <w:vMerge/>
          </w:tcPr>
          <w:p w14:paraId="1990B677" w14:textId="77777777" w:rsidR="00575CDF" w:rsidRPr="00C801A6" w:rsidRDefault="00575CDF" w:rsidP="00347FDB">
            <w:pPr>
              <w:spacing w:before="20" w:after="20" w:line="264" w:lineRule="auto"/>
              <w:jc w:val="left"/>
              <w:rPr>
                <w:rFonts w:cs="Times New Roman"/>
                <w:color w:val="auto"/>
                <w:sz w:val="20"/>
                <w:szCs w:val="20"/>
              </w:rPr>
            </w:pPr>
          </w:p>
        </w:tc>
        <w:tc>
          <w:tcPr>
            <w:tcW w:w="1440" w:type="dxa"/>
          </w:tcPr>
          <w:p w14:paraId="5FB4C49A"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Temporaire</w:t>
            </w:r>
          </w:p>
        </w:tc>
        <w:tc>
          <w:tcPr>
            <w:tcW w:w="1099" w:type="dxa"/>
            <w:vAlign w:val="center"/>
          </w:tcPr>
          <w:p w14:paraId="34E72BD3" w14:textId="77777777" w:rsidR="00575CDF" w:rsidRPr="00C801A6" w:rsidRDefault="00575CDF" w:rsidP="00347FDB">
            <w:pPr>
              <w:spacing w:before="20" w:after="20" w:line="264" w:lineRule="auto"/>
              <w:jc w:val="center"/>
              <w:rPr>
                <w:rFonts w:cs="Times New Roman"/>
                <w:color w:val="auto"/>
                <w:sz w:val="20"/>
                <w:szCs w:val="20"/>
              </w:rPr>
            </w:pPr>
          </w:p>
        </w:tc>
        <w:tc>
          <w:tcPr>
            <w:tcW w:w="1099" w:type="dxa"/>
            <w:vAlign w:val="center"/>
          </w:tcPr>
          <w:p w14:paraId="23891C5D"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color w:val="auto"/>
                <w:sz w:val="20"/>
                <w:szCs w:val="20"/>
              </w:rPr>
              <w:t>x</w:t>
            </w:r>
          </w:p>
        </w:tc>
        <w:tc>
          <w:tcPr>
            <w:tcW w:w="1100" w:type="dxa"/>
            <w:vAlign w:val="center"/>
          </w:tcPr>
          <w:p w14:paraId="5E11E60A" w14:textId="77777777" w:rsidR="00575CDF" w:rsidRPr="00C801A6" w:rsidRDefault="00575CDF" w:rsidP="00347FDB">
            <w:pPr>
              <w:spacing w:before="20" w:after="20" w:line="264" w:lineRule="auto"/>
              <w:jc w:val="center"/>
              <w:rPr>
                <w:rFonts w:cs="Times New Roman"/>
                <w:color w:val="auto"/>
                <w:sz w:val="20"/>
                <w:szCs w:val="20"/>
              </w:rPr>
            </w:pPr>
          </w:p>
        </w:tc>
      </w:tr>
      <w:tr w:rsidR="00C801A6" w:rsidRPr="00C801A6" w14:paraId="0518E113" w14:textId="77777777" w:rsidTr="00347FDB">
        <w:trPr>
          <w:gridAfter w:val="1"/>
          <w:wAfter w:w="360" w:type="dxa"/>
        </w:trPr>
        <w:tc>
          <w:tcPr>
            <w:tcW w:w="1985" w:type="dxa"/>
            <w:vMerge/>
          </w:tcPr>
          <w:p w14:paraId="3D6F7E3E" w14:textId="77777777" w:rsidR="00575CDF" w:rsidRPr="00C801A6" w:rsidRDefault="00575CDF" w:rsidP="00347FDB">
            <w:pPr>
              <w:spacing w:before="20" w:after="20" w:line="264" w:lineRule="auto"/>
              <w:rPr>
                <w:rFonts w:cs="Times New Roman"/>
                <w:color w:val="auto"/>
                <w:sz w:val="20"/>
                <w:szCs w:val="20"/>
              </w:rPr>
            </w:pPr>
          </w:p>
        </w:tc>
        <w:tc>
          <w:tcPr>
            <w:tcW w:w="1118" w:type="dxa"/>
            <w:vMerge/>
          </w:tcPr>
          <w:p w14:paraId="794ADD9F" w14:textId="77777777" w:rsidR="00575CDF" w:rsidRPr="00C801A6" w:rsidRDefault="00575CDF" w:rsidP="00347FDB">
            <w:pPr>
              <w:spacing w:before="20" w:after="20" w:line="264" w:lineRule="auto"/>
              <w:jc w:val="left"/>
              <w:rPr>
                <w:rFonts w:cs="Times New Roman"/>
                <w:color w:val="auto"/>
                <w:sz w:val="20"/>
                <w:szCs w:val="20"/>
              </w:rPr>
            </w:pPr>
          </w:p>
        </w:tc>
        <w:tc>
          <w:tcPr>
            <w:tcW w:w="1260" w:type="dxa"/>
            <w:vMerge w:val="restart"/>
            <w:vAlign w:val="center"/>
          </w:tcPr>
          <w:p w14:paraId="48251971" w14:textId="77777777" w:rsidR="00575CDF" w:rsidRPr="00C801A6" w:rsidRDefault="00575CDF" w:rsidP="00347FDB">
            <w:pPr>
              <w:spacing w:before="20" w:after="20" w:line="264" w:lineRule="auto"/>
              <w:jc w:val="left"/>
              <w:rPr>
                <w:rFonts w:cs="Times New Roman"/>
                <w:color w:val="auto"/>
                <w:sz w:val="20"/>
                <w:szCs w:val="20"/>
              </w:rPr>
            </w:pPr>
            <w:r w:rsidRPr="00C801A6">
              <w:rPr>
                <w:rFonts w:cs="Times New Roman"/>
                <w:color w:val="auto"/>
                <w:sz w:val="20"/>
                <w:szCs w:val="20"/>
              </w:rPr>
              <w:t>Zonale</w:t>
            </w:r>
          </w:p>
        </w:tc>
        <w:tc>
          <w:tcPr>
            <w:tcW w:w="1440" w:type="dxa"/>
          </w:tcPr>
          <w:p w14:paraId="524DE77B"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Permanente</w:t>
            </w:r>
          </w:p>
        </w:tc>
        <w:tc>
          <w:tcPr>
            <w:tcW w:w="1099" w:type="dxa"/>
            <w:vAlign w:val="center"/>
          </w:tcPr>
          <w:p w14:paraId="11B634F3"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color w:val="auto"/>
                <w:sz w:val="20"/>
                <w:szCs w:val="20"/>
              </w:rPr>
              <w:t>x</w:t>
            </w:r>
          </w:p>
        </w:tc>
        <w:tc>
          <w:tcPr>
            <w:tcW w:w="1099" w:type="dxa"/>
            <w:vAlign w:val="center"/>
          </w:tcPr>
          <w:p w14:paraId="161A0AE6" w14:textId="77777777" w:rsidR="00575CDF" w:rsidRPr="00C801A6" w:rsidRDefault="00575CDF" w:rsidP="00347FDB">
            <w:pPr>
              <w:spacing w:before="20" w:after="20" w:line="264" w:lineRule="auto"/>
              <w:jc w:val="center"/>
              <w:rPr>
                <w:rFonts w:cs="Times New Roman"/>
                <w:color w:val="auto"/>
                <w:sz w:val="20"/>
                <w:szCs w:val="20"/>
              </w:rPr>
            </w:pPr>
          </w:p>
        </w:tc>
        <w:tc>
          <w:tcPr>
            <w:tcW w:w="1100" w:type="dxa"/>
            <w:vAlign w:val="center"/>
          </w:tcPr>
          <w:p w14:paraId="0020CB03" w14:textId="77777777" w:rsidR="00575CDF" w:rsidRPr="00C801A6" w:rsidRDefault="00575CDF" w:rsidP="00347FDB">
            <w:pPr>
              <w:spacing w:before="20" w:after="20" w:line="264" w:lineRule="auto"/>
              <w:jc w:val="center"/>
              <w:rPr>
                <w:rFonts w:cs="Times New Roman"/>
                <w:color w:val="auto"/>
                <w:sz w:val="20"/>
                <w:szCs w:val="20"/>
              </w:rPr>
            </w:pPr>
          </w:p>
        </w:tc>
      </w:tr>
      <w:tr w:rsidR="00C801A6" w:rsidRPr="00C801A6" w14:paraId="5AF2991E" w14:textId="77777777" w:rsidTr="00347FDB">
        <w:trPr>
          <w:gridAfter w:val="1"/>
          <w:wAfter w:w="360" w:type="dxa"/>
        </w:trPr>
        <w:tc>
          <w:tcPr>
            <w:tcW w:w="1985" w:type="dxa"/>
            <w:vMerge/>
          </w:tcPr>
          <w:p w14:paraId="267F451C" w14:textId="77777777" w:rsidR="00575CDF" w:rsidRPr="00C801A6" w:rsidRDefault="00575CDF" w:rsidP="00347FDB">
            <w:pPr>
              <w:spacing w:before="20" w:after="20" w:line="264" w:lineRule="auto"/>
              <w:rPr>
                <w:rFonts w:cs="Times New Roman"/>
                <w:color w:val="auto"/>
                <w:sz w:val="20"/>
                <w:szCs w:val="20"/>
              </w:rPr>
            </w:pPr>
          </w:p>
        </w:tc>
        <w:tc>
          <w:tcPr>
            <w:tcW w:w="1118" w:type="dxa"/>
            <w:vMerge/>
          </w:tcPr>
          <w:p w14:paraId="7B8B15A7" w14:textId="77777777" w:rsidR="00575CDF" w:rsidRPr="00C801A6" w:rsidRDefault="00575CDF" w:rsidP="00347FDB">
            <w:pPr>
              <w:spacing w:before="20" w:after="20" w:line="264" w:lineRule="auto"/>
              <w:jc w:val="left"/>
              <w:rPr>
                <w:rFonts w:cs="Times New Roman"/>
                <w:color w:val="auto"/>
                <w:sz w:val="20"/>
                <w:szCs w:val="20"/>
              </w:rPr>
            </w:pPr>
          </w:p>
        </w:tc>
        <w:tc>
          <w:tcPr>
            <w:tcW w:w="1260" w:type="dxa"/>
            <w:vMerge/>
          </w:tcPr>
          <w:p w14:paraId="21CA9075" w14:textId="77777777" w:rsidR="00575CDF" w:rsidRPr="00C801A6" w:rsidRDefault="00575CDF" w:rsidP="00347FDB">
            <w:pPr>
              <w:spacing w:before="20" w:after="20" w:line="264" w:lineRule="auto"/>
              <w:jc w:val="left"/>
              <w:rPr>
                <w:rFonts w:cs="Times New Roman"/>
                <w:color w:val="auto"/>
                <w:sz w:val="20"/>
                <w:szCs w:val="20"/>
              </w:rPr>
            </w:pPr>
          </w:p>
        </w:tc>
        <w:tc>
          <w:tcPr>
            <w:tcW w:w="1440" w:type="dxa"/>
          </w:tcPr>
          <w:p w14:paraId="7314A035"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Temporaire</w:t>
            </w:r>
          </w:p>
        </w:tc>
        <w:tc>
          <w:tcPr>
            <w:tcW w:w="1099" w:type="dxa"/>
            <w:vAlign w:val="center"/>
          </w:tcPr>
          <w:p w14:paraId="79530AEF" w14:textId="77777777" w:rsidR="00575CDF" w:rsidRPr="00C801A6" w:rsidRDefault="00575CDF" w:rsidP="00347FDB">
            <w:pPr>
              <w:spacing w:before="20" w:after="20" w:line="264" w:lineRule="auto"/>
              <w:jc w:val="center"/>
              <w:rPr>
                <w:rFonts w:cs="Times New Roman"/>
                <w:color w:val="auto"/>
                <w:sz w:val="20"/>
                <w:szCs w:val="20"/>
              </w:rPr>
            </w:pPr>
          </w:p>
        </w:tc>
        <w:tc>
          <w:tcPr>
            <w:tcW w:w="1099" w:type="dxa"/>
            <w:vAlign w:val="center"/>
          </w:tcPr>
          <w:p w14:paraId="01D7726E"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color w:val="auto"/>
                <w:sz w:val="20"/>
                <w:szCs w:val="20"/>
              </w:rPr>
              <w:t>x</w:t>
            </w:r>
          </w:p>
        </w:tc>
        <w:tc>
          <w:tcPr>
            <w:tcW w:w="1100" w:type="dxa"/>
            <w:vAlign w:val="center"/>
          </w:tcPr>
          <w:p w14:paraId="414DA653" w14:textId="77777777" w:rsidR="00575CDF" w:rsidRPr="00C801A6" w:rsidRDefault="00575CDF" w:rsidP="00347FDB">
            <w:pPr>
              <w:spacing w:before="20" w:after="20" w:line="264" w:lineRule="auto"/>
              <w:jc w:val="center"/>
              <w:rPr>
                <w:rFonts w:cs="Times New Roman"/>
                <w:color w:val="auto"/>
                <w:sz w:val="20"/>
                <w:szCs w:val="20"/>
              </w:rPr>
            </w:pPr>
          </w:p>
        </w:tc>
      </w:tr>
      <w:tr w:rsidR="00C801A6" w:rsidRPr="00C801A6" w14:paraId="5B668186" w14:textId="77777777" w:rsidTr="00347FDB">
        <w:trPr>
          <w:gridAfter w:val="1"/>
          <w:wAfter w:w="360" w:type="dxa"/>
        </w:trPr>
        <w:tc>
          <w:tcPr>
            <w:tcW w:w="1985" w:type="dxa"/>
            <w:vMerge/>
          </w:tcPr>
          <w:p w14:paraId="27E8F203" w14:textId="77777777" w:rsidR="00575CDF" w:rsidRPr="00C801A6" w:rsidRDefault="00575CDF" w:rsidP="00347FDB">
            <w:pPr>
              <w:spacing w:before="20" w:after="20" w:line="264" w:lineRule="auto"/>
              <w:rPr>
                <w:rFonts w:cs="Times New Roman"/>
                <w:color w:val="auto"/>
                <w:sz w:val="20"/>
                <w:szCs w:val="20"/>
              </w:rPr>
            </w:pPr>
          </w:p>
        </w:tc>
        <w:tc>
          <w:tcPr>
            <w:tcW w:w="1118" w:type="dxa"/>
            <w:vMerge/>
          </w:tcPr>
          <w:p w14:paraId="2E9915F6" w14:textId="77777777" w:rsidR="00575CDF" w:rsidRPr="00C801A6" w:rsidRDefault="00575CDF" w:rsidP="00347FDB">
            <w:pPr>
              <w:spacing w:before="20" w:after="20" w:line="264" w:lineRule="auto"/>
              <w:jc w:val="left"/>
              <w:rPr>
                <w:rFonts w:cs="Times New Roman"/>
                <w:color w:val="auto"/>
                <w:sz w:val="20"/>
                <w:szCs w:val="20"/>
              </w:rPr>
            </w:pPr>
          </w:p>
        </w:tc>
        <w:tc>
          <w:tcPr>
            <w:tcW w:w="1260" w:type="dxa"/>
            <w:vMerge w:val="restart"/>
            <w:vAlign w:val="center"/>
          </w:tcPr>
          <w:p w14:paraId="41EC5309" w14:textId="77777777" w:rsidR="00575CDF" w:rsidRPr="00C801A6" w:rsidRDefault="00575CDF" w:rsidP="00347FDB">
            <w:pPr>
              <w:spacing w:before="20" w:after="20" w:line="264" w:lineRule="auto"/>
              <w:jc w:val="left"/>
              <w:rPr>
                <w:rFonts w:cs="Times New Roman"/>
                <w:color w:val="auto"/>
                <w:sz w:val="20"/>
                <w:szCs w:val="20"/>
              </w:rPr>
            </w:pPr>
            <w:r w:rsidRPr="00C801A6">
              <w:rPr>
                <w:rFonts w:cs="Times New Roman"/>
                <w:color w:val="auto"/>
                <w:sz w:val="20"/>
                <w:szCs w:val="20"/>
              </w:rPr>
              <w:t>Locale</w:t>
            </w:r>
          </w:p>
        </w:tc>
        <w:tc>
          <w:tcPr>
            <w:tcW w:w="1440" w:type="dxa"/>
          </w:tcPr>
          <w:p w14:paraId="223A63DA"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Permanente</w:t>
            </w:r>
          </w:p>
        </w:tc>
        <w:tc>
          <w:tcPr>
            <w:tcW w:w="1099" w:type="dxa"/>
            <w:vAlign w:val="center"/>
          </w:tcPr>
          <w:p w14:paraId="35156508" w14:textId="77777777" w:rsidR="00575CDF" w:rsidRPr="00C801A6" w:rsidRDefault="00575CDF" w:rsidP="00347FDB">
            <w:pPr>
              <w:spacing w:before="20" w:after="20" w:line="264" w:lineRule="auto"/>
              <w:jc w:val="center"/>
              <w:rPr>
                <w:rFonts w:cs="Times New Roman"/>
                <w:color w:val="auto"/>
                <w:sz w:val="20"/>
                <w:szCs w:val="20"/>
              </w:rPr>
            </w:pPr>
          </w:p>
        </w:tc>
        <w:tc>
          <w:tcPr>
            <w:tcW w:w="1099" w:type="dxa"/>
            <w:vAlign w:val="center"/>
          </w:tcPr>
          <w:p w14:paraId="10D1BEA6"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color w:val="auto"/>
                <w:sz w:val="20"/>
                <w:szCs w:val="20"/>
              </w:rPr>
              <w:t>x</w:t>
            </w:r>
          </w:p>
        </w:tc>
        <w:tc>
          <w:tcPr>
            <w:tcW w:w="1100" w:type="dxa"/>
            <w:vAlign w:val="center"/>
          </w:tcPr>
          <w:p w14:paraId="598B9881" w14:textId="77777777" w:rsidR="00575CDF" w:rsidRPr="00C801A6" w:rsidRDefault="00575CDF" w:rsidP="00347FDB">
            <w:pPr>
              <w:spacing w:before="20" w:after="20" w:line="264" w:lineRule="auto"/>
              <w:jc w:val="center"/>
              <w:rPr>
                <w:rFonts w:cs="Times New Roman"/>
                <w:color w:val="auto"/>
                <w:sz w:val="20"/>
                <w:szCs w:val="20"/>
              </w:rPr>
            </w:pPr>
          </w:p>
        </w:tc>
      </w:tr>
      <w:tr w:rsidR="00C801A6" w:rsidRPr="00C801A6" w14:paraId="6299771E" w14:textId="77777777" w:rsidTr="00347FDB">
        <w:trPr>
          <w:gridAfter w:val="1"/>
          <w:wAfter w:w="360" w:type="dxa"/>
        </w:trPr>
        <w:tc>
          <w:tcPr>
            <w:tcW w:w="1985" w:type="dxa"/>
            <w:vMerge/>
          </w:tcPr>
          <w:p w14:paraId="0683EAC5" w14:textId="77777777" w:rsidR="00575CDF" w:rsidRPr="00C801A6" w:rsidRDefault="00575CDF" w:rsidP="00347FDB">
            <w:pPr>
              <w:spacing w:before="20" w:after="20" w:line="264" w:lineRule="auto"/>
              <w:rPr>
                <w:rFonts w:cs="Times New Roman"/>
                <w:color w:val="auto"/>
                <w:sz w:val="20"/>
                <w:szCs w:val="20"/>
              </w:rPr>
            </w:pPr>
          </w:p>
        </w:tc>
        <w:tc>
          <w:tcPr>
            <w:tcW w:w="1118" w:type="dxa"/>
            <w:vMerge/>
          </w:tcPr>
          <w:p w14:paraId="0DD22910" w14:textId="77777777" w:rsidR="00575CDF" w:rsidRPr="00C801A6" w:rsidRDefault="00575CDF" w:rsidP="00347FDB">
            <w:pPr>
              <w:spacing w:before="20" w:after="20" w:line="264" w:lineRule="auto"/>
              <w:jc w:val="left"/>
              <w:rPr>
                <w:rFonts w:cs="Times New Roman"/>
                <w:color w:val="auto"/>
                <w:sz w:val="20"/>
                <w:szCs w:val="20"/>
              </w:rPr>
            </w:pPr>
          </w:p>
        </w:tc>
        <w:tc>
          <w:tcPr>
            <w:tcW w:w="1260" w:type="dxa"/>
            <w:vMerge/>
          </w:tcPr>
          <w:p w14:paraId="527E05B5" w14:textId="77777777" w:rsidR="00575CDF" w:rsidRPr="00C801A6" w:rsidRDefault="00575CDF" w:rsidP="00347FDB">
            <w:pPr>
              <w:spacing w:before="20" w:after="20" w:line="264" w:lineRule="auto"/>
              <w:jc w:val="left"/>
              <w:rPr>
                <w:rFonts w:cs="Times New Roman"/>
                <w:color w:val="auto"/>
                <w:sz w:val="20"/>
                <w:szCs w:val="20"/>
              </w:rPr>
            </w:pPr>
          </w:p>
        </w:tc>
        <w:tc>
          <w:tcPr>
            <w:tcW w:w="1440" w:type="dxa"/>
          </w:tcPr>
          <w:p w14:paraId="47ADC1C0"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Temporaire</w:t>
            </w:r>
          </w:p>
        </w:tc>
        <w:tc>
          <w:tcPr>
            <w:tcW w:w="1099" w:type="dxa"/>
            <w:vAlign w:val="center"/>
          </w:tcPr>
          <w:p w14:paraId="6FEECA26" w14:textId="77777777" w:rsidR="00575CDF" w:rsidRPr="00C801A6" w:rsidRDefault="00575CDF" w:rsidP="00347FDB">
            <w:pPr>
              <w:spacing w:before="20" w:after="20" w:line="264" w:lineRule="auto"/>
              <w:jc w:val="center"/>
              <w:rPr>
                <w:rFonts w:cs="Times New Roman"/>
                <w:color w:val="auto"/>
                <w:sz w:val="20"/>
                <w:szCs w:val="20"/>
              </w:rPr>
            </w:pPr>
          </w:p>
        </w:tc>
        <w:tc>
          <w:tcPr>
            <w:tcW w:w="1099" w:type="dxa"/>
            <w:vAlign w:val="center"/>
          </w:tcPr>
          <w:p w14:paraId="36CE071F" w14:textId="77777777" w:rsidR="00575CDF" w:rsidRPr="00C801A6" w:rsidRDefault="00575CDF" w:rsidP="00347FDB">
            <w:pPr>
              <w:spacing w:before="20" w:after="20" w:line="264" w:lineRule="auto"/>
              <w:jc w:val="center"/>
              <w:rPr>
                <w:rFonts w:cs="Times New Roman"/>
                <w:color w:val="auto"/>
                <w:sz w:val="20"/>
                <w:szCs w:val="20"/>
              </w:rPr>
            </w:pPr>
          </w:p>
        </w:tc>
        <w:tc>
          <w:tcPr>
            <w:tcW w:w="1100" w:type="dxa"/>
            <w:vAlign w:val="center"/>
          </w:tcPr>
          <w:p w14:paraId="18F3F8B8"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color w:val="auto"/>
                <w:sz w:val="20"/>
                <w:szCs w:val="20"/>
              </w:rPr>
              <w:t>x</w:t>
            </w:r>
          </w:p>
        </w:tc>
      </w:tr>
      <w:tr w:rsidR="00C801A6" w:rsidRPr="00C801A6" w14:paraId="174C057C" w14:textId="77777777" w:rsidTr="00347FDB">
        <w:trPr>
          <w:gridAfter w:val="1"/>
          <w:wAfter w:w="360" w:type="dxa"/>
        </w:trPr>
        <w:tc>
          <w:tcPr>
            <w:tcW w:w="1985" w:type="dxa"/>
            <w:vMerge/>
          </w:tcPr>
          <w:p w14:paraId="347BB6A8" w14:textId="77777777" w:rsidR="00575CDF" w:rsidRPr="00C801A6" w:rsidRDefault="00575CDF" w:rsidP="00347FDB">
            <w:pPr>
              <w:spacing w:before="20" w:after="20" w:line="264" w:lineRule="auto"/>
              <w:rPr>
                <w:rFonts w:cs="Times New Roman"/>
                <w:color w:val="auto"/>
                <w:sz w:val="20"/>
                <w:szCs w:val="20"/>
              </w:rPr>
            </w:pPr>
          </w:p>
        </w:tc>
        <w:tc>
          <w:tcPr>
            <w:tcW w:w="1118" w:type="dxa"/>
            <w:vMerge w:val="restart"/>
            <w:vAlign w:val="center"/>
          </w:tcPr>
          <w:p w14:paraId="091B0F12" w14:textId="77777777" w:rsidR="00575CDF" w:rsidRPr="00C801A6" w:rsidRDefault="00575CDF" w:rsidP="00347FDB">
            <w:pPr>
              <w:spacing w:before="20" w:after="20" w:line="264" w:lineRule="auto"/>
              <w:jc w:val="left"/>
              <w:rPr>
                <w:rFonts w:cs="Times New Roman"/>
                <w:color w:val="auto"/>
                <w:sz w:val="20"/>
                <w:szCs w:val="20"/>
              </w:rPr>
            </w:pPr>
            <w:r w:rsidRPr="00C801A6">
              <w:rPr>
                <w:rFonts w:cs="Times New Roman"/>
                <w:color w:val="auto"/>
                <w:sz w:val="20"/>
                <w:szCs w:val="20"/>
              </w:rPr>
              <w:t>Moyenne</w:t>
            </w:r>
          </w:p>
        </w:tc>
        <w:tc>
          <w:tcPr>
            <w:tcW w:w="1260" w:type="dxa"/>
            <w:vMerge w:val="restart"/>
            <w:vAlign w:val="center"/>
          </w:tcPr>
          <w:p w14:paraId="6E1DD651" w14:textId="77777777" w:rsidR="00575CDF" w:rsidRPr="00C801A6" w:rsidRDefault="00575CDF" w:rsidP="00347FDB">
            <w:pPr>
              <w:spacing w:before="20" w:after="20" w:line="264" w:lineRule="auto"/>
              <w:jc w:val="left"/>
              <w:rPr>
                <w:rFonts w:cs="Times New Roman"/>
                <w:color w:val="auto"/>
                <w:sz w:val="20"/>
                <w:szCs w:val="20"/>
              </w:rPr>
            </w:pPr>
            <w:r w:rsidRPr="00C801A6">
              <w:rPr>
                <w:rFonts w:cs="Times New Roman"/>
                <w:color w:val="auto"/>
                <w:sz w:val="20"/>
                <w:szCs w:val="20"/>
              </w:rPr>
              <w:t>Régionale</w:t>
            </w:r>
          </w:p>
        </w:tc>
        <w:tc>
          <w:tcPr>
            <w:tcW w:w="1440" w:type="dxa"/>
          </w:tcPr>
          <w:p w14:paraId="09B3C4C9"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Permanente</w:t>
            </w:r>
          </w:p>
        </w:tc>
        <w:tc>
          <w:tcPr>
            <w:tcW w:w="1099" w:type="dxa"/>
            <w:vAlign w:val="center"/>
          </w:tcPr>
          <w:p w14:paraId="5091011A"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color w:val="auto"/>
                <w:sz w:val="20"/>
                <w:szCs w:val="20"/>
              </w:rPr>
              <w:t>x</w:t>
            </w:r>
          </w:p>
        </w:tc>
        <w:tc>
          <w:tcPr>
            <w:tcW w:w="1099" w:type="dxa"/>
            <w:vAlign w:val="center"/>
          </w:tcPr>
          <w:p w14:paraId="65E4111E" w14:textId="77777777" w:rsidR="00575CDF" w:rsidRPr="00C801A6" w:rsidRDefault="00575CDF" w:rsidP="00347FDB">
            <w:pPr>
              <w:spacing w:before="20" w:after="20" w:line="264" w:lineRule="auto"/>
              <w:jc w:val="center"/>
              <w:rPr>
                <w:rFonts w:cs="Times New Roman"/>
                <w:color w:val="auto"/>
                <w:sz w:val="20"/>
                <w:szCs w:val="20"/>
              </w:rPr>
            </w:pPr>
          </w:p>
        </w:tc>
        <w:tc>
          <w:tcPr>
            <w:tcW w:w="1100" w:type="dxa"/>
            <w:vAlign w:val="center"/>
          </w:tcPr>
          <w:p w14:paraId="7971A175" w14:textId="77777777" w:rsidR="00575CDF" w:rsidRPr="00C801A6" w:rsidRDefault="00575CDF" w:rsidP="00347FDB">
            <w:pPr>
              <w:spacing w:before="20" w:after="20" w:line="264" w:lineRule="auto"/>
              <w:jc w:val="center"/>
              <w:rPr>
                <w:rFonts w:cs="Times New Roman"/>
                <w:color w:val="auto"/>
                <w:sz w:val="20"/>
                <w:szCs w:val="20"/>
              </w:rPr>
            </w:pPr>
          </w:p>
        </w:tc>
      </w:tr>
      <w:tr w:rsidR="00C801A6" w:rsidRPr="00C801A6" w14:paraId="578161F0" w14:textId="77777777" w:rsidTr="00347FDB">
        <w:trPr>
          <w:gridAfter w:val="1"/>
          <w:wAfter w:w="360" w:type="dxa"/>
        </w:trPr>
        <w:tc>
          <w:tcPr>
            <w:tcW w:w="1985" w:type="dxa"/>
            <w:vMerge/>
          </w:tcPr>
          <w:p w14:paraId="5A7B22D0" w14:textId="77777777" w:rsidR="00575CDF" w:rsidRPr="00C801A6" w:rsidRDefault="00575CDF" w:rsidP="00347FDB">
            <w:pPr>
              <w:spacing w:before="20" w:after="20" w:line="264" w:lineRule="auto"/>
              <w:rPr>
                <w:rFonts w:cs="Times New Roman"/>
                <w:color w:val="auto"/>
                <w:sz w:val="20"/>
                <w:szCs w:val="20"/>
              </w:rPr>
            </w:pPr>
          </w:p>
        </w:tc>
        <w:tc>
          <w:tcPr>
            <w:tcW w:w="1118" w:type="dxa"/>
            <w:vMerge/>
          </w:tcPr>
          <w:p w14:paraId="40F36B51" w14:textId="77777777" w:rsidR="00575CDF" w:rsidRPr="00C801A6" w:rsidRDefault="00575CDF" w:rsidP="00347FDB">
            <w:pPr>
              <w:spacing w:before="20" w:after="20" w:line="264" w:lineRule="auto"/>
              <w:jc w:val="left"/>
              <w:rPr>
                <w:rFonts w:cs="Times New Roman"/>
                <w:color w:val="auto"/>
                <w:sz w:val="20"/>
                <w:szCs w:val="20"/>
              </w:rPr>
            </w:pPr>
          </w:p>
        </w:tc>
        <w:tc>
          <w:tcPr>
            <w:tcW w:w="1260" w:type="dxa"/>
            <w:vMerge/>
          </w:tcPr>
          <w:p w14:paraId="5568CF87" w14:textId="77777777" w:rsidR="00575CDF" w:rsidRPr="00C801A6" w:rsidRDefault="00575CDF" w:rsidP="00347FDB">
            <w:pPr>
              <w:spacing w:before="20" w:after="20" w:line="264" w:lineRule="auto"/>
              <w:jc w:val="left"/>
              <w:rPr>
                <w:rFonts w:cs="Times New Roman"/>
                <w:color w:val="auto"/>
                <w:sz w:val="20"/>
                <w:szCs w:val="20"/>
              </w:rPr>
            </w:pPr>
          </w:p>
        </w:tc>
        <w:tc>
          <w:tcPr>
            <w:tcW w:w="1440" w:type="dxa"/>
          </w:tcPr>
          <w:p w14:paraId="30EE445D"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Temporaire</w:t>
            </w:r>
          </w:p>
        </w:tc>
        <w:tc>
          <w:tcPr>
            <w:tcW w:w="1099" w:type="dxa"/>
            <w:vAlign w:val="center"/>
          </w:tcPr>
          <w:p w14:paraId="3FC160DA" w14:textId="77777777" w:rsidR="00575CDF" w:rsidRPr="00C801A6" w:rsidRDefault="00575CDF" w:rsidP="00347FDB">
            <w:pPr>
              <w:spacing w:before="20" w:after="20" w:line="264" w:lineRule="auto"/>
              <w:jc w:val="center"/>
              <w:rPr>
                <w:rFonts w:cs="Times New Roman"/>
                <w:color w:val="auto"/>
                <w:sz w:val="20"/>
                <w:szCs w:val="20"/>
              </w:rPr>
            </w:pPr>
          </w:p>
        </w:tc>
        <w:tc>
          <w:tcPr>
            <w:tcW w:w="1099" w:type="dxa"/>
            <w:vAlign w:val="center"/>
          </w:tcPr>
          <w:p w14:paraId="78AD6674"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color w:val="auto"/>
                <w:sz w:val="20"/>
                <w:szCs w:val="20"/>
              </w:rPr>
              <w:t>x</w:t>
            </w:r>
          </w:p>
        </w:tc>
        <w:tc>
          <w:tcPr>
            <w:tcW w:w="1100" w:type="dxa"/>
            <w:vAlign w:val="center"/>
          </w:tcPr>
          <w:p w14:paraId="2F40797C" w14:textId="77777777" w:rsidR="00575CDF" w:rsidRPr="00C801A6" w:rsidRDefault="00575CDF" w:rsidP="00347FDB">
            <w:pPr>
              <w:spacing w:before="20" w:after="20" w:line="264" w:lineRule="auto"/>
              <w:jc w:val="center"/>
              <w:rPr>
                <w:rFonts w:cs="Times New Roman"/>
                <w:color w:val="auto"/>
                <w:sz w:val="20"/>
                <w:szCs w:val="20"/>
              </w:rPr>
            </w:pPr>
          </w:p>
        </w:tc>
      </w:tr>
      <w:tr w:rsidR="00C801A6" w:rsidRPr="00C801A6" w14:paraId="602DC771" w14:textId="77777777" w:rsidTr="00347FDB">
        <w:trPr>
          <w:gridAfter w:val="1"/>
          <w:wAfter w:w="360" w:type="dxa"/>
        </w:trPr>
        <w:tc>
          <w:tcPr>
            <w:tcW w:w="1985" w:type="dxa"/>
            <w:vMerge/>
          </w:tcPr>
          <w:p w14:paraId="19971080" w14:textId="77777777" w:rsidR="00575CDF" w:rsidRPr="00C801A6" w:rsidRDefault="00575CDF" w:rsidP="00347FDB">
            <w:pPr>
              <w:spacing w:before="20" w:after="20" w:line="264" w:lineRule="auto"/>
              <w:rPr>
                <w:rFonts w:cs="Times New Roman"/>
                <w:color w:val="auto"/>
                <w:sz w:val="20"/>
                <w:szCs w:val="20"/>
              </w:rPr>
            </w:pPr>
          </w:p>
        </w:tc>
        <w:tc>
          <w:tcPr>
            <w:tcW w:w="1118" w:type="dxa"/>
            <w:vMerge/>
          </w:tcPr>
          <w:p w14:paraId="5360CFF2" w14:textId="77777777" w:rsidR="00575CDF" w:rsidRPr="00C801A6" w:rsidRDefault="00575CDF" w:rsidP="00347FDB">
            <w:pPr>
              <w:spacing w:before="20" w:after="20" w:line="264" w:lineRule="auto"/>
              <w:jc w:val="left"/>
              <w:rPr>
                <w:rFonts w:cs="Times New Roman"/>
                <w:color w:val="auto"/>
                <w:sz w:val="20"/>
                <w:szCs w:val="20"/>
              </w:rPr>
            </w:pPr>
          </w:p>
        </w:tc>
        <w:tc>
          <w:tcPr>
            <w:tcW w:w="1260" w:type="dxa"/>
            <w:vMerge w:val="restart"/>
            <w:vAlign w:val="center"/>
          </w:tcPr>
          <w:p w14:paraId="441661C3" w14:textId="77777777" w:rsidR="00575CDF" w:rsidRPr="00C801A6" w:rsidRDefault="00575CDF" w:rsidP="00347FDB">
            <w:pPr>
              <w:spacing w:before="20" w:after="20" w:line="264" w:lineRule="auto"/>
              <w:jc w:val="left"/>
              <w:rPr>
                <w:rFonts w:cs="Times New Roman"/>
                <w:color w:val="auto"/>
                <w:sz w:val="20"/>
                <w:szCs w:val="20"/>
              </w:rPr>
            </w:pPr>
            <w:r w:rsidRPr="00C801A6">
              <w:rPr>
                <w:rFonts w:cs="Times New Roman"/>
                <w:color w:val="auto"/>
                <w:sz w:val="20"/>
                <w:szCs w:val="20"/>
              </w:rPr>
              <w:t>Zonale</w:t>
            </w:r>
          </w:p>
        </w:tc>
        <w:tc>
          <w:tcPr>
            <w:tcW w:w="1440" w:type="dxa"/>
          </w:tcPr>
          <w:p w14:paraId="29B1506E"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Permanente</w:t>
            </w:r>
          </w:p>
        </w:tc>
        <w:tc>
          <w:tcPr>
            <w:tcW w:w="1099" w:type="dxa"/>
            <w:vAlign w:val="center"/>
          </w:tcPr>
          <w:p w14:paraId="12675698" w14:textId="77777777" w:rsidR="00575CDF" w:rsidRPr="00C801A6" w:rsidRDefault="00575CDF" w:rsidP="00347FDB">
            <w:pPr>
              <w:spacing w:before="20" w:after="20" w:line="264" w:lineRule="auto"/>
              <w:jc w:val="center"/>
              <w:rPr>
                <w:rFonts w:cs="Times New Roman"/>
                <w:color w:val="auto"/>
                <w:sz w:val="20"/>
                <w:szCs w:val="20"/>
              </w:rPr>
            </w:pPr>
          </w:p>
        </w:tc>
        <w:tc>
          <w:tcPr>
            <w:tcW w:w="1099" w:type="dxa"/>
            <w:vAlign w:val="center"/>
          </w:tcPr>
          <w:p w14:paraId="2171B566"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color w:val="auto"/>
                <w:sz w:val="20"/>
                <w:szCs w:val="20"/>
              </w:rPr>
              <w:t>x</w:t>
            </w:r>
          </w:p>
        </w:tc>
        <w:tc>
          <w:tcPr>
            <w:tcW w:w="1100" w:type="dxa"/>
            <w:vAlign w:val="center"/>
          </w:tcPr>
          <w:p w14:paraId="2248DC07" w14:textId="77777777" w:rsidR="00575CDF" w:rsidRPr="00C801A6" w:rsidRDefault="00575CDF" w:rsidP="00347FDB">
            <w:pPr>
              <w:spacing w:before="20" w:after="20" w:line="264" w:lineRule="auto"/>
              <w:jc w:val="center"/>
              <w:rPr>
                <w:rFonts w:cs="Times New Roman"/>
                <w:color w:val="auto"/>
                <w:sz w:val="20"/>
                <w:szCs w:val="20"/>
              </w:rPr>
            </w:pPr>
          </w:p>
        </w:tc>
      </w:tr>
      <w:tr w:rsidR="00C801A6" w:rsidRPr="00C801A6" w14:paraId="3175B5BA" w14:textId="77777777" w:rsidTr="00347FDB">
        <w:trPr>
          <w:gridAfter w:val="1"/>
          <w:wAfter w:w="360" w:type="dxa"/>
        </w:trPr>
        <w:tc>
          <w:tcPr>
            <w:tcW w:w="1985" w:type="dxa"/>
            <w:vMerge/>
          </w:tcPr>
          <w:p w14:paraId="57491E27" w14:textId="77777777" w:rsidR="00575CDF" w:rsidRPr="00C801A6" w:rsidRDefault="00575CDF" w:rsidP="00347FDB">
            <w:pPr>
              <w:spacing w:before="20" w:after="20" w:line="264" w:lineRule="auto"/>
              <w:rPr>
                <w:rFonts w:cs="Times New Roman"/>
                <w:color w:val="auto"/>
                <w:sz w:val="20"/>
                <w:szCs w:val="20"/>
              </w:rPr>
            </w:pPr>
          </w:p>
        </w:tc>
        <w:tc>
          <w:tcPr>
            <w:tcW w:w="1118" w:type="dxa"/>
            <w:vMerge/>
          </w:tcPr>
          <w:p w14:paraId="2B16B1C9" w14:textId="77777777" w:rsidR="00575CDF" w:rsidRPr="00C801A6" w:rsidRDefault="00575CDF" w:rsidP="00347FDB">
            <w:pPr>
              <w:spacing w:before="20" w:after="20" w:line="264" w:lineRule="auto"/>
              <w:jc w:val="left"/>
              <w:rPr>
                <w:rFonts w:cs="Times New Roman"/>
                <w:color w:val="auto"/>
                <w:sz w:val="20"/>
                <w:szCs w:val="20"/>
              </w:rPr>
            </w:pPr>
          </w:p>
        </w:tc>
        <w:tc>
          <w:tcPr>
            <w:tcW w:w="1260" w:type="dxa"/>
            <w:vMerge/>
          </w:tcPr>
          <w:p w14:paraId="20AF29EA" w14:textId="77777777" w:rsidR="00575CDF" w:rsidRPr="00C801A6" w:rsidRDefault="00575CDF" w:rsidP="00347FDB">
            <w:pPr>
              <w:spacing w:before="20" w:after="20" w:line="264" w:lineRule="auto"/>
              <w:jc w:val="left"/>
              <w:rPr>
                <w:rFonts w:cs="Times New Roman"/>
                <w:color w:val="auto"/>
                <w:sz w:val="20"/>
                <w:szCs w:val="20"/>
              </w:rPr>
            </w:pPr>
          </w:p>
        </w:tc>
        <w:tc>
          <w:tcPr>
            <w:tcW w:w="1440" w:type="dxa"/>
          </w:tcPr>
          <w:p w14:paraId="7AE7AAD4"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Temporaire</w:t>
            </w:r>
          </w:p>
        </w:tc>
        <w:tc>
          <w:tcPr>
            <w:tcW w:w="1099" w:type="dxa"/>
            <w:vAlign w:val="center"/>
          </w:tcPr>
          <w:p w14:paraId="24918965" w14:textId="77777777" w:rsidR="00575CDF" w:rsidRPr="00C801A6" w:rsidRDefault="00575CDF" w:rsidP="00347FDB">
            <w:pPr>
              <w:spacing w:before="20" w:after="20" w:line="264" w:lineRule="auto"/>
              <w:jc w:val="center"/>
              <w:rPr>
                <w:rFonts w:cs="Times New Roman"/>
                <w:color w:val="auto"/>
                <w:sz w:val="20"/>
                <w:szCs w:val="20"/>
              </w:rPr>
            </w:pPr>
          </w:p>
        </w:tc>
        <w:tc>
          <w:tcPr>
            <w:tcW w:w="1099" w:type="dxa"/>
            <w:vAlign w:val="center"/>
          </w:tcPr>
          <w:p w14:paraId="7E509D43" w14:textId="77777777" w:rsidR="00575CDF" w:rsidRPr="00C801A6" w:rsidRDefault="00575CDF" w:rsidP="00347FDB">
            <w:pPr>
              <w:spacing w:before="20" w:after="20" w:line="264" w:lineRule="auto"/>
              <w:jc w:val="center"/>
              <w:rPr>
                <w:rFonts w:cs="Times New Roman"/>
                <w:color w:val="auto"/>
                <w:sz w:val="20"/>
                <w:szCs w:val="20"/>
              </w:rPr>
            </w:pPr>
          </w:p>
        </w:tc>
        <w:tc>
          <w:tcPr>
            <w:tcW w:w="1100" w:type="dxa"/>
            <w:vAlign w:val="center"/>
          </w:tcPr>
          <w:p w14:paraId="75AE0EAB"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color w:val="auto"/>
                <w:sz w:val="20"/>
                <w:szCs w:val="20"/>
              </w:rPr>
              <w:t>x</w:t>
            </w:r>
          </w:p>
        </w:tc>
      </w:tr>
      <w:tr w:rsidR="00C801A6" w:rsidRPr="00C801A6" w14:paraId="52EBF53D" w14:textId="77777777" w:rsidTr="00347FDB">
        <w:trPr>
          <w:gridAfter w:val="1"/>
          <w:wAfter w:w="360" w:type="dxa"/>
        </w:trPr>
        <w:tc>
          <w:tcPr>
            <w:tcW w:w="1985" w:type="dxa"/>
            <w:vMerge/>
          </w:tcPr>
          <w:p w14:paraId="0BC960F0" w14:textId="77777777" w:rsidR="00575CDF" w:rsidRPr="00C801A6" w:rsidRDefault="00575CDF" w:rsidP="00347FDB">
            <w:pPr>
              <w:spacing w:before="20" w:after="20" w:line="264" w:lineRule="auto"/>
              <w:rPr>
                <w:rFonts w:cs="Times New Roman"/>
                <w:color w:val="auto"/>
                <w:sz w:val="20"/>
                <w:szCs w:val="20"/>
              </w:rPr>
            </w:pPr>
          </w:p>
        </w:tc>
        <w:tc>
          <w:tcPr>
            <w:tcW w:w="1118" w:type="dxa"/>
            <w:vMerge/>
          </w:tcPr>
          <w:p w14:paraId="47988BC9" w14:textId="77777777" w:rsidR="00575CDF" w:rsidRPr="00C801A6" w:rsidRDefault="00575CDF" w:rsidP="00347FDB">
            <w:pPr>
              <w:spacing w:before="20" w:after="20" w:line="264" w:lineRule="auto"/>
              <w:jc w:val="left"/>
              <w:rPr>
                <w:rFonts w:cs="Times New Roman"/>
                <w:color w:val="auto"/>
                <w:sz w:val="20"/>
                <w:szCs w:val="20"/>
              </w:rPr>
            </w:pPr>
          </w:p>
        </w:tc>
        <w:tc>
          <w:tcPr>
            <w:tcW w:w="1260" w:type="dxa"/>
            <w:vMerge w:val="restart"/>
            <w:vAlign w:val="center"/>
          </w:tcPr>
          <w:p w14:paraId="42378B7D" w14:textId="77777777" w:rsidR="00575CDF" w:rsidRPr="00C801A6" w:rsidRDefault="00575CDF" w:rsidP="00347FDB">
            <w:pPr>
              <w:spacing w:before="20" w:after="20" w:line="264" w:lineRule="auto"/>
              <w:jc w:val="left"/>
              <w:rPr>
                <w:rFonts w:cs="Times New Roman"/>
                <w:color w:val="auto"/>
                <w:sz w:val="20"/>
                <w:szCs w:val="20"/>
              </w:rPr>
            </w:pPr>
            <w:r w:rsidRPr="00C801A6">
              <w:rPr>
                <w:rFonts w:cs="Times New Roman"/>
                <w:color w:val="auto"/>
                <w:sz w:val="20"/>
                <w:szCs w:val="20"/>
              </w:rPr>
              <w:t>Locale</w:t>
            </w:r>
          </w:p>
        </w:tc>
        <w:tc>
          <w:tcPr>
            <w:tcW w:w="1440" w:type="dxa"/>
          </w:tcPr>
          <w:p w14:paraId="67EF22B5"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Permanente</w:t>
            </w:r>
          </w:p>
        </w:tc>
        <w:tc>
          <w:tcPr>
            <w:tcW w:w="1099" w:type="dxa"/>
            <w:vAlign w:val="center"/>
          </w:tcPr>
          <w:p w14:paraId="5C1373F6" w14:textId="77777777" w:rsidR="00575CDF" w:rsidRPr="00C801A6" w:rsidRDefault="00575CDF" w:rsidP="00347FDB">
            <w:pPr>
              <w:spacing w:before="20" w:after="20" w:line="264" w:lineRule="auto"/>
              <w:jc w:val="center"/>
              <w:rPr>
                <w:rFonts w:cs="Times New Roman"/>
                <w:color w:val="auto"/>
                <w:sz w:val="20"/>
                <w:szCs w:val="20"/>
              </w:rPr>
            </w:pPr>
          </w:p>
        </w:tc>
        <w:tc>
          <w:tcPr>
            <w:tcW w:w="1099" w:type="dxa"/>
            <w:vAlign w:val="center"/>
          </w:tcPr>
          <w:p w14:paraId="71548805" w14:textId="77777777" w:rsidR="00575CDF" w:rsidRPr="00C801A6" w:rsidRDefault="00575CDF" w:rsidP="00347FDB">
            <w:pPr>
              <w:spacing w:before="20" w:after="20" w:line="264" w:lineRule="auto"/>
              <w:jc w:val="center"/>
              <w:rPr>
                <w:rFonts w:cs="Times New Roman"/>
                <w:color w:val="auto"/>
                <w:sz w:val="20"/>
                <w:szCs w:val="20"/>
              </w:rPr>
            </w:pPr>
          </w:p>
        </w:tc>
        <w:tc>
          <w:tcPr>
            <w:tcW w:w="1100" w:type="dxa"/>
            <w:vAlign w:val="center"/>
          </w:tcPr>
          <w:p w14:paraId="52F317FC"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color w:val="auto"/>
                <w:sz w:val="20"/>
                <w:szCs w:val="20"/>
              </w:rPr>
              <w:t>x</w:t>
            </w:r>
          </w:p>
        </w:tc>
      </w:tr>
      <w:tr w:rsidR="00C801A6" w:rsidRPr="00C801A6" w14:paraId="0632E62F" w14:textId="77777777" w:rsidTr="00347FDB">
        <w:trPr>
          <w:gridAfter w:val="1"/>
          <w:wAfter w:w="360" w:type="dxa"/>
        </w:trPr>
        <w:tc>
          <w:tcPr>
            <w:tcW w:w="1985" w:type="dxa"/>
            <w:vMerge/>
          </w:tcPr>
          <w:p w14:paraId="412C0512" w14:textId="77777777" w:rsidR="00575CDF" w:rsidRPr="00C801A6" w:rsidRDefault="00575CDF" w:rsidP="00347FDB">
            <w:pPr>
              <w:spacing w:before="20" w:after="20" w:line="264" w:lineRule="auto"/>
              <w:rPr>
                <w:rFonts w:cs="Times New Roman"/>
                <w:color w:val="auto"/>
                <w:sz w:val="20"/>
                <w:szCs w:val="20"/>
              </w:rPr>
            </w:pPr>
          </w:p>
        </w:tc>
        <w:tc>
          <w:tcPr>
            <w:tcW w:w="1118" w:type="dxa"/>
            <w:vMerge/>
          </w:tcPr>
          <w:p w14:paraId="50CB4A32" w14:textId="77777777" w:rsidR="00575CDF" w:rsidRPr="00C801A6" w:rsidRDefault="00575CDF" w:rsidP="00347FDB">
            <w:pPr>
              <w:spacing w:before="20" w:after="20" w:line="264" w:lineRule="auto"/>
              <w:jc w:val="left"/>
              <w:rPr>
                <w:rFonts w:cs="Times New Roman"/>
                <w:color w:val="auto"/>
                <w:sz w:val="20"/>
                <w:szCs w:val="20"/>
              </w:rPr>
            </w:pPr>
          </w:p>
        </w:tc>
        <w:tc>
          <w:tcPr>
            <w:tcW w:w="1260" w:type="dxa"/>
            <w:vMerge/>
          </w:tcPr>
          <w:p w14:paraId="21EA4505" w14:textId="77777777" w:rsidR="00575CDF" w:rsidRPr="00C801A6" w:rsidRDefault="00575CDF" w:rsidP="00347FDB">
            <w:pPr>
              <w:spacing w:before="20" w:after="20" w:line="264" w:lineRule="auto"/>
              <w:jc w:val="left"/>
              <w:rPr>
                <w:rFonts w:cs="Times New Roman"/>
                <w:color w:val="auto"/>
                <w:sz w:val="20"/>
                <w:szCs w:val="20"/>
              </w:rPr>
            </w:pPr>
          </w:p>
        </w:tc>
        <w:tc>
          <w:tcPr>
            <w:tcW w:w="1440" w:type="dxa"/>
          </w:tcPr>
          <w:p w14:paraId="33669706"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Temporaire</w:t>
            </w:r>
          </w:p>
        </w:tc>
        <w:tc>
          <w:tcPr>
            <w:tcW w:w="1099" w:type="dxa"/>
            <w:vAlign w:val="center"/>
          </w:tcPr>
          <w:p w14:paraId="01BCA297" w14:textId="77777777" w:rsidR="00575CDF" w:rsidRPr="00C801A6" w:rsidRDefault="00575CDF" w:rsidP="00347FDB">
            <w:pPr>
              <w:spacing w:before="20" w:after="20" w:line="264" w:lineRule="auto"/>
              <w:jc w:val="center"/>
              <w:rPr>
                <w:rFonts w:cs="Times New Roman"/>
                <w:color w:val="auto"/>
                <w:sz w:val="20"/>
                <w:szCs w:val="20"/>
              </w:rPr>
            </w:pPr>
          </w:p>
        </w:tc>
        <w:tc>
          <w:tcPr>
            <w:tcW w:w="1099" w:type="dxa"/>
            <w:vAlign w:val="center"/>
          </w:tcPr>
          <w:p w14:paraId="3CB6336D" w14:textId="77777777" w:rsidR="00575CDF" w:rsidRPr="00C801A6" w:rsidRDefault="00575CDF" w:rsidP="00347FDB">
            <w:pPr>
              <w:spacing w:before="20" w:after="20" w:line="264" w:lineRule="auto"/>
              <w:jc w:val="center"/>
              <w:rPr>
                <w:rFonts w:cs="Times New Roman"/>
                <w:color w:val="auto"/>
                <w:sz w:val="20"/>
                <w:szCs w:val="20"/>
              </w:rPr>
            </w:pPr>
          </w:p>
        </w:tc>
        <w:tc>
          <w:tcPr>
            <w:tcW w:w="1100" w:type="dxa"/>
            <w:vAlign w:val="center"/>
          </w:tcPr>
          <w:p w14:paraId="34DFBBC3"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color w:val="auto"/>
                <w:sz w:val="20"/>
                <w:szCs w:val="20"/>
              </w:rPr>
              <w:t>x</w:t>
            </w:r>
          </w:p>
        </w:tc>
      </w:tr>
      <w:tr w:rsidR="00C801A6" w:rsidRPr="00C801A6" w14:paraId="1E7B0A6C" w14:textId="77777777" w:rsidTr="00347FDB">
        <w:trPr>
          <w:gridAfter w:val="1"/>
          <w:wAfter w:w="360" w:type="dxa"/>
        </w:trPr>
        <w:tc>
          <w:tcPr>
            <w:tcW w:w="1985" w:type="dxa"/>
            <w:vMerge/>
          </w:tcPr>
          <w:p w14:paraId="69B55158" w14:textId="77777777" w:rsidR="00575CDF" w:rsidRPr="00C801A6" w:rsidRDefault="00575CDF" w:rsidP="00347FDB">
            <w:pPr>
              <w:spacing w:before="20" w:after="20" w:line="264" w:lineRule="auto"/>
              <w:rPr>
                <w:rFonts w:cs="Times New Roman"/>
                <w:color w:val="auto"/>
                <w:sz w:val="20"/>
                <w:szCs w:val="20"/>
              </w:rPr>
            </w:pPr>
          </w:p>
        </w:tc>
        <w:tc>
          <w:tcPr>
            <w:tcW w:w="1118" w:type="dxa"/>
            <w:vMerge w:val="restart"/>
            <w:vAlign w:val="center"/>
          </w:tcPr>
          <w:p w14:paraId="6BFE869E" w14:textId="77777777" w:rsidR="00575CDF" w:rsidRPr="00C801A6" w:rsidRDefault="00575CDF" w:rsidP="00347FDB">
            <w:pPr>
              <w:spacing w:before="20" w:after="20" w:line="264" w:lineRule="auto"/>
              <w:jc w:val="left"/>
              <w:rPr>
                <w:rFonts w:cs="Times New Roman"/>
                <w:color w:val="auto"/>
                <w:sz w:val="20"/>
                <w:szCs w:val="20"/>
              </w:rPr>
            </w:pPr>
            <w:r w:rsidRPr="00C801A6">
              <w:rPr>
                <w:rFonts w:cs="Times New Roman"/>
                <w:color w:val="auto"/>
                <w:sz w:val="20"/>
                <w:szCs w:val="20"/>
              </w:rPr>
              <w:t>Faible</w:t>
            </w:r>
          </w:p>
        </w:tc>
        <w:tc>
          <w:tcPr>
            <w:tcW w:w="1260" w:type="dxa"/>
            <w:vMerge w:val="restart"/>
            <w:vAlign w:val="center"/>
          </w:tcPr>
          <w:p w14:paraId="1E7F3996" w14:textId="77777777" w:rsidR="00575CDF" w:rsidRPr="00C801A6" w:rsidRDefault="00575CDF" w:rsidP="00347FDB">
            <w:pPr>
              <w:spacing w:before="20" w:after="20" w:line="264" w:lineRule="auto"/>
              <w:jc w:val="left"/>
              <w:rPr>
                <w:rFonts w:cs="Times New Roman"/>
                <w:color w:val="auto"/>
                <w:sz w:val="20"/>
                <w:szCs w:val="20"/>
              </w:rPr>
            </w:pPr>
            <w:r w:rsidRPr="00C801A6">
              <w:rPr>
                <w:rFonts w:cs="Times New Roman"/>
                <w:color w:val="auto"/>
                <w:sz w:val="20"/>
                <w:szCs w:val="20"/>
              </w:rPr>
              <w:t>Régionale</w:t>
            </w:r>
          </w:p>
        </w:tc>
        <w:tc>
          <w:tcPr>
            <w:tcW w:w="1440" w:type="dxa"/>
          </w:tcPr>
          <w:p w14:paraId="11D0EF69"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Permanente</w:t>
            </w:r>
          </w:p>
        </w:tc>
        <w:tc>
          <w:tcPr>
            <w:tcW w:w="1099" w:type="dxa"/>
            <w:vAlign w:val="center"/>
          </w:tcPr>
          <w:p w14:paraId="177D404D" w14:textId="77777777" w:rsidR="00575CDF" w:rsidRPr="00C801A6" w:rsidRDefault="00575CDF" w:rsidP="00347FDB">
            <w:pPr>
              <w:spacing w:before="20" w:after="20" w:line="264" w:lineRule="auto"/>
              <w:jc w:val="center"/>
              <w:rPr>
                <w:rFonts w:cs="Times New Roman"/>
                <w:color w:val="auto"/>
                <w:sz w:val="20"/>
                <w:szCs w:val="20"/>
              </w:rPr>
            </w:pPr>
          </w:p>
        </w:tc>
        <w:tc>
          <w:tcPr>
            <w:tcW w:w="1099" w:type="dxa"/>
            <w:vAlign w:val="center"/>
          </w:tcPr>
          <w:p w14:paraId="3B188371"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color w:val="auto"/>
                <w:sz w:val="20"/>
                <w:szCs w:val="20"/>
              </w:rPr>
              <w:t>x</w:t>
            </w:r>
          </w:p>
        </w:tc>
        <w:tc>
          <w:tcPr>
            <w:tcW w:w="1100" w:type="dxa"/>
            <w:vAlign w:val="center"/>
          </w:tcPr>
          <w:p w14:paraId="36776C1B" w14:textId="77777777" w:rsidR="00575CDF" w:rsidRPr="00C801A6" w:rsidRDefault="00575CDF" w:rsidP="00347FDB">
            <w:pPr>
              <w:spacing w:before="20" w:after="20" w:line="264" w:lineRule="auto"/>
              <w:jc w:val="center"/>
              <w:rPr>
                <w:rFonts w:cs="Times New Roman"/>
                <w:color w:val="auto"/>
                <w:sz w:val="20"/>
                <w:szCs w:val="20"/>
              </w:rPr>
            </w:pPr>
          </w:p>
        </w:tc>
      </w:tr>
      <w:tr w:rsidR="00C801A6" w:rsidRPr="00C801A6" w14:paraId="191DD2C6" w14:textId="77777777" w:rsidTr="00347FDB">
        <w:trPr>
          <w:gridAfter w:val="1"/>
          <w:wAfter w:w="360" w:type="dxa"/>
        </w:trPr>
        <w:tc>
          <w:tcPr>
            <w:tcW w:w="1985" w:type="dxa"/>
            <w:vMerge/>
          </w:tcPr>
          <w:p w14:paraId="714B9711" w14:textId="77777777" w:rsidR="00575CDF" w:rsidRPr="00C801A6" w:rsidRDefault="00575CDF" w:rsidP="00347FDB">
            <w:pPr>
              <w:spacing w:before="20" w:after="20" w:line="264" w:lineRule="auto"/>
              <w:rPr>
                <w:rFonts w:cs="Times New Roman"/>
                <w:color w:val="auto"/>
                <w:sz w:val="20"/>
                <w:szCs w:val="20"/>
              </w:rPr>
            </w:pPr>
          </w:p>
        </w:tc>
        <w:tc>
          <w:tcPr>
            <w:tcW w:w="1118" w:type="dxa"/>
            <w:vMerge/>
          </w:tcPr>
          <w:p w14:paraId="7BEF4C1A" w14:textId="77777777" w:rsidR="00575CDF" w:rsidRPr="00C801A6" w:rsidRDefault="00575CDF" w:rsidP="00347FDB">
            <w:pPr>
              <w:spacing w:before="20" w:after="20" w:line="264" w:lineRule="auto"/>
              <w:jc w:val="left"/>
              <w:rPr>
                <w:rFonts w:cs="Times New Roman"/>
                <w:color w:val="auto"/>
                <w:sz w:val="20"/>
                <w:szCs w:val="20"/>
              </w:rPr>
            </w:pPr>
          </w:p>
        </w:tc>
        <w:tc>
          <w:tcPr>
            <w:tcW w:w="1260" w:type="dxa"/>
            <w:vMerge/>
          </w:tcPr>
          <w:p w14:paraId="26477510" w14:textId="77777777" w:rsidR="00575CDF" w:rsidRPr="00C801A6" w:rsidRDefault="00575CDF" w:rsidP="00347FDB">
            <w:pPr>
              <w:spacing w:before="20" w:after="20" w:line="264" w:lineRule="auto"/>
              <w:jc w:val="left"/>
              <w:rPr>
                <w:rFonts w:cs="Times New Roman"/>
                <w:color w:val="auto"/>
                <w:sz w:val="20"/>
                <w:szCs w:val="20"/>
              </w:rPr>
            </w:pPr>
          </w:p>
        </w:tc>
        <w:tc>
          <w:tcPr>
            <w:tcW w:w="1440" w:type="dxa"/>
          </w:tcPr>
          <w:p w14:paraId="1E62A4C8"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Temporaire</w:t>
            </w:r>
          </w:p>
        </w:tc>
        <w:tc>
          <w:tcPr>
            <w:tcW w:w="1099" w:type="dxa"/>
            <w:vAlign w:val="center"/>
          </w:tcPr>
          <w:p w14:paraId="49584873" w14:textId="77777777" w:rsidR="00575CDF" w:rsidRPr="00C801A6" w:rsidRDefault="00575CDF" w:rsidP="00347FDB">
            <w:pPr>
              <w:spacing w:before="20" w:after="20" w:line="264" w:lineRule="auto"/>
              <w:jc w:val="center"/>
              <w:rPr>
                <w:rFonts w:cs="Times New Roman"/>
                <w:color w:val="auto"/>
                <w:sz w:val="20"/>
                <w:szCs w:val="20"/>
              </w:rPr>
            </w:pPr>
          </w:p>
        </w:tc>
        <w:tc>
          <w:tcPr>
            <w:tcW w:w="1099" w:type="dxa"/>
            <w:vAlign w:val="center"/>
          </w:tcPr>
          <w:p w14:paraId="5AE03BAB" w14:textId="77777777" w:rsidR="00575CDF" w:rsidRPr="00C801A6" w:rsidRDefault="00575CDF" w:rsidP="00347FDB">
            <w:pPr>
              <w:spacing w:before="20" w:after="20" w:line="264" w:lineRule="auto"/>
              <w:jc w:val="center"/>
              <w:rPr>
                <w:rFonts w:cs="Times New Roman"/>
                <w:color w:val="auto"/>
                <w:sz w:val="20"/>
                <w:szCs w:val="20"/>
              </w:rPr>
            </w:pPr>
          </w:p>
        </w:tc>
        <w:tc>
          <w:tcPr>
            <w:tcW w:w="1100" w:type="dxa"/>
            <w:vAlign w:val="center"/>
          </w:tcPr>
          <w:p w14:paraId="675DEB6E"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color w:val="auto"/>
                <w:sz w:val="20"/>
                <w:szCs w:val="20"/>
              </w:rPr>
              <w:t>x</w:t>
            </w:r>
          </w:p>
        </w:tc>
      </w:tr>
      <w:tr w:rsidR="00C801A6" w:rsidRPr="00C801A6" w14:paraId="09B5605B" w14:textId="77777777" w:rsidTr="00347FDB">
        <w:trPr>
          <w:gridAfter w:val="1"/>
          <w:wAfter w:w="360" w:type="dxa"/>
        </w:trPr>
        <w:tc>
          <w:tcPr>
            <w:tcW w:w="1985" w:type="dxa"/>
            <w:vMerge/>
          </w:tcPr>
          <w:p w14:paraId="282BBA6A" w14:textId="77777777" w:rsidR="00575CDF" w:rsidRPr="00C801A6" w:rsidRDefault="00575CDF" w:rsidP="00347FDB">
            <w:pPr>
              <w:spacing w:before="20" w:after="20" w:line="264" w:lineRule="auto"/>
              <w:rPr>
                <w:rFonts w:cs="Times New Roman"/>
                <w:color w:val="auto"/>
                <w:sz w:val="20"/>
                <w:szCs w:val="20"/>
              </w:rPr>
            </w:pPr>
          </w:p>
        </w:tc>
        <w:tc>
          <w:tcPr>
            <w:tcW w:w="1118" w:type="dxa"/>
            <w:vMerge/>
          </w:tcPr>
          <w:p w14:paraId="309B4F19" w14:textId="77777777" w:rsidR="00575CDF" w:rsidRPr="00C801A6" w:rsidRDefault="00575CDF" w:rsidP="00347FDB">
            <w:pPr>
              <w:spacing w:before="20" w:after="20" w:line="264" w:lineRule="auto"/>
              <w:jc w:val="left"/>
              <w:rPr>
                <w:rFonts w:cs="Times New Roman"/>
                <w:color w:val="auto"/>
                <w:sz w:val="20"/>
                <w:szCs w:val="20"/>
              </w:rPr>
            </w:pPr>
          </w:p>
        </w:tc>
        <w:tc>
          <w:tcPr>
            <w:tcW w:w="1260" w:type="dxa"/>
            <w:vMerge w:val="restart"/>
            <w:vAlign w:val="center"/>
          </w:tcPr>
          <w:p w14:paraId="51363CB6" w14:textId="77777777" w:rsidR="00575CDF" w:rsidRPr="00C801A6" w:rsidRDefault="00575CDF" w:rsidP="00347FDB">
            <w:pPr>
              <w:spacing w:before="20" w:after="20" w:line="264" w:lineRule="auto"/>
              <w:jc w:val="left"/>
              <w:rPr>
                <w:rFonts w:cs="Times New Roman"/>
                <w:color w:val="auto"/>
                <w:sz w:val="20"/>
                <w:szCs w:val="20"/>
              </w:rPr>
            </w:pPr>
            <w:r w:rsidRPr="00C801A6">
              <w:rPr>
                <w:rFonts w:cs="Times New Roman"/>
                <w:color w:val="auto"/>
                <w:sz w:val="20"/>
                <w:szCs w:val="20"/>
              </w:rPr>
              <w:t>Zonale</w:t>
            </w:r>
          </w:p>
        </w:tc>
        <w:tc>
          <w:tcPr>
            <w:tcW w:w="1440" w:type="dxa"/>
          </w:tcPr>
          <w:p w14:paraId="28C3E8A9"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Permanente</w:t>
            </w:r>
          </w:p>
        </w:tc>
        <w:tc>
          <w:tcPr>
            <w:tcW w:w="1099" w:type="dxa"/>
            <w:vAlign w:val="center"/>
          </w:tcPr>
          <w:p w14:paraId="7EC16D5D" w14:textId="77777777" w:rsidR="00575CDF" w:rsidRPr="00C801A6" w:rsidRDefault="00575CDF" w:rsidP="00347FDB">
            <w:pPr>
              <w:spacing w:before="20" w:after="20" w:line="264" w:lineRule="auto"/>
              <w:jc w:val="center"/>
              <w:rPr>
                <w:rFonts w:cs="Times New Roman"/>
                <w:color w:val="auto"/>
                <w:sz w:val="20"/>
                <w:szCs w:val="20"/>
              </w:rPr>
            </w:pPr>
          </w:p>
        </w:tc>
        <w:tc>
          <w:tcPr>
            <w:tcW w:w="1099" w:type="dxa"/>
            <w:vAlign w:val="center"/>
          </w:tcPr>
          <w:p w14:paraId="5D8D7E0C" w14:textId="77777777" w:rsidR="00575CDF" w:rsidRPr="00C801A6" w:rsidRDefault="00575CDF" w:rsidP="00347FDB">
            <w:pPr>
              <w:spacing w:before="20" w:after="20" w:line="264" w:lineRule="auto"/>
              <w:jc w:val="center"/>
              <w:rPr>
                <w:rFonts w:cs="Times New Roman"/>
                <w:color w:val="auto"/>
                <w:sz w:val="20"/>
                <w:szCs w:val="20"/>
              </w:rPr>
            </w:pPr>
          </w:p>
        </w:tc>
        <w:tc>
          <w:tcPr>
            <w:tcW w:w="1100" w:type="dxa"/>
            <w:vAlign w:val="center"/>
          </w:tcPr>
          <w:p w14:paraId="1829768B"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color w:val="auto"/>
                <w:sz w:val="20"/>
                <w:szCs w:val="20"/>
              </w:rPr>
              <w:t>x</w:t>
            </w:r>
          </w:p>
        </w:tc>
      </w:tr>
      <w:tr w:rsidR="00C801A6" w:rsidRPr="00C801A6" w14:paraId="0E83AB30" w14:textId="77777777" w:rsidTr="00347FDB">
        <w:trPr>
          <w:gridAfter w:val="1"/>
          <w:wAfter w:w="360" w:type="dxa"/>
        </w:trPr>
        <w:tc>
          <w:tcPr>
            <w:tcW w:w="1985" w:type="dxa"/>
            <w:vMerge/>
          </w:tcPr>
          <w:p w14:paraId="0E3E3CD5" w14:textId="77777777" w:rsidR="00575CDF" w:rsidRPr="00C801A6" w:rsidRDefault="00575CDF" w:rsidP="00347FDB">
            <w:pPr>
              <w:spacing w:before="20" w:after="20" w:line="264" w:lineRule="auto"/>
              <w:rPr>
                <w:rFonts w:cs="Times New Roman"/>
                <w:color w:val="auto"/>
                <w:sz w:val="20"/>
                <w:szCs w:val="20"/>
              </w:rPr>
            </w:pPr>
          </w:p>
        </w:tc>
        <w:tc>
          <w:tcPr>
            <w:tcW w:w="1118" w:type="dxa"/>
            <w:vMerge/>
          </w:tcPr>
          <w:p w14:paraId="04B06C95" w14:textId="77777777" w:rsidR="00575CDF" w:rsidRPr="00C801A6" w:rsidRDefault="00575CDF" w:rsidP="00347FDB">
            <w:pPr>
              <w:spacing w:before="20" w:after="20" w:line="264" w:lineRule="auto"/>
              <w:jc w:val="left"/>
              <w:rPr>
                <w:rFonts w:cs="Times New Roman"/>
                <w:color w:val="auto"/>
                <w:sz w:val="20"/>
                <w:szCs w:val="20"/>
              </w:rPr>
            </w:pPr>
          </w:p>
        </w:tc>
        <w:tc>
          <w:tcPr>
            <w:tcW w:w="1260" w:type="dxa"/>
            <w:vMerge/>
          </w:tcPr>
          <w:p w14:paraId="7F424241" w14:textId="77777777" w:rsidR="00575CDF" w:rsidRPr="00C801A6" w:rsidRDefault="00575CDF" w:rsidP="00347FDB">
            <w:pPr>
              <w:spacing w:before="20" w:after="20" w:line="264" w:lineRule="auto"/>
              <w:jc w:val="left"/>
              <w:rPr>
                <w:rFonts w:cs="Times New Roman"/>
                <w:color w:val="auto"/>
                <w:sz w:val="20"/>
                <w:szCs w:val="20"/>
              </w:rPr>
            </w:pPr>
          </w:p>
        </w:tc>
        <w:tc>
          <w:tcPr>
            <w:tcW w:w="1440" w:type="dxa"/>
          </w:tcPr>
          <w:p w14:paraId="2BF4A54F"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Temporaire</w:t>
            </w:r>
          </w:p>
        </w:tc>
        <w:tc>
          <w:tcPr>
            <w:tcW w:w="1099" w:type="dxa"/>
            <w:vAlign w:val="center"/>
          </w:tcPr>
          <w:p w14:paraId="63769E8A" w14:textId="77777777" w:rsidR="00575CDF" w:rsidRPr="00C801A6" w:rsidRDefault="00575CDF" w:rsidP="00347FDB">
            <w:pPr>
              <w:spacing w:before="20" w:after="20" w:line="264" w:lineRule="auto"/>
              <w:jc w:val="center"/>
              <w:rPr>
                <w:rFonts w:cs="Times New Roman"/>
                <w:color w:val="auto"/>
                <w:sz w:val="20"/>
                <w:szCs w:val="20"/>
              </w:rPr>
            </w:pPr>
          </w:p>
        </w:tc>
        <w:tc>
          <w:tcPr>
            <w:tcW w:w="1099" w:type="dxa"/>
            <w:vAlign w:val="center"/>
          </w:tcPr>
          <w:p w14:paraId="58AD01FA" w14:textId="77777777" w:rsidR="00575CDF" w:rsidRPr="00C801A6" w:rsidRDefault="00575CDF" w:rsidP="00347FDB">
            <w:pPr>
              <w:spacing w:before="20" w:after="20" w:line="264" w:lineRule="auto"/>
              <w:jc w:val="center"/>
              <w:rPr>
                <w:rFonts w:cs="Times New Roman"/>
                <w:color w:val="auto"/>
                <w:sz w:val="20"/>
                <w:szCs w:val="20"/>
              </w:rPr>
            </w:pPr>
          </w:p>
        </w:tc>
        <w:tc>
          <w:tcPr>
            <w:tcW w:w="1100" w:type="dxa"/>
            <w:vAlign w:val="center"/>
          </w:tcPr>
          <w:p w14:paraId="0031B89A"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color w:val="auto"/>
                <w:sz w:val="20"/>
                <w:szCs w:val="20"/>
              </w:rPr>
              <w:t>x</w:t>
            </w:r>
          </w:p>
        </w:tc>
      </w:tr>
      <w:tr w:rsidR="00C801A6" w:rsidRPr="00C801A6" w14:paraId="5F9517FC" w14:textId="77777777" w:rsidTr="00347FDB">
        <w:tc>
          <w:tcPr>
            <w:tcW w:w="1985" w:type="dxa"/>
            <w:vMerge/>
          </w:tcPr>
          <w:p w14:paraId="6C4B0F9A" w14:textId="77777777" w:rsidR="00575CDF" w:rsidRPr="00C801A6" w:rsidRDefault="00575CDF" w:rsidP="00347FDB">
            <w:pPr>
              <w:spacing w:before="20" w:after="20" w:line="264" w:lineRule="auto"/>
              <w:rPr>
                <w:rFonts w:cs="Times New Roman"/>
                <w:color w:val="auto"/>
                <w:sz w:val="20"/>
                <w:szCs w:val="20"/>
              </w:rPr>
            </w:pPr>
          </w:p>
        </w:tc>
        <w:tc>
          <w:tcPr>
            <w:tcW w:w="1118" w:type="dxa"/>
            <w:vMerge/>
          </w:tcPr>
          <w:p w14:paraId="16A273E0" w14:textId="77777777" w:rsidR="00575CDF" w:rsidRPr="00C801A6" w:rsidRDefault="00575CDF" w:rsidP="00347FDB">
            <w:pPr>
              <w:spacing w:before="20" w:after="20" w:line="264" w:lineRule="auto"/>
              <w:jc w:val="left"/>
              <w:rPr>
                <w:rFonts w:cs="Times New Roman"/>
                <w:color w:val="auto"/>
                <w:sz w:val="20"/>
                <w:szCs w:val="20"/>
              </w:rPr>
            </w:pPr>
          </w:p>
        </w:tc>
        <w:tc>
          <w:tcPr>
            <w:tcW w:w="1260" w:type="dxa"/>
            <w:vMerge w:val="restart"/>
            <w:vAlign w:val="center"/>
          </w:tcPr>
          <w:p w14:paraId="714417D6" w14:textId="77777777" w:rsidR="00575CDF" w:rsidRPr="00C801A6" w:rsidRDefault="00575CDF" w:rsidP="00347FDB">
            <w:pPr>
              <w:spacing w:before="20" w:after="20" w:line="264" w:lineRule="auto"/>
              <w:jc w:val="left"/>
              <w:rPr>
                <w:rFonts w:cs="Times New Roman"/>
                <w:color w:val="auto"/>
                <w:sz w:val="20"/>
                <w:szCs w:val="20"/>
              </w:rPr>
            </w:pPr>
            <w:r w:rsidRPr="00C801A6">
              <w:rPr>
                <w:rFonts w:cs="Times New Roman"/>
                <w:color w:val="auto"/>
                <w:sz w:val="20"/>
                <w:szCs w:val="20"/>
              </w:rPr>
              <w:t>Locale</w:t>
            </w:r>
          </w:p>
        </w:tc>
        <w:tc>
          <w:tcPr>
            <w:tcW w:w="1440" w:type="dxa"/>
          </w:tcPr>
          <w:p w14:paraId="5C53672C"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Permanente</w:t>
            </w:r>
          </w:p>
        </w:tc>
        <w:tc>
          <w:tcPr>
            <w:tcW w:w="1099" w:type="dxa"/>
            <w:vAlign w:val="center"/>
          </w:tcPr>
          <w:p w14:paraId="06A9FBB3" w14:textId="77777777" w:rsidR="00575CDF" w:rsidRPr="00C801A6" w:rsidRDefault="00575CDF" w:rsidP="00347FDB">
            <w:pPr>
              <w:spacing w:before="20" w:after="20" w:line="264" w:lineRule="auto"/>
              <w:jc w:val="center"/>
              <w:rPr>
                <w:rFonts w:cs="Times New Roman"/>
                <w:color w:val="auto"/>
                <w:sz w:val="20"/>
                <w:szCs w:val="20"/>
              </w:rPr>
            </w:pPr>
          </w:p>
        </w:tc>
        <w:tc>
          <w:tcPr>
            <w:tcW w:w="1099" w:type="dxa"/>
            <w:vAlign w:val="center"/>
          </w:tcPr>
          <w:p w14:paraId="4229A70B" w14:textId="77777777" w:rsidR="00575CDF" w:rsidRPr="00C801A6" w:rsidRDefault="00575CDF" w:rsidP="00347FDB">
            <w:pPr>
              <w:spacing w:before="20" w:after="20" w:line="264" w:lineRule="auto"/>
              <w:jc w:val="center"/>
              <w:rPr>
                <w:rFonts w:cs="Times New Roman"/>
                <w:color w:val="auto"/>
                <w:sz w:val="20"/>
                <w:szCs w:val="20"/>
              </w:rPr>
            </w:pPr>
          </w:p>
        </w:tc>
        <w:tc>
          <w:tcPr>
            <w:tcW w:w="1100" w:type="dxa"/>
            <w:vAlign w:val="center"/>
          </w:tcPr>
          <w:p w14:paraId="52FA207F"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color w:val="auto"/>
                <w:sz w:val="20"/>
                <w:szCs w:val="20"/>
              </w:rPr>
              <w:t>x</w:t>
            </w:r>
          </w:p>
        </w:tc>
        <w:tc>
          <w:tcPr>
            <w:tcW w:w="360" w:type="dxa"/>
          </w:tcPr>
          <w:p w14:paraId="60BD7742" w14:textId="77777777" w:rsidR="00575CDF" w:rsidRPr="00C801A6" w:rsidRDefault="00575CDF" w:rsidP="00347FDB">
            <w:pPr>
              <w:spacing w:before="20" w:after="20" w:line="264" w:lineRule="auto"/>
              <w:jc w:val="left"/>
              <w:rPr>
                <w:rFonts w:cs="Times New Roman"/>
                <w:color w:val="auto"/>
                <w:sz w:val="20"/>
                <w:szCs w:val="20"/>
              </w:rPr>
            </w:pPr>
            <w:r w:rsidRPr="00C801A6">
              <w:rPr>
                <w:rFonts w:cs="Times New Roman"/>
                <w:color w:val="auto"/>
                <w:sz w:val="20"/>
                <w:szCs w:val="20"/>
              </w:rPr>
              <w:tab/>
            </w:r>
          </w:p>
        </w:tc>
      </w:tr>
      <w:tr w:rsidR="00C801A6" w:rsidRPr="00C801A6" w14:paraId="59F6B08F" w14:textId="77777777" w:rsidTr="00347FDB">
        <w:trPr>
          <w:gridAfter w:val="1"/>
          <w:wAfter w:w="360" w:type="dxa"/>
        </w:trPr>
        <w:tc>
          <w:tcPr>
            <w:tcW w:w="1985" w:type="dxa"/>
            <w:vMerge/>
          </w:tcPr>
          <w:p w14:paraId="75C605CC" w14:textId="77777777" w:rsidR="00575CDF" w:rsidRPr="00C801A6" w:rsidRDefault="00575CDF" w:rsidP="00347FDB">
            <w:pPr>
              <w:spacing w:before="20" w:after="20" w:line="264" w:lineRule="auto"/>
              <w:rPr>
                <w:rFonts w:cs="Times New Roman"/>
                <w:color w:val="auto"/>
                <w:sz w:val="20"/>
                <w:szCs w:val="20"/>
              </w:rPr>
            </w:pPr>
          </w:p>
        </w:tc>
        <w:tc>
          <w:tcPr>
            <w:tcW w:w="1118" w:type="dxa"/>
            <w:vMerge/>
          </w:tcPr>
          <w:p w14:paraId="48D9487D" w14:textId="77777777" w:rsidR="00575CDF" w:rsidRPr="00C801A6" w:rsidRDefault="00575CDF" w:rsidP="00347FDB">
            <w:pPr>
              <w:spacing w:before="20" w:after="20" w:line="264" w:lineRule="auto"/>
              <w:jc w:val="left"/>
              <w:rPr>
                <w:rFonts w:cs="Times New Roman"/>
                <w:color w:val="auto"/>
                <w:sz w:val="20"/>
                <w:szCs w:val="20"/>
              </w:rPr>
            </w:pPr>
          </w:p>
        </w:tc>
        <w:tc>
          <w:tcPr>
            <w:tcW w:w="1260" w:type="dxa"/>
            <w:vMerge/>
          </w:tcPr>
          <w:p w14:paraId="52BEB41B" w14:textId="77777777" w:rsidR="00575CDF" w:rsidRPr="00C801A6" w:rsidRDefault="00575CDF" w:rsidP="00347FDB">
            <w:pPr>
              <w:spacing w:before="20" w:after="20" w:line="264" w:lineRule="auto"/>
              <w:jc w:val="left"/>
              <w:rPr>
                <w:rFonts w:cs="Times New Roman"/>
                <w:color w:val="auto"/>
                <w:sz w:val="20"/>
                <w:szCs w:val="20"/>
              </w:rPr>
            </w:pPr>
          </w:p>
        </w:tc>
        <w:tc>
          <w:tcPr>
            <w:tcW w:w="1440" w:type="dxa"/>
          </w:tcPr>
          <w:p w14:paraId="791061B2"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Temporaire</w:t>
            </w:r>
          </w:p>
        </w:tc>
        <w:tc>
          <w:tcPr>
            <w:tcW w:w="1099" w:type="dxa"/>
            <w:vAlign w:val="center"/>
          </w:tcPr>
          <w:p w14:paraId="0480ED78" w14:textId="77777777" w:rsidR="00575CDF" w:rsidRPr="00C801A6" w:rsidRDefault="00575CDF" w:rsidP="00347FDB">
            <w:pPr>
              <w:spacing w:before="20" w:after="20" w:line="264" w:lineRule="auto"/>
              <w:jc w:val="center"/>
              <w:rPr>
                <w:rFonts w:cs="Times New Roman"/>
                <w:color w:val="auto"/>
                <w:sz w:val="20"/>
                <w:szCs w:val="20"/>
              </w:rPr>
            </w:pPr>
          </w:p>
        </w:tc>
        <w:tc>
          <w:tcPr>
            <w:tcW w:w="1099" w:type="dxa"/>
            <w:vAlign w:val="center"/>
          </w:tcPr>
          <w:p w14:paraId="6122B530" w14:textId="77777777" w:rsidR="00575CDF" w:rsidRPr="00C801A6" w:rsidRDefault="00575CDF" w:rsidP="00347FDB">
            <w:pPr>
              <w:spacing w:before="20" w:after="20" w:line="264" w:lineRule="auto"/>
              <w:jc w:val="center"/>
              <w:rPr>
                <w:rFonts w:cs="Times New Roman"/>
                <w:color w:val="auto"/>
                <w:sz w:val="20"/>
                <w:szCs w:val="20"/>
              </w:rPr>
            </w:pPr>
          </w:p>
        </w:tc>
        <w:tc>
          <w:tcPr>
            <w:tcW w:w="1100" w:type="dxa"/>
            <w:vAlign w:val="center"/>
          </w:tcPr>
          <w:p w14:paraId="0B8DCCCE"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color w:val="auto"/>
                <w:sz w:val="20"/>
                <w:szCs w:val="20"/>
              </w:rPr>
              <w:t>x</w:t>
            </w:r>
          </w:p>
        </w:tc>
      </w:tr>
      <w:tr w:rsidR="00C801A6" w:rsidRPr="00C801A6" w14:paraId="49F4D2AC" w14:textId="77777777" w:rsidTr="00347FDB">
        <w:trPr>
          <w:gridAfter w:val="1"/>
          <w:wAfter w:w="360" w:type="dxa"/>
        </w:trPr>
        <w:tc>
          <w:tcPr>
            <w:tcW w:w="1985" w:type="dxa"/>
            <w:vMerge w:val="restart"/>
            <w:vAlign w:val="center"/>
          </w:tcPr>
          <w:p w14:paraId="67E040DA"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Faible</w:t>
            </w:r>
          </w:p>
        </w:tc>
        <w:tc>
          <w:tcPr>
            <w:tcW w:w="1118" w:type="dxa"/>
            <w:vMerge w:val="restart"/>
            <w:vAlign w:val="center"/>
          </w:tcPr>
          <w:p w14:paraId="2124E269" w14:textId="77777777" w:rsidR="00575CDF" w:rsidRPr="00C801A6" w:rsidRDefault="00575CDF" w:rsidP="00347FDB">
            <w:pPr>
              <w:spacing w:before="20" w:after="20" w:line="264" w:lineRule="auto"/>
              <w:jc w:val="left"/>
              <w:rPr>
                <w:rFonts w:cs="Times New Roman"/>
                <w:color w:val="auto"/>
                <w:sz w:val="20"/>
                <w:szCs w:val="20"/>
              </w:rPr>
            </w:pPr>
            <w:r w:rsidRPr="00C801A6">
              <w:rPr>
                <w:rFonts w:cs="Times New Roman"/>
                <w:color w:val="auto"/>
                <w:sz w:val="20"/>
                <w:szCs w:val="20"/>
                <w:lang w:val="fr-CA" w:eastAsia="fr-CA"/>
              </w:rPr>
              <w:t>Forte</w:t>
            </w:r>
          </w:p>
        </w:tc>
        <w:tc>
          <w:tcPr>
            <w:tcW w:w="1260" w:type="dxa"/>
            <w:vMerge w:val="restart"/>
            <w:vAlign w:val="center"/>
          </w:tcPr>
          <w:p w14:paraId="1F0E893F" w14:textId="77777777" w:rsidR="00575CDF" w:rsidRPr="00C801A6" w:rsidRDefault="00575CDF" w:rsidP="00347FDB">
            <w:pPr>
              <w:spacing w:before="20" w:after="20" w:line="264" w:lineRule="auto"/>
              <w:jc w:val="left"/>
              <w:rPr>
                <w:rFonts w:cs="Times New Roman"/>
                <w:color w:val="auto"/>
                <w:sz w:val="20"/>
                <w:szCs w:val="20"/>
              </w:rPr>
            </w:pPr>
            <w:r w:rsidRPr="00C801A6">
              <w:rPr>
                <w:rFonts w:cs="Times New Roman"/>
                <w:color w:val="auto"/>
                <w:sz w:val="20"/>
                <w:szCs w:val="20"/>
              </w:rPr>
              <w:t>Régionale</w:t>
            </w:r>
          </w:p>
        </w:tc>
        <w:tc>
          <w:tcPr>
            <w:tcW w:w="1440" w:type="dxa"/>
          </w:tcPr>
          <w:p w14:paraId="0BB40B15"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Permanente</w:t>
            </w:r>
          </w:p>
        </w:tc>
        <w:tc>
          <w:tcPr>
            <w:tcW w:w="1099" w:type="dxa"/>
            <w:vAlign w:val="center"/>
          </w:tcPr>
          <w:p w14:paraId="1519EC43" w14:textId="77777777" w:rsidR="00575CDF" w:rsidRPr="00C801A6" w:rsidRDefault="00575CDF" w:rsidP="00347FDB">
            <w:pPr>
              <w:spacing w:before="20" w:after="20" w:line="264" w:lineRule="auto"/>
              <w:jc w:val="center"/>
              <w:rPr>
                <w:rFonts w:cs="Times New Roman"/>
                <w:color w:val="auto"/>
                <w:sz w:val="20"/>
                <w:szCs w:val="20"/>
              </w:rPr>
            </w:pPr>
          </w:p>
        </w:tc>
        <w:tc>
          <w:tcPr>
            <w:tcW w:w="1099" w:type="dxa"/>
            <w:vAlign w:val="center"/>
          </w:tcPr>
          <w:p w14:paraId="1E8992B2"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color w:val="auto"/>
                <w:sz w:val="20"/>
                <w:szCs w:val="20"/>
              </w:rPr>
              <w:t>x</w:t>
            </w:r>
          </w:p>
        </w:tc>
        <w:tc>
          <w:tcPr>
            <w:tcW w:w="1100" w:type="dxa"/>
            <w:vAlign w:val="center"/>
          </w:tcPr>
          <w:p w14:paraId="1ECD6DAA" w14:textId="77777777" w:rsidR="00575CDF" w:rsidRPr="00C801A6" w:rsidRDefault="00575CDF" w:rsidP="00347FDB">
            <w:pPr>
              <w:spacing w:before="20" w:after="20" w:line="264" w:lineRule="auto"/>
              <w:jc w:val="center"/>
              <w:rPr>
                <w:rFonts w:cs="Times New Roman"/>
                <w:color w:val="auto"/>
                <w:sz w:val="20"/>
                <w:szCs w:val="20"/>
              </w:rPr>
            </w:pPr>
          </w:p>
        </w:tc>
      </w:tr>
      <w:tr w:rsidR="00C801A6" w:rsidRPr="00C801A6" w14:paraId="7029231A" w14:textId="77777777" w:rsidTr="00347FDB">
        <w:tc>
          <w:tcPr>
            <w:tcW w:w="1985" w:type="dxa"/>
            <w:vMerge/>
          </w:tcPr>
          <w:p w14:paraId="5042E800" w14:textId="77777777" w:rsidR="00575CDF" w:rsidRPr="00C801A6" w:rsidRDefault="00575CDF" w:rsidP="00347FDB">
            <w:pPr>
              <w:spacing w:before="20" w:after="20" w:line="264" w:lineRule="auto"/>
              <w:rPr>
                <w:rFonts w:cs="Times New Roman"/>
                <w:color w:val="auto"/>
                <w:sz w:val="20"/>
                <w:szCs w:val="20"/>
              </w:rPr>
            </w:pPr>
          </w:p>
        </w:tc>
        <w:tc>
          <w:tcPr>
            <w:tcW w:w="1118" w:type="dxa"/>
            <w:vMerge/>
          </w:tcPr>
          <w:p w14:paraId="31CB27D6" w14:textId="77777777" w:rsidR="00575CDF" w:rsidRPr="00C801A6" w:rsidRDefault="00575CDF" w:rsidP="00347FDB">
            <w:pPr>
              <w:spacing w:before="20" w:after="20" w:line="264" w:lineRule="auto"/>
              <w:jc w:val="left"/>
              <w:rPr>
                <w:rFonts w:cs="Times New Roman"/>
                <w:color w:val="auto"/>
                <w:sz w:val="20"/>
                <w:szCs w:val="20"/>
              </w:rPr>
            </w:pPr>
          </w:p>
        </w:tc>
        <w:tc>
          <w:tcPr>
            <w:tcW w:w="1260" w:type="dxa"/>
            <w:vMerge/>
          </w:tcPr>
          <w:p w14:paraId="59C3FC6E" w14:textId="77777777" w:rsidR="00575CDF" w:rsidRPr="00C801A6" w:rsidRDefault="00575CDF" w:rsidP="00347FDB">
            <w:pPr>
              <w:spacing w:before="20" w:after="20" w:line="264" w:lineRule="auto"/>
              <w:jc w:val="left"/>
              <w:rPr>
                <w:rFonts w:cs="Times New Roman"/>
                <w:color w:val="auto"/>
                <w:sz w:val="20"/>
                <w:szCs w:val="20"/>
              </w:rPr>
            </w:pPr>
          </w:p>
        </w:tc>
        <w:tc>
          <w:tcPr>
            <w:tcW w:w="1440" w:type="dxa"/>
          </w:tcPr>
          <w:p w14:paraId="4EB7F0EF"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Temporaire</w:t>
            </w:r>
          </w:p>
        </w:tc>
        <w:tc>
          <w:tcPr>
            <w:tcW w:w="1099" w:type="dxa"/>
            <w:vAlign w:val="center"/>
          </w:tcPr>
          <w:p w14:paraId="01A2ED06" w14:textId="77777777" w:rsidR="00575CDF" w:rsidRPr="00C801A6" w:rsidRDefault="00575CDF" w:rsidP="00347FDB">
            <w:pPr>
              <w:spacing w:before="20" w:after="20" w:line="264" w:lineRule="auto"/>
              <w:jc w:val="center"/>
              <w:rPr>
                <w:rFonts w:cs="Times New Roman"/>
                <w:color w:val="auto"/>
                <w:sz w:val="20"/>
                <w:szCs w:val="20"/>
              </w:rPr>
            </w:pPr>
          </w:p>
        </w:tc>
        <w:tc>
          <w:tcPr>
            <w:tcW w:w="1099" w:type="dxa"/>
            <w:vAlign w:val="center"/>
          </w:tcPr>
          <w:p w14:paraId="626BBDBE" w14:textId="77777777" w:rsidR="00575CDF" w:rsidRPr="00C801A6" w:rsidRDefault="00575CDF" w:rsidP="00347FDB">
            <w:pPr>
              <w:spacing w:before="20" w:after="20" w:line="264" w:lineRule="auto"/>
              <w:jc w:val="center"/>
              <w:rPr>
                <w:rFonts w:cs="Times New Roman"/>
                <w:color w:val="auto"/>
                <w:sz w:val="20"/>
                <w:szCs w:val="20"/>
              </w:rPr>
            </w:pPr>
          </w:p>
        </w:tc>
        <w:tc>
          <w:tcPr>
            <w:tcW w:w="1100" w:type="dxa"/>
            <w:vAlign w:val="center"/>
          </w:tcPr>
          <w:p w14:paraId="5A5B1590"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color w:val="auto"/>
                <w:sz w:val="20"/>
                <w:szCs w:val="20"/>
              </w:rPr>
              <w:t>x</w:t>
            </w:r>
          </w:p>
        </w:tc>
        <w:tc>
          <w:tcPr>
            <w:tcW w:w="360" w:type="dxa"/>
          </w:tcPr>
          <w:p w14:paraId="73571E0F" w14:textId="77777777" w:rsidR="00575CDF" w:rsidRPr="00C801A6" w:rsidRDefault="00575CDF" w:rsidP="00347FDB">
            <w:pPr>
              <w:spacing w:before="20" w:after="20" w:line="264" w:lineRule="auto"/>
              <w:jc w:val="left"/>
              <w:rPr>
                <w:rFonts w:cs="Times New Roman"/>
                <w:color w:val="auto"/>
                <w:sz w:val="20"/>
                <w:szCs w:val="20"/>
              </w:rPr>
            </w:pPr>
            <w:r w:rsidRPr="00C801A6">
              <w:rPr>
                <w:rFonts w:cs="Times New Roman"/>
                <w:color w:val="auto"/>
                <w:sz w:val="20"/>
                <w:szCs w:val="20"/>
              </w:rPr>
              <w:tab/>
            </w:r>
          </w:p>
        </w:tc>
      </w:tr>
      <w:tr w:rsidR="00C801A6" w:rsidRPr="00C801A6" w14:paraId="5A4C28E4" w14:textId="77777777" w:rsidTr="00347FDB">
        <w:trPr>
          <w:gridAfter w:val="1"/>
          <w:wAfter w:w="360" w:type="dxa"/>
        </w:trPr>
        <w:tc>
          <w:tcPr>
            <w:tcW w:w="1985" w:type="dxa"/>
            <w:vMerge/>
          </w:tcPr>
          <w:p w14:paraId="75348DCF" w14:textId="77777777" w:rsidR="00575CDF" w:rsidRPr="00C801A6" w:rsidRDefault="00575CDF" w:rsidP="00347FDB">
            <w:pPr>
              <w:spacing w:before="20" w:after="20" w:line="264" w:lineRule="auto"/>
              <w:rPr>
                <w:rFonts w:cs="Times New Roman"/>
                <w:color w:val="auto"/>
                <w:sz w:val="20"/>
                <w:szCs w:val="20"/>
              </w:rPr>
            </w:pPr>
          </w:p>
        </w:tc>
        <w:tc>
          <w:tcPr>
            <w:tcW w:w="1118" w:type="dxa"/>
            <w:vMerge/>
          </w:tcPr>
          <w:p w14:paraId="7C3137A8" w14:textId="77777777" w:rsidR="00575CDF" w:rsidRPr="00C801A6" w:rsidRDefault="00575CDF" w:rsidP="00347FDB">
            <w:pPr>
              <w:spacing w:before="20" w:after="20" w:line="264" w:lineRule="auto"/>
              <w:jc w:val="left"/>
              <w:rPr>
                <w:rFonts w:cs="Times New Roman"/>
                <w:color w:val="auto"/>
                <w:sz w:val="20"/>
                <w:szCs w:val="20"/>
              </w:rPr>
            </w:pPr>
          </w:p>
        </w:tc>
        <w:tc>
          <w:tcPr>
            <w:tcW w:w="1260" w:type="dxa"/>
            <w:vMerge w:val="restart"/>
            <w:vAlign w:val="center"/>
          </w:tcPr>
          <w:p w14:paraId="073112CF" w14:textId="77777777" w:rsidR="00575CDF" w:rsidRPr="00C801A6" w:rsidRDefault="00575CDF" w:rsidP="00347FDB">
            <w:pPr>
              <w:spacing w:before="20" w:after="20" w:line="264" w:lineRule="auto"/>
              <w:jc w:val="left"/>
              <w:rPr>
                <w:rFonts w:cs="Times New Roman"/>
                <w:color w:val="auto"/>
                <w:sz w:val="20"/>
                <w:szCs w:val="20"/>
              </w:rPr>
            </w:pPr>
            <w:r w:rsidRPr="00C801A6">
              <w:rPr>
                <w:rFonts w:cs="Times New Roman"/>
                <w:color w:val="auto"/>
                <w:sz w:val="20"/>
                <w:szCs w:val="20"/>
              </w:rPr>
              <w:t>Zonale</w:t>
            </w:r>
          </w:p>
        </w:tc>
        <w:tc>
          <w:tcPr>
            <w:tcW w:w="1440" w:type="dxa"/>
          </w:tcPr>
          <w:p w14:paraId="00AB3C89"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Permanente</w:t>
            </w:r>
          </w:p>
        </w:tc>
        <w:tc>
          <w:tcPr>
            <w:tcW w:w="1099" w:type="dxa"/>
            <w:vAlign w:val="center"/>
          </w:tcPr>
          <w:p w14:paraId="443E0320" w14:textId="77777777" w:rsidR="00575CDF" w:rsidRPr="00C801A6" w:rsidRDefault="00575CDF" w:rsidP="00347FDB">
            <w:pPr>
              <w:spacing w:before="20" w:after="20" w:line="264" w:lineRule="auto"/>
              <w:jc w:val="center"/>
              <w:rPr>
                <w:rFonts w:cs="Times New Roman"/>
                <w:color w:val="auto"/>
                <w:sz w:val="20"/>
                <w:szCs w:val="20"/>
              </w:rPr>
            </w:pPr>
          </w:p>
        </w:tc>
        <w:tc>
          <w:tcPr>
            <w:tcW w:w="1099" w:type="dxa"/>
            <w:vAlign w:val="center"/>
          </w:tcPr>
          <w:p w14:paraId="1A0AB4AD"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color w:val="auto"/>
                <w:sz w:val="20"/>
                <w:szCs w:val="20"/>
              </w:rPr>
              <w:t>x</w:t>
            </w:r>
          </w:p>
        </w:tc>
        <w:tc>
          <w:tcPr>
            <w:tcW w:w="1100" w:type="dxa"/>
            <w:vAlign w:val="center"/>
          </w:tcPr>
          <w:p w14:paraId="27C20BD1" w14:textId="77777777" w:rsidR="00575CDF" w:rsidRPr="00C801A6" w:rsidRDefault="00575CDF" w:rsidP="00347FDB">
            <w:pPr>
              <w:spacing w:before="20" w:after="20" w:line="264" w:lineRule="auto"/>
              <w:jc w:val="center"/>
              <w:rPr>
                <w:rFonts w:cs="Times New Roman"/>
                <w:color w:val="auto"/>
                <w:sz w:val="20"/>
                <w:szCs w:val="20"/>
              </w:rPr>
            </w:pPr>
          </w:p>
        </w:tc>
      </w:tr>
      <w:tr w:rsidR="00C801A6" w:rsidRPr="00C801A6" w14:paraId="184643E6" w14:textId="77777777" w:rsidTr="00347FDB">
        <w:trPr>
          <w:gridAfter w:val="1"/>
          <w:wAfter w:w="360" w:type="dxa"/>
        </w:trPr>
        <w:tc>
          <w:tcPr>
            <w:tcW w:w="1985" w:type="dxa"/>
            <w:vMerge/>
          </w:tcPr>
          <w:p w14:paraId="36C9961C" w14:textId="77777777" w:rsidR="00575CDF" w:rsidRPr="00C801A6" w:rsidRDefault="00575CDF" w:rsidP="00347FDB">
            <w:pPr>
              <w:spacing w:before="20" w:after="20" w:line="264" w:lineRule="auto"/>
              <w:rPr>
                <w:rFonts w:cs="Times New Roman"/>
                <w:color w:val="auto"/>
                <w:sz w:val="20"/>
                <w:szCs w:val="20"/>
              </w:rPr>
            </w:pPr>
          </w:p>
        </w:tc>
        <w:tc>
          <w:tcPr>
            <w:tcW w:w="1118" w:type="dxa"/>
            <w:vMerge/>
          </w:tcPr>
          <w:p w14:paraId="6E907D7F" w14:textId="77777777" w:rsidR="00575CDF" w:rsidRPr="00C801A6" w:rsidRDefault="00575CDF" w:rsidP="00347FDB">
            <w:pPr>
              <w:spacing w:before="20" w:after="20" w:line="264" w:lineRule="auto"/>
              <w:jc w:val="left"/>
              <w:rPr>
                <w:rFonts w:cs="Times New Roman"/>
                <w:color w:val="auto"/>
                <w:sz w:val="20"/>
                <w:szCs w:val="20"/>
              </w:rPr>
            </w:pPr>
          </w:p>
        </w:tc>
        <w:tc>
          <w:tcPr>
            <w:tcW w:w="1260" w:type="dxa"/>
            <w:vMerge/>
          </w:tcPr>
          <w:p w14:paraId="382B5C5C" w14:textId="77777777" w:rsidR="00575CDF" w:rsidRPr="00C801A6" w:rsidRDefault="00575CDF" w:rsidP="00347FDB">
            <w:pPr>
              <w:spacing w:before="20" w:after="20" w:line="264" w:lineRule="auto"/>
              <w:jc w:val="left"/>
              <w:rPr>
                <w:rFonts w:cs="Times New Roman"/>
                <w:color w:val="auto"/>
                <w:sz w:val="20"/>
                <w:szCs w:val="20"/>
              </w:rPr>
            </w:pPr>
          </w:p>
        </w:tc>
        <w:tc>
          <w:tcPr>
            <w:tcW w:w="1440" w:type="dxa"/>
          </w:tcPr>
          <w:p w14:paraId="72830C90"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Temporaire</w:t>
            </w:r>
          </w:p>
        </w:tc>
        <w:tc>
          <w:tcPr>
            <w:tcW w:w="1099" w:type="dxa"/>
            <w:vAlign w:val="center"/>
          </w:tcPr>
          <w:p w14:paraId="2885D3AB" w14:textId="77777777" w:rsidR="00575CDF" w:rsidRPr="00C801A6" w:rsidRDefault="00575CDF" w:rsidP="00347FDB">
            <w:pPr>
              <w:spacing w:before="20" w:after="20" w:line="264" w:lineRule="auto"/>
              <w:jc w:val="center"/>
              <w:rPr>
                <w:rFonts w:cs="Times New Roman"/>
                <w:color w:val="auto"/>
                <w:sz w:val="20"/>
                <w:szCs w:val="20"/>
              </w:rPr>
            </w:pPr>
          </w:p>
        </w:tc>
        <w:tc>
          <w:tcPr>
            <w:tcW w:w="1099" w:type="dxa"/>
            <w:vAlign w:val="center"/>
          </w:tcPr>
          <w:p w14:paraId="31161B91" w14:textId="77777777" w:rsidR="00575CDF" w:rsidRPr="00C801A6" w:rsidRDefault="00575CDF" w:rsidP="00347FDB">
            <w:pPr>
              <w:spacing w:before="20" w:after="20" w:line="264" w:lineRule="auto"/>
              <w:jc w:val="center"/>
              <w:rPr>
                <w:rFonts w:cs="Times New Roman"/>
                <w:color w:val="auto"/>
                <w:sz w:val="20"/>
                <w:szCs w:val="20"/>
              </w:rPr>
            </w:pPr>
          </w:p>
        </w:tc>
        <w:tc>
          <w:tcPr>
            <w:tcW w:w="1100" w:type="dxa"/>
            <w:vAlign w:val="center"/>
          </w:tcPr>
          <w:p w14:paraId="382C585A"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color w:val="auto"/>
                <w:sz w:val="20"/>
                <w:szCs w:val="20"/>
              </w:rPr>
              <w:t>x</w:t>
            </w:r>
          </w:p>
        </w:tc>
      </w:tr>
      <w:tr w:rsidR="00C801A6" w:rsidRPr="00C801A6" w14:paraId="65A22929" w14:textId="77777777" w:rsidTr="00347FDB">
        <w:trPr>
          <w:gridAfter w:val="1"/>
          <w:wAfter w:w="360" w:type="dxa"/>
        </w:trPr>
        <w:tc>
          <w:tcPr>
            <w:tcW w:w="1985" w:type="dxa"/>
            <w:vMerge/>
          </w:tcPr>
          <w:p w14:paraId="5AA781CE" w14:textId="77777777" w:rsidR="00575CDF" w:rsidRPr="00C801A6" w:rsidRDefault="00575CDF" w:rsidP="00347FDB">
            <w:pPr>
              <w:spacing w:before="20" w:after="20" w:line="264" w:lineRule="auto"/>
              <w:rPr>
                <w:rFonts w:cs="Times New Roman"/>
                <w:color w:val="auto"/>
                <w:sz w:val="20"/>
                <w:szCs w:val="20"/>
              </w:rPr>
            </w:pPr>
          </w:p>
        </w:tc>
        <w:tc>
          <w:tcPr>
            <w:tcW w:w="1118" w:type="dxa"/>
            <w:vMerge/>
          </w:tcPr>
          <w:p w14:paraId="672B9EF7" w14:textId="77777777" w:rsidR="00575CDF" w:rsidRPr="00C801A6" w:rsidRDefault="00575CDF" w:rsidP="00347FDB">
            <w:pPr>
              <w:spacing w:before="20" w:after="20" w:line="264" w:lineRule="auto"/>
              <w:jc w:val="left"/>
              <w:rPr>
                <w:rFonts w:cs="Times New Roman"/>
                <w:color w:val="auto"/>
                <w:sz w:val="20"/>
                <w:szCs w:val="20"/>
              </w:rPr>
            </w:pPr>
          </w:p>
        </w:tc>
        <w:tc>
          <w:tcPr>
            <w:tcW w:w="1260" w:type="dxa"/>
            <w:vMerge w:val="restart"/>
            <w:vAlign w:val="center"/>
          </w:tcPr>
          <w:p w14:paraId="0F7E4F7D" w14:textId="77777777" w:rsidR="00575CDF" w:rsidRPr="00C801A6" w:rsidRDefault="00575CDF" w:rsidP="00347FDB">
            <w:pPr>
              <w:spacing w:before="20" w:after="20" w:line="264" w:lineRule="auto"/>
              <w:jc w:val="left"/>
              <w:rPr>
                <w:rFonts w:cs="Times New Roman"/>
                <w:color w:val="auto"/>
                <w:sz w:val="20"/>
                <w:szCs w:val="20"/>
              </w:rPr>
            </w:pPr>
            <w:r w:rsidRPr="00C801A6">
              <w:rPr>
                <w:rFonts w:cs="Times New Roman"/>
                <w:color w:val="auto"/>
                <w:sz w:val="20"/>
                <w:szCs w:val="20"/>
              </w:rPr>
              <w:t>Locale</w:t>
            </w:r>
          </w:p>
        </w:tc>
        <w:tc>
          <w:tcPr>
            <w:tcW w:w="1440" w:type="dxa"/>
          </w:tcPr>
          <w:p w14:paraId="7BBC1525"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Permanente</w:t>
            </w:r>
          </w:p>
        </w:tc>
        <w:tc>
          <w:tcPr>
            <w:tcW w:w="1099" w:type="dxa"/>
            <w:vAlign w:val="center"/>
          </w:tcPr>
          <w:p w14:paraId="7984291E" w14:textId="77777777" w:rsidR="00575CDF" w:rsidRPr="00C801A6" w:rsidRDefault="00575CDF" w:rsidP="00347FDB">
            <w:pPr>
              <w:spacing w:before="20" w:after="20" w:line="264" w:lineRule="auto"/>
              <w:jc w:val="center"/>
              <w:rPr>
                <w:rFonts w:cs="Times New Roman"/>
                <w:color w:val="auto"/>
                <w:sz w:val="20"/>
                <w:szCs w:val="20"/>
              </w:rPr>
            </w:pPr>
          </w:p>
        </w:tc>
        <w:tc>
          <w:tcPr>
            <w:tcW w:w="1099" w:type="dxa"/>
            <w:vAlign w:val="center"/>
          </w:tcPr>
          <w:p w14:paraId="5E2A6DB1" w14:textId="77777777" w:rsidR="00575CDF" w:rsidRPr="00C801A6" w:rsidRDefault="00575CDF" w:rsidP="00347FDB">
            <w:pPr>
              <w:spacing w:before="20" w:after="20" w:line="264" w:lineRule="auto"/>
              <w:jc w:val="center"/>
              <w:rPr>
                <w:rFonts w:cs="Times New Roman"/>
                <w:color w:val="auto"/>
                <w:sz w:val="20"/>
                <w:szCs w:val="20"/>
              </w:rPr>
            </w:pPr>
          </w:p>
        </w:tc>
        <w:tc>
          <w:tcPr>
            <w:tcW w:w="1100" w:type="dxa"/>
            <w:vAlign w:val="center"/>
          </w:tcPr>
          <w:p w14:paraId="1CBEFAA4"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color w:val="auto"/>
                <w:sz w:val="20"/>
                <w:szCs w:val="20"/>
              </w:rPr>
              <w:t>x</w:t>
            </w:r>
          </w:p>
        </w:tc>
      </w:tr>
      <w:tr w:rsidR="00C801A6" w:rsidRPr="00C801A6" w14:paraId="7C0354C2" w14:textId="77777777" w:rsidTr="00347FDB">
        <w:trPr>
          <w:gridAfter w:val="1"/>
          <w:wAfter w:w="360" w:type="dxa"/>
        </w:trPr>
        <w:tc>
          <w:tcPr>
            <w:tcW w:w="1985" w:type="dxa"/>
            <w:vMerge/>
          </w:tcPr>
          <w:p w14:paraId="191203F5" w14:textId="77777777" w:rsidR="00575CDF" w:rsidRPr="00C801A6" w:rsidRDefault="00575CDF" w:rsidP="00347FDB">
            <w:pPr>
              <w:spacing w:before="20" w:after="20" w:line="264" w:lineRule="auto"/>
              <w:rPr>
                <w:rFonts w:cs="Times New Roman"/>
                <w:color w:val="auto"/>
                <w:sz w:val="20"/>
                <w:szCs w:val="20"/>
              </w:rPr>
            </w:pPr>
          </w:p>
        </w:tc>
        <w:tc>
          <w:tcPr>
            <w:tcW w:w="1118" w:type="dxa"/>
            <w:vMerge/>
          </w:tcPr>
          <w:p w14:paraId="632E7D5B" w14:textId="77777777" w:rsidR="00575CDF" w:rsidRPr="00C801A6" w:rsidRDefault="00575CDF" w:rsidP="00347FDB">
            <w:pPr>
              <w:spacing w:before="20" w:after="20" w:line="264" w:lineRule="auto"/>
              <w:jc w:val="left"/>
              <w:rPr>
                <w:rFonts w:cs="Times New Roman"/>
                <w:color w:val="auto"/>
                <w:sz w:val="20"/>
                <w:szCs w:val="20"/>
              </w:rPr>
            </w:pPr>
          </w:p>
        </w:tc>
        <w:tc>
          <w:tcPr>
            <w:tcW w:w="1260" w:type="dxa"/>
            <w:vMerge/>
          </w:tcPr>
          <w:p w14:paraId="098C0479" w14:textId="77777777" w:rsidR="00575CDF" w:rsidRPr="00C801A6" w:rsidRDefault="00575CDF" w:rsidP="00347FDB">
            <w:pPr>
              <w:spacing w:before="20" w:after="20" w:line="264" w:lineRule="auto"/>
              <w:jc w:val="left"/>
              <w:rPr>
                <w:rFonts w:cs="Times New Roman"/>
                <w:color w:val="auto"/>
                <w:sz w:val="20"/>
                <w:szCs w:val="20"/>
              </w:rPr>
            </w:pPr>
          </w:p>
        </w:tc>
        <w:tc>
          <w:tcPr>
            <w:tcW w:w="1440" w:type="dxa"/>
          </w:tcPr>
          <w:p w14:paraId="5B944576"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Temporaire</w:t>
            </w:r>
          </w:p>
        </w:tc>
        <w:tc>
          <w:tcPr>
            <w:tcW w:w="1099" w:type="dxa"/>
            <w:vAlign w:val="center"/>
          </w:tcPr>
          <w:p w14:paraId="62399FD9" w14:textId="77777777" w:rsidR="00575CDF" w:rsidRPr="00C801A6" w:rsidRDefault="00575CDF" w:rsidP="00347FDB">
            <w:pPr>
              <w:spacing w:before="20" w:after="20" w:line="264" w:lineRule="auto"/>
              <w:jc w:val="center"/>
              <w:rPr>
                <w:rFonts w:cs="Times New Roman"/>
                <w:color w:val="auto"/>
                <w:sz w:val="20"/>
                <w:szCs w:val="20"/>
              </w:rPr>
            </w:pPr>
          </w:p>
        </w:tc>
        <w:tc>
          <w:tcPr>
            <w:tcW w:w="1099" w:type="dxa"/>
            <w:vAlign w:val="center"/>
          </w:tcPr>
          <w:p w14:paraId="57B63BD2" w14:textId="77777777" w:rsidR="00575CDF" w:rsidRPr="00C801A6" w:rsidRDefault="00575CDF" w:rsidP="00347FDB">
            <w:pPr>
              <w:spacing w:before="20" w:after="20" w:line="264" w:lineRule="auto"/>
              <w:jc w:val="center"/>
              <w:rPr>
                <w:rFonts w:cs="Times New Roman"/>
                <w:color w:val="auto"/>
                <w:sz w:val="20"/>
                <w:szCs w:val="20"/>
              </w:rPr>
            </w:pPr>
          </w:p>
        </w:tc>
        <w:tc>
          <w:tcPr>
            <w:tcW w:w="1100" w:type="dxa"/>
            <w:vAlign w:val="center"/>
          </w:tcPr>
          <w:p w14:paraId="0521C807"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color w:val="auto"/>
                <w:sz w:val="20"/>
                <w:szCs w:val="20"/>
              </w:rPr>
              <w:t>x</w:t>
            </w:r>
          </w:p>
        </w:tc>
      </w:tr>
      <w:tr w:rsidR="00C801A6" w:rsidRPr="00C801A6" w14:paraId="73122955" w14:textId="77777777" w:rsidTr="00347FDB">
        <w:trPr>
          <w:gridAfter w:val="1"/>
          <w:wAfter w:w="360" w:type="dxa"/>
        </w:trPr>
        <w:tc>
          <w:tcPr>
            <w:tcW w:w="1985" w:type="dxa"/>
            <w:vMerge/>
          </w:tcPr>
          <w:p w14:paraId="26D79ABA" w14:textId="77777777" w:rsidR="00575CDF" w:rsidRPr="00C801A6" w:rsidRDefault="00575CDF" w:rsidP="00347FDB">
            <w:pPr>
              <w:spacing w:before="20" w:after="20" w:line="264" w:lineRule="auto"/>
              <w:rPr>
                <w:rFonts w:cs="Times New Roman"/>
                <w:color w:val="auto"/>
                <w:sz w:val="20"/>
                <w:szCs w:val="20"/>
              </w:rPr>
            </w:pPr>
          </w:p>
        </w:tc>
        <w:tc>
          <w:tcPr>
            <w:tcW w:w="1118" w:type="dxa"/>
            <w:vMerge w:val="restart"/>
            <w:vAlign w:val="center"/>
          </w:tcPr>
          <w:p w14:paraId="38579BFA" w14:textId="77777777" w:rsidR="00575CDF" w:rsidRPr="00C801A6" w:rsidRDefault="00575CDF" w:rsidP="00347FDB">
            <w:pPr>
              <w:spacing w:before="20" w:after="20" w:line="264" w:lineRule="auto"/>
              <w:jc w:val="left"/>
              <w:rPr>
                <w:rFonts w:cs="Times New Roman"/>
                <w:color w:val="auto"/>
                <w:sz w:val="20"/>
                <w:szCs w:val="20"/>
              </w:rPr>
            </w:pPr>
            <w:r w:rsidRPr="00C801A6">
              <w:rPr>
                <w:rFonts w:cs="Times New Roman"/>
                <w:color w:val="auto"/>
                <w:sz w:val="20"/>
                <w:szCs w:val="20"/>
              </w:rPr>
              <w:t>Moyenne</w:t>
            </w:r>
          </w:p>
        </w:tc>
        <w:tc>
          <w:tcPr>
            <w:tcW w:w="1260" w:type="dxa"/>
            <w:vMerge w:val="restart"/>
            <w:vAlign w:val="center"/>
          </w:tcPr>
          <w:p w14:paraId="14078776" w14:textId="77777777" w:rsidR="00575CDF" w:rsidRPr="00C801A6" w:rsidRDefault="00575CDF" w:rsidP="00347FDB">
            <w:pPr>
              <w:spacing w:before="20" w:after="20" w:line="264" w:lineRule="auto"/>
              <w:jc w:val="left"/>
              <w:rPr>
                <w:rFonts w:cs="Times New Roman"/>
                <w:color w:val="auto"/>
                <w:sz w:val="20"/>
                <w:szCs w:val="20"/>
              </w:rPr>
            </w:pPr>
            <w:r w:rsidRPr="00C801A6">
              <w:rPr>
                <w:rFonts w:cs="Times New Roman"/>
                <w:color w:val="auto"/>
                <w:sz w:val="20"/>
                <w:szCs w:val="20"/>
              </w:rPr>
              <w:t>Régionale</w:t>
            </w:r>
          </w:p>
        </w:tc>
        <w:tc>
          <w:tcPr>
            <w:tcW w:w="1440" w:type="dxa"/>
          </w:tcPr>
          <w:p w14:paraId="7FE471D6"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Permanente</w:t>
            </w:r>
          </w:p>
        </w:tc>
        <w:tc>
          <w:tcPr>
            <w:tcW w:w="1099" w:type="dxa"/>
            <w:vAlign w:val="center"/>
          </w:tcPr>
          <w:p w14:paraId="79F012E1" w14:textId="77777777" w:rsidR="00575CDF" w:rsidRPr="00C801A6" w:rsidRDefault="00575CDF" w:rsidP="00347FDB">
            <w:pPr>
              <w:spacing w:before="20" w:after="20" w:line="264" w:lineRule="auto"/>
              <w:jc w:val="center"/>
              <w:rPr>
                <w:rFonts w:cs="Times New Roman"/>
                <w:color w:val="auto"/>
                <w:sz w:val="20"/>
                <w:szCs w:val="20"/>
              </w:rPr>
            </w:pPr>
          </w:p>
        </w:tc>
        <w:tc>
          <w:tcPr>
            <w:tcW w:w="1099" w:type="dxa"/>
            <w:vAlign w:val="center"/>
          </w:tcPr>
          <w:p w14:paraId="0A113090"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color w:val="auto"/>
                <w:sz w:val="20"/>
                <w:szCs w:val="20"/>
              </w:rPr>
              <w:t>x</w:t>
            </w:r>
          </w:p>
        </w:tc>
        <w:tc>
          <w:tcPr>
            <w:tcW w:w="1100" w:type="dxa"/>
            <w:vAlign w:val="center"/>
          </w:tcPr>
          <w:p w14:paraId="5080AA4D" w14:textId="77777777" w:rsidR="00575CDF" w:rsidRPr="00C801A6" w:rsidRDefault="00575CDF" w:rsidP="00347FDB">
            <w:pPr>
              <w:spacing w:before="20" w:after="20" w:line="264" w:lineRule="auto"/>
              <w:jc w:val="center"/>
              <w:rPr>
                <w:rFonts w:cs="Times New Roman"/>
                <w:color w:val="auto"/>
                <w:sz w:val="20"/>
                <w:szCs w:val="20"/>
              </w:rPr>
            </w:pPr>
          </w:p>
        </w:tc>
      </w:tr>
      <w:tr w:rsidR="00C801A6" w:rsidRPr="00C801A6" w14:paraId="65CEFCE3" w14:textId="77777777" w:rsidTr="00347FDB">
        <w:trPr>
          <w:gridAfter w:val="1"/>
          <w:wAfter w:w="360" w:type="dxa"/>
        </w:trPr>
        <w:tc>
          <w:tcPr>
            <w:tcW w:w="1985" w:type="dxa"/>
            <w:vMerge/>
          </w:tcPr>
          <w:p w14:paraId="1AC88829" w14:textId="77777777" w:rsidR="00575CDF" w:rsidRPr="00C801A6" w:rsidRDefault="00575CDF" w:rsidP="00347FDB">
            <w:pPr>
              <w:spacing w:before="20" w:after="20" w:line="264" w:lineRule="auto"/>
              <w:rPr>
                <w:rFonts w:cs="Times New Roman"/>
                <w:color w:val="auto"/>
                <w:sz w:val="20"/>
                <w:szCs w:val="20"/>
              </w:rPr>
            </w:pPr>
          </w:p>
        </w:tc>
        <w:tc>
          <w:tcPr>
            <w:tcW w:w="1118" w:type="dxa"/>
            <w:vMerge/>
          </w:tcPr>
          <w:p w14:paraId="1A1C3E20" w14:textId="77777777" w:rsidR="00575CDF" w:rsidRPr="00C801A6" w:rsidRDefault="00575CDF" w:rsidP="00347FDB">
            <w:pPr>
              <w:spacing w:before="20" w:after="20" w:line="264" w:lineRule="auto"/>
              <w:jc w:val="left"/>
              <w:rPr>
                <w:rFonts w:cs="Times New Roman"/>
                <w:color w:val="auto"/>
                <w:sz w:val="20"/>
                <w:szCs w:val="20"/>
              </w:rPr>
            </w:pPr>
          </w:p>
        </w:tc>
        <w:tc>
          <w:tcPr>
            <w:tcW w:w="1260" w:type="dxa"/>
            <w:vMerge/>
          </w:tcPr>
          <w:p w14:paraId="48881210" w14:textId="77777777" w:rsidR="00575CDF" w:rsidRPr="00C801A6" w:rsidRDefault="00575CDF" w:rsidP="00347FDB">
            <w:pPr>
              <w:spacing w:before="20" w:after="20" w:line="264" w:lineRule="auto"/>
              <w:jc w:val="left"/>
              <w:rPr>
                <w:rFonts w:cs="Times New Roman"/>
                <w:color w:val="auto"/>
                <w:sz w:val="20"/>
                <w:szCs w:val="20"/>
              </w:rPr>
            </w:pPr>
          </w:p>
        </w:tc>
        <w:tc>
          <w:tcPr>
            <w:tcW w:w="1440" w:type="dxa"/>
          </w:tcPr>
          <w:p w14:paraId="2729D1BF"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Temporaire</w:t>
            </w:r>
          </w:p>
        </w:tc>
        <w:tc>
          <w:tcPr>
            <w:tcW w:w="1099" w:type="dxa"/>
            <w:vAlign w:val="center"/>
          </w:tcPr>
          <w:p w14:paraId="0A604F60" w14:textId="77777777" w:rsidR="00575CDF" w:rsidRPr="00C801A6" w:rsidRDefault="00575CDF" w:rsidP="00347FDB">
            <w:pPr>
              <w:spacing w:before="20" w:after="20" w:line="264" w:lineRule="auto"/>
              <w:jc w:val="center"/>
              <w:rPr>
                <w:rFonts w:cs="Times New Roman"/>
                <w:color w:val="auto"/>
                <w:sz w:val="20"/>
                <w:szCs w:val="20"/>
              </w:rPr>
            </w:pPr>
          </w:p>
        </w:tc>
        <w:tc>
          <w:tcPr>
            <w:tcW w:w="1099" w:type="dxa"/>
            <w:vAlign w:val="center"/>
          </w:tcPr>
          <w:p w14:paraId="2BD1D830" w14:textId="77777777" w:rsidR="00575CDF" w:rsidRPr="00C801A6" w:rsidRDefault="00575CDF" w:rsidP="00347FDB">
            <w:pPr>
              <w:spacing w:before="20" w:after="20" w:line="264" w:lineRule="auto"/>
              <w:jc w:val="center"/>
              <w:rPr>
                <w:rFonts w:cs="Times New Roman"/>
                <w:color w:val="auto"/>
                <w:sz w:val="20"/>
                <w:szCs w:val="20"/>
              </w:rPr>
            </w:pPr>
          </w:p>
        </w:tc>
        <w:tc>
          <w:tcPr>
            <w:tcW w:w="1100" w:type="dxa"/>
            <w:vAlign w:val="center"/>
          </w:tcPr>
          <w:p w14:paraId="2C5F79C3"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color w:val="auto"/>
                <w:sz w:val="20"/>
                <w:szCs w:val="20"/>
              </w:rPr>
              <w:t>x</w:t>
            </w:r>
          </w:p>
        </w:tc>
      </w:tr>
      <w:tr w:rsidR="00C801A6" w:rsidRPr="00C801A6" w14:paraId="0982F9C0" w14:textId="77777777" w:rsidTr="00347FDB">
        <w:trPr>
          <w:gridAfter w:val="1"/>
          <w:wAfter w:w="360" w:type="dxa"/>
        </w:trPr>
        <w:tc>
          <w:tcPr>
            <w:tcW w:w="1985" w:type="dxa"/>
            <w:vMerge/>
          </w:tcPr>
          <w:p w14:paraId="50C88281" w14:textId="77777777" w:rsidR="00575CDF" w:rsidRPr="00C801A6" w:rsidRDefault="00575CDF" w:rsidP="00347FDB">
            <w:pPr>
              <w:spacing w:before="20" w:after="20" w:line="264" w:lineRule="auto"/>
              <w:rPr>
                <w:rFonts w:cs="Times New Roman"/>
                <w:color w:val="auto"/>
                <w:sz w:val="20"/>
                <w:szCs w:val="20"/>
              </w:rPr>
            </w:pPr>
          </w:p>
        </w:tc>
        <w:tc>
          <w:tcPr>
            <w:tcW w:w="1118" w:type="dxa"/>
            <w:vMerge/>
          </w:tcPr>
          <w:p w14:paraId="37437A3D" w14:textId="77777777" w:rsidR="00575CDF" w:rsidRPr="00C801A6" w:rsidRDefault="00575CDF" w:rsidP="00347FDB">
            <w:pPr>
              <w:spacing w:before="20" w:after="20" w:line="264" w:lineRule="auto"/>
              <w:jc w:val="left"/>
              <w:rPr>
                <w:rFonts w:cs="Times New Roman"/>
                <w:color w:val="auto"/>
                <w:sz w:val="20"/>
                <w:szCs w:val="20"/>
              </w:rPr>
            </w:pPr>
          </w:p>
        </w:tc>
        <w:tc>
          <w:tcPr>
            <w:tcW w:w="1260" w:type="dxa"/>
            <w:vMerge w:val="restart"/>
            <w:vAlign w:val="center"/>
          </w:tcPr>
          <w:p w14:paraId="32B534CD" w14:textId="77777777" w:rsidR="00575CDF" w:rsidRPr="00C801A6" w:rsidRDefault="00575CDF" w:rsidP="00347FDB">
            <w:pPr>
              <w:spacing w:before="20" w:after="20" w:line="264" w:lineRule="auto"/>
              <w:jc w:val="left"/>
              <w:rPr>
                <w:rFonts w:cs="Times New Roman"/>
                <w:color w:val="auto"/>
                <w:sz w:val="20"/>
                <w:szCs w:val="20"/>
              </w:rPr>
            </w:pPr>
            <w:r w:rsidRPr="00C801A6">
              <w:rPr>
                <w:rFonts w:cs="Times New Roman"/>
                <w:color w:val="auto"/>
                <w:sz w:val="20"/>
                <w:szCs w:val="20"/>
              </w:rPr>
              <w:t>Zonale</w:t>
            </w:r>
          </w:p>
        </w:tc>
        <w:tc>
          <w:tcPr>
            <w:tcW w:w="1440" w:type="dxa"/>
          </w:tcPr>
          <w:p w14:paraId="6CB7709D"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Permanente</w:t>
            </w:r>
          </w:p>
        </w:tc>
        <w:tc>
          <w:tcPr>
            <w:tcW w:w="1099" w:type="dxa"/>
            <w:vAlign w:val="center"/>
          </w:tcPr>
          <w:p w14:paraId="54683690" w14:textId="77777777" w:rsidR="00575CDF" w:rsidRPr="00C801A6" w:rsidRDefault="00575CDF" w:rsidP="00347FDB">
            <w:pPr>
              <w:spacing w:before="20" w:after="20" w:line="264" w:lineRule="auto"/>
              <w:jc w:val="center"/>
              <w:rPr>
                <w:rFonts w:cs="Times New Roman"/>
                <w:color w:val="auto"/>
                <w:sz w:val="20"/>
                <w:szCs w:val="20"/>
              </w:rPr>
            </w:pPr>
          </w:p>
        </w:tc>
        <w:tc>
          <w:tcPr>
            <w:tcW w:w="1099" w:type="dxa"/>
            <w:vAlign w:val="center"/>
          </w:tcPr>
          <w:p w14:paraId="3D021225" w14:textId="77777777" w:rsidR="00575CDF" w:rsidRPr="00C801A6" w:rsidRDefault="00575CDF" w:rsidP="00347FDB">
            <w:pPr>
              <w:spacing w:before="20" w:after="20" w:line="264" w:lineRule="auto"/>
              <w:jc w:val="center"/>
              <w:rPr>
                <w:rFonts w:cs="Times New Roman"/>
                <w:color w:val="auto"/>
                <w:sz w:val="20"/>
                <w:szCs w:val="20"/>
              </w:rPr>
            </w:pPr>
          </w:p>
        </w:tc>
        <w:tc>
          <w:tcPr>
            <w:tcW w:w="1100" w:type="dxa"/>
            <w:vAlign w:val="center"/>
          </w:tcPr>
          <w:p w14:paraId="137EFB7F"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color w:val="auto"/>
                <w:sz w:val="20"/>
                <w:szCs w:val="20"/>
              </w:rPr>
              <w:t>x</w:t>
            </w:r>
          </w:p>
        </w:tc>
      </w:tr>
      <w:tr w:rsidR="00C801A6" w:rsidRPr="00C801A6" w14:paraId="25A9AF67" w14:textId="77777777" w:rsidTr="00347FDB">
        <w:trPr>
          <w:gridAfter w:val="1"/>
          <w:wAfter w:w="360" w:type="dxa"/>
        </w:trPr>
        <w:tc>
          <w:tcPr>
            <w:tcW w:w="1985" w:type="dxa"/>
            <w:vMerge/>
          </w:tcPr>
          <w:p w14:paraId="00B40096" w14:textId="77777777" w:rsidR="00575CDF" w:rsidRPr="00C801A6" w:rsidRDefault="00575CDF" w:rsidP="00347FDB">
            <w:pPr>
              <w:spacing w:before="20" w:after="20" w:line="264" w:lineRule="auto"/>
              <w:rPr>
                <w:rFonts w:cs="Times New Roman"/>
                <w:color w:val="auto"/>
                <w:sz w:val="20"/>
                <w:szCs w:val="20"/>
              </w:rPr>
            </w:pPr>
          </w:p>
        </w:tc>
        <w:tc>
          <w:tcPr>
            <w:tcW w:w="1118" w:type="dxa"/>
            <w:vMerge/>
          </w:tcPr>
          <w:p w14:paraId="1487390F" w14:textId="77777777" w:rsidR="00575CDF" w:rsidRPr="00C801A6" w:rsidRDefault="00575CDF" w:rsidP="00347FDB">
            <w:pPr>
              <w:spacing w:before="20" w:after="20" w:line="264" w:lineRule="auto"/>
              <w:jc w:val="left"/>
              <w:rPr>
                <w:rFonts w:cs="Times New Roman"/>
                <w:color w:val="auto"/>
                <w:sz w:val="20"/>
                <w:szCs w:val="20"/>
              </w:rPr>
            </w:pPr>
          </w:p>
        </w:tc>
        <w:tc>
          <w:tcPr>
            <w:tcW w:w="1260" w:type="dxa"/>
            <w:vMerge/>
          </w:tcPr>
          <w:p w14:paraId="22A4C1A1" w14:textId="77777777" w:rsidR="00575CDF" w:rsidRPr="00C801A6" w:rsidRDefault="00575CDF" w:rsidP="00347FDB">
            <w:pPr>
              <w:spacing w:before="20" w:after="20" w:line="264" w:lineRule="auto"/>
              <w:jc w:val="left"/>
              <w:rPr>
                <w:rFonts w:cs="Times New Roman"/>
                <w:color w:val="auto"/>
                <w:sz w:val="20"/>
                <w:szCs w:val="20"/>
              </w:rPr>
            </w:pPr>
          </w:p>
        </w:tc>
        <w:tc>
          <w:tcPr>
            <w:tcW w:w="1440" w:type="dxa"/>
          </w:tcPr>
          <w:p w14:paraId="25A4FFEA"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Temporaire</w:t>
            </w:r>
          </w:p>
        </w:tc>
        <w:tc>
          <w:tcPr>
            <w:tcW w:w="1099" w:type="dxa"/>
            <w:vAlign w:val="center"/>
          </w:tcPr>
          <w:p w14:paraId="45FA7B9A" w14:textId="77777777" w:rsidR="00575CDF" w:rsidRPr="00C801A6" w:rsidRDefault="00575CDF" w:rsidP="00347FDB">
            <w:pPr>
              <w:spacing w:before="20" w:after="20" w:line="264" w:lineRule="auto"/>
              <w:jc w:val="center"/>
              <w:rPr>
                <w:rFonts w:cs="Times New Roman"/>
                <w:color w:val="auto"/>
                <w:sz w:val="20"/>
                <w:szCs w:val="20"/>
              </w:rPr>
            </w:pPr>
          </w:p>
        </w:tc>
        <w:tc>
          <w:tcPr>
            <w:tcW w:w="1099" w:type="dxa"/>
            <w:vAlign w:val="center"/>
          </w:tcPr>
          <w:p w14:paraId="35649EFF" w14:textId="77777777" w:rsidR="00575CDF" w:rsidRPr="00C801A6" w:rsidRDefault="00575CDF" w:rsidP="00347FDB">
            <w:pPr>
              <w:spacing w:before="20" w:after="20" w:line="264" w:lineRule="auto"/>
              <w:jc w:val="center"/>
              <w:rPr>
                <w:rFonts w:cs="Times New Roman"/>
                <w:color w:val="auto"/>
                <w:sz w:val="20"/>
                <w:szCs w:val="20"/>
              </w:rPr>
            </w:pPr>
          </w:p>
        </w:tc>
        <w:tc>
          <w:tcPr>
            <w:tcW w:w="1100" w:type="dxa"/>
            <w:vAlign w:val="center"/>
          </w:tcPr>
          <w:p w14:paraId="703468E9"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color w:val="auto"/>
                <w:sz w:val="20"/>
                <w:szCs w:val="20"/>
              </w:rPr>
              <w:t>x</w:t>
            </w:r>
          </w:p>
        </w:tc>
      </w:tr>
      <w:tr w:rsidR="00C801A6" w:rsidRPr="00C801A6" w14:paraId="2B7AB91F" w14:textId="77777777" w:rsidTr="00347FDB">
        <w:trPr>
          <w:gridAfter w:val="1"/>
          <w:wAfter w:w="360" w:type="dxa"/>
        </w:trPr>
        <w:tc>
          <w:tcPr>
            <w:tcW w:w="1985" w:type="dxa"/>
            <w:vMerge/>
          </w:tcPr>
          <w:p w14:paraId="79BAC686" w14:textId="77777777" w:rsidR="00575CDF" w:rsidRPr="00C801A6" w:rsidRDefault="00575CDF" w:rsidP="00347FDB">
            <w:pPr>
              <w:spacing w:before="20" w:after="20" w:line="264" w:lineRule="auto"/>
              <w:rPr>
                <w:rFonts w:cs="Times New Roman"/>
                <w:color w:val="auto"/>
                <w:sz w:val="20"/>
                <w:szCs w:val="20"/>
              </w:rPr>
            </w:pPr>
          </w:p>
        </w:tc>
        <w:tc>
          <w:tcPr>
            <w:tcW w:w="1118" w:type="dxa"/>
            <w:vMerge/>
          </w:tcPr>
          <w:p w14:paraId="0D5F0728" w14:textId="77777777" w:rsidR="00575CDF" w:rsidRPr="00C801A6" w:rsidRDefault="00575CDF" w:rsidP="00347FDB">
            <w:pPr>
              <w:spacing w:before="20" w:after="20" w:line="264" w:lineRule="auto"/>
              <w:jc w:val="left"/>
              <w:rPr>
                <w:rFonts w:cs="Times New Roman"/>
                <w:color w:val="auto"/>
                <w:sz w:val="20"/>
                <w:szCs w:val="20"/>
              </w:rPr>
            </w:pPr>
          </w:p>
        </w:tc>
        <w:tc>
          <w:tcPr>
            <w:tcW w:w="1260" w:type="dxa"/>
            <w:vMerge w:val="restart"/>
            <w:vAlign w:val="center"/>
          </w:tcPr>
          <w:p w14:paraId="11A24268" w14:textId="77777777" w:rsidR="00575CDF" w:rsidRPr="00C801A6" w:rsidRDefault="00575CDF" w:rsidP="00347FDB">
            <w:pPr>
              <w:spacing w:before="20" w:after="20" w:line="264" w:lineRule="auto"/>
              <w:jc w:val="left"/>
              <w:rPr>
                <w:rFonts w:cs="Times New Roman"/>
                <w:color w:val="auto"/>
                <w:sz w:val="20"/>
                <w:szCs w:val="20"/>
              </w:rPr>
            </w:pPr>
            <w:r w:rsidRPr="00C801A6">
              <w:rPr>
                <w:rFonts w:cs="Times New Roman"/>
                <w:color w:val="auto"/>
                <w:sz w:val="20"/>
                <w:szCs w:val="20"/>
              </w:rPr>
              <w:t>Locale</w:t>
            </w:r>
          </w:p>
        </w:tc>
        <w:tc>
          <w:tcPr>
            <w:tcW w:w="1440" w:type="dxa"/>
          </w:tcPr>
          <w:p w14:paraId="18DA3E17"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Permanente</w:t>
            </w:r>
          </w:p>
        </w:tc>
        <w:tc>
          <w:tcPr>
            <w:tcW w:w="1099" w:type="dxa"/>
            <w:vAlign w:val="center"/>
          </w:tcPr>
          <w:p w14:paraId="078CB593" w14:textId="77777777" w:rsidR="00575CDF" w:rsidRPr="00C801A6" w:rsidRDefault="00575CDF" w:rsidP="00347FDB">
            <w:pPr>
              <w:spacing w:before="20" w:after="20" w:line="264" w:lineRule="auto"/>
              <w:jc w:val="center"/>
              <w:rPr>
                <w:rFonts w:cs="Times New Roman"/>
                <w:color w:val="auto"/>
                <w:sz w:val="20"/>
                <w:szCs w:val="20"/>
              </w:rPr>
            </w:pPr>
          </w:p>
        </w:tc>
        <w:tc>
          <w:tcPr>
            <w:tcW w:w="1099" w:type="dxa"/>
            <w:vAlign w:val="center"/>
          </w:tcPr>
          <w:p w14:paraId="3C1E8B3D" w14:textId="77777777" w:rsidR="00575CDF" w:rsidRPr="00C801A6" w:rsidRDefault="00575CDF" w:rsidP="00347FDB">
            <w:pPr>
              <w:spacing w:before="20" w:after="20" w:line="264" w:lineRule="auto"/>
              <w:jc w:val="center"/>
              <w:rPr>
                <w:rFonts w:cs="Times New Roman"/>
                <w:color w:val="auto"/>
                <w:sz w:val="20"/>
                <w:szCs w:val="20"/>
              </w:rPr>
            </w:pPr>
          </w:p>
        </w:tc>
        <w:tc>
          <w:tcPr>
            <w:tcW w:w="1100" w:type="dxa"/>
            <w:vAlign w:val="center"/>
          </w:tcPr>
          <w:p w14:paraId="7AD07DE5"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color w:val="auto"/>
                <w:sz w:val="20"/>
                <w:szCs w:val="20"/>
              </w:rPr>
              <w:t>x</w:t>
            </w:r>
          </w:p>
        </w:tc>
      </w:tr>
      <w:tr w:rsidR="00C801A6" w:rsidRPr="00C801A6" w14:paraId="53904D3A" w14:textId="77777777" w:rsidTr="00347FDB">
        <w:trPr>
          <w:gridAfter w:val="1"/>
          <w:wAfter w:w="360" w:type="dxa"/>
        </w:trPr>
        <w:tc>
          <w:tcPr>
            <w:tcW w:w="1985" w:type="dxa"/>
            <w:vMerge/>
          </w:tcPr>
          <w:p w14:paraId="1E1CA8B7" w14:textId="77777777" w:rsidR="00575CDF" w:rsidRPr="00C801A6" w:rsidRDefault="00575CDF" w:rsidP="00347FDB">
            <w:pPr>
              <w:spacing w:before="20" w:after="20" w:line="264" w:lineRule="auto"/>
              <w:rPr>
                <w:rFonts w:cs="Times New Roman"/>
                <w:color w:val="auto"/>
                <w:sz w:val="20"/>
                <w:szCs w:val="20"/>
              </w:rPr>
            </w:pPr>
          </w:p>
        </w:tc>
        <w:tc>
          <w:tcPr>
            <w:tcW w:w="1118" w:type="dxa"/>
            <w:vMerge/>
          </w:tcPr>
          <w:p w14:paraId="4C812EC6" w14:textId="77777777" w:rsidR="00575CDF" w:rsidRPr="00C801A6" w:rsidRDefault="00575CDF" w:rsidP="00347FDB">
            <w:pPr>
              <w:spacing w:before="20" w:after="20" w:line="264" w:lineRule="auto"/>
              <w:jc w:val="left"/>
              <w:rPr>
                <w:rFonts w:cs="Times New Roman"/>
                <w:color w:val="auto"/>
                <w:sz w:val="20"/>
                <w:szCs w:val="20"/>
              </w:rPr>
            </w:pPr>
          </w:p>
        </w:tc>
        <w:tc>
          <w:tcPr>
            <w:tcW w:w="1260" w:type="dxa"/>
            <w:vMerge/>
          </w:tcPr>
          <w:p w14:paraId="12EC47E9" w14:textId="77777777" w:rsidR="00575CDF" w:rsidRPr="00C801A6" w:rsidRDefault="00575CDF" w:rsidP="00347FDB">
            <w:pPr>
              <w:spacing w:before="20" w:after="20" w:line="264" w:lineRule="auto"/>
              <w:jc w:val="left"/>
              <w:rPr>
                <w:rFonts w:cs="Times New Roman"/>
                <w:color w:val="auto"/>
                <w:sz w:val="20"/>
                <w:szCs w:val="20"/>
              </w:rPr>
            </w:pPr>
          </w:p>
        </w:tc>
        <w:tc>
          <w:tcPr>
            <w:tcW w:w="1440" w:type="dxa"/>
          </w:tcPr>
          <w:p w14:paraId="0D8F714A"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Temporaire</w:t>
            </w:r>
          </w:p>
        </w:tc>
        <w:tc>
          <w:tcPr>
            <w:tcW w:w="1099" w:type="dxa"/>
            <w:vAlign w:val="center"/>
          </w:tcPr>
          <w:p w14:paraId="52F9EDD6" w14:textId="77777777" w:rsidR="00575CDF" w:rsidRPr="00C801A6" w:rsidRDefault="00575CDF" w:rsidP="00347FDB">
            <w:pPr>
              <w:spacing w:before="20" w:after="20" w:line="264" w:lineRule="auto"/>
              <w:jc w:val="center"/>
              <w:rPr>
                <w:rFonts w:cs="Times New Roman"/>
                <w:color w:val="auto"/>
                <w:sz w:val="20"/>
                <w:szCs w:val="20"/>
              </w:rPr>
            </w:pPr>
          </w:p>
        </w:tc>
        <w:tc>
          <w:tcPr>
            <w:tcW w:w="1099" w:type="dxa"/>
            <w:vAlign w:val="center"/>
          </w:tcPr>
          <w:p w14:paraId="59260F4B" w14:textId="77777777" w:rsidR="00575CDF" w:rsidRPr="00C801A6" w:rsidRDefault="00575CDF" w:rsidP="00347FDB">
            <w:pPr>
              <w:spacing w:before="20" w:after="20" w:line="264" w:lineRule="auto"/>
              <w:jc w:val="center"/>
              <w:rPr>
                <w:rFonts w:cs="Times New Roman"/>
                <w:color w:val="auto"/>
                <w:sz w:val="20"/>
                <w:szCs w:val="20"/>
              </w:rPr>
            </w:pPr>
          </w:p>
        </w:tc>
        <w:tc>
          <w:tcPr>
            <w:tcW w:w="1100" w:type="dxa"/>
            <w:vAlign w:val="center"/>
          </w:tcPr>
          <w:p w14:paraId="2425A74F"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color w:val="auto"/>
                <w:sz w:val="20"/>
                <w:szCs w:val="20"/>
              </w:rPr>
              <w:t>x</w:t>
            </w:r>
          </w:p>
        </w:tc>
      </w:tr>
      <w:tr w:rsidR="00C801A6" w:rsidRPr="00C801A6" w14:paraId="24C11292" w14:textId="77777777" w:rsidTr="00347FDB">
        <w:trPr>
          <w:gridAfter w:val="1"/>
          <w:wAfter w:w="360" w:type="dxa"/>
        </w:trPr>
        <w:tc>
          <w:tcPr>
            <w:tcW w:w="1985" w:type="dxa"/>
            <w:vMerge/>
          </w:tcPr>
          <w:p w14:paraId="61EF8781" w14:textId="77777777" w:rsidR="00575CDF" w:rsidRPr="00C801A6" w:rsidRDefault="00575CDF" w:rsidP="00347FDB">
            <w:pPr>
              <w:spacing w:before="20" w:after="20" w:line="264" w:lineRule="auto"/>
              <w:rPr>
                <w:rFonts w:cs="Times New Roman"/>
                <w:color w:val="auto"/>
                <w:sz w:val="20"/>
                <w:szCs w:val="20"/>
              </w:rPr>
            </w:pPr>
          </w:p>
        </w:tc>
        <w:tc>
          <w:tcPr>
            <w:tcW w:w="1118" w:type="dxa"/>
            <w:vMerge w:val="restart"/>
            <w:vAlign w:val="center"/>
          </w:tcPr>
          <w:p w14:paraId="3D2E4D1C" w14:textId="77777777" w:rsidR="00575CDF" w:rsidRPr="00C801A6" w:rsidRDefault="00575CDF" w:rsidP="00347FDB">
            <w:pPr>
              <w:spacing w:before="20" w:after="20" w:line="264" w:lineRule="auto"/>
              <w:jc w:val="left"/>
              <w:rPr>
                <w:rFonts w:cs="Times New Roman"/>
                <w:color w:val="auto"/>
                <w:sz w:val="20"/>
                <w:szCs w:val="20"/>
              </w:rPr>
            </w:pPr>
            <w:r w:rsidRPr="00C801A6">
              <w:rPr>
                <w:rFonts w:cs="Times New Roman"/>
                <w:color w:val="auto"/>
                <w:sz w:val="20"/>
                <w:szCs w:val="20"/>
              </w:rPr>
              <w:t>Faible</w:t>
            </w:r>
          </w:p>
        </w:tc>
        <w:tc>
          <w:tcPr>
            <w:tcW w:w="1260" w:type="dxa"/>
            <w:vMerge w:val="restart"/>
            <w:vAlign w:val="center"/>
          </w:tcPr>
          <w:p w14:paraId="3450FE91" w14:textId="77777777" w:rsidR="00575CDF" w:rsidRPr="00C801A6" w:rsidRDefault="00575CDF" w:rsidP="00347FDB">
            <w:pPr>
              <w:spacing w:before="20" w:after="20" w:line="264" w:lineRule="auto"/>
              <w:jc w:val="left"/>
              <w:rPr>
                <w:rFonts w:cs="Times New Roman"/>
                <w:color w:val="auto"/>
                <w:sz w:val="20"/>
                <w:szCs w:val="20"/>
              </w:rPr>
            </w:pPr>
            <w:r w:rsidRPr="00C801A6">
              <w:rPr>
                <w:rFonts w:cs="Times New Roman"/>
                <w:color w:val="auto"/>
                <w:sz w:val="20"/>
                <w:szCs w:val="20"/>
              </w:rPr>
              <w:t>Régionale</w:t>
            </w:r>
          </w:p>
        </w:tc>
        <w:tc>
          <w:tcPr>
            <w:tcW w:w="1440" w:type="dxa"/>
          </w:tcPr>
          <w:p w14:paraId="2242E0E3"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Permanente</w:t>
            </w:r>
          </w:p>
        </w:tc>
        <w:tc>
          <w:tcPr>
            <w:tcW w:w="1099" w:type="dxa"/>
            <w:vAlign w:val="center"/>
          </w:tcPr>
          <w:p w14:paraId="7ABA20A1" w14:textId="77777777" w:rsidR="00575CDF" w:rsidRPr="00C801A6" w:rsidRDefault="00575CDF" w:rsidP="00347FDB">
            <w:pPr>
              <w:spacing w:before="20" w:after="20" w:line="264" w:lineRule="auto"/>
              <w:jc w:val="center"/>
              <w:rPr>
                <w:rFonts w:cs="Times New Roman"/>
                <w:color w:val="auto"/>
                <w:sz w:val="20"/>
                <w:szCs w:val="20"/>
              </w:rPr>
            </w:pPr>
          </w:p>
        </w:tc>
        <w:tc>
          <w:tcPr>
            <w:tcW w:w="1099" w:type="dxa"/>
            <w:vAlign w:val="center"/>
          </w:tcPr>
          <w:p w14:paraId="5182BB38" w14:textId="77777777" w:rsidR="00575CDF" w:rsidRPr="00C801A6" w:rsidRDefault="00575CDF" w:rsidP="00347FDB">
            <w:pPr>
              <w:spacing w:before="20" w:after="20" w:line="264" w:lineRule="auto"/>
              <w:jc w:val="center"/>
              <w:rPr>
                <w:rFonts w:cs="Times New Roman"/>
                <w:color w:val="auto"/>
                <w:sz w:val="20"/>
                <w:szCs w:val="20"/>
              </w:rPr>
            </w:pPr>
          </w:p>
        </w:tc>
        <w:tc>
          <w:tcPr>
            <w:tcW w:w="1100" w:type="dxa"/>
            <w:vAlign w:val="center"/>
          </w:tcPr>
          <w:p w14:paraId="1F554191"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color w:val="auto"/>
                <w:sz w:val="20"/>
                <w:szCs w:val="20"/>
              </w:rPr>
              <w:t>x</w:t>
            </w:r>
          </w:p>
        </w:tc>
      </w:tr>
      <w:tr w:rsidR="00C801A6" w:rsidRPr="00C801A6" w14:paraId="55853917" w14:textId="77777777" w:rsidTr="00347FDB">
        <w:trPr>
          <w:gridAfter w:val="1"/>
          <w:wAfter w:w="360" w:type="dxa"/>
        </w:trPr>
        <w:tc>
          <w:tcPr>
            <w:tcW w:w="1985" w:type="dxa"/>
            <w:vMerge/>
          </w:tcPr>
          <w:p w14:paraId="1DF23C0A" w14:textId="77777777" w:rsidR="00575CDF" w:rsidRPr="00C801A6" w:rsidRDefault="00575CDF" w:rsidP="00347FDB">
            <w:pPr>
              <w:spacing w:before="20" w:after="20" w:line="264" w:lineRule="auto"/>
              <w:rPr>
                <w:rFonts w:cs="Times New Roman"/>
                <w:color w:val="auto"/>
                <w:sz w:val="20"/>
                <w:szCs w:val="20"/>
              </w:rPr>
            </w:pPr>
          </w:p>
        </w:tc>
        <w:tc>
          <w:tcPr>
            <w:tcW w:w="1118" w:type="dxa"/>
            <w:vMerge/>
          </w:tcPr>
          <w:p w14:paraId="70F60CAB" w14:textId="77777777" w:rsidR="00575CDF" w:rsidRPr="00C801A6" w:rsidRDefault="00575CDF" w:rsidP="00347FDB">
            <w:pPr>
              <w:spacing w:before="20" w:after="20" w:line="264" w:lineRule="auto"/>
              <w:jc w:val="left"/>
              <w:rPr>
                <w:rFonts w:cs="Times New Roman"/>
                <w:color w:val="auto"/>
                <w:sz w:val="20"/>
                <w:szCs w:val="20"/>
              </w:rPr>
            </w:pPr>
          </w:p>
        </w:tc>
        <w:tc>
          <w:tcPr>
            <w:tcW w:w="1260" w:type="dxa"/>
            <w:vMerge/>
          </w:tcPr>
          <w:p w14:paraId="2A50EF70" w14:textId="77777777" w:rsidR="00575CDF" w:rsidRPr="00C801A6" w:rsidRDefault="00575CDF" w:rsidP="00347FDB">
            <w:pPr>
              <w:spacing w:before="20" w:after="20" w:line="264" w:lineRule="auto"/>
              <w:jc w:val="left"/>
              <w:rPr>
                <w:rFonts w:cs="Times New Roman"/>
                <w:color w:val="auto"/>
                <w:sz w:val="20"/>
                <w:szCs w:val="20"/>
              </w:rPr>
            </w:pPr>
          </w:p>
        </w:tc>
        <w:tc>
          <w:tcPr>
            <w:tcW w:w="1440" w:type="dxa"/>
          </w:tcPr>
          <w:p w14:paraId="7DFE6424"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Temporaire</w:t>
            </w:r>
          </w:p>
        </w:tc>
        <w:tc>
          <w:tcPr>
            <w:tcW w:w="1099" w:type="dxa"/>
            <w:vAlign w:val="center"/>
          </w:tcPr>
          <w:p w14:paraId="2354ABB8" w14:textId="77777777" w:rsidR="00575CDF" w:rsidRPr="00C801A6" w:rsidRDefault="00575CDF" w:rsidP="00347FDB">
            <w:pPr>
              <w:spacing w:before="20" w:after="20" w:line="264" w:lineRule="auto"/>
              <w:jc w:val="center"/>
              <w:rPr>
                <w:rFonts w:cs="Times New Roman"/>
                <w:color w:val="auto"/>
                <w:sz w:val="20"/>
                <w:szCs w:val="20"/>
              </w:rPr>
            </w:pPr>
          </w:p>
        </w:tc>
        <w:tc>
          <w:tcPr>
            <w:tcW w:w="1099" w:type="dxa"/>
            <w:vAlign w:val="center"/>
          </w:tcPr>
          <w:p w14:paraId="024C8864" w14:textId="77777777" w:rsidR="00575CDF" w:rsidRPr="00C801A6" w:rsidRDefault="00575CDF" w:rsidP="00347FDB">
            <w:pPr>
              <w:spacing w:before="20" w:after="20" w:line="264" w:lineRule="auto"/>
              <w:jc w:val="center"/>
              <w:rPr>
                <w:rFonts w:cs="Times New Roman"/>
                <w:color w:val="auto"/>
                <w:sz w:val="20"/>
                <w:szCs w:val="20"/>
              </w:rPr>
            </w:pPr>
          </w:p>
        </w:tc>
        <w:tc>
          <w:tcPr>
            <w:tcW w:w="1100" w:type="dxa"/>
            <w:vAlign w:val="center"/>
          </w:tcPr>
          <w:p w14:paraId="4D190FF0"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color w:val="auto"/>
                <w:sz w:val="20"/>
                <w:szCs w:val="20"/>
              </w:rPr>
              <w:t>x</w:t>
            </w:r>
          </w:p>
        </w:tc>
      </w:tr>
      <w:tr w:rsidR="00C801A6" w:rsidRPr="00C801A6" w14:paraId="574D4B8C" w14:textId="77777777" w:rsidTr="00347FDB">
        <w:trPr>
          <w:gridAfter w:val="1"/>
          <w:wAfter w:w="360" w:type="dxa"/>
        </w:trPr>
        <w:tc>
          <w:tcPr>
            <w:tcW w:w="1985" w:type="dxa"/>
            <w:vMerge/>
          </w:tcPr>
          <w:p w14:paraId="72EBFC19" w14:textId="77777777" w:rsidR="00575CDF" w:rsidRPr="00C801A6" w:rsidRDefault="00575CDF" w:rsidP="00347FDB">
            <w:pPr>
              <w:spacing w:before="20" w:after="20" w:line="264" w:lineRule="auto"/>
              <w:rPr>
                <w:rFonts w:cs="Times New Roman"/>
                <w:color w:val="auto"/>
                <w:sz w:val="20"/>
                <w:szCs w:val="20"/>
              </w:rPr>
            </w:pPr>
          </w:p>
        </w:tc>
        <w:tc>
          <w:tcPr>
            <w:tcW w:w="1118" w:type="dxa"/>
            <w:vMerge/>
          </w:tcPr>
          <w:p w14:paraId="623335A1" w14:textId="77777777" w:rsidR="00575CDF" w:rsidRPr="00C801A6" w:rsidRDefault="00575CDF" w:rsidP="00347FDB">
            <w:pPr>
              <w:spacing w:before="20" w:after="20" w:line="264" w:lineRule="auto"/>
              <w:jc w:val="left"/>
              <w:rPr>
                <w:rFonts w:cs="Times New Roman"/>
                <w:color w:val="auto"/>
                <w:sz w:val="20"/>
                <w:szCs w:val="20"/>
              </w:rPr>
            </w:pPr>
          </w:p>
        </w:tc>
        <w:tc>
          <w:tcPr>
            <w:tcW w:w="1260" w:type="dxa"/>
            <w:vMerge w:val="restart"/>
            <w:vAlign w:val="center"/>
          </w:tcPr>
          <w:p w14:paraId="619D46B7" w14:textId="77777777" w:rsidR="00575CDF" w:rsidRPr="00C801A6" w:rsidRDefault="00575CDF" w:rsidP="00347FDB">
            <w:pPr>
              <w:spacing w:before="20" w:after="20" w:line="264" w:lineRule="auto"/>
              <w:jc w:val="left"/>
              <w:rPr>
                <w:rFonts w:cs="Times New Roman"/>
                <w:color w:val="auto"/>
                <w:sz w:val="20"/>
                <w:szCs w:val="20"/>
              </w:rPr>
            </w:pPr>
            <w:r w:rsidRPr="00C801A6">
              <w:rPr>
                <w:rFonts w:cs="Times New Roman"/>
                <w:color w:val="auto"/>
                <w:sz w:val="20"/>
                <w:szCs w:val="20"/>
              </w:rPr>
              <w:t>Zonale</w:t>
            </w:r>
          </w:p>
        </w:tc>
        <w:tc>
          <w:tcPr>
            <w:tcW w:w="1440" w:type="dxa"/>
          </w:tcPr>
          <w:p w14:paraId="69AEC387"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Permanente</w:t>
            </w:r>
          </w:p>
        </w:tc>
        <w:tc>
          <w:tcPr>
            <w:tcW w:w="1099" w:type="dxa"/>
            <w:vAlign w:val="center"/>
          </w:tcPr>
          <w:p w14:paraId="70900535" w14:textId="77777777" w:rsidR="00575CDF" w:rsidRPr="00C801A6" w:rsidRDefault="00575CDF" w:rsidP="00347FDB">
            <w:pPr>
              <w:spacing w:before="20" w:after="20" w:line="264" w:lineRule="auto"/>
              <w:jc w:val="center"/>
              <w:rPr>
                <w:rFonts w:cs="Times New Roman"/>
                <w:color w:val="auto"/>
                <w:sz w:val="20"/>
                <w:szCs w:val="20"/>
              </w:rPr>
            </w:pPr>
          </w:p>
        </w:tc>
        <w:tc>
          <w:tcPr>
            <w:tcW w:w="1099" w:type="dxa"/>
            <w:vAlign w:val="center"/>
          </w:tcPr>
          <w:p w14:paraId="6024A30F" w14:textId="77777777" w:rsidR="00575CDF" w:rsidRPr="00C801A6" w:rsidRDefault="00575CDF" w:rsidP="00347FDB">
            <w:pPr>
              <w:spacing w:before="20" w:after="20" w:line="264" w:lineRule="auto"/>
              <w:jc w:val="center"/>
              <w:rPr>
                <w:rFonts w:cs="Times New Roman"/>
                <w:color w:val="auto"/>
                <w:sz w:val="20"/>
                <w:szCs w:val="20"/>
              </w:rPr>
            </w:pPr>
          </w:p>
        </w:tc>
        <w:tc>
          <w:tcPr>
            <w:tcW w:w="1100" w:type="dxa"/>
            <w:vAlign w:val="center"/>
          </w:tcPr>
          <w:p w14:paraId="78906A5C"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color w:val="auto"/>
                <w:sz w:val="20"/>
                <w:szCs w:val="20"/>
              </w:rPr>
              <w:t>x</w:t>
            </w:r>
          </w:p>
        </w:tc>
      </w:tr>
      <w:tr w:rsidR="00C801A6" w:rsidRPr="00C801A6" w14:paraId="35D8C819" w14:textId="77777777" w:rsidTr="00347FDB">
        <w:trPr>
          <w:gridAfter w:val="1"/>
          <w:wAfter w:w="360" w:type="dxa"/>
        </w:trPr>
        <w:tc>
          <w:tcPr>
            <w:tcW w:w="1985" w:type="dxa"/>
            <w:vMerge/>
          </w:tcPr>
          <w:p w14:paraId="4B582B13" w14:textId="77777777" w:rsidR="00575CDF" w:rsidRPr="00C801A6" w:rsidRDefault="00575CDF" w:rsidP="00347FDB">
            <w:pPr>
              <w:spacing w:before="20" w:after="20" w:line="264" w:lineRule="auto"/>
              <w:rPr>
                <w:rFonts w:cs="Times New Roman"/>
                <w:color w:val="auto"/>
                <w:sz w:val="20"/>
                <w:szCs w:val="20"/>
              </w:rPr>
            </w:pPr>
          </w:p>
        </w:tc>
        <w:tc>
          <w:tcPr>
            <w:tcW w:w="1118" w:type="dxa"/>
            <w:vMerge/>
          </w:tcPr>
          <w:p w14:paraId="1079635A" w14:textId="77777777" w:rsidR="00575CDF" w:rsidRPr="00C801A6" w:rsidRDefault="00575CDF" w:rsidP="00347FDB">
            <w:pPr>
              <w:spacing w:before="20" w:after="20" w:line="264" w:lineRule="auto"/>
              <w:jc w:val="left"/>
              <w:rPr>
                <w:rFonts w:cs="Times New Roman"/>
                <w:color w:val="auto"/>
                <w:sz w:val="20"/>
                <w:szCs w:val="20"/>
              </w:rPr>
            </w:pPr>
          </w:p>
        </w:tc>
        <w:tc>
          <w:tcPr>
            <w:tcW w:w="1260" w:type="dxa"/>
            <w:vMerge/>
          </w:tcPr>
          <w:p w14:paraId="1BE5394E" w14:textId="77777777" w:rsidR="00575CDF" w:rsidRPr="00C801A6" w:rsidRDefault="00575CDF" w:rsidP="00347FDB">
            <w:pPr>
              <w:spacing w:before="20" w:after="20" w:line="264" w:lineRule="auto"/>
              <w:jc w:val="left"/>
              <w:rPr>
                <w:rFonts w:cs="Times New Roman"/>
                <w:color w:val="auto"/>
                <w:sz w:val="20"/>
                <w:szCs w:val="20"/>
              </w:rPr>
            </w:pPr>
          </w:p>
        </w:tc>
        <w:tc>
          <w:tcPr>
            <w:tcW w:w="1440" w:type="dxa"/>
          </w:tcPr>
          <w:p w14:paraId="43D4355C"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Temporaire</w:t>
            </w:r>
          </w:p>
        </w:tc>
        <w:tc>
          <w:tcPr>
            <w:tcW w:w="1099" w:type="dxa"/>
            <w:vAlign w:val="center"/>
          </w:tcPr>
          <w:p w14:paraId="3F0FE3F6" w14:textId="77777777" w:rsidR="00575CDF" w:rsidRPr="00C801A6" w:rsidRDefault="00575CDF" w:rsidP="00347FDB">
            <w:pPr>
              <w:spacing w:before="20" w:after="20" w:line="264" w:lineRule="auto"/>
              <w:jc w:val="center"/>
              <w:rPr>
                <w:rFonts w:cs="Times New Roman"/>
                <w:color w:val="auto"/>
                <w:sz w:val="20"/>
                <w:szCs w:val="20"/>
              </w:rPr>
            </w:pPr>
          </w:p>
        </w:tc>
        <w:tc>
          <w:tcPr>
            <w:tcW w:w="1099" w:type="dxa"/>
            <w:vAlign w:val="center"/>
          </w:tcPr>
          <w:p w14:paraId="5FA93087" w14:textId="77777777" w:rsidR="00575CDF" w:rsidRPr="00C801A6" w:rsidRDefault="00575CDF" w:rsidP="00347FDB">
            <w:pPr>
              <w:spacing w:before="20" w:after="20" w:line="264" w:lineRule="auto"/>
              <w:jc w:val="center"/>
              <w:rPr>
                <w:rFonts w:cs="Times New Roman"/>
                <w:color w:val="auto"/>
                <w:sz w:val="20"/>
                <w:szCs w:val="20"/>
              </w:rPr>
            </w:pPr>
          </w:p>
        </w:tc>
        <w:tc>
          <w:tcPr>
            <w:tcW w:w="1100" w:type="dxa"/>
            <w:vAlign w:val="center"/>
          </w:tcPr>
          <w:p w14:paraId="78B794EA"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color w:val="auto"/>
                <w:sz w:val="20"/>
                <w:szCs w:val="20"/>
              </w:rPr>
              <w:t>x</w:t>
            </w:r>
          </w:p>
        </w:tc>
      </w:tr>
      <w:tr w:rsidR="00C801A6" w:rsidRPr="00C801A6" w14:paraId="48342C22" w14:textId="77777777" w:rsidTr="00347FDB">
        <w:trPr>
          <w:gridAfter w:val="1"/>
          <w:wAfter w:w="360" w:type="dxa"/>
        </w:trPr>
        <w:tc>
          <w:tcPr>
            <w:tcW w:w="1985" w:type="dxa"/>
            <w:vMerge/>
          </w:tcPr>
          <w:p w14:paraId="588140EB" w14:textId="77777777" w:rsidR="00575CDF" w:rsidRPr="00C801A6" w:rsidRDefault="00575CDF" w:rsidP="00347FDB">
            <w:pPr>
              <w:spacing w:before="20" w:after="20" w:line="264" w:lineRule="auto"/>
              <w:rPr>
                <w:rFonts w:cs="Times New Roman"/>
                <w:color w:val="auto"/>
                <w:sz w:val="20"/>
                <w:szCs w:val="20"/>
              </w:rPr>
            </w:pPr>
          </w:p>
        </w:tc>
        <w:tc>
          <w:tcPr>
            <w:tcW w:w="1118" w:type="dxa"/>
            <w:vMerge/>
          </w:tcPr>
          <w:p w14:paraId="71A46F67" w14:textId="77777777" w:rsidR="00575CDF" w:rsidRPr="00C801A6" w:rsidRDefault="00575CDF" w:rsidP="00347FDB">
            <w:pPr>
              <w:spacing w:before="20" w:after="20" w:line="264" w:lineRule="auto"/>
              <w:jc w:val="left"/>
              <w:rPr>
                <w:rFonts w:cs="Times New Roman"/>
                <w:color w:val="auto"/>
                <w:sz w:val="20"/>
                <w:szCs w:val="20"/>
              </w:rPr>
            </w:pPr>
          </w:p>
        </w:tc>
        <w:tc>
          <w:tcPr>
            <w:tcW w:w="1260" w:type="dxa"/>
            <w:vMerge w:val="restart"/>
            <w:vAlign w:val="center"/>
          </w:tcPr>
          <w:p w14:paraId="4C52C22C" w14:textId="77777777" w:rsidR="00575CDF" w:rsidRPr="00C801A6" w:rsidRDefault="00575CDF" w:rsidP="00347FDB">
            <w:pPr>
              <w:spacing w:before="20" w:after="20" w:line="264" w:lineRule="auto"/>
              <w:jc w:val="left"/>
              <w:rPr>
                <w:rFonts w:cs="Times New Roman"/>
                <w:color w:val="auto"/>
                <w:sz w:val="20"/>
                <w:szCs w:val="20"/>
              </w:rPr>
            </w:pPr>
            <w:r w:rsidRPr="00C801A6">
              <w:rPr>
                <w:rFonts w:cs="Times New Roman"/>
                <w:color w:val="auto"/>
                <w:sz w:val="20"/>
                <w:szCs w:val="20"/>
              </w:rPr>
              <w:t>Locale</w:t>
            </w:r>
          </w:p>
        </w:tc>
        <w:tc>
          <w:tcPr>
            <w:tcW w:w="1440" w:type="dxa"/>
          </w:tcPr>
          <w:p w14:paraId="1DEFE049"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Permanente</w:t>
            </w:r>
          </w:p>
        </w:tc>
        <w:tc>
          <w:tcPr>
            <w:tcW w:w="1099" w:type="dxa"/>
            <w:vAlign w:val="center"/>
          </w:tcPr>
          <w:p w14:paraId="167C233E" w14:textId="77777777" w:rsidR="00575CDF" w:rsidRPr="00C801A6" w:rsidRDefault="00575CDF" w:rsidP="00347FDB">
            <w:pPr>
              <w:spacing w:before="20" w:after="20" w:line="264" w:lineRule="auto"/>
              <w:jc w:val="center"/>
              <w:rPr>
                <w:rFonts w:cs="Times New Roman"/>
                <w:color w:val="auto"/>
                <w:sz w:val="20"/>
                <w:szCs w:val="20"/>
              </w:rPr>
            </w:pPr>
          </w:p>
        </w:tc>
        <w:tc>
          <w:tcPr>
            <w:tcW w:w="1099" w:type="dxa"/>
            <w:vAlign w:val="center"/>
          </w:tcPr>
          <w:p w14:paraId="3360C961" w14:textId="77777777" w:rsidR="00575CDF" w:rsidRPr="00C801A6" w:rsidRDefault="00575CDF" w:rsidP="00347FDB">
            <w:pPr>
              <w:spacing w:before="20" w:after="20" w:line="264" w:lineRule="auto"/>
              <w:jc w:val="center"/>
              <w:rPr>
                <w:rFonts w:cs="Times New Roman"/>
                <w:color w:val="auto"/>
                <w:sz w:val="20"/>
                <w:szCs w:val="20"/>
              </w:rPr>
            </w:pPr>
          </w:p>
        </w:tc>
        <w:tc>
          <w:tcPr>
            <w:tcW w:w="1100" w:type="dxa"/>
            <w:vAlign w:val="center"/>
          </w:tcPr>
          <w:p w14:paraId="231A6F7F"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color w:val="auto"/>
                <w:sz w:val="20"/>
                <w:szCs w:val="20"/>
              </w:rPr>
              <w:t>x</w:t>
            </w:r>
          </w:p>
        </w:tc>
      </w:tr>
      <w:tr w:rsidR="00C801A6" w:rsidRPr="00C801A6" w14:paraId="59AB1981" w14:textId="77777777" w:rsidTr="00347FDB">
        <w:trPr>
          <w:gridAfter w:val="1"/>
          <w:wAfter w:w="360" w:type="dxa"/>
        </w:trPr>
        <w:tc>
          <w:tcPr>
            <w:tcW w:w="1985" w:type="dxa"/>
            <w:vMerge/>
          </w:tcPr>
          <w:p w14:paraId="148DFBC1" w14:textId="77777777" w:rsidR="00575CDF" w:rsidRPr="00C801A6" w:rsidRDefault="00575CDF" w:rsidP="00347FDB">
            <w:pPr>
              <w:spacing w:before="20" w:after="20" w:line="264" w:lineRule="auto"/>
              <w:rPr>
                <w:rFonts w:cs="Times New Roman"/>
                <w:color w:val="auto"/>
                <w:sz w:val="20"/>
                <w:szCs w:val="20"/>
              </w:rPr>
            </w:pPr>
          </w:p>
        </w:tc>
        <w:tc>
          <w:tcPr>
            <w:tcW w:w="1118" w:type="dxa"/>
            <w:vMerge/>
          </w:tcPr>
          <w:p w14:paraId="25FFE811" w14:textId="77777777" w:rsidR="00575CDF" w:rsidRPr="00C801A6" w:rsidRDefault="00575CDF" w:rsidP="00347FDB">
            <w:pPr>
              <w:spacing w:before="20" w:after="20" w:line="264" w:lineRule="auto"/>
              <w:jc w:val="left"/>
              <w:rPr>
                <w:rFonts w:cs="Times New Roman"/>
                <w:color w:val="auto"/>
                <w:sz w:val="20"/>
                <w:szCs w:val="20"/>
              </w:rPr>
            </w:pPr>
          </w:p>
        </w:tc>
        <w:tc>
          <w:tcPr>
            <w:tcW w:w="1260" w:type="dxa"/>
            <w:vMerge/>
          </w:tcPr>
          <w:p w14:paraId="65769C8E" w14:textId="77777777" w:rsidR="00575CDF" w:rsidRPr="00C801A6" w:rsidRDefault="00575CDF" w:rsidP="00347FDB">
            <w:pPr>
              <w:spacing w:before="20" w:after="20" w:line="264" w:lineRule="auto"/>
              <w:jc w:val="left"/>
              <w:rPr>
                <w:rFonts w:cs="Times New Roman"/>
                <w:color w:val="auto"/>
                <w:sz w:val="20"/>
                <w:szCs w:val="20"/>
              </w:rPr>
            </w:pPr>
          </w:p>
        </w:tc>
        <w:tc>
          <w:tcPr>
            <w:tcW w:w="1440" w:type="dxa"/>
          </w:tcPr>
          <w:p w14:paraId="1260DF43" w14:textId="77777777" w:rsidR="00575CDF" w:rsidRPr="00C801A6" w:rsidRDefault="00575CDF" w:rsidP="00347FDB">
            <w:pPr>
              <w:spacing w:before="20" w:after="20" w:line="264" w:lineRule="auto"/>
              <w:rPr>
                <w:rFonts w:cs="Times New Roman"/>
                <w:color w:val="auto"/>
                <w:sz w:val="20"/>
                <w:szCs w:val="20"/>
              </w:rPr>
            </w:pPr>
            <w:r w:rsidRPr="00C801A6">
              <w:rPr>
                <w:rFonts w:cs="Times New Roman"/>
                <w:color w:val="auto"/>
                <w:sz w:val="20"/>
                <w:szCs w:val="20"/>
              </w:rPr>
              <w:t>Temporaire</w:t>
            </w:r>
          </w:p>
        </w:tc>
        <w:tc>
          <w:tcPr>
            <w:tcW w:w="1099" w:type="dxa"/>
            <w:vAlign w:val="center"/>
          </w:tcPr>
          <w:p w14:paraId="2961C17E" w14:textId="77777777" w:rsidR="00575CDF" w:rsidRPr="00C801A6" w:rsidRDefault="00575CDF" w:rsidP="00347FDB">
            <w:pPr>
              <w:spacing w:before="20" w:after="20" w:line="264" w:lineRule="auto"/>
              <w:jc w:val="center"/>
              <w:rPr>
                <w:rFonts w:cs="Times New Roman"/>
                <w:color w:val="auto"/>
                <w:sz w:val="20"/>
                <w:szCs w:val="20"/>
              </w:rPr>
            </w:pPr>
          </w:p>
        </w:tc>
        <w:tc>
          <w:tcPr>
            <w:tcW w:w="1099" w:type="dxa"/>
            <w:vAlign w:val="center"/>
          </w:tcPr>
          <w:p w14:paraId="2648C270" w14:textId="77777777" w:rsidR="00575CDF" w:rsidRPr="00C801A6" w:rsidRDefault="00575CDF" w:rsidP="00347FDB">
            <w:pPr>
              <w:spacing w:before="20" w:after="20" w:line="264" w:lineRule="auto"/>
              <w:jc w:val="center"/>
              <w:rPr>
                <w:rFonts w:cs="Times New Roman"/>
                <w:color w:val="auto"/>
                <w:sz w:val="20"/>
                <w:szCs w:val="20"/>
              </w:rPr>
            </w:pPr>
          </w:p>
        </w:tc>
        <w:tc>
          <w:tcPr>
            <w:tcW w:w="1100" w:type="dxa"/>
            <w:vAlign w:val="center"/>
          </w:tcPr>
          <w:p w14:paraId="5057F6FD" w14:textId="77777777" w:rsidR="00575CDF" w:rsidRPr="00C801A6" w:rsidRDefault="00575CDF" w:rsidP="00347FDB">
            <w:pPr>
              <w:spacing w:before="20" w:after="20" w:line="264" w:lineRule="auto"/>
              <w:jc w:val="center"/>
              <w:rPr>
                <w:rFonts w:cs="Times New Roman"/>
                <w:color w:val="auto"/>
                <w:sz w:val="20"/>
                <w:szCs w:val="20"/>
              </w:rPr>
            </w:pPr>
            <w:r w:rsidRPr="00C801A6">
              <w:rPr>
                <w:rFonts w:cs="Times New Roman"/>
                <w:color w:val="auto"/>
                <w:sz w:val="20"/>
                <w:szCs w:val="20"/>
              </w:rPr>
              <w:t>x</w:t>
            </w:r>
          </w:p>
        </w:tc>
      </w:tr>
    </w:tbl>
    <w:p w14:paraId="13FE62A7" w14:textId="77777777" w:rsidR="00575CDF" w:rsidRPr="00C801A6" w:rsidRDefault="00575CDF" w:rsidP="00575CDF">
      <w:pPr>
        <w:autoSpaceDE w:val="0"/>
        <w:autoSpaceDN w:val="0"/>
        <w:adjustRightInd w:val="0"/>
        <w:spacing w:before="40"/>
        <w:jc w:val="right"/>
        <w:rPr>
          <w:rFonts w:cs="Times New Roman"/>
          <w:i/>
          <w:iCs/>
          <w:color w:val="auto"/>
          <w:sz w:val="18"/>
          <w:lang w:val="fr-CA" w:eastAsia="fr-CA"/>
        </w:rPr>
      </w:pPr>
      <w:r w:rsidRPr="00C801A6">
        <w:rPr>
          <w:rFonts w:cs="Times New Roman"/>
          <w:i/>
          <w:iCs/>
          <w:color w:val="auto"/>
          <w:sz w:val="18"/>
          <w:u w:val="single"/>
          <w:lang w:val="fr-CA" w:eastAsia="fr-CA"/>
        </w:rPr>
        <w:t>Source :</w:t>
      </w:r>
      <w:r w:rsidRPr="00C801A6">
        <w:rPr>
          <w:rFonts w:cs="Times New Roman"/>
          <w:i/>
          <w:iCs/>
          <w:color w:val="auto"/>
          <w:sz w:val="18"/>
          <w:lang w:val="fr-CA" w:eastAsia="fr-CA"/>
        </w:rPr>
        <w:t xml:space="preserve"> Hydro-Québec, Canada</w:t>
      </w:r>
    </w:p>
    <w:p w14:paraId="211B4CA7" w14:textId="77777777" w:rsidR="00575CDF" w:rsidRPr="00C801A6" w:rsidRDefault="00575CDF" w:rsidP="00014BC0">
      <w:pPr>
        <w:pStyle w:val="Heading2"/>
      </w:pPr>
      <w:bookmarkStart w:id="614" w:name="_Toc71794941"/>
      <w:bookmarkStart w:id="615" w:name="_Toc106320352"/>
      <w:bookmarkStart w:id="616" w:name="_Toc230426060"/>
      <w:r w:rsidRPr="00C801A6">
        <w:t>MESURES types DE BONIFICATION DES IMPACTS POSITIFS</w:t>
      </w:r>
      <w:bookmarkEnd w:id="614"/>
      <w:bookmarkEnd w:id="615"/>
      <w:bookmarkEnd w:id="616"/>
      <w:r w:rsidRPr="00C801A6">
        <w:t xml:space="preserve"> </w:t>
      </w:r>
    </w:p>
    <w:p w14:paraId="01B920CA" w14:textId="7E74F35F" w:rsidR="001B491B" w:rsidRPr="00C801A6" w:rsidRDefault="00575CDF" w:rsidP="00FD3227">
      <w:pPr>
        <w:rPr>
          <w:color w:val="auto"/>
        </w:rPr>
      </w:pPr>
      <w:r w:rsidRPr="00C801A6">
        <w:rPr>
          <w:color w:val="auto"/>
        </w:rPr>
        <w:t xml:space="preserve">Les impacts bénéfiques couvrent divers aspects qui ont été analysés dans la section </w:t>
      </w:r>
      <w:r w:rsidRPr="00C801A6">
        <w:rPr>
          <w:b/>
          <w:color w:val="auto"/>
        </w:rPr>
        <w:fldChar w:fldCharType="begin"/>
      </w:r>
      <w:r w:rsidRPr="00C801A6">
        <w:rPr>
          <w:b/>
          <w:color w:val="auto"/>
        </w:rPr>
        <w:instrText xml:space="preserve"> REF _Ref71630995 \w \h  \* MERGEFORMAT </w:instrText>
      </w:r>
      <w:r w:rsidRPr="00C801A6">
        <w:rPr>
          <w:b/>
          <w:color w:val="auto"/>
        </w:rPr>
      </w:r>
      <w:r w:rsidRPr="00C801A6">
        <w:rPr>
          <w:b/>
          <w:color w:val="auto"/>
        </w:rPr>
        <w:fldChar w:fldCharType="separate"/>
      </w:r>
      <w:r w:rsidR="00635A10">
        <w:rPr>
          <w:b/>
          <w:color w:val="auto"/>
        </w:rPr>
        <w:t>0</w:t>
      </w:r>
      <w:r w:rsidRPr="00C801A6">
        <w:rPr>
          <w:b/>
          <w:color w:val="auto"/>
        </w:rPr>
        <w:fldChar w:fldCharType="end"/>
      </w:r>
      <w:r w:rsidRPr="00C801A6">
        <w:rPr>
          <w:color w:val="auto"/>
        </w:rPr>
        <w:t>. La sous-section qui suit donne des mesures types de bonification / optimisation dans l’objectif de maximiser les impacts positifs y afférents :</w:t>
      </w:r>
    </w:p>
    <w:p w14:paraId="1C0A6B53" w14:textId="6D3DF7A7" w:rsidR="00FD3227" w:rsidRDefault="00FD3227" w:rsidP="00FD3227">
      <w:pPr>
        <w:pStyle w:val="Caption"/>
        <w:keepNext/>
      </w:pPr>
      <w:bookmarkStart w:id="617" w:name="_Toc230427744"/>
      <w:r>
        <w:lastRenderedPageBreak/>
        <w:t xml:space="preserve">Tableau </w:t>
      </w:r>
      <w:r w:rsidR="00E44887">
        <w:fldChar w:fldCharType="begin"/>
      </w:r>
      <w:r w:rsidR="00E44887">
        <w:instrText xml:space="preserve"> SEQ Tableau \* ARABIC </w:instrText>
      </w:r>
      <w:r w:rsidR="00E44887">
        <w:fldChar w:fldCharType="separate"/>
      </w:r>
      <w:r w:rsidR="00253F1A">
        <w:rPr>
          <w:noProof/>
        </w:rPr>
        <w:t>24</w:t>
      </w:r>
      <w:r w:rsidR="00E44887">
        <w:rPr>
          <w:noProof/>
        </w:rPr>
        <w:fldChar w:fldCharType="end"/>
      </w:r>
      <w:r>
        <w:t xml:space="preserve"> : </w:t>
      </w:r>
      <w:r w:rsidRPr="00C801A6">
        <w:rPr>
          <w:color w:val="auto"/>
        </w:rPr>
        <w:t>Mesures types de maximisation des retombées positives des travaux d’infrastructures</w:t>
      </w:r>
      <w:bookmarkEnd w:id="617"/>
    </w:p>
    <w:tbl>
      <w:tblPr>
        <w:tblStyle w:val="TableGrid"/>
        <w:tblW w:w="9209" w:type="dxa"/>
        <w:tblInd w:w="-5" w:type="dxa"/>
        <w:tblLook w:val="04A0" w:firstRow="1" w:lastRow="0" w:firstColumn="1" w:lastColumn="0" w:noHBand="0" w:noVBand="1"/>
      </w:tblPr>
      <w:tblGrid>
        <w:gridCol w:w="4535"/>
        <w:gridCol w:w="4674"/>
      </w:tblGrid>
      <w:tr w:rsidR="00C801A6" w:rsidRPr="00C801A6" w14:paraId="3AFA406A" w14:textId="77777777" w:rsidTr="00FD3227">
        <w:trPr>
          <w:tblHeader/>
        </w:trPr>
        <w:tc>
          <w:tcPr>
            <w:tcW w:w="4535" w:type="dxa"/>
            <w:tcBorders>
              <w:top w:val="single" w:sz="4" w:space="0" w:color="auto"/>
            </w:tcBorders>
            <w:shd w:val="clear" w:color="auto" w:fill="E2EFD9" w:themeFill="accent6" w:themeFillTint="33"/>
          </w:tcPr>
          <w:p w14:paraId="1ECAC302" w14:textId="59FD3FED" w:rsidR="00575CDF" w:rsidRPr="00C801A6" w:rsidRDefault="00575CDF" w:rsidP="00347FDB">
            <w:pPr>
              <w:spacing w:before="80" w:after="80"/>
              <w:rPr>
                <w:b/>
                <w:color w:val="auto"/>
                <w:sz w:val="22"/>
              </w:rPr>
            </w:pPr>
            <w:r w:rsidRPr="00C801A6">
              <w:rPr>
                <w:b/>
                <w:color w:val="auto"/>
                <w:sz w:val="22"/>
              </w:rPr>
              <w:t xml:space="preserve">Impacts </w:t>
            </w:r>
            <w:r w:rsidR="006D3BDC" w:rsidRPr="00C801A6">
              <w:rPr>
                <w:b/>
                <w:color w:val="auto"/>
                <w:sz w:val="22"/>
              </w:rPr>
              <w:t xml:space="preserve">positifs </w:t>
            </w:r>
            <w:r w:rsidRPr="00C801A6">
              <w:rPr>
                <w:b/>
                <w:color w:val="auto"/>
                <w:sz w:val="22"/>
              </w:rPr>
              <w:t>types</w:t>
            </w:r>
            <w:r w:rsidR="006D3BDC" w:rsidRPr="00C801A6">
              <w:rPr>
                <w:b/>
                <w:color w:val="auto"/>
                <w:sz w:val="22"/>
              </w:rPr>
              <w:t xml:space="preserve"> </w:t>
            </w:r>
          </w:p>
        </w:tc>
        <w:tc>
          <w:tcPr>
            <w:tcW w:w="4674" w:type="dxa"/>
            <w:tcBorders>
              <w:top w:val="single" w:sz="4" w:space="0" w:color="auto"/>
            </w:tcBorders>
            <w:shd w:val="clear" w:color="auto" w:fill="E2EFD9" w:themeFill="accent6" w:themeFillTint="33"/>
          </w:tcPr>
          <w:p w14:paraId="63A7E49D" w14:textId="77777777" w:rsidR="00575CDF" w:rsidRPr="00C801A6" w:rsidRDefault="00575CDF" w:rsidP="00347FDB">
            <w:pPr>
              <w:spacing w:before="80" w:after="80"/>
              <w:rPr>
                <w:b/>
                <w:color w:val="auto"/>
                <w:sz w:val="22"/>
              </w:rPr>
            </w:pPr>
            <w:r w:rsidRPr="00C801A6">
              <w:rPr>
                <w:b/>
                <w:color w:val="auto"/>
                <w:sz w:val="22"/>
              </w:rPr>
              <w:t>Mesures types de bonification</w:t>
            </w:r>
          </w:p>
        </w:tc>
      </w:tr>
      <w:tr w:rsidR="00C801A6" w:rsidRPr="00C801A6" w14:paraId="06E78334" w14:textId="77777777" w:rsidTr="00FD3227">
        <w:tc>
          <w:tcPr>
            <w:tcW w:w="4535" w:type="dxa"/>
          </w:tcPr>
          <w:p w14:paraId="2D85F322" w14:textId="77777777" w:rsidR="00575CDF" w:rsidRPr="00C801A6" w:rsidRDefault="00575CDF" w:rsidP="00347FDB">
            <w:pPr>
              <w:spacing w:before="80" w:after="80"/>
              <w:rPr>
                <w:color w:val="auto"/>
                <w:sz w:val="22"/>
              </w:rPr>
            </w:pPr>
            <w:r w:rsidRPr="00C801A6">
              <w:rPr>
                <w:color w:val="auto"/>
                <w:sz w:val="22"/>
              </w:rPr>
              <w:t>Création d’emplois et de sources de revenus supplémentaires pour les ménages des ouvriers</w:t>
            </w:r>
          </w:p>
        </w:tc>
        <w:tc>
          <w:tcPr>
            <w:tcW w:w="4674" w:type="dxa"/>
            <w:tcBorders>
              <w:bottom w:val="single" w:sz="4" w:space="0" w:color="auto"/>
            </w:tcBorders>
          </w:tcPr>
          <w:p w14:paraId="06CD23EA" w14:textId="7190D850" w:rsidR="00575CDF" w:rsidRPr="00C801A6" w:rsidRDefault="00575CDF" w:rsidP="00844538">
            <w:pPr>
              <w:pStyle w:val="ListParagraph"/>
              <w:numPr>
                <w:ilvl w:val="0"/>
                <w:numId w:val="46"/>
              </w:numPr>
              <w:spacing w:before="80" w:after="80" w:line="276" w:lineRule="auto"/>
              <w:ind w:left="142" w:hanging="142"/>
              <w:rPr>
                <w:color w:val="auto"/>
                <w:sz w:val="22"/>
              </w:rPr>
            </w:pPr>
            <w:r w:rsidRPr="00C801A6">
              <w:rPr>
                <w:color w:val="auto"/>
                <w:sz w:val="22"/>
              </w:rPr>
              <w:t>Autant que faire se peut et à compétences égales, prioriser le recrutement local</w:t>
            </w:r>
          </w:p>
        </w:tc>
      </w:tr>
      <w:tr w:rsidR="00C801A6" w:rsidRPr="00C801A6" w14:paraId="4BC5422A" w14:textId="77777777" w:rsidTr="00FD3227">
        <w:tc>
          <w:tcPr>
            <w:tcW w:w="4535" w:type="dxa"/>
          </w:tcPr>
          <w:p w14:paraId="7AA12865" w14:textId="77777777" w:rsidR="00575CDF" w:rsidRPr="00C801A6" w:rsidRDefault="00575CDF" w:rsidP="00347FDB">
            <w:pPr>
              <w:spacing w:before="80" w:after="80"/>
              <w:jc w:val="left"/>
              <w:rPr>
                <w:color w:val="auto"/>
                <w:sz w:val="22"/>
              </w:rPr>
            </w:pPr>
            <w:r w:rsidRPr="00C801A6">
              <w:rPr>
                <w:color w:val="auto"/>
                <w:sz w:val="22"/>
              </w:rPr>
              <w:t>Fluidité de la circulation</w:t>
            </w:r>
          </w:p>
        </w:tc>
        <w:tc>
          <w:tcPr>
            <w:tcW w:w="4674" w:type="dxa"/>
            <w:vMerge w:val="restart"/>
            <w:vAlign w:val="center"/>
          </w:tcPr>
          <w:p w14:paraId="1397A7F9" w14:textId="2B44DE06" w:rsidR="00575CDF" w:rsidRPr="00C801A6" w:rsidRDefault="00575CDF" w:rsidP="00844538">
            <w:pPr>
              <w:pStyle w:val="ListParagraph"/>
              <w:numPr>
                <w:ilvl w:val="0"/>
                <w:numId w:val="46"/>
              </w:numPr>
              <w:spacing w:before="80" w:after="120" w:line="276" w:lineRule="auto"/>
              <w:ind w:left="142" w:hanging="142"/>
              <w:contextualSpacing w:val="0"/>
              <w:jc w:val="left"/>
              <w:rPr>
                <w:color w:val="auto"/>
                <w:sz w:val="22"/>
              </w:rPr>
            </w:pPr>
            <w:r w:rsidRPr="00C801A6">
              <w:rPr>
                <w:color w:val="auto"/>
                <w:sz w:val="22"/>
              </w:rPr>
              <w:t>Efforts conjugués de la part de l’Etat et des usagers et des citoyens pour maintenir la qualité des routes</w:t>
            </w:r>
            <w:r w:rsidR="0064072D" w:rsidRPr="00C801A6">
              <w:rPr>
                <w:color w:val="auto"/>
                <w:sz w:val="22"/>
              </w:rPr>
              <w:t xml:space="preserve"> et des infrastructures en général</w:t>
            </w:r>
          </w:p>
          <w:p w14:paraId="3C13C9E8" w14:textId="40D04D70" w:rsidR="00575CDF" w:rsidRPr="00C801A6" w:rsidRDefault="00575CDF" w:rsidP="00844538">
            <w:pPr>
              <w:pStyle w:val="ListParagraph"/>
              <w:numPr>
                <w:ilvl w:val="0"/>
                <w:numId w:val="46"/>
              </w:numPr>
              <w:spacing w:before="80" w:after="120" w:line="276" w:lineRule="auto"/>
              <w:ind w:left="142" w:hanging="142"/>
              <w:contextualSpacing w:val="0"/>
              <w:jc w:val="left"/>
              <w:rPr>
                <w:color w:val="auto"/>
                <w:sz w:val="22"/>
              </w:rPr>
            </w:pPr>
            <w:r w:rsidRPr="00C801A6">
              <w:rPr>
                <w:color w:val="auto"/>
                <w:sz w:val="22"/>
              </w:rPr>
              <w:t>Les camions ne doivent pas</w:t>
            </w:r>
            <w:r w:rsidR="0064072D" w:rsidRPr="00C801A6">
              <w:rPr>
                <w:color w:val="auto"/>
                <w:sz w:val="22"/>
              </w:rPr>
              <w:t xml:space="preserve"> se</w:t>
            </w:r>
            <w:r w:rsidRPr="00C801A6">
              <w:rPr>
                <w:color w:val="auto"/>
                <w:sz w:val="22"/>
              </w:rPr>
              <w:t xml:space="preserve"> garer n’importe où car le gazole est un solvant pour le bitume</w:t>
            </w:r>
            <w:r w:rsidR="0064072D" w:rsidRPr="00C801A6">
              <w:rPr>
                <w:color w:val="auto"/>
                <w:sz w:val="22"/>
              </w:rPr>
              <w:t xml:space="preserve"> et de petites fuites y afférentes peuvent initier la détérioration de la plateforme bitumée</w:t>
            </w:r>
          </w:p>
          <w:p w14:paraId="5E35A9F0" w14:textId="28BC3C26" w:rsidR="00575CDF" w:rsidRPr="00C801A6" w:rsidRDefault="00575CDF" w:rsidP="00844538">
            <w:pPr>
              <w:pStyle w:val="ListParagraph"/>
              <w:numPr>
                <w:ilvl w:val="0"/>
                <w:numId w:val="46"/>
              </w:numPr>
              <w:spacing w:before="80" w:after="120" w:line="276" w:lineRule="auto"/>
              <w:ind w:left="142" w:hanging="142"/>
              <w:contextualSpacing w:val="0"/>
              <w:jc w:val="left"/>
              <w:rPr>
                <w:color w:val="auto"/>
                <w:sz w:val="22"/>
              </w:rPr>
            </w:pPr>
            <w:r w:rsidRPr="00C801A6">
              <w:rPr>
                <w:color w:val="auto"/>
                <w:sz w:val="22"/>
              </w:rPr>
              <w:t>Renforcer l’engagement citoyen dans la préservation de la qualité des routes</w:t>
            </w:r>
            <w:r w:rsidR="0064072D" w:rsidRPr="00C801A6">
              <w:rPr>
                <w:color w:val="auto"/>
                <w:sz w:val="22"/>
              </w:rPr>
              <w:t xml:space="preserve"> et des infrastructures en général</w:t>
            </w:r>
          </w:p>
        </w:tc>
      </w:tr>
      <w:tr w:rsidR="00C801A6" w:rsidRPr="00C801A6" w14:paraId="554C8296" w14:textId="77777777" w:rsidTr="00FD3227">
        <w:tc>
          <w:tcPr>
            <w:tcW w:w="4535" w:type="dxa"/>
          </w:tcPr>
          <w:p w14:paraId="69882743" w14:textId="77777777" w:rsidR="00575CDF" w:rsidRPr="00C801A6" w:rsidRDefault="00575CDF" w:rsidP="00347FDB">
            <w:pPr>
              <w:spacing w:before="80" w:after="80"/>
              <w:jc w:val="left"/>
              <w:rPr>
                <w:color w:val="auto"/>
                <w:sz w:val="22"/>
              </w:rPr>
            </w:pPr>
            <w:r w:rsidRPr="00C801A6">
              <w:rPr>
                <w:color w:val="auto"/>
                <w:sz w:val="22"/>
              </w:rPr>
              <w:t>Augmentation de l’attrait des Régions concernées et du pays en tant que destinations touristiques</w:t>
            </w:r>
          </w:p>
        </w:tc>
        <w:tc>
          <w:tcPr>
            <w:tcW w:w="4674" w:type="dxa"/>
            <w:vMerge/>
          </w:tcPr>
          <w:p w14:paraId="275725A9" w14:textId="77777777" w:rsidR="00575CDF" w:rsidRPr="00C801A6" w:rsidRDefault="00575CDF" w:rsidP="00347FDB">
            <w:pPr>
              <w:spacing w:before="80" w:after="80"/>
              <w:jc w:val="left"/>
              <w:rPr>
                <w:color w:val="auto"/>
                <w:sz w:val="22"/>
              </w:rPr>
            </w:pPr>
          </w:p>
        </w:tc>
      </w:tr>
      <w:tr w:rsidR="00C801A6" w:rsidRPr="00C801A6" w14:paraId="56BF97F3" w14:textId="77777777" w:rsidTr="00FD3227">
        <w:tc>
          <w:tcPr>
            <w:tcW w:w="4535" w:type="dxa"/>
          </w:tcPr>
          <w:p w14:paraId="733A8530" w14:textId="77777777" w:rsidR="00575CDF" w:rsidRPr="00C801A6" w:rsidRDefault="00575CDF" w:rsidP="00347FDB">
            <w:pPr>
              <w:spacing w:before="80" w:after="80"/>
              <w:jc w:val="left"/>
              <w:rPr>
                <w:color w:val="auto"/>
                <w:sz w:val="22"/>
              </w:rPr>
            </w:pPr>
            <w:r w:rsidRPr="00C801A6">
              <w:rPr>
                <w:color w:val="auto"/>
                <w:sz w:val="22"/>
              </w:rPr>
              <w:t>Raccourcissement de la durée du parcours et gain de temps subséquent</w:t>
            </w:r>
          </w:p>
        </w:tc>
        <w:tc>
          <w:tcPr>
            <w:tcW w:w="4674" w:type="dxa"/>
            <w:vMerge/>
          </w:tcPr>
          <w:p w14:paraId="27147455" w14:textId="77777777" w:rsidR="00575CDF" w:rsidRPr="00C801A6" w:rsidRDefault="00575CDF" w:rsidP="00347FDB">
            <w:pPr>
              <w:spacing w:before="80" w:after="80"/>
              <w:jc w:val="left"/>
              <w:rPr>
                <w:color w:val="auto"/>
                <w:sz w:val="22"/>
              </w:rPr>
            </w:pPr>
          </w:p>
        </w:tc>
      </w:tr>
      <w:tr w:rsidR="00C801A6" w:rsidRPr="00C801A6" w14:paraId="5D22431C" w14:textId="77777777" w:rsidTr="00FD3227">
        <w:tc>
          <w:tcPr>
            <w:tcW w:w="4535" w:type="dxa"/>
          </w:tcPr>
          <w:p w14:paraId="0F353287" w14:textId="77777777" w:rsidR="00575CDF" w:rsidRPr="00C801A6" w:rsidRDefault="00575CDF" w:rsidP="00347FDB">
            <w:pPr>
              <w:spacing w:before="80" w:after="80"/>
              <w:jc w:val="left"/>
              <w:rPr>
                <w:color w:val="auto"/>
                <w:sz w:val="22"/>
              </w:rPr>
            </w:pPr>
            <w:r w:rsidRPr="00C801A6">
              <w:rPr>
                <w:color w:val="auto"/>
                <w:sz w:val="22"/>
              </w:rPr>
              <w:t>Réduction des coûts d’entretien des véhicules</w:t>
            </w:r>
          </w:p>
        </w:tc>
        <w:tc>
          <w:tcPr>
            <w:tcW w:w="4674" w:type="dxa"/>
            <w:vMerge/>
          </w:tcPr>
          <w:p w14:paraId="06E01214" w14:textId="77777777" w:rsidR="00575CDF" w:rsidRPr="00C801A6" w:rsidRDefault="00575CDF" w:rsidP="00347FDB">
            <w:pPr>
              <w:spacing w:before="80" w:after="80"/>
              <w:jc w:val="left"/>
              <w:rPr>
                <w:color w:val="auto"/>
                <w:sz w:val="22"/>
              </w:rPr>
            </w:pPr>
          </w:p>
        </w:tc>
      </w:tr>
      <w:tr w:rsidR="00C801A6" w:rsidRPr="00C801A6" w14:paraId="783D7C8B" w14:textId="77777777" w:rsidTr="00FD3227">
        <w:tc>
          <w:tcPr>
            <w:tcW w:w="4535" w:type="dxa"/>
          </w:tcPr>
          <w:p w14:paraId="06756BB5" w14:textId="77777777" w:rsidR="00575CDF" w:rsidRPr="00C801A6" w:rsidRDefault="00575CDF" w:rsidP="00347FDB">
            <w:pPr>
              <w:spacing w:before="80" w:after="80"/>
              <w:jc w:val="left"/>
              <w:rPr>
                <w:color w:val="auto"/>
                <w:sz w:val="22"/>
              </w:rPr>
            </w:pPr>
            <w:r w:rsidRPr="00C801A6">
              <w:rPr>
                <w:color w:val="auto"/>
                <w:sz w:val="22"/>
              </w:rPr>
              <w:t>Stabilité des coûts des déplacements motorisés</w:t>
            </w:r>
          </w:p>
        </w:tc>
        <w:tc>
          <w:tcPr>
            <w:tcW w:w="4674" w:type="dxa"/>
            <w:vMerge/>
          </w:tcPr>
          <w:p w14:paraId="61B1ACC2" w14:textId="77777777" w:rsidR="00575CDF" w:rsidRPr="00C801A6" w:rsidRDefault="00575CDF" w:rsidP="00347FDB">
            <w:pPr>
              <w:spacing w:before="80" w:after="80"/>
              <w:jc w:val="left"/>
              <w:rPr>
                <w:color w:val="auto"/>
                <w:sz w:val="22"/>
              </w:rPr>
            </w:pPr>
          </w:p>
        </w:tc>
      </w:tr>
      <w:tr w:rsidR="00C801A6" w:rsidRPr="00C801A6" w14:paraId="6A1F23ED" w14:textId="77777777" w:rsidTr="00FD3227">
        <w:tc>
          <w:tcPr>
            <w:tcW w:w="4535" w:type="dxa"/>
          </w:tcPr>
          <w:p w14:paraId="69DFDA2D" w14:textId="77777777" w:rsidR="00575CDF" w:rsidRPr="00C801A6" w:rsidRDefault="00575CDF" w:rsidP="00347FDB">
            <w:pPr>
              <w:spacing w:before="80" w:after="80"/>
              <w:jc w:val="left"/>
              <w:rPr>
                <w:color w:val="auto"/>
                <w:sz w:val="22"/>
              </w:rPr>
            </w:pPr>
            <w:r w:rsidRPr="00C801A6">
              <w:rPr>
                <w:color w:val="auto"/>
                <w:sz w:val="22"/>
              </w:rPr>
              <w:t>Amélioration des échanges commerciaux au plan national</w:t>
            </w:r>
          </w:p>
        </w:tc>
        <w:tc>
          <w:tcPr>
            <w:tcW w:w="4674" w:type="dxa"/>
            <w:vMerge/>
          </w:tcPr>
          <w:p w14:paraId="4BC1EFF3" w14:textId="77777777" w:rsidR="00575CDF" w:rsidRPr="00C801A6" w:rsidRDefault="00575CDF" w:rsidP="00347FDB">
            <w:pPr>
              <w:spacing w:before="80" w:after="80"/>
              <w:jc w:val="left"/>
              <w:rPr>
                <w:color w:val="auto"/>
                <w:sz w:val="22"/>
              </w:rPr>
            </w:pPr>
          </w:p>
        </w:tc>
      </w:tr>
      <w:tr w:rsidR="00C801A6" w:rsidRPr="00C801A6" w14:paraId="5C8BB1DC" w14:textId="77777777" w:rsidTr="00FD3227">
        <w:tc>
          <w:tcPr>
            <w:tcW w:w="4535" w:type="dxa"/>
          </w:tcPr>
          <w:p w14:paraId="47B23575" w14:textId="77777777" w:rsidR="00575CDF" w:rsidRPr="00C801A6" w:rsidRDefault="00575CDF" w:rsidP="00347FDB">
            <w:pPr>
              <w:spacing w:before="80" w:after="80"/>
              <w:jc w:val="left"/>
              <w:rPr>
                <w:color w:val="auto"/>
                <w:sz w:val="22"/>
              </w:rPr>
            </w:pPr>
            <w:r w:rsidRPr="00C801A6">
              <w:rPr>
                <w:color w:val="auto"/>
                <w:sz w:val="22"/>
              </w:rPr>
              <w:t>Contribution à l’amélioration des conditions de vie des usagers</w:t>
            </w:r>
          </w:p>
        </w:tc>
        <w:tc>
          <w:tcPr>
            <w:tcW w:w="4674" w:type="dxa"/>
            <w:vMerge/>
            <w:tcBorders>
              <w:bottom w:val="single" w:sz="4" w:space="0" w:color="auto"/>
            </w:tcBorders>
          </w:tcPr>
          <w:p w14:paraId="1AB994BC" w14:textId="77777777" w:rsidR="00575CDF" w:rsidRPr="00C801A6" w:rsidRDefault="00575CDF" w:rsidP="00347FDB">
            <w:pPr>
              <w:spacing w:before="80" w:after="80"/>
              <w:jc w:val="left"/>
              <w:rPr>
                <w:color w:val="auto"/>
                <w:sz w:val="22"/>
              </w:rPr>
            </w:pPr>
          </w:p>
        </w:tc>
      </w:tr>
      <w:tr w:rsidR="00C801A6" w:rsidRPr="00C801A6" w14:paraId="46DB879C" w14:textId="77777777" w:rsidTr="00FD3227">
        <w:tc>
          <w:tcPr>
            <w:tcW w:w="4535" w:type="dxa"/>
          </w:tcPr>
          <w:p w14:paraId="76331C49" w14:textId="77777777" w:rsidR="00575CDF" w:rsidRPr="00C801A6" w:rsidRDefault="00575CDF" w:rsidP="00347FDB">
            <w:pPr>
              <w:spacing w:before="80" w:after="80"/>
              <w:jc w:val="left"/>
              <w:rPr>
                <w:color w:val="auto"/>
                <w:sz w:val="22"/>
              </w:rPr>
            </w:pPr>
            <w:r w:rsidRPr="00C801A6">
              <w:rPr>
                <w:color w:val="auto"/>
                <w:sz w:val="22"/>
              </w:rPr>
              <w:t>Contribution à l’amélioration des relations entre populations des diverses Régions car les opportunités de rencontre seront plus fréquentes</w:t>
            </w:r>
          </w:p>
        </w:tc>
        <w:tc>
          <w:tcPr>
            <w:tcW w:w="4674" w:type="dxa"/>
            <w:vMerge w:val="restart"/>
            <w:tcBorders>
              <w:top w:val="single" w:sz="4" w:space="0" w:color="auto"/>
            </w:tcBorders>
            <w:vAlign w:val="center"/>
          </w:tcPr>
          <w:p w14:paraId="21D114C8" w14:textId="074F8B70" w:rsidR="00575CDF" w:rsidRPr="00C801A6" w:rsidRDefault="00575CDF" w:rsidP="00844538">
            <w:pPr>
              <w:pStyle w:val="ListParagraph"/>
              <w:numPr>
                <w:ilvl w:val="0"/>
                <w:numId w:val="46"/>
              </w:numPr>
              <w:spacing w:before="80" w:after="120" w:line="276" w:lineRule="auto"/>
              <w:ind w:left="142" w:hanging="142"/>
              <w:contextualSpacing w:val="0"/>
              <w:jc w:val="left"/>
              <w:rPr>
                <w:color w:val="auto"/>
                <w:sz w:val="22"/>
              </w:rPr>
            </w:pPr>
            <w:r w:rsidRPr="00C801A6">
              <w:rPr>
                <w:color w:val="auto"/>
                <w:sz w:val="22"/>
              </w:rPr>
              <w:t>Efforts conjugués de la part de l’Etat et des usagers et des citoyens pour maintenir la qualité des routes</w:t>
            </w:r>
            <w:r w:rsidR="0064072D" w:rsidRPr="00C801A6">
              <w:rPr>
                <w:color w:val="auto"/>
                <w:sz w:val="22"/>
              </w:rPr>
              <w:t xml:space="preserve"> et des infrastructures en général</w:t>
            </w:r>
          </w:p>
          <w:p w14:paraId="6D1704A9" w14:textId="77777777" w:rsidR="00575CDF" w:rsidRPr="00C801A6" w:rsidRDefault="00575CDF" w:rsidP="00844538">
            <w:pPr>
              <w:pStyle w:val="ListParagraph"/>
              <w:numPr>
                <w:ilvl w:val="0"/>
                <w:numId w:val="46"/>
              </w:numPr>
              <w:spacing w:before="80" w:after="120" w:line="276" w:lineRule="auto"/>
              <w:ind w:left="142" w:hanging="142"/>
              <w:contextualSpacing w:val="0"/>
              <w:jc w:val="left"/>
              <w:rPr>
                <w:color w:val="auto"/>
                <w:sz w:val="22"/>
              </w:rPr>
            </w:pPr>
            <w:r w:rsidRPr="00C801A6">
              <w:rPr>
                <w:color w:val="auto"/>
                <w:sz w:val="22"/>
              </w:rPr>
              <w:t>Les camions ne doivent pas garer n’importe où car le gazole est un solvant pour le bitume</w:t>
            </w:r>
          </w:p>
          <w:p w14:paraId="271AB697" w14:textId="27940CEB" w:rsidR="00575CDF" w:rsidRPr="00C801A6" w:rsidRDefault="00575CDF" w:rsidP="00844538">
            <w:pPr>
              <w:pStyle w:val="ListParagraph"/>
              <w:numPr>
                <w:ilvl w:val="0"/>
                <w:numId w:val="46"/>
              </w:numPr>
              <w:spacing w:before="80" w:after="120" w:line="276" w:lineRule="auto"/>
              <w:ind w:left="142" w:hanging="142"/>
              <w:contextualSpacing w:val="0"/>
              <w:jc w:val="left"/>
              <w:rPr>
                <w:color w:val="auto"/>
                <w:sz w:val="22"/>
              </w:rPr>
            </w:pPr>
            <w:r w:rsidRPr="00C801A6">
              <w:rPr>
                <w:color w:val="auto"/>
                <w:sz w:val="22"/>
              </w:rPr>
              <w:t>Renforcer l’engagement citoyen dans la préservation de la qualité des routes</w:t>
            </w:r>
            <w:r w:rsidR="0064072D" w:rsidRPr="00C801A6">
              <w:rPr>
                <w:color w:val="auto"/>
                <w:sz w:val="22"/>
              </w:rPr>
              <w:t xml:space="preserve"> et des infrastructures en général</w:t>
            </w:r>
          </w:p>
        </w:tc>
      </w:tr>
      <w:tr w:rsidR="00C801A6" w:rsidRPr="00C801A6" w14:paraId="0A80D8ED" w14:textId="77777777" w:rsidTr="00FD3227">
        <w:tc>
          <w:tcPr>
            <w:tcW w:w="4535" w:type="dxa"/>
          </w:tcPr>
          <w:p w14:paraId="6EEE53D2" w14:textId="3169AA99" w:rsidR="00575CDF" w:rsidRPr="00C801A6" w:rsidRDefault="00575CDF" w:rsidP="00347FDB">
            <w:pPr>
              <w:spacing w:before="80" w:after="80"/>
              <w:jc w:val="left"/>
              <w:rPr>
                <w:color w:val="auto"/>
                <w:sz w:val="22"/>
              </w:rPr>
            </w:pPr>
            <w:r w:rsidRPr="00C801A6">
              <w:rPr>
                <w:color w:val="auto"/>
                <w:sz w:val="22"/>
              </w:rPr>
              <w:t xml:space="preserve">La réhabilitation de RN </w:t>
            </w:r>
            <w:r w:rsidR="0064072D" w:rsidRPr="00C801A6">
              <w:rPr>
                <w:color w:val="auto"/>
                <w:sz w:val="22"/>
              </w:rPr>
              <w:t>et</w:t>
            </w:r>
            <w:r w:rsidR="001B491B" w:rsidRPr="00C801A6">
              <w:rPr>
                <w:color w:val="auto"/>
                <w:sz w:val="22"/>
              </w:rPr>
              <w:t xml:space="preserve"> </w:t>
            </w:r>
            <w:r w:rsidR="0064072D" w:rsidRPr="00C801A6">
              <w:rPr>
                <w:color w:val="auto"/>
                <w:sz w:val="22"/>
              </w:rPr>
              <w:t xml:space="preserve">la </w:t>
            </w:r>
            <w:r w:rsidR="001B491B" w:rsidRPr="00C801A6">
              <w:rPr>
                <w:color w:val="auto"/>
                <w:sz w:val="22"/>
              </w:rPr>
              <w:t xml:space="preserve">réparation des dégâts cycloniques </w:t>
            </w:r>
            <w:r w:rsidRPr="00C801A6">
              <w:rPr>
                <w:color w:val="auto"/>
                <w:sz w:val="22"/>
              </w:rPr>
              <w:t>faciliter</w:t>
            </w:r>
            <w:r w:rsidR="0064072D" w:rsidRPr="00C801A6">
              <w:rPr>
                <w:color w:val="auto"/>
                <w:sz w:val="22"/>
              </w:rPr>
              <w:t>ont</w:t>
            </w:r>
            <w:r w:rsidRPr="00C801A6">
              <w:rPr>
                <w:color w:val="auto"/>
                <w:sz w:val="22"/>
              </w:rPr>
              <w:t xml:space="preserve"> l’accès des populations aux principaux centres administratifs, économiques, médicaux, scolaires, et développera également les échanges</w:t>
            </w:r>
          </w:p>
        </w:tc>
        <w:tc>
          <w:tcPr>
            <w:tcW w:w="4674" w:type="dxa"/>
            <w:vMerge/>
          </w:tcPr>
          <w:p w14:paraId="48128B8F" w14:textId="77777777" w:rsidR="00575CDF" w:rsidRPr="00C801A6" w:rsidRDefault="00575CDF" w:rsidP="00347FDB">
            <w:pPr>
              <w:spacing w:before="80" w:after="80"/>
              <w:jc w:val="left"/>
              <w:rPr>
                <w:color w:val="auto"/>
                <w:sz w:val="22"/>
              </w:rPr>
            </w:pPr>
          </w:p>
        </w:tc>
      </w:tr>
      <w:tr w:rsidR="00C801A6" w:rsidRPr="00C801A6" w14:paraId="14A0BE9E" w14:textId="77777777" w:rsidTr="00FD3227">
        <w:tc>
          <w:tcPr>
            <w:tcW w:w="4535" w:type="dxa"/>
          </w:tcPr>
          <w:p w14:paraId="0C0EA5C3" w14:textId="77777777" w:rsidR="00575CDF" w:rsidRPr="00C801A6" w:rsidRDefault="00575CDF" w:rsidP="006D3BDC">
            <w:pPr>
              <w:spacing w:before="80" w:after="80"/>
              <w:jc w:val="left"/>
              <w:rPr>
                <w:color w:val="auto"/>
                <w:sz w:val="22"/>
              </w:rPr>
            </w:pPr>
            <w:r w:rsidRPr="00C801A6">
              <w:rPr>
                <w:color w:val="auto"/>
                <w:sz w:val="22"/>
              </w:rPr>
              <w:t>Amélioration de la sécurité des biens et des personnes</w:t>
            </w:r>
          </w:p>
        </w:tc>
        <w:tc>
          <w:tcPr>
            <w:tcW w:w="4674" w:type="dxa"/>
            <w:vMerge/>
          </w:tcPr>
          <w:p w14:paraId="28F9DD05" w14:textId="77777777" w:rsidR="00575CDF" w:rsidRPr="00C801A6" w:rsidRDefault="00575CDF" w:rsidP="00347FDB">
            <w:pPr>
              <w:spacing w:before="80" w:after="80"/>
              <w:jc w:val="left"/>
              <w:rPr>
                <w:color w:val="auto"/>
                <w:sz w:val="22"/>
              </w:rPr>
            </w:pPr>
          </w:p>
        </w:tc>
      </w:tr>
      <w:tr w:rsidR="00575CDF" w:rsidRPr="00C801A6" w14:paraId="6C7A3759" w14:textId="77777777" w:rsidTr="00FD3227">
        <w:tc>
          <w:tcPr>
            <w:tcW w:w="4535" w:type="dxa"/>
          </w:tcPr>
          <w:p w14:paraId="75BD76E8" w14:textId="77777777" w:rsidR="00575CDF" w:rsidRPr="00C801A6" w:rsidRDefault="00575CDF" w:rsidP="00347FDB">
            <w:pPr>
              <w:spacing w:before="80" w:after="80"/>
              <w:jc w:val="left"/>
              <w:rPr>
                <w:color w:val="auto"/>
                <w:sz w:val="22"/>
              </w:rPr>
            </w:pPr>
            <w:r w:rsidRPr="00C801A6">
              <w:rPr>
                <w:color w:val="auto"/>
                <w:sz w:val="22"/>
              </w:rPr>
              <w:t>Désenclavement des zones desservies.</w:t>
            </w:r>
          </w:p>
        </w:tc>
        <w:tc>
          <w:tcPr>
            <w:tcW w:w="4674" w:type="dxa"/>
            <w:vMerge/>
          </w:tcPr>
          <w:p w14:paraId="00879560" w14:textId="77777777" w:rsidR="00575CDF" w:rsidRPr="00C801A6" w:rsidRDefault="00575CDF" w:rsidP="00347FDB">
            <w:pPr>
              <w:spacing w:before="80" w:after="80"/>
              <w:jc w:val="left"/>
              <w:rPr>
                <w:color w:val="auto"/>
                <w:sz w:val="22"/>
              </w:rPr>
            </w:pPr>
          </w:p>
        </w:tc>
      </w:tr>
    </w:tbl>
    <w:p w14:paraId="70979BAA" w14:textId="77777777" w:rsidR="0064072D" w:rsidRPr="00C801A6" w:rsidRDefault="0064072D" w:rsidP="0064072D">
      <w:pPr>
        <w:rPr>
          <w:color w:val="auto"/>
        </w:rPr>
      </w:pPr>
      <w:bookmarkStart w:id="618" w:name="_Toc71794942"/>
    </w:p>
    <w:p w14:paraId="27AA495F" w14:textId="5A8713F0" w:rsidR="00575CDF" w:rsidRPr="00C801A6" w:rsidRDefault="00575CDF" w:rsidP="00014BC0">
      <w:pPr>
        <w:pStyle w:val="Heading2"/>
      </w:pPr>
      <w:bookmarkStart w:id="619" w:name="_Toc106320355"/>
      <w:bookmarkStart w:id="620" w:name="_Toc230426061"/>
      <w:r w:rsidRPr="00C801A6">
        <w:t>MESURES TYPES D’EVITEMENT ET D’ATTENUATION DES IMPACTS NEGATIFS POTENTIELS</w:t>
      </w:r>
      <w:bookmarkEnd w:id="618"/>
      <w:bookmarkEnd w:id="619"/>
      <w:bookmarkEnd w:id="620"/>
    </w:p>
    <w:p w14:paraId="4ACD8014" w14:textId="77777777" w:rsidR="00575CDF" w:rsidRPr="00C801A6" w:rsidRDefault="00575CDF" w:rsidP="00C65572">
      <w:pPr>
        <w:pStyle w:val="Heading3"/>
      </w:pPr>
      <w:bookmarkStart w:id="621" w:name="_Toc71794943"/>
      <w:bookmarkStart w:id="622" w:name="_Toc106320356"/>
      <w:bookmarkStart w:id="623" w:name="_Toc230426062"/>
      <w:r w:rsidRPr="00C801A6">
        <w:t>Hiérarchie des mesures</w:t>
      </w:r>
      <w:bookmarkEnd w:id="621"/>
      <w:bookmarkEnd w:id="622"/>
      <w:bookmarkEnd w:id="623"/>
    </w:p>
    <w:p w14:paraId="48B74C71" w14:textId="28BCFBD1" w:rsidR="00575CDF" w:rsidRPr="00C801A6" w:rsidRDefault="00575CDF" w:rsidP="00575CDF">
      <w:pPr>
        <w:suppressAutoHyphens/>
        <w:rPr>
          <w:rFonts w:eastAsia="Arial" w:cs="Times New Roman"/>
          <w:color w:val="auto"/>
        </w:rPr>
      </w:pPr>
      <w:r w:rsidRPr="00C801A6">
        <w:rPr>
          <w:rFonts w:eastAsia="Arial" w:cs="Times New Roman"/>
          <w:color w:val="auto"/>
        </w:rPr>
        <w:t xml:space="preserve">La hiérarchie des mesures d'atténuation </w:t>
      </w:r>
      <w:r w:rsidRPr="00C801A6">
        <w:rPr>
          <w:rFonts w:eastAsia="Arial" w:cs="Times New Roman"/>
          <w:iCs/>
          <w:color w:val="auto"/>
        </w:rPr>
        <w:t>(</w:t>
      </w:r>
      <w:r w:rsidRPr="00C801A6">
        <w:rPr>
          <w:rFonts w:eastAsia="Arial" w:cs="Times New Roman"/>
          <w:i/>
          <w:iCs/>
          <w:color w:val="auto"/>
        </w:rPr>
        <w:t xml:space="preserve">voir </w:t>
      </w:r>
      <w:r w:rsidR="00FD3227">
        <w:rPr>
          <w:rFonts w:eastAsia="Arial" w:cs="Times New Roman"/>
          <w:i/>
          <w:iCs/>
          <w:color w:val="auto"/>
        </w:rPr>
        <w:t>figure 1</w:t>
      </w:r>
      <w:r w:rsidR="001C76FC">
        <w:rPr>
          <w:rFonts w:eastAsia="Arial" w:cs="Times New Roman"/>
          <w:i/>
          <w:iCs/>
          <w:color w:val="auto"/>
        </w:rPr>
        <w:t>8</w:t>
      </w:r>
      <w:r w:rsidR="00FD3227">
        <w:rPr>
          <w:rFonts w:eastAsia="Arial" w:cs="Times New Roman"/>
          <w:i/>
          <w:iCs/>
          <w:color w:val="auto"/>
        </w:rPr>
        <w:t xml:space="preserve"> </w:t>
      </w:r>
      <w:r w:rsidRPr="00C801A6">
        <w:rPr>
          <w:rFonts w:eastAsia="Arial" w:cs="Times New Roman"/>
          <w:iCs/>
          <w:color w:val="auto"/>
        </w:rPr>
        <w:t>ci-dessous)</w:t>
      </w:r>
      <w:r w:rsidRPr="00C801A6">
        <w:rPr>
          <w:rFonts w:eastAsia="Arial" w:cs="Times New Roman"/>
          <w:i/>
          <w:iCs/>
          <w:color w:val="auto"/>
        </w:rPr>
        <w:t xml:space="preserve"> </w:t>
      </w:r>
      <w:r w:rsidRPr="00C801A6">
        <w:rPr>
          <w:rFonts w:eastAsia="Arial" w:cs="Times New Roman"/>
          <w:color w:val="auto"/>
        </w:rPr>
        <w:t>sera appliquée lors de la proposition de mesures d’évitement, d'atténuation ou, le cas échéant, de compensation dans le cadre du PGES qui l'accompagne :</w:t>
      </w:r>
    </w:p>
    <w:p w14:paraId="3AFC6856" w14:textId="77777777" w:rsidR="00575CDF" w:rsidRPr="00C801A6" w:rsidRDefault="00575CDF" w:rsidP="00575CDF">
      <w:pPr>
        <w:tabs>
          <w:tab w:val="left" w:pos="851"/>
        </w:tabs>
        <w:ind w:left="851" w:hanging="851"/>
        <w:rPr>
          <w:rFonts w:cs="Times New Roman"/>
          <w:b/>
          <w:color w:val="auto"/>
          <w:lang w:eastAsia="fr-CA"/>
        </w:rPr>
      </w:pPr>
      <w:r w:rsidRPr="00C801A6">
        <w:rPr>
          <w:rFonts w:cs="Times New Roman"/>
          <w:b/>
          <w:color w:val="auto"/>
          <w:lang w:eastAsia="fr-CA"/>
        </w:rPr>
        <w:lastRenderedPageBreak/>
        <w:t xml:space="preserve">Éviter / Prévenir : </w:t>
      </w:r>
      <w:r w:rsidRPr="00C801A6">
        <w:rPr>
          <w:rFonts w:cs="Times New Roman"/>
          <w:color w:val="auto"/>
          <w:lang w:eastAsia="fr-CA"/>
        </w:rPr>
        <w:t>L'évitement ou la prévention se réfère à l'examen des options en matière d'emplacement, de localisation, d'échelle, de disposition, de technologie et de phasage du projet afin d'éviter les impacts sur la biodiversité, les services écosystémiques associés et les personnes. C'est ce qu'on appelle "la meilleure option", mais il est reconnu que l'évitement ou la prévention n'est pas toujours possible.</w:t>
      </w:r>
    </w:p>
    <w:p w14:paraId="003B8A8E" w14:textId="77777777" w:rsidR="00575CDF" w:rsidRPr="00C801A6" w:rsidRDefault="64C26F39" w:rsidP="00575CDF">
      <w:pPr>
        <w:tabs>
          <w:tab w:val="left" w:pos="851"/>
        </w:tabs>
        <w:ind w:left="851" w:hanging="851"/>
        <w:rPr>
          <w:rFonts w:cs="Times New Roman"/>
          <w:b/>
          <w:color w:val="auto"/>
          <w:lang w:eastAsia="fr-CA"/>
        </w:rPr>
      </w:pPr>
      <w:r w:rsidRPr="00C801A6">
        <w:rPr>
          <w:rFonts w:cs="Times New Roman"/>
          <w:b/>
          <w:bCs/>
          <w:color w:val="auto"/>
          <w:lang w:eastAsia="fr-CA"/>
        </w:rPr>
        <w:t xml:space="preserve">Minimiser : </w:t>
      </w:r>
      <w:r w:rsidRPr="00C801A6">
        <w:rPr>
          <w:rFonts w:cs="Times New Roman"/>
          <w:color w:val="auto"/>
          <w:lang w:eastAsia="fr-CA"/>
        </w:rPr>
        <w:t>La minimisation fait</w:t>
      </w:r>
      <w:r w:rsidRPr="00C801A6">
        <w:rPr>
          <w:rFonts w:cs="Times New Roman"/>
          <w:b/>
          <w:bCs/>
          <w:color w:val="auto"/>
          <w:lang w:eastAsia="fr-CA"/>
        </w:rPr>
        <w:t xml:space="preserve"> </w:t>
      </w:r>
      <w:r w:rsidRPr="00C801A6">
        <w:rPr>
          <w:rFonts w:cs="Times New Roman"/>
          <w:color w:val="auto"/>
          <w:lang w:eastAsia="fr-CA"/>
        </w:rPr>
        <w:t>référence à la prise en compte d'alternatives dans l'emplacement, la localisation, l'échelle, la disposition, la technologie et le phasage du projet qui permettraient de minimiser les impacts sur la biodiversité, les services écosystémiques et les personnes. Selon la définition de la SFI PS1</w:t>
      </w:r>
      <w:r w:rsidR="00575CDF" w:rsidRPr="00C801A6">
        <w:rPr>
          <w:rStyle w:val="FootnoteReference"/>
          <w:rFonts w:cs="Times New Roman"/>
          <w:color w:val="auto"/>
          <w:lang w:eastAsia="fr-CA"/>
        </w:rPr>
        <w:footnoteReference w:id="22"/>
      </w:r>
      <w:r w:rsidRPr="00C801A6">
        <w:rPr>
          <w:rFonts w:cs="Times New Roman"/>
          <w:color w:val="auto"/>
          <w:lang w:eastAsia="fr-CA"/>
        </w:rPr>
        <w:t>, "les options acceptables pour réduire au minimum varieront et comprendront : la réduction, la rectification, la réparation et/ou la restauration des impacts, selon le cas".</w:t>
      </w:r>
    </w:p>
    <w:p w14:paraId="073F1EDD" w14:textId="77777777" w:rsidR="00575CDF" w:rsidRPr="00C801A6" w:rsidRDefault="00575CDF" w:rsidP="00575CDF">
      <w:pPr>
        <w:tabs>
          <w:tab w:val="left" w:pos="851"/>
        </w:tabs>
        <w:ind w:left="851" w:hanging="851"/>
        <w:rPr>
          <w:rFonts w:cs="Times New Roman"/>
          <w:b/>
          <w:color w:val="auto"/>
          <w:lang w:eastAsia="fr-CA"/>
        </w:rPr>
      </w:pPr>
      <w:r w:rsidRPr="00C801A6">
        <w:rPr>
          <w:rFonts w:cs="Times New Roman"/>
          <w:b/>
          <w:color w:val="auto"/>
          <w:lang w:eastAsia="fr-CA"/>
        </w:rPr>
        <w:t xml:space="preserve">Réhabiliter / Restaurer : </w:t>
      </w:r>
      <w:r w:rsidRPr="00C801A6">
        <w:rPr>
          <w:rFonts w:cs="Times New Roman"/>
          <w:color w:val="auto"/>
          <w:lang w:eastAsia="fr-CA"/>
        </w:rPr>
        <w:t>La réhabilitation se réfère à la prise en compte de la réhabilitation des zones où les impacts sont inévitables et des mesures sont prévues pour ramener les zones touchées à un état proche de la nature ou à une utilisation des terres convenue.</w:t>
      </w:r>
    </w:p>
    <w:p w14:paraId="1B8FBD62" w14:textId="77777777" w:rsidR="00575CDF" w:rsidRPr="00C801A6" w:rsidRDefault="00575CDF" w:rsidP="00575CDF">
      <w:pPr>
        <w:tabs>
          <w:tab w:val="left" w:pos="851"/>
        </w:tabs>
        <w:ind w:left="851" w:hanging="851"/>
        <w:rPr>
          <w:rFonts w:cs="Times New Roman"/>
          <w:color w:val="auto"/>
          <w:lang w:eastAsia="fr-CA"/>
        </w:rPr>
      </w:pPr>
      <w:r w:rsidRPr="00C801A6">
        <w:rPr>
          <w:rFonts w:cs="Times New Roman"/>
          <w:b/>
          <w:color w:val="auto"/>
          <w:lang w:eastAsia="fr-CA"/>
        </w:rPr>
        <w:t xml:space="preserve">Compenser : </w:t>
      </w:r>
      <w:r w:rsidRPr="00C801A6">
        <w:rPr>
          <w:rFonts w:cs="Times New Roman"/>
          <w:color w:val="auto"/>
          <w:lang w:eastAsia="fr-CA"/>
        </w:rPr>
        <w:t>La compensation consiste à envisager des mesures, en plus de la réhabilitation, pour compenser les effets négatifs résiduels sur les services écosystémiques de la biodiversité et sur les populations, après que tous les efforts aient été faits pour minimiser puis réhabiliter les impacts.</w:t>
      </w:r>
    </w:p>
    <w:p w14:paraId="74612A30" w14:textId="2DA79A81" w:rsidR="00575CDF" w:rsidRPr="00C801A6" w:rsidRDefault="00575CDF" w:rsidP="00575CDF">
      <w:pPr>
        <w:tabs>
          <w:tab w:val="left" w:pos="851"/>
        </w:tabs>
        <w:ind w:left="851"/>
        <w:rPr>
          <w:rFonts w:cs="Times New Roman"/>
          <w:color w:val="auto"/>
          <w:lang w:eastAsia="fr-CA"/>
        </w:rPr>
      </w:pPr>
      <w:r w:rsidRPr="00C801A6">
        <w:rPr>
          <w:rFonts w:cs="Times New Roman"/>
          <w:color w:val="auto"/>
          <w:lang w:eastAsia="fr-CA"/>
        </w:rPr>
        <w:t xml:space="preserve">Dans le cas du </w:t>
      </w:r>
      <w:r w:rsidR="00D6045D" w:rsidRPr="00C801A6">
        <w:rPr>
          <w:rFonts w:cs="Times New Roman"/>
          <w:color w:val="auto"/>
          <w:lang w:eastAsia="fr-CA"/>
        </w:rPr>
        <w:t>P</w:t>
      </w:r>
      <w:r w:rsidR="00FD3227">
        <w:rPr>
          <w:rFonts w:cs="Times New Roman"/>
          <w:color w:val="auto"/>
          <w:lang w:eastAsia="fr-CA"/>
        </w:rPr>
        <w:t>CMCI</w:t>
      </w:r>
      <w:r w:rsidRPr="00C801A6">
        <w:rPr>
          <w:rFonts w:cs="Times New Roman"/>
          <w:color w:val="auto"/>
          <w:lang w:eastAsia="fr-CA"/>
        </w:rPr>
        <w:t>, les compensations essentiellement liées aux pertes d’actifs durant la mise en œuvre des Plans de réinstallation.</w:t>
      </w:r>
    </w:p>
    <w:p w14:paraId="4E9C5CF9" w14:textId="77777777" w:rsidR="00575CDF" w:rsidRPr="00C801A6" w:rsidRDefault="00575CDF" w:rsidP="00575CDF">
      <w:pPr>
        <w:spacing w:line="240" w:lineRule="auto"/>
        <w:jc w:val="center"/>
        <w:rPr>
          <w:rFonts w:cs="Times New Roman"/>
          <w:color w:val="auto"/>
          <w:lang w:val="en-ZA"/>
        </w:rPr>
      </w:pPr>
      <w:r w:rsidRPr="00C801A6">
        <w:rPr>
          <w:rFonts w:eastAsia="Arial" w:cs="Times New Roman"/>
          <w:noProof/>
          <w:color w:val="auto"/>
          <w:sz w:val="20"/>
          <w:lang w:eastAsia="fr-FR"/>
        </w:rPr>
        <w:drawing>
          <wp:inline distT="0" distB="0" distL="0" distR="0" wp14:anchorId="3829B979" wp14:editId="33BD1C44">
            <wp:extent cx="4215400" cy="2613804"/>
            <wp:effectExtent l="19050" t="19050" r="13970" b="15240"/>
            <wp:docPr id="40650817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9" cstate="email">
                      <a:extLst>
                        <a:ext uri="{28A0092B-C50C-407E-A947-70E740481C1C}">
                          <a14:useLocalDpi xmlns:a14="http://schemas.microsoft.com/office/drawing/2010/main"/>
                        </a:ext>
                      </a:extLst>
                    </a:blip>
                    <a:stretch>
                      <a:fillRect/>
                    </a:stretch>
                  </pic:blipFill>
                  <pic:spPr bwMode="auto">
                    <a:xfrm>
                      <a:off x="0" y="0"/>
                      <a:ext cx="4229146" cy="2622327"/>
                    </a:xfrm>
                    <a:prstGeom prst="rect">
                      <a:avLst/>
                    </a:prstGeom>
                    <a:noFill/>
                    <a:ln w="635">
                      <a:solidFill>
                        <a:schemeClr val="accent1">
                          <a:lumMod val="40000"/>
                          <a:lumOff val="60000"/>
                        </a:schemeClr>
                      </a:solidFill>
                    </a:ln>
                  </pic:spPr>
                </pic:pic>
              </a:graphicData>
            </a:graphic>
          </wp:inline>
        </w:drawing>
      </w:r>
    </w:p>
    <w:p w14:paraId="5FA7A37B" w14:textId="19E706EE" w:rsidR="00575CDF" w:rsidRPr="00C801A6" w:rsidRDefault="00FD3227" w:rsidP="00FD3227">
      <w:pPr>
        <w:pStyle w:val="Caption"/>
        <w:rPr>
          <w:color w:val="auto"/>
        </w:rPr>
      </w:pPr>
      <w:bookmarkStart w:id="624" w:name="_Toc63951313"/>
      <w:bookmarkStart w:id="625" w:name="_Toc70669791"/>
      <w:bookmarkStart w:id="626" w:name="_Ref71632571"/>
      <w:bookmarkStart w:id="627" w:name="_Toc230426716"/>
      <w:r>
        <w:t xml:space="preserve">Figure </w:t>
      </w:r>
      <w:r w:rsidR="004233C4">
        <w:fldChar w:fldCharType="begin"/>
      </w:r>
      <w:r w:rsidR="004233C4">
        <w:instrText xml:space="preserve"> SEQ Figure \* ARABIC </w:instrText>
      </w:r>
      <w:r w:rsidR="004233C4">
        <w:fldChar w:fldCharType="separate"/>
      </w:r>
      <w:r w:rsidR="00D13682">
        <w:rPr>
          <w:noProof/>
        </w:rPr>
        <w:t>21</w:t>
      </w:r>
      <w:r w:rsidR="004233C4">
        <w:rPr>
          <w:noProof/>
        </w:rPr>
        <w:fldChar w:fldCharType="end"/>
      </w:r>
      <w:r w:rsidR="00575CDF" w:rsidRPr="00C801A6">
        <w:rPr>
          <w:color w:val="auto"/>
        </w:rPr>
        <w:t xml:space="preserve"> : </w:t>
      </w:r>
      <w:r w:rsidR="0043267D" w:rsidRPr="00C801A6">
        <w:rPr>
          <w:color w:val="auto"/>
        </w:rPr>
        <w:t>H</w:t>
      </w:r>
      <w:r w:rsidR="0043267D" w:rsidRPr="00C801A6">
        <w:rPr>
          <w:caps w:val="0"/>
          <w:color w:val="auto"/>
        </w:rPr>
        <w:t>iérarchie des mesures d'atténuation d'un impact</w:t>
      </w:r>
      <w:bookmarkEnd w:id="624"/>
      <w:bookmarkEnd w:id="625"/>
      <w:bookmarkEnd w:id="626"/>
      <w:bookmarkEnd w:id="627"/>
      <w:r w:rsidR="0043267D" w:rsidRPr="00C801A6">
        <w:rPr>
          <w:caps w:val="0"/>
          <w:color w:val="auto"/>
        </w:rPr>
        <w:t xml:space="preserve"> </w:t>
      </w:r>
    </w:p>
    <w:p w14:paraId="3D379C85" w14:textId="77777777" w:rsidR="00575CDF" w:rsidRPr="00C801A6" w:rsidRDefault="00575CDF" w:rsidP="00575CDF">
      <w:pPr>
        <w:rPr>
          <w:color w:val="auto"/>
        </w:rPr>
      </w:pPr>
      <w:r w:rsidRPr="00C801A6">
        <w:rPr>
          <w:color w:val="auto"/>
        </w:rPr>
        <w:t>La compensation vient en dernier recours.</w:t>
      </w:r>
    </w:p>
    <w:p w14:paraId="197C774E" w14:textId="77777777" w:rsidR="00575CDF" w:rsidRPr="00C801A6" w:rsidRDefault="00575CDF" w:rsidP="00C65572">
      <w:pPr>
        <w:pStyle w:val="Heading3"/>
      </w:pPr>
      <w:bookmarkStart w:id="628" w:name="_Toc71794944"/>
      <w:bookmarkStart w:id="629" w:name="_Toc106320357"/>
      <w:bookmarkStart w:id="630" w:name="_Toc230426063"/>
      <w:r w:rsidRPr="00C801A6">
        <w:t>Mesures types</w:t>
      </w:r>
      <w:bookmarkEnd w:id="628"/>
      <w:bookmarkEnd w:id="629"/>
      <w:bookmarkEnd w:id="630"/>
    </w:p>
    <w:p w14:paraId="6EBAE9DC" w14:textId="0153D9BE" w:rsidR="0064072D" w:rsidRPr="00C801A6" w:rsidRDefault="00575CDF" w:rsidP="00575CDF">
      <w:pPr>
        <w:rPr>
          <w:color w:val="auto"/>
        </w:rPr>
      </w:pPr>
      <w:r w:rsidRPr="00C801A6">
        <w:rPr>
          <w:color w:val="auto"/>
        </w:rPr>
        <w:t>A titre de rappel, les mesures d’évitement sont prioritaires.</w:t>
      </w:r>
    </w:p>
    <w:p w14:paraId="08D50BEB" w14:textId="6B55BD12" w:rsidR="002430C3" w:rsidRPr="00C801A6" w:rsidRDefault="00FD3227" w:rsidP="003042DB">
      <w:pPr>
        <w:pStyle w:val="Heading4"/>
        <w:rPr>
          <w:color w:val="auto"/>
        </w:rPr>
      </w:pPr>
      <w:bookmarkStart w:id="631" w:name="_Toc230298808"/>
      <w:r>
        <w:rPr>
          <w:color w:val="auto"/>
        </w:rPr>
        <w:lastRenderedPageBreak/>
        <w:t>PHASE DE PREPARATION</w:t>
      </w:r>
      <w:r w:rsidR="002430C3" w:rsidRPr="00C801A6">
        <w:rPr>
          <w:color w:val="auto"/>
        </w:rPr>
        <w:t>,</w:t>
      </w:r>
      <w:bookmarkEnd w:id="631"/>
      <w:r w:rsidR="002430C3" w:rsidRPr="00C801A6">
        <w:rPr>
          <w:color w:val="auto"/>
        </w:rPr>
        <w:t xml:space="preserve"> </w:t>
      </w:r>
    </w:p>
    <w:p w14:paraId="7789C114" w14:textId="5F4DCAD8" w:rsidR="00FD3227" w:rsidRPr="00FD3227" w:rsidRDefault="00FD3227" w:rsidP="00FD3227">
      <w:pPr>
        <w:pStyle w:val="Caption"/>
      </w:pPr>
      <w:bookmarkStart w:id="632" w:name="_Toc230427745"/>
      <w:r>
        <w:t xml:space="preserve">Tableau </w:t>
      </w:r>
      <w:r w:rsidR="00E44887">
        <w:fldChar w:fldCharType="begin"/>
      </w:r>
      <w:r w:rsidR="00E44887">
        <w:instrText xml:space="preserve"> SEQ Tableau \* ARABIC </w:instrText>
      </w:r>
      <w:r w:rsidR="00E44887">
        <w:fldChar w:fldCharType="separate"/>
      </w:r>
      <w:r w:rsidR="00253F1A">
        <w:rPr>
          <w:noProof/>
        </w:rPr>
        <w:t>25</w:t>
      </w:r>
      <w:r w:rsidR="00E44887">
        <w:rPr>
          <w:noProof/>
        </w:rPr>
        <w:fldChar w:fldCharType="end"/>
      </w:r>
      <w:r>
        <w:t> : MESURES TYPES LIEES AUX TRAVAUX PREPARATOIRES</w:t>
      </w:r>
      <w:bookmarkEnd w:id="632"/>
    </w:p>
    <w:tbl>
      <w:tblPr>
        <w:tblStyle w:val="TableGrid"/>
        <w:tblW w:w="0" w:type="auto"/>
        <w:tblLook w:val="04A0" w:firstRow="1" w:lastRow="0" w:firstColumn="1" w:lastColumn="0" w:noHBand="0" w:noVBand="1"/>
      </w:tblPr>
      <w:tblGrid>
        <w:gridCol w:w="3287"/>
        <w:gridCol w:w="2901"/>
        <w:gridCol w:w="2873"/>
      </w:tblGrid>
      <w:tr w:rsidR="00C801A6" w:rsidRPr="00C801A6" w14:paraId="25906B76" w14:textId="77777777" w:rsidTr="00FD3227">
        <w:trPr>
          <w:tblHeader/>
        </w:trPr>
        <w:tc>
          <w:tcPr>
            <w:tcW w:w="3287" w:type="dxa"/>
            <w:tcBorders>
              <w:bottom w:val="single" w:sz="4" w:space="0" w:color="auto"/>
            </w:tcBorders>
            <w:shd w:val="clear" w:color="auto" w:fill="E2EFD9" w:themeFill="accent6" w:themeFillTint="33"/>
          </w:tcPr>
          <w:p w14:paraId="710E90D9" w14:textId="77777777" w:rsidR="00575CDF" w:rsidRPr="00C801A6" w:rsidRDefault="00575CDF" w:rsidP="00347FDB">
            <w:pPr>
              <w:spacing w:before="80" w:after="80" w:line="240" w:lineRule="auto"/>
              <w:rPr>
                <w:b/>
                <w:color w:val="auto"/>
                <w:sz w:val="22"/>
              </w:rPr>
            </w:pPr>
            <w:r w:rsidRPr="00C801A6">
              <w:rPr>
                <w:b/>
                <w:color w:val="auto"/>
                <w:sz w:val="22"/>
              </w:rPr>
              <w:t>Impacts types</w:t>
            </w:r>
          </w:p>
        </w:tc>
        <w:tc>
          <w:tcPr>
            <w:tcW w:w="2901" w:type="dxa"/>
            <w:tcBorders>
              <w:bottom w:val="single" w:sz="4" w:space="0" w:color="auto"/>
            </w:tcBorders>
            <w:shd w:val="clear" w:color="auto" w:fill="E2EFD9" w:themeFill="accent6" w:themeFillTint="33"/>
          </w:tcPr>
          <w:p w14:paraId="56D7D81B" w14:textId="77777777" w:rsidR="00575CDF" w:rsidRPr="00C801A6" w:rsidRDefault="00575CDF" w:rsidP="00347FDB">
            <w:pPr>
              <w:spacing w:before="80" w:after="80" w:line="240" w:lineRule="auto"/>
              <w:rPr>
                <w:b/>
                <w:color w:val="auto"/>
                <w:sz w:val="22"/>
              </w:rPr>
            </w:pPr>
            <w:r w:rsidRPr="00C801A6">
              <w:rPr>
                <w:b/>
                <w:color w:val="auto"/>
                <w:sz w:val="22"/>
              </w:rPr>
              <w:t>Mesures d’évitement types</w:t>
            </w:r>
          </w:p>
        </w:tc>
        <w:tc>
          <w:tcPr>
            <w:tcW w:w="2873" w:type="dxa"/>
            <w:tcBorders>
              <w:bottom w:val="single" w:sz="4" w:space="0" w:color="auto"/>
            </w:tcBorders>
            <w:shd w:val="clear" w:color="auto" w:fill="E2EFD9" w:themeFill="accent6" w:themeFillTint="33"/>
          </w:tcPr>
          <w:p w14:paraId="318A66A4" w14:textId="77777777" w:rsidR="00575CDF" w:rsidRPr="00C801A6" w:rsidRDefault="00575CDF" w:rsidP="00347FDB">
            <w:pPr>
              <w:spacing w:before="80" w:after="80" w:line="240" w:lineRule="auto"/>
              <w:rPr>
                <w:b/>
                <w:color w:val="auto"/>
                <w:sz w:val="22"/>
              </w:rPr>
            </w:pPr>
            <w:r w:rsidRPr="00C801A6">
              <w:rPr>
                <w:b/>
                <w:color w:val="auto"/>
                <w:sz w:val="22"/>
              </w:rPr>
              <w:t>Mesures d’atténuation types</w:t>
            </w:r>
          </w:p>
        </w:tc>
      </w:tr>
      <w:tr w:rsidR="00C801A6" w:rsidRPr="00C801A6" w14:paraId="13FDEC76" w14:textId="77777777" w:rsidTr="00FD3227">
        <w:tc>
          <w:tcPr>
            <w:tcW w:w="3287" w:type="dxa"/>
            <w:tcBorders>
              <w:top w:val="single" w:sz="4" w:space="0" w:color="auto"/>
              <w:left w:val="single" w:sz="4" w:space="0" w:color="auto"/>
              <w:bottom w:val="single" w:sz="4" w:space="0" w:color="auto"/>
              <w:right w:val="nil"/>
            </w:tcBorders>
            <w:shd w:val="clear" w:color="auto" w:fill="D0CECE" w:themeFill="background2" w:themeFillShade="E6"/>
          </w:tcPr>
          <w:p w14:paraId="30774517" w14:textId="77777777" w:rsidR="00575CDF" w:rsidRPr="00C801A6" w:rsidRDefault="00575CDF" w:rsidP="00347FDB">
            <w:pPr>
              <w:spacing w:before="60" w:after="60"/>
              <w:rPr>
                <w:b/>
                <w:color w:val="auto"/>
                <w:sz w:val="22"/>
                <w:lang w:eastAsia="fr-FR"/>
              </w:rPr>
            </w:pPr>
            <w:r w:rsidRPr="00C801A6">
              <w:rPr>
                <w:b/>
                <w:color w:val="auto"/>
                <w:sz w:val="22"/>
                <w:lang w:eastAsia="fr-FR"/>
              </w:rPr>
              <w:t>Milieux biophysiques</w:t>
            </w:r>
          </w:p>
        </w:tc>
        <w:tc>
          <w:tcPr>
            <w:tcW w:w="2901" w:type="dxa"/>
            <w:tcBorders>
              <w:top w:val="single" w:sz="4" w:space="0" w:color="auto"/>
              <w:left w:val="nil"/>
              <w:bottom w:val="single" w:sz="4" w:space="0" w:color="auto"/>
              <w:right w:val="nil"/>
            </w:tcBorders>
            <w:shd w:val="clear" w:color="auto" w:fill="D0CECE" w:themeFill="background2" w:themeFillShade="E6"/>
          </w:tcPr>
          <w:p w14:paraId="6AA2582C" w14:textId="77777777" w:rsidR="00575CDF" w:rsidRPr="00C801A6" w:rsidRDefault="00575CDF" w:rsidP="00347FDB">
            <w:pPr>
              <w:spacing w:before="60" w:after="60"/>
              <w:rPr>
                <w:b/>
                <w:color w:val="auto"/>
                <w:sz w:val="22"/>
                <w:lang w:eastAsia="fr-FR"/>
              </w:rPr>
            </w:pPr>
          </w:p>
        </w:tc>
        <w:tc>
          <w:tcPr>
            <w:tcW w:w="2873" w:type="dxa"/>
            <w:tcBorders>
              <w:top w:val="single" w:sz="4" w:space="0" w:color="auto"/>
              <w:left w:val="nil"/>
              <w:bottom w:val="single" w:sz="4" w:space="0" w:color="auto"/>
              <w:right w:val="single" w:sz="4" w:space="0" w:color="auto"/>
            </w:tcBorders>
            <w:shd w:val="clear" w:color="auto" w:fill="D0CECE" w:themeFill="background2" w:themeFillShade="E6"/>
          </w:tcPr>
          <w:p w14:paraId="711D8180" w14:textId="77777777" w:rsidR="00575CDF" w:rsidRPr="00C801A6" w:rsidRDefault="00575CDF" w:rsidP="00347FDB">
            <w:pPr>
              <w:spacing w:before="60" w:after="60"/>
              <w:rPr>
                <w:b/>
                <w:color w:val="auto"/>
                <w:sz w:val="22"/>
                <w:lang w:eastAsia="fr-FR"/>
              </w:rPr>
            </w:pPr>
          </w:p>
        </w:tc>
      </w:tr>
      <w:tr w:rsidR="00C801A6" w:rsidRPr="00C801A6" w14:paraId="4304828C" w14:textId="77777777" w:rsidTr="00FD3227">
        <w:tc>
          <w:tcPr>
            <w:tcW w:w="3287" w:type="dxa"/>
          </w:tcPr>
          <w:p w14:paraId="0F652025" w14:textId="136F6C94" w:rsidR="00575CDF" w:rsidRPr="00C801A6" w:rsidRDefault="00575CDF" w:rsidP="00347FDB">
            <w:pPr>
              <w:spacing w:before="60"/>
              <w:jc w:val="left"/>
              <w:rPr>
                <w:color w:val="auto"/>
                <w:sz w:val="22"/>
                <w:lang w:eastAsia="fr-FR"/>
              </w:rPr>
            </w:pPr>
            <w:r w:rsidRPr="00C801A6">
              <w:rPr>
                <w:color w:val="auto"/>
                <w:sz w:val="22"/>
                <w:lang w:eastAsia="fr-FR"/>
              </w:rPr>
              <w:t xml:space="preserve">Installation de la base-vie : risques de recrudescence d’actes </w:t>
            </w:r>
            <w:r w:rsidR="006F38A3">
              <w:rPr>
                <w:color w:val="auto"/>
                <w:sz w:val="22"/>
                <w:lang w:eastAsia="fr-FR"/>
              </w:rPr>
              <w:t xml:space="preserve">EAS-HS </w:t>
            </w:r>
            <w:r w:rsidRPr="00C801A6">
              <w:rPr>
                <w:color w:val="auto"/>
                <w:sz w:val="22"/>
                <w:lang w:eastAsia="fr-FR"/>
              </w:rPr>
              <w:t>, risques de pollution, autres</w:t>
            </w:r>
          </w:p>
        </w:tc>
        <w:tc>
          <w:tcPr>
            <w:tcW w:w="2901" w:type="dxa"/>
          </w:tcPr>
          <w:p w14:paraId="358EE48A" w14:textId="77777777" w:rsidR="00575CDF" w:rsidRPr="00C801A6" w:rsidRDefault="00575CDF" w:rsidP="00844538">
            <w:pPr>
              <w:pStyle w:val="ListParagraph"/>
              <w:numPr>
                <w:ilvl w:val="0"/>
                <w:numId w:val="28"/>
              </w:numPr>
              <w:spacing w:before="60" w:line="276" w:lineRule="auto"/>
              <w:ind w:left="142" w:hanging="142"/>
              <w:contextualSpacing w:val="0"/>
              <w:jc w:val="left"/>
              <w:rPr>
                <w:color w:val="auto"/>
                <w:sz w:val="22"/>
              </w:rPr>
            </w:pPr>
            <w:r w:rsidRPr="00C801A6">
              <w:rPr>
                <w:color w:val="auto"/>
                <w:sz w:val="22"/>
              </w:rPr>
              <w:t>Aucune</w:t>
            </w:r>
          </w:p>
        </w:tc>
        <w:tc>
          <w:tcPr>
            <w:tcW w:w="2873" w:type="dxa"/>
          </w:tcPr>
          <w:p w14:paraId="45E24558" w14:textId="77777777" w:rsidR="00575CDF" w:rsidRPr="00C801A6" w:rsidRDefault="00575CDF" w:rsidP="00844538">
            <w:pPr>
              <w:pStyle w:val="ListParagraph"/>
              <w:numPr>
                <w:ilvl w:val="0"/>
                <w:numId w:val="28"/>
              </w:numPr>
              <w:spacing w:before="60" w:line="276" w:lineRule="auto"/>
              <w:ind w:left="142" w:hanging="142"/>
              <w:contextualSpacing w:val="0"/>
              <w:jc w:val="left"/>
              <w:rPr>
                <w:color w:val="auto"/>
                <w:sz w:val="22"/>
              </w:rPr>
            </w:pPr>
            <w:r w:rsidRPr="00C801A6">
              <w:rPr>
                <w:color w:val="auto"/>
                <w:sz w:val="22"/>
              </w:rPr>
              <w:t>Installer la base-vie à :</w:t>
            </w:r>
          </w:p>
          <w:p w14:paraId="148B1830" w14:textId="3C48D1BE" w:rsidR="00575CDF" w:rsidRPr="00C801A6" w:rsidRDefault="00575CDF" w:rsidP="00844538">
            <w:pPr>
              <w:pStyle w:val="ListParagraph"/>
              <w:numPr>
                <w:ilvl w:val="1"/>
                <w:numId w:val="28"/>
              </w:numPr>
              <w:spacing w:before="60" w:line="276" w:lineRule="auto"/>
              <w:ind w:left="284" w:hanging="142"/>
              <w:contextualSpacing w:val="0"/>
              <w:rPr>
                <w:color w:val="auto"/>
                <w:sz w:val="22"/>
              </w:rPr>
            </w:pPr>
            <w:r w:rsidRPr="00C801A6">
              <w:rPr>
                <w:color w:val="auto"/>
                <w:sz w:val="22"/>
              </w:rPr>
              <w:t xml:space="preserve">Le plus loin possible de la zone habitée la plus proche afin de contribuer à la minimisation des risques d’actes </w:t>
            </w:r>
            <w:r w:rsidR="006F38A3">
              <w:rPr>
                <w:color w:val="auto"/>
                <w:sz w:val="22"/>
              </w:rPr>
              <w:t xml:space="preserve">EAS-HS </w:t>
            </w:r>
          </w:p>
          <w:p w14:paraId="372BAD66" w14:textId="77777777" w:rsidR="00575CDF" w:rsidRPr="00C801A6" w:rsidRDefault="00575CDF" w:rsidP="00844538">
            <w:pPr>
              <w:pStyle w:val="ListParagraph"/>
              <w:numPr>
                <w:ilvl w:val="1"/>
                <w:numId w:val="28"/>
              </w:numPr>
              <w:spacing w:before="60" w:line="276" w:lineRule="auto"/>
              <w:ind w:left="284" w:hanging="142"/>
              <w:contextualSpacing w:val="0"/>
              <w:jc w:val="left"/>
              <w:rPr>
                <w:color w:val="auto"/>
                <w:sz w:val="22"/>
              </w:rPr>
            </w:pPr>
            <w:r w:rsidRPr="00C801A6">
              <w:rPr>
                <w:color w:val="auto"/>
                <w:sz w:val="22"/>
              </w:rPr>
              <w:t>au moins 50m d’un plan d’eau</w:t>
            </w:r>
          </w:p>
          <w:p w14:paraId="21A7F23B" w14:textId="6AFE3A7A" w:rsidR="00575CDF" w:rsidRPr="00C801A6" w:rsidRDefault="00575CDF" w:rsidP="00844538">
            <w:pPr>
              <w:pStyle w:val="ListParagraph"/>
              <w:numPr>
                <w:ilvl w:val="0"/>
                <w:numId w:val="28"/>
              </w:numPr>
              <w:spacing w:before="60" w:line="276" w:lineRule="auto"/>
              <w:ind w:left="142" w:hanging="142"/>
              <w:contextualSpacing w:val="0"/>
              <w:rPr>
                <w:color w:val="auto"/>
                <w:sz w:val="22"/>
              </w:rPr>
            </w:pPr>
            <w:r w:rsidRPr="00C801A6">
              <w:rPr>
                <w:color w:val="auto"/>
                <w:sz w:val="22"/>
              </w:rPr>
              <w:t>installer des douches et des latrines</w:t>
            </w:r>
            <w:r w:rsidR="006D0EA6">
              <w:rPr>
                <w:color w:val="auto"/>
                <w:sz w:val="22"/>
              </w:rPr>
              <w:t xml:space="preserve"> genrés</w:t>
            </w:r>
            <w:r w:rsidRPr="00C801A6">
              <w:rPr>
                <w:color w:val="auto"/>
                <w:sz w:val="22"/>
              </w:rPr>
              <w:t xml:space="preserve"> dans la base-vie</w:t>
            </w:r>
          </w:p>
        </w:tc>
      </w:tr>
      <w:tr w:rsidR="00C801A6" w:rsidRPr="00C801A6" w14:paraId="41FA9D3A" w14:textId="77777777" w:rsidTr="00FD3227">
        <w:tc>
          <w:tcPr>
            <w:tcW w:w="3287" w:type="dxa"/>
            <w:tcBorders>
              <w:bottom w:val="single" w:sz="4" w:space="0" w:color="auto"/>
            </w:tcBorders>
          </w:tcPr>
          <w:p w14:paraId="1F1108C8" w14:textId="77777777" w:rsidR="00575CDF" w:rsidRPr="00C801A6" w:rsidRDefault="00575CDF" w:rsidP="00347FDB">
            <w:pPr>
              <w:spacing w:before="60" w:line="240" w:lineRule="auto"/>
              <w:jc w:val="left"/>
              <w:rPr>
                <w:color w:val="auto"/>
                <w:sz w:val="22"/>
                <w:lang w:eastAsia="fr-FR"/>
              </w:rPr>
            </w:pPr>
            <w:r w:rsidRPr="00C801A6">
              <w:rPr>
                <w:color w:val="auto"/>
                <w:sz w:val="22"/>
                <w:lang w:eastAsia="fr-FR"/>
              </w:rPr>
              <w:t>Perte de couverture végétale / base-vie</w:t>
            </w:r>
          </w:p>
        </w:tc>
        <w:tc>
          <w:tcPr>
            <w:tcW w:w="2901" w:type="dxa"/>
            <w:tcBorders>
              <w:bottom w:val="single" w:sz="4" w:space="0" w:color="auto"/>
            </w:tcBorders>
          </w:tcPr>
          <w:p w14:paraId="6B8AA4EA" w14:textId="77777777" w:rsidR="00575CDF" w:rsidRPr="00C801A6" w:rsidRDefault="00575CDF" w:rsidP="00844538">
            <w:pPr>
              <w:pStyle w:val="ListParagraph"/>
              <w:numPr>
                <w:ilvl w:val="0"/>
                <w:numId w:val="28"/>
              </w:numPr>
              <w:spacing w:before="60" w:line="276" w:lineRule="auto"/>
              <w:ind w:left="142" w:hanging="142"/>
              <w:contextualSpacing w:val="0"/>
              <w:jc w:val="left"/>
              <w:rPr>
                <w:color w:val="auto"/>
                <w:sz w:val="22"/>
              </w:rPr>
            </w:pPr>
            <w:r w:rsidRPr="00C801A6">
              <w:rPr>
                <w:color w:val="auto"/>
                <w:sz w:val="22"/>
              </w:rPr>
              <w:t>Aucune</w:t>
            </w:r>
          </w:p>
        </w:tc>
        <w:tc>
          <w:tcPr>
            <w:tcW w:w="2873" w:type="dxa"/>
            <w:tcBorders>
              <w:bottom w:val="single" w:sz="4" w:space="0" w:color="auto"/>
            </w:tcBorders>
          </w:tcPr>
          <w:p w14:paraId="40E5910E" w14:textId="77777777" w:rsidR="00575CDF" w:rsidRPr="00C801A6" w:rsidRDefault="00575CDF" w:rsidP="00844538">
            <w:pPr>
              <w:pStyle w:val="ListParagraph"/>
              <w:numPr>
                <w:ilvl w:val="0"/>
                <w:numId w:val="28"/>
              </w:numPr>
              <w:spacing w:before="60" w:line="276" w:lineRule="auto"/>
              <w:ind w:left="142" w:hanging="142"/>
              <w:contextualSpacing w:val="0"/>
              <w:jc w:val="left"/>
              <w:rPr>
                <w:color w:val="auto"/>
                <w:sz w:val="22"/>
              </w:rPr>
            </w:pPr>
            <w:r w:rsidRPr="00C801A6">
              <w:rPr>
                <w:color w:val="auto"/>
                <w:sz w:val="22"/>
              </w:rPr>
              <w:t>Limiter le débroussaillage au strict nécessaire</w:t>
            </w:r>
          </w:p>
        </w:tc>
      </w:tr>
      <w:tr w:rsidR="00C801A6" w:rsidRPr="00C801A6" w14:paraId="11CAF0E8" w14:textId="77777777" w:rsidTr="00FD3227">
        <w:tc>
          <w:tcPr>
            <w:tcW w:w="3287" w:type="dxa"/>
            <w:tcBorders>
              <w:top w:val="single" w:sz="4" w:space="0" w:color="auto"/>
              <w:left w:val="single" w:sz="4" w:space="0" w:color="auto"/>
              <w:bottom w:val="single" w:sz="4" w:space="0" w:color="auto"/>
              <w:right w:val="nil"/>
            </w:tcBorders>
            <w:shd w:val="clear" w:color="auto" w:fill="D0CECE" w:themeFill="background2" w:themeFillShade="E6"/>
          </w:tcPr>
          <w:p w14:paraId="466E9D6D" w14:textId="77777777" w:rsidR="00575CDF" w:rsidRPr="00C801A6" w:rsidRDefault="00575CDF" w:rsidP="00347FDB">
            <w:pPr>
              <w:spacing w:before="60" w:after="60"/>
              <w:jc w:val="left"/>
              <w:rPr>
                <w:b/>
                <w:color w:val="auto"/>
                <w:sz w:val="22"/>
                <w:lang w:eastAsia="fr-FR"/>
              </w:rPr>
            </w:pPr>
            <w:r w:rsidRPr="00C801A6">
              <w:rPr>
                <w:b/>
                <w:color w:val="auto"/>
                <w:sz w:val="22"/>
                <w:lang w:eastAsia="fr-FR"/>
              </w:rPr>
              <w:t>Impacts socioéconomiques</w:t>
            </w:r>
          </w:p>
        </w:tc>
        <w:tc>
          <w:tcPr>
            <w:tcW w:w="2901" w:type="dxa"/>
            <w:tcBorders>
              <w:top w:val="single" w:sz="4" w:space="0" w:color="auto"/>
              <w:left w:val="nil"/>
              <w:bottom w:val="single" w:sz="4" w:space="0" w:color="auto"/>
              <w:right w:val="nil"/>
            </w:tcBorders>
            <w:shd w:val="clear" w:color="auto" w:fill="D0CECE" w:themeFill="background2" w:themeFillShade="E6"/>
          </w:tcPr>
          <w:p w14:paraId="1C9A32E5" w14:textId="77777777" w:rsidR="00575CDF" w:rsidRPr="00C801A6" w:rsidRDefault="00575CDF" w:rsidP="00347FDB">
            <w:pPr>
              <w:spacing w:before="60" w:after="60"/>
              <w:jc w:val="left"/>
              <w:rPr>
                <w:b/>
                <w:color w:val="auto"/>
                <w:sz w:val="22"/>
                <w:lang w:eastAsia="fr-FR"/>
              </w:rPr>
            </w:pPr>
          </w:p>
        </w:tc>
        <w:tc>
          <w:tcPr>
            <w:tcW w:w="2873" w:type="dxa"/>
            <w:tcBorders>
              <w:top w:val="single" w:sz="4" w:space="0" w:color="auto"/>
              <w:left w:val="nil"/>
              <w:bottom w:val="single" w:sz="4" w:space="0" w:color="auto"/>
              <w:right w:val="single" w:sz="4" w:space="0" w:color="auto"/>
            </w:tcBorders>
            <w:shd w:val="clear" w:color="auto" w:fill="D0CECE" w:themeFill="background2" w:themeFillShade="E6"/>
          </w:tcPr>
          <w:p w14:paraId="629F3BED" w14:textId="77777777" w:rsidR="00575CDF" w:rsidRPr="00C801A6" w:rsidRDefault="00575CDF" w:rsidP="00347FDB">
            <w:pPr>
              <w:spacing w:before="60" w:after="60"/>
              <w:jc w:val="left"/>
              <w:rPr>
                <w:b/>
                <w:color w:val="auto"/>
                <w:sz w:val="22"/>
                <w:lang w:eastAsia="fr-FR"/>
              </w:rPr>
            </w:pPr>
          </w:p>
        </w:tc>
      </w:tr>
      <w:tr w:rsidR="00C801A6" w:rsidRPr="00C801A6" w14:paraId="42EDFFC1" w14:textId="77777777" w:rsidTr="00FD3227">
        <w:tc>
          <w:tcPr>
            <w:tcW w:w="3287" w:type="dxa"/>
            <w:tcBorders>
              <w:top w:val="single" w:sz="4" w:space="0" w:color="auto"/>
            </w:tcBorders>
          </w:tcPr>
          <w:p w14:paraId="3188A6C9" w14:textId="77777777" w:rsidR="00575CDF" w:rsidRPr="00C801A6" w:rsidRDefault="00575CDF" w:rsidP="00347FDB">
            <w:pPr>
              <w:spacing w:before="60"/>
              <w:jc w:val="left"/>
              <w:rPr>
                <w:color w:val="auto"/>
                <w:sz w:val="22"/>
                <w:lang w:eastAsia="fr-FR"/>
              </w:rPr>
            </w:pPr>
            <w:r w:rsidRPr="00C801A6">
              <w:rPr>
                <w:color w:val="auto"/>
                <w:sz w:val="22"/>
                <w:lang w:eastAsia="fr-FR"/>
              </w:rPr>
              <w:t>Instauration d’un climat de méfiance entre l’Entreprise de travaux et les riverains</w:t>
            </w:r>
          </w:p>
        </w:tc>
        <w:tc>
          <w:tcPr>
            <w:tcW w:w="2901" w:type="dxa"/>
            <w:tcBorders>
              <w:top w:val="single" w:sz="4" w:space="0" w:color="auto"/>
            </w:tcBorders>
          </w:tcPr>
          <w:p w14:paraId="627330D4" w14:textId="77777777" w:rsidR="00575CDF" w:rsidRPr="00C801A6" w:rsidRDefault="00575CDF" w:rsidP="00844538">
            <w:pPr>
              <w:pStyle w:val="ListParagraph"/>
              <w:numPr>
                <w:ilvl w:val="0"/>
                <w:numId w:val="28"/>
              </w:numPr>
              <w:spacing w:before="60" w:line="276" w:lineRule="auto"/>
              <w:ind w:left="142" w:hanging="142"/>
              <w:contextualSpacing w:val="0"/>
              <w:jc w:val="left"/>
              <w:rPr>
                <w:color w:val="auto"/>
                <w:sz w:val="22"/>
              </w:rPr>
            </w:pPr>
            <w:r w:rsidRPr="00C801A6">
              <w:rPr>
                <w:color w:val="auto"/>
                <w:sz w:val="22"/>
              </w:rPr>
              <w:t>Organiser une réunion d’information des riverains au démarrage du chantier</w:t>
            </w:r>
          </w:p>
        </w:tc>
        <w:tc>
          <w:tcPr>
            <w:tcW w:w="2873" w:type="dxa"/>
            <w:tcBorders>
              <w:top w:val="single" w:sz="4" w:space="0" w:color="auto"/>
            </w:tcBorders>
          </w:tcPr>
          <w:p w14:paraId="78251D9D" w14:textId="77777777" w:rsidR="00575CDF" w:rsidRPr="00C801A6" w:rsidRDefault="00575CDF" w:rsidP="00844538">
            <w:pPr>
              <w:pStyle w:val="ListParagraph"/>
              <w:numPr>
                <w:ilvl w:val="0"/>
                <w:numId w:val="28"/>
              </w:numPr>
              <w:spacing w:before="60" w:line="276" w:lineRule="auto"/>
              <w:ind w:left="142" w:hanging="142"/>
              <w:contextualSpacing w:val="0"/>
              <w:jc w:val="left"/>
              <w:rPr>
                <w:color w:val="auto"/>
                <w:sz w:val="22"/>
              </w:rPr>
            </w:pPr>
            <w:r w:rsidRPr="00C801A6">
              <w:rPr>
                <w:color w:val="auto"/>
                <w:sz w:val="22"/>
              </w:rPr>
              <w:t xml:space="preserve">Traiter les éventuelles plaintes dans les plus brefs délais </w:t>
            </w:r>
          </w:p>
        </w:tc>
      </w:tr>
      <w:tr w:rsidR="00C801A6" w:rsidRPr="00C801A6" w14:paraId="3C6B5686" w14:textId="77777777" w:rsidTr="00FD3227">
        <w:tc>
          <w:tcPr>
            <w:tcW w:w="3287" w:type="dxa"/>
            <w:tcBorders>
              <w:top w:val="single" w:sz="4" w:space="0" w:color="auto"/>
            </w:tcBorders>
          </w:tcPr>
          <w:p w14:paraId="3F79625C" w14:textId="77777777" w:rsidR="00575CDF" w:rsidRPr="00C801A6" w:rsidRDefault="00575CDF" w:rsidP="00347FDB">
            <w:pPr>
              <w:spacing w:before="60"/>
              <w:jc w:val="left"/>
              <w:rPr>
                <w:color w:val="auto"/>
                <w:sz w:val="22"/>
              </w:rPr>
            </w:pPr>
            <w:r w:rsidRPr="00C801A6">
              <w:rPr>
                <w:color w:val="auto"/>
                <w:sz w:val="22"/>
              </w:rPr>
              <w:t>Risques d’accidents de circulation durant l’a</w:t>
            </w:r>
            <w:r w:rsidRPr="00C801A6">
              <w:rPr>
                <w:color w:val="auto"/>
                <w:sz w:val="22"/>
                <w:lang w:eastAsia="fr-FR"/>
              </w:rPr>
              <w:t>menée des matériels et équipements</w:t>
            </w:r>
          </w:p>
        </w:tc>
        <w:tc>
          <w:tcPr>
            <w:tcW w:w="2901" w:type="dxa"/>
            <w:tcBorders>
              <w:top w:val="single" w:sz="4" w:space="0" w:color="auto"/>
            </w:tcBorders>
          </w:tcPr>
          <w:p w14:paraId="2EBF35B2" w14:textId="77777777" w:rsidR="00575CDF" w:rsidRPr="00C801A6" w:rsidRDefault="00575CDF" w:rsidP="00844538">
            <w:pPr>
              <w:pStyle w:val="ListParagraph"/>
              <w:numPr>
                <w:ilvl w:val="0"/>
                <w:numId w:val="28"/>
              </w:numPr>
              <w:spacing w:before="60" w:line="276" w:lineRule="auto"/>
              <w:ind w:left="142" w:hanging="142"/>
              <w:contextualSpacing w:val="0"/>
              <w:jc w:val="left"/>
              <w:rPr>
                <w:color w:val="auto"/>
                <w:sz w:val="22"/>
              </w:rPr>
            </w:pPr>
            <w:r w:rsidRPr="00C801A6">
              <w:rPr>
                <w:color w:val="auto"/>
                <w:sz w:val="22"/>
              </w:rPr>
              <w:t>Sensibiliser les chauffeurs sur les accidents de la route</w:t>
            </w:r>
          </w:p>
        </w:tc>
        <w:tc>
          <w:tcPr>
            <w:tcW w:w="2873" w:type="dxa"/>
            <w:tcBorders>
              <w:top w:val="single" w:sz="4" w:space="0" w:color="auto"/>
            </w:tcBorders>
          </w:tcPr>
          <w:p w14:paraId="787BB212" w14:textId="77777777" w:rsidR="00575CDF" w:rsidRPr="00C801A6" w:rsidRDefault="00575CDF" w:rsidP="00844538">
            <w:pPr>
              <w:pStyle w:val="ListParagraph"/>
              <w:numPr>
                <w:ilvl w:val="0"/>
                <w:numId w:val="28"/>
              </w:numPr>
              <w:spacing w:before="60" w:line="276" w:lineRule="auto"/>
              <w:ind w:left="142" w:hanging="142"/>
              <w:contextualSpacing w:val="0"/>
              <w:jc w:val="left"/>
              <w:rPr>
                <w:color w:val="auto"/>
                <w:sz w:val="22"/>
              </w:rPr>
            </w:pPr>
            <w:r w:rsidRPr="00C801A6">
              <w:rPr>
                <w:color w:val="auto"/>
                <w:sz w:val="22"/>
              </w:rPr>
              <w:t>Limiter la vitesse à 20km/h en zone habitée et à 40km/h en rase-campagne</w:t>
            </w:r>
          </w:p>
        </w:tc>
      </w:tr>
      <w:tr w:rsidR="00C801A6" w:rsidRPr="00C801A6" w14:paraId="4F657B73" w14:textId="77777777" w:rsidTr="00FD3227">
        <w:tc>
          <w:tcPr>
            <w:tcW w:w="3287" w:type="dxa"/>
          </w:tcPr>
          <w:p w14:paraId="7CE3216D" w14:textId="77777777" w:rsidR="00575CDF" w:rsidRPr="00C801A6" w:rsidRDefault="00575CDF" w:rsidP="00347FDB">
            <w:pPr>
              <w:spacing w:before="60"/>
              <w:jc w:val="left"/>
              <w:rPr>
                <w:color w:val="auto"/>
                <w:sz w:val="22"/>
                <w:lang w:eastAsia="fr-FR"/>
              </w:rPr>
            </w:pPr>
            <w:r w:rsidRPr="00C801A6">
              <w:rPr>
                <w:color w:val="auto"/>
                <w:sz w:val="22"/>
              </w:rPr>
              <w:t>Risques de conflits sociaux liés au recrutement des ouvriers</w:t>
            </w:r>
            <w:r w:rsidRPr="00C801A6">
              <w:rPr>
                <w:color w:val="auto"/>
                <w:sz w:val="22"/>
                <w:lang w:eastAsia="fr-FR"/>
              </w:rPr>
              <w:t xml:space="preserve"> durant le recrutement des ouvriers</w:t>
            </w:r>
          </w:p>
        </w:tc>
        <w:tc>
          <w:tcPr>
            <w:tcW w:w="2901" w:type="dxa"/>
          </w:tcPr>
          <w:p w14:paraId="30864F21" w14:textId="77777777" w:rsidR="00575CDF" w:rsidRPr="00C801A6" w:rsidRDefault="00575CDF" w:rsidP="00844538">
            <w:pPr>
              <w:pStyle w:val="ListParagraph"/>
              <w:numPr>
                <w:ilvl w:val="0"/>
                <w:numId w:val="28"/>
              </w:numPr>
              <w:spacing w:before="60" w:line="276" w:lineRule="auto"/>
              <w:ind w:left="142" w:hanging="142"/>
              <w:contextualSpacing w:val="0"/>
              <w:jc w:val="left"/>
              <w:rPr>
                <w:color w:val="auto"/>
                <w:sz w:val="22"/>
              </w:rPr>
            </w:pPr>
            <w:r w:rsidRPr="00C801A6">
              <w:rPr>
                <w:color w:val="auto"/>
                <w:sz w:val="22"/>
              </w:rPr>
              <w:t>Recommander à l’entreprise d’assurer la transparence quant aux recrutements locaux</w:t>
            </w:r>
          </w:p>
          <w:p w14:paraId="2B967AA2" w14:textId="77777777" w:rsidR="00575CDF" w:rsidRPr="00C801A6" w:rsidRDefault="00575CDF" w:rsidP="00844538">
            <w:pPr>
              <w:pStyle w:val="ListParagraph"/>
              <w:numPr>
                <w:ilvl w:val="0"/>
                <w:numId w:val="28"/>
              </w:numPr>
              <w:spacing w:before="60" w:line="276" w:lineRule="auto"/>
              <w:ind w:left="142" w:hanging="142"/>
              <w:contextualSpacing w:val="0"/>
              <w:jc w:val="left"/>
              <w:rPr>
                <w:color w:val="auto"/>
                <w:sz w:val="22"/>
              </w:rPr>
            </w:pPr>
            <w:r w:rsidRPr="00C801A6">
              <w:rPr>
                <w:color w:val="auto"/>
                <w:sz w:val="22"/>
              </w:rPr>
              <w:t>Afficher les besoins en ressources humaines</w:t>
            </w:r>
          </w:p>
        </w:tc>
        <w:tc>
          <w:tcPr>
            <w:tcW w:w="2873" w:type="dxa"/>
          </w:tcPr>
          <w:p w14:paraId="46EB63EE" w14:textId="77777777" w:rsidR="00575CDF" w:rsidRPr="00C801A6" w:rsidRDefault="00575CDF" w:rsidP="00844538">
            <w:pPr>
              <w:pStyle w:val="ListParagraph"/>
              <w:numPr>
                <w:ilvl w:val="0"/>
                <w:numId w:val="28"/>
              </w:numPr>
              <w:spacing w:before="60" w:line="276" w:lineRule="auto"/>
              <w:ind w:left="142" w:hanging="142"/>
              <w:contextualSpacing w:val="0"/>
              <w:jc w:val="left"/>
              <w:rPr>
                <w:color w:val="auto"/>
                <w:sz w:val="22"/>
              </w:rPr>
            </w:pPr>
            <w:r w:rsidRPr="00C801A6">
              <w:rPr>
                <w:color w:val="auto"/>
                <w:sz w:val="22"/>
              </w:rPr>
              <w:t xml:space="preserve">Traiter les éventuelles plaintes sur le recrutement dans les plus brefs délais </w:t>
            </w:r>
          </w:p>
        </w:tc>
      </w:tr>
      <w:tr w:rsidR="00C801A6" w:rsidRPr="00C801A6" w14:paraId="1C2BB961" w14:textId="77777777" w:rsidTr="00FD3227">
        <w:tc>
          <w:tcPr>
            <w:tcW w:w="3287" w:type="dxa"/>
          </w:tcPr>
          <w:p w14:paraId="033DCA64" w14:textId="77777777" w:rsidR="00575CDF" w:rsidRPr="00C801A6" w:rsidRDefault="00575CDF" w:rsidP="00347FDB">
            <w:pPr>
              <w:spacing w:before="60"/>
              <w:jc w:val="left"/>
              <w:rPr>
                <w:color w:val="auto"/>
                <w:sz w:val="22"/>
                <w:lang w:eastAsia="fr-FR"/>
              </w:rPr>
            </w:pPr>
            <w:r w:rsidRPr="00C801A6">
              <w:rPr>
                <w:color w:val="auto"/>
                <w:sz w:val="22"/>
              </w:rPr>
              <w:t>Libération d’emprise</w:t>
            </w:r>
          </w:p>
        </w:tc>
        <w:tc>
          <w:tcPr>
            <w:tcW w:w="2901" w:type="dxa"/>
          </w:tcPr>
          <w:p w14:paraId="748A091C" w14:textId="77777777" w:rsidR="00575CDF" w:rsidRPr="00C801A6" w:rsidRDefault="00575CDF" w:rsidP="00844538">
            <w:pPr>
              <w:pStyle w:val="ListParagraph"/>
              <w:numPr>
                <w:ilvl w:val="0"/>
                <w:numId w:val="28"/>
              </w:numPr>
              <w:spacing w:before="60" w:line="276" w:lineRule="auto"/>
              <w:ind w:left="142" w:hanging="142"/>
              <w:contextualSpacing w:val="0"/>
              <w:jc w:val="left"/>
              <w:rPr>
                <w:color w:val="auto"/>
                <w:sz w:val="22"/>
              </w:rPr>
            </w:pPr>
            <w:r w:rsidRPr="00C801A6">
              <w:rPr>
                <w:color w:val="auto"/>
                <w:sz w:val="22"/>
              </w:rPr>
              <w:t>Investiguer les options possibles pour ne pas impacter des biens privés ou perturber des sources de revenus</w:t>
            </w:r>
          </w:p>
        </w:tc>
        <w:tc>
          <w:tcPr>
            <w:tcW w:w="2873" w:type="dxa"/>
          </w:tcPr>
          <w:p w14:paraId="6E8C6C82" w14:textId="77777777" w:rsidR="00575CDF" w:rsidRPr="00C801A6" w:rsidRDefault="00575CDF" w:rsidP="00844538">
            <w:pPr>
              <w:pStyle w:val="ListParagraph"/>
              <w:numPr>
                <w:ilvl w:val="0"/>
                <w:numId w:val="28"/>
              </w:numPr>
              <w:spacing w:before="60" w:line="276" w:lineRule="auto"/>
              <w:ind w:left="142" w:hanging="142"/>
              <w:contextualSpacing w:val="0"/>
              <w:jc w:val="left"/>
              <w:rPr>
                <w:color w:val="auto"/>
                <w:sz w:val="22"/>
              </w:rPr>
            </w:pPr>
            <w:r w:rsidRPr="00C801A6">
              <w:rPr>
                <w:color w:val="auto"/>
                <w:sz w:val="22"/>
              </w:rPr>
              <w:t>Préparer et mettre en œuvre un Plan de réinstallation</w:t>
            </w:r>
          </w:p>
        </w:tc>
      </w:tr>
      <w:tr w:rsidR="00C801A6" w:rsidRPr="00C801A6" w14:paraId="5B34815F" w14:textId="77777777" w:rsidTr="00FD3227">
        <w:tc>
          <w:tcPr>
            <w:tcW w:w="3287" w:type="dxa"/>
          </w:tcPr>
          <w:p w14:paraId="54738558" w14:textId="77777777" w:rsidR="00575CDF" w:rsidRPr="00C801A6" w:rsidRDefault="00575CDF" w:rsidP="00347FDB">
            <w:pPr>
              <w:spacing w:before="60"/>
              <w:jc w:val="left"/>
              <w:rPr>
                <w:color w:val="auto"/>
                <w:sz w:val="22"/>
                <w:lang w:eastAsia="fr-FR"/>
              </w:rPr>
            </w:pPr>
            <w:r w:rsidRPr="00C801A6">
              <w:rPr>
                <w:color w:val="auto"/>
                <w:sz w:val="22"/>
                <w:lang w:eastAsia="fr-FR"/>
              </w:rPr>
              <w:t>Afflux d’ouvriers immigrés</w:t>
            </w:r>
          </w:p>
        </w:tc>
        <w:tc>
          <w:tcPr>
            <w:tcW w:w="2901" w:type="dxa"/>
          </w:tcPr>
          <w:p w14:paraId="6ECF6944" w14:textId="77777777" w:rsidR="00575CDF" w:rsidRPr="00C801A6" w:rsidRDefault="00575CDF" w:rsidP="00844538">
            <w:pPr>
              <w:pStyle w:val="ListParagraph"/>
              <w:numPr>
                <w:ilvl w:val="0"/>
                <w:numId w:val="28"/>
              </w:numPr>
              <w:spacing w:before="60" w:line="276" w:lineRule="auto"/>
              <w:ind w:left="142" w:hanging="142"/>
              <w:contextualSpacing w:val="0"/>
              <w:jc w:val="left"/>
              <w:rPr>
                <w:color w:val="auto"/>
                <w:sz w:val="22"/>
              </w:rPr>
            </w:pPr>
            <w:r w:rsidRPr="00C801A6">
              <w:rPr>
                <w:color w:val="auto"/>
                <w:sz w:val="22"/>
              </w:rPr>
              <w:t>A compétences égales, privilégier le recrutement local</w:t>
            </w:r>
          </w:p>
        </w:tc>
        <w:tc>
          <w:tcPr>
            <w:tcW w:w="2873" w:type="dxa"/>
          </w:tcPr>
          <w:p w14:paraId="26064FEA" w14:textId="77777777" w:rsidR="00575CDF" w:rsidRPr="00C801A6" w:rsidRDefault="00575CDF" w:rsidP="00844538">
            <w:pPr>
              <w:pStyle w:val="ListParagraph"/>
              <w:numPr>
                <w:ilvl w:val="0"/>
                <w:numId w:val="28"/>
              </w:numPr>
              <w:spacing w:before="60" w:line="276" w:lineRule="auto"/>
              <w:ind w:left="142" w:hanging="142"/>
              <w:contextualSpacing w:val="0"/>
              <w:jc w:val="left"/>
              <w:rPr>
                <w:color w:val="auto"/>
                <w:sz w:val="22"/>
              </w:rPr>
            </w:pPr>
            <w:r w:rsidRPr="00C801A6">
              <w:rPr>
                <w:color w:val="auto"/>
                <w:sz w:val="22"/>
              </w:rPr>
              <w:t>Compléter les effectifs manquants avec des recrutements extérieurs</w:t>
            </w:r>
          </w:p>
        </w:tc>
      </w:tr>
      <w:tr w:rsidR="00C801A6" w:rsidRPr="00C801A6" w14:paraId="5BB02273" w14:textId="77777777" w:rsidTr="00FD3227">
        <w:tc>
          <w:tcPr>
            <w:tcW w:w="3287" w:type="dxa"/>
          </w:tcPr>
          <w:p w14:paraId="085410A7" w14:textId="77777777" w:rsidR="00575CDF" w:rsidRPr="00C801A6" w:rsidRDefault="00575CDF" w:rsidP="00347FDB">
            <w:pPr>
              <w:spacing w:before="60"/>
              <w:jc w:val="left"/>
              <w:rPr>
                <w:color w:val="auto"/>
                <w:sz w:val="22"/>
                <w:lang w:eastAsia="fr-FR"/>
              </w:rPr>
            </w:pPr>
            <w:r w:rsidRPr="00C801A6">
              <w:rPr>
                <w:color w:val="auto"/>
                <w:sz w:val="22"/>
                <w:lang w:eastAsia="fr-FR"/>
              </w:rPr>
              <w:t xml:space="preserve">Risques liés à la promiscuité sexuelle (risques de propagation de maladies sexuellement transmissibles, d’augmentation du </w:t>
            </w:r>
            <w:r w:rsidRPr="00C801A6">
              <w:rPr>
                <w:color w:val="auto"/>
                <w:sz w:val="22"/>
                <w:lang w:eastAsia="fr-FR"/>
              </w:rPr>
              <w:lastRenderedPageBreak/>
              <w:t>taux de comportements illicites, etc.)</w:t>
            </w:r>
          </w:p>
        </w:tc>
        <w:tc>
          <w:tcPr>
            <w:tcW w:w="2901" w:type="dxa"/>
          </w:tcPr>
          <w:p w14:paraId="1C0F82CE" w14:textId="77777777" w:rsidR="00575CDF" w:rsidRPr="00C801A6" w:rsidRDefault="00575CDF" w:rsidP="00844538">
            <w:pPr>
              <w:pStyle w:val="ListParagraph"/>
              <w:numPr>
                <w:ilvl w:val="0"/>
                <w:numId w:val="28"/>
              </w:numPr>
              <w:spacing w:before="60" w:line="276" w:lineRule="auto"/>
              <w:ind w:left="142" w:hanging="142"/>
              <w:contextualSpacing w:val="0"/>
              <w:jc w:val="left"/>
              <w:rPr>
                <w:color w:val="auto"/>
                <w:sz w:val="22"/>
              </w:rPr>
            </w:pPr>
            <w:r w:rsidRPr="00C801A6">
              <w:rPr>
                <w:color w:val="auto"/>
                <w:sz w:val="22"/>
              </w:rPr>
              <w:lastRenderedPageBreak/>
              <w:t>Organiser des séances de sensibilisation des ouvriers et des riverains</w:t>
            </w:r>
          </w:p>
          <w:p w14:paraId="1A19CBCA" w14:textId="77777777" w:rsidR="00575CDF" w:rsidRPr="00C801A6" w:rsidRDefault="00575CDF" w:rsidP="00844538">
            <w:pPr>
              <w:pStyle w:val="ListParagraph"/>
              <w:numPr>
                <w:ilvl w:val="0"/>
                <w:numId w:val="28"/>
              </w:numPr>
              <w:spacing w:before="60" w:line="276" w:lineRule="auto"/>
              <w:ind w:left="142" w:hanging="142"/>
              <w:contextualSpacing w:val="0"/>
              <w:jc w:val="left"/>
              <w:rPr>
                <w:color w:val="auto"/>
                <w:sz w:val="22"/>
              </w:rPr>
            </w:pPr>
            <w:r w:rsidRPr="00C801A6">
              <w:rPr>
                <w:color w:val="auto"/>
                <w:sz w:val="22"/>
              </w:rPr>
              <w:lastRenderedPageBreak/>
              <w:t>Faire signer le Code de conduite à tous les employés</w:t>
            </w:r>
          </w:p>
        </w:tc>
        <w:tc>
          <w:tcPr>
            <w:tcW w:w="2873" w:type="dxa"/>
          </w:tcPr>
          <w:p w14:paraId="6AABCBA3" w14:textId="77777777" w:rsidR="00575CDF" w:rsidRPr="00C801A6" w:rsidRDefault="00575CDF" w:rsidP="00844538">
            <w:pPr>
              <w:pStyle w:val="ListParagraph"/>
              <w:numPr>
                <w:ilvl w:val="0"/>
                <w:numId w:val="28"/>
              </w:numPr>
              <w:spacing w:before="60" w:line="276" w:lineRule="auto"/>
              <w:ind w:left="142" w:hanging="142"/>
              <w:contextualSpacing w:val="0"/>
              <w:jc w:val="left"/>
              <w:rPr>
                <w:color w:val="auto"/>
                <w:sz w:val="22"/>
              </w:rPr>
            </w:pPr>
            <w:r w:rsidRPr="00C801A6">
              <w:rPr>
                <w:color w:val="auto"/>
                <w:sz w:val="22"/>
              </w:rPr>
              <w:lastRenderedPageBreak/>
              <w:t>Mettre des préservatifs à la disposition gratuite des employés</w:t>
            </w:r>
          </w:p>
        </w:tc>
      </w:tr>
      <w:tr w:rsidR="00C801A6" w:rsidRPr="00C801A6" w14:paraId="3657BAFA" w14:textId="77777777" w:rsidTr="00FD3227">
        <w:tc>
          <w:tcPr>
            <w:tcW w:w="3287" w:type="dxa"/>
          </w:tcPr>
          <w:p w14:paraId="0F2687BF" w14:textId="69C7E5DB" w:rsidR="00575CDF" w:rsidRPr="00C801A6" w:rsidRDefault="00575CDF" w:rsidP="00347FDB">
            <w:pPr>
              <w:spacing w:before="60"/>
              <w:jc w:val="left"/>
              <w:rPr>
                <w:color w:val="auto"/>
                <w:sz w:val="22"/>
                <w:lang w:eastAsia="fr-FR"/>
              </w:rPr>
            </w:pPr>
            <w:r w:rsidRPr="00C801A6">
              <w:rPr>
                <w:color w:val="auto"/>
                <w:sz w:val="22"/>
                <w:lang w:eastAsia="fr-FR"/>
              </w:rPr>
              <w:t>Risques de prolifération de maladies contagieuses comme le Covid-19</w:t>
            </w:r>
            <w:r w:rsidR="006D0EA6">
              <w:rPr>
                <w:color w:val="auto"/>
                <w:sz w:val="22"/>
                <w:lang w:eastAsia="fr-FR"/>
              </w:rPr>
              <w:t>, Mpox</w:t>
            </w:r>
          </w:p>
        </w:tc>
        <w:tc>
          <w:tcPr>
            <w:tcW w:w="2901" w:type="dxa"/>
          </w:tcPr>
          <w:p w14:paraId="5432686D" w14:textId="77777777" w:rsidR="00575CDF" w:rsidRPr="00C801A6" w:rsidRDefault="00575CDF" w:rsidP="00844538">
            <w:pPr>
              <w:pStyle w:val="ListParagraph"/>
              <w:numPr>
                <w:ilvl w:val="0"/>
                <w:numId w:val="28"/>
              </w:numPr>
              <w:spacing w:before="60" w:line="276" w:lineRule="auto"/>
              <w:ind w:left="142" w:hanging="142"/>
              <w:contextualSpacing w:val="0"/>
              <w:jc w:val="left"/>
              <w:rPr>
                <w:color w:val="auto"/>
                <w:sz w:val="22"/>
              </w:rPr>
            </w:pPr>
            <w:r w:rsidRPr="00C801A6">
              <w:rPr>
                <w:color w:val="auto"/>
                <w:sz w:val="22"/>
              </w:rPr>
              <w:t>Sensibiliser les employer et les riverains sur le respect des gestes barrières</w:t>
            </w:r>
          </w:p>
        </w:tc>
        <w:tc>
          <w:tcPr>
            <w:tcW w:w="2873" w:type="dxa"/>
          </w:tcPr>
          <w:p w14:paraId="2CDD06B9" w14:textId="77777777" w:rsidR="00575CDF" w:rsidRPr="00C801A6" w:rsidRDefault="00575CDF" w:rsidP="00844538">
            <w:pPr>
              <w:pStyle w:val="ListParagraph"/>
              <w:numPr>
                <w:ilvl w:val="0"/>
                <w:numId w:val="28"/>
              </w:numPr>
              <w:spacing w:before="60" w:line="276" w:lineRule="auto"/>
              <w:ind w:left="142" w:hanging="142"/>
              <w:contextualSpacing w:val="0"/>
              <w:jc w:val="left"/>
              <w:rPr>
                <w:color w:val="auto"/>
                <w:sz w:val="22"/>
              </w:rPr>
            </w:pPr>
            <w:r w:rsidRPr="00C801A6">
              <w:rPr>
                <w:color w:val="auto"/>
                <w:sz w:val="22"/>
              </w:rPr>
              <w:t>Fournir des moyens de protection aux employés</w:t>
            </w:r>
          </w:p>
        </w:tc>
      </w:tr>
      <w:tr w:rsidR="00C801A6" w:rsidRPr="00C801A6" w14:paraId="7B40989A" w14:textId="77777777" w:rsidTr="00FD3227">
        <w:tc>
          <w:tcPr>
            <w:tcW w:w="3287" w:type="dxa"/>
          </w:tcPr>
          <w:p w14:paraId="5EACE581" w14:textId="77777777" w:rsidR="00575CDF" w:rsidRPr="00C801A6" w:rsidRDefault="00575CDF" w:rsidP="00347FDB">
            <w:pPr>
              <w:spacing w:before="60"/>
              <w:jc w:val="left"/>
              <w:rPr>
                <w:color w:val="auto"/>
                <w:sz w:val="22"/>
                <w:lang w:eastAsia="fr-FR"/>
              </w:rPr>
            </w:pPr>
            <w:r w:rsidRPr="00C801A6">
              <w:rPr>
                <w:color w:val="auto"/>
                <w:sz w:val="22"/>
                <w:lang w:eastAsia="fr-FR"/>
              </w:rPr>
              <w:t>Risques d’augmentation des pressions sur les services sociaux de base : Centres de santé, etc.</w:t>
            </w:r>
          </w:p>
        </w:tc>
        <w:tc>
          <w:tcPr>
            <w:tcW w:w="2901" w:type="dxa"/>
          </w:tcPr>
          <w:p w14:paraId="29ED7A27" w14:textId="77777777" w:rsidR="00575CDF" w:rsidRPr="00C801A6" w:rsidRDefault="00575CDF" w:rsidP="00844538">
            <w:pPr>
              <w:pStyle w:val="ListParagraph"/>
              <w:numPr>
                <w:ilvl w:val="0"/>
                <w:numId w:val="28"/>
              </w:numPr>
              <w:spacing w:before="60" w:line="276" w:lineRule="auto"/>
              <w:ind w:left="142" w:hanging="142"/>
              <w:contextualSpacing w:val="0"/>
              <w:jc w:val="left"/>
              <w:rPr>
                <w:color w:val="auto"/>
                <w:sz w:val="22"/>
              </w:rPr>
            </w:pPr>
            <w:r w:rsidRPr="00C801A6">
              <w:rPr>
                <w:color w:val="auto"/>
                <w:sz w:val="22"/>
              </w:rPr>
              <w:t>Sensibiliser les employés sur la santé au travail</w:t>
            </w:r>
          </w:p>
        </w:tc>
        <w:tc>
          <w:tcPr>
            <w:tcW w:w="2873" w:type="dxa"/>
          </w:tcPr>
          <w:p w14:paraId="1674006A" w14:textId="77777777" w:rsidR="00575CDF" w:rsidRPr="00C801A6" w:rsidRDefault="00575CDF" w:rsidP="00844538">
            <w:pPr>
              <w:pStyle w:val="ListParagraph"/>
              <w:numPr>
                <w:ilvl w:val="0"/>
                <w:numId w:val="28"/>
              </w:numPr>
              <w:spacing w:before="60" w:line="276" w:lineRule="auto"/>
              <w:ind w:left="142" w:hanging="142"/>
              <w:contextualSpacing w:val="0"/>
              <w:jc w:val="left"/>
              <w:rPr>
                <w:color w:val="auto"/>
                <w:sz w:val="22"/>
              </w:rPr>
            </w:pPr>
            <w:r w:rsidRPr="00C801A6">
              <w:rPr>
                <w:color w:val="auto"/>
                <w:sz w:val="22"/>
              </w:rPr>
              <w:t>Signer une convention avec un médecin privé</w:t>
            </w:r>
          </w:p>
        </w:tc>
      </w:tr>
      <w:tr w:rsidR="00C801A6" w:rsidRPr="00C801A6" w14:paraId="48ADDAE8" w14:textId="77777777" w:rsidTr="00FD3227">
        <w:tc>
          <w:tcPr>
            <w:tcW w:w="3287" w:type="dxa"/>
          </w:tcPr>
          <w:p w14:paraId="782B51B0" w14:textId="77777777" w:rsidR="00575CDF" w:rsidRPr="00C801A6" w:rsidRDefault="00575CDF" w:rsidP="00347FDB">
            <w:pPr>
              <w:spacing w:before="60"/>
              <w:jc w:val="left"/>
              <w:rPr>
                <w:color w:val="auto"/>
                <w:sz w:val="22"/>
                <w:lang w:eastAsia="fr-FR"/>
              </w:rPr>
            </w:pPr>
            <w:r w:rsidRPr="00C801A6">
              <w:rPr>
                <w:color w:val="auto"/>
                <w:sz w:val="22"/>
                <w:lang w:eastAsia="fr-FR"/>
              </w:rPr>
              <w:t>Risques d’augmentation des pressions sur les ressources naturelles</w:t>
            </w:r>
          </w:p>
        </w:tc>
        <w:tc>
          <w:tcPr>
            <w:tcW w:w="2901" w:type="dxa"/>
          </w:tcPr>
          <w:p w14:paraId="30E9D5FC" w14:textId="77777777" w:rsidR="00575CDF" w:rsidRPr="00C801A6" w:rsidRDefault="00575CDF" w:rsidP="00844538">
            <w:pPr>
              <w:pStyle w:val="ListParagraph"/>
              <w:numPr>
                <w:ilvl w:val="0"/>
                <w:numId w:val="28"/>
              </w:numPr>
              <w:spacing w:before="60" w:line="276" w:lineRule="auto"/>
              <w:ind w:left="142" w:hanging="142"/>
              <w:contextualSpacing w:val="0"/>
              <w:jc w:val="left"/>
              <w:rPr>
                <w:color w:val="auto"/>
                <w:sz w:val="22"/>
              </w:rPr>
            </w:pPr>
            <w:r w:rsidRPr="00C801A6">
              <w:rPr>
                <w:color w:val="auto"/>
                <w:sz w:val="22"/>
              </w:rPr>
              <w:t>Sensibiliser les employés sur l’utilisation du bois de chauffe et encore moins sur l’utilisation du charbon de bois</w:t>
            </w:r>
          </w:p>
          <w:p w14:paraId="15C2E091" w14:textId="77777777" w:rsidR="00575CDF" w:rsidRPr="00C801A6" w:rsidRDefault="00575CDF" w:rsidP="00844538">
            <w:pPr>
              <w:pStyle w:val="ListParagraph"/>
              <w:numPr>
                <w:ilvl w:val="0"/>
                <w:numId w:val="28"/>
              </w:numPr>
              <w:spacing w:before="60" w:line="276" w:lineRule="auto"/>
              <w:ind w:left="142" w:hanging="142"/>
              <w:contextualSpacing w:val="0"/>
              <w:jc w:val="left"/>
              <w:rPr>
                <w:color w:val="auto"/>
                <w:sz w:val="22"/>
              </w:rPr>
            </w:pPr>
            <w:r w:rsidRPr="00C801A6">
              <w:rPr>
                <w:color w:val="auto"/>
                <w:sz w:val="22"/>
              </w:rPr>
              <w:t>Les sensibiliser aussi sur le braconnage</w:t>
            </w:r>
          </w:p>
        </w:tc>
        <w:tc>
          <w:tcPr>
            <w:tcW w:w="2873" w:type="dxa"/>
          </w:tcPr>
          <w:p w14:paraId="702DE11B" w14:textId="77777777" w:rsidR="00575CDF" w:rsidRPr="00C801A6" w:rsidRDefault="00575CDF" w:rsidP="00844538">
            <w:pPr>
              <w:pStyle w:val="ListParagraph"/>
              <w:numPr>
                <w:ilvl w:val="0"/>
                <w:numId w:val="28"/>
              </w:numPr>
              <w:spacing w:before="60" w:line="276" w:lineRule="auto"/>
              <w:ind w:left="142" w:hanging="142"/>
              <w:contextualSpacing w:val="0"/>
              <w:jc w:val="left"/>
              <w:rPr>
                <w:color w:val="auto"/>
                <w:sz w:val="22"/>
              </w:rPr>
            </w:pPr>
            <w:r w:rsidRPr="00C801A6">
              <w:rPr>
                <w:color w:val="auto"/>
                <w:sz w:val="22"/>
              </w:rPr>
              <w:t>Utiliser les chutes de bois provenant de la construction de la base-vie pour la préparation des repas</w:t>
            </w:r>
          </w:p>
          <w:p w14:paraId="2B21BF1F" w14:textId="77777777" w:rsidR="00575CDF" w:rsidRPr="00C801A6" w:rsidRDefault="00575CDF" w:rsidP="00844538">
            <w:pPr>
              <w:pStyle w:val="ListParagraph"/>
              <w:numPr>
                <w:ilvl w:val="0"/>
                <w:numId w:val="28"/>
              </w:numPr>
              <w:spacing w:before="60" w:line="276" w:lineRule="auto"/>
              <w:ind w:left="142" w:hanging="142"/>
              <w:contextualSpacing w:val="0"/>
              <w:jc w:val="left"/>
              <w:rPr>
                <w:color w:val="auto"/>
                <w:sz w:val="22"/>
              </w:rPr>
            </w:pPr>
            <w:r w:rsidRPr="00C801A6">
              <w:rPr>
                <w:color w:val="auto"/>
                <w:sz w:val="22"/>
              </w:rPr>
              <w:t>Utiliser des foyers améliorés</w:t>
            </w:r>
          </w:p>
        </w:tc>
      </w:tr>
      <w:tr w:rsidR="00C801A6" w:rsidRPr="00C801A6" w14:paraId="30319881" w14:textId="77777777" w:rsidTr="00FD3227">
        <w:tc>
          <w:tcPr>
            <w:tcW w:w="3287" w:type="dxa"/>
            <w:tcBorders>
              <w:bottom w:val="single" w:sz="4" w:space="0" w:color="auto"/>
            </w:tcBorders>
          </w:tcPr>
          <w:p w14:paraId="50B3DD88" w14:textId="1E6EDA25" w:rsidR="00575CDF" w:rsidRPr="00C801A6" w:rsidRDefault="00575CDF" w:rsidP="00347FDB">
            <w:pPr>
              <w:spacing w:before="60"/>
              <w:jc w:val="left"/>
              <w:rPr>
                <w:color w:val="auto"/>
                <w:sz w:val="22"/>
                <w:lang w:eastAsia="fr-FR"/>
              </w:rPr>
            </w:pPr>
            <w:r w:rsidRPr="00C801A6">
              <w:rPr>
                <w:color w:val="auto"/>
                <w:sz w:val="22"/>
                <w:lang w:eastAsia="fr-FR"/>
              </w:rPr>
              <w:t xml:space="preserve">Risques d’augmentation des cas d’actes </w:t>
            </w:r>
            <w:r w:rsidR="006F38A3">
              <w:rPr>
                <w:color w:val="auto"/>
                <w:sz w:val="22"/>
                <w:lang w:eastAsia="fr-FR"/>
              </w:rPr>
              <w:t xml:space="preserve">EAS-HS </w:t>
            </w:r>
            <w:r w:rsidRPr="00C801A6">
              <w:rPr>
                <w:color w:val="auto"/>
                <w:sz w:val="22"/>
                <w:lang w:eastAsia="fr-FR"/>
              </w:rPr>
              <w:t>.</w:t>
            </w:r>
          </w:p>
        </w:tc>
        <w:tc>
          <w:tcPr>
            <w:tcW w:w="2901" w:type="dxa"/>
            <w:tcBorders>
              <w:bottom w:val="single" w:sz="4" w:space="0" w:color="auto"/>
            </w:tcBorders>
          </w:tcPr>
          <w:p w14:paraId="1F468FC9" w14:textId="0B16357B" w:rsidR="00575CDF" w:rsidRPr="00C801A6" w:rsidRDefault="00575CDF" w:rsidP="00844538">
            <w:pPr>
              <w:pStyle w:val="ListParagraph"/>
              <w:numPr>
                <w:ilvl w:val="0"/>
                <w:numId w:val="28"/>
              </w:numPr>
              <w:spacing w:before="60" w:line="276" w:lineRule="auto"/>
              <w:ind w:left="142" w:hanging="142"/>
              <w:contextualSpacing w:val="0"/>
              <w:jc w:val="left"/>
              <w:rPr>
                <w:color w:val="auto"/>
                <w:sz w:val="22"/>
              </w:rPr>
            </w:pPr>
            <w:r w:rsidRPr="00C801A6">
              <w:rPr>
                <w:color w:val="auto"/>
                <w:sz w:val="22"/>
              </w:rPr>
              <w:t xml:space="preserve">Sensibiliser les ouvriers sur les sanctions légales liées aux actes </w:t>
            </w:r>
            <w:r w:rsidR="006F38A3">
              <w:rPr>
                <w:color w:val="auto"/>
                <w:sz w:val="22"/>
              </w:rPr>
              <w:t xml:space="preserve">EAS-HS </w:t>
            </w:r>
          </w:p>
        </w:tc>
        <w:tc>
          <w:tcPr>
            <w:tcW w:w="2873" w:type="dxa"/>
            <w:tcBorders>
              <w:bottom w:val="single" w:sz="4" w:space="0" w:color="auto"/>
            </w:tcBorders>
          </w:tcPr>
          <w:p w14:paraId="7106E2A4" w14:textId="77777777" w:rsidR="00575CDF" w:rsidRPr="00C801A6" w:rsidRDefault="00575CDF" w:rsidP="00844538">
            <w:pPr>
              <w:pStyle w:val="ListParagraph"/>
              <w:numPr>
                <w:ilvl w:val="0"/>
                <w:numId w:val="28"/>
              </w:numPr>
              <w:spacing w:before="60" w:line="276" w:lineRule="auto"/>
              <w:ind w:left="142" w:hanging="142"/>
              <w:contextualSpacing w:val="0"/>
              <w:jc w:val="left"/>
              <w:rPr>
                <w:color w:val="auto"/>
                <w:sz w:val="22"/>
              </w:rPr>
            </w:pPr>
            <w:r w:rsidRPr="00C801A6">
              <w:rPr>
                <w:color w:val="auto"/>
                <w:sz w:val="22"/>
              </w:rPr>
              <w:t>Suspendre les contrevenants et leur faire prendre en charge les coûts de leurs actes, le cas échéant</w:t>
            </w:r>
          </w:p>
        </w:tc>
      </w:tr>
    </w:tbl>
    <w:p w14:paraId="59AE56AE" w14:textId="2CCD6EA0" w:rsidR="009276A8" w:rsidRDefault="00FD3227" w:rsidP="003042DB">
      <w:pPr>
        <w:pStyle w:val="Heading4"/>
        <w:rPr>
          <w:color w:val="auto"/>
        </w:rPr>
      </w:pPr>
      <w:bookmarkStart w:id="633" w:name="_Toc230298809"/>
      <w:r>
        <w:rPr>
          <w:color w:val="auto"/>
        </w:rPr>
        <w:t>PHASE DES TRAVAUX</w:t>
      </w:r>
      <w:bookmarkEnd w:id="633"/>
    </w:p>
    <w:p w14:paraId="13BE69CA" w14:textId="77777777" w:rsidR="00FD3227" w:rsidRPr="00C801A6" w:rsidRDefault="00FD3227" w:rsidP="00FD3227">
      <w:pPr>
        <w:rPr>
          <w:color w:val="auto"/>
        </w:rPr>
      </w:pPr>
      <w:r w:rsidRPr="00C801A6">
        <w:rPr>
          <w:color w:val="auto"/>
        </w:rPr>
        <w:t>Sur le linéaire à entretenir, les travaux se feront parfois en rase-campagne, parfois en zone habitée : les mesures pourront varier en conséquence.</w:t>
      </w:r>
    </w:p>
    <w:p w14:paraId="0AED24FB" w14:textId="7CAF92CA" w:rsidR="00FD3227" w:rsidRPr="00C801A6" w:rsidRDefault="00FD3227" w:rsidP="00FD3227">
      <w:pPr>
        <w:pStyle w:val="Caption"/>
        <w:rPr>
          <w:color w:val="auto"/>
        </w:rPr>
      </w:pPr>
      <w:bookmarkStart w:id="634" w:name="_Toc230427746"/>
      <w:r>
        <w:t xml:space="preserve">Tableau </w:t>
      </w:r>
      <w:r w:rsidR="00E44887">
        <w:fldChar w:fldCharType="begin"/>
      </w:r>
      <w:r w:rsidR="00E44887">
        <w:instrText xml:space="preserve"> SEQ Tableau \* ARABIC </w:instrText>
      </w:r>
      <w:r w:rsidR="00E44887">
        <w:fldChar w:fldCharType="separate"/>
      </w:r>
      <w:r w:rsidR="00253F1A">
        <w:rPr>
          <w:noProof/>
        </w:rPr>
        <w:t>26</w:t>
      </w:r>
      <w:r w:rsidR="00E44887">
        <w:rPr>
          <w:noProof/>
        </w:rPr>
        <w:fldChar w:fldCharType="end"/>
      </w:r>
      <w:r w:rsidRPr="00C801A6">
        <w:rPr>
          <w:color w:val="auto"/>
        </w:rPr>
        <w:t> : Mesures types liées à la phase des travaux</w:t>
      </w:r>
      <w:bookmarkEnd w:id="634"/>
      <w:r w:rsidRPr="00C801A6">
        <w:rPr>
          <w:color w:val="auto"/>
        </w:rPr>
        <w:t xml:space="preserve"> </w:t>
      </w:r>
    </w:p>
    <w:tbl>
      <w:tblPr>
        <w:tblStyle w:val="TableGrid"/>
        <w:tblW w:w="9067" w:type="dxa"/>
        <w:tblLook w:val="04A0" w:firstRow="1" w:lastRow="0" w:firstColumn="1" w:lastColumn="0" w:noHBand="0" w:noVBand="1"/>
      </w:tblPr>
      <w:tblGrid>
        <w:gridCol w:w="2689"/>
        <w:gridCol w:w="2258"/>
        <w:gridCol w:w="4120"/>
      </w:tblGrid>
      <w:tr w:rsidR="00FD3227" w:rsidRPr="00C801A6" w14:paraId="321D1F70" w14:textId="77777777" w:rsidTr="000451C5">
        <w:trPr>
          <w:tblHeader/>
        </w:trPr>
        <w:tc>
          <w:tcPr>
            <w:tcW w:w="2689" w:type="dxa"/>
            <w:tcBorders>
              <w:bottom w:val="single" w:sz="4" w:space="0" w:color="auto"/>
            </w:tcBorders>
            <w:shd w:val="clear" w:color="auto" w:fill="E2EFD9" w:themeFill="accent6" w:themeFillTint="33"/>
          </w:tcPr>
          <w:p w14:paraId="46B0664F" w14:textId="77777777" w:rsidR="00FD3227" w:rsidRPr="00C801A6" w:rsidRDefault="00FD3227" w:rsidP="000451C5">
            <w:pPr>
              <w:spacing w:before="80" w:after="80" w:line="240" w:lineRule="auto"/>
              <w:jc w:val="left"/>
              <w:rPr>
                <w:b/>
                <w:color w:val="auto"/>
                <w:sz w:val="22"/>
              </w:rPr>
            </w:pPr>
            <w:r w:rsidRPr="00C801A6">
              <w:rPr>
                <w:b/>
                <w:color w:val="auto"/>
                <w:sz w:val="22"/>
              </w:rPr>
              <w:t>Impacts types</w:t>
            </w:r>
          </w:p>
        </w:tc>
        <w:tc>
          <w:tcPr>
            <w:tcW w:w="2258" w:type="dxa"/>
            <w:tcBorders>
              <w:bottom w:val="single" w:sz="4" w:space="0" w:color="auto"/>
            </w:tcBorders>
            <w:shd w:val="clear" w:color="auto" w:fill="E2EFD9" w:themeFill="accent6" w:themeFillTint="33"/>
          </w:tcPr>
          <w:p w14:paraId="7851B638" w14:textId="77777777" w:rsidR="00FD3227" w:rsidRPr="00C801A6" w:rsidRDefault="00FD3227" w:rsidP="000451C5">
            <w:pPr>
              <w:spacing w:before="80" w:after="80" w:line="240" w:lineRule="auto"/>
              <w:jc w:val="left"/>
              <w:rPr>
                <w:b/>
                <w:color w:val="auto"/>
                <w:sz w:val="22"/>
              </w:rPr>
            </w:pPr>
            <w:r w:rsidRPr="00C801A6">
              <w:rPr>
                <w:b/>
                <w:color w:val="auto"/>
                <w:sz w:val="22"/>
              </w:rPr>
              <w:t>Mesures d’évitement types</w:t>
            </w:r>
          </w:p>
        </w:tc>
        <w:tc>
          <w:tcPr>
            <w:tcW w:w="4120" w:type="dxa"/>
            <w:tcBorders>
              <w:bottom w:val="single" w:sz="4" w:space="0" w:color="auto"/>
            </w:tcBorders>
            <w:shd w:val="clear" w:color="auto" w:fill="E2EFD9" w:themeFill="accent6" w:themeFillTint="33"/>
          </w:tcPr>
          <w:p w14:paraId="71C87428" w14:textId="77777777" w:rsidR="00FD3227" w:rsidRPr="00C801A6" w:rsidRDefault="00FD3227" w:rsidP="000451C5">
            <w:pPr>
              <w:spacing w:before="80" w:after="80" w:line="240" w:lineRule="auto"/>
              <w:jc w:val="left"/>
              <w:rPr>
                <w:b/>
                <w:color w:val="auto"/>
                <w:sz w:val="22"/>
              </w:rPr>
            </w:pPr>
            <w:r w:rsidRPr="00C801A6">
              <w:rPr>
                <w:b/>
                <w:color w:val="auto"/>
                <w:sz w:val="22"/>
              </w:rPr>
              <w:t>Mesures d’atténuation types</w:t>
            </w:r>
          </w:p>
        </w:tc>
      </w:tr>
      <w:tr w:rsidR="00FD3227" w:rsidRPr="00C801A6" w14:paraId="783E9A25" w14:textId="77777777" w:rsidTr="000451C5">
        <w:tc>
          <w:tcPr>
            <w:tcW w:w="2689" w:type="dxa"/>
            <w:tcBorders>
              <w:top w:val="single" w:sz="4" w:space="0" w:color="auto"/>
              <w:left w:val="single" w:sz="4" w:space="0" w:color="auto"/>
              <w:bottom w:val="single" w:sz="4" w:space="0" w:color="auto"/>
              <w:right w:val="nil"/>
            </w:tcBorders>
            <w:shd w:val="clear" w:color="auto" w:fill="D0CECE" w:themeFill="background2" w:themeFillShade="E6"/>
          </w:tcPr>
          <w:p w14:paraId="224BDDBC" w14:textId="77777777" w:rsidR="00FD3227" w:rsidRPr="00C801A6" w:rsidRDefault="00FD3227" w:rsidP="000451C5">
            <w:pPr>
              <w:spacing w:before="60" w:after="60"/>
              <w:jc w:val="left"/>
              <w:rPr>
                <w:b/>
                <w:color w:val="auto"/>
                <w:sz w:val="22"/>
                <w:lang w:eastAsia="fr-FR"/>
              </w:rPr>
            </w:pPr>
            <w:r w:rsidRPr="00C801A6">
              <w:rPr>
                <w:b/>
                <w:color w:val="auto"/>
                <w:sz w:val="22"/>
                <w:lang w:eastAsia="fr-FR"/>
              </w:rPr>
              <w:t>Milieux biophysiques</w:t>
            </w:r>
          </w:p>
        </w:tc>
        <w:tc>
          <w:tcPr>
            <w:tcW w:w="2258" w:type="dxa"/>
            <w:tcBorders>
              <w:top w:val="single" w:sz="4" w:space="0" w:color="auto"/>
              <w:left w:val="nil"/>
              <w:bottom w:val="single" w:sz="4" w:space="0" w:color="auto"/>
              <w:right w:val="nil"/>
            </w:tcBorders>
            <w:shd w:val="clear" w:color="auto" w:fill="D0CECE" w:themeFill="background2" w:themeFillShade="E6"/>
          </w:tcPr>
          <w:p w14:paraId="53864B2A" w14:textId="77777777" w:rsidR="00FD3227" w:rsidRPr="00C801A6" w:rsidRDefault="00FD3227" w:rsidP="000451C5">
            <w:pPr>
              <w:spacing w:before="60" w:after="60"/>
              <w:jc w:val="left"/>
              <w:rPr>
                <w:b/>
                <w:color w:val="auto"/>
                <w:sz w:val="22"/>
                <w:lang w:eastAsia="fr-FR"/>
              </w:rPr>
            </w:pPr>
          </w:p>
        </w:tc>
        <w:tc>
          <w:tcPr>
            <w:tcW w:w="4120" w:type="dxa"/>
            <w:tcBorders>
              <w:top w:val="single" w:sz="4" w:space="0" w:color="auto"/>
              <w:left w:val="nil"/>
              <w:bottom w:val="single" w:sz="4" w:space="0" w:color="auto"/>
              <w:right w:val="single" w:sz="4" w:space="0" w:color="auto"/>
            </w:tcBorders>
            <w:shd w:val="clear" w:color="auto" w:fill="D0CECE" w:themeFill="background2" w:themeFillShade="E6"/>
          </w:tcPr>
          <w:p w14:paraId="61FE6A3D" w14:textId="77777777" w:rsidR="00FD3227" w:rsidRPr="00C801A6" w:rsidRDefault="00FD3227" w:rsidP="000451C5">
            <w:pPr>
              <w:spacing w:before="60" w:after="60"/>
              <w:jc w:val="left"/>
              <w:rPr>
                <w:b/>
                <w:color w:val="auto"/>
                <w:sz w:val="22"/>
                <w:lang w:eastAsia="fr-FR"/>
              </w:rPr>
            </w:pPr>
          </w:p>
        </w:tc>
      </w:tr>
      <w:tr w:rsidR="00FD3227" w:rsidRPr="00C801A6" w14:paraId="4BEDFB8F" w14:textId="77777777" w:rsidTr="000451C5">
        <w:tc>
          <w:tcPr>
            <w:tcW w:w="2689" w:type="dxa"/>
          </w:tcPr>
          <w:p w14:paraId="14AC848A" w14:textId="77777777" w:rsidR="00FD3227" w:rsidRPr="00C801A6" w:rsidRDefault="00FD3227" w:rsidP="000451C5">
            <w:pPr>
              <w:spacing w:before="60"/>
              <w:jc w:val="left"/>
              <w:rPr>
                <w:color w:val="auto"/>
                <w:sz w:val="22"/>
                <w:lang w:eastAsia="fr-FR"/>
              </w:rPr>
            </w:pPr>
            <w:r w:rsidRPr="00C801A6">
              <w:rPr>
                <w:color w:val="auto"/>
                <w:sz w:val="22"/>
                <w:lang w:eastAsia="fr-FR"/>
              </w:rPr>
              <w:t>Altération de la qualité de l’air/Emission de poussières</w:t>
            </w:r>
          </w:p>
        </w:tc>
        <w:tc>
          <w:tcPr>
            <w:tcW w:w="2258" w:type="dxa"/>
          </w:tcPr>
          <w:p w14:paraId="396568CA" w14:textId="77777777" w:rsidR="00FD3227" w:rsidRPr="00C801A6" w:rsidRDefault="00FD3227" w:rsidP="00844538">
            <w:pPr>
              <w:pStyle w:val="ListParagraph"/>
              <w:numPr>
                <w:ilvl w:val="0"/>
                <w:numId w:val="28"/>
              </w:numPr>
              <w:spacing w:before="60" w:line="276" w:lineRule="auto"/>
              <w:ind w:left="142" w:hanging="142"/>
              <w:contextualSpacing w:val="0"/>
              <w:jc w:val="left"/>
              <w:rPr>
                <w:color w:val="auto"/>
                <w:sz w:val="22"/>
              </w:rPr>
            </w:pPr>
            <w:r w:rsidRPr="00C801A6">
              <w:rPr>
                <w:color w:val="auto"/>
                <w:sz w:val="22"/>
              </w:rPr>
              <w:t>Aucune</w:t>
            </w:r>
          </w:p>
        </w:tc>
        <w:tc>
          <w:tcPr>
            <w:tcW w:w="4120" w:type="dxa"/>
          </w:tcPr>
          <w:p w14:paraId="0271F23E" w14:textId="77777777" w:rsidR="00FD3227" w:rsidRPr="00C801A6" w:rsidRDefault="00FD3227" w:rsidP="00844538">
            <w:pPr>
              <w:pStyle w:val="ListParagraph"/>
              <w:numPr>
                <w:ilvl w:val="0"/>
                <w:numId w:val="28"/>
              </w:numPr>
              <w:spacing w:before="60" w:line="276" w:lineRule="auto"/>
              <w:ind w:left="142" w:hanging="142"/>
              <w:contextualSpacing w:val="0"/>
              <w:jc w:val="left"/>
              <w:rPr>
                <w:color w:val="auto"/>
                <w:sz w:val="22"/>
              </w:rPr>
            </w:pPr>
            <w:r w:rsidRPr="00C801A6">
              <w:rPr>
                <w:color w:val="auto"/>
                <w:sz w:val="22"/>
              </w:rPr>
              <w:t>Arroser les surfaces à remédier</w:t>
            </w:r>
          </w:p>
          <w:p w14:paraId="6866D45E" w14:textId="77777777" w:rsidR="00FD3227" w:rsidRPr="00C801A6" w:rsidRDefault="00FD3227" w:rsidP="00844538">
            <w:pPr>
              <w:pStyle w:val="ListParagraph"/>
              <w:numPr>
                <w:ilvl w:val="0"/>
                <w:numId w:val="28"/>
              </w:numPr>
              <w:spacing w:before="60" w:line="276" w:lineRule="auto"/>
              <w:ind w:left="142" w:hanging="142"/>
              <w:contextualSpacing w:val="0"/>
              <w:jc w:val="left"/>
              <w:rPr>
                <w:color w:val="auto"/>
                <w:sz w:val="22"/>
              </w:rPr>
            </w:pPr>
            <w:r w:rsidRPr="00C801A6">
              <w:rPr>
                <w:rFonts w:eastAsia="Calibri"/>
                <w:color w:val="auto"/>
                <w:sz w:val="22"/>
              </w:rPr>
              <w:t>Préparer les enrobés à l’écart des zones d’habitation</w:t>
            </w:r>
          </w:p>
        </w:tc>
      </w:tr>
      <w:tr w:rsidR="00FD3227" w:rsidRPr="00C801A6" w14:paraId="7E054E0E" w14:textId="77777777" w:rsidTr="000451C5">
        <w:tc>
          <w:tcPr>
            <w:tcW w:w="2689" w:type="dxa"/>
          </w:tcPr>
          <w:p w14:paraId="03D86C87" w14:textId="77777777" w:rsidR="00FD3227" w:rsidRPr="00C801A6" w:rsidRDefault="00FD3227" w:rsidP="000451C5">
            <w:pPr>
              <w:spacing w:before="60"/>
              <w:jc w:val="left"/>
              <w:rPr>
                <w:color w:val="auto"/>
                <w:sz w:val="22"/>
                <w:lang w:eastAsia="fr-FR"/>
              </w:rPr>
            </w:pPr>
            <w:r w:rsidRPr="00C801A6">
              <w:rPr>
                <w:color w:val="auto"/>
                <w:sz w:val="22"/>
                <w:lang w:eastAsia="fr-FR"/>
              </w:rPr>
              <w:t>Altération de l’ambiance sonore / Emission de bruit</w:t>
            </w:r>
          </w:p>
        </w:tc>
        <w:tc>
          <w:tcPr>
            <w:tcW w:w="2258" w:type="dxa"/>
          </w:tcPr>
          <w:p w14:paraId="20C826C6" w14:textId="77777777" w:rsidR="00FD3227" w:rsidRPr="00C801A6" w:rsidRDefault="00FD3227" w:rsidP="00844538">
            <w:pPr>
              <w:pStyle w:val="ListParagraph"/>
              <w:numPr>
                <w:ilvl w:val="0"/>
                <w:numId w:val="28"/>
              </w:numPr>
              <w:spacing w:before="60" w:line="276" w:lineRule="auto"/>
              <w:ind w:left="142" w:hanging="142"/>
              <w:contextualSpacing w:val="0"/>
              <w:jc w:val="left"/>
              <w:rPr>
                <w:color w:val="auto"/>
                <w:sz w:val="22"/>
              </w:rPr>
            </w:pPr>
            <w:r w:rsidRPr="00C801A6">
              <w:rPr>
                <w:color w:val="auto"/>
                <w:sz w:val="22"/>
              </w:rPr>
              <w:t>Aucune</w:t>
            </w:r>
          </w:p>
        </w:tc>
        <w:tc>
          <w:tcPr>
            <w:tcW w:w="4120" w:type="dxa"/>
          </w:tcPr>
          <w:p w14:paraId="39844875" w14:textId="77777777" w:rsidR="00FD3227" w:rsidRPr="00C801A6" w:rsidRDefault="00FD3227" w:rsidP="00844538">
            <w:pPr>
              <w:pStyle w:val="ListParagraph"/>
              <w:numPr>
                <w:ilvl w:val="0"/>
                <w:numId w:val="28"/>
              </w:numPr>
              <w:spacing w:before="60" w:line="276" w:lineRule="auto"/>
              <w:ind w:left="142" w:hanging="142"/>
              <w:contextualSpacing w:val="0"/>
              <w:jc w:val="left"/>
              <w:rPr>
                <w:color w:val="auto"/>
                <w:sz w:val="22"/>
              </w:rPr>
            </w:pPr>
            <w:r w:rsidRPr="00C801A6">
              <w:rPr>
                <w:color w:val="auto"/>
                <w:sz w:val="22"/>
              </w:rPr>
              <w:t>Planifier les heures de travail en zone habitée à des tranches horaires où les riverains sont dans leurs lieux de travail.</w:t>
            </w:r>
          </w:p>
          <w:p w14:paraId="22DC71C5" w14:textId="77777777" w:rsidR="00FD3227" w:rsidRPr="00C801A6" w:rsidRDefault="00FD3227" w:rsidP="00844538">
            <w:pPr>
              <w:pStyle w:val="ListParagraph"/>
              <w:numPr>
                <w:ilvl w:val="0"/>
                <w:numId w:val="28"/>
              </w:numPr>
              <w:spacing w:before="60" w:line="276" w:lineRule="auto"/>
              <w:ind w:left="142" w:hanging="142"/>
              <w:contextualSpacing w:val="0"/>
              <w:jc w:val="left"/>
              <w:rPr>
                <w:color w:val="auto"/>
                <w:sz w:val="22"/>
              </w:rPr>
            </w:pPr>
            <w:r w:rsidRPr="00C801A6">
              <w:rPr>
                <w:color w:val="auto"/>
                <w:sz w:val="22"/>
              </w:rPr>
              <w:t>Faire attention pour les travaux proches d’une école ou d’un hôpital</w:t>
            </w:r>
          </w:p>
        </w:tc>
      </w:tr>
      <w:tr w:rsidR="00FD3227" w:rsidRPr="00C801A6" w14:paraId="6343F737" w14:textId="77777777" w:rsidTr="000451C5">
        <w:tc>
          <w:tcPr>
            <w:tcW w:w="2689" w:type="dxa"/>
          </w:tcPr>
          <w:p w14:paraId="2C9077D5" w14:textId="77777777" w:rsidR="00FD3227" w:rsidRPr="00C801A6" w:rsidRDefault="00FD3227" w:rsidP="000451C5">
            <w:pPr>
              <w:jc w:val="left"/>
              <w:rPr>
                <w:rFonts w:eastAsia="Times New Roman" w:cs="Times New Roman"/>
                <w:color w:val="auto"/>
                <w:sz w:val="22"/>
                <w:lang w:eastAsia="fr-FR"/>
              </w:rPr>
            </w:pPr>
            <w:r w:rsidRPr="00C801A6">
              <w:rPr>
                <w:rFonts w:eastAsia="Times New Roman" w:cs="Times New Roman"/>
                <w:color w:val="auto"/>
                <w:sz w:val="22"/>
                <w:lang w:eastAsia="fr-FR"/>
              </w:rPr>
              <w:t>Pollution du milieu environnant</w:t>
            </w:r>
          </w:p>
        </w:tc>
        <w:tc>
          <w:tcPr>
            <w:tcW w:w="2258" w:type="dxa"/>
          </w:tcPr>
          <w:p w14:paraId="3D51ECE3" w14:textId="37B29610" w:rsidR="00FD3227" w:rsidRPr="00C801A6" w:rsidRDefault="00FD3227" w:rsidP="00844538">
            <w:pPr>
              <w:pStyle w:val="ListParagraph"/>
              <w:numPr>
                <w:ilvl w:val="0"/>
                <w:numId w:val="141"/>
              </w:numPr>
              <w:spacing w:before="60" w:line="276" w:lineRule="auto"/>
              <w:ind w:left="142" w:hanging="142"/>
              <w:jc w:val="left"/>
              <w:rPr>
                <w:rFonts w:eastAsia="Times New Roman" w:cs="Times New Roman"/>
                <w:color w:val="auto"/>
                <w:sz w:val="22"/>
              </w:rPr>
            </w:pPr>
            <w:r w:rsidRPr="00C801A6">
              <w:rPr>
                <w:color w:val="auto"/>
                <w:sz w:val="22"/>
              </w:rPr>
              <w:t>Optimiser</w:t>
            </w:r>
            <w:r w:rsidRPr="00C801A6">
              <w:rPr>
                <w:rFonts w:eastAsia="Times New Roman" w:cs="Times New Roman"/>
                <w:color w:val="auto"/>
                <w:sz w:val="22"/>
              </w:rPr>
              <w:t xml:space="preserve"> l’utilisation des matériau</w:t>
            </w:r>
            <w:r>
              <w:rPr>
                <w:rFonts w:eastAsia="Times New Roman" w:cs="Times New Roman"/>
                <w:color w:val="auto"/>
                <w:sz w:val="22"/>
              </w:rPr>
              <w:t>x</w:t>
            </w:r>
          </w:p>
          <w:p w14:paraId="0AF99763" w14:textId="77777777" w:rsidR="00FD3227" w:rsidRPr="00C801A6" w:rsidRDefault="00FD3227" w:rsidP="00844538">
            <w:pPr>
              <w:pStyle w:val="ListParagraph"/>
              <w:numPr>
                <w:ilvl w:val="0"/>
                <w:numId w:val="141"/>
              </w:numPr>
              <w:spacing w:line="276" w:lineRule="auto"/>
              <w:ind w:left="142" w:hanging="142"/>
              <w:jc w:val="left"/>
              <w:rPr>
                <w:rFonts w:eastAsia="Times New Roman" w:cs="Times New Roman"/>
                <w:color w:val="auto"/>
                <w:sz w:val="22"/>
              </w:rPr>
            </w:pPr>
            <w:r w:rsidRPr="00C801A6">
              <w:rPr>
                <w:rFonts w:eastAsia="Times New Roman" w:cs="Times New Roman"/>
                <w:color w:val="auto"/>
                <w:sz w:val="22"/>
              </w:rPr>
              <w:t xml:space="preserve">Eviter les contaminations du </w:t>
            </w:r>
            <w:r w:rsidRPr="00C801A6">
              <w:rPr>
                <w:color w:val="auto"/>
                <w:sz w:val="22"/>
              </w:rPr>
              <w:t>milieu</w:t>
            </w:r>
            <w:r w:rsidRPr="00C801A6">
              <w:rPr>
                <w:rFonts w:eastAsia="Times New Roman" w:cs="Times New Roman"/>
                <w:color w:val="auto"/>
                <w:sz w:val="22"/>
              </w:rPr>
              <w:t xml:space="preserve"> par les </w:t>
            </w:r>
            <w:r w:rsidRPr="00C801A6">
              <w:rPr>
                <w:rFonts w:eastAsia="Times New Roman" w:cs="Times New Roman"/>
                <w:color w:val="auto"/>
                <w:sz w:val="22"/>
              </w:rPr>
              <w:lastRenderedPageBreak/>
              <w:t>opérations de nettoyage des matériels et équipements</w:t>
            </w:r>
          </w:p>
        </w:tc>
        <w:tc>
          <w:tcPr>
            <w:tcW w:w="4120" w:type="dxa"/>
          </w:tcPr>
          <w:p w14:paraId="2431590E" w14:textId="77777777" w:rsidR="00FD3227" w:rsidRPr="00C801A6" w:rsidRDefault="00FD3227" w:rsidP="00844538">
            <w:pPr>
              <w:pStyle w:val="ListParagraph"/>
              <w:numPr>
                <w:ilvl w:val="0"/>
                <w:numId w:val="141"/>
              </w:numPr>
              <w:spacing w:before="60" w:line="276" w:lineRule="auto"/>
              <w:ind w:left="142" w:hanging="142"/>
              <w:jc w:val="left"/>
              <w:rPr>
                <w:rFonts w:eastAsia="Times New Roman" w:cs="Times New Roman"/>
                <w:color w:val="auto"/>
                <w:sz w:val="22"/>
              </w:rPr>
            </w:pPr>
            <w:r w:rsidRPr="00C801A6">
              <w:rPr>
                <w:rFonts w:eastAsia="Times New Roman" w:cs="Times New Roman"/>
                <w:color w:val="auto"/>
                <w:sz w:val="22"/>
              </w:rPr>
              <w:lastRenderedPageBreak/>
              <w:t>Mett</w:t>
            </w:r>
            <w:r w:rsidRPr="00C801A6">
              <w:rPr>
                <w:color w:val="auto"/>
                <w:sz w:val="22"/>
              </w:rPr>
              <w:t>re en place un système de collecte et d’élimination des déchets générés.</w:t>
            </w:r>
          </w:p>
          <w:p w14:paraId="14322862" w14:textId="77777777" w:rsidR="00FD3227" w:rsidRPr="00C801A6" w:rsidRDefault="00FD3227" w:rsidP="00844538">
            <w:pPr>
              <w:pStyle w:val="ListParagraph"/>
              <w:numPr>
                <w:ilvl w:val="0"/>
                <w:numId w:val="141"/>
              </w:numPr>
              <w:spacing w:before="60" w:line="276" w:lineRule="auto"/>
              <w:ind w:left="142" w:hanging="142"/>
              <w:jc w:val="left"/>
              <w:rPr>
                <w:rFonts w:eastAsia="Times New Roman" w:cs="Times New Roman"/>
                <w:color w:val="auto"/>
                <w:sz w:val="22"/>
              </w:rPr>
            </w:pPr>
            <w:r w:rsidRPr="00C801A6">
              <w:rPr>
                <w:color w:val="auto"/>
                <w:sz w:val="22"/>
              </w:rPr>
              <w:t>Prédé</w:t>
            </w:r>
            <w:r w:rsidRPr="00C801A6">
              <w:rPr>
                <w:rFonts w:eastAsia="Times New Roman" w:cs="Times New Roman"/>
                <w:color w:val="auto"/>
                <w:sz w:val="22"/>
              </w:rPr>
              <w:t>finir les sites de nettoyage des matériels et équipements</w:t>
            </w:r>
          </w:p>
        </w:tc>
      </w:tr>
      <w:tr w:rsidR="00FD3227" w:rsidRPr="00C801A6" w14:paraId="7CA48FF3" w14:textId="77777777" w:rsidTr="000451C5">
        <w:tc>
          <w:tcPr>
            <w:tcW w:w="2689" w:type="dxa"/>
            <w:tcBorders>
              <w:top w:val="single" w:sz="4" w:space="0" w:color="auto"/>
              <w:left w:val="single" w:sz="4" w:space="0" w:color="auto"/>
              <w:bottom w:val="single" w:sz="4" w:space="0" w:color="auto"/>
              <w:right w:val="nil"/>
            </w:tcBorders>
            <w:shd w:val="clear" w:color="auto" w:fill="D0CECE" w:themeFill="background2" w:themeFillShade="E6"/>
          </w:tcPr>
          <w:p w14:paraId="416FDAFD" w14:textId="77777777" w:rsidR="00FD3227" w:rsidRPr="00C801A6" w:rsidRDefault="00FD3227" w:rsidP="000451C5">
            <w:pPr>
              <w:spacing w:before="60" w:after="60"/>
              <w:jc w:val="left"/>
              <w:rPr>
                <w:b/>
                <w:color w:val="auto"/>
                <w:sz w:val="22"/>
                <w:lang w:eastAsia="fr-FR"/>
              </w:rPr>
            </w:pPr>
            <w:r w:rsidRPr="00C801A6">
              <w:rPr>
                <w:b/>
                <w:color w:val="auto"/>
                <w:sz w:val="22"/>
                <w:lang w:eastAsia="fr-FR"/>
              </w:rPr>
              <w:t>Impacts socioéconomiques</w:t>
            </w:r>
          </w:p>
        </w:tc>
        <w:tc>
          <w:tcPr>
            <w:tcW w:w="2258" w:type="dxa"/>
            <w:tcBorders>
              <w:top w:val="single" w:sz="4" w:space="0" w:color="auto"/>
              <w:left w:val="nil"/>
              <w:bottom w:val="single" w:sz="4" w:space="0" w:color="auto"/>
              <w:right w:val="nil"/>
            </w:tcBorders>
            <w:shd w:val="clear" w:color="auto" w:fill="D0CECE" w:themeFill="background2" w:themeFillShade="E6"/>
          </w:tcPr>
          <w:p w14:paraId="7B30E5DC" w14:textId="77777777" w:rsidR="00FD3227" w:rsidRPr="00C801A6" w:rsidRDefault="00FD3227" w:rsidP="000451C5">
            <w:pPr>
              <w:spacing w:before="60" w:after="60"/>
              <w:jc w:val="left"/>
              <w:rPr>
                <w:b/>
                <w:color w:val="auto"/>
                <w:sz w:val="22"/>
                <w:lang w:eastAsia="fr-FR"/>
              </w:rPr>
            </w:pPr>
          </w:p>
        </w:tc>
        <w:tc>
          <w:tcPr>
            <w:tcW w:w="4120" w:type="dxa"/>
            <w:tcBorders>
              <w:top w:val="single" w:sz="4" w:space="0" w:color="auto"/>
              <w:left w:val="nil"/>
              <w:bottom w:val="single" w:sz="4" w:space="0" w:color="auto"/>
              <w:right w:val="single" w:sz="4" w:space="0" w:color="auto"/>
            </w:tcBorders>
            <w:shd w:val="clear" w:color="auto" w:fill="D0CECE" w:themeFill="background2" w:themeFillShade="E6"/>
          </w:tcPr>
          <w:p w14:paraId="1DEF33D7" w14:textId="77777777" w:rsidR="00FD3227" w:rsidRPr="00C801A6" w:rsidRDefault="00FD3227" w:rsidP="000451C5">
            <w:pPr>
              <w:spacing w:before="60" w:after="60"/>
              <w:jc w:val="left"/>
              <w:rPr>
                <w:b/>
                <w:color w:val="auto"/>
                <w:sz w:val="22"/>
                <w:lang w:eastAsia="fr-FR"/>
              </w:rPr>
            </w:pPr>
          </w:p>
        </w:tc>
      </w:tr>
      <w:tr w:rsidR="00FD3227" w:rsidRPr="00C801A6" w14:paraId="24A669C6" w14:textId="77777777" w:rsidTr="000451C5">
        <w:tc>
          <w:tcPr>
            <w:tcW w:w="2689" w:type="dxa"/>
          </w:tcPr>
          <w:p w14:paraId="50335D1B" w14:textId="77777777" w:rsidR="00FD3227" w:rsidRPr="00C801A6" w:rsidRDefault="00FD3227" w:rsidP="000451C5">
            <w:pPr>
              <w:spacing w:before="60"/>
              <w:jc w:val="left"/>
              <w:rPr>
                <w:color w:val="auto"/>
                <w:sz w:val="22"/>
                <w:lang w:eastAsia="fr-FR"/>
              </w:rPr>
            </w:pPr>
            <w:r w:rsidRPr="00C801A6">
              <w:rPr>
                <w:color w:val="auto"/>
                <w:sz w:val="22"/>
                <w:lang w:eastAsia="fr-FR"/>
              </w:rPr>
              <w:t>Risques d’inflation locale</w:t>
            </w:r>
          </w:p>
        </w:tc>
        <w:tc>
          <w:tcPr>
            <w:tcW w:w="2258" w:type="dxa"/>
          </w:tcPr>
          <w:p w14:paraId="5D87AA27" w14:textId="77777777" w:rsidR="00FD3227" w:rsidRPr="00C801A6" w:rsidRDefault="00FD3227" w:rsidP="00844538">
            <w:pPr>
              <w:pStyle w:val="ListParagraph"/>
              <w:numPr>
                <w:ilvl w:val="0"/>
                <w:numId w:val="28"/>
              </w:numPr>
              <w:spacing w:before="60" w:line="276" w:lineRule="auto"/>
              <w:ind w:left="142" w:right="-232" w:hanging="142"/>
              <w:contextualSpacing w:val="0"/>
              <w:jc w:val="left"/>
              <w:rPr>
                <w:color w:val="auto"/>
                <w:sz w:val="22"/>
              </w:rPr>
            </w:pPr>
            <w:r w:rsidRPr="00C801A6">
              <w:rPr>
                <w:color w:val="auto"/>
                <w:sz w:val="22"/>
              </w:rPr>
              <w:t>Négocier des contrats d’approvisionnement avec des fournisseurs locaux pour aboutir un schéma gagnant-gagnant</w:t>
            </w:r>
          </w:p>
        </w:tc>
        <w:tc>
          <w:tcPr>
            <w:tcW w:w="4120" w:type="dxa"/>
          </w:tcPr>
          <w:p w14:paraId="38976FBD" w14:textId="77777777" w:rsidR="00FD3227" w:rsidRPr="00C801A6" w:rsidRDefault="00FD3227" w:rsidP="00844538">
            <w:pPr>
              <w:pStyle w:val="ListParagraph"/>
              <w:numPr>
                <w:ilvl w:val="0"/>
                <w:numId w:val="28"/>
              </w:numPr>
              <w:spacing w:before="60" w:line="276" w:lineRule="auto"/>
              <w:ind w:left="142" w:hanging="142"/>
              <w:contextualSpacing w:val="0"/>
              <w:jc w:val="left"/>
              <w:rPr>
                <w:color w:val="auto"/>
                <w:sz w:val="22"/>
              </w:rPr>
            </w:pPr>
            <w:r w:rsidRPr="00C801A6">
              <w:rPr>
                <w:color w:val="auto"/>
                <w:sz w:val="22"/>
              </w:rPr>
              <w:t>S’approvisionner ailleurs qu’au village (auquel cas les fournisseurs ne vont pas bénéficier des opportunités offertes par l’existence de la base-vie)</w:t>
            </w:r>
          </w:p>
        </w:tc>
      </w:tr>
      <w:tr w:rsidR="00FD3227" w:rsidRPr="00C801A6" w14:paraId="375AED31" w14:textId="77777777" w:rsidTr="000451C5">
        <w:tc>
          <w:tcPr>
            <w:tcW w:w="2689" w:type="dxa"/>
            <w:tcBorders>
              <w:top w:val="single" w:sz="4" w:space="0" w:color="auto"/>
              <w:left w:val="single" w:sz="4" w:space="0" w:color="auto"/>
              <w:bottom w:val="single" w:sz="4" w:space="0" w:color="auto"/>
              <w:right w:val="nil"/>
            </w:tcBorders>
            <w:shd w:val="clear" w:color="auto" w:fill="D0CECE" w:themeFill="background2" w:themeFillShade="E6"/>
          </w:tcPr>
          <w:p w14:paraId="1F3488AE" w14:textId="77777777" w:rsidR="00FD3227" w:rsidRPr="00C801A6" w:rsidRDefault="00FD3227" w:rsidP="000451C5">
            <w:pPr>
              <w:spacing w:before="60" w:after="60"/>
              <w:jc w:val="left"/>
              <w:rPr>
                <w:b/>
                <w:color w:val="auto"/>
                <w:sz w:val="22"/>
                <w:lang w:eastAsia="fr-FR"/>
              </w:rPr>
            </w:pPr>
            <w:r w:rsidRPr="00C801A6">
              <w:rPr>
                <w:b/>
                <w:color w:val="auto"/>
                <w:sz w:val="22"/>
                <w:lang w:eastAsia="fr-FR"/>
              </w:rPr>
              <w:t>Risques d’accident</w:t>
            </w:r>
          </w:p>
        </w:tc>
        <w:tc>
          <w:tcPr>
            <w:tcW w:w="2258" w:type="dxa"/>
            <w:tcBorders>
              <w:top w:val="single" w:sz="4" w:space="0" w:color="auto"/>
              <w:left w:val="nil"/>
              <w:bottom w:val="single" w:sz="4" w:space="0" w:color="auto"/>
              <w:right w:val="nil"/>
            </w:tcBorders>
            <w:shd w:val="clear" w:color="auto" w:fill="D0CECE" w:themeFill="background2" w:themeFillShade="E6"/>
          </w:tcPr>
          <w:p w14:paraId="3D6C3415" w14:textId="77777777" w:rsidR="00FD3227" w:rsidRPr="00C801A6" w:rsidRDefault="00FD3227" w:rsidP="000451C5">
            <w:pPr>
              <w:spacing w:before="60" w:after="60"/>
              <w:jc w:val="left"/>
              <w:rPr>
                <w:b/>
                <w:color w:val="auto"/>
                <w:sz w:val="22"/>
                <w:lang w:eastAsia="fr-FR"/>
              </w:rPr>
            </w:pPr>
          </w:p>
        </w:tc>
        <w:tc>
          <w:tcPr>
            <w:tcW w:w="4120" w:type="dxa"/>
            <w:tcBorders>
              <w:top w:val="single" w:sz="4" w:space="0" w:color="auto"/>
              <w:left w:val="nil"/>
              <w:bottom w:val="single" w:sz="4" w:space="0" w:color="auto"/>
              <w:right w:val="single" w:sz="4" w:space="0" w:color="auto"/>
            </w:tcBorders>
            <w:shd w:val="clear" w:color="auto" w:fill="D0CECE" w:themeFill="background2" w:themeFillShade="E6"/>
          </w:tcPr>
          <w:p w14:paraId="7B16DE4B" w14:textId="77777777" w:rsidR="00FD3227" w:rsidRPr="00C801A6" w:rsidRDefault="00FD3227" w:rsidP="000451C5">
            <w:pPr>
              <w:spacing w:before="60" w:after="60"/>
              <w:jc w:val="left"/>
              <w:rPr>
                <w:b/>
                <w:color w:val="auto"/>
                <w:sz w:val="22"/>
                <w:lang w:eastAsia="fr-FR"/>
              </w:rPr>
            </w:pPr>
          </w:p>
        </w:tc>
      </w:tr>
      <w:tr w:rsidR="00FD3227" w:rsidRPr="00C801A6" w14:paraId="042F8577" w14:textId="77777777" w:rsidTr="000451C5">
        <w:tc>
          <w:tcPr>
            <w:tcW w:w="2689" w:type="dxa"/>
            <w:tcBorders>
              <w:top w:val="single" w:sz="4" w:space="0" w:color="auto"/>
              <w:bottom w:val="single" w:sz="4" w:space="0" w:color="auto"/>
            </w:tcBorders>
          </w:tcPr>
          <w:p w14:paraId="364A33B6" w14:textId="77777777" w:rsidR="00FD3227" w:rsidRPr="00C801A6" w:rsidRDefault="00FD3227" w:rsidP="000451C5">
            <w:pPr>
              <w:spacing w:before="60"/>
              <w:jc w:val="left"/>
              <w:rPr>
                <w:color w:val="auto"/>
                <w:sz w:val="22"/>
                <w:lang w:eastAsia="fr-FR"/>
              </w:rPr>
            </w:pPr>
            <w:r w:rsidRPr="00C801A6">
              <w:rPr>
                <w:color w:val="auto"/>
                <w:sz w:val="22"/>
                <w:lang w:eastAsia="fr-FR"/>
              </w:rPr>
              <w:t>Risques d’accident de chantier</w:t>
            </w:r>
          </w:p>
        </w:tc>
        <w:tc>
          <w:tcPr>
            <w:tcW w:w="2258" w:type="dxa"/>
            <w:tcBorders>
              <w:top w:val="single" w:sz="4" w:space="0" w:color="auto"/>
              <w:bottom w:val="single" w:sz="4" w:space="0" w:color="auto"/>
            </w:tcBorders>
          </w:tcPr>
          <w:p w14:paraId="57AEAED3" w14:textId="77777777" w:rsidR="00FD3227" w:rsidRPr="00C801A6" w:rsidRDefault="00FD3227" w:rsidP="00844538">
            <w:pPr>
              <w:pStyle w:val="ListParagraph"/>
              <w:numPr>
                <w:ilvl w:val="0"/>
                <w:numId w:val="28"/>
              </w:numPr>
              <w:spacing w:before="60" w:line="276" w:lineRule="auto"/>
              <w:ind w:left="142" w:hanging="142"/>
              <w:contextualSpacing w:val="0"/>
              <w:jc w:val="left"/>
              <w:rPr>
                <w:color w:val="auto"/>
                <w:sz w:val="22"/>
              </w:rPr>
            </w:pPr>
            <w:r w:rsidRPr="00C801A6">
              <w:rPr>
                <w:color w:val="auto"/>
                <w:sz w:val="22"/>
              </w:rPr>
              <w:t>Sensibiliser les ouvriers et les riverains (notamment les badauds) sur les risques d’accident de chantier</w:t>
            </w:r>
          </w:p>
        </w:tc>
        <w:tc>
          <w:tcPr>
            <w:tcW w:w="4120" w:type="dxa"/>
            <w:tcBorders>
              <w:top w:val="single" w:sz="4" w:space="0" w:color="auto"/>
              <w:bottom w:val="single" w:sz="4" w:space="0" w:color="auto"/>
            </w:tcBorders>
          </w:tcPr>
          <w:p w14:paraId="6375A918" w14:textId="77777777" w:rsidR="00FD3227" w:rsidRPr="00C801A6" w:rsidRDefault="00FD3227" w:rsidP="00844538">
            <w:pPr>
              <w:pStyle w:val="ListParagraph"/>
              <w:numPr>
                <w:ilvl w:val="0"/>
                <w:numId w:val="28"/>
              </w:numPr>
              <w:spacing w:before="60" w:line="276" w:lineRule="auto"/>
              <w:ind w:left="142" w:hanging="142"/>
              <w:contextualSpacing w:val="0"/>
              <w:jc w:val="left"/>
              <w:rPr>
                <w:color w:val="auto"/>
                <w:sz w:val="22"/>
              </w:rPr>
            </w:pPr>
            <w:r w:rsidRPr="00C801A6">
              <w:rPr>
                <w:color w:val="auto"/>
                <w:sz w:val="22"/>
              </w:rPr>
              <w:t xml:space="preserve">Lorsqu’il n’est pas possible d’isoler totalement les travailleurs de la circulation, utiliser des barrières protectrices pour les protéger des véhicules ou installer des repères visuels (tels que cônes et balises de travaux) pour délimiter l’aire de travail </w:t>
            </w:r>
          </w:p>
          <w:p w14:paraId="33E4F2C2" w14:textId="77777777" w:rsidR="00FD3227" w:rsidRPr="00C801A6" w:rsidRDefault="00FD3227" w:rsidP="00844538">
            <w:pPr>
              <w:pStyle w:val="ListParagraph"/>
              <w:numPr>
                <w:ilvl w:val="0"/>
                <w:numId w:val="28"/>
              </w:numPr>
              <w:spacing w:before="60" w:line="276" w:lineRule="auto"/>
              <w:ind w:left="142" w:hanging="142"/>
              <w:contextualSpacing w:val="0"/>
              <w:jc w:val="left"/>
              <w:rPr>
                <w:color w:val="auto"/>
                <w:sz w:val="22"/>
              </w:rPr>
            </w:pPr>
            <w:r w:rsidRPr="00C801A6">
              <w:rPr>
                <w:color w:val="auto"/>
                <w:sz w:val="22"/>
              </w:rPr>
              <w:t xml:space="preserve">Régler la circulation en installant des feux de circulation pour travaux au lieu, dans la mesure du possible, de signaleurs munis de drapeaux pour donner des signaux manuels </w:t>
            </w:r>
          </w:p>
          <w:p w14:paraId="7141CBAC" w14:textId="77777777" w:rsidR="00FD3227" w:rsidRPr="00C801A6" w:rsidRDefault="00FD3227" w:rsidP="00844538">
            <w:pPr>
              <w:pStyle w:val="ListParagraph"/>
              <w:numPr>
                <w:ilvl w:val="0"/>
                <w:numId w:val="28"/>
              </w:numPr>
              <w:spacing w:before="60" w:line="276" w:lineRule="auto"/>
              <w:ind w:left="142" w:hanging="142"/>
              <w:contextualSpacing w:val="0"/>
              <w:jc w:val="left"/>
              <w:rPr>
                <w:color w:val="auto"/>
                <w:sz w:val="22"/>
              </w:rPr>
            </w:pPr>
            <w:r w:rsidRPr="00C801A6">
              <w:rPr>
                <w:color w:val="auto"/>
                <w:sz w:val="22"/>
              </w:rPr>
              <w:t>Concevoir l’aire de travail de manière à éliminer ou à réduire les points sans visibilité</w:t>
            </w:r>
          </w:p>
        </w:tc>
      </w:tr>
      <w:tr w:rsidR="00FD3227" w:rsidRPr="00C801A6" w14:paraId="29D3A6CB" w14:textId="77777777" w:rsidTr="000451C5">
        <w:tc>
          <w:tcPr>
            <w:tcW w:w="2689" w:type="dxa"/>
            <w:tcBorders>
              <w:top w:val="single" w:sz="4" w:space="0" w:color="auto"/>
              <w:bottom w:val="single" w:sz="4" w:space="0" w:color="auto"/>
            </w:tcBorders>
          </w:tcPr>
          <w:p w14:paraId="2E1FE300" w14:textId="77777777" w:rsidR="00FD3227" w:rsidRPr="00C801A6" w:rsidRDefault="00FD3227" w:rsidP="000451C5">
            <w:pPr>
              <w:spacing w:before="60"/>
              <w:jc w:val="left"/>
              <w:rPr>
                <w:color w:val="auto"/>
                <w:sz w:val="22"/>
                <w:lang w:eastAsia="fr-FR"/>
              </w:rPr>
            </w:pPr>
            <w:r w:rsidRPr="00C801A6">
              <w:rPr>
                <w:color w:val="auto"/>
                <w:sz w:val="22"/>
                <w:lang w:eastAsia="fr-FR"/>
              </w:rPr>
              <w:t>Risques de pollution liés à des fuites / déversements de carburant ou à des ruissellements de matières bitumeuses</w:t>
            </w:r>
          </w:p>
        </w:tc>
        <w:tc>
          <w:tcPr>
            <w:tcW w:w="2258" w:type="dxa"/>
            <w:tcBorders>
              <w:top w:val="single" w:sz="4" w:space="0" w:color="auto"/>
              <w:bottom w:val="single" w:sz="4" w:space="0" w:color="auto"/>
            </w:tcBorders>
          </w:tcPr>
          <w:p w14:paraId="18543664" w14:textId="77777777" w:rsidR="00FD3227" w:rsidRPr="00C801A6" w:rsidRDefault="00FD3227" w:rsidP="00844538">
            <w:pPr>
              <w:pStyle w:val="ListParagraph"/>
              <w:numPr>
                <w:ilvl w:val="0"/>
                <w:numId w:val="28"/>
              </w:numPr>
              <w:spacing w:before="60" w:line="276" w:lineRule="auto"/>
              <w:ind w:left="142" w:hanging="142"/>
              <w:contextualSpacing w:val="0"/>
              <w:jc w:val="left"/>
              <w:rPr>
                <w:color w:val="auto"/>
                <w:sz w:val="22"/>
              </w:rPr>
            </w:pPr>
            <w:r w:rsidRPr="00C801A6">
              <w:rPr>
                <w:color w:val="auto"/>
                <w:sz w:val="22"/>
              </w:rPr>
              <w:t>Aucune</w:t>
            </w:r>
          </w:p>
        </w:tc>
        <w:tc>
          <w:tcPr>
            <w:tcW w:w="4120" w:type="dxa"/>
            <w:tcBorders>
              <w:top w:val="single" w:sz="4" w:space="0" w:color="auto"/>
              <w:bottom w:val="single" w:sz="4" w:space="0" w:color="auto"/>
            </w:tcBorders>
          </w:tcPr>
          <w:p w14:paraId="71B7676D" w14:textId="77777777" w:rsidR="00FD3227" w:rsidRPr="00C801A6" w:rsidRDefault="00FD3227" w:rsidP="00844538">
            <w:pPr>
              <w:pStyle w:val="ListParagraph"/>
              <w:numPr>
                <w:ilvl w:val="0"/>
                <w:numId w:val="28"/>
              </w:numPr>
              <w:spacing w:before="60" w:line="276" w:lineRule="auto"/>
              <w:ind w:left="142" w:hanging="142"/>
              <w:contextualSpacing w:val="0"/>
              <w:jc w:val="left"/>
              <w:rPr>
                <w:color w:val="auto"/>
                <w:sz w:val="22"/>
              </w:rPr>
            </w:pPr>
            <w:r w:rsidRPr="00C801A6">
              <w:rPr>
                <w:color w:val="auto"/>
                <w:sz w:val="22"/>
              </w:rPr>
              <w:t xml:space="preserve">Procéder aux travaux de revêtement des routes par temps sec, pour prévenir le ruissellement de matières contenant de l’asphalte ou du ciment ; </w:t>
            </w:r>
          </w:p>
          <w:p w14:paraId="2407BD48" w14:textId="77777777" w:rsidR="00FD3227" w:rsidRPr="00C801A6" w:rsidRDefault="00FD3227" w:rsidP="00844538">
            <w:pPr>
              <w:pStyle w:val="ListParagraph"/>
              <w:numPr>
                <w:ilvl w:val="0"/>
                <w:numId w:val="28"/>
              </w:numPr>
              <w:spacing w:before="60" w:line="276" w:lineRule="auto"/>
              <w:ind w:left="142" w:hanging="142"/>
              <w:contextualSpacing w:val="0"/>
              <w:jc w:val="left"/>
              <w:rPr>
                <w:color w:val="auto"/>
                <w:sz w:val="22"/>
              </w:rPr>
            </w:pPr>
            <w:r w:rsidRPr="00C801A6">
              <w:rPr>
                <w:color w:val="auto"/>
                <w:sz w:val="22"/>
              </w:rPr>
              <w:t xml:space="preserve">Adopter des procédures de chantier adaptées pour réduire le déversement accidentel de matériaux de revêtement pendant les travaux de réparation des nids de poule et des chaussées endommagées. Ces procédures peuvent consister à couvrir les orifices des puisards d’eau de pluie et les regards pendant les travaux de revêtement ; </w:t>
            </w:r>
          </w:p>
          <w:p w14:paraId="57F53039" w14:textId="77777777" w:rsidR="00FD3227" w:rsidRPr="00C801A6" w:rsidRDefault="00FD3227" w:rsidP="00844538">
            <w:pPr>
              <w:pStyle w:val="ListParagraph"/>
              <w:numPr>
                <w:ilvl w:val="0"/>
                <w:numId w:val="28"/>
              </w:numPr>
              <w:spacing w:before="60" w:line="276" w:lineRule="auto"/>
              <w:ind w:left="142" w:hanging="142"/>
              <w:contextualSpacing w:val="0"/>
              <w:jc w:val="left"/>
              <w:rPr>
                <w:color w:val="auto"/>
                <w:sz w:val="22"/>
              </w:rPr>
            </w:pPr>
            <w:r w:rsidRPr="00C801A6">
              <w:rPr>
                <w:color w:val="auto"/>
                <w:sz w:val="22"/>
              </w:rPr>
              <w:lastRenderedPageBreak/>
              <w:t xml:space="preserve">Prendre des mesures pour lutter contre l’érosion et la sédimentation afin de réduire le volume des ruissellements en provenance des sites en travaux ; et employer des matériaux de dépollution (tels que des matières absorbantes sur le matériel d’asphaltage routier) pour limiter les fuites et les déversements des matières employées pour les revêtements ; </w:t>
            </w:r>
          </w:p>
          <w:p w14:paraId="7447D5F8" w14:textId="77777777" w:rsidR="00FD3227" w:rsidRPr="00C801A6" w:rsidRDefault="00FD3227" w:rsidP="00844538">
            <w:pPr>
              <w:pStyle w:val="ListParagraph"/>
              <w:numPr>
                <w:ilvl w:val="0"/>
                <w:numId w:val="28"/>
              </w:numPr>
              <w:spacing w:before="60" w:line="276" w:lineRule="auto"/>
              <w:ind w:left="142" w:hanging="142"/>
              <w:contextualSpacing w:val="0"/>
              <w:jc w:val="left"/>
              <w:rPr>
                <w:color w:val="auto"/>
                <w:sz w:val="22"/>
              </w:rPr>
            </w:pPr>
            <w:r w:rsidRPr="00C801A6">
              <w:rPr>
                <w:color w:val="auto"/>
                <w:sz w:val="22"/>
              </w:rPr>
              <w:t>Réduire la quantité d’eau utilisée pour limiter les émissions de poussières et privilégier le balayage plutôt que le lavage. Récupérer les matières balayées pour les intégrer dans les matériaux employés pour constituer des agrégats ou les éliminer en tant que déchets solides, conformément aux recommandations formulées dans les directives EHS générales</w:t>
            </w:r>
          </w:p>
          <w:p w14:paraId="02E86E14" w14:textId="77777777" w:rsidR="00FD3227" w:rsidRPr="00C801A6" w:rsidRDefault="00FD3227" w:rsidP="00844538">
            <w:pPr>
              <w:pStyle w:val="ListParagraph"/>
              <w:numPr>
                <w:ilvl w:val="0"/>
                <w:numId w:val="28"/>
              </w:numPr>
              <w:spacing w:before="60" w:line="276" w:lineRule="auto"/>
              <w:ind w:left="142" w:hanging="142"/>
              <w:contextualSpacing w:val="0"/>
              <w:jc w:val="left"/>
              <w:rPr>
                <w:color w:val="auto"/>
                <w:sz w:val="22"/>
              </w:rPr>
            </w:pPr>
            <w:r w:rsidRPr="00C801A6">
              <w:rPr>
                <w:color w:val="auto"/>
                <w:sz w:val="22"/>
              </w:rPr>
              <w:t xml:space="preserve">Eviter de faire ruisseler les eaux contaminées durant le nettoyage du matériel d’asphaltage routier en utilisant de l’huile végétale plutôt que du diesel comme agent anti-adhérent et de nettoyage ; assurer le confinement des produits de nettoyage et des résidus d’asphalte contaminés ; racler avant de nettoyer ; et procéder aux activités de nettoyage loin des sites d’eaux de surface ou de structures de drainage. </w:t>
            </w:r>
          </w:p>
        </w:tc>
      </w:tr>
    </w:tbl>
    <w:p w14:paraId="2C2414F8" w14:textId="7B80D1F9" w:rsidR="00FD3227" w:rsidRDefault="00FD3227" w:rsidP="00FD3227"/>
    <w:p w14:paraId="444E2C69" w14:textId="063F1333" w:rsidR="00626E2C" w:rsidRPr="00C801A6" w:rsidRDefault="00FD3227" w:rsidP="003042DB">
      <w:pPr>
        <w:pStyle w:val="Heading4"/>
        <w:rPr>
          <w:color w:val="auto"/>
        </w:rPr>
      </w:pPr>
      <w:bookmarkStart w:id="635" w:name="_Toc230298810"/>
      <w:r>
        <w:rPr>
          <w:color w:val="auto"/>
        </w:rPr>
        <w:t>PHASE DE CLOTURE</w:t>
      </w:r>
      <w:bookmarkEnd w:id="635"/>
    </w:p>
    <w:p w14:paraId="1A189374" w14:textId="19D8D1E5" w:rsidR="00FD3227" w:rsidRDefault="00273699" w:rsidP="00273699">
      <w:pPr>
        <w:pStyle w:val="Caption"/>
        <w:rPr>
          <w:color w:val="auto"/>
        </w:rPr>
      </w:pPr>
      <w:bookmarkStart w:id="636" w:name="_Toc230427747"/>
      <w:r>
        <w:t xml:space="preserve">Tableau </w:t>
      </w:r>
      <w:r w:rsidR="00E44887">
        <w:fldChar w:fldCharType="begin"/>
      </w:r>
      <w:r w:rsidR="00E44887">
        <w:instrText xml:space="preserve"> SEQ Tableau \* ARABIC </w:instrText>
      </w:r>
      <w:r w:rsidR="00E44887">
        <w:fldChar w:fldCharType="separate"/>
      </w:r>
      <w:r w:rsidR="00253F1A">
        <w:rPr>
          <w:noProof/>
        </w:rPr>
        <w:t>27</w:t>
      </w:r>
      <w:r w:rsidR="00E44887">
        <w:rPr>
          <w:noProof/>
        </w:rPr>
        <w:fldChar w:fldCharType="end"/>
      </w:r>
      <w:r>
        <w:t> : MESURES TYPES POUR LA PHASE DE CLOTURE</w:t>
      </w:r>
      <w:bookmarkEnd w:id="636"/>
    </w:p>
    <w:tbl>
      <w:tblPr>
        <w:tblStyle w:val="TableGrid"/>
        <w:tblW w:w="0" w:type="auto"/>
        <w:tblLook w:val="04A0" w:firstRow="1" w:lastRow="0" w:firstColumn="1" w:lastColumn="0" w:noHBand="0" w:noVBand="1"/>
      </w:tblPr>
      <w:tblGrid>
        <w:gridCol w:w="3296"/>
        <w:gridCol w:w="2895"/>
        <w:gridCol w:w="2870"/>
      </w:tblGrid>
      <w:tr w:rsidR="00FD3227" w:rsidRPr="00C801A6" w14:paraId="1B242054" w14:textId="77777777" w:rsidTr="00273699">
        <w:trPr>
          <w:tblHeader/>
        </w:trPr>
        <w:tc>
          <w:tcPr>
            <w:tcW w:w="3296" w:type="dxa"/>
            <w:tcBorders>
              <w:bottom w:val="single" w:sz="4" w:space="0" w:color="auto"/>
            </w:tcBorders>
            <w:shd w:val="clear" w:color="auto" w:fill="E2EFD9" w:themeFill="accent6" w:themeFillTint="33"/>
          </w:tcPr>
          <w:p w14:paraId="29E209BA" w14:textId="77777777" w:rsidR="00FD3227" w:rsidRPr="00C801A6" w:rsidRDefault="00FD3227" w:rsidP="000451C5">
            <w:pPr>
              <w:spacing w:before="80" w:after="80" w:line="240" w:lineRule="auto"/>
              <w:rPr>
                <w:b/>
                <w:color w:val="auto"/>
                <w:sz w:val="22"/>
              </w:rPr>
            </w:pPr>
            <w:r w:rsidRPr="00C801A6">
              <w:rPr>
                <w:b/>
                <w:color w:val="auto"/>
                <w:sz w:val="22"/>
              </w:rPr>
              <w:t>Impacts types</w:t>
            </w:r>
          </w:p>
        </w:tc>
        <w:tc>
          <w:tcPr>
            <w:tcW w:w="2895" w:type="dxa"/>
            <w:tcBorders>
              <w:bottom w:val="single" w:sz="4" w:space="0" w:color="auto"/>
            </w:tcBorders>
            <w:shd w:val="clear" w:color="auto" w:fill="E2EFD9" w:themeFill="accent6" w:themeFillTint="33"/>
          </w:tcPr>
          <w:p w14:paraId="5F9BF0B2" w14:textId="77777777" w:rsidR="00FD3227" w:rsidRPr="00C801A6" w:rsidRDefault="00FD3227" w:rsidP="000451C5">
            <w:pPr>
              <w:spacing w:before="80" w:after="80" w:line="240" w:lineRule="auto"/>
              <w:rPr>
                <w:b/>
                <w:color w:val="auto"/>
                <w:sz w:val="22"/>
              </w:rPr>
            </w:pPr>
            <w:r w:rsidRPr="00C801A6">
              <w:rPr>
                <w:b/>
                <w:color w:val="auto"/>
                <w:sz w:val="22"/>
              </w:rPr>
              <w:t>Mesures d’évitement types</w:t>
            </w:r>
          </w:p>
        </w:tc>
        <w:tc>
          <w:tcPr>
            <w:tcW w:w="2870" w:type="dxa"/>
            <w:tcBorders>
              <w:bottom w:val="single" w:sz="4" w:space="0" w:color="auto"/>
            </w:tcBorders>
            <w:shd w:val="clear" w:color="auto" w:fill="E2EFD9" w:themeFill="accent6" w:themeFillTint="33"/>
          </w:tcPr>
          <w:p w14:paraId="7C6DCB7B" w14:textId="77777777" w:rsidR="00FD3227" w:rsidRPr="00C801A6" w:rsidRDefault="00FD3227" w:rsidP="000451C5">
            <w:pPr>
              <w:spacing w:before="80" w:after="80" w:line="240" w:lineRule="auto"/>
              <w:rPr>
                <w:b/>
                <w:color w:val="auto"/>
                <w:sz w:val="22"/>
              </w:rPr>
            </w:pPr>
            <w:r w:rsidRPr="00C801A6">
              <w:rPr>
                <w:b/>
                <w:color w:val="auto"/>
                <w:sz w:val="22"/>
              </w:rPr>
              <w:t>Mesures d’atténuation types</w:t>
            </w:r>
          </w:p>
        </w:tc>
      </w:tr>
      <w:tr w:rsidR="00FD3227" w:rsidRPr="00C801A6" w14:paraId="241474A4" w14:textId="77777777" w:rsidTr="00273699">
        <w:tc>
          <w:tcPr>
            <w:tcW w:w="3296" w:type="dxa"/>
            <w:tcBorders>
              <w:top w:val="single" w:sz="4" w:space="0" w:color="auto"/>
              <w:left w:val="single" w:sz="4" w:space="0" w:color="auto"/>
              <w:bottom w:val="single" w:sz="4" w:space="0" w:color="auto"/>
              <w:right w:val="nil"/>
            </w:tcBorders>
            <w:shd w:val="clear" w:color="auto" w:fill="D0CECE" w:themeFill="background2" w:themeFillShade="E6"/>
          </w:tcPr>
          <w:p w14:paraId="53F8E6B2" w14:textId="77777777" w:rsidR="00FD3227" w:rsidRPr="00C801A6" w:rsidRDefault="00FD3227" w:rsidP="000451C5">
            <w:pPr>
              <w:spacing w:before="60" w:after="60"/>
              <w:rPr>
                <w:b/>
                <w:color w:val="auto"/>
                <w:sz w:val="22"/>
                <w:lang w:eastAsia="fr-FR"/>
              </w:rPr>
            </w:pPr>
            <w:r w:rsidRPr="00C801A6">
              <w:rPr>
                <w:b/>
                <w:color w:val="auto"/>
                <w:sz w:val="22"/>
                <w:lang w:eastAsia="fr-FR"/>
              </w:rPr>
              <w:t>Milieux biophysiques</w:t>
            </w:r>
          </w:p>
        </w:tc>
        <w:tc>
          <w:tcPr>
            <w:tcW w:w="2895" w:type="dxa"/>
            <w:tcBorders>
              <w:top w:val="single" w:sz="4" w:space="0" w:color="auto"/>
              <w:left w:val="nil"/>
              <w:bottom w:val="single" w:sz="4" w:space="0" w:color="auto"/>
              <w:right w:val="nil"/>
            </w:tcBorders>
            <w:shd w:val="clear" w:color="auto" w:fill="D0CECE" w:themeFill="background2" w:themeFillShade="E6"/>
          </w:tcPr>
          <w:p w14:paraId="0EB70CA4" w14:textId="77777777" w:rsidR="00FD3227" w:rsidRPr="00C801A6" w:rsidRDefault="00FD3227" w:rsidP="000451C5">
            <w:pPr>
              <w:spacing w:before="60" w:after="60"/>
              <w:rPr>
                <w:b/>
                <w:color w:val="auto"/>
                <w:sz w:val="22"/>
                <w:lang w:eastAsia="fr-FR"/>
              </w:rPr>
            </w:pPr>
          </w:p>
        </w:tc>
        <w:tc>
          <w:tcPr>
            <w:tcW w:w="2870" w:type="dxa"/>
            <w:tcBorders>
              <w:top w:val="single" w:sz="4" w:space="0" w:color="auto"/>
              <w:left w:val="nil"/>
              <w:bottom w:val="single" w:sz="4" w:space="0" w:color="auto"/>
              <w:right w:val="single" w:sz="4" w:space="0" w:color="auto"/>
            </w:tcBorders>
            <w:shd w:val="clear" w:color="auto" w:fill="D0CECE" w:themeFill="background2" w:themeFillShade="E6"/>
          </w:tcPr>
          <w:p w14:paraId="1F6C981E" w14:textId="77777777" w:rsidR="00FD3227" w:rsidRPr="00C801A6" w:rsidRDefault="00FD3227" w:rsidP="000451C5">
            <w:pPr>
              <w:spacing w:before="60" w:after="60"/>
              <w:rPr>
                <w:b/>
                <w:color w:val="auto"/>
                <w:sz w:val="22"/>
                <w:lang w:eastAsia="fr-FR"/>
              </w:rPr>
            </w:pPr>
          </w:p>
        </w:tc>
      </w:tr>
      <w:tr w:rsidR="00FD3227" w:rsidRPr="00C801A6" w14:paraId="53DF08B3" w14:textId="77777777" w:rsidTr="00273699">
        <w:tc>
          <w:tcPr>
            <w:tcW w:w="3296" w:type="dxa"/>
          </w:tcPr>
          <w:p w14:paraId="3FCB84D4" w14:textId="77777777" w:rsidR="00FD3227" w:rsidRPr="00C801A6" w:rsidRDefault="00FD3227" w:rsidP="000451C5">
            <w:pPr>
              <w:spacing w:before="60"/>
              <w:jc w:val="left"/>
              <w:rPr>
                <w:color w:val="auto"/>
                <w:sz w:val="22"/>
                <w:lang w:eastAsia="fr-FR"/>
              </w:rPr>
            </w:pPr>
            <w:r w:rsidRPr="00C801A6">
              <w:rPr>
                <w:color w:val="auto"/>
                <w:sz w:val="22"/>
                <w:lang w:eastAsia="fr-FR"/>
              </w:rPr>
              <w:t>Risques de pollution de diverses natures au niveau du chantier : abandon de déchets de chantier sur les bords des routes, matières résiduelles diverses au niveau de la base-vie, autres</w:t>
            </w:r>
          </w:p>
        </w:tc>
        <w:tc>
          <w:tcPr>
            <w:tcW w:w="2895" w:type="dxa"/>
          </w:tcPr>
          <w:p w14:paraId="7DB39D44" w14:textId="77777777" w:rsidR="00FD3227" w:rsidRPr="00C801A6" w:rsidRDefault="00FD3227" w:rsidP="00844538">
            <w:pPr>
              <w:pStyle w:val="ListParagraph"/>
              <w:numPr>
                <w:ilvl w:val="0"/>
                <w:numId w:val="28"/>
              </w:numPr>
              <w:spacing w:before="60" w:line="276" w:lineRule="auto"/>
              <w:ind w:left="0" w:hanging="142"/>
              <w:contextualSpacing w:val="0"/>
              <w:jc w:val="left"/>
              <w:rPr>
                <w:color w:val="auto"/>
                <w:sz w:val="22"/>
              </w:rPr>
            </w:pPr>
            <w:r w:rsidRPr="00C801A6">
              <w:rPr>
                <w:color w:val="auto"/>
                <w:sz w:val="22"/>
              </w:rPr>
              <w:t>Aucune</w:t>
            </w:r>
          </w:p>
        </w:tc>
        <w:tc>
          <w:tcPr>
            <w:tcW w:w="2870" w:type="dxa"/>
          </w:tcPr>
          <w:p w14:paraId="6EA53B40" w14:textId="77777777" w:rsidR="00FD3227" w:rsidRPr="00C801A6" w:rsidRDefault="00FD3227" w:rsidP="00844538">
            <w:pPr>
              <w:pStyle w:val="ListParagraph"/>
              <w:numPr>
                <w:ilvl w:val="0"/>
                <w:numId w:val="28"/>
              </w:numPr>
              <w:spacing w:before="60" w:line="276" w:lineRule="auto"/>
              <w:ind w:left="0" w:hanging="142"/>
              <w:contextualSpacing w:val="0"/>
              <w:jc w:val="left"/>
              <w:rPr>
                <w:color w:val="auto"/>
                <w:sz w:val="22"/>
              </w:rPr>
            </w:pPr>
            <w:r w:rsidRPr="00C801A6">
              <w:rPr>
                <w:color w:val="auto"/>
                <w:sz w:val="22"/>
              </w:rPr>
              <w:t>Tout nettoyer avant le repli : le dernier attachement ne devrait pas être validé sans ce constat</w:t>
            </w:r>
          </w:p>
        </w:tc>
      </w:tr>
      <w:tr w:rsidR="00FD3227" w:rsidRPr="00C801A6" w14:paraId="07A6CCAD" w14:textId="77777777" w:rsidTr="00273699">
        <w:tc>
          <w:tcPr>
            <w:tcW w:w="3296" w:type="dxa"/>
            <w:tcBorders>
              <w:top w:val="single" w:sz="4" w:space="0" w:color="auto"/>
              <w:left w:val="single" w:sz="4" w:space="0" w:color="auto"/>
              <w:bottom w:val="single" w:sz="4" w:space="0" w:color="auto"/>
              <w:right w:val="nil"/>
            </w:tcBorders>
            <w:shd w:val="clear" w:color="auto" w:fill="D0CECE" w:themeFill="background2" w:themeFillShade="E6"/>
          </w:tcPr>
          <w:p w14:paraId="2E5D9E02" w14:textId="77777777" w:rsidR="00FD3227" w:rsidRPr="00C801A6" w:rsidRDefault="00FD3227" w:rsidP="000451C5">
            <w:pPr>
              <w:spacing w:before="60" w:after="60"/>
              <w:jc w:val="left"/>
              <w:rPr>
                <w:b/>
                <w:color w:val="auto"/>
                <w:sz w:val="22"/>
                <w:lang w:eastAsia="fr-FR"/>
              </w:rPr>
            </w:pPr>
            <w:r w:rsidRPr="00C801A6">
              <w:rPr>
                <w:b/>
                <w:color w:val="auto"/>
                <w:sz w:val="22"/>
                <w:lang w:eastAsia="fr-FR"/>
              </w:rPr>
              <w:lastRenderedPageBreak/>
              <w:t>Impacts socioéconomiques</w:t>
            </w:r>
          </w:p>
        </w:tc>
        <w:tc>
          <w:tcPr>
            <w:tcW w:w="2895" w:type="dxa"/>
            <w:tcBorders>
              <w:top w:val="single" w:sz="4" w:space="0" w:color="auto"/>
              <w:left w:val="nil"/>
              <w:bottom w:val="single" w:sz="4" w:space="0" w:color="auto"/>
              <w:right w:val="nil"/>
            </w:tcBorders>
            <w:shd w:val="clear" w:color="auto" w:fill="D0CECE" w:themeFill="background2" w:themeFillShade="E6"/>
          </w:tcPr>
          <w:p w14:paraId="58838A8B" w14:textId="77777777" w:rsidR="00FD3227" w:rsidRPr="00C801A6" w:rsidRDefault="00FD3227" w:rsidP="000451C5">
            <w:pPr>
              <w:spacing w:before="60" w:after="60"/>
              <w:jc w:val="left"/>
              <w:rPr>
                <w:b/>
                <w:color w:val="auto"/>
                <w:sz w:val="22"/>
                <w:lang w:eastAsia="fr-FR"/>
              </w:rPr>
            </w:pPr>
          </w:p>
        </w:tc>
        <w:tc>
          <w:tcPr>
            <w:tcW w:w="2870" w:type="dxa"/>
            <w:tcBorders>
              <w:top w:val="single" w:sz="4" w:space="0" w:color="auto"/>
              <w:left w:val="nil"/>
              <w:bottom w:val="single" w:sz="4" w:space="0" w:color="auto"/>
              <w:right w:val="single" w:sz="4" w:space="0" w:color="auto"/>
            </w:tcBorders>
            <w:shd w:val="clear" w:color="auto" w:fill="D0CECE" w:themeFill="background2" w:themeFillShade="E6"/>
          </w:tcPr>
          <w:p w14:paraId="4966CBD7" w14:textId="77777777" w:rsidR="00FD3227" w:rsidRPr="00C801A6" w:rsidRDefault="00FD3227" w:rsidP="000451C5">
            <w:pPr>
              <w:spacing w:before="60" w:after="60"/>
              <w:jc w:val="left"/>
              <w:rPr>
                <w:b/>
                <w:color w:val="auto"/>
                <w:sz w:val="22"/>
                <w:lang w:eastAsia="fr-FR"/>
              </w:rPr>
            </w:pPr>
          </w:p>
        </w:tc>
      </w:tr>
      <w:tr w:rsidR="00FD3227" w:rsidRPr="00C801A6" w14:paraId="4B064E3C" w14:textId="77777777" w:rsidTr="00273699">
        <w:tc>
          <w:tcPr>
            <w:tcW w:w="3296" w:type="dxa"/>
          </w:tcPr>
          <w:p w14:paraId="2506CCF6" w14:textId="77777777" w:rsidR="00FD3227" w:rsidRPr="00C801A6" w:rsidRDefault="00FD3227" w:rsidP="000451C5">
            <w:pPr>
              <w:spacing w:before="60"/>
              <w:jc w:val="left"/>
              <w:rPr>
                <w:color w:val="auto"/>
                <w:sz w:val="22"/>
                <w:lang w:eastAsia="fr-FR"/>
              </w:rPr>
            </w:pPr>
            <w:r w:rsidRPr="00C801A6">
              <w:rPr>
                <w:color w:val="auto"/>
                <w:sz w:val="22"/>
                <w:lang w:eastAsia="fr-FR"/>
              </w:rPr>
              <w:t>Risques accident au moment du repli</w:t>
            </w:r>
          </w:p>
        </w:tc>
        <w:tc>
          <w:tcPr>
            <w:tcW w:w="2895" w:type="dxa"/>
          </w:tcPr>
          <w:p w14:paraId="10F1B11E" w14:textId="77777777" w:rsidR="00FD3227" w:rsidRPr="00C801A6" w:rsidRDefault="00FD3227" w:rsidP="00844538">
            <w:pPr>
              <w:pStyle w:val="ListParagraph"/>
              <w:numPr>
                <w:ilvl w:val="0"/>
                <w:numId w:val="28"/>
              </w:numPr>
              <w:spacing w:before="60" w:line="276" w:lineRule="auto"/>
              <w:ind w:left="0" w:hanging="142"/>
              <w:contextualSpacing w:val="0"/>
              <w:jc w:val="left"/>
              <w:rPr>
                <w:color w:val="auto"/>
                <w:sz w:val="22"/>
              </w:rPr>
            </w:pPr>
            <w:r w:rsidRPr="00C801A6">
              <w:rPr>
                <w:color w:val="auto"/>
                <w:sz w:val="22"/>
              </w:rPr>
              <w:t>Sensibiliser les chauffeurs sur les accidents de la route</w:t>
            </w:r>
          </w:p>
        </w:tc>
        <w:tc>
          <w:tcPr>
            <w:tcW w:w="2870" w:type="dxa"/>
          </w:tcPr>
          <w:p w14:paraId="232484C5" w14:textId="77777777" w:rsidR="00FD3227" w:rsidRPr="00C801A6" w:rsidRDefault="00FD3227" w:rsidP="00844538">
            <w:pPr>
              <w:pStyle w:val="ListParagraph"/>
              <w:numPr>
                <w:ilvl w:val="0"/>
                <w:numId w:val="28"/>
              </w:numPr>
              <w:spacing w:before="60" w:line="276" w:lineRule="auto"/>
              <w:ind w:left="0" w:hanging="142"/>
              <w:contextualSpacing w:val="0"/>
              <w:jc w:val="left"/>
              <w:rPr>
                <w:color w:val="auto"/>
                <w:sz w:val="22"/>
              </w:rPr>
            </w:pPr>
            <w:r w:rsidRPr="00C801A6">
              <w:rPr>
                <w:color w:val="auto"/>
                <w:sz w:val="22"/>
              </w:rPr>
              <w:t>Limiter la vitesse à 20km/h en zone habitée et à 40km/h en rase-campagne</w:t>
            </w:r>
          </w:p>
        </w:tc>
      </w:tr>
    </w:tbl>
    <w:p w14:paraId="3D6406A8" w14:textId="77777777" w:rsidR="00FD3227" w:rsidRDefault="00FD3227" w:rsidP="003609CC">
      <w:pPr>
        <w:pStyle w:val="Caption"/>
        <w:rPr>
          <w:color w:val="auto"/>
        </w:rPr>
      </w:pPr>
    </w:p>
    <w:p w14:paraId="6A937BF0" w14:textId="248F9A94" w:rsidR="00575CDF" w:rsidRPr="00C801A6" w:rsidRDefault="00575CDF" w:rsidP="00C65572">
      <w:pPr>
        <w:pStyle w:val="Heading3"/>
      </w:pPr>
      <w:bookmarkStart w:id="637" w:name="_Toc71794949"/>
      <w:bookmarkStart w:id="638" w:name="_Toc106320358"/>
      <w:bookmarkStart w:id="639" w:name="_Toc230426064"/>
      <w:r w:rsidRPr="00C801A6">
        <w:t xml:space="preserve">Mesures spécifiques pour </w:t>
      </w:r>
      <w:r w:rsidR="006B0F06" w:rsidRPr="00C801A6">
        <w:t>des travaux</w:t>
      </w:r>
      <w:r w:rsidRPr="00C801A6">
        <w:t xml:space="preserve"> </w:t>
      </w:r>
      <w:r w:rsidR="006B0F06" w:rsidRPr="00C801A6">
        <w:t xml:space="preserve">sur </w:t>
      </w:r>
      <w:r w:rsidRPr="00C801A6">
        <w:t>RN</w:t>
      </w:r>
      <w:r w:rsidR="006B0F06" w:rsidRPr="00C801A6">
        <w:t xml:space="preserve"> </w:t>
      </w:r>
      <w:r w:rsidRPr="00C801A6">
        <w:t>qui traversent une aire protégée</w:t>
      </w:r>
      <w:bookmarkEnd w:id="637"/>
      <w:bookmarkEnd w:id="638"/>
      <w:bookmarkEnd w:id="639"/>
    </w:p>
    <w:p w14:paraId="3706A2CB" w14:textId="5CC76707" w:rsidR="00575CDF" w:rsidRPr="00C801A6" w:rsidRDefault="00575CDF" w:rsidP="00575CDF">
      <w:pPr>
        <w:rPr>
          <w:color w:val="auto"/>
        </w:rPr>
      </w:pPr>
      <w:r w:rsidRPr="00C801A6">
        <w:rPr>
          <w:color w:val="auto"/>
        </w:rPr>
        <w:t xml:space="preserve">Les aires protégées de Madagascar abritent des espèces </w:t>
      </w:r>
      <w:r w:rsidR="007055EF">
        <w:rPr>
          <w:color w:val="auto"/>
        </w:rPr>
        <w:t>biolog</w:t>
      </w:r>
      <w:r w:rsidR="007055EF" w:rsidRPr="00C801A6">
        <w:rPr>
          <w:color w:val="auto"/>
        </w:rPr>
        <w:t xml:space="preserve">iques </w:t>
      </w:r>
      <w:r w:rsidRPr="00C801A6">
        <w:rPr>
          <w:color w:val="auto"/>
        </w:rPr>
        <w:t xml:space="preserve">dont le taux d’endémicité est très élevé. Or, certaines espèces peuvent traverser la route, d’autres peuvent l’objet de chasse ou même de braconnage. </w:t>
      </w:r>
    </w:p>
    <w:p w14:paraId="14A02236" w14:textId="77777777" w:rsidR="00575CDF" w:rsidRPr="00C801A6" w:rsidRDefault="00575CDF" w:rsidP="00575CDF">
      <w:pPr>
        <w:rPr>
          <w:color w:val="auto"/>
        </w:rPr>
      </w:pPr>
      <w:r w:rsidRPr="00C801A6">
        <w:rPr>
          <w:color w:val="auto"/>
        </w:rPr>
        <w:t>Pour y obvier :</w:t>
      </w:r>
    </w:p>
    <w:p w14:paraId="5E4D2AA3" w14:textId="2160991A" w:rsidR="00575CDF" w:rsidRPr="00C801A6" w:rsidRDefault="00575CDF" w:rsidP="00844538">
      <w:pPr>
        <w:pStyle w:val="ListParagraph"/>
        <w:numPr>
          <w:ilvl w:val="0"/>
          <w:numId w:val="48"/>
        </w:numPr>
        <w:spacing w:before="120" w:after="0" w:line="288" w:lineRule="auto"/>
        <w:ind w:left="851" w:hanging="425"/>
        <w:contextualSpacing w:val="0"/>
        <w:rPr>
          <w:color w:val="auto"/>
        </w:rPr>
      </w:pPr>
      <w:r w:rsidRPr="00C801A6">
        <w:rPr>
          <w:color w:val="auto"/>
        </w:rPr>
        <w:t xml:space="preserve">Tenir informer les autorités du </w:t>
      </w:r>
      <w:r w:rsidR="00273699">
        <w:rPr>
          <w:color w:val="auto"/>
        </w:rPr>
        <w:t>P</w:t>
      </w:r>
      <w:r w:rsidRPr="00C801A6">
        <w:rPr>
          <w:color w:val="auto"/>
        </w:rPr>
        <w:t>arc concerné de toutes activités dans la zone considérée</w:t>
      </w:r>
    </w:p>
    <w:p w14:paraId="516991D2" w14:textId="77777777" w:rsidR="00575CDF" w:rsidRPr="00C801A6" w:rsidRDefault="00575CDF" w:rsidP="00844538">
      <w:pPr>
        <w:pStyle w:val="ListParagraph"/>
        <w:numPr>
          <w:ilvl w:val="0"/>
          <w:numId w:val="48"/>
        </w:numPr>
        <w:spacing w:before="120" w:after="0" w:line="288" w:lineRule="auto"/>
        <w:ind w:left="851" w:hanging="425"/>
        <w:contextualSpacing w:val="0"/>
        <w:rPr>
          <w:color w:val="auto"/>
        </w:rPr>
      </w:pPr>
      <w:r w:rsidRPr="00C801A6">
        <w:rPr>
          <w:color w:val="auto"/>
        </w:rPr>
        <w:t>Minimiser au maximum les nuisances sonores pour minimiser les perturbations des espèces sensibles</w:t>
      </w:r>
    </w:p>
    <w:p w14:paraId="5A0C00A0" w14:textId="77777777" w:rsidR="00575CDF" w:rsidRPr="00C801A6" w:rsidRDefault="00575CDF" w:rsidP="00844538">
      <w:pPr>
        <w:pStyle w:val="ListParagraph"/>
        <w:numPr>
          <w:ilvl w:val="0"/>
          <w:numId w:val="48"/>
        </w:numPr>
        <w:spacing w:before="120" w:after="0" w:line="288" w:lineRule="auto"/>
        <w:ind w:left="851" w:hanging="425"/>
        <w:contextualSpacing w:val="0"/>
        <w:rPr>
          <w:color w:val="auto"/>
        </w:rPr>
      </w:pPr>
      <w:r w:rsidRPr="00C801A6">
        <w:rPr>
          <w:color w:val="auto"/>
        </w:rPr>
        <w:t>Interdire en particulier l’installation de campements et de décharge de déchets dans, autour ou à proximité des parcs</w:t>
      </w:r>
    </w:p>
    <w:p w14:paraId="1980E414" w14:textId="77777777" w:rsidR="00575CDF" w:rsidRPr="00C801A6" w:rsidRDefault="00575CDF" w:rsidP="00844538">
      <w:pPr>
        <w:pStyle w:val="ListParagraph"/>
        <w:numPr>
          <w:ilvl w:val="0"/>
          <w:numId w:val="48"/>
        </w:numPr>
        <w:spacing w:before="120" w:after="0" w:line="288" w:lineRule="auto"/>
        <w:ind w:left="851" w:hanging="425"/>
        <w:contextualSpacing w:val="0"/>
        <w:rPr>
          <w:color w:val="auto"/>
        </w:rPr>
      </w:pPr>
      <w:r w:rsidRPr="00C801A6">
        <w:rPr>
          <w:color w:val="auto"/>
        </w:rPr>
        <w:t>Planifier l’horaire et le calendrier des activités en tenant compte des utilisations du territoire par la faune (en concertation avec les autorités du parc)</w:t>
      </w:r>
    </w:p>
    <w:p w14:paraId="00BA809A" w14:textId="77777777" w:rsidR="00575CDF" w:rsidRPr="00C801A6" w:rsidRDefault="00575CDF" w:rsidP="00844538">
      <w:pPr>
        <w:pStyle w:val="ListParagraph"/>
        <w:numPr>
          <w:ilvl w:val="0"/>
          <w:numId w:val="48"/>
        </w:numPr>
        <w:spacing w:before="120" w:after="0" w:line="288" w:lineRule="auto"/>
        <w:ind w:left="851" w:hanging="425"/>
        <w:contextualSpacing w:val="0"/>
        <w:rPr>
          <w:color w:val="auto"/>
        </w:rPr>
      </w:pPr>
      <w:r w:rsidRPr="00C801A6">
        <w:rPr>
          <w:color w:val="auto"/>
        </w:rPr>
        <w:t>Limiter la vitesse des camions et engins à 10km/h en traversant un parc</w:t>
      </w:r>
    </w:p>
    <w:p w14:paraId="0DE4434E" w14:textId="77777777" w:rsidR="00575CDF" w:rsidRPr="00C801A6" w:rsidRDefault="00575CDF" w:rsidP="00844538">
      <w:pPr>
        <w:pStyle w:val="ListParagraph"/>
        <w:numPr>
          <w:ilvl w:val="0"/>
          <w:numId w:val="48"/>
        </w:numPr>
        <w:spacing w:before="120" w:after="0" w:line="288" w:lineRule="auto"/>
        <w:ind w:left="851" w:hanging="425"/>
        <w:contextualSpacing w:val="0"/>
        <w:rPr>
          <w:color w:val="auto"/>
        </w:rPr>
      </w:pPr>
      <w:r w:rsidRPr="00C801A6">
        <w:rPr>
          <w:color w:val="auto"/>
        </w:rPr>
        <w:t>Interdire les prélèvements d’espèces, animales (ex : certains individus consomment des serpents ou autres) et végétales.</w:t>
      </w:r>
    </w:p>
    <w:p w14:paraId="08F6B306" w14:textId="77777777" w:rsidR="00575CDF" w:rsidRPr="00C801A6" w:rsidRDefault="00575CDF" w:rsidP="00C65572">
      <w:pPr>
        <w:pStyle w:val="Heading3"/>
      </w:pPr>
      <w:bookmarkStart w:id="640" w:name="_Toc106320359"/>
      <w:bookmarkStart w:id="641" w:name="_Toc230426065"/>
      <w:r w:rsidRPr="00C801A6">
        <w:t>Mesures spécifiques liées au changement climatique</w:t>
      </w:r>
      <w:bookmarkEnd w:id="640"/>
      <w:bookmarkEnd w:id="641"/>
    </w:p>
    <w:p w14:paraId="7B3EA82F" w14:textId="74E8EB9E" w:rsidR="00575CDF" w:rsidRPr="00C801A6" w:rsidRDefault="00575CDF" w:rsidP="00575CDF">
      <w:pPr>
        <w:rPr>
          <w:color w:val="auto"/>
        </w:rPr>
      </w:pPr>
      <w:r w:rsidRPr="00C801A6">
        <w:rPr>
          <w:color w:val="auto"/>
        </w:rPr>
        <w:t xml:space="preserve">L’augmentation en termes de fréquence et d’intensité des phénomènes naturels est déjà un vécu pour </w:t>
      </w:r>
      <w:r w:rsidR="00273699" w:rsidRPr="00C801A6">
        <w:rPr>
          <w:color w:val="auto"/>
        </w:rPr>
        <w:t>le</w:t>
      </w:r>
      <w:r w:rsidR="00273699">
        <w:rPr>
          <w:color w:val="auto"/>
        </w:rPr>
        <w:t>s</w:t>
      </w:r>
      <w:r w:rsidR="00273699" w:rsidRPr="00C801A6">
        <w:rPr>
          <w:color w:val="auto"/>
        </w:rPr>
        <w:t xml:space="preserve"> Malagasy</w:t>
      </w:r>
      <w:r w:rsidRPr="00C801A6">
        <w:rPr>
          <w:color w:val="auto"/>
        </w:rPr>
        <w:t>. Dans ce contexte, les intempéries peuvent causer plus de dégâts qu’auparavant et cela, aussi bien sur les populations, les infrastructures et les activités économiques de Madagascar</w:t>
      </w:r>
    </w:p>
    <w:p w14:paraId="2DC701B5" w14:textId="77777777" w:rsidR="00575CDF" w:rsidRPr="00C801A6" w:rsidRDefault="00575CDF" w:rsidP="00575CDF">
      <w:pPr>
        <w:rPr>
          <w:color w:val="auto"/>
        </w:rPr>
      </w:pPr>
      <w:r w:rsidRPr="00C801A6">
        <w:rPr>
          <w:color w:val="auto"/>
        </w:rPr>
        <w:t>La Cellule CPGU (Cellule de ¨Prévention et d’appui à la Gestion des Urgences) a donc fait faire des études Normes nationales sur les infrastructures routières résistantes aux inondations et aux phénomènes géologiques à Madagascar (ou « NIRIPG »)</w:t>
      </w:r>
    </w:p>
    <w:p w14:paraId="46994AE7" w14:textId="77777777" w:rsidR="00575CDF" w:rsidRPr="00C801A6" w:rsidRDefault="00575CDF" w:rsidP="00575CDF">
      <w:pPr>
        <w:rPr>
          <w:color w:val="auto"/>
        </w:rPr>
      </w:pPr>
      <w:r w:rsidRPr="00C801A6">
        <w:rPr>
          <w:color w:val="auto"/>
        </w:rPr>
        <w:t>Après une période 5 ans d’essais, les infrastructures routières conçues, construites et entretenues selon cette Norme nationale s’adapteront et résisteront à l’inondation et aux différents phénomènes géologiques causant leurs dégradations.</w:t>
      </w:r>
    </w:p>
    <w:p w14:paraId="01DB6B12" w14:textId="77777777" w:rsidR="00575CDF" w:rsidRPr="00C801A6" w:rsidRDefault="00575CDF" w:rsidP="00014BC0">
      <w:pPr>
        <w:pStyle w:val="Heading2"/>
      </w:pPr>
      <w:bookmarkStart w:id="642" w:name="_Toc71794950"/>
      <w:bookmarkStart w:id="643" w:name="_Toc106320360"/>
      <w:bookmarkStart w:id="644" w:name="_Toc230426066"/>
      <w:r w:rsidRPr="00C801A6">
        <w:lastRenderedPageBreak/>
        <w:t>MESURES EN CAS DE DECOUVERTE FORTUITE D’UNE RESSOURCE CULTURELLE</w:t>
      </w:r>
      <w:bookmarkEnd w:id="642"/>
      <w:bookmarkEnd w:id="643"/>
      <w:bookmarkEnd w:id="644"/>
    </w:p>
    <w:p w14:paraId="59A73B46" w14:textId="77777777" w:rsidR="00575CDF" w:rsidRPr="00C801A6" w:rsidRDefault="00575CDF" w:rsidP="00C65572">
      <w:pPr>
        <w:pStyle w:val="Heading3"/>
      </w:pPr>
      <w:bookmarkStart w:id="645" w:name="_Toc71794951"/>
      <w:bookmarkStart w:id="646" w:name="_Toc106320361"/>
      <w:bookmarkStart w:id="647" w:name="_Toc230426067"/>
      <w:r w:rsidRPr="00C801A6">
        <w:t>Cas général</w:t>
      </w:r>
      <w:bookmarkEnd w:id="645"/>
      <w:bookmarkEnd w:id="646"/>
      <w:bookmarkEnd w:id="647"/>
    </w:p>
    <w:p w14:paraId="7F99CCF0" w14:textId="00CD6CE9" w:rsidR="00575CDF" w:rsidRPr="00C801A6" w:rsidRDefault="00575CDF" w:rsidP="00575CDF">
      <w:pPr>
        <w:rPr>
          <w:color w:val="auto"/>
        </w:rPr>
      </w:pPr>
      <w:r w:rsidRPr="00C801A6">
        <w:rPr>
          <w:color w:val="auto"/>
        </w:rPr>
        <w:t>Si au cours de la mise en œuvre des activités du Projet, on découvre accidentellement des sites archéologiques, des sites historiques, des restes, et des objets, y compris des cimetières et / ou des tombes individuelles, l’Entrepreneur/ l’Agence d’exécution doit</w:t>
      </w:r>
      <w:r w:rsidR="0073697A">
        <w:rPr>
          <w:color w:val="auto"/>
        </w:rPr>
        <w:t xml:space="preserve"> conformément aux prescriptions des textes nationaux en la matière</w:t>
      </w:r>
      <w:r w:rsidRPr="00C801A6">
        <w:rPr>
          <w:color w:val="auto"/>
        </w:rPr>
        <w:t xml:space="preserve"> :</w:t>
      </w:r>
    </w:p>
    <w:p w14:paraId="4A58023B" w14:textId="77777777" w:rsidR="00575CDF" w:rsidRPr="00C801A6" w:rsidRDefault="00575CDF" w:rsidP="00844538">
      <w:pPr>
        <w:pStyle w:val="ListParagraph"/>
        <w:numPr>
          <w:ilvl w:val="0"/>
          <w:numId w:val="49"/>
        </w:numPr>
        <w:spacing w:before="160" w:after="0" w:line="276" w:lineRule="auto"/>
        <w:ind w:left="567" w:hanging="425"/>
        <w:contextualSpacing w:val="0"/>
        <w:rPr>
          <w:color w:val="auto"/>
        </w:rPr>
      </w:pPr>
      <w:r w:rsidRPr="00C801A6">
        <w:rPr>
          <w:color w:val="auto"/>
        </w:rPr>
        <w:t>Arrêter immédiatement les activités au niveau de la zone de découverte fortuite ;</w:t>
      </w:r>
    </w:p>
    <w:p w14:paraId="2D5A72C4" w14:textId="77777777" w:rsidR="00575CDF" w:rsidRPr="00C801A6" w:rsidRDefault="00575CDF" w:rsidP="00844538">
      <w:pPr>
        <w:pStyle w:val="ListParagraph"/>
        <w:numPr>
          <w:ilvl w:val="0"/>
          <w:numId w:val="49"/>
        </w:numPr>
        <w:spacing w:before="160" w:after="0" w:line="276" w:lineRule="auto"/>
        <w:ind w:left="567" w:hanging="425"/>
        <w:contextualSpacing w:val="0"/>
        <w:rPr>
          <w:color w:val="auto"/>
        </w:rPr>
      </w:pPr>
      <w:r w:rsidRPr="00C801A6">
        <w:rPr>
          <w:color w:val="auto"/>
        </w:rPr>
        <w:t>Délimiter le site de découverte ;</w:t>
      </w:r>
    </w:p>
    <w:p w14:paraId="01F1A12C" w14:textId="77777777" w:rsidR="00575CDF" w:rsidRPr="00C801A6" w:rsidRDefault="00575CDF" w:rsidP="00844538">
      <w:pPr>
        <w:pStyle w:val="ListParagraph"/>
        <w:numPr>
          <w:ilvl w:val="0"/>
          <w:numId w:val="49"/>
        </w:numPr>
        <w:spacing w:before="160" w:after="0" w:line="276" w:lineRule="auto"/>
        <w:ind w:left="567" w:hanging="425"/>
        <w:contextualSpacing w:val="0"/>
        <w:rPr>
          <w:color w:val="auto"/>
        </w:rPr>
      </w:pPr>
      <w:r w:rsidRPr="00C801A6">
        <w:rPr>
          <w:color w:val="auto"/>
        </w:rPr>
        <w:t>Sécuriser le site pour éviter tout dommage ou perte d'objets amovibles. En cas d'antiquités amovibles ou des restes sensibles, un gardien de nuit doit être présent jusqu'à ce que les autorités locales responsables et le Ministère en charge de la Culture ou son représentant prennent le relais ;</w:t>
      </w:r>
    </w:p>
    <w:p w14:paraId="2DC0D1E7" w14:textId="77777777" w:rsidR="00575CDF" w:rsidRPr="00C801A6" w:rsidRDefault="00575CDF" w:rsidP="00844538">
      <w:pPr>
        <w:pStyle w:val="ListParagraph"/>
        <w:numPr>
          <w:ilvl w:val="0"/>
          <w:numId w:val="49"/>
        </w:numPr>
        <w:spacing w:before="160" w:after="0" w:line="276" w:lineRule="auto"/>
        <w:ind w:left="567" w:hanging="425"/>
        <w:contextualSpacing w:val="0"/>
        <w:rPr>
          <w:color w:val="auto"/>
        </w:rPr>
      </w:pPr>
      <w:r w:rsidRPr="00C801A6">
        <w:rPr>
          <w:color w:val="auto"/>
        </w:rPr>
        <w:t>Aviser le superviseur ou l’autorité chargée de contrôle des travaux, qui, à son tour, informera les autorités locales responsables et le Ministère en charge de la Culture ou son représentant immédiatement (moins de 24 heures).</w:t>
      </w:r>
    </w:p>
    <w:p w14:paraId="5941583F" w14:textId="77777777" w:rsidR="00575CDF" w:rsidRPr="00C801A6" w:rsidRDefault="00575CDF" w:rsidP="00844538">
      <w:pPr>
        <w:pStyle w:val="ListParagraph"/>
        <w:numPr>
          <w:ilvl w:val="0"/>
          <w:numId w:val="49"/>
        </w:numPr>
        <w:spacing w:before="160" w:after="0" w:line="276" w:lineRule="auto"/>
        <w:ind w:left="567" w:hanging="425"/>
        <w:contextualSpacing w:val="0"/>
        <w:rPr>
          <w:color w:val="auto"/>
        </w:rPr>
      </w:pPr>
      <w:r w:rsidRPr="00C801A6">
        <w:rPr>
          <w:color w:val="auto"/>
        </w:rPr>
        <w:t xml:space="preserve">Procéder à un inventaire exhaustif préalable avec les autorités administratives et traditionnelles des sites archéologiques, des sites historiques, des restes, et des objets, y compris des cimetières et / ou des tombes individuelles. </w:t>
      </w:r>
    </w:p>
    <w:p w14:paraId="3AE344C0" w14:textId="77777777" w:rsidR="00575CDF" w:rsidRPr="00C801A6" w:rsidRDefault="00575CDF" w:rsidP="00844538">
      <w:pPr>
        <w:pStyle w:val="ListParagraph"/>
        <w:numPr>
          <w:ilvl w:val="0"/>
          <w:numId w:val="49"/>
        </w:numPr>
        <w:spacing w:before="160" w:after="0" w:line="276" w:lineRule="auto"/>
        <w:ind w:left="567" w:hanging="425"/>
        <w:contextualSpacing w:val="0"/>
        <w:rPr>
          <w:color w:val="auto"/>
        </w:rPr>
      </w:pPr>
      <w:r w:rsidRPr="00C801A6">
        <w:rPr>
          <w:color w:val="auto"/>
        </w:rPr>
        <w:t xml:space="preserve">Contacter les autorités locales et/ou le Ministère en charge de la Culture qui seraient chargés de la protection et la préservation du site avant de décider sur les procédures appropriées à suivre. Cela nécessiterait une évaluation préliminaire des découvertes à réaliser par les archéologues du ministère compétent en charge de la Culture ou son représentant (dans les 72 heures). </w:t>
      </w:r>
    </w:p>
    <w:p w14:paraId="3BD147C0" w14:textId="77777777" w:rsidR="00575CDF" w:rsidRPr="00C801A6" w:rsidRDefault="00575CDF" w:rsidP="00844538">
      <w:pPr>
        <w:pStyle w:val="ListParagraph"/>
        <w:numPr>
          <w:ilvl w:val="0"/>
          <w:numId w:val="49"/>
        </w:numPr>
        <w:spacing w:before="160" w:after="0" w:line="276" w:lineRule="auto"/>
        <w:ind w:left="567" w:hanging="425"/>
        <w:contextualSpacing w:val="0"/>
        <w:rPr>
          <w:color w:val="auto"/>
        </w:rPr>
      </w:pPr>
      <w:r w:rsidRPr="00C801A6">
        <w:rPr>
          <w:color w:val="auto"/>
        </w:rPr>
        <w:t>La signification et l'importance des résultats doivent être évaluées en fonction des divers critères pertinents pour le patrimoine culturel, dont les valeurs esthétiques, historiques, scientifiques ou de recherches, sociales et économiques.</w:t>
      </w:r>
    </w:p>
    <w:p w14:paraId="66BA6DF5" w14:textId="77777777" w:rsidR="00575CDF" w:rsidRPr="00C801A6" w:rsidRDefault="00575CDF" w:rsidP="00844538">
      <w:pPr>
        <w:pStyle w:val="ListParagraph"/>
        <w:numPr>
          <w:ilvl w:val="0"/>
          <w:numId w:val="49"/>
        </w:numPr>
        <w:spacing w:before="160" w:after="0" w:line="276" w:lineRule="auto"/>
        <w:ind w:left="567" w:hanging="425"/>
        <w:contextualSpacing w:val="0"/>
        <w:rPr>
          <w:color w:val="auto"/>
        </w:rPr>
      </w:pPr>
      <w:r w:rsidRPr="00C801A6">
        <w:rPr>
          <w:color w:val="auto"/>
        </w:rPr>
        <w:t>Veiller à ce que les décisions sur la façon de gérer la découverte soit prises par les autorités responsables et/ou le Ministère en charge de la Culture ou son représentant. Cela pourrait inclure des changements dans le plan (comme quand la découverte est un reste inamovible d'une importance culturelle ou archéologique) de conservation, de préservation, de restauration et de récupération.</w:t>
      </w:r>
    </w:p>
    <w:p w14:paraId="19194EB6" w14:textId="77777777" w:rsidR="00575CDF" w:rsidRPr="00C801A6" w:rsidRDefault="00575CDF" w:rsidP="00844538">
      <w:pPr>
        <w:pStyle w:val="ListParagraph"/>
        <w:numPr>
          <w:ilvl w:val="0"/>
          <w:numId w:val="49"/>
        </w:numPr>
        <w:spacing w:before="160" w:after="0" w:line="276" w:lineRule="auto"/>
        <w:ind w:left="567" w:hanging="425"/>
        <w:contextualSpacing w:val="0"/>
        <w:rPr>
          <w:color w:val="auto"/>
        </w:rPr>
      </w:pPr>
      <w:r w:rsidRPr="00C801A6">
        <w:rPr>
          <w:color w:val="auto"/>
        </w:rPr>
        <w:t>Les travaux ne reprendront qu'après une autorisation donnée par les autorités locales compétentes et/ou le ministère en charge de la Culture ou son représentant selon le cas.</w:t>
      </w:r>
    </w:p>
    <w:p w14:paraId="7DF661AC" w14:textId="7FD6D349" w:rsidR="00575CDF" w:rsidRPr="00C801A6" w:rsidRDefault="00575CDF" w:rsidP="00253F1A">
      <w:pPr>
        <w:spacing w:line="259" w:lineRule="auto"/>
        <w:jc w:val="left"/>
        <w:rPr>
          <w:color w:val="auto"/>
        </w:rPr>
      </w:pPr>
      <w:r w:rsidRPr="00C801A6">
        <w:rPr>
          <w:color w:val="auto"/>
        </w:rPr>
        <w:br w:type="page"/>
      </w:r>
    </w:p>
    <w:p w14:paraId="76A065BE" w14:textId="3BD325CC" w:rsidR="00575CDF" w:rsidRDefault="00253F1A" w:rsidP="00014BC0">
      <w:pPr>
        <w:pStyle w:val="Heading1"/>
      </w:pPr>
      <w:bookmarkStart w:id="648" w:name="_Toc71794953"/>
      <w:bookmarkStart w:id="649" w:name="_Ref102479987"/>
      <w:bookmarkStart w:id="650" w:name="_Toc106320363"/>
      <w:bookmarkStart w:id="651" w:name="_Toc230426068"/>
      <w:r w:rsidRPr="00C801A6">
        <w:lastRenderedPageBreak/>
        <w:t>PARTICIPATION DU PUBLIC DURANT LA MISE A JOUR DU CGES</w:t>
      </w:r>
      <w:bookmarkEnd w:id="648"/>
      <w:bookmarkEnd w:id="649"/>
      <w:bookmarkEnd w:id="650"/>
      <w:bookmarkEnd w:id="651"/>
    </w:p>
    <w:p w14:paraId="491422DA" w14:textId="6BED174A" w:rsidR="00EF6D69" w:rsidRPr="00EF6D69" w:rsidRDefault="00EF6D69" w:rsidP="00EF6D69">
      <w:r>
        <w:t xml:space="preserve">La </w:t>
      </w:r>
      <w:r w:rsidR="007055EF">
        <w:t xml:space="preserve">préparation </w:t>
      </w:r>
      <w:r>
        <w:t xml:space="preserve">du CGES en vue de la préparation de sa mise en œuvre est une opération délicate : elle requiert une participation des parties prenantes alors même que le pays a déclaré en situation d’urgence sanitaire. Malgré tout, la démarche adoptée a permis de collecter </w:t>
      </w:r>
      <w:r w:rsidRPr="00623D36">
        <w:t xml:space="preserve">les attentes, les préoccupations, les commentaires et les suggestions </w:t>
      </w:r>
      <w:r>
        <w:t>des</w:t>
      </w:r>
      <w:r w:rsidRPr="00623D36">
        <w:t xml:space="preserve"> parties prenantes.</w:t>
      </w:r>
    </w:p>
    <w:p w14:paraId="0835A07F" w14:textId="4F313C33" w:rsidR="00575CDF" w:rsidRPr="00C801A6" w:rsidRDefault="00575CDF" w:rsidP="00014BC0">
      <w:pPr>
        <w:pStyle w:val="Heading2"/>
      </w:pPr>
      <w:bookmarkStart w:id="652" w:name="_Toc71794954"/>
      <w:bookmarkStart w:id="653" w:name="_Toc106320364"/>
      <w:bookmarkStart w:id="654" w:name="_Toc230426069"/>
      <w:r w:rsidRPr="00C801A6">
        <w:t xml:space="preserve">OBJECTIFS </w:t>
      </w:r>
      <w:bookmarkEnd w:id="652"/>
      <w:bookmarkEnd w:id="653"/>
      <w:r w:rsidR="00EF6D69">
        <w:t>DES CONSULTATIONS</w:t>
      </w:r>
      <w:bookmarkEnd w:id="654"/>
    </w:p>
    <w:p w14:paraId="0C5AE1B0" w14:textId="617F8C5F" w:rsidR="00575CDF" w:rsidRPr="00C801A6" w:rsidRDefault="00575CDF" w:rsidP="00575CDF">
      <w:pPr>
        <w:rPr>
          <w:color w:val="auto"/>
        </w:rPr>
      </w:pPr>
      <w:r w:rsidRPr="00C801A6">
        <w:rPr>
          <w:color w:val="auto"/>
        </w:rPr>
        <w:t xml:space="preserve">Si l’objectif principal </w:t>
      </w:r>
      <w:r w:rsidR="0049204C" w:rsidRPr="00C801A6">
        <w:rPr>
          <w:color w:val="auto"/>
        </w:rPr>
        <w:t xml:space="preserve">du processus de consultation du public </w:t>
      </w:r>
      <w:r w:rsidRPr="00C801A6">
        <w:rPr>
          <w:color w:val="auto"/>
        </w:rPr>
        <w:t>est d’associer les différents acteurs ainsi que les populations à la prise de décision, les objectifs spécifiques poursuivis sont de :</w:t>
      </w:r>
    </w:p>
    <w:p w14:paraId="1590D43A" w14:textId="77777777" w:rsidR="00575CDF" w:rsidRPr="00C801A6" w:rsidRDefault="00575CDF" w:rsidP="00844538">
      <w:pPr>
        <w:pStyle w:val="ListParagraph"/>
        <w:numPr>
          <w:ilvl w:val="0"/>
          <w:numId w:val="49"/>
        </w:numPr>
        <w:spacing w:line="276" w:lineRule="auto"/>
        <w:ind w:left="850" w:hanging="425"/>
        <w:contextualSpacing w:val="0"/>
        <w:rPr>
          <w:color w:val="auto"/>
        </w:rPr>
      </w:pPr>
      <w:r w:rsidRPr="00C801A6">
        <w:rPr>
          <w:color w:val="auto"/>
        </w:rPr>
        <w:t>Fournir aux acteurs intéressés une information juste, pertinente et en temps opportun sur le Projet, notamment sa description, ses impacts négatifs pressentis et les mesures types prévues ;</w:t>
      </w:r>
    </w:p>
    <w:p w14:paraId="702A8199" w14:textId="77777777" w:rsidR="00575CDF" w:rsidRPr="00C801A6" w:rsidRDefault="00575CDF" w:rsidP="00844538">
      <w:pPr>
        <w:pStyle w:val="ListParagraph"/>
        <w:numPr>
          <w:ilvl w:val="0"/>
          <w:numId w:val="49"/>
        </w:numPr>
        <w:spacing w:line="276" w:lineRule="auto"/>
        <w:ind w:left="850" w:hanging="425"/>
        <w:contextualSpacing w:val="0"/>
        <w:rPr>
          <w:color w:val="auto"/>
        </w:rPr>
      </w:pPr>
      <w:r w:rsidRPr="00C801A6">
        <w:rPr>
          <w:color w:val="auto"/>
        </w:rPr>
        <w:t>Inviter les acteurs à donner leurs avis sur les propositions du Projet et instaurer un dialogue en vue d’établir un climat de confiance ;</w:t>
      </w:r>
    </w:p>
    <w:p w14:paraId="29BABD4D" w14:textId="77777777" w:rsidR="00575CDF" w:rsidRPr="00C801A6" w:rsidRDefault="00575CDF" w:rsidP="00844538">
      <w:pPr>
        <w:pStyle w:val="ListParagraph"/>
        <w:numPr>
          <w:ilvl w:val="0"/>
          <w:numId w:val="49"/>
        </w:numPr>
        <w:spacing w:line="276" w:lineRule="auto"/>
        <w:ind w:left="850" w:hanging="425"/>
        <w:contextualSpacing w:val="0"/>
        <w:rPr>
          <w:color w:val="auto"/>
        </w:rPr>
      </w:pPr>
      <w:r w:rsidRPr="00C801A6">
        <w:rPr>
          <w:color w:val="auto"/>
        </w:rPr>
        <w:t>Valoriser le savoir-faire local par sa prise en compte dans les choix à faire ;</w:t>
      </w:r>
    </w:p>
    <w:p w14:paraId="7BFCEA0B" w14:textId="0C94A791" w:rsidR="00575CDF" w:rsidRPr="00C801A6" w:rsidRDefault="00575CDF" w:rsidP="00844538">
      <w:pPr>
        <w:pStyle w:val="ListParagraph"/>
        <w:numPr>
          <w:ilvl w:val="0"/>
          <w:numId w:val="49"/>
        </w:numPr>
        <w:spacing w:line="276" w:lineRule="auto"/>
        <w:ind w:left="850" w:hanging="425"/>
        <w:contextualSpacing w:val="0"/>
        <w:rPr>
          <w:color w:val="auto"/>
        </w:rPr>
      </w:pPr>
      <w:r w:rsidRPr="00C801A6">
        <w:rPr>
          <w:color w:val="auto"/>
        </w:rPr>
        <w:t>Asseoir les bases d’une mise en œuvre concertée des actions prévues dans le cadre des sous-projets.</w:t>
      </w:r>
    </w:p>
    <w:p w14:paraId="3DED26CA" w14:textId="643DDC9F" w:rsidR="0049204C" w:rsidRPr="00C801A6" w:rsidRDefault="00194657" w:rsidP="00014BC0">
      <w:pPr>
        <w:pStyle w:val="Heading2"/>
      </w:pPr>
      <w:bookmarkStart w:id="655" w:name="_Toc106320365"/>
      <w:bookmarkStart w:id="656" w:name="_Toc230426070"/>
      <w:r w:rsidRPr="00C801A6">
        <w:t>Rappels sur le processus de consultation pour le projet initial</w:t>
      </w:r>
      <w:bookmarkEnd w:id="655"/>
      <w:bookmarkEnd w:id="656"/>
    </w:p>
    <w:p w14:paraId="4720AABA" w14:textId="5847BBB8" w:rsidR="001538D6" w:rsidRDefault="00EF6D69" w:rsidP="001538D6">
      <w:pPr>
        <w:rPr>
          <w:color w:val="auto"/>
        </w:rPr>
      </w:pPr>
      <w:r>
        <w:rPr>
          <w:color w:val="auto"/>
        </w:rPr>
        <w:t xml:space="preserve">Dans le cadre de la préparation du CGES du projet PCMCI, </w:t>
      </w:r>
      <w:r>
        <w:t xml:space="preserve">946 personnes, dont 222 femmes ont participé aux séances plénières au niveau des Régions. </w:t>
      </w:r>
    </w:p>
    <w:p w14:paraId="224D54B4" w14:textId="7134D459" w:rsidR="00EF6D69" w:rsidRDefault="00EF6D69" w:rsidP="0049204C">
      <w:pPr>
        <w:rPr>
          <w:color w:val="auto"/>
        </w:rPr>
      </w:pPr>
      <w:r>
        <w:rPr>
          <w:color w:val="auto"/>
        </w:rPr>
        <w:t>Le tableau ci-après rappelle le processus de consultation publique effectuée dans le cadre de la préparation du projet PCMCI</w:t>
      </w:r>
    </w:p>
    <w:p w14:paraId="12C35033" w14:textId="41E137C2" w:rsidR="00EF6D69" w:rsidRDefault="00EF6D69" w:rsidP="00EF6D69">
      <w:pPr>
        <w:pStyle w:val="Caption"/>
      </w:pPr>
      <w:bookmarkStart w:id="657" w:name="_Toc230427748"/>
      <w:r>
        <w:t xml:space="preserve">Tableau </w:t>
      </w:r>
      <w:r w:rsidR="00E44887">
        <w:fldChar w:fldCharType="begin"/>
      </w:r>
      <w:r w:rsidR="00E44887">
        <w:instrText xml:space="preserve"> SEQ Tableau \* ARABIC </w:instrText>
      </w:r>
      <w:r w:rsidR="00E44887">
        <w:fldChar w:fldCharType="separate"/>
      </w:r>
      <w:r w:rsidR="00253F1A">
        <w:rPr>
          <w:noProof/>
        </w:rPr>
        <w:t>28</w:t>
      </w:r>
      <w:r w:rsidR="00E44887">
        <w:rPr>
          <w:noProof/>
        </w:rPr>
        <w:fldChar w:fldCharType="end"/>
      </w:r>
      <w:r>
        <w:t> : PARTICIPANTS AUX CONSULTATIONS</w:t>
      </w:r>
      <w:bookmarkEnd w:id="657"/>
    </w:p>
    <w:tbl>
      <w:tblPr>
        <w:tblStyle w:val="TableGrid"/>
        <w:tblW w:w="5000" w:type="pct"/>
        <w:tblLook w:val="04A0" w:firstRow="1" w:lastRow="0" w:firstColumn="1" w:lastColumn="0" w:noHBand="0" w:noVBand="1"/>
      </w:tblPr>
      <w:tblGrid>
        <w:gridCol w:w="1222"/>
        <w:gridCol w:w="1584"/>
        <w:gridCol w:w="812"/>
        <w:gridCol w:w="2733"/>
        <w:gridCol w:w="904"/>
        <w:gridCol w:w="904"/>
        <w:gridCol w:w="902"/>
      </w:tblGrid>
      <w:tr w:rsidR="00253F1A" w:rsidRPr="00065508" w14:paraId="52BD434C" w14:textId="77777777" w:rsidTr="003569CD">
        <w:trPr>
          <w:tblHeader/>
        </w:trPr>
        <w:tc>
          <w:tcPr>
            <w:tcW w:w="674" w:type="pct"/>
            <w:vMerge w:val="restart"/>
            <w:shd w:val="clear" w:color="auto" w:fill="E2EFD9"/>
            <w:vAlign w:val="center"/>
          </w:tcPr>
          <w:p w14:paraId="61F5D4A4" w14:textId="1A783999" w:rsidR="00253F1A" w:rsidRPr="00065508" w:rsidRDefault="00253F1A" w:rsidP="00253F1A">
            <w:pPr>
              <w:spacing w:before="60" w:after="60"/>
              <w:jc w:val="center"/>
              <w:rPr>
                <w:rFonts w:eastAsia="Calibri" w:cs="Arial"/>
                <w:color w:val="000000"/>
                <w:sz w:val="20"/>
                <w:szCs w:val="20"/>
              </w:rPr>
            </w:pPr>
            <w:r w:rsidRPr="00065508">
              <w:rPr>
                <w:rFonts w:eastAsia="Calibri" w:cs="Arial"/>
                <w:b/>
                <w:bCs/>
                <w:color w:val="000000"/>
                <w:sz w:val="20"/>
                <w:szCs w:val="20"/>
              </w:rPr>
              <w:t>Région</w:t>
            </w:r>
          </w:p>
        </w:tc>
        <w:tc>
          <w:tcPr>
            <w:tcW w:w="874" w:type="pct"/>
            <w:vMerge w:val="restart"/>
            <w:shd w:val="clear" w:color="auto" w:fill="E2EFD9"/>
            <w:vAlign w:val="center"/>
          </w:tcPr>
          <w:p w14:paraId="2EEB8C65" w14:textId="11467348" w:rsidR="00253F1A" w:rsidRPr="00065508" w:rsidRDefault="00253F1A" w:rsidP="00253F1A">
            <w:pPr>
              <w:spacing w:before="60" w:after="60"/>
              <w:jc w:val="center"/>
              <w:rPr>
                <w:rFonts w:eastAsia="Calibri" w:cs="Arial"/>
                <w:color w:val="000000"/>
                <w:sz w:val="20"/>
                <w:szCs w:val="20"/>
              </w:rPr>
            </w:pPr>
            <w:r w:rsidRPr="00065508">
              <w:rPr>
                <w:rFonts w:eastAsia="Calibri" w:cs="Arial"/>
                <w:b/>
                <w:bCs/>
                <w:color w:val="000000"/>
                <w:sz w:val="20"/>
                <w:szCs w:val="20"/>
              </w:rPr>
              <w:t>District</w:t>
            </w:r>
          </w:p>
        </w:tc>
        <w:tc>
          <w:tcPr>
            <w:tcW w:w="448" w:type="pct"/>
            <w:vMerge w:val="restart"/>
            <w:shd w:val="clear" w:color="auto" w:fill="E2EFD9"/>
            <w:vAlign w:val="center"/>
          </w:tcPr>
          <w:p w14:paraId="1D75B8FD" w14:textId="1FC48363" w:rsidR="00253F1A" w:rsidRPr="00065508" w:rsidRDefault="00253F1A" w:rsidP="00253F1A">
            <w:pPr>
              <w:spacing w:before="60" w:after="60"/>
              <w:jc w:val="center"/>
              <w:rPr>
                <w:rFonts w:eastAsia="Calibri" w:cs="Arial"/>
                <w:color w:val="000000"/>
                <w:sz w:val="20"/>
                <w:szCs w:val="20"/>
              </w:rPr>
            </w:pPr>
            <w:r w:rsidRPr="00065508">
              <w:rPr>
                <w:rFonts w:eastAsia="Calibri" w:cs="Arial"/>
                <w:b/>
                <w:bCs/>
                <w:color w:val="000000"/>
                <w:sz w:val="20"/>
                <w:szCs w:val="20"/>
              </w:rPr>
              <w:t>Nb CP</w:t>
            </w:r>
          </w:p>
        </w:tc>
        <w:tc>
          <w:tcPr>
            <w:tcW w:w="1508" w:type="pct"/>
            <w:vMerge w:val="restart"/>
            <w:shd w:val="clear" w:color="auto" w:fill="E2EFD9"/>
            <w:vAlign w:val="center"/>
          </w:tcPr>
          <w:p w14:paraId="48468186" w14:textId="530D8302" w:rsidR="00253F1A" w:rsidRPr="00065508" w:rsidRDefault="00253F1A" w:rsidP="00253F1A">
            <w:pPr>
              <w:spacing w:before="60" w:after="60"/>
              <w:jc w:val="center"/>
              <w:rPr>
                <w:rFonts w:eastAsia="Calibri" w:cs="Arial"/>
                <w:color w:val="000000"/>
                <w:sz w:val="20"/>
                <w:szCs w:val="20"/>
              </w:rPr>
            </w:pPr>
            <w:r w:rsidRPr="00065508">
              <w:rPr>
                <w:rFonts w:eastAsia="Calibri" w:cs="Arial"/>
                <w:b/>
                <w:bCs/>
                <w:color w:val="000000"/>
                <w:sz w:val="20"/>
                <w:szCs w:val="20"/>
              </w:rPr>
              <w:t>Date</w:t>
            </w:r>
          </w:p>
        </w:tc>
        <w:tc>
          <w:tcPr>
            <w:tcW w:w="1495" w:type="pct"/>
            <w:gridSpan w:val="3"/>
            <w:shd w:val="clear" w:color="auto" w:fill="E2EFD9"/>
            <w:vAlign w:val="center"/>
          </w:tcPr>
          <w:p w14:paraId="46269F62" w14:textId="4867D0F9" w:rsidR="00253F1A" w:rsidRPr="00065508" w:rsidRDefault="00253F1A" w:rsidP="00253F1A">
            <w:pPr>
              <w:spacing w:before="60" w:after="60"/>
              <w:jc w:val="center"/>
              <w:rPr>
                <w:rFonts w:eastAsia="Calibri" w:cs="Arial"/>
                <w:b/>
                <w:bCs/>
                <w:color w:val="000000"/>
                <w:sz w:val="20"/>
                <w:szCs w:val="20"/>
              </w:rPr>
            </w:pPr>
            <w:r w:rsidRPr="00065508">
              <w:rPr>
                <w:rFonts w:eastAsia="Calibri" w:cs="Arial"/>
                <w:b/>
                <w:bCs/>
                <w:color w:val="000000"/>
                <w:sz w:val="20"/>
                <w:szCs w:val="20"/>
              </w:rPr>
              <w:t>Nombre de participants</w:t>
            </w:r>
          </w:p>
        </w:tc>
      </w:tr>
      <w:tr w:rsidR="00253F1A" w:rsidRPr="00065508" w14:paraId="186F58E2" w14:textId="77777777" w:rsidTr="00253F1A">
        <w:trPr>
          <w:tblHeader/>
        </w:trPr>
        <w:tc>
          <w:tcPr>
            <w:tcW w:w="674" w:type="pct"/>
            <w:vMerge/>
            <w:shd w:val="clear" w:color="auto" w:fill="E2EFD9"/>
          </w:tcPr>
          <w:p w14:paraId="7846D9AE" w14:textId="77777777" w:rsidR="00253F1A" w:rsidRPr="00065508" w:rsidRDefault="00253F1A" w:rsidP="00253F1A">
            <w:pPr>
              <w:spacing w:before="60" w:after="60"/>
              <w:jc w:val="center"/>
              <w:rPr>
                <w:rFonts w:eastAsia="Calibri" w:cs="Arial"/>
                <w:color w:val="000000"/>
                <w:sz w:val="20"/>
                <w:szCs w:val="20"/>
              </w:rPr>
            </w:pPr>
          </w:p>
        </w:tc>
        <w:tc>
          <w:tcPr>
            <w:tcW w:w="874" w:type="pct"/>
            <w:vMerge/>
            <w:shd w:val="clear" w:color="auto" w:fill="E2EFD9"/>
          </w:tcPr>
          <w:p w14:paraId="5119D9A7" w14:textId="77777777" w:rsidR="00253F1A" w:rsidRPr="00065508" w:rsidRDefault="00253F1A" w:rsidP="00253F1A">
            <w:pPr>
              <w:spacing w:before="60" w:after="60"/>
              <w:jc w:val="center"/>
              <w:rPr>
                <w:rFonts w:eastAsia="Calibri" w:cs="Arial"/>
                <w:color w:val="000000"/>
                <w:sz w:val="20"/>
                <w:szCs w:val="20"/>
              </w:rPr>
            </w:pPr>
          </w:p>
        </w:tc>
        <w:tc>
          <w:tcPr>
            <w:tcW w:w="448" w:type="pct"/>
            <w:vMerge/>
            <w:shd w:val="clear" w:color="auto" w:fill="E2EFD9"/>
            <w:vAlign w:val="center"/>
          </w:tcPr>
          <w:p w14:paraId="67BFB5CE" w14:textId="77777777" w:rsidR="00253F1A" w:rsidRPr="00065508" w:rsidRDefault="00253F1A" w:rsidP="00253F1A">
            <w:pPr>
              <w:spacing w:before="60" w:after="60"/>
              <w:jc w:val="center"/>
              <w:rPr>
                <w:rFonts w:eastAsia="Calibri" w:cs="Arial"/>
                <w:color w:val="000000"/>
                <w:sz w:val="20"/>
                <w:szCs w:val="20"/>
              </w:rPr>
            </w:pPr>
          </w:p>
        </w:tc>
        <w:tc>
          <w:tcPr>
            <w:tcW w:w="1508" w:type="pct"/>
            <w:vMerge/>
            <w:shd w:val="clear" w:color="auto" w:fill="E2EFD9"/>
          </w:tcPr>
          <w:p w14:paraId="40AE8D62" w14:textId="77777777" w:rsidR="00253F1A" w:rsidRPr="00065508" w:rsidRDefault="00253F1A" w:rsidP="00253F1A">
            <w:pPr>
              <w:spacing w:before="60" w:after="60"/>
              <w:jc w:val="center"/>
              <w:rPr>
                <w:rFonts w:eastAsia="Calibri" w:cs="Arial"/>
                <w:color w:val="000000"/>
                <w:sz w:val="20"/>
                <w:szCs w:val="20"/>
              </w:rPr>
            </w:pPr>
          </w:p>
        </w:tc>
        <w:tc>
          <w:tcPr>
            <w:tcW w:w="499" w:type="pct"/>
            <w:shd w:val="clear" w:color="auto" w:fill="E2EFD9"/>
            <w:vAlign w:val="center"/>
          </w:tcPr>
          <w:p w14:paraId="0372B183" w14:textId="77777777" w:rsidR="00253F1A" w:rsidRPr="00065508" w:rsidRDefault="00253F1A" w:rsidP="00253F1A">
            <w:pPr>
              <w:spacing w:before="60" w:after="60"/>
              <w:ind w:right="-213" w:hanging="203"/>
              <w:jc w:val="center"/>
              <w:rPr>
                <w:rFonts w:eastAsia="Calibri" w:cs="Arial"/>
                <w:b/>
                <w:bCs/>
                <w:color w:val="000000"/>
                <w:sz w:val="20"/>
                <w:szCs w:val="20"/>
              </w:rPr>
            </w:pPr>
            <w:r w:rsidRPr="00065508">
              <w:rPr>
                <w:rFonts w:eastAsia="Calibri" w:cs="Arial"/>
                <w:b/>
                <w:bCs/>
                <w:color w:val="000000"/>
                <w:sz w:val="20"/>
                <w:szCs w:val="20"/>
              </w:rPr>
              <w:t>Hommes</w:t>
            </w:r>
          </w:p>
        </w:tc>
        <w:tc>
          <w:tcPr>
            <w:tcW w:w="499" w:type="pct"/>
            <w:shd w:val="clear" w:color="auto" w:fill="E2EFD9"/>
            <w:vAlign w:val="center"/>
          </w:tcPr>
          <w:p w14:paraId="621097F3" w14:textId="77777777" w:rsidR="00253F1A" w:rsidRPr="00065508" w:rsidRDefault="00253F1A" w:rsidP="00253F1A">
            <w:pPr>
              <w:spacing w:before="60" w:after="60"/>
              <w:ind w:right="-97" w:hanging="110"/>
              <w:jc w:val="center"/>
              <w:rPr>
                <w:rFonts w:eastAsia="Calibri" w:cs="Arial"/>
                <w:b/>
                <w:bCs/>
                <w:color w:val="000000"/>
                <w:sz w:val="20"/>
                <w:szCs w:val="20"/>
              </w:rPr>
            </w:pPr>
            <w:r w:rsidRPr="00065508">
              <w:rPr>
                <w:rFonts w:eastAsia="Calibri" w:cs="Arial"/>
                <w:b/>
                <w:bCs/>
                <w:color w:val="000000"/>
                <w:sz w:val="20"/>
                <w:szCs w:val="20"/>
              </w:rPr>
              <w:t>Femmes</w:t>
            </w:r>
          </w:p>
        </w:tc>
        <w:tc>
          <w:tcPr>
            <w:tcW w:w="498" w:type="pct"/>
            <w:shd w:val="clear" w:color="auto" w:fill="E2EFD9"/>
          </w:tcPr>
          <w:p w14:paraId="31A2294F" w14:textId="77777777" w:rsidR="00253F1A" w:rsidRPr="00065508" w:rsidRDefault="00253F1A" w:rsidP="00253F1A">
            <w:pPr>
              <w:spacing w:before="60" w:after="60"/>
              <w:jc w:val="center"/>
              <w:rPr>
                <w:rFonts w:eastAsia="Calibri" w:cs="Arial"/>
                <w:b/>
                <w:bCs/>
                <w:color w:val="000000"/>
                <w:sz w:val="20"/>
                <w:szCs w:val="20"/>
              </w:rPr>
            </w:pPr>
            <w:r w:rsidRPr="00065508">
              <w:rPr>
                <w:rFonts w:eastAsia="Calibri" w:cs="Arial"/>
                <w:b/>
                <w:bCs/>
                <w:color w:val="000000"/>
                <w:sz w:val="20"/>
                <w:szCs w:val="20"/>
              </w:rPr>
              <w:t>Total</w:t>
            </w:r>
          </w:p>
        </w:tc>
      </w:tr>
      <w:tr w:rsidR="006A7BF9" w:rsidRPr="00065508" w14:paraId="64587307" w14:textId="77777777" w:rsidTr="00253F1A">
        <w:tc>
          <w:tcPr>
            <w:tcW w:w="674" w:type="pct"/>
            <w:shd w:val="clear" w:color="auto" w:fill="FFFFFF"/>
            <w:vAlign w:val="center"/>
          </w:tcPr>
          <w:p w14:paraId="61E2628F" w14:textId="6A4D10EC" w:rsidR="006A7BF9" w:rsidRPr="00065508" w:rsidRDefault="006A7BF9" w:rsidP="00223F64">
            <w:pPr>
              <w:spacing w:before="60" w:after="60"/>
              <w:rPr>
                <w:rFonts w:eastAsia="Calibri" w:cs="Arial"/>
                <w:color w:val="000000"/>
                <w:sz w:val="20"/>
                <w:szCs w:val="20"/>
              </w:rPr>
            </w:pPr>
            <w:r w:rsidRPr="00065508">
              <w:rPr>
                <w:rFonts w:eastAsia="Calibri" w:cs="Arial"/>
                <w:color w:val="000000"/>
                <w:sz w:val="20"/>
                <w:szCs w:val="20"/>
              </w:rPr>
              <w:t>Sofia</w:t>
            </w:r>
          </w:p>
        </w:tc>
        <w:tc>
          <w:tcPr>
            <w:tcW w:w="874" w:type="pct"/>
            <w:vAlign w:val="center"/>
          </w:tcPr>
          <w:p w14:paraId="44EBE2C3" w14:textId="77777777" w:rsidR="006A7BF9" w:rsidRPr="00065508" w:rsidRDefault="006A7BF9" w:rsidP="00223F64">
            <w:pPr>
              <w:spacing w:before="60" w:after="60"/>
              <w:rPr>
                <w:rFonts w:eastAsia="Calibri" w:cs="Arial"/>
                <w:color w:val="000000"/>
                <w:sz w:val="20"/>
                <w:szCs w:val="20"/>
              </w:rPr>
            </w:pPr>
            <w:r w:rsidRPr="00065508">
              <w:rPr>
                <w:rFonts w:eastAsia="Calibri" w:cs="Arial"/>
                <w:color w:val="000000"/>
                <w:sz w:val="20"/>
                <w:szCs w:val="20"/>
              </w:rPr>
              <w:t>Antsohihy</w:t>
            </w:r>
          </w:p>
        </w:tc>
        <w:tc>
          <w:tcPr>
            <w:tcW w:w="448" w:type="pct"/>
            <w:vAlign w:val="center"/>
          </w:tcPr>
          <w:p w14:paraId="28673260" w14:textId="77777777" w:rsidR="006A7BF9" w:rsidRPr="00065508" w:rsidRDefault="006A7BF9" w:rsidP="00223F64">
            <w:pPr>
              <w:spacing w:before="60" w:after="60"/>
              <w:jc w:val="center"/>
              <w:rPr>
                <w:rFonts w:eastAsia="Calibri" w:cs="Arial"/>
                <w:color w:val="000000"/>
                <w:sz w:val="20"/>
                <w:szCs w:val="20"/>
              </w:rPr>
            </w:pPr>
            <w:r w:rsidRPr="00065508">
              <w:rPr>
                <w:rFonts w:eastAsia="Calibri" w:cs="Arial"/>
                <w:color w:val="000000"/>
                <w:sz w:val="20"/>
                <w:szCs w:val="20"/>
              </w:rPr>
              <w:t>1</w:t>
            </w:r>
          </w:p>
        </w:tc>
        <w:tc>
          <w:tcPr>
            <w:tcW w:w="1508" w:type="pct"/>
            <w:vAlign w:val="center"/>
          </w:tcPr>
          <w:p w14:paraId="1A04570F" w14:textId="77777777" w:rsidR="006A7BF9" w:rsidRPr="00065508" w:rsidRDefault="006A7BF9" w:rsidP="00223F64">
            <w:pPr>
              <w:spacing w:before="60" w:after="60"/>
              <w:rPr>
                <w:rFonts w:eastAsia="Calibri" w:cs="Arial"/>
                <w:color w:val="000000"/>
                <w:sz w:val="20"/>
                <w:szCs w:val="20"/>
              </w:rPr>
            </w:pPr>
            <w:r w:rsidRPr="00065508">
              <w:rPr>
                <w:rFonts w:eastAsia="Calibri" w:cs="Arial"/>
                <w:color w:val="000000"/>
                <w:sz w:val="20"/>
                <w:szCs w:val="20"/>
              </w:rPr>
              <w:t>20 mars 2023</w:t>
            </w:r>
          </w:p>
        </w:tc>
        <w:tc>
          <w:tcPr>
            <w:tcW w:w="499" w:type="pct"/>
            <w:vAlign w:val="center"/>
          </w:tcPr>
          <w:p w14:paraId="338C872F" w14:textId="77777777" w:rsidR="006A7BF9" w:rsidRPr="00065508" w:rsidRDefault="006A7BF9" w:rsidP="00223F64">
            <w:pPr>
              <w:spacing w:before="60" w:after="60"/>
              <w:ind w:right="170"/>
              <w:jc w:val="right"/>
              <w:rPr>
                <w:rFonts w:eastAsia="Calibri" w:cs="Arial"/>
                <w:color w:val="000000"/>
                <w:sz w:val="20"/>
                <w:szCs w:val="20"/>
              </w:rPr>
            </w:pPr>
            <w:r w:rsidRPr="00065508">
              <w:rPr>
                <w:rFonts w:eastAsia="Calibri" w:cs="Arial"/>
                <w:color w:val="000000"/>
                <w:sz w:val="20"/>
                <w:szCs w:val="20"/>
              </w:rPr>
              <w:t>11</w:t>
            </w:r>
          </w:p>
        </w:tc>
        <w:tc>
          <w:tcPr>
            <w:tcW w:w="499" w:type="pct"/>
            <w:vAlign w:val="center"/>
          </w:tcPr>
          <w:p w14:paraId="312ADA69" w14:textId="77777777" w:rsidR="006A7BF9" w:rsidRPr="00065508" w:rsidRDefault="006A7BF9" w:rsidP="00223F64">
            <w:pPr>
              <w:spacing w:before="60" w:after="60"/>
              <w:ind w:right="170"/>
              <w:jc w:val="right"/>
              <w:rPr>
                <w:rFonts w:eastAsia="Calibri" w:cs="Arial"/>
                <w:color w:val="000000"/>
                <w:sz w:val="20"/>
                <w:szCs w:val="20"/>
              </w:rPr>
            </w:pPr>
            <w:r w:rsidRPr="00065508">
              <w:rPr>
                <w:rFonts w:eastAsia="Calibri" w:cs="Arial"/>
                <w:color w:val="000000"/>
                <w:sz w:val="20"/>
                <w:szCs w:val="20"/>
              </w:rPr>
              <w:t>0</w:t>
            </w:r>
          </w:p>
        </w:tc>
        <w:tc>
          <w:tcPr>
            <w:tcW w:w="498" w:type="pct"/>
            <w:vAlign w:val="center"/>
          </w:tcPr>
          <w:p w14:paraId="5409BACC" w14:textId="77777777" w:rsidR="006A7BF9" w:rsidRPr="00065508" w:rsidRDefault="006A7BF9" w:rsidP="00223F64">
            <w:pPr>
              <w:spacing w:before="60" w:after="60"/>
              <w:ind w:right="170"/>
              <w:jc w:val="right"/>
              <w:rPr>
                <w:rFonts w:eastAsia="Calibri" w:cs="Arial"/>
                <w:color w:val="000000"/>
                <w:sz w:val="20"/>
                <w:szCs w:val="20"/>
              </w:rPr>
            </w:pPr>
            <w:r w:rsidRPr="00065508">
              <w:rPr>
                <w:rFonts w:eastAsia="Calibri" w:cs="Arial"/>
                <w:color w:val="000000"/>
                <w:sz w:val="20"/>
                <w:szCs w:val="20"/>
              </w:rPr>
              <w:t>11</w:t>
            </w:r>
          </w:p>
        </w:tc>
      </w:tr>
      <w:tr w:rsidR="006A7BF9" w:rsidRPr="00065508" w14:paraId="260A4E0C" w14:textId="77777777" w:rsidTr="00253F1A">
        <w:tc>
          <w:tcPr>
            <w:tcW w:w="674" w:type="pct"/>
            <w:shd w:val="clear" w:color="auto" w:fill="FFFFFF"/>
            <w:vAlign w:val="center"/>
          </w:tcPr>
          <w:p w14:paraId="5AC2D0FA" w14:textId="70EE4F61" w:rsidR="006A7BF9" w:rsidRPr="00065508" w:rsidRDefault="006A7BF9" w:rsidP="00223F64">
            <w:pPr>
              <w:spacing w:before="60" w:after="60"/>
              <w:ind w:right="-107"/>
              <w:rPr>
                <w:rFonts w:eastAsia="Calibri" w:cs="Arial"/>
                <w:color w:val="000000"/>
                <w:sz w:val="20"/>
                <w:szCs w:val="20"/>
              </w:rPr>
            </w:pPr>
            <w:r w:rsidRPr="00065508">
              <w:rPr>
                <w:rFonts w:eastAsia="Calibri" w:cs="Arial"/>
                <w:color w:val="000000"/>
                <w:sz w:val="20"/>
                <w:szCs w:val="20"/>
              </w:rPr>
              <w:t>Ihorombe</w:t>
            </w:r>
          </w:p>
        </w:tc>
        <w:tc>
          <w:tcPr>
            <w:tcW w:w="874" w:type="pct"/>
            <w:vAlign w:val="center"/>
          </w:tcPr>
          <w:p w14:paraId="7ED7DFD5" w14:textId="77777777" w:rsidR="006A7BF9" w:rsidRPr="00065508" w:rsidRDefault="006A7BF9" w:rsidP="00223F64">
            <w:pPr>
              <w:spacing w:before="60" w:after="60"/>
              <w:rPr>
                <w:rFonts w:eastAsia="Calibri" w:cs="Arial"/>
                <w:color w:val="000000"/>
                <w:sz w:val="20"/>
                <w:szCs w:val="20"/>
              </w:rPr>
            </w:pPr>
            <w:r w:rsidRPr="00065508">
              <w:rPr>
                <w:rFonts w:eastAsia="Calibri" w:cs="Arial"/>
                <w:color w:val="000000"/>
                <w:sz w:val="20"/>
                <w:szCs w:val="20"/>
              </w:rPr>
              <w:t>Ihosy</w:t>
            </w:r>
          </w:p>
        </w:tc>
        <w:tc>
          <w:tcPr>
            <w:tcW w:w="448" w:type="pct"/>
            <w:vAlign w:val="center"/>
          </w:tcPr>
          <w:p w14:paraId="3AB2E67D" w14:textId="77777777" w:rsidR="006A7BF9" w:rsidRPr="00065508" w:rsidRDefault="006A7BF9" w:rsidP="00223F64">
            <w:pPr>
              <w:spacing w:before="60" w:after="60"/>
              <w:jc w:val="center"/>
              <w:rPr>
                <w:rFonts w:eastAsia="Calibri" w:cs="Arial"/>
                <w:color w:val="000000"/>
                <w:sz w:val="20"/>
                <w:szCs w:val="20"/>
              </w:rPr>
            </w:pPr>
            <w:r w:rsidRPr="00065508">
              <w:rPr>
                <w:rFonts w:eastAsia="Calibri" w:cs="Arial"/>
                <w:color w:val="000000"/>
                <w:sz w:val="20"/>
                <w:szCs w:val="20"/>
              </w:rPr>
              <w:t>1</w:t>
            </w:r>
          </w:p>
        </w:tc>
        <w:tc>
          <w:tcPr>
            <w:tcW w:w="1508" w:type="pct"/>
            <w:vAlign w:val="center"/>
          </w:tcPr>
          <w:p w14:paraId="7C4129D7" w14:textId="77777777" w:rsidR="006A7BF9" w:rsidRPr="00065508" w:rsidRDefault="006A7BF9" w:rsidP="00223F64">
            <w:pPr>
              <w:spacing w:before="60" w:after="60"/>
              <w:rPr>
                <w:rFonts w:eastAsia="Calibri" w:cs="Arial"/>
                <w:color w:val="000000"/>
                <w:sz w:val="20"/>
                <w:szCs w:val="20"/>
              </w:rPr>
            </w:pPr>
            <w:r w:rsidRPr="00065508">
              <w:rPr>
                <w:rFonts w:eastAsia="Calibri" w:cs="Arial"/>
                <w:color w:val="000000"/>
                <w:sz w:val="20"/>
                <w:szCs w:val="20"/>
              </w:rPr>
              <w:t>20 mars 2023</w:t>
            </w:r>
          </w:p>
        </w:tc>
        <w:tc>
          <w:tcPr>
            <w:tcW w:w="499" w:type="pct"/>
            <w:vAlign w:val="center"/>
          </w:tcPr>
          <w:p w14:paraId="6AEF148A" w14:textId="77777777" w:rsidR="006A7BF9" w:rsidRPr="00065508" w:rsidRDefault="006A7BF9" w:rsidP="00223F64">
            <w:pPr>
              <w:spacing w:before="60" w:after="60"/>
              <w:ind w:right="170"/>
              <w:jc w:val="right"/>
              <w:rPr>
                <w:rFonts w:eastAsia="Calibri" w:cs="Arial"/>
                <w:color w:val="000000"/>
                <w:sz w:val="20"/>
                <w:szCs w:val="20"/>
              </w:rPr>
            </w:pPr>
            <w:r w:rsidRPr="00065508">
              <w:rPr>
                <w:rFonts w:eastAsia="Calibri" w:cs="Arial"/>
                <w:color w:val="000000"/>
                <w:sz w:val="20"/>
                <w:szCs w:val="20"/>
              </w:rPr>
              <w:t>8</w:t>
            </w:r>
          </w:p>
        </w:tc>
        <w:tc>
          <w:tcPr>
            <w:tcW w:w="499" w:type="pct"/>
            <w:vAlign w:val="center"/>
          </w:tcPr>
          <w:p w14:paraId="70F3E0A6" w14:textId="77777777" w:rsidR="006A7BF9" w:rsidRPr="00065508" w:rsidRDefault="006A7BF9" w:rsidP="00223F64">
            <w:pPr>
              <w:spacing w:before="60" w:after="60"/>
              <w:ind w:right="170"/>
              <w:jc w:val="right"/>
              <w:rPr>
                <w:rFonts w:eastAsia="Calibri" w:cs="Arial"/>
                <w:color w:val="000000"/>
                <w:sz w:val="20"/>
                <w:szCs w:val="20"/>
              </w:rPr>
            </w:pPr>
            <w:r w:rsidRPr="00065508">
              <w:rPr>
                <w:rFonts w:eastAsia="Calibri" w:cs="Arial"/>
                <w:color w:val="000000"/>
                <w:sz w:val="20"/>
                <w:szCs w:val="20"/>
              </w:rPr>
              <w:t>0</w:t>
            </w:r>
          </w:p>
        </w:tc>
        <w:tc>
          <w:tcPr>
            <w:tcW w:w="498" w:type="pct"/>
            <w:vAlign w:val="center"/>
          </w:tcPr>
          <w:p w14:paraId="56FE3D82" w14:textId="77777777" w:rsidR="006A7BF9" w:rsidRPr="00065508" w:rsidRDefault="006A7BF9" w:rsidP="00223F64">
            <w:pPr>
              <w:spacing w:before="60" w:after="60"/>
              <w:ind w:right="170"/>
              <w:jc w:val="right"/>
              <w:rPr>
                <w:rFonts w:eastAsia="Calibri" w:cs="Arial"/>
                <w:color w:val="000000"/>
                <w:sz w:val="20"/>
                <w:szCs w:val="20"/>
              </w:rPr>
            </w:pPr>
            <w:r w:rsidRPr="00065508">
              <w:rPr>
                <w:rFonts w:eastAsia="Calibri" w:cs="Arial"/>
                <w:color w:val="000000"/>
                <w:sz w:val="20"/>
                <w:szCs w:val="20"/>
              </w:rPr>
              <w:t>8</w:t>
            </w:r>
          </w:p>
        </w:tc>
      </w:tr>
      <w:tr w:rsidR="006A7BF9" w:rsidRPr="00065508" w14:paraId="62547E51" w14:textId="77777777" w:rsidTr="00253F1A">
        <w:tc>
          <w:tcPr>
            <w:tcW w:w="674" w:type="pct"/>
            <w:shd w:val="clear" w:color="auto" w:fill="FFFFFF"/>
            <w:vAlign w:val="center"/>
          </w:tcPr>
          <w:p w14:paraId="49158130" w14:textId="146C35AD" w:rsidR="006A7BF9" w:rsidRPr="00065508" w:rsidRDefault="006A7BF9" w:rsidP="00223F64">
            <w:pPr>
              <w:spacing w:before="60" w:after="60"/>
              <w:rPr>
                <w:rFonts w:eastAsia="Calibri" w:cs="Arial"/>
                <w:color w:val="000000"/>
                <w:sz w:val="20"/>
                <w:szCs w:val="20"/>
              </w:rPr>
            </w:pPr>
            <w:r w:rsidRPr="00065508">
              <w:rPr>
                <w:rFonts w:eastAsia="Calibri" w:cs="Arial"/>
                <w:color w:val="000000"/>
                <w:sz w:val="20"/>
                <w:szCs w:val="20"/>
              </w:rPr>
              <w:t>DIANA</w:t>
            </w:r>
          </w:p>
        </w:tc>
        <w:tc>
          <w:tcPr>
            <w:tcW w:w="874" w:type="pct"/>
            <w:vAlign w:val="center"/>
          </w:tcPr>
          <w:p w14:paraId="5909F011" w14:textId="77777777" w:rsidR="006A7BF9" w:rsidRPr="00065508" w:rsidRDefault="006A7BF9" w:rsidP="00223F64">
            <w:pPr>
              <w:spacing w:before="60" w:after="60"/>
              <w:rPr>
                <w:rFonts w:eastAsia="Calibri" w:cs="Arial"/>
                <w:color w:val="000000"/>
                <w:sz w:val="20"/>
                <w:szCs w:val="20"/>
              </w:rPr>
            </w:pPr>
            <w:r w:rsidRPr="00065508">
              <w:rPr>
                <w:rFonts w:eastAsia="Calibri" w:cs="Arial"/>
                <w:color w:val="000000"/>
                <w:sz w:val="20"/>
                <w:szCs w:val="20"/>
              </w:rPr>
              <w:t>Ambanja</w:t>
            </w:r>
          </w:p>
        </w:tc>
        <w:tc>
          <w:tcPr>
            <w:tcW w:w="448" w:type="pct"/>
            <w:vAlign w:val="center"/>
          </w:tcPr>
          <w:p w14:paraId="6D4BB003" w14:textId="77777777" w:rsidR="006A7BF9" w:rsidRPr="00065508" w:rsidRDefault="006A7BF9" w:rsidP="00223F64">
            <w:pPr>
              <w:spacing w:before="60" w:after="60"/>
              <w:jc w:val="center"/>
              <w:rPr>
                <w:rFonts w:eastAsia="Calibri" w:cs="Arial"/>
                <w:color w:val="000000"/>
                <w:sz w:val="20"/>
                <w:szCs w:val="20"/>
              </w:rPr>
            </w:pPr>
            <w:r w:rsidRPr="00065508">
              <w:rPr>
                <w:rFonts w:eastAsia="Calibri" w:cs="Arial"/>
                <w:color w:val="000000"/>
                <w:sz w:val="20"/>
                <w:szCs w:val="20"/>
              </w:rPr>
              <w:t>3</w:t>
            </w:r>
          </w:p>
        </w:tc>
        <w:tc>
          <w:tcPr>
            <w:tcW w:w="1508" w:type="pct"/>
            <w:vAlign w:val="center"/>
          </w:tcPr>
          <w:p w14:paraId="0BAC5C41" w14:textId="77777777" w:rsidR="006A7BF9" w:rsidRPr="00065508" w:rsidRDefault="006A7BF9" w:rsidP="00223F64">
            <w:pPr>
              <w:spacing w:before="60" w:after="60"/>
              <w:rPr>
                <w:rFonts w:eastAsia="Calibri" w:cs="Arial"/>
                <w:color w:val="000000"/>
                <w:sz w:val="20"/>
                <w:szCs w:val="20"/>
              </w:rPr>
            </w:pPr>
            <w:r w:rsidRPr="00065508">
              <w:rPr>
                <w:rFonts w:eastAsia="Calibri" w:cs="Arial"/>
                <w:color w:val="000000"/>
                <w:sz w:val="20"/>
                <w:szCs w:val="20"/>
              </w:rPr>
              <w:t>22-23-24 mars 2023</w:t>
            </w:r>
          </w:p>
        </w:tc>
        <w:tc>
          <w:tcPr>
            <w:tcW w:w="499" w:type="pct"/>
            <w:vAlign w:val="center"/>
          </w:tcPr>
          <w:p w14:paraId="6E5BD226" w14:textId="77777777" w:rsidR="006A7BF9" w:rsidRPr="00065508" w:rsidRDefault="006A7BF9" w:rsidP="00223F64">
            <w:pPr>
              <w:spacing w:before="60" w:after="60"/>
              <w:ind w:right="170"/>
              <w:jc w:val="right"/>
              <w:rPr>
                <w:rFonts w:eastAsia="Calibri" w:cs="Arial"/>
                <w:color w:val="000000"/>
                <w:sz w:val="20"/>
                <w:szCs w:val="20"/>
              </w:rPr>
            </w:pPr>
            <w:r w:rsidRPr="00065508">
              <w:rPr>
                <w:rFonts w:eastAsia="Calibri" w:cs="Arial"/>
                <w:color w:val="000000"/>
                <w:sz w:val="20"/>
                <w:szCs w:val="20"/>
              </w:rPr>
              <w:t>40</w:t>
            </w:r>
          </w:p>
        </w:tc>
        <w:tc>
          <w:tcPr>
            <w:tcW w:w="499" w:type="pct"/>
            <w:vAlign w:val="center"/>
          </w:tcPr>
          <w:p w14:paraId="5399DFE8" w14:textId="77777777" w:rsidR="006A7BF9" w:rsidRPr="00065508" w:rsidRDefault="006A7BF9" w:rsidP="00223F64">
            <w:pPr>
              <w:spacing w:before="60" w:after="60"/>
              <w:ind w:right="170"/>
              <w:jc w:val="right"/>
              <w:rPr>
                <w:rFonts w:eastAsia="Calibri" w:cs="Arial"/>
                <w:color w:val="000000"/>
                <w:sz w:val="20"/>
                <w:szCs w:val="20"/>
              </w:rPr>
            </w:pPr>
            <w:r w:rsidRPr="00065508">
              <w:rPr>
                <w:rFonts w:eastAsia="Calibri" w:cs="Arial"/>
                <w:color w:val="000000"/>
                <w:sz w:val="20"/>
                <w:szCs w:val="20"/>
              </w:rPr>
              <w:t>9</w:t>
            </w:r>
          </w:p>
        </w:tc>
        <w:tc>
          <w:tcPr>
            <w:tcW w:w="498" w:type="pct"/>
            <w:vAlign w:val="center"/>
          </w:tcPr>
          <w:p w14:paraId="512FBAE5" w14:textId="77777777" w:rsidR="006A7BF9" w:rsidRPr="00065508" w:rsidRDefault="006A7BF9" w:rsidP="00223F64">
            <w:pPr>
              <w:spacing w:before="60" w:after="60"/>
              <w:ind w:right="170"/>
              <w:jc w:val="right"/>
              <w:rPr>
                <w:rFonts w:eastAsia="Calibri" w:cs="Arial"/>
                <w:color w:val="000000"/>
                <w:sz w:val="20"/>
                <w:szCs w:val="20"/>
              </w:rPr>
            </w:pPr>
            <w:r w:rsidRPr="00065508">
              <w:rPr>
                <w:rFonts w:eastAsia="Calibri" w:cs="Arial"/>
                <w:color w:val="000000"/>
                <w:sz w:val="20"/>
                <w:szCs w:val="20"/>
              </w:rPr>
              <w:t>49</w:t>
            </w:r>
          </w:p>
        </w:tc>
      </w:tr>
      <w:tr w:rsidR="006A7BF9" w:rsidRPr="00065508" w14:paraId="4CCC7F37" w14:textId="77777777" w:rsidTr="00253F1A">
        <w:tc>
          <w:tcPr>
            <w:tcW w:w="674" w:type="pct"/>
            <w:shd w:val="clear" w:color="auto" w:fill="FFFFFF"/>
            <w:vAlign w:val="center"/>
          </w:tcPr>
          <w:p w14:paraId="3DED3B9A" w14:textId="07703285" w:rsidR="006A7BF9" w:rsidRPr="00065508" w:rsidRDefault="006A7BF9" w:rsidP="00223F64">
            <w:pPr>
              <w:spacing w:before="60" w:after="60"/>
              <w:rPr>
                <w:rFonts w:eastAsia="Calibri" w:cs="Arial"/>
                <w:color w:val="000000"/>
                <w:sz w:val="20"/>
                <w:szCs w:val="20"/>
              </w:rPr>
            </w:pPr>
            <w:r w:rsidRPr="00065508">
              <w:rPr>
                <w:rFonts w:eastAsia="Calibri" w:cs="Arial"/>
                <w:color w:val="000000"/>
                <w:sz w:val="20"/>
                <w:szCs w:val="20"/>
              </w:rPr>
              <w:t>Boeny</w:t>
            </w:r>
          </w:p>
        </w:tc>
        <w:tc>
          <w:tcPr>
            <w:tcW w:w="874" w:type="pct"/>
            <w:vAlign w:val="center"/>
          </w:tcPr>
          <w:p w14:paraId="51145EF5" w14:textId="77777777" w:rsidR="006A7BF9" w:rsidRPr="00065508" w:rsidRDefault="006A7BF9" w:rsidP="00223F64">
            <w:pPr>
              <w:spacing w:before="60" w:after="60"/>
              <w:rPr>
                <w:rFonts w:eastAsia="Calibri" w:cs="Arial"/>
                <w:color w:val="000000"/>
                <w:sz w:val="20"/>
                <w:szCs w:val="20"/>
              </w:rPr>
            </w:pPr>
            <w:r w:rsidRPr="00065508">
              <w:rPr>
                <w:rFonts w:eastAsia="Calibri" w:cs="Arial"/>
                <w:color w:val="000000"/>
                <w:sz w:val="20"/>
                <w:szCs w:val="20"/>
              </w:rPr>
              <w:t>Ambato Boeni</w:t>
            </w:r>
          </w:p>
        </w:tc>
        <w:tc>
          <w:tcPr>
            <w:tcW w:w="448" w:type="pct"/>
            <w:vAlign w:val="center"/>
          </w:tcPr>
          <w:p w14:paraId="158BB8F2" w14:textId="77777777" w:rsidR="006A7BF9" w:rsidRPr="00065508" w:rsidRDefault="006A7BF9" w:rsidP="00223F64">
            <w:pPr>
              <w:spacing w:before="60" w:after="60"/>
              <w:jc w:val="center"/>
              <w:rPr>
                <w:rFonts w:eastAsia="Calibri" w:cs="Arial"/>
                <w:color w:val="000000"/>
                <w:sz w:val="20"/>
                <w:szCs w:val="20"/>
              </w:rPr>
            </w:pPr>
            <w:r w:rsidRPr="00065508">
              <w:rPr>
                <w:rFonts w:eastAsia="Calibri" w:cs="Arial"/>
                <w:color w:val="000000"/>
                <w:sz w:val="20"/>
                <w:szCs w:val="20"/>
              </w:rPr>
              <w:t>2</w:t>
            </w:r>
          </w:p>
        </w:tc>
        <w:tc>
          <w:tcPr>
            <w:tcW w:w="1508" w:type="pct"/>
            <w:vAlign w:val="center"/>
          </w:tcPr>
          <w:p w14:paraId="2C42CA85" w14:textId="77777777" w:rsidR="006A7BF9" w:rsidRPr="00065508" w:rsidRDefault="006A7BF9" w:rsidP="00223F64">
            <w:pPr>
              <w:spacing w:before="60" w:after="60"/>
              <w:rPr>
                <w:rFonts w:eastAsia="Calibri" w:cs="Arial"/>
                <w:color w:val="000000"/>
                <w:sz w:val="20"/>
                <w:szCs w:val="20"/>
              </w:rPr>
            </w:pPr>
            <w:r w:rsidRPr="00065508">
              <w:rPr>
                <w:rFonts w:eastAsia="Calibri" w:cs="Arial"/>
                <w:color w:val="000000"/>
                <w:sz w:val="20"/>
                <w:szCs w:val="20"/>
              </w:rPr>
              <w:t>22-23 mars 2023</w:t>
            </w:r>
          </w:p>
        </w:tc>
        <w:tc>
          <w:tcPr>
            <w:tcW w:w="499" w:type="pct"/>
            <w:vAlign w:val="center"/>
          </w:tcPr>
          <w:p w14:paraId="19602969" w14:textId="77777777" w:rsidR="006A7BF9" w:rsidRPr="00065508" w:rsidRDefault="006A7BF9" w:rsidP="00223F64">
            <w:pPr>
              <w:spacing w:before="60" w:after="60"/>
              <w:ind w:right="170"/>
              <w:jc w:val="right"/>
              <w:rPr>
                <w:rFonts w:eastAsia="Calibri" w:cs="Arial"/>
                <w:color w:val="000000"/>
                <w:sz w:val="20"/>
                <w:szCs w:val="20"/>
              </w:rPr>
            </w:pPr>
            <w:r w:rsidRPr="00065508">
              <w:rPr>
                <w:rFonts w:eastAsia="Calibri" w:cs="Arial"/>
                <w:color w:val="000000"/>
                <w:sz w:val="20"/>
                <w:szCs w:val="20"/>
              </w:rPr>
              <w:t>48</w:t>
            </w:r>
          </w:p>
        </w:tc>
        <w:tc>
          <w:tcPr>
            <w:tcW w:w="499" w:type="pct"/>
            <w:vAlign w:val="center"/>
          </w:tcPr>
          <w:p w14:paraId="19215380" w14:textId="77777777" w:rsidR="006A7BF9" w:rsidRPr="00065508" w:rsidRDefault="006A7BF9" w:rsidP="00223F64">
            <w:pPr>
              <w:spacing w:before="60" w:after="60"/>
              <w:ind w:right="170"/>
              <w:jc w:val="right"/>
              <w:rPr>
                <w:rFonts w:eastAsia="Calibri" w:cs="Arial"/>
                <w:color w:val="000000"/>
                <w:sz w:val="20"/>
                <w:szCs w:val="20"/>
              </w:rPr>
            </w:pPr>
            <w:r w:rsidRPr="00065508">
              <w:rPr>
                <w:rFonts w:eastAsia="Calibri" w:cs="Arial"/>
                <w:color w:val="000000"/>
                <w:sz w:val="20"/>
                <w:szCs w:val="20"/>
              </w:rPr>
              <w:t>12</w:t>
            </w:r>
          </w:p>
        </w:tc>
        <w:tc>
          <w:tcPr>
            <w:tcW w:w="498" w:type="pct"/>
            <w:vAlign w:val="center"/>
          </w:tcPr>
          <w:p w14:paraId="2E8D0B60" w14:textId="77777777" w:rsidR="006A7BF9" w:rsidRPr="00065508" w:rsidRDefault="006A7BF9" w:rsidP="00223F64">
            <w:pPr>
              <w:spacing w:before="60" w:after="60"/>
              <w:ind w:right="170"/>
              <w:jc w:val="right"/>
              <w:rPr>
                <w:rFonts w:eastAsia="Calibri" w:cs="Arial"/>
                <w:color w:val="000000"/>
                <w:sz w:val="20"/>
                <w:szCs w:val="20"/>
              </w:rPr>
            </w:pPr>
            <w:r w:rsidRPr="00065508">
              <w:rPr>
                <w:rFonts w:eastAsia="Calibri" w:cs="Arial"/>
                <w:color w:val="000000"/>
                <w:sz w:val="20"/>
                <w:szCs w:val="20"/>
              </w:rPr>
              <w:t>60</w:t>
            </w:r>
          </w:p>
        </w:tc>
      </w:tr>
      <w:tr w:rsidR="006A7BF9" w:rsidRPr="00065508" w14:paraId="689E408B" w14:textId="77777777" w:rsidTr="00253F1A">
        <w:tc>
          <w:tcPr>
            <w:tcW w:w="674" w:type="pct"/>
            <w:shd w:val="clear" w:color="auto" w:fill="FFFFFF"/>
            <w:vAlign w:val="center"/>
          </w:tcPr>
          <w:p w14:paraId="5F8467AA" w14:textId="5BC48B90" w:rsidR="006A7BF9" w:rsidRPr="00065508" w:rsidRDefault="006A7BF9" w:rsidP="00223F64">
            <w:pPr>
              <w:spacing w:before="60" w:after="60"/>
              <w:rPr>
                <w:rFonts w:eastAsia="Calibri" w:cs="Arial"/>
                <w:color w:val="000000"/>
                <w:sz w:val="20"/>
                <w:szCs w:val="20"/>
              </w:rPr>
            </w:pPr>
            <w:r w:rsidRPr="00065508">
              <w:rPr>
                <w:rFonts w:eastAsia="Calibri" w:cs="Arial"/>
                <w:color w:val="000000"/>
                <w:sz w:val="20"/>
                <w:szCs w:val="20"/>
              </w:rPr>
              <w:t>Alaotra Mangoro</w:t>
            </w:r>
          </w:p>
        </w:tc>
        <w:tc>
          <w:tcPr>
            <w:tcW w:w="874" w:type="pct"/>
            <w:vAlign w:val="center"/>
          </w:tcPr>
          <w:p w14:paraId="7589BF0B" w14:textId="77777777" w:rsidR="006A7BF9" w:rsidRPr="00065508" w:rsidRDefault="006A7BF9" w:rsidP="00223F64">
            <w:pPr>
              <w:spacing w:before="60" w:after="60"/>
              <w:rPr>
                <w:rFonts w:eastAsia="Calibri" w:cs="Arial"/>
                <w:color w:val="000000"/>
                <w:sz w:val="20"/>
                <w:szCs w:val="20"/>
              </w:rPr>
            </w:pPr>
            <w:r w:rsidRPr="00065508">
              <w:rPr>
                <w:rFonts w:eastAsia="Calibri" w:cs="Arial"/>
                <w:color w:val="000000"/>
                <w:sz w:val="20"/>
                <w:szCs w:val="20"/>
              </w:rPr>
              <w:t>Ambatondrazaka</w:t>
            </w:r>
          </w:p>
        </w:tc>
        <w:tc>
          <w:tcPr>
            <w:tcW w:w="448" w:type="pct"/>
            <w:vAlign w:val="center"/>
          </w:tcPr>
          <w:p w14:paraId="4073047A" w14:textId="77777777" w:rsidR="006A7BF9" w:rsidRPr="00065508" w:rsidRDefault="006A7BF9" w:rsidP="00223F64">
            <w:pPr>
              <w:spacing w:before="60" w:after="60"/>
              <w:jc w:val="center"/>
              <w:rPr>
                <w:rFonts w:eastAsia="Calibri" w:cs="Arial"/>
                <w:color w:val="000000"/>
                <w:sz w:val="20"/>
                <w:szCs w:val="20"/>
              </w:rPr>
            </w:pPr>
            <w:r w:rsidRPr="00065508">
              <w:rPr>
                <w:rFonts w:eastAsia="Calibri" w:cs="Arial"/>
                <w:color w:val="000000"/>
                <w:sz w:val="20"/>
                <w:szCs w:val="20"/>
              </w:rPr>
              <w:t>2</w:t>
            </w:r>
          </w:p>
        </w:tc>
        <w:tc>
          <w:tcPr>
            <w:tcW w:w="1508" w:type="pct"/>
            <w:vAlign w:val="center"/>
          </w:tcPr>
          <w:p w14:paraId="177FA359" w14:textId="77777777" w:rsidR="006A7BF9" w:rsidRPr="00065508" w:rsidRDefault="006A7BF9" w:rsidP="00223F64">
            <w:pPr>
              <w:spacing w:before="60" w:after="60"/>
              <w:rPr>
                <w:rFonts w:eastAsia="Calibri" w:cs="Arial"/>
                <w:color w:val="000000"/>
                <w:sz w:val="20"/>
                <w:szCs w:val="20"/>
              </w:rPr>
            </w:pPr>
            <w:r w:rsidRPr="00065508">
              <w:rPr>
                <w:rFonts w:eastAsia="Calibri" w:cs="Arial"/>
                <w:color w:val="000000"/>
                <w:sz w:val="20"/>
                <w:szCs w:val="20"/>
              </w:rPr>
              <w:t>22 avril 2026</w:t>
            </w:r>
          </w:p>
        </w:tc>
        <w:tc>
          <w:tcPr>
            <w:tcW w:w="499" w:type="pct"/>
            <w:vAlign w:val="center"/>
          </w:tcPr>
          <w:p w14:paraId="16AA5DCF" w14:textId="77777777" w:rsidR="006A7BF9" w:rsidRPr="00065508" w:rsidRDefault="006A7BF9" w:rsidP="00223F64">
            <w:pPr>
              <w:spacing w:before="60" w:after="60"/>
              <w:ind w:right="170"/>
              <w:jc w:val="right"/>
              <w:rPr>
                <w:rFonts w:eastAsia="Calibri" w:cs="Arial"/>
                <w:color w:val="000000"/>
                <w:sz w:val="20"/>
                <w:szCs w:val="20"/>
              </w:rPr>
            </w:pPr>
            <w:r w:rsidRPr="00065508">
              <w:rPr>
                <w:rFonts w:eastAsia="Calibri" w:cs="Arial"/>
                <w:color w:val="000000"/>
                <w:sz w:val="20"/>
                <w:szCs w:val="20"/>
              </w:rPr>
              <w:t>17</w:t>
            </w:r>
          </w:p>
        </w:tc>
        <w:tc>
          <w:tcPr>
            <w:tcW w:w="499" w:type="pct"/>
            <w:vAlign w:val="center"/>
          </w:tcPr>
          <w:p w14:paraId="20DD84D3" w14:textId="77777777" w:rsidR="006A7BF9" w:rsidRPr="00065508" w:rsidRDefault="006A7BF9" w:rsidP="00223F64">
            <w:pPr>
              <w:spacing w:before="60" w:after="60"/>
              <w:ind w:right="170"/>
              <w:jc w:val="right"/>
              <w:rPr>
                <w:rFonts w:eastAsia="Calibri" w:cs="Arial"/>
                <w:color w:val="000000"/>
                <w:sz w:val="20"/>
                <w:szCs w:val="20"/>
              </w:rPr>
            </w:pPr>
            <w:r w:rsidRPr="00065508">
              <w:rPr>
                <w:rFonts w:eastAsia="Calibri" w:cs="Arial"/>
                <w:color w:val="000000"/>
                <w:sz w:val="20"/>
                <w:szCs w:val="20"/>
              </w:rPr>
              <w:t>0</w:t>
            </w:r>
          </w:p>
        </w:tc>
        <w:tc>
          <w:tcPr>
            <w:tcW w:w="498" w:type="pct"/>
            <w:vAlign w:val="center"/>
          </w:tcPr>
          <w:p w14:paraId="6D3D5616" w14:textId="77777777" w:rsidR="006A7BF9" w:rsidRPr="00065508" w:rsidRDefault="006A7BF9" w:rsidP="00223F64">
            <w:pPr>
              <w:spacing w:before="60" w:after="60"/>
              <w:ind w:right="170"/>
              <w:jc w:val="right"/>
              <w:rPr>
                <w:rFonts w:eastAsia="Calibri" w:cs="Arial"/>
                <w:color w:val="000000"/>
                <w:sz w:val="20"/>
                <w:szCs w:val="20"/>
              </w:rPr>
            </w:pPr>
            <w:r w:rsidRPr="00065508">
              <w:rPr>
                <w:rFonts w:eastAsia="Calibri" w:cs="Arial"/>
                <w:color w:val="000000"/>
                <w:sz w:val="20"/>
                <w:szCs w:val="20"/>
              </w:rPr>
              <w:t>17</w:t>
            </w:r>
          </w:p>
        </w:tc>
      </w:tr>
      <w:tr w:rsidR="006A7BF9" w:rsidRPr="00065508" w14:paraId="6DE4E226" w14:textId="77777777" w:rsidTr="00253F1A">
        <w:tc>
          <w:tcPr>
            <w:tcW w:w="674" w:type="pct"/>
            <w:shd w:val="clear" w:color="auto" w:fill="FFFFFF"/>
            <w:vAlign w:val="center"/>
          </w:tcPr>
          <w:p w14:paraId="0FEC1493" w14:textId="419406C9" w:rsidR="006A7BF9" w:rsidRPr="00065508" w:rsidRDefault="006A7BF9" w:rsidP="00223F64">
            <w:pPr>
              <w:spacing w:before="60" w:after="60"/>
              <w:rPr>
                <w:rFonts w:eastAsia="Calibri" w:cs="Arial"/>
                <w:color w:val="000000"/>
                <w:sz w:val="20"/>
                <w:szCs w:val="20"/>
              </w:rPr>
            </w:pPr>
            <w:r w:rsidRPr="00065508">
              <w:rPr>
                <w:rFonts w:eastAsia="Calibri" w:cs="Arial"/>
                <w:color w:val="000000"/>
                <w:sz w:val="20"/>
                <w:szCs w:val="20"/>
              </w:rPr>
              <w:t>Androy</w:t>
            </w:r>
          </w:p>
        </w:tc>
        <w:tc>
          <w:tcPr>
            <w:tcW w:w="874" w:type="pct"/>
            <w:vAlign w:val="center"/>
          </w:tcPr>
          <w:p w14:paraId="6EDDFD4D" w14:textId="77777777" w:rsidR="006A7BF9" w:rsidRPr="00065508" w:rsidRDefault="006A7BF9" w:rsidP="00223F64">
            <w:pPr>
              <w:spacing w:before="60" w:after="60"/>
              <w:rPr>
                <w:rFonts w:eastAsia="Calibri" w:cs="Arial"/>
                <w:color w:val="000000"/>
                <w:sz w:val="20"/>
                <w:szCs w:val="20"/>
              </w:rPr>
            </w:pPr>
            <w:r w:rsidRPr="00065508">
              <w:rPr>
                <w:rFonts w:eastAsia="Calibri" w:cs="Arial"/>
                <w:color w:val="000000"/>
                <w:sz w:val="20"/>
                <w:szCs w:val="20"/>
              </w:rPr>
              <w:t>Bekily</w:t>
            </w:r>
          </w:p>
          <w:p w14:paraId="554B7220" w14:textId="77777777" w:rsidR="006A7BF9" w:rsidRPr="00065508" w:rsidRDefault="006A7BF9" w:rsidP="00223F64">
            <w:pPr>
              <w:spacing w:before="60" w:after="60"/>
              <w:rPr>
                <w:rFonts w:eastAsia="Calibri" w:cs="Arial"/>
                <w:color w:val="000000"/>
                <w:sz w:val="20"/>
                <w:szCs w:val="20"/>
              </w:rPr>
            </w:pPr>
            <w:r w:rsidRPr="00065508">
              <w:rPr>
                <w:rFonts w:eastAsia="Calibri" w:cs="Arial"/>
                <w:color w:val="000000"/>
                <w:sz w:val="20"/>
                <w:szCs w:val="20"/>
              </w:rPr>
              <w:t>Ambovombe Androy</w:t>
            </w:r>
          </w:p>
        </w:tc>
        <w:tc>
          <w:tcPr>
            <w:tcW w:w="448" w:type="pct"/>
            <w:vAlign w:val="center"/>
          </w:tcPr>
          <w:p w14:paraId="4A6618E8" w14:textId="77777777" w:rsidR="006A7BF9" w:rsidRPr="00065508" w:rsidRDefault="006A7BF9" w:rsidP="00223F64">
            <w:pPr>
              <w:spacing w:before="60" w:after="60"/>
              <w:jc w:val="center"/>
              <w:rPr>
                <w:rFonts w:eastAsia="Calibri" w:cs="Arial"/>
                <w:color w:val="000000"/>
                <w:sz w:val="20"/>
                <w:szCs w:val="20"/>
              </w:rPr>
            </w:pPr>
            <w:r w:rsidRPr="00065508">
              <w:rPr>
                <w:rFonts w:eastAsia="Calibri" w:cs="Arial"/>
                <w:color w:val="000000"/>
                <w:sz w:val="20"/>
                <w:szCs w:val="20"/>
              </w:rPr>
              <w:t>2</w:t>
            </w:r>
          </w:p>
        </w:tc>
        <w:tc>
          <w:tcPr>
            <w:tcW w:w="1508" w:type="pct"/>
            <w:vAlign w:val="center"/>
          </w:tcPr>
          <w:p w14:paraId="49D6499B" w14:textId="77777777" w:rsidR="006A7BF9" w:rsidRPr="00065508" w:rsidRDefault="006A7BF9" w:rsidP="00223F64">
            <w:pPr>
              <w:spacing w:before="60" w:after="60"/>
              <w:rPr>
                <w:rFonts w:eastAsia="Calibri" w:cs="Arial"/>
                <w:color w:val="000000"/>
                <w:sz w:val="20"/>
                <w:szCs w:val="20"/>
              </w:rPr>
            </w:pPr>
            <w:r w:rsidRPr="00065508">
              <w:rPr>
                <w:rFonts w:eastAsia="Calibri" w:cs="Arial"/>
                <w:color w:val="000000"/>
                <w:sz w:val="20"/>
                <w:szCs w:val="20"/>
              </w:rPr>
              <w:t>21-24 mars 2023</w:t>
            </w:r>
          </w:p>
        </w:tc>
        <w:tc>
          <w:tcPr>
            <w:tcW w:w="499" w:type="pct"/>
            <w:vAlign w:val="center"/>
          </w:tcPr>
          <w:p w14:paraId="3CD2AA88" w14:textId="77777777" w:rsidR="006A7BF9" w:rsidRPr="00065508" w:rsidRDefault="006A7BF9" w:rsidP="00223F64">
            <w:pPr>
              <w:spacing w:before="60" w:after="60"/>
              <w:ind w:right="170"/>
              <w:jc w:val="right"/>
              <w:rPr>
                <w:rFonts w:eastAsia="Calibri" w:cs="Arial"/>
                <w:color w:val="000000"/>
                <w:sz w:val="20"/>
                <w:szCs w:val="20"/>
              </w:rPr>
            </w:pPr>
            <w:r w:rsidRPr="00065508">
              <w:rPr>
                <w:rFonts w:eastAsia="Calibri" w:cs="Arial"/>
                <w:color w:val="000000"/>
                <w:sz w:val="20"/>
                <w:szCs w:val="20"/>
              </w:rPr>
              <w:t>19</w:t>
            </w:r>
          </w:p>
        </w:tc>
        <w:tc>
          <w:tcPr>
            <w:tcW w:w="499" w:type="pct"/>
            <w:vAlign w:val="center"/>
          </w:tcPr>
          <w:p w14:paraId="78E4FA78" w14:textId="77777777" w:rsidR="006A7BF9" w:rsidRPr="00065508" w:rsidRDefault="006A7BF9" w:rsidP="00223F64">
            <w:pPr>
              <w:spacing w:before="60" w:after="60"/>
              <w:ind w:right="170"/>
              <w:jc w:val="right"/>
              <w:rPr>
                <w:rFonts w:eastAsia="Calibri" w:cs="Arial"/>
                <w:color w:val="000000"/>
                <w:sz w:val="20"/>
                <w:szCs w:val="20"/>
              </w:rPr>
            </w:pPr>
            <w:r w:rsidRPr="00065508">
              <w:rPr>
                <w:rFonts w:eastAsia="Calibri" w:cs="Arial"/>
                <w:color w:val="000000"/>
                <w:sz w:val="20"/>
                <w:szCs w:val="20"/>
              </w:rPr>
              <w:t>1</w:t>
            </w:r>
          </w:p>
        </w:tc>
        <w:tc>
          <w:tcPr>
            <w:tcW w:w="498" w:type="pct"/>
            <w:vAlign w:val="center"/>
          </w:tcPr>
          <w:p w14:paraId="0369D059" w14:textId="77777777" w:rsidR="006A7BF9" w:rsidRPr="00065508" w:rsidRDefault="006A7BF9" w:rsidP="00223F64">
            <w:pPr>
              <w:spacing w:before="60" w:after="60"/>
              <w:ind w:right="170"/>
              <w:jc w:val="right"/>
              <w:rPr>
                <w:rFonts w:eastAsia="Calibri" w:cs="Arial"/>
                <w:color w:val="000000"/>
                <w:sz w:val="20"/>
                <w:szCs w:val="20"/>
              </w:rPr>
            </w:pPr>
            <w:r w:rsidRPr="00065508">
              <w:rPr>
                <w:rFonts w:eastAsia="Calibri" w:cs="Arial"/>
                <w:color w:val="000000"/>
                <w:sz w:val="20"/>
                <w:szCs w:val="20"/>
              </w:rPr>
              <w:t>20</w:t>
            </w:r>
          </w:p>
        </w:tc>
      </w:tr>
      <w:tr w:rsidR="006A7BF9" w:rsidRPr="00065508" w14:paraId="699C9DB0" w14:textId="77777777" w:rsidTr="00253F1A">
        <w:tc>
          <w:tcPr>
            <w:tcW w:w="674" w:type="pct"/>
            <w:shd w:val="clear" w:color="auto" w:fill="FFFFFF"/>
            <w:vAlign w:val="center"/>
          </w:tcPr>
          <w:p w14:paraId="4D67AE33" w14:textId="1BBC0686" w:rsidR="006A7BF9" w:rsidRPr="00065508" w:rsidRDefault="006A7BF9" w:rsidP="00223F64">
            <w:pPr>
              <w:spacing w:before="60" w:after="60"/>
              <w:rPr>
                <w:rFonts w:eastAsia="Calibri" w:cs="Arial"/>
                <w:color w:val="000000"/>
                <w:sz w:val="20"/>
                <w:szCs w:val="20"/>
              </w:rPr>
            </w:pPr>
            <w:r w:rsidRPr="00065508">
              <w:rPr>
                <w:rFonts w:eastAsia="Calibri" w:cs="Arial"/>
                <w:color w:val="000000"/>
                <w:sz w:val="20"/>
                <w:szCs w:val="20"/>
              </w:rPr>
              <w:t>Atsinanana</w:t>
            </w:r>
          </w:p>
        </w:tc>
        <w:tc>
          <w:tcPr>
            <w:tcW w:w="874" w:type="pct"/>
            <w:vAlign w:val="center"/>
          </w:tcPr>
          <w:p w14:paraId="1D92B15F" w14:textId="77777777" w:rsidR="006A7BF9" w:rsidRPr="00065508" w:rsidRDefault="006A7BF9" w:rsidP="00223F64">
            <w:pPr>
              <w:spacing w:before="60" w:after="60"/>
              <w:rPr>
                <w:rFonts w:eastAsia="Calibri" w:cs="Arial"/>
                <w:color w:val="000000"/>
                <w:sz w:val="20"/>
                <w:szCs w:val="20"/>
              </w:rPr>
            </w:pPr>
            <w:r w:rsidRPr="00065508">
              <w:rPr>
                <w:rFonts w:eastAsia="Calibri" w:cs="Arial"/>
                <w:color w:val="000000"/>
                <w:sz w:val="20"/>
                <w:szCs w:val="20"/>
              </w:rPr>
              <w:t>Vohibinany</w:t>
            </w:r>
          </w:p>
        </w:tc>
        <w:tc>
          <w:tcPr>
            <w:tcW w:w="448" w:type="pct"/>
            <w:vAlign w:val="center"/>
          </w:tcPr>
          <w:p w14:paraId="1FAB50FF" w14:textId="77777777" w:rsidR="006A7BF9" w:rsidRPr="00065508" w:rsidRDefault="006A7BF9" w:rsidP="00223F64">
            <w:pPr>
              <w:spacing w:before="60" w:after="60"/>
              <w:jc w:val="center"/>
              <w:rPr>
                <w:rFonts w:eastAsia="Calibri" w:cs="Arial"/>
                <w:color w:val="000000"/>
                <w:sz w:val="20"/>
                <w:szCs w:val="20"/>
              </w:rPr>
            </w:pPr>
            <w:r w:rsidRPr="00065508">
              <w:rPr>
                <w:rFonts w:eastAsia="Calibri" w:cs="Arial"/>
                <w:color w:val="000000"/>
                <w:sz w:val="20"/>
                <w:szCs w:val="20"/>
              </w:rPr>
              <w:t>1</w:t>
            </w:r>
          </w:p>
        </w:tc>
        <w:tc>
          <w:tcPr>
            <w:tcW w:w="1508" w:type="pct"/>
            <w:vAlign w:val="center"/>
          </w:tcPr>
          <w:p w14:paraId="0A4F050E" w14:textId="77777777" w:rsidR="006A7BF9" w:rsidRPr="00065508" w:rsidRDefault="006A7BF9" w:rsidP="00223F64">
            <w:pPr>
              <w:spacing w:before="60" w:after="60"/>
              <w:rPr>
                <w:rFonts w:eastAsia="Calibri" w:cs="Arial"/>
                <w:color w:val="000000"/>
                <w:sz w:val="20"/>
                <w:szCs w:val="20"/>
              </w:rPr>
            </w:pPr>
            <w:r w:rsidRPr="00065508">
              <w:rPr>
                <w:rFonts w:eastAsia="Calibri" w:cs="Arial"/>
                <w:color w:val="000000"/>
                <w:sz w:val="20"/>
                <w:szCs w:val="20"/>
              </w:rPr>
              <w:t>16 avril 2026</w:t>
            </w:r>
          </w:p>
        </w:tc>
        <w:tc>
          <w:tcPr>
            <w:tcW w:w="499" w:type="pct"/>
            <w:vAlign w:val="center"/>
          </w:tcPr>
          <w:p w14:paraId="1481A954" w14:textId="77777777" w:rsidR="006A7BF9" w:rsidRPr="00065508" w:rsidRDefault="006A7BF9" w:rsidP="00223F64">
            <w:pPr>
              <w:spacing w:before="60" w:after="60"/>
              <w:ind w:right="170"/>
              <w:jc w:val="right"/>
              <w:rPr>
                <w:rFonts w:eastAsia="Calibri" w:cs="Arial"/>
                <w:color w:val="000000"/>
                <w:sz w:val="20"/>
                <w:szCs w:val="20"/>
              </w:rPr>
            </w:pPr>
            <w:r w:rsidRPr="00065508">
              <w:rPr>
                <w:rFonts w:eastAsia="Calibri" w:cs="Arial"/>
                <w:color w:val="000000"/>
                <w:sz w:val="20"/>
                <w:szCs w:val="20"/>
              </w:rPr>
              <w:t>5</w:t>
            </w:r>
          </w:p>
        </w:tc>
        <w:tc>
          <w:tcPr>
            <w:tcW w:w="499" w:type="pct"/>
            <w:vAlign w:val="center"/>
          </w:tcPr>
          <w:p w14:paraId="4D49BAAE" w14:textId="77777777" w:rsidR="006A7BF9" w:rsidRPr="00065508" w:rsidRDefault="006A7BF9" w:rsidP="00223F64">
            <w:pPr>
              <w:spacing w:before="60" w:after="60"/>
              <w:ind w:right="170"/>
              <w:jc w:val="right"/>
              <w:rPr>
                <w:rFonts w:eastAsia="Calibri" w:cs="Arial"/>
                <w:color w:val="000000"/>
                <w:sz w:val="20"/>
                <w:szCs w:val="20"/>
              </w:rPr>
            </w:pPr>
            <w:r w:rsidRPr="00065508">
              <w:rPr>
                <w:rFonts w:eastAsia="Calibri" w:cs="Arial"/>
                <w:color w:val="000000"/>
                <w:sz w:val="20"/>
                <w:szCs w:val="20"/>
              </w:rPr>
              <w:t>0</w:t>
            </w:r>
          </w:p>
        </w:tc>
        <w:tc>
          <w:tcPr>
            <w:tcW w:w="498" w:type="pct"/>
            <w:vAlign w:val="center"/>
          </w:tcPr>
          <w:p w14:paraId="208B83C6" w14:textId="77777777" w:rsidR="006A7BF9" w:rsidRPr="00065508" w:rsidRDefault="006A7BF9" w:rsidP="00223F64">
            <w:pPr>
              <w:spacing w:before="60" w:after="60"/>
              <w:ind w:right="170"/>
              <w:jc w:val="right"/>
              <w:rPr>
                <w:rFonts w:eastAsia="Calibri" w:cs="Arial"/>
                <w:color w:val="000000"/>
                <w:sz w:val="20"/>
                <w:szCs w:val="20"/>
              </w:rPr>
            </w:pPr>
            <w:r w:rsidRPr="00065508">
              <w:rPr>
                <w:rFonts w:eastAsia="Calibri" w:cs="Arial"/>
                <w:color w:val="000000"/>
                <w:sz w:val="20"/>
                <w:szCs w:val="20"/>
              </w:rPr>
              <w:t>5</w:t>
            </w:r>
          </w:p>
        </w:tc>
      </w:tr>
      <w:tr w:rsidR="006A7BF9" w:rsidRPr="00065508" w14:paraId="4AFD2BFF" w14:textId="77777777" w:rsidTr="00253F1A">
        <w:tc>
          <w:tcPr>
            <w:tcW w:w="674" w:type="pct"/>
            <w:vMerge w:val="restart"/>
            <w:shd w:val="clear" w:color="auto" w:fill="FFFFFF"/>
            <w:vAlign w:val="center"/>
          </w:tcPr>
          <w:p w14:paraId="0F2EF632" w14:textId="755B2036" w:rsidR="006A7BF9" w:rsidRPr="00065508" w:rsidRDefault="006A7BF9" w:rsidP="00223F64">
            <w:pPr>
              <w:spacing w:before="60" w:after="60"/>
              <w:rPr>
                <w:rFonts w:eastAsia="Calibri" w:cs="Arial"/>
                <w:color w:val="000000"/>
                <w:sz w:val="20"/>
                <w:szCs w:val="20"/>
              </w:rPr>
            </w:pPr>
            <w:r w:rsidRPr="00065508">
              <w:rPr>
                <w:rFonts w:eastAsia="Calibri" w:cs="Arial"/>
                <w:color w:val="000000"/>
                <w:sz w:val="20"/>
                <w:szCs w:val="20"/>
              </w:rPr>
              <w:lastRenderedPageBreak/>
              <w:t>SAVA</w:t>
            </w:r>
          </w:p>
        </w:tc>
        <w:tc>
          <w:tcPr>
            <w:tcW w:w="874" w:type="pct"/>
            <w:vMerge w:val="restart"/>
            <w:vAlign w:val="center"/>
          </w:tcPr>
          <w:p w14:paraId="17A79BA2" w14:textId="77777777" w:rsidR="006A7BF9" w:rsidRPr="00065508" w:rsidRDefault="006A7BF9" w:rsidP="00223F64">
            <w:pPr>
              <w:spacing w:before="60" w:after="60"/>
              <w:rPr>
                <w:rFonts w:eastAsia="Calibri" w:cs="Arial"/>
                <w:color w:val="000000"/>
                <w:sz w:val="20"/>
                <w:szCs w:val="20"/>
              </w:rPr>
            </w:pPr>
            <w:r w:rsidRPr="00065508">
              <w:rPr>
                <w:rFonts w:eastAsia="Calibri" w:cs="Arial"/>
                <w:color w:val="000000"/>
                <w:sz w:val="20"/>
                <w:szCs w:val="20"/>
              </w:rPr>
              <w:t>Andapa</w:t>
            </w:r>
          </w:p>
        </w:tc>
        <w:tc>
          <w:tcPr>
            <w:tcW w:w="448" w:type="pct"/>
            <w:vMerge w:val="restart"/>
            <w:vAlign w:val="center"/>
          </w:tcPr>
          <w:p w14:paraId="140A4390" w14:textId="77777777" w:rsidR="006A7BF9" w:rsidRPr="00065508" w:rsidRDefault="006A7BF9" w:rsidP="00223F64">
            <w:pPr>
              <w:spacing w:before="60" w:after="60"/>
              <w:jc w:val="center"/>
              <w:rPr>
                <w:rFonts w:eastAsia="Calibri" w:cs="Arial"/>
                <w:color w:val="000000"/>
                <w:sz w:val="20"/>
                <w:szCs w:val="20"/>
              </w:rPr>
            </w:pPr>
            <w:r w:rsidRPr="00065508">
              <w:rPr>
                <w:rFonts w:eastAsia="Calibri" w:cs="Arial"/>
                <w:color w:val="000000"/>
                <w:sz w:val="20"/>
                <w:szCs w:val="20"/>
              </w:rPr>
              <w:t>9</w:t>
            </w:r>
          </w:p>
        </w:tc>
        <w:tc>
          <w:tcPr>
            <w:tcW w:w="1508" w:type="pct"/>
            <w:vAlign w:val="center"/>
          </w:tcPr>
          <w:p w14:paraId="68CE9725" w14:textId="77777777" w:rsidR="006A7BF9" w:rsidRPr="00065508" w:rsidRDefault="006A7BF9" w:rsidP="00223F64">
            <w:pPr>
              <w:spacing w:before="60" w:after="60"/>
              <w:rPr>
                <w:rFonts w:eastAsia="Calibri" w:cs="Arial"/>
                <w:color w:val="000000"/>
                <w:sz w:val="20"/>
                <w:szCs w:val="20"/>
              </w:rPr>
            </w:pPr>
            <w:r w:rsidRPr="00065508">
              <w:rPr>
                <w:rFonts w:eastAsia="Calibri" w:cs="Arial"/>
                <w:color w:val="000000"/>
                <w:sz w:val="20"/>
                <w:szCs w:val="20"/>
              </w:rPr>
              <w:t>22-23-24 mars 2023 (RN31)</w:t>
            </w:r>
          </w:p>
        </w:tc>
        <w:tc>
          <w:tcPr>
            <w:tcW w:w="499" w:type="pct"/>
            <w:vAlign w:val="center"/>
          </w:tcPr>
          <w:p w14:paraId="58894A3F" w14:textId="77777777" w:rsidR="006A7BF9" w:rsidRPr="00065508" w:rsidRDefault="006A7BF9" w:rsidP="00223F64">
            <w:pPr>
              <w:spacing w:before="60" w:after="60"/>
              <w:ind w:right="170"/>
              <w:jc w:val="right"/>
              <w:rPr>
                <w:rFonts w:eastAsia="Calibri" w:cs="Arial"/>
                <w:color w:val="000000"/>
                <w:sz w:val="20"/>
                <w:szCs w:val="20"/>
              </w:rPr>
            </w:pPr>
            <w:r w:rsidRPr="00065508">
              <w:rPr>
                <w:rFonts w:eastAsia="Calibri" w:cs="Arial"/>
                <w:color w:val="000000"/>
                <w:sz w:val="20"/>
                <w:szCs w:val="20"/>
              </w:rPr>
              <w:t>276</w:t>
            </w:r>
          </w:p>
        </w:tc>
        <w:tc>
          <w:tcPr>
            <w:tcW w:w="499" w:type="pct"/>
            <w:vAlign w:val="center"/>
          </w:tcPr>
          <w:p w14:paraId="25F22AA1" w14:textId="77777777" w:rsidR="006A7BF9" w:rsidRPr="00065508" w:rsidRDefault="006A7BF9" w:rsidP="00223F64">
            <w:pPr>
              <w:spacing w:before="60" w:after="60"/>
              <w:ind w:right="170"/>
              <w:jc w:val="right"/>
              <w:rPr>
                <w:rFonts w:eastAsia="Calibri" w:cs="Arial"/>
                <w:color w:val="000000"/>
                <w:sz w:val="20"/>
                <w:szCs w:val="20"/>
              </w:rPr>
            </w:pPr>
            <w:r w:rsidRPr="00065508">
              <w:rPr>
                <w:rFonts w:eastAsia="Calibri" w:cs="Arial"/>
                <w:color w:val="000000"/>
                <w:sz w:val="20"/>
                <w:szCs w:val="20"/>
              </w:rPr>
              <w:t>105</w:t>
            </w:r>
          </w:p>
        </w:tc>
        <w:tc>
          <w:tcPr>
            <w:tcW w:w="498" w:type="pct"/>
            <w:vAlign w:val="center"/>
          </w:tcPr>
          <w:p w14:paraId="565A30DD" w14:textId="77777777" w:rsidR="006A7BF9" w:rsidRPr="00065508" w:rsidRDefault="006A7BF9" w:rsidP="00223F64">
            <w:pPr>
              <w:spacing w:before="60" w:after="60"/>
              <w:ind w:right="170"/>
              <w:jc w:val="right"/>
              <w:rPr>
                <w:rFonts w:eastAsia="Calibri" w:cs="Arial"/>
                <w:color w:val="000000"/>
                <w:sz w:val="20"/>
                <w:szCs w:val="20"/>
              </w:rPr>
            </w:pPr>
            <w:r w:rsidRPr="00065508">
              <w:rPr>
                <w:rFonts w:eastAsia="Calibri" w:cs="Arial"/>
                <w:color w:val="000000"/>
                <w:sz w:val="20"/>
                <w:szCs w:val="20"/>
              </w:rPr>
              <w:t>381</w:t>
            </w:r>
          </w:p>
        </w:tc>
      </w:tr>
      <w:tr w:rsidR="006A7BF9" w:rsidRPr="00065508" w14:paraId="26DEE4CD" w14:textId="77777777" w:rsidTr="00253F1A">
        <w:tc>
          <w:tcPr>
            <w:tcW w:w="674" w:type="pct"/>
            <w:vMerge/>
            <w:shd w:val="clear" w:color="auto" w:fill="FFFFFF"/>
            <w:vAlign w:val="center"/>
          </w:tcPr>
          <w:p w14:paraId="7FCEA58D" w14:textId="77777777" w:rsidR="006A7BF9" w:rsidRPr="00065508" w:rsidRDefault="006A7BF9" w:rsidP="00223F64">
            <w:pPr>
              <w:spacing w:before="60" w:after="60"/>
              <w:rPr>
                <w:rFonts w:eastAsia="Calibri" w:cs="Arial"/>
                <w:color w:val="000000"/>
                <w:sz w:val="20"/>
                <w:szCs w:val="20"/>
              </w:rPr>
            </w:pPr>
          </w:p>
        </w:tc>
        <w:tc>
          <w:tcPr>
            <w:tcW w:w="874" w:type="pct"/>
            <w:vMerge/>
            <w:vAlign w:val="center"/>
          </w:tcPr>
          <w:p w14:paraId="35B21A38" w14:textId="77777777" w:rsidR="006A7BF9" w:rsidRPr="00065508" w:rsidRDefault="006A7BF9" w:rsidP="00223F64">
            <w:pPr>
              <w:spacing w:before="60" w:after="60"/>
              <w:rPr>
                <w:rFonts w:eastAsia="Calibri" w:cs="Arial"/>
                <w:color w:val="000000"/>
                <w:sz w:val="20"/>
                <w:szCs w:val="20"/>
              </w:rPr>
            </w:pPr>
          </w:p>
        </w:tc>
        <w:tc>
          <w:tcPr>
            <w:tcW w:w="448" w:type="pct"/>
            <w:vMerge/>
            <w:vAlign w:val="center"/>
          </w:tcPr>
          <w:p w14:paraId="0CA4A3E6" w14:textId="77777777" w:rsidR="006A7BF9" w:rsidRPr="00065508" w:rsidRDefault="006A7BF9" w:rsidP="00223F64">
            <w:pPr>
              <w:spacing w:before="60" w:after="60"/>
              <w:jc w:val="center"/>
              <w:rPr>
                <w:rFonts w:eastAsia="Calibri" w:cs="Arial"/>
                <w:color w:val="000000"/>
                <w:sz w:val="20"/>
                <w:szCs w:val="20"/>
              </w:rPr>
            </w:pPr>
          </w:p>
        </w:tc>
        <w:tc>
          <w:tcPr>
            <w:tcW w:w="1508" w:type="pct"/>
            <w:vAlign w:val="center"/>
          </w:tcPr>
          <w:p w14:paraId="233061F5" w14:textId="77777777" w:rsidR="006A7BF9" w:rsidRPr="00065508" w:rsidRDefault="006A7BF9" w:rsidP="00223F64">
            <w:pPr>
              <w:spacing w:before="60" w:after="60"/>
              <w:rPr>
                <w:rFonts w:eastAsia="Calibri" w:cs="Arial"/>
                <w:color w:val="000000"/>
                <w:sz w:val="20"/>
                <w:szCs w:val="20"/>
              </w:rPr>
            </w:pPr>
            <w:r w:rsidRPr="00065508">
              <w:rPr>
                <w:rFonts w:eastAsia="Calibri" w:cs="Arial"/>
                <w:color w:val="000000"/>
                <w:sz w:val="20"/>
                <w:szCs w:val="20"/>
              </w:rPr>
              <w:t>22-23 avril 2023 (RN3B)</w:t>
            </w:r>
          </w:p>
        </w:tc>
        <w:tc>
          <w:tcPr>
            <w:tcW w:w="499" w:type="pct"/>
            <w:vAlign w:val="center"/>
          </w:tcPr>
          <w:p w14:paraId="122ABEB6" w14:textId="77777777" w:rsidR="006A7BF9" w:rsidRPr="00065508" w:rsidRDefault="006A7BF9" w:rsidP="00223F64">
            <w:pPr>
              <w:spacing w:before="60" w:after="60"/>
              <w:ind w:right="170"/>
              <w:jc w:val="right"/>
              <w:rPr>
                <w:rFonts w:eastAsia="Calibri" w:cs="Arial"/>
                <w:color w:val="000000"/>
                <w:sz w:val="20"/>
                <w:szCs w:val="20"/>
              </w:rPr>
            </w:pPr>
            <w:r w:rsidRPr="00065508">
              <w:rPr>
                <w:rFonts w:eastAsia="Calibri" w:cs="Arial"/>
                <w:color w:val="000000"/>
                <w:sz w:val="20"/>
                <w:szCs w:val="20"/>
              </w:rPr>
              <w:t>187</w:t>
            </w:r>
          </w:p>
        </w:tc>
        <w:tc>
          <w:tcPr>
            <w:tcW w:w="499" w:type="pct"/>
            <w:vAlign w:val="center"/>
          </w:tcPr>
          <w:p w14:paraId="0CE30345" w14:textId="77777777" w:rsidR="006A7BF9" w:rsidRPr="00065508" w:rsidRDefault="006A7BF9" w:rsidP="00223F64">
            <w:pPr>
              <w:spacing w:before="60" w:after="60"/>
              <w:ind w:right="170"/>
              <w:jc w:val="right"/>
              <w:rPr>
                <w:rFonts w:eastAsia="Calibri" w:cs="Arial"/>
                <w:color w:val="000000"/>
                <w:sz w:val="20"/>
                <w:szCs w:val="20"/>
              </w:rPr>
            </w:pPr>
            <w:r w:rsidRPr="00065508">
              <w:rPr>
                <w:rFonts w:eastAsia="Calibri" w:cs="Arial"/>
                <w:color w:val="000000"/>
                <w:sz w:val="20"/>
                <w:szCs w:val="20"/>
              </w:rPr>
              <w:t>60</w:t>
            </w:r>
          </w:p>
        </w:tc>
        <w:tc>
          <w:tcPr>
            <w:tcW w:w="498" w:type="pct"/>
            <w:vAlign w:val="center"/>
          </w:tcPr>
          <w:p w14:paraId="7C01158D" w14:textId="77777777" w:rsidR="006A7BF9" w:rsidRPr="00065508" w:rsidRDefault="006A7BF9" w:rsidP="00223F64">
            <w:pPr>
              <w:spacing w:before="60" w:after="60"/>
              <w:ind w:right="170"/>
              <w:jc w:val="right"/>
              <w:rPr>
                <w:rFonts w:eastAsia="Calibri" w:cs="Arial"/>
                <w:color w:val="000000"/>
                <w:sz w:val="20"/>
                <w:szCs w:val="20"/>
              </w:rPr>
            </w:pPr>
            <w:r w:rsidRPr="00065508">
              <w:rPr>
                <w:rFonts w:eastAsia="Calibri" w:cs="Arial"/>
                <w:color w:val="000000"/>
                <w:sz w:val="20"/>
                <w:szCs w:val="20"/>
              </w:rPr>
              <w:t>247</w:t>
            </w:r>
          </w:p>
        </w:tc>
      </w:tr>
      <w:tr w:rsidR="006A7BF9" w:rsidRPr="00065508" w14:paraId="601D0342" w14:textId="77777777" w:rsidTr="00253F1A">
        <w:tc>
          <w:tcPr>
            <w:tcW w:w="674" w:type="pct"/>
            <w:vMerge/>
            <w:shd w:val="clear" w:color="auto" w:fill="FFFFFF"/>
            <w:vAlign w:val="center"/>
          </w:tcPr>
          <w:p w14:paraId="5A2E53A7" w14:textId="77777777" w:rsidR="006A7BF9" w:rsidRPr="00065508" w:rsidRDefault="006A7BF9" w:rsidP="00223F64">
            <w:pPr>
              <w:spacing w:before="60" w:after="60"/>
              <w:rPr>
                <w:rFonts w:eastAsia="Calibri" w:cs="Arial"/>
                <w:color w:val="000000"/>
                <w:sz w:val="20"/>
                <w:szCs w:val="20"/>
              </w:rPr>
            </w:pPr>
          </w:p>
        </w:tc>
        <w:tc>
          <w:tcPr>
            <w:tcW w:w="874" w:type="pct"/>
            <w:vAlign w:val="center"/>
          </w:tcPr>
          <w:p w14:paraId="3E4C1A9D" w14:textId="77777777" w:rsidR="006A7BF9" w:rsidRPr="00065508" w:rsidRDefault="006A7BF9" w:rsidP="00223F64">
            <w:pPr>
              <w:spacing w:before="60" w:after="60"/>
              <w:rPr>
                <w:rFonts w:eastAsia="Calibri" w:cs="Arial"/>
                <w:color w:val="000000"/>
                <w:sz w:val="20"/>
                <w:szCs w:val="20"/>
              </w:rPr>
            </w:pPr>
            <w:r w:rsidRPr="00065508">
              <w:rPr>
                <w:rFonts w:eastAsia="Calibri" w:cs="Arial"/>
                <w:color w:val="000000"/>
                <w:sz w:val="20"/>
                <w:szCs w:val="20"/>
              </w:rPr>
              <w:t>Sambava</w:t>
            </w:r>
          </w:p>
        </w:tc>
        <w:tc>
          <w:tcPr>
            <w:tcW w:w="448" w:type="pct"/>
            <w:vAlign w:val="center"/>
          </w:tcPr>
          <w:p w14:paraId="08A5D6ED" w14:textId="77777777" w:rsidR="006A7BF9" w:rsidRPr="00065508" w:rsidRDefault="006A7BF9" w:rsidP="00223F64">
            <w:pPr>
              <w:spacing w:before="60" w:after="60"/>
              <w:jc w:val="center"/>
              <w:rPr>
                <w:rFonts w:eastAsia="Calibri" w:cs="Arial"/>
                <w:color w:val="000000"/>
                <w:sz w:val="20"/>
                <w:szCs w:val="20"/>
              </w:rPr>
            </w:pPr>
            <w:r w:rsidRPr="00065508">
              <w:rPr>
                <w:rFonts w:eastAsia="Calibri" w:cs="Arial"/>
                <w:color w:val="000000"/>
                <w:sz w:val="20"/>
                <w:szCs w:val="20"/>
              </w:rPr>
              <w:t>4</w:t>
            </w:r>
          </w:p>
        </w:tc>
        <w:tc>
          <w:tcPr>
            <w:tcW w:w="1508" w:type="pct"/>
            <w:vAlign w:val="center"/>
          </w:tcPr>
          <w:p w14:paraId="5D32E610" w14:textId="77777777" w:rsidR="006A7BF9" w:rsidRPr="00065508" w:rsidRDefault="006A7BF9" w:rsidP="00223F64">
            <w:pPr>
              <w:spacing w:before="60" w:after="60"/>
              <w:rPr>
                <w:rFonts w:eastAsia="Calibri" w:cs="Arial"/>
                <w:color w:val="000000"/>
                <w:sz w:val="20"/>
                <w:szCs w:val="20"/>
              </w:rPr>
            </w:pPr>
            <w:r w:rsidRPr="00065508">
              <w:rPr>
                <w:rFonts w:eastAsia="Calibri" w:cs="Arial"/>
                <w:color w:val="000000"/>
                <w:sz w:val="20"/>
                <w:szCs w:val="20"/>
              </w:rPr>
              <w:t>22 -23 avril 2023</w:t>
            </w:r>
          </w:p>
        </w:tc>
        <w:tc>
          <w:tcPr>
            <w:tcW w:w="499" w:type="pct"/>
            <w:vAlign w:val="center"/>
          </w:tcPr>
          <w:p w14:paraId="04B0D4D9" w14:textId="77777777" w:rsidR="006A7BF9" w:rsidRPr="00065508" w:rsidRDefault="006A7BF9" w:rsidP="00223F64">
            <w:pPr>
              <w:spacing w:before="60" w:after="60"/>
              <w:ind w:right="170"/>
              <w:jc w:val="right"/>
              <w:rPr>
                <w:rFonts w:eastAsia="Calibri" w:cs="Arial"/>
                <w:color w:val="000000"/>
                <w:sz w:val="20"/>
                <w:szCs w:val="20"/>
              </w:rPr>
            </w:pPr>
            <w:r w:rsidRPr="00065508">
              <w:rPr>
                <w:rFonts w:eastAsia="Calibri" w:cs="Arial"/>
                <w:color w:val="000000"/>
                <w:sz w:val="20"/>
                <w:szCs w:val="20"/>
              </w:rPr>
              <w:t>114</w:t>
            </w:r>
          </w:p>
        </w:tc>
        <w:tc>
          <w:tcPr>
            <w:tcW w:w="499" w:type="pct"/>
            <w:vAlign w:val="center"/>
          </w:tcPr>
          <w:p w14:paraId="0EE244EE" w14:textId="77777777" w:rsidR="006A7BF9" w:rsidRPr="00065508" w:rsidRDefault="006A7BF9" w:rsidP="00223F64">
            <w:pPr>
              <w:spacing w:before="60" w:after="60"/>
              <w:ind w:right="170"/>
              <w:jc w:val="right"/>
              <w:rPr>
                <w:rFonts w:eastAsia="Calibri" w:cs="Arial"/>
                <w:color w:val="000000"/>
                <w:sz w:val="20"/>
                <w:szCs w:val="20"/>
              </w:rPr>
            </w:pPr>
            <w:r w:rsidRPr="00065508">
              <w:rPr>
                <w:rFonts w:eastAsia="Calibri" w:cs="Arial"/>
                <w:color w:val="000000"/>
                <w:sz w:val="20"/>
                <w:szCs w:val="20"/>
              </w:rPr>
              <w:t>32</w:t>
            </w:r>
          </w:p>
        </w:tc>
        <w:tc>
          <w:tcPr>
            <w:tcW w:w="498" w:type="pct"/>
            <w:vAlign w:val="center"/>
          </w:tcPr>
          <w:p w14:paraId="197B0580" w14:textId="77777777" w:rsidR="006A7BF9" w:rsidRPr="00065508" w:rsidRDefault="006A7BF9" w:rsidP="00223F64">
            <w:pPr>
              <w:spacing w:before="60" w:after="60"/>
              <w:ind w:right="170"/>
              <w:jc w:val="right"/>
              <w:rPr>
                <w:rFonts w:eastAsia="Calibri" w:cs="Arial"/>
                <w:color w:val="000000"/>
                <w:sz w:val="20"/>
                <w:szCs w:val="20"/>
              </w:rPr>
            </w:pPr>
            <w:r w:rsidRPr="00065508">
              <w:rPr>
                <w:rFonts w:eastAsia="Calibri" w:cs="Arial"/>
                <w:color w:val="000000"/>
                <w:sz w:val="20"/>
                <w:szCs w:val="20"/>
              </w:rPr>
              <w:t>146</w:t>
            </w:r>
          </w:p>
        </w:tc>
      </w:tr>
      <w:tr w:rsidR="006A7BF9" w:rsidRPr="00065508" w14:paraId="4B13156F" w14:textId="77777777" w:rsidTr="00253F1A">
        <w:tc>
          <w:tcPr>
            <w:tcW w:w="674" w:type="pct"/>
            <w:tcBorders>
              <w:bottom w:val="single" w:sz="4" w:space="0" w:color="auto"/>
            </w:tcBorders>
            <w:shd w:val="clear" w:color="auto" w:fill="FFFFFF"/>
            <w:vAlign w:val="center"/>
          </w:tcPr>
          <w:p w14:paraId="441B2876" w14:textId="337CFE54" w:rsidR="006A7BF9" w:rsidRPr="00065508" w:rsidRDefault="006A7BF9" w:rsidP="00223F64">
            <w:pPr>
              <w:spacing w:before="60" w:after="60"/>
              <w:rPr>
                <w:rFonts w:eastAsia="Calibri" w:cs="Arial"/>
                <w:color w:val="000000"/>
                <w:sz w:val="20"/>
                <w:szCs w:val="20"/>
              </w:rPr>
            </w:pPr>
            <w:r w:rsidRPr="00065508">
              <w:rPr>
                <w:rFonts w:eastAsia="Calibri" w:cs="Arial"/>
                <w:color w:val="000000"/>
                <w:sz w:val="20"/>
                <w:szCs w:val="20"/>
              </w:rPr>
              <w:t>Anosy</w:t>
            </w:r>
          </w:p>
        </w:tc>
        <w:tc>
          <w:tcPr>
            <w:tcW w:w="874" w:type="pct"/>
            <w:tcBorders>
              <w:bottom w:val="single" w:sz="4" w:space="0" w:color="auto"/>
            </w:tcBorders>
            <w:vAlign w:val="center"/>
          </w:tcPr>
          <w:p w14:paraId="60EC13A0" w14:textId="77777777" w:rsidR="006A7BF9" w:rsidRPr="00065508" w:rsidRDefault="006A7BF9" w:rsidP="00223F64">
            <w:pPr>
              <w:spacing w:before="60" w:after="60"/>
              <w:rPr>
                <w:rFonts w:eastAsia="Calibri" w:cs="Arial"/>
                <w:color w:val="000000"/>
                <w:sz w:val="20"/>
                <w:szCs w:val="20"/>
              </w:rPr>
            </w:pPr>
            <w:r w:rsidRPr="00065508">
              <w:rPr>
                <w:rFonts w:eastAsia="Calibri" w:cs="Arial"/>
                <w:color w:val="000000"/>
                <w:sz w:val="20"/>
                <w:szCs w:val="20"/>
              </w:rPr>
              <w:t>Betroka</w:t>
            </w:r>
          </w:p>
        </w:tc>
        <w:tc>
          <w:tcPr>
            <w:tcW w:w="448" w:type="pct"/>
            <w:tcBorders>
              <w:bottom w:val="single" w:sz="4" w:space="0" w:color="auto"/>
            </w:tcBorders>
            <w:vAlign w:val="center"/>
          </w:tcPr>
          <w:p w14:paraId="5BB9DC61" w14:textId="77777777" w:rsidR="006A7BF9" w:rsidRPr="00065508" w:rsidRDefault="006A7BF9" w:rsidP="00223F64">
            <w:pPr>
              <w:spacing w:before="60" w:after="60"/>
              <w:jc w:val="center"/>
              <w:rPr>
                <w:rFonts w:eastAsia="Calibri" w:cs="Arial"/>
                <w:color w:val="000000"/>
                <w:sz w:val="20"/>
                <w:szCs w:val="20"/>
              </w:rPr>
            </w:pPr>
            <w:r w:rsidRPr="00065508">
              <w:rPr>
                <w:rFonts w:eastAsia="Calibri" w:cs="Arial"/>
                <w:color w:val="000000"/>
                <w:sz w:val="20"/>
                <w:szCs w:val="20"/>
              </w:rPr>
              <w:t>1</w:t>
            </w:r>
          </w:p>
        </w:tc>
        <w:tc>
          <w:tcPr>
            <w:tcW w:w="1508" w:type="pct"/>
            <w:tcBorders>
              <w:bottom w:val="single" w:sz="4" w:space="0" w:color="auto"/>
            </w:tcBorders>
            <w:vAlign w:val="center"/>
          </w:tcPr>
          <w:p w14:paraId="04486DBA" w14:textId="77777777" w:rsidR="006A7BF9" w:rsidRPr="00065508" w:rsidRDefault="006A7BF9" w:rsidP="00223F64">
            <w:pPr>
              <w:spacing w:before="60" w:after="60"/>
              <w:rPr>
                <w:rFonts w:eastAsia="Calibri" w:cs="Arial"/>
                <w:color w:val="000000"/>
                <w:sz w:val="20"/>
                <w:szCs w:val="20"/>
              </w:rPr>
            </w:pPr>
            <w:r w:rsidRPr="00065508">
              <w:rPr>
                <w:rFonts w:eastAsia="Calibri" w:cs="Arial"/>
                <w:color w:val="000000"/>
                <w:sz w:val="20"/>
                <w:szCs w:val="20"/>
              </w:rPr>
              <w:t>25 mars 2023</w:t>
            </w:r>
          </w:p>
        </w:tc>
        <w:tc>
          <w:tcPr>
            <w:tcW w:w="499" w:type="pct"/>
            <w:tcBorders>
              <w:bottom w:val="single" w:sz="4" w:space="0" w:color="auto"/>
            </w:tcBorders>
            <w:vAlign w:val="center"/>
          </w:tcPr>
          <w:p w14:paraId="69A62F0A" w14:textId="77777777" w:rsidR="006A7BF9" w:rsidRPr="00065508" w:rsidRDefault="006A7BF9" w:rsidP="00223F64">
            <w:pPr>
              <w:spacing w:before="60" w:after="60"/>
              <w:ind w:right="170"/>
              <w:jc w:val="right"/>
              <w:rPr>
                <w:rFonts w:eastAsia="Calibri" w:cs="Arial"/>
                <w:color w:val="000000"/>
                <w:sz w:val="20"/>
                <w:szCs w:val="20"/>
              </w:rPr>
            </w:pPr>
            <w:r w:rsidRPr="00065508">
              <w:rPr>
                <w:rFonts w:eastAsia="Calibri" w:cs="Arial"/>
                <w:color w:val="000000"/>
                <w:sz w:val="20"/>
                <w:szCs w:val="20"/>
              </w:rPr>
              <w:t>21</w:t>
            </w:r>
          </w:p>
        </w:tc>
        <w:tc>
          <w:tcPr>
            <w:tcW w:w="499" w:type="pct"/>
            <w:tcBorders>
              <w:bottom w:val="single" w:sz="4" w:space="0" w:color="auto"/>
            </w:tcBorders>
            <w:vAlign w:val="center"/>
          </w:tcPr>
          <w:p w14:paraId="276794DC" w14:textId="77777777" w:rsidR="006A7BF9" w:rsidRPr="00065508" w:rsidRDefault="006A7BF9" w:rsidP="00223F64">
            <w:pPr>
              <w:spacing w:before="60" w:after="60"/>
              <w:ind w:right="170"/>
              <w:jc w:val="right"/>
              <w:rPr>
                <w:rFonts w:eastAsia="Calibri" w:cs="Arial"/>
                <w:color w:val="000000"/>
                <w:sz w:val="20"/>
                <w:szCs w:val="20"/>
              </w:rPr>
            </w:pPr>
            <w:r w:rsidRPr="00065508">
              <w:rPr>
                <w:rFonts w:eastAsia="Calibri" w:cs="Arial"/>
                <w:color w:val="000000"/>
                <w:sz w:val="20"/>
                <w:szCs w:val="20"/>
              </w:rPr>
              <w:t>3</w:t>
            </w:r>
          </w:p>
        </w:tc>
        <w:tc>
          <w:tcPr>
            <w:tcW w:w="498" w:type="pct"/>
            <w:tcBorders>
              <w:bottom w:val="single" w:sz="4" w:space="0" w:color="auto"/>
            </w:tcBorders>
            <w:vAlign w:val="center"/>
          </w:tcPr>
          <w:p w14:paraId="4BC689EC" w14:textId="77777777" w:rsidR="006A7BF9" w:rsidRPr="00065508" w:rsidRDefault="006A7BF9" w:rsidP="00223F64">
            <w:pPr>
              <w:spacing w:before="60" w:after="60"/>
              <w:ind w:right="170"/>
              <w:jc w:val="right"/>
              <w:rPr>
                <w:rFonts w:eastAsia="Calibri" w:cs="Arial"/>
                <w:color w:val="000000"/>
                <w:sz w:val="20"/>
                <w:szCs w:val="20"/>
              </w:rPr>
            </w:pPr>
            <w:r w:rsidRPr="00065508">
              <w:rPr>
                <w:rFonts w:eastAsia="Calibri" w:cs="Arial"/>
                <w:color w:val="000000"/>
                <w:sz w:val="20"/>
                <w:szCs w:val="20"/>
              </w:rPr>
              <w:t>24</w:t>
            </w:r>
          </w:p>
        </w:tc>
      </w:tr>
      <w:tr w:rsidR="006A7BF9" w:rsidRPr="00065508" w14:paraId="364B7A68" w14:textId="77777777" w:rsidTr="00253F1A">
        <w:tc>
          <w:tcPr>
            <w:tcW w:w="674" w:type="pct"/>
            <w:tcBorders>
              <w:bottom w:val="single" w:sz="4" w:space="0" w:color="auto"/>
            </w:tcBorders>
            <w:shd w:val="clear" w:color="auto" w:fill="FFFFFF"/>
            <w:vAlign w:val="center"/>
          </w:tcPr>
          <w:p w14:paraId="6D58BF41" w14:textId="23BD273C" w:rsidR="006A7BF9" w:rsidRPr="00065508" w:rsidRDefault="006A7BF9" w:rsidP="00223F64">
            <w:pPr>
              <w:spacing w:before="60" w:after="60"/>
              <w:rPr>
                <w:rFonts w:eastAsia="Calibri" w:cs="Arial"/>
                <w:color w:val="000000"/>
                <w:sz w:val="20"/>
                <w:szCs w:val="20"/>
              </w:rPr>
            </w:pPr>
            <w:r w:rsidRPr="00065508">
              <w:rPr>
                <w:rFonts w:eastAsia="Calibri" w:cs="Arial"/>
                <w:color w:val="000000"/>
                <w:sz w:val="20"/>
                <w:szCs w:val="20"/>
              </w:rPr>
              <w:t>Atsimo Andrefana</w:t>
            </w:r>
          </w:p>
        </w:tc>
        <w:tc>
          <w:tcPr>
            <w:tcW w:w="874" w:type="pct"/>
            <w:tcBorders>
              <w:bottom w:val="single" w:sz="4" w:space="0" w:color="auto"/>
            </w:tcBorders>
            <w:vAlign w:val="center"/>
          </w:tcPr>
          <w:p w14:paraId="00AE0060" w14:textId="77777777" w:rsidR="006A7BF9" w:rsidRPr="00065508" w:rsidRDefault="006A7BF9" w:rsidP="00223F64">
            <w:pPr>
              <w:spacing w:before="60" w:after="60"/>
              <w:rPr>
                <w:rFonts w:eastAsia="Calibri" w:cs="Arial"/>
                <w:color w:val="000000"/>
                <w:sz w:val="20"/>
                <w:szCs w:val="20"/>
              </w:rPr>
            </w:pPr>
            <w:r w:rsidRPr="00065508">
              <w:rPr>
                <w:rFonts w:eastAsia="Calibri" w:cs="Arial"/>
                <w:color w:val="000000"/>
                <w:sz w:val="20"/>
                <w:szCs w:val="20"/>
              </w:rPr>
              <w:t>Toliara</w:t>
            </w:r>
          </w:p>
        </w:tc>
        <w:tc>
          <w:tcPr>
            <w:tcW w:w="448" w:type="pct"/>
            <w:tcBorders>
              <w:bottom w:val="single" w:sz="4" w:space="0" w:color="auto"/>
            </w:tcBorders>
            <w:vAlign w:val="center"/>
          </w:tcPr>
          <w:p w14:paraId="2E511BBF" w14:textId="77777777" w:rsidR="006A7BF9" w:rsidRPr="00065508" w:rsidRDefault="006A7BF9" w:rsidP="00223F64">
            <w:pPr>
              <w:spacing w:before="60" w:after="60"/>
              <w:jc w:val="center"/>
              <w:rPr>
                <w:rFonts w:eastAsia="Calibri" w:cs="Arial"/>
                <w:color w:val="000000"/>
                <w:sz w:val="20"/>
                <w:szCs w:val="20"/>
              </w:rPr>
            </w:pPr>
            <w:r w:rsidRPr="00065508">
              <w:rPr>
                <w:rFonts w:eastAsia="Calibri" w:cs="Arial"/>
                <w:color w:val="000000"/>
                <w:sz w:val="20"/>
                <w:szCs w:val="20"/>
              </w:rPr>
              <w:t>1</w:t>
            </w:r>
          </w:p>
        </w:tc>
        <w:tc>
          <w:tcPr>
            <w:tcW w:w="1508" w:type="pct"/>
            <w:tcBorders>
              <w:bottom w:val="single" w:sz="4" w:space="0" w:color="auto"/>
            </w:tcBorders>
            <w:vAlign w:val="center"/>
          </w:tcPr>
          <w:p w14:paraId="78A2430E" w14:textId="77777777" w:rsidR="006A7BF9" w:rsidRPr="00065508" w:rsidRDefault="006A7BF9" w:rsidP="00223F64">
            <w:pPr>
              <w:spacing w:before="60" w:after="60"/>
              <w:rPr>
                <w:rFonts w:eastAsia="Calibri" w:cs="Arial"/>
                <w:color w:val="000000"/>
                <w:sz w:val="20"/>
                <w:szCs w:val="20"/>
              </w:rPr>
            </w:pPr>
            <w:r w:rsidRPr="00065508">
              <w:rPr>
                <w:rFonts w:eastAsia="Calibri" w:cs="Arial"/>
                <w:color w:val="000000"/>
                <w:sz w:val="20"/>
                <w:szCs w:val="20"/>
              </w:rPr>
              <w:t>04 mai 2026</w:t>
            </w:r>
          </w:p>
        </w:tc>
        <w:tc>
          <w:tcPr>
            <w:tcW w:w="499" w:type="pct"/>
            <w:tcBorders>
              <w:bottom w:val="single" w:sz="4" w:space="0" w:color="auto"/>
            </w:tcBorders>
            <w:vAlign w:val="center"/>
          </w:tcPr>
          <w:p w14:paraId="03F35F2C" w14:textId="77777777" w:rsidR="006A7BF9" w:rsidRPr="00065508" w:rsidRDefault="006A7BF9" w:rsidP="00223F64">
            <w:pPr>
              <w:spacing w:before="60" w:after="60"/>
              <w:ind w:right="170"/>
              <w:jc w:val="right"/>
              <w:rPr>
                <w:rFonts w:eastAsia="Calibri" w:cs="Arial"/>
                <w:color w:val="000000"/>
                <w:sz w:val="20"/>
                <w:szCs w:val="20"/>
              </w:rPr>
            </w:pPr>
            <w:r w:rsidRPr="00065508">
              <w:rPr>
                <w:rFonts w:eastAsia="Calibri" w:cs="Arial"/>
                <w:color w:val="000000"/>
                <w:sz w:val="20"/>
                <w:szCs w:val="20"/>
              </w:rPr>
              <w:t>6</w:t>
            </w:r>
          </w:p>
        </w:tc>
        <w:tc>
          <w:tcPr>
            <w:tcW w:w="499" w:type="pct"/>
            <w:tcBorders>
              <w:bottom w:val="single" w:sz="4" w:space="0" w:color="auto"/>
            </w:tcBorders>
            <w:vAlign w:val="center"/>
          </w:tcPr>
          <w:p w14:paraId="2A96C638" w14:textId="77777777" w:rsidR="006A7BF9" w:rsidRPr="00065508" w:rsidRDefault="006A7BF9" w:rsidP="00223F64">
            <w:pPr>
              <w:spacing w:before="60" w:after="60"/>
              <w:ind w:right="170"/>
              <w:jc w:val="right"/>
              <w:rPr>
                <w:rFonts w:eastAsia="Calibri" w:cs="Arial"/>
                <w:color w:val="000000"/>
                <w:sz w:val="20"/>
                <w:szCs w:val="20"/>
              </w:rPr>
            </w:pPr>
            <w:r w:rsidRPr="00065508">
              <w:rPr>
                <w:rFonts w:eastAsia="Calibri" w:cs="Arial"/>
                <w:color w:val="000000"/>
                <w:sz w:val="20"/>
                <w:szCs w:val="20"/>
              </w:rPr>
              <w:t>0</w:t>
            </w:r>
          </w:p>
        </w:tc>
        <w:tc>
          <w:tcPr>
            <w:tcW w:w="498" w:type="pct"/>
            <w:tcBorders>
              <w:bottom w:val="single" w:sz="4" w:space="0" w:color="auto"/>
            </w:tcBorders>
            <w:vAlign w:val="center"/>
          </w:tcPr>
          <w:p w14:paraId="753F24C3" w14:textId="77777777" w:rsidR="006A7BF9" w:rsidRPr="00065508" w:rsidRDefault="006A7BF9" w:rsidP="00223F64">
            <w:pPr>
              <w:spacing w:before="60" w:after="60"/>
              <w:ind w:right="170"/>
              <w:jc w:val="right"/>
              <w:rPr>
                <w:rFonts w:eastAsia="Calibri" w:cs="Arial"/>
                <w:color w:val="000000"/>
                <w:sz w:val="20"/>
                <w:szCs w:val="20"/>
              </w:rPr>
            </w:pPr>
            <w:r w:rsidRPr="00065508">
              <w:rPr>
                <w:rFonts w:eastAsia="Calibri" w:cs="Arial"/>
                <w:color w:val="000000"/>
                <w:sz w:val="20"/>
                <w:szCs w:val="20"/>
              </w:rPr>
              <w:t>6</w:t>
            </w:r>
          </w:p>
        </w:tc>
      </w:tr>
    </w:tbl>
    <w:tbl>
      <w:tblPr>
        <w:tblStyle w:val="TableGrid"/>
        <w:tblW w:w="5000" w:type="pct"/>
        <w:tblLayout w:type="fixed"/>
        <w:tblLook w:val="04A0" w:firstRow="1" w:lastRow="0" w:firstColumn="1" w:lastColumn="0" w:noHBand="0" w:noVBand="1"/>
      </w:tblPr>
      <w:tblGrid>
        <w:gridCol w:w="6318"/>
        <w:gridCol w:w="915"/>
        <w:gridCol w:w="915"/>
        <w:gridCol w:w="913"/>
      </w:tblGrid>
      <w:tr w:rsidR="006A7BF9" w:rsidRPr="00065508" w14:paraId="48EA10EA" w14:textId="77777777" w:rsidTr="00D42025">
        <w:tc>
          <w:tcPr>
            <w:tcW w:w="3486" w:type="pct"/>
            <w:tcBorders>
              <w:bottom w:val="single" w:sz="4" w:space="0" w:color="auto"/>
            </w:tcBorders>
            <w:vAlign w:val="center"/>
          </w:tcPr>
          <w:p w14:paraId="44E2FDAD" w14:textId="77777777" w:rsidR="006A7BF9" w:rsidRPr="00065508" w:rsidRDefault="006A7BF9" w:rsidP="00223F64">
            <w:pPr>
              <w:spacing w:before="60" w:after="60"/>
              <w:jc w:val="center"/>
              <w:rPr>
                <w:rFonts w:eastAsia="Calibri" w:cs="Arial"/>
                <w:b/>
                <w:bCs/>
                <w:color w:val="000000"/>
                <w:sz w:val="20"/>
                <w:szCs w:val="20"/>
              </w:rPr>
            </w:pPr>
            <w:r w:rsidRPr="00065508">
              <w:rPr>
                <w:rFonts w:eastAsia="Calibri" w:cs="Arial"/>
                <w:b/>
                <w:bCs/>
                <w:color w:val="000000"/>
                <w:sz w:val="20"/>
                <w:szCs w:val="20"/>
              </w:rPr>
              <w:t>TOTAL</w:t>
            </w:r>
          </w:p>
        </w:tc>
        <w:tc>
          <w:tcPr>
            <w:tcW w:w="505" w:type="pct"/>
            <w:tcBorders>
              <w:bottom w:val="single" w:sz="4" w:space="0" w:color="auto"/>
            </w:tcBorders>
            <w:vAlign w:val="center"/>
          </w:tcPr>
          <w:p w14:paraId="532AAC50" w14:textId="77777777" w:rsidR="006A7BF9" w:rsidRPr="00065508" w:rsidRDefault="006A7BF9" w:rsidP="00223F64">
            <w:pPr>
              <w:spacing w:before="60" w:after="60"/>
              <w:jc w:val="center"/>
              <w:rPr>
                <w:rFonts w:eastAsia="Calibri" w:cs="Arial"/>
                <w:b/>
                <w:bCs/>
                <w:color w:val="000000"/>
                <w:sz w:val="20"/>
                <w:szCs w:val="20"/>
              </w:rPr>
            </w:pPr>
            <w:r w:rsidRPr="00065508">
              <w:rPr>
                <w:rFonts w:eastAsia="Calibri" w:cs="Arial"/>
                <w:b/>
                <w:bCs/>
                <w:color w:val="000000"/>
                <w:sz w:val="20"/>
                <w:szCs w:val="20"/>
              </w:rPr>
              <w:t>752</w:t>
            </w:r>
          </w:p>
        </w:tc>
        <w:tc>
          <w:tcPr>
            <w:tcW w:w="505" w:type="pct"/>
            <w:tcBorders>
              <w:bottom w:val="single" w:sz="4" w:space="0" w:color="auto"/>
            </w:tcBorders>
            <w:vAlign w:val="center"/>
          </w:tcPr>
          <w:p w14:paraId="27216A6E" w14:textId="77777777" w:rsidR="006A7BF9" w:rsidRPr="00065508" w:rsidRDefault="006A7BF9" w:rsidP="00223F64">
            <w:pPr>
              <w:spacing w:before="60" w:after="60"/>
              <w:jc w:val="center"/>
              <w:rPr>
                <w:rFonts w:eastAsia="Calibri" w:cs="Arial"/>
                <w:b/>
                <w:bCs/>
                <w:color w:val="000000"/>
                <w:sz w:val="20"/>
                <w:szCs w:val="20"/>
              </w:rPr>
            </w:pPr>
            <w:r w:rsidRPr="00065508">
              <w:rPr>
                <w:rFonts w:eastAsia="Calibri" w:cs="Arial"/>
                <w:b/>
                <w:bCs/>
                <w:color w:val="000000"/>
                <w:sz w:val="20"/>
                <w:szCs w:val="20"/>
              </w:rPr>
              <w:t>222</w:t>
            </w:r>
          </w:p>
        </w:tc>
        <w:tc>
          <w:tcPr>
            <w:tcW w:w="505" w:type="pct"/>
            <w:tcBorders>
              <w:bottom w:val="single" w:sz="4" w:space="0" w:color="auto"/>
            </w:tcBorders>
            <w:vAlign w:val="center"/>
          </w:tcPr>
          <w:p w14:paraId="47FCD0FB" w14:textId="77777777" w:rsidR="006A7BF9" w:rsidRPr="00065508" w:rsidRDefault="006A7BF9" w:rsidP="00223F64">
            <w:pPr>
              <w:spacing w:before="60" w:after="60"/>
              <w:jc w:val="center"/>
              <w:rPr>
                <w:rFonts w:eastAsia="Calibri" w:cs="Arial"/>
                <w:b/>
                <w:bCs/>
                <w:color w:val="000000"/>
                <w:sz w:val="20"/>
                <w:szCs w:val="20"/>
              </w:rPr>
            </w:pPr>
            <w:r w:rsidRPr="00065508">
              <w:rPr>
                <w:rFonts w:eastAsia="Calibri" w:cs="Arial"/>
                <w:b/>
                <w:bCs/>
                <w:color w:val="000000"/>
                <w:sz w:val="20"/>
                <w:szCs w:val="20"/>
              </w:rPr>
              <w:t>974</w:t>
            </w:r>
          </w:p>
        </w:tc>
      </w:tr>
    </w:tbl>
    <w:p w14:paraId="30B6C498" w14:textId="77777777" w:rsidR="006A7BF9" w:rsidRPr="00D42025" w:rsidRDefault="006A7BF9" w:rsidP="00D42025"/>
    <w:p w14:paraId="30AB953E" w14:textId="5CD4C23D" w:rsidR="00575CDF" w:rsidRPr="00C801A6" w:rsidRDefault="00194657" w:rsidP="00C65572">
      <w:pPr>
        <w:pStyle w:val="Heading3"/>
      </w:pPr>
      <w:bookmarkStart w:id="658" w:name="_Toc71794955"/>
      <w:bookmarkStart w:id="659" w:name="_Toc106320366"/>
      <w:bookmarkStart w:id="660" w:name="_Toc230426071"/>
      <w:r w:rsidRPr="00C801A6">
        <w:t xml:space="preserve">Approche </w:t>
      </w:r>
      <w:bookmarkEnd w:id="658"/>
      <w:r w:rsidRPr="00C801A6">
        <w:t>adoptée</w:t>
      </w:r>
      <w:bookmarkEnd w:id="659"/>
      <w:bookmarkEnd w:id="660"/>
    </w:p>
    <w:p w14:paraId="41893F12" w14:textId="77777777" w:rsidR="00575CDF" w:rsidRPr="00C801A6" w:rsidRDefault="00575CDF" w:rsidP="00575CDF">
      <w:pPr>
        <w:rPr>
          <w:color w:val="auto"/>
        </w:rPr>
      </w:pPr>
      <w:r w:rsidRPr="00C801A6">
        <w:rPr>
          <w:color w:val="auto"/>
        </w:rPr>
        <w:t>Le processus de consultation a été mené en deux étapes :</w:t>
      </w:r>
    </w:p>
    <w:p w14:paraId="49455D52" w14:textId="77777777" w:rsidR="00575CDF" w:rsidRPr="00C801A6" w:rsidRDefault="00575CDF" w:rsidP="00844538">
      <w:pPr>
        <w:pStyle w:val="ListParagraph"/>
        <w:numPr>
          <w:ilvl w:val="0"/>
          <w:numId w:val="49"/>
        </w:numPr>
        <w:spacing w:line="276" w:lineRule="auto"/>
        <w:ind w:left="851" w:hanging="425"/>
        <w:rPr>
          <w:color w:val="auto"/>
        </w:rPr>
      </w:pPr>
      <w:r w:rsidRPr="00C801A6">
        <w:rPr>
          <w:b/>
          <w:color w:val="auto"/>
          <w:u w:val="single"/>
        </w:rPr>
        <w:t>Etape 1 :</w:t>
      </w:r>
      <w:r w:rsidRPr="00C801A6">
        <w:rPr>
          <w:color w:val="auto"/>
        </w:rPr>
        <w:t xml:space="preserve"> Consultation nationale en mode virtuel</w:t>
      </w:r>
    </w:p>
    <w:p w14:paraId="0519ED15" w14:textId="7FBBA422" w:rsidR="00575CDF" w:rsidRPr="00C801A6" w:rsidRDefault="00575CDF" w:rsidP="00575CDF">
      <w:pPr>
        <w:ind w:left="851"/>
        <w:rPr>
          <w:color w:val="auto"/>
        </w:rPr>
      </w:pPr>
      <w:r w:rsidRPr="00C801A6">
        <w:rPr>
          <w:color w:val="auto"/>
        </w:rPr>
        <w:t>Afin de mieux préparer la séance et de pouvoir obtenir des informations à partir des parties prenantes situées dans les Régions, des fiches d’information sur le Projet et les outputs attendus de la séance ont été envoyés préalablement par les responsables du projet PACT aux</w:t>
      </w:r>
      <w:r w:rsidR="003349AF" w:rsidRPr="00C801A6">
        <w:rPr>
          <w:color w:val="auto"/>
        </w:rPr>
        <w:t xml:space="preserve"> </w:t>
      </w:r>
      <w:r w:rsidRPr="00C801A6">
        <w:rPr>
          <w:color w:val="auto"/>
        </w:rPr>
        <w:t>Directions régionales de l’Aménagement du Territoire et des Travaux publics qui les ont diffusés aux parties prenantes régionales / locales.</w:t>
      </w:r>
    </w:p>
    <w:p w14:paraId="4EA8ED62" w14:textId="77777777" w:rsidR="00575CDF" w:rsidRPr="00C801A6" w:rsidRDefault="00575CDF" w:rsidP="00575CDF">
      <w:pPr>
        <w:ind w:left="851"/>
        <w:rPr>
          <w:color w:val="auto"/>
        </w:rPr>
      </w:pPr>
      <w:r w:rsidRPr="00C801A6">
        <w:rPr>
          <w:color w:val="auto"/>
        </w:rPr>
        <w:t>Toutes les 22 Directions régionales y ont participé.</w:t>
      </w:r>
    </w:p>
    <w:p w14:paraId="41A7AFA1" w14:textId="77777777" w:rsidR="00575CDF" w:rsidRPr="00C801A6" w:rsidRDefault="00575CDF" w:rsidP="00844538">
      <w:pPr>
        <w:pStyle w:val="ListParagraph"/>
        <w:numPr>
          <w:ilvl w:val="0"/>
          <w:numId w:val="49"/>
        </w:numPr>
        <w:spacing w:line="276" w:lineRule="auto"/>
        <w:ind w:left="851" w:hanging="425"/>
        <w:rPr>
          <w:color w:val="auto"/>
        </w:rPr>
      </w:pPr>
      <w:r w:rsidRPr="00C801A6">
        <w:rPr>
          <w:b/>
          <w:color w:val="auto"/>
          <w:u w:val="single"/>
        </w:rPr>
        <w:t>Etape 2 :</w:t>
      </w:r>
      <w:r w:rsidRPr="00C801A6">
        <w:rPr>
          <w:color w:val="auto"/>
        </w:rPr>
        <w:t xml:space="preserve"> Entretiens de groupe ou entretiens individuels organisés par les Directions régionales de l’Aménagement du Territoire et des Travaux publics.</w:t>
      </w:r>
    </w:p>
    <w:p w14:paraId="480F64DA" w14:textId="70D39B91" w:rsidR="00575CDF" w:rsidRPr="00C801A6" w:rsidRDefault="00575CDF" w:rsidP="00014BC0">
      <w:pPr>
        <w:pStyle w:val="Heading2"/>
      </w:pPr>
      <w:bookmarkStart w:id="661" w:name="_Toc71794959"/>
      <w:bookmarkStart w:id="662" w:name="_Toc106320371"/>
      <w:bookmarkStart w:id="663" w:name="_Toc230426072"/>
      <w:r w:rsidRPr="00C801A6">
        <w:t xml:space="preserve">ACCEPTABILITE SOCIALE ET INSTITUTIONNELLE DU </w:t>
      </w:r>
      <w:bookmarkEnd w:id="661"/>
      <w:r w:rsidR="00F65186" w:rsidRPr="00C801A6">
        <w:t>P</w:t>
      </w:r>
      <w:bookmarkEnd w:id="662"/>
      <w:r w:rsidR="00EF6D69">
        <w:t>CMCI</w:t>
      </w:r>
      <w:bookmarkEnd w:id="663"/>
    </w:p>
    <w:p w14:paraId="320A1EE3" w14:textId="0BB4F209" w:rsidR="00F65186" w:rsidRPr="00C801A6" w:rsidRDefault="00F65186" w:rsidP="00C65572">
      <w:pPr>
        <w:pStyle w:val="Heading3"/>
      </w:pPr>
      <w:bookmarkStart w:id="664" w:name="_Toc106320372"/>
      <w:bookmarkStart w:id="665" w:name="_Toc230426073"/>
      <w:r w:rsidRPr="00C801A6">
        <w:t>Projet initial</w:t>
      </w:r>
      <w:bookmarkEnd w:id="664"/>
      <w:bookmarkEnd w:id="665"/>
    </w:p>
    <w:p w14:paraId="119CE793" w14:textId="688ADB40" w:rsidR="00575CDF" w:rsidRPr="00C801A6" w:rsidRDefault="00575CDF" w:rsidP="00575CDF">
      <w:pPr>
        <w:rPr>
          <w:color w:val="auto"/>
          <w:szCs w:val="24"/>
        </w:rPr>
      </w:pPr>
      <w:r w:rsidRPr="00C801A6">
        <w:rPr>
          <w:color w:val="auto"/>
          <w:szCs w:val="24"/>
        </w:rPr>
        <w:t>Afin de faciliter la lecture et la compréhension, les informations obtenues ont été synthétisées de la manière suivante :</w:t>
      </w:r>
    </w:p>
    <w:p w14:paraId="4B6CA6DA" w14:textId="77777777" w:rsidR="00575CDF" w:rsidRPr="00C801A6" w:rsidRDefault="00575CDF" w:rsidP="00844538">
      <w:pPr>
        <w:pStyle w:val="ListParagraph"/>
        <w:numPr>
          <w:ilvl w:val="0"/>
          <w:numId w:val="50"/>
        </w:numPr>
        <w:spacing w:before="240" w:line="276" w:lineRule="auto"/>
        <w:ind w:left="850" w:hanging="425"/>
        <w:contextualSpacing w:val="0"/>
        <w:rPr>
          <w:b/>
          <w:color w:val="auto"/>
          <w:szCs w:val="24"/>
        </w:rPr>
      </w:pPr>
      <w:r w:rsidRPr="00C801A6">
        <w:rPr>
          <w:b/>
          <w:color w:val="auto"/>
          <w:szCs w:val="24"/>
        </w:rPr>
        <w:t>Perceptions et préoccupations des parties prenantes sur le Projet</w:t>
      </w:r>
    </w:p>
    <w:p w14:paraId="3D905B6C" w14:textId="77777777" w:rsidR="00EF6D69" w:rsidRPr="00272099" w:rsidRDefault="00EF6D69" w:rsidP="00844538">
      <w:pPr>
        <w:pStyle w:val="ListParagraph"/>
        <w:numPr>
          <w:ilvl w:val="0"/>
          <w:numId w:val="175"/>
        </w:numPr>
        <w:spacing w:after="60" w:line="276" w:lineRule="auto"/>
        <w:ind w:left="1134" w:hanging="425"/>
        <w:contextualSpacing w:val="0"/>
        <w:rPr>
          <w:rFonts w:cs="Arial"/>
        </w:rPr>
      </w:pPr>
      <w:r w:rsidRPr="00272099">
        <w:rPr>
          <w:rFonts w:cs="Arial"/>
        </w:rPr>
        <w:t>Non-respect / méconnaissance du code de la route</w:t>
      </w:r>
    </w:p>
    <w:p w14:paraId="66100A82" w14:textId="77777777" w:rsidR="00EF6D69" w:rsidRPr="00272099" w:rsidRDefault="00EF6D69" w:rsidP="00844538">
      <w:pPr>
        <w:pStyle w:val="ListParagraph"/>
        <w:numPr>
          <w:ilvl w:val="0"/>
          <w:numId w:val="175"/>
        </w:numPr>
        <w:spacing w:after="60" w:line="276" w:lineRule="auto"/>
        <w:ind w:left="1134" w:hanging="425"/>
        <w:contextualSpacing w:val="0"/>
        <w:rPr>
          <w:rFonts w:cs="Arial"/>
        </w:rPr>
      </w:pPr>
      <w:r w:rsidRPr="00272099">
        <w:rPr>
          <w:rFonts w:cs="Arial"/>
        </w:rPr>
        <w:t>Surcharges et surnombre des transports en commun (taxi-brousse)</w:t>
      </w:r>
    </w:p>
    <w:p w14:paraId="107019FC" w14:textId="77777777" w:rsidR="00EF6D69" w:rsidRPr="00272099" w:rsidRDefault="00EF6D69" w:rsidP="00844538">
      <w:pPr>
        <w:pStyle w:val="ListParagraph"/>
        <w:numPr>
          <w:ilvl w:val="0"/>
          <w:numId w:val="175"/>
        </w:numPr>
        <w:spacing w:after="60" w:line="276" w:lineRule="auto"/>
        <w:ind w:left="1134" w:hanging="425"/>
        <w:contextualSpacing w:val="0"/>
        <w:rPr>
          <w:rFonts w:cs="Arial"/>
        </w:rPr>
      </w:pPr>
      <w:r w:rsidRPr="00272099">
        <w:rPr>
          <w:rFonts w:cs="Arial"/>
        </w:rPr>
        <w:t>Insécurité sur la route nationale (attaque à main armée)</w:t>
      </w:r>
    </w:p>
    <w:p w14:paraId="37A19C95" w14:textId="77777777" w:rsidR="00EF6D69" w:rsidRPr="00272099" w:rsidRDefault="00EF6D69" w:rsidP="00844538">
      <w:pPr>
        <w:pStyle w:val="ListParagraph"/>
        <w:numPr>
          <w:ilvl w:val="0"/>
          <w:numId w:val="175"/>
        </w:numPr>
        <w:spacing w:after="60" w:line="276" w:lineRule="auto"/>
        <w:ind w:left="1134" w:hanging="425"/>
        <w:contextualSpacing w:val="0"/>
        <w:rPr>
          <w:rFonts w:cs="Arial"/>
        </w:rPr>
      </w:pPr>
      <w:r w:rsidRPr="00272099">
        <w:rPr>
          <w:rFonts w:cs="Arial"/>
        </w:rPr>
        <w:t>Insuffisance des panneaux de signalisation</w:t>
      </w:r>
    </w:p>
    <w:p w14:paraId="4E00D745" w14:textId="77777777" w:rsidR="00EF6D69" w:rsidRPr="00272099" w:rsidRDefault="00EF6D69" w:rsidP="00844538">
      <w:pPr>
        <w:pStyle w:val="ListParagraph"/>
        <w:numPr>
          <w:ilvl w:val="0"/>
          <w:numId w:val="175"/>
        </w:numPr>
        <w:spacing w:after="60" w:line="276" w:lineRule="auto"/>
        <w:ind w:left="1134" w:hanging="425"/>
        <w:contextualSpacing w:val="0"/>
        <w:rPr>
          <w:rFonts w:cs="Arial"/>
        </w:rPr>
      </w:pPr>
      <w:r w:rsidRPr="00272099">
        <w:rPr>
          <w:rFonts w:cs="Arial"/>
        </w:rPr>
        <w:t>Augmentation d’accidents</w:t>
      </w:r>
    </w:p>
    <w:p w14:paraId="114F556D" w14:textId="77777777" w:rsidR="00EF6D69" w:rsidRPr="00272099" w:rsidRDefault="00EF6D69" w:rsidP="00844538">
      <w:pPr>
        <w:pStyle w:val="ListParagraph"/>
        <w:numPr>
          <w:ilvl w:val="0"/>
          <w:numId w:val="175"/>
        </w:numPr>
        <w:spacing w:after="60" w:line="276" w:lineRule="auto"/>
        <w:ind w:left="1134" w:hanging="425"/>
        <w:contextualSpacing w:val="0"/>
        <w:rPr>
          <w:rFonts w:cs="Arial"/>
        </w:rPr>
      </w:pPr>
      <w:r w:rsidRPr="00272099">
        <w:rPr>
          <w:rFonts w:cs="Arial"/>
        </w:rPr>
        <w:t>Contestation</w:t>
      </w:r>
      <w:r>
        <w:rPr>
          <w:rFonts w:cs="Arial"/>
        </w:rPr>
        <w:t xml:space="preserve"> possible</w:t>
      </w:r>
      <w:r w:rsidRPr="00272099">
        <w:rPr>
          <w:rFonts w:cs="Arial"/>
        </w:rPr>
        <w:t xml:space="preserve"> des riverains</w:t>
      </w:r>
    </w:p>
    <w:p w14:paraId="2B8CE488" w14:textId="77777777" w:rsidR="00EF6D69" w:rsidRPr="00272099" w:rsidRDefault="00EF6D69" w:rsidP="00844538">
      <w:pPr>
        <w:pStyle w:val="ListParagraph"/>
        <w:numPr>
          <w:ilvl w:val="0"/>
          <w:numId w:val="175"/>
        </w:numPr>
        <w:spacing w:after="60" w:line="276" w:lineRule="auto"/>
        <w:ind w:left="1134" w:hanging="425"/>
        <w:contextualSpacing w:val="0"/>
        <w:rPr>
          <w:rFonts w:cs="Arial"/>
        </w:rPr>
      </w:pPr>
      <w:r w:rsidRPr="00272099">
        <w:rPr>
          <w:rFonts w:cs="Arial"/>
        </w:rPr>
        <w:t>Résistance des occupants</w:t>
      </w:r>
    </w:p>
    <w:p w14:paraId="5727F625" w14:textId="77777777" w:rsidR="00EF6D69" w:rsidRPr="00272099" w:rsidRDefault="00EF6D69" w:rsidP="00844538">
      <w:pPr>
        <w:pStyle w:val="ListParagraph"/>
        <w:numPr>
          <w:ilvl w:val="0"/>
          <w:numId w:val="175"/>
        </w:numPr>
        <w:spacing w:after="60" w:line="276" w:lineRule="auto"/>
        <w:ind w:left="1134" w:hanging="425"/>
        <w:contextualSpacing w:val="0"/>
        <w:rPr>
          <w:rFonts w:cs="Arial"/>
        </w:rPr>
      </w:pPr>
      <w:r w:rsidRPr="00272099">
        <w:rPr>
          <w:rFonts w:cs="Arial"/>
        </w:rPr>
        <w:t>Occupation illicite de l’emprise</w:t>
      </w:r>
    </w:p>
    <w:p w14:paraId="331AC0E2" w14:textId="77777777" w:rsidR="00EF6D69" w:rsidRPr="00272099" w:rsidRDefault="00EF6D69" w:rsidP="00844538">
      <w:pPr>
        <w:pStyle w:val="ListParagraph"/>
        <w:numPr>
          <w:ilvl w:val="0"/>
          <w:numId w:val="175"/>
        </w:numPr>
        <w:spacing w:after="60" w:line="276" w:lineRule="auto"/>
        <w:ind w:left="1134" w:hanging="425"/>
        <w:contextualSpacing w:val="0"/>
        <w:rPr>
          <w:rFonts w:cs="Arial"/>
        </w:rPr>
      </w:pPr>
      <w:r>
        <w:rPr>
          <w:rFonts w:cs="Arial"/>
        </w:rPr>
        <w:lastRenderedPageBreak/>
        <w:t>Non</w:t>
      </w:r>
      <w:r w:rsidRPr="00272099">
        <w:rPr>
          <w:rFonts w:cs="Arial"/>
        </w:rPr>
        <w:t xml:space="preserve"> transparence au niveau du recrutement des travailleurs</w:t>
      </w:r>
    </w:p>
    <w:p w14:paraId="246676F8" w14:textId="77777777" w:rsidR="00EF6D69" w:rsidRPr="00272099" w:rsidRDefault="00EF6D69" w:rsidP="00844538">
      <w:pPr>
        <w:pStyle w:val="ListParagraph"/>
        <w:numPr>
          <w:ilvl w:val="0"/>
          <w:numId w:val="175"/>
        </w:numPr>
        <w:spacing w:after="60" w:line="276" w:lineRule="auto"/>
        <w:ind w:left="1134" w:hanging="425"/>
        <w:contextualSpacing w:val="0"/>
        <w:rPr>
          <w:rFonts w:cs="Arial"/>
        </w:rPr>
      </w:pPr>
      <w:r w:rsidRPr="00272099">
        <w:rPr>
          <w:rFonts w:cs="Arial"/>
        </w:rPr>
        <w:t>Discrimination et illégalité des hommes et des femmes pour le recrutement</w:t>
      </w:r>
    </w:p>
    <w:p w14:paraId="09EECBE8" w14:textId="77777777" w:rsidR="00EF6D69" w:rsidRPr="00272099" w:rsidRDefault="00EF6D69" w:rsidP="00844538">
      <w:pPr>
        <w:pStyle w:val="ListParagraph"/>
        <w:numPr>
          <w:ilvl w:val="0"/>
          <w:numId w:val="175"/>
        </w:numPr>
        <w:spacing w:after="60" w:line="276" w:lineRule="auto"/>
        <w:ind w:left="1134" w:hanging="425"/>
        <w:contextualSpacing w:val="0"/>
        <w:rPr>
          <w:rFonts w:cs="Arial"/>
        </w:rPr>
      </w:pPr>
      <w:r w:rsidRPr="00272099">
        <w:rPr>
          <w:rFonts w:cs="Arial"/>
        </w:rPr>
        <w:t>Insuffisance de mains d’œuvre qualifiées</w:t>
      </w:r>
    </w:p>
    <w:p w14:paraId="29114585" w14:textId="72ADB228" w:rsidR="00EF6D69" w:rsidRPr="00272099" w:rsidRDefault="007055EF" w:rsidP="00844538">
      <w:pPr>
        <w:pStyle w:val="ListParagraph"/>
        <w:numPr>
          <w:ilvl w:val="0"/>
          <w:numId w:val="175"/>
        </w:numPr>
        <w:spacing w:after="60" w:line="276" w:lineRule="auto"/>
        <w:ind w:left="1134" w:hanging="425"/>
        <w:contextualSpacing w:val="0"/>
        <w:rPr>
          <w:rFonts w:cs="Arial"/>
        </w:rPr>
      </w:pPr>
      <w:r>
        <w:rPr>
          <w:rFonts w:cs="Arial"/>
        </w:rPr>
        <w:t>N</w:t>
      </w:r>
      <w:r w:rsidRPr="00272099">
        <w:rPr>
          <w:rFonts w:cs="Arial"/>
        </w:rPr>
        <w:t xml:space="preserve">on </w:t>
      </w:r>
      <w:r>
        <w:rPr>
          <w:rFonts w:cs="Arial"/>
        </w:rPr>
        <w:t>-</w:t>
      </w:r>
      <w:r w:rsidR="00EF6D69" w:rsidRPr="00272099">
        <w:rPr>
          <w:rFonts w:cs="Arial"/>
        </w:rPr>
        <w:t xml:space="preserve">paiement des salaires des ouvriers </w:t>
      </w:r>
    </w:p>
    <w:p w14:paraId="16A4C8AD" w14:textId="4000298E" w:rsidR="00EF6D69" w:rsidRPr="00272099" w:rsidRDefault="00EF6D69" w:rsidP="00844538">
      <w:pPr>
        <w:pStyle w:val="ListParagraph"/>
        <w:numPr>
          <w:ilvl w:val="0"/>
          <w:numId w:val="175"/>
        </w:numPr>
        <w:spacing w:after="60" w:line="276" w:lineRule="auto"/>
        <w:ind w:left="1134" w:hanging="425"/>
        <w:contextualSpacing w:val="0"/>
        <w:rPr>
          <w:rFonts w:cs="Arial"/>
        </w:rPr>
      </w:pPr>
      <w:r w:rsidRPr="00272099">
        <w:rPr>
          <w:rFonts w:cs="Arial"/>
        </w:rPr>
        <w:t xml:space="preserve">Insuffisance de l’effectif </w:t>
      </w:r>
      <w:r w:rsidR="007055EF">
        <w:rPr>
          <w:rFonts w:cs="Arial"/>
        </w:rPr>
        <w:t xml:space="preserve">des agents de sécurité ou </w:t>
      </w:r>
      <w:r w:rsidRPr="00272099">
        <w:rPr>
          <w:rFonts w:cs="Arial"/>
        </w:rPr>
        <w:t>des forces de l’ordre</w:t>
      </w:r>
    </w:p>
    <w:p w14:paraId="4AB341A8" w14:textId="77777777" w:rsidR="00EF6D69" w:rsidRPr="00272099" w:rsidRDefault="00EF6D69" w:rsidP="00844538">
      <w:pPr>
        <w:pStyle w:val="ListParagraph"/>
        <w:numPr>
          <w:ilvl w:val="0"/>
          <w:numId w:val="175"/>
        </w:numPr>
        <w:spacing w:after="60" w:line="276" w:lineRule="auto"/>
        <w:ind w:left="1134" w:hanging="425"/>
        <w:contextualSpacing w:val="0"/>
        <w:rPr>
          <w:rFonts w:cs="Arial"/>
        </w:rPr>
      </w:pPr>
      <w:r w:rsidRPr="00272099">
        <w:rPr>
          <w:rFonts w:cs="Arial"/>
        </w:rPr>
        <w:t>Non entretien régulier des RN</w:t>
      </w:r>
    </w:p>
    <w:p w14:paraId="59EA9555" w14:textId="77777777" w:rsidR="00EF6D69" w:rsidRPr="00272099" w:rsidRDefault="00EF6D69" w:rsidP="00844538">
      <w:pPr>
        <w:pStyle w:val="ListParagraph"/>
        <w:numPr>
          <w:ilvl w:val="0"/>
          <w:numId w:val="175"/>
        </w:numPr>
        <w:spacing w:after="60" w:line="276" w:lineRule="auto"/>
        <w:ind w:left="1134" w:hanging="425"/>
        <w:contextualSpacing w:val="0"/>
        <w:rPr>
          <w:rFonts w:cs="Arial"/>
        </w:rPr>
      </w:pPr>
      <w:r w:rsidRPr="00272099">
        <w:rPr>
          <w:rFonts w:cs="Arial"/>
        </w:rPr>
        <w:t>Dégradation évolutive instantanée de la route</w:t>
      </w:r>
    </w:p>
    <w:p w14:paraId="4051FE17" w14:textId="77777777" w:rsidR="00EF6D69" w:rsidRDefault="00EF6D69" w:rsidP="00844538">
      <w:pPr>
        <w:pStyle w:val="ListParagraph"/>
        <w:numPr>
          <w:ilvl w:val="0"/>
          <w:numId w:val="175"/>
        </w:numPr>
        <w:spacing w:after="60" w:line="276" w:lineRule="auto"/>
        <w:ind w:left="1134" w:hanging="425"/>
        <w:contextualSpacing w:val="0"/>
        <w:rPr>
          <w:rFonts w:cs="Arial"/>
        </w:rPr>
      </w:pPr>
      <w:r w:rsidRPr="00272099">
        <w:rPr>
          <w:rFonts w:cs="Arial"/>
        </w:rPr>
        <w:t>Emploi de mineurs</w:t>
      </w:r>
    </w:p>
    <w:p w14:paraId="5DE1E162" w14:textId="3B912FF4" w:rsidR="00EF6D69" w:rsidRPr="00EF6D69" w:rsidRDefault="00EF6D69" w:rsidP="00844538">
      <w:pPr>
        <w:pStyle w:val="ListParagraph"/>
        <w:numPr>
          <w:ilvl w:val="0"/>
          <w:numId w:val="175"/>
        </w:numPr>
        <w:spacing w:after="60" w:line="276" w:lineRule="auto"/>
        <w:ind w:left="1134" w:hanging="425"/>
        <w:contextualSpacing w:val="0"/>
        <w:rPr>
          <w:rFonts w:cs="Arial"/>
        </w:rPr>
      </w:pPr>
      <w:r w:rsidRPr="00EF6D69">
        <w:rPr>
          <w:rFonts w:cs="Arial"/>
        </w:rPr>
        <w:t xml:space="preserve">Risques </w:t>
      </w:r>
      <w:r w:rsidR="006F38A3">
        <w:rPr>
          <w:rFonts w:cs="Arial"/>
        </w:rPr>
        <w:t xml:space="preserve">EAS-HS </w:t>
      </w:r>
    </w:p>
    <w:p w14:paraId="5FD2D125" w14:textId="77777777" w:rsidR="00575CDF" w:rsidRPr="00C801A6" w:rsidRDefault="00575CDF" w:rsidP="00844538">
      <w:pPr>
        <w:pStyle w:val="ListParagraph"/>
        <w:numPr>
          <w:ilvl w:val="0"/>
          <w:numId w:val="50"/>
        </w:numPr>
        <w:spacing w:before="240" w:line="276" w:lineRule="auto"/>
        <w:ind w:left="850" w:hanging="425"/>
        <w:contextualSpacing w:val="0"/>
        <w:rPr>
          <w:b/>
          <w:color w:val="auto"/>
          <w:szCs w:val="24"/>
        </w:rPr>
      </w:pPr>
      <w:r w:rsidRPr="00C801A6">
        <w:rPr>
          <w:b/>
          <w:color w:val="auto"/>
          <w:szCs w:val="24"/>
        </w:rPr>
        <w:t>Attentes</w:t>
      </w:r>
    </w:p>
    <w:p w14:paraId="6B212217" w14:textId="48D09521" w:rsidR="001538D6" w:rsidRPr="00272099" w:rsidRDefault="001538D6" w:rsidP="00844538">
      <w:pPr>
        <w:pStyle w:val="ListParagraph"/>
        <w:numPr>
          <w:ilvl w:val="0"/>
          <w:numId w:val="175"/>
        </w:numPr>
        <w:spacing w:after="60" w:line="276" w:lineRule="auto"/>
        <w:ind w:left="1134" w:hanging="425"/>
        <w:contextualSpacing w:val="0"/>
        <w:rPr>
          <w:rFonts w:cs="Arial"/>
        </w:rPr>
      </w:pPr>
      <w:r w:rsidRPr="00272099">
        <w:rPr>
          <w:rFonts w:cs="Arial"/>
        </w:rPr>
        <w:t>Réalisation effective du projet</w:t>
      </w:r>
    </w:p>
    <w:p w14:paraId="7125CA4F" w14:textId="77777777" w:rsidR="001538D6" w:rsidRPr="00272099" w:rsidRDefault="001538D6" w:rsidP="00844538">
      <w:pPr>
        <w:pStyle w:val="ListParagraph"/>
        <w:numPr>
          <w:ilvl w:val="0"/>
          <w:numId w:val="175"/>
        </w:numPr>
        <w:spacing w:after="60" w:line="276" w:lineRule="auto"/>
        <w:ind w:left="1134" w:hanging="425"/>
        <w:contextualSpacing w:val="0"/>
        <w:rPr>
          <w:rFonts w:cs="Arial"/>
        </w:rPr>
      </w:pPr>
      <w:r w:rsidRPr="00272099">
        <w:rPr>
          <w:rFonts w:cs="Arial"/>
        </w:rPr>
        <w:t>Fluidité de la circulation</w:t>
      </w:r>
    </w:p>
    <w:p w14:paraId="51CF1F93" w14:textId="77777777" w:rsidR="001538D6" w:rsidRPr="00272099" w:rsidRDefault="001538D6" w:rsidP="00844538">
      <w:pPr>
        <w:pStyle w:val="ListParagraph"/>
        <w:numPr>
          <w:ilvl w:val="0"/>
          <w:numId w:val="175"/>
        </w:numPr>
        <w:spacing w:after="60" w:line="276" w:lineRule="auto"/>
        <w:ind w:left="1134" w:hanging="425"/>
        <w:contextualSpacing w:val="0"/>
        <w:rPr>
          <w:rFonts w:cs="Arial"/>
        </w:rPr>
      </w:pPr>
      <w:r w:rsidRPr="00272099">
        <w:rPr>
          <w:rFonts w:cs="Arial"/>
        </w:rPr>
        <w:t>Élargissement de la route</w:t>
      </w:r>
    </w:p>
    <w:p w14:paraId="11FB3361" w14:textId="77777777" w:rsidR="001538D6" w:rsidRPr="00272099" w:rsidRDefault="001538D6" w:rsidP="00844538">
      <w:pPr>
        <w:pStyle w:val="ListParagraph"/>
        <w:numPr>
          <w:ilvl w:val="0"/>
          <w:numId w:val="175"/>
        </w:numPr>
        <w:spacing w:after="60" w:line="276" w:lineRule="auto"/>
        <w:ind w:left="1134" w:hanging="425"/>
        <w:contextualSpacing w:val="0"/>
        <w:rPr>
          <w:rFonts w:cs="Arial"/>
        </w:rPr>
      </w:pPr>
      <w:r w:rsidRPr="00272099">
        <w:rPr>
          <w:rFonts w:cs="Arial"/>
        </w:rPr>
        <w:t>Durabilité de l'état de la route</w:t>
      </w:r>
    </w:p>
    <w:p w14:paraId="6CEED612" w14:textId="77777777" w:rsidR="001538D6" w:rsidRPr="00272099" w:rsidRDefault="001538D6" w:rsidP="00844538">
      <w:pPr>
        <w:pStyle w:val="ListParagraph"/>
        <w:numPr>
          <w:ilvl w:val="0"/>
          <w:numId w:val="175"/>
        </w:numPr>
        <w:spacing w:after="60" w:line="276" w:lineRule="auto"/>
        <w:ind w:left="1134" w:hanging="425"/>
        <w:contextualSpacing w:val="0"/>
        <w:rPr>
          <w:rFonts w:cs="Arial"/>
        </w:rPr>
      </w:pPr>
      <w:r w:rsidRPr="00272099">
        <w:rPr>
          <w:rFonts w:cs="Arial"/>
        </w:rPr>
        <w:t>Désenclavement des zones rurales</w:t>
      </w:r>
    </w:p>
    <w:p w14:paraId="21975578" w14:textId="77777777" w:rsidR="001538D6" w:rsidRPr="00272099" w:rsidRDefault="001538D6" w:rsidP="00844538">
      <w:pPr>
        <w:pStyle w:val="ListParagraph"/>
        <w:numPr>
          <w:ilvl w:val="0"/>
          <w:numId w:val="175"/>
        </w:numPr>
        <w:spacing w:after="60" w:line="276" w:lineRule="auto"/>
        <w:ind w:left="1134" w:hanging="425"/>
        <w:contextualSpacing w:val="0"/>
        <w:rPr>
          <w:rFonts w:cs="Arial"/>
        </w:rPr>
      </w:pPr>
      <w:r w:rsidRPr="00272099">
        <w:rPr>
          <w:rFonts w:cs="Arial"/>
        </w:rPr>
        <w:t>Accès facile aux zones de production et à l'acheminement de la production vers les points de vente</w:t>
      </w:r>
    </w:p>
    <w:p w14:paraId="45B6A9D8" w14:textId="77777777" w:rsidR="001538D6" w:rsidRPr="00272099" w:rsidRDefault="001538D6" w:rsidP="00844538">
      <w:pPr>
        <w:pStyle w:val="ListParagraph"/>
        <w:numPr>
          <w:ilvl w:val="0"/>
          <w:numId w:val="175"/>
        </w:numPr>
        <w:spacing w:after="60" w:line="276" w:lineRule="auto"/>
        <w:ind w:left="1134" w:hanging="425"/>
        <w:contextualSpacing w:val="0"/>
        <w:rPr>
          <w:rFonts w:cs="Arial"/>
        </w:rPr>
      </w:pPr>
      <w:r w:rsidRPr="00272099">
        <w:rPr>
          <w:rFonts w:cs="Arial"/>
        </w:rPr>
        <w:t>Libération d’emprise</w:t>
      </w:r>
    </w:p>
    <w:p w14:paraId="0B9EA7BA" w14:textId="77777777" w:rsidR="001538D6" w:rsidRPr="00272099" w:rsidRDefault="001538D6" w:rsidP="00844538">
      <w:pPr>
        <w:pStyle w:val="ListParagraph"/>
        <w:numPr>
          <w:ilvl w:val="0"/>
          <w:numId w:val="175"/>
        </w:numPr>
        <w:spacing w:after="60" w:line="276" w:lineRule="auto"/>
        <w:ind w:left="1134" w:hanging="425"/>
        <w:contextualSpacing w:val="0"/>
        <w:rPr>
          <w:rFonts w:cs="Arial"/>
        </w:rPr>
      </w:pPr>
      <w:r w:rsidRPr="00272099">
        <w:rPr>
          <w:rFonts w:cs="Arial"/>
        </w:rPr>
        <w:t>Développement économique et social de la Région</w:t>
      </w:r>
    </w:p>
    <w:p w14:paraId="60953F65" w14:textId="77777777" w:rsidR="001538D6" w:rsidRPr="00272099" w:rsidRDefault="001538D6" w:rsidP="00844538">
      <w:pPr>
        <w:pStyle w:val="ListParagraph"/>
        <w:numPr>
          <w:ilvl w:val="0"/>
          <w:numId w:val="175"/>
        </w:numPr>
        <w:spacing w:after="60" w:line="276" w:lineRule="auto"/>
        <w:ind w:left="1134" w:hanging="425"/>
        <w:contextualSpacing w:val="0"/>
        <w:rPr>
          <w:rFonts w:cs="Arial"/>
        </w:rPr>
      </w:pPr>
      <w:r w:rsidRPr="00272099">
        <w:rPr>
          <w:rFonts w:cs="Arial"/>
        </w:rPr>
        <w:t>Entretien périodique des RN</w:t>
      </w:r>
    </w:p>
    <w:p w14:paraId="58ADE1B4" w14:textId="77777777" w:rsidR="001538D6" w:rsidRPr="00272099" w:rsidRDefault="001538D6" w:rsidP="00844538">
      <w:pPr>
        <w:pStyle w:val="ListParagraph"/>
        <w:numPr>
          <w:ilvl w:val="0"/>
          <w:numId w:val="175"/>
        </w:numPr>
        <w:spacing w:after="60" w:line="276" w:lineRule="auto"/>
        <w:ind w:left="1134" w:hanging="425"/>
        <w:contextualSpacing w:val="0"/>
        <w:rPr>
          <w:rFonts w:cs="Arial"/>
        </w:rPr>
      </w:pPr>
      <w:r w:rsidRPr="00272099">
        <w:rPr>
          <w:rFonts w:cs="Arial"/>
        </w:rPr>
        <w:t>Connectivité entre les différentes zones</w:t>
      </w:r>
    </w:p>
    <w:p w14:paraId="21B89254" w14:textId="77777777" w:rsidR="001538D6" w:rsidRPr="00272099" w:rsidRDefault="001538D6" w:rsidP="00844538">
      <w:pPr>
        <w:pStyle w:val="ListParagraph"/>
        <w:numPr>
          <w:ilvl w:val="0"/>
          <w:numId w:val="175"/>
        </w:numPr>
        <w:spacing w:after="60" w:line="276" w:lineRule="auto"/>
        <w:ind w:left="1134" w:hanging="425"/>
        <w:contextualSpacing w:val="0"/>
        <w:rPr>
          <w:rFonts w:cs="Arial"/>
        </w:rPr>
      </w:pPr>
      <w:r w:rsidRPr="00272099">
        <w:rPr>
          <w:rFonts w:cs="Arial"/>
        </w:rPr>
        <w:t>Emploi</w:t>
      </w:r>
    </w:p>
    <w:p w14:paraId="40D2757C" w14:textId="77777777" w:rsidR="001538D6" w:rsidRPr="00272099" w:rsidRDefault="001538D6" w:rsidP="00844538">
      <w:pPr>
        <w:pStyle w:val="ListParagraph"/>
        <w:numPr>
          <w:ilvl w:val="0"/>
          <w:numId w:val="175"/>
        </w:numPr>
        <w:spacing w:after="60" w:line="276" w:lineRule="auto"/>
        <w:ind w:left="1134" w:hanging="425"/>
        <w:contextualSpacing w:val="0"/>
        <w:rPr>
          <w:rFonts w:cs="Arial"/>
        </w:rPr>
      </w:pPr>
      <w:r w:rsidRPr="00272099">
        <w:rPr>
          <w:rFonts w:cs="Arial"/>
        </w:rPr>
        <w:t>Baisse du coût de transport</w:t>
      </w:r>
    </w:p>
    <w:p w14:paraId="52A1FD2D" w14:textId="2AA77C59" w:rsidR="001538D6" w:rsidRPr="001538D6" w:rsidRDefault="001538D6" w:rsidP="00844538">
      <w:pPr>
        <w:pStyle w:val="ListParagraph"/>
        <w:numPr>
          <w:ilvl w:val="0"/>
          <w:numId w:val="175"/>
        </w:numPr>
        <w:spacing w:after="60" w:line="276" w:lineRule="auto"/>
        <w:ind w:left="1134" w:hanging="425"/>
        <w:contextualSpacing w:val="0"/>
        <w:rPr>
          <w:rFonts w:cs="Arial"/>
        </w:rPr>
      </w:pPr>
      <w:r w:rsidRPr="00272099">
        <w:rPr>
          <w:rFonts w:cs="Arial"/>
        </w:rPr>
        <w:t>Sécurité routière</w:t>
      </w:r>
    </w:p>
    <w:p w14:paraId="6237F519" w14:textId="2B4CFAAA" w:rsidR="00575CDF" w:rsidRPr="00C801A6" w:rsidRDefault="001538D6" w:rsidP="00844538">
      <w:pPr>
        <w:pStyle w:val="ListParagraph"/>
        <w:numPr>
          <w:ilvl w:val="0"/>
          <w:numId w:val="50"/>
        </w:numPr>
        <w:spacing w:before="240" w:line="276" w:lineRule="auto"/>
        <w:ind w:left="850" w:hanging="425"/>
        <w:contextualSpacing w:val="0"/>
        <w:rPr>
          <w:b/>
          <w:color w:val="auto"/>
          <w:szCs w:val="24"/>
        </w:rPr>
      </w:pPr>
      <w:r>
        <w:rPr>
          <w:b/>
          <w:color w:val="auto"/>
          <w:szCs w:val="24"/>
        </w:rPr>
        <w:t>Suggestions et recommandations</w:t>
      </w:r>
    </w:p>
    <w:p w14:paraId="141085A9" w14:textId="77777777" w:rsidR="001538D6" w:rsidRPr="00272099" w:rsidRDefault="001538D6" w:rsidP="001538D6">
      <w:pPr>
        <w:spacing w:after="120"/>
        <w:ind w:left="425"/>
        <w:rPr>
          <w:szCs w:val="24"/>
        </w:rPr>
      </w:pPr>
      <w:r>
        <w:rPr>
          <w:szCs w:val="24"/>
        </w:rPr>
        <w:t>Des suggestions et recommandations ont été soulevées par les participants, entre autres, :</w:t>
      </w:r>
    </w:p>
    <w:p w14:paraId="58E4704C" w14:textId="77777777" w:rsidR="001538D6" w:rsidRPr="00272099" w:rsidRDefault="001538D6" w:rsidP="00844538">
      <w:pPr>
        <w:pStyle w:val="ListParagraph"/>
        <w:numPr>
          <w:ilvl w:val="0"/>
          <w:numId w:val="175"/>
        </w:numPr>
        <w:spacing w:after="60" w:line="276" w:lineRule="auto"/>
        <w:ind w:left="1134" w:hanging="425"/>
        <w:contextualSpacing w:val="0"/>
        <w:rPr>
          <w:rFonts w:cs="Arial"/>
        </w:rPr>
      </w:pPr>
      <w:r w:rsidRPr="00272099">
        <w:rPr>
          <w:rFonts w:cs="Arial"/>
        </w:rPr>
        <w:t xml:space="preserve">Information préalable des autorités locales et des populations sur la tenue des travaux </w:t>
      </w:r>
    </w:p>
    <w:p w14:paraId="4EB50487" w14:textId="77777777" w:rsidR="001538D6" w:rsidRPr="00272099" w:rsidRDefault="001538D6" w:rsidP="00844538">
      <w:pPr>
        <w:pStyle w:val="ListParagraph"/>
        <w:numPr>
          <w:ilvl w:val="0"/>
          <w:numId w:val="175"/>
        </w:numPr>
        <w:spacing w:after="60" w:line="276" w:lineRule="auto"/>
        <w:ind w:left="1134" w:hanging="425"/>
        <w:contextualSpacing w:val="0"/>
        <w:rPr>
          <w:rFonts w:cs="Arial"/>
        </w:rPr>
      </w:pPr>
      <w:r w:rsidRPr="00272099">
        <w:rPr>
          <w:rFonts w:cs="Arial"/>
        </w:rPr>
        <w:t xml:space="preserve">Renforcement et amélioration des dispositifs de sécurité </w:t>
      </w:r>
    </w:p>
    <w:p w14:paraId="117B7E9F" w14:textId="77777777" w:rsidR="001538D6" w:rsidRPr="00272099" w:rsidRDefault="001538D6" w:rsidP="00844538">
      <w:pPr>
        <w:pStyle w:val="ListParagraph"/>
        <w:numPr>
          <w:ilvl w:val="0"/>
          <w:numId w:val="175"/>
        </w:numPr>
        <w:spacing w:after="60" w:line="276" w:lineRule="auto"/>
        <w:ind w:left="1134" w:hanging="425"/>
        <w:contextualSpacing w:val="0"/>
        <w:rPr>
          <w:rFonts w:cs="Arial"/>
        </w:rPr>
      </w:pPr>
      <w:r w:rsidRPr="00272099">
        <w:rPr>
          <w:rFonts w:cs="Arial"/>
        </w:rPr>
        <w:t>Construction des infrastructures durables suivant les normes internationales</w:t>
      </w:r>
    </w:p>
    <w:p w14:paraId="49B5497E" w14:textId="77777777" w:rsidR="001538D6" w:rsidRPr="00272099" w:rsidRDefault="001538D6" w:rsidP="00844538">
      <w:pPr>
        <w:pStyle w:val="ListParagraph"/>
        <w:numPr>
          <w:ilvl w:val="0"/>
          <w:numId w:val="175"/>
        </w:numPr>
        <w:spacing w:after="60" w:line="276" w:lineRule="auto"/>
        <w:ind w:left="1134" w:hanging="425"/>
        <w:contextualSpacing w:val="0"/>
        <w:rPr>
          <w:rFonts w:cs="Arial"/>
        </w:rPr>
      </w:pPr>
      <w:r w:rsidRPr="00272099">
        <w:rPr>
          <w:rFonts w:cs="Arial"/>
        </w:rPr>
        <w:t>Information et sensibilisation de la population et des usagers de la route sur la sécurité routière</w:t>
      </w:r>
    </w:p>
    <w:p w14:paraId="4AD1354C" w14:textId="77777777" w:rsidR="001538D6" w:rsidRPr="00272099" w:rsidRDefault="001538D6" w:rsidP="00844538">
      <w:pPr>
        <w:pStyle w:val="ListParagraph"/>
        <w:numPr>
          <w:ilvl w:val="0"/>
          <w:numId w:val="175"/>
        </w:numPr>
        <w:spacing w:after="60" w:line="276" w:lineRule="auto"/>
        <w:ind w:left="1134" w:hanging="425"/>
        <w:contextualSpacing w:val="0"/>
        <w:rPr>
          <w:rFonts w:cs="Arial"/>
        </w:rPr>
      </w:pPr>
      <w:r w:rsidRPr="00272099">
        <w:rPr>
          <w:rFonts w:cs="Arial"/>
        </w:rPr>
        <w:t>Sensibilisation sur le respect de charge maximale supportée par le dimensionnement de la route</w:t>
      </w:r>
    </w:p>
    <w:p w14:paraId="56F68C3C" w14:textId="77777777" w:rsidR="001538D6" w:rsidRPr="00272099" w:rsidRDefault="001538D6" w:rsidP="00844538">
      <w:pPr>
        <w:pStyle w:val="ListParagraph"/>
        <w:numPr>
          <w:ilvl w:val="0"/>
          <w:numId w:val="175"/>
        </w:numPr>
        <w:spacing w:after="60" w:line="276" w:lineRule="auto"/>
        <w:ind w:left="1134" w:hanging="425"/>
        <w:contextualSpacing w:val="0"/>
        <w:rPr>
          <w:rFonts w:cs="Arial"/>
        </w:rPr>
      </w:pPr>
      <w:r w:rsidRPr="00272099">
        <w:rPr>
          <w:rFonts w:cs="Arial"/>
        </w:rPr>
        <w:t>Recrutement des mains-d’œuvre locales</w:t>
      </w:r>
    </w:p>
    <w:p w14:paraId="4B6EBBA7" w14:textId="77777777" w:rsidR="001538D6" w:rsidRPr="00272099" w:rsidRDefault="001538D6" w:rsidP="00844538">
      <w:pPr>
        <w:pStyle w:val="ListParagraph"/>
        <w:numPr>
          <w:ilvl w:val="0"/>
          <w:numId w:val="175"/>
        </w:numPr>
        <w:spacing w:after="60" w:line="276" w:lineRule="auto"/>
        <w:ind w:left="1134" w:hanging="425"/>
        <w:contextualSpacing w:val="0"/>
        <w:rPr>
          <w:rFonts w:cs="Arial"/>
        </w:rPr>
      </w:pPr>
      <w:r w:rsidRPr="00272099">
        <w:rPr>
          <w:rFonts w:cs="Arial"/>
        </w:rPr>
        <w:t>Paiement de compensation avant les travaux</w:t>
      </w:r>
    </w:p>
    <w:p w14:paraId="71D2A516" w14:textId="77777777" w:rsidR="001538D6" w:rsidRDefault="001538D6" w:rsidP="00844538">
      <w:pPr>
        <w:pStyle w:val="ListParagraph"/>
        <w:numPr>
          <w:ilvl w:val="0"/>
          <w:numId w:val="175"/>
        </w:numPr>
        <w:spacing w:after="60" w:line="276" w:lineRule="auto"/>
        <w:ind w:left="1134" w:hanging="425"/>
        <w:contextualSpacing w:val="0"/>
        <w:rPr>
          <w:rFonts w:cs="Arial"/>
        </w:rPr>
      </w:pPr>
      <w:r w:rsidRPr="00272099">
        <w:rPr>
          <w:rFonts w:cs="Arial"/>
        </w:rPr>
        <w:lastRenderedPageBreak/>
        <w:t>Sensibilisation et responsabilisation et de la communauté bénéficiaire dans la préservation des infrastructures</w:t>
      </w:r>
    </w:p>
    <w:p w14:paraId="12F2D6FA" w14:textId="77F44A48" w:rsidR="001538D6" w:rsidRPr="001538D6" w:rsidRDefault="001538D6" w:rsidP="00844538">
      <w:pPr>
        <w:pStyle w:val="ListParagraph"/>
        <w:numPr>
          <w:ilvl w:val="0"/>
          <w:numId w:val="175"/>
        </w:numPr>
        <w:spacing w:after="60" w:line="276" w:lineRule="auto"/>
        <w:ind w:left="1134" w:hanging="425"/>
        <w:contextualSpacing w:val="0"/>
        <w:rPr>
          <w:rFonts w:cs="Arial"/>
        </w:rPr>
      </w:pPr>
      <w:r w:rsidRPr="001538D6">
        <w:rPr>
          <w:rFonts w:cs="Arial"/>
        </w:rPr>
        <w:t>Mise en place des DINA, arrêté communal et application du code pénal en cas de destruction des biens publics</w:t>
      </w:r>
    </w:p>
    <w:p w14:paraId="5C7FC988" w14:textId="77777777" w:rsidR="00575CDF" w:rsidRPr="00C801A6" w:rsidRDefault="00575CDF" w:rsidP="00575CDF">
      <w:pPr>
        <w:rPr>
          <w:color w:val="auto"/>
          <w:szCs w:val="24"/>
        </w:rPr>
      </w:pPr>
      <w:r w:rsidRPr="00C801A6">
        <w:rPr>
          <w:color w:val="auto"/>
          <w:szCs w:val="24"/>
        </w:rPr>
        <w:t>En général toutes les parties prenantes sont toutes intéressées et souhaitent toutes être impliquées dans la préparation et la mise en œuvre du Projet, d’une part en tant qu’usagers des infrastructures routières et, d’autre part, en raison de leurs fonctions et statuts respectifs.</w:t>
      </w:r>
    </w:p>
    <w:p w14:paraId="2D6353BA" w14:textId="77777777" w:rsidR="00575CDF" w:rsidRPr="00C801A6" w:rsidRDefault="00575CDF" w:rsidP="00575CDF">
      <w:pPr>
        <w:rPr>
          <w:color w:val="auto"/>
          <w:szCs w:val="24"/>
        </w:rPr>
      </w:pPr>
      <w:r w:rsidRPr="00C801A6">
        <w:rPr>
          <w:color w:val="auto"/>
          <w:szCs w:val="24"/>
        </w:rPr>
        <w:t xml:space="preserve">Quant aux engagements, outre les secteurs publics, les parties prenantes sont toutes partantes pour la sensibilisation, l’éducation et la formation des usagers de la route, des riverains, des différentes collectivités territoriales quant à la préservation du patrimoine routier, du respect des textes règlementaires. </w:t>
      </w:r>
    </w:p>
    <w:p w14:paraId="015D4532" w14:textId="602E10C3" w:rsidR="00F65186" w:rsidRPr="00C801A6" w:rsidRDefault="00F65186" w:rsidP="00C65572">
      <w:pPr>
        <w:pStyle w:val="Heading3"/>
      </w:pPr>
      <w:bookmarkStart w:id="666" w:name="_Toc106320373"/>
      <w:bookmarkStart w:id="667" w:name="_Toc230426074"/>
      <w:r w:rsidRPr="00C801A6">
        <w:t>Composante CERC</w:t>
      </w:r>
      <w:bookmarkEnd w:id="666"/>
      <w:bookmarkEnd w:id="667"/>
      <w:r w:rsidR="001538D6">
        <w:t xml:space="preserve"> </w:t>
      </w:r>
    </w:p>
    <w:p w14:paraId="69692C27" w14:textId="1E5E57EB" w:rsidR="001C76FC" w:rsidRPr="001C76FC" w:rsidRDefault="001C76FC" w:rsidP="001C76FC">
      <w:pPr>
        <w:rPr>
          <w:color w:val="auto"/>
        </w:rPr>
      </w:pPr>
      <w:bookmarkStart w:id="668" w:name="_Toc71794960"/>
    </w:p>
    <w:p w14:paraId="586ADF50" w14:textId="7C1211C3" w:rsidR="00E67F89" w:rsidRPr="00E67F89" w:rsidRDefault="00E67F89" w:rsidP="00E67F89">
      <w:pPr>
        <w:rPr>
          <w:color w:val="auto"/>
        </w:rPr>
      </w:pPr>
      <w:r w:rsidRPr="00E67F89">
        <w:rPr>
          <w:color w:val="auto"/>
        </w:rPr>
        <w:t>Pour la composante CERC</w:t>
      </w:r>
      <w:r>
        <w:rPr>
          <w:color w:val="auto"/>
        </w:rPr>
        <w:t>2</w:t>
      </w:r>
      <w:r w:rsidRPr="00E67F89">
        <w:rPr>
          <w:color w:val="auto"/>
        </w:rPr>
        <w:t>, entre le 22 avril 2026 et le 04 mai 2026, quatre (04) consultations publiques ont été effectuées relative aux travaux de remise en état des infrastructures routières sur la RN7, la RNS44, la RNT3A ainsi que la route en pavé vers Ambila.</w:t>
      </w:r>
    </w:p>
    <w:p w14:paraId="1705F148" w14:textId="0D735176" w:rsidR="00E67F89" w:rsidRPr="00E67F89" w:rsidRDefault="00E67F89" w:rsidP="00E67F89">
      <w:pPr>
        <w:rPr>
          <w:color w:val="auto"/>
        </w:rPr>
      </w:pPr>
      <w:r w:rsidRPr="00E67F89">
        <w:rPr>
          <w:color w:val="auto"/>
        </w:rPr>
        <w:t xml:space="preserve">Pour la composante CERC1, </w:t>
      </w:r>
      <w:r>
        <w:rPr>
          <w:color w:val="auto"/>
        </w:rPr>
        <w:t>a</w:t>
      </w:r>
      <w:r w:rsidRPr="00E67F89">
        <w:rPr>
          <w:color w:val="auto"/>
        </w:rPr>
        <w:t>vant le commencement des travaux de réhabilitation du port en Mars 2025, une consultation de toutes les parties prenantes du port (CCUOP, COMAMA, SEMS, APMF, Douane, Gendarmerie, Mairie…) a été effectuée.</w:t>
      </w:r>
    </w:p>
    <w:p w14:paraId="5A061C3D" w14:textId="234F3CD8" w:rsidR="00E67F89" w:rsidRPr="00E67F89" w:rsidRDefault="00E67F89" w:rsidP="00E67F89">
      <w:pPr>
        <w:rPr>
          <w:color w:val="auto"/>
        </w:rPr>
      </w:pPr>
      <w:r w:rsidRPr="00E67F89">
        <w:rPr>
          <w:color w:val="auto"/>
        </w:rPr>
        <w:t xml:space="preserve">Pour les travaux de remise en état des infrastructures routiers, </w:t>
      </w:r>
      <w:r>
        <w:rPr>
          <w:color w:val="auto"/>
        </w:rPr>
        <w:t>des</w:t>
      </w:r>
      <w:r w:rsidRPr="00E67F89">
        <w:rPr>
          <w:color w:val="auto"/>
        </w:rPr>
        <w:t xml:space="preserve"> rencontre</w:t>
      </w:r>
      <w:r>
        <w:rPr>
          <w:color w:val="auto"/>
        </w:rPr>
        <w:t>s</w:t>
      </w:r>
      <w:r w:rsidRPr="00E67F89">
        <w:rPr>
          <w:color w:val="auto"/>
        </w:rPr>
        <w:t xml:space="preserve"> avec les autorités locales ont été effectuées par les représentants du Maître d’Ouvrage, les représentants de l’UCP, des entreprises et des Missions de Contrôle lors de l’évaluation du programme d’engagement environnementale et social. Les informations collectées ont été synthétisées de la manière suivante :</w:t>
      </w:r>
    </w:p>
    <w:p w14:paraId="37763C22" w14:textId="77777777" w:rsidR="00E67F89" w:rsidRPr="00E67F89" w:rsidRDefault="00E67F89" w:rsidP="00844538">
      <w:pPr>
        <w:numPr>
          <w:ilvl w:val="0"/>
          <w:numId w:val="192"/>
        </w:numPr>
        <w:rPr>
          <w:b/>
          <w:color w:val="auto"/>
        </w:rPr>
      </w:pPr>
      <w:r w:rsidRPr="00E67F89">
        <w:rPr>
          <w:b/>
          <w:color w:val="auto"/>
        </w:rPr>
        <w:t>Perceptions et préoccupations des parties prenantes sur le Projet, composante CERC1</w:t>
      </w:r>
    </w:p>
    <w:p w14:paraId="4DEDB460" w14:textId="77777777" w:rsidR="00E67F89" w:rsidRPr="00E67F89" w:rsidRDefault="00E67F89" w:rsidP="00844538">
      <w:pPr>
        <w:numPr>
          <w:ilvl w:val="0"/>
          <w:numId w:val="193"/>
        </w:numPr>
        <w:rPr>
          <w:color w:val="auto"/>
        </w:rPr>
      </w:pPr>
      <w:r w:rsidRPr="00E67F89">
        <w:rPr>
          <w:color w:val="auto"/>
        </w:rPr>
        <w:t>Les travaux de réhabilitation du port de Mahajanga se trouve dans l’urgence absolue de l’APMF compte tenu de la vetusté des quais Vuillemin et Coste.</w:t>
      </w:r>
    </w:p>
    <w:p w14:paraId="332DA06A" w14:textId="77777777" w:rsidR="00E67F89" w:rsidRPr="00E67F89" w:rsidRDefault="00E67F89" w:rsidP="00844538">
      <w:pPr>
        <w:numPr>
          <w:ilvl w:val="0"/>
          <w:numId w:val="193"/>
        </w:numPr>
        <w:rPr>
          <w:color w:val="auto"/>
        </w:rPr>
      </w:pPr>
      <w:r w:rsidRPr="00E67F89">
        <w:rPr>
          <w:color w:val="auto"/>
        </w:rPr>
        <w:t>Toute intempérie violente risque de déclencher la destruction des quais, ce qui va entrainer la fermeture des activités portuaires à Mahajanga</w:t>
      </w:r>
    </w:p>
    <w:p w14:paraId="786FDEAB" w14:textId="77777777" w:rsidR="00E67F89" w:rsidRPr="00E67F89" w:rsidRDefault="00E67F89" w:rsidP="00844538">
      <w:pPr>
        <w:numPr>
          <w:ilvl w:val="0"/>
          <w:numId w:val="193"/>
        </w:numPr>
        <w:rPr>
          <w:color w:val="auto"/>
        </w:rPr>
      </w:pPr>
      <w:r w:rsidRPr="00E67F89">
        <w:rPr>
          <w:color w:val="auto"/>
        </w:rPr>
        <w:t>Les travaux à entreprendre rentre dans la mise en œuvre du schéma de développement portuaire à Madagascar</w:t>
      </w:r>
    </w:p>
    <w:p w14:paraId="76BE2FFE" w14:textId="77777777" w:rsidR="00E67F89" w:rsidRPr="00E67F89" w:rsidRDefault="00E67F89" w:rsidP="00844538">
      <w:pPr>
        <w:numPr>
          <w:ilvl w:val="0"/>
          <w:numId w:val="193"/>
        </w:numPr>
        <w:rPr>
          <w:color w:val="auto"/>
        </w:rPr>
      </w:pPr>
      <w:r w:rsidRPr="00E67F89">
        <w:rPr>
          <w:color w:val="auto"/>
        </w:rPr>
        <w:t>Les travaux à entreprendre dans le cadre du CERC constitueront le socle/fondation de la mise en œuvre d’un programme de réhabilitation et d’extension du Port de Mahajanga. Programme initié par l’APMF et fait partie intégrante du schéma de développement portuaire</w:t>
      </w:r>
    </w:p>
    <w:p w14:paraId="7944166F" w14:textId="77777777" w:rsidR="00E67F89" w:rsidRPr="00E67F89" w:rsidRDefault="00E67F89" w:rsidP="00844538">
      <w:pPr>
        <w:numPr>
          <w:ilvl w:val="0"/>
          <w:numId w:val="193"/>
        </w:numPr>
        <w:rPr>
          <w:color w:val="auto"/>
        </w:rPr>
      </w:pPr>
      <w:r w:rsidRPr="00E67F89">
        <w:rPr>
          <w:color w:val="auto"/>
        </w:rPr>
        <w:lastRenderedPageBreak/>
        <w:t>Volonté de l’APMF et ses démembrements à appuyer techniquement les besoins des travaux (documentation, etc…)</w:t>
      </w:r>
    </w:p>
    <w:p w14:paraId="441DA792" w14:textId="77777777" w:rsidR="00E67F89" w:rsidRPr="00E67F89" w:rsidRDefault="00E67F89" w:rsidP="00844538">
      <w:pPr>
        <w:numPr>
          <w:ilvl w:val="0"/>
          <w:numId w:val="193"/>
        </w:numPr>
        <w:rPr>
          <w:color w:val="auto"/>
        </w:rPr>
      </w:pPr>
      <w:r w:rsidRPr="00E67F89">
        <w:rPr>
          <w:color w:val="auto"/>
        </w:rPr>
        <w:t>Les travaux de réhabilitation de l’infrastructure routière sur la RNP4 et RNP6 fait partie de l’attente et le désir des populations sur cet axe depuis des années ;</w:t>
      </w:r>
    </w:p>
    <w:p w14:paraId="40B260A2" w14:textId="77777777" w:rsidR="00E67F89" w:rsidRPr="00E67F89" w:rsidRDefault="00E67F89" w:rsidP="00844538">
      <w:pPr>
        <w:numPr>
          <w:ilvl w:val="0"/>
          <w:numId w:val="193"/>
        </w:numPr>
        <w:rPr>
          <w:color w:val="auto"/>
        </w:rPr>
      </w:pPr>
      <w:r w:rsidRPr="00E67F89">
        <w:rPr>
          <w:color w:val="auto"/>
        </w:rPr>
        <w:t>Les travaux de remise en état de la RNP4 et RNP6 favorise l’accroissement de l’économie locale voire nationale.</w:t>
      </w:r>
    </w:p>
    <w:p w14:paraId="16320377" w14:textId="77777777" w:rsidR="00E67F89" w:rsidRPr="00E67F89" w:rsidRDefault="00E67F89" w:rsidP="00844538">
      <w:pPr>
        <w:numPr>
          <w:ilvl w:val="0"/>
          <w:numId w:val="192"/>
        </w:numPr>
        <w:rPr>
          <w:b/>
          <w:color w:val="auto"/>
        </w:rPr>
      </w:pPr>
      <w:r w:rsidRPr="00E67F89">
        <w:rPr>
          <w:b/>
          <w:color w:val="auto"/>
        </w:rPr>
        <w:t>Attentes</w:t>
      </w:r>
    </w:p>
    <w:p w14:paraId="17BBB331" w14:textId="77777777" w:rsidR="00E67F89" w:rsidRPr="00E67F89" w:rsidRDefault="00E67F89" w:rsidP="00844538">
      <w:pPr>
        <w:numPr>
          <w:ilvl w:val="0"/>
          <w:numId w:val="193"/>
        </w:numPr>
        <w:rPr>
          <w:color w:val="auto"/>
        </w:rPr>
      </w:pPr>
      <w:r w:rsidRPr="00E67F89">
        <w:rPr>
          <w:color w:val="auto"/>
        </w:rPr>
        <w:t>Travaux à conduire selon les règles de l’art afin d’assurer la sureté portuaire selon les normes ISPS</w:t>
      </w:r>
    </w:p>
    <w:p w14:paraId="16D612CE" w14:textId="77777777" w:rsidR="00E67F89" w:rsidRPr="00E67F89" w:rsidRDefault="00E67F89" w:rsidP="00844538">
      <w:pPr>
        <w:numPr>
          <w:ilvl w:val="0"/>
          <w:numId w:val="193"/>
        </w:numPr>
        <w:rPr>
          <w:color w:val="auto"/>
        </w:rPr>
      </w:pPr>
      <w:r w:rsidRPr="00E67F89">
        <w:rPr>
          <w:color w:val="auto"/>
        </w:rPr>
        <w:t>Attention particulière au choix des entreprises à consulter dans la conduite et contrôle des travaux car les travaux portuaires sont très techniques et spécifiques (un peu différent des travaux routiers)</w:t>
      </w:r>
    </w:p>
    <w:p w14:paraId="2D9C1E90" w14:textId="77777777" w:rsidR="00E67F89" w:rsidRPr="00E67F89" w:rsidRDefault="00E67F89" w:rsidP="00844538">
      <w:pPr>
        <w:numPr>
          <w:ilvl w:val="0"/>
          <w:numId w:val="193"/>
        </w:numPr>
        <w:rPr>
          <w:color w:val="auto"/>
        </w:rPr>
      </w:pPr>
      <w:r w:rsidRPr="00E67F89">
        <w:rPr>
          <w:color w:val="auto"/>
        </w:rPr>
        <w:t>Finalisation des travaux dans le temps imparti tout en respectant les règles de l’art</w:t>
      </w:r>
    </w:p>
    <w:p w14:paraId="594D36DA" w14:textId="77777777" w:rsidR="00E67F89" w:rsidRPr="00E67F89" w:rsidRDefault="00E67F89" w:rsidP="00844538">
      <w:pPr>
        <w:numPr>
          <w:ilvl w:val="0"/>
          <w:numId w:val="193"/>
        </w:numPr>
        <w:rPr>
          <w:color w:val="auto"/>
        </w:rPr>
      </w:pPr>
      <w:r w:rsidRPr="00E67F89">
        <w:rPr>
          <w:color w:val="auto"/>
        </w:rPr>
        <w:t>Possibilité d’acquisition de matériels pour le développement des activités portuaires à envisager. En effet, le transport maritime est un secteur d’investissement hautement porteur de développement à Madagascar</w:t>
      </w:r>
    </w:p>
    <w:p w14:paraId="023E4069" w14:textId="77777777" w:rsidR="00E67F89" w:rsidRPr="00E67F89" w:rsidRDefault="00E67F89" w:rsidP="00844538">
      <w:pPr>
        <w:numPr>
          <w:ilvl w:val="0"/>
          <w:numId w:val="193"/>
        </w:numPr>
        <w:rPr>
          <w:color w:val="auto"/>
        </w:rPr>
      </w:pPr>
      <w:r w:rsidRPr="00E67F89">
        <w:rPr>
          <w:color w:val="auto"/>
        </w:rPr>
        <w:t>Diminution du taux de chômages par le recrutement local temporaire durant la phase de mise en œuvre.</w:t>
      </w:r>
    </w:p>
    <w:p w14:paraId="2939AF3F" w14:textId="77777777" w:rsidR="00E67F89" w:rsidRPr="00E67F89" w:rsidRDefault="00E67F89" w:rsidP="00844538">
      <w:pPr>
        <w:numPr>
          <w:ilvl w:val="0"/>
          <w:numId w:val="192"/>
        </w:numPr>
        <w:rPr>
          <w:b/>
          <w:color w:val="auto"/>
        </w:rPr>
      </w:pPr>
      <w:r w:rsidRPr="00E67F89">
        <w:rPr>
          <w:b/>
          <w:color w:val="auto"/>
        </w:rPr>
        <w:t>Contraintes soulevées</w:t>
      </w:r>
    </w:p>
    <w:p w14:paraId="2504D916" w14:textId="77777777" w:rsidR="00E67F89" w:rsidRPr="00E67F89" w:rsidRDefault="00E67F89" w:rsidP="00844538">
      <w:pPr>
        <w:numPr>
          <w:ilvl w:val="0"/>
          <w:numId w:val="193"/>
        </w:numPr>
        <w:rPr>
          <w:color w:val="auto"/>
        </w:rPr>
      </w:pPr>
      <w:r w:rsidRPr="00E67F89">
        <w:rPr>
          <w:color w:val="auto"/>
        </w:rPr>
        <w:t>RAS</w:t>
      </w:r>
    </w:p>
    <w:p w14:paraId="4608D943" w14:textId="77777777" w:rsidR="00E67F89" w:rsidRPr="00E67F89" w:rsidRDefault="00E67F89" w:rsidP="00844538">
      <w:pPr>
        <w:numPr>
          <w:ilvl w:val="0"/>
          <w:numId w:val="192"/>
        </w:numPr>
        <w:rPr>
          <w:b/>
          <w:color w:val="auto"/>
        </w:rPr>
      </w:pPr>
      <w:r w:rsidRPr="00E67F89">
        <w:rPr>
          <w:b/>
          <w:color w:val="auto"/>
        </w:rPr>
        <w:t>Perceptions et préoccupations des parties prenantes sur le Projet, composante CERC2</w:t>
      </w:r>
    </w:p>
    <w:p w14:paraId="5C83C8FD" w14:textId="77777777" w:rsidR="00E67F89" w:rsidRPr="00E67F89" w:rsidRDefault="00E67F89" w:rsidP="00844538">
      <w:pPr>
        <w:numPr>
          <w:ilvl w:val="0"/>
          <w:numId w:val="193"/>
        </w:numPr>
        <w:rPr>
          <w:color w:val="auto"/>
        </w:rPr>
      </w:pPr>
      <w:r w:rsidRPr="00E67F89">
        <w:rPr>
          <w:color w:val="auto"/>
        </w:rPr>
        <w:t>Choix rigoureux du prestataire pour des travaux bien faits – durable ;</w:t>
      </w:r>
    </w:p>
    <w:p w14:paraId="46C27018" w14:textId="77777777" w:rsidR="00E67F89" w:rsidRPr="00E67F89" w:rsidRDefault="00E67F89" w:rsidP="00844538">
      <w:pPr>
        <w:numPr>
          <w:ilvl w:val="0"/>
          <w:numId w:val="193"/>
        </w:numPr>
        <w:rPr>
          <w:color w:val="auto"/>
        </w:rPr>
      </w:pPr>
      <w:r w:rsidRPr="00E67F89">
        <w:rPr>
          <w:color w:val="auto"/>
        </w:rPr>
        <w:t>Existence d’un air de repos (éventuellement) ;</w:t>
      </w:r>
    </w:p>
    <w:p w14:paraId="2C532EEC" w14:textId="77777777" w:rsidR="00E67F89" w:rsidRPr="00E67F89" w:rsidRDefault="00E67F89" w:rsidP="00844538">
      <w:pPr>
        <w:numPr>
          <w:ilvl w:val="0"/>
          <w:numId w:val="193"/>
        </w:numPr>
        <w:rPr>
          <w:color w:val="auto"/>
        </w:rPr>
      </w:pPr>
      <w:r w:rsidRPr="00E67F89">
        <w:rPr>
          <w:color w:val="auto"/>
        </w:rPr>
        <w:t>Les entités concernées devraient être sur le même niveau d’informations ;</w:t>
      </w:r>
    </w:p>
    <w:p w14:paraId="0E3BE449" w14:textId="77777777" w:rsidR="00E67F89" w:rsidRPr="00E67F89" w:rsidRDefault="00E67F89" w:rsidP="00844538">
      <w:pPr>
        <w:numPr>
          <w:ilvl w:val="0"/>
          <w:numId w:val="193"/>
        </w:numPr>
        <w:rPr>
          <w:color w:val="auto"/>
        </w:rPr>
      </w:pPr>
      <w:r w:rsidRPr="00E67F89">
        <w:rPr>
          <w:color w:val="auto"/>
        </w:rPr>
        <w:t>Préservation des sites de reboisement.</w:t>
      </w:r>
    </w:p>
    <w:p w14:paraId="2AB1821D" w14:textId="77777777" w:rsidR="00E67F89" w:rsidRPr="00E67F89" w:rsidRDefault="00E67F89" w:rsidP="00844538">
      <w:pPr>
        <w:numPr>
          <w:ilvl w:val="0"/>
          <w:numId w:val="192"/>
        </w:numPr>
        <w:rPr>
          <w:b/>
          <w:color w:val="auto"/>
        </w:rPr>
      </w:pPr>
      <w:r w:rsidRPr="00E67F89">
        <w:rPr>
          <w:b/>
          <w:color w:val="auto"/>
        </w:rPr>
        <w:t>Attentes</w:t>
      </w:r>
    </w:p>
    <w:p w14:paraId="76D951D9" w14:textId="77777777" w:rsidR="00E67F89" w:rsidRPr="00E67F89" w:rsidRDefault="00E67F89" w:rsidP="00844538">
      <w:pPr>
        <w:numPr>
          <w:ilvl w:val="0"/>
          <w:numId w:val="193"/>
        </w:numPr>
        <w:rPr>
          <w:color w:val="auto"/>
        </w:rPr>
      </w:pPr>
      <w:r w:rsidRPr="00E67F89">
        <w:rPr>
          <w:color w:val="auto"/>
        </w:rPr>
        <w:t>Passation de marché bien faite sans corruption ;</w:t>
      </w:r>
    </w:p>
    <w:p w14:paraId="0A25DE55" w14:textId="77777777" w:rsidR="00E67F89" w:rsidRPr="00E67F89" w:rsidRDefault="00E67F89" w:rsidP="00844538">
      <w:pPr>
        <w:numPr>
          <w:ilvl w:val="0"/>
          <w:numId w:val="193"/>
        </w:numPr>
        <w:rPr>
          <w:color w:val="auto"/>
        </w:rPr>
      </w:pPr>
      <w:r w:rsidRPr="00E67F89">
        <w:rPr>
          <w:color w:val="auto"/>
        </w:rPr>
        <w:t>Construction d’un air de repos ;</w:t>
      </w:r>
    </w:p>
    <w:p w14:paraId="69CF16F4" w14:textId="77777777" w:rsidR="00E67F89" w:rsidRPr="00E67F89" w:rsidRDefault="00E67F89" w:rsidP="00844538">
      <w:pPr>
        <w:numPr>
          <w:ilvl w:val="0"/>
          <w:numId w:val="193"/>
        </w:numPr>
        <w:rPr>
          <w:color w:val="auto"/>
        </w:rPr>
      </w:pPr>
      <w:r w:rsidRPr="00E67F89">
        <w:rPr>
          <w:color w:val="auto"/>
        </w:rPr>
        <w:t>Intégrer les entités concernées dans le système de communication du projet ;</w:t>
      </w:r>
    </w:p>
    <w:p w14:paraId="48B071B2" w14:textId="77777777" w:rsidR="00E67F89" w:rsidRPr="00E67F89" w:rsidRDefault="00E67F89" w:rsidP="00844538">
      <w:pPr>
        <w:numPr>
          <w:ilvl w:val="0"/>
          <w:numId w:val="193"/>
        </w:numPr>
        <w:rPr>
          <w:color w:val="auto"/>
        </w:rPr>
      </w:pPr>
      <w:r w:rsidRPr="00E67F89">
        <w:rPr>
          <w:color w:val="auto"/>
        </w:rPr>
        <w:t>Sensibilisation de l’entreprise sur la préservation des sites de reboisement.</w:t>
      </w:r>
    </w:p>
    <w:p w14:paraId="34069873" w14:textId="77777777" w:rsidR="00E67F89" w:rsidRPr="00E67F89" w:rsidRDefault="00E67F89" w:rsidP="00844538">
      <w:pPr>
        <w:numPr>
          <w:ilvl w:val="0"/>
          <w:numId w:val="192"/>
        </w:numPr>
        <w:rPr>
          <w:b/>
          <w:color w:val="auto"/>
        </w:rPr>
      </w:pPr>
      <w:r w:rsidRPr="00E67F89">
        <w:rPr>
          <w:b/>
          <w:color w:val="auto"/>
        </w:rPr>
        <w:t xml:space="preserve">Recommandations émises par les parties prenantes durant la consultation publique </w:t>
      </w:r>
    </w:p>
    <w:p w14:paraId="7C1344FF" w14:textId="77777777" w:rsidR="00E67F89" w:rsidRPr="00E67F89" w:rsidRDefault="00E67F89" w:rsidP="00844538">
      <w:pPr>
        <w:numPr>
          <w:ilvl w:val="0"/>
          <w:numId w:val="193"/>
        </w:numPr>
        <w:rPr>
          <w:color w:val="auto"/>
        </w:rPr>
      </w:pPr>
      <w:r w:rsidRPr="00E67F89">
        <w:rPr>
          <w:color w:val="auto"/>
        </w:rPr>
        <w:lastRenderedPageBreak/>
        <w:t>Elargissement de la largeur de la route afin de répondre à l’augmentation du trafic ;</w:t>
      </w:r>
    </w:p>
    <w:p w14:paraId="0A4AE6F2" w14:textId="53FED1B4" w:rsidR="00E67F89" w:rsidRPr="00E67F89" w:rsidRDefault="00E67F89" w:rsidP="00844538">
      <w:pPr>
        <w:numPr>
          <w:ilvl w:val="0"/>
          <w:numId w:val="193"/>
        </w:numPr>
        <w:rPr>
          <w:color w:val="auto"/>
        </w:rPr>
      </w:pPr>
      <w:r w:rsidRPr="00E67F89">
        <w:rPr>
          <w:color w:val="auto"/>
        </w:rPr>
        <w:t xml:space="preserve">Sensibilisation de l’entreprise titulaire sur les thématiques </w:t>
      </w:r>
      <w:r w:rsidR="006F38A3">
        <w:rPr>
          <w:color w:val="auto"/>
        </w:rPr>
        <w:t xml:space="preserve">EAS-HS </w:t>
      </w:r>
      <w:r w:rsidRPr="00E67F89">
        <w:rPr>
          <w:color w:val="auto"/>
        </w:rPr>
        <w:t> ;</w:t>
      </w:r>
    </w:p>
    <w:p w14:paraId="768A9293" w14:textId="77777777" w:rsidR="00E67F89" w:rsidRPr="00E67F89" w:rsidRDefault="00E67F89" w:rsidP="00844538">
      <w:pPr>
        <w:numPr>
          <w:ilvl w:val="0"/>
          <w:numId w:val="193"/>
        </w:numPr>
        <w:rPr>
          <w:color w:val="auto"/>
        </w:rPr>
      </w:pPr>
      <w:r w:rsidRPr="00E67F89">
        <w:rPr>
          <w:color w:val="auto"/>
        </w:rPr>
        <w:t>Mise en place d’une station de pesage sur la RN7 ;</w:t>
      </w:r>
    </w:p>
    <w:p w14:paraId="3D26083D" w14:textId="77777777" w:rsidR="00E67F89" w:rsidRPr="00E67F89" w:rsidRDefault="00E67F89" w:rsidP="00844538">
      <w:pPr>
        <w:numPr>
          <w:ilvl w:val="0"/>
          <w:numId w:val="193"/>
        </w:numPr>
        <w:rPr>
          <w:color w:val="auto"/>
        </w:rPr>
      </w:pPr>
      <w:r w:rsidRPr="00E67F89">
        <w:rPr>
          <w:color w:val="auto"/>
        </w:rPr>
        <w:t>Mise en œuvre des infrastructures résilients face aux changements climatiques ;</w:t>
      </w:r>
    </w:p>
    <w:p w14:paraId="7716E94B" w14:textId="77777777" w:rsidR="00E67F89" w:rsidRPr="00E67F89" w:rsidRDefault="00E67F89" w:rsidP="00844538">
      <w:pPr>
        <w:numPr>
          <w:ilvl w:val="0"/>
          <w:numId w:val="193"/>
        </w:numPr>
        <w:rPr>
          <w:color w:val="auto"/>
        </w:rPr>
      </w:pPr>
      <w:r w:rsidRPr="00E67F89">
        <w:rPr>
          <w:color w:val="auto"/>
        </w:rPr>
        <w:t>Priorisation du recrutement des mains d’œuvre locales ;</w:t>
      </w:r>
    </w:p>
    <w:p w14:paraId="4500D9FB" w14:textId="77777777" w:rsidR="00E67F89" w:rsidRPr="00E67F89" w:rsidRDefault="00E67F89" w:rsidP="00844538">
      <w:pPr>
        <w:numPr>
          <w:ilvl w:val="0"/>
          <w:numId w:val="193"/>
        </w:numPr>
        <w:rPr>
          <w:color w:val="auto"/>
        </w:rPr>
      </w:pPr>
      <w:r w:rsidRPr="00E67F89">
        <w:rPr>
          <w:color w:val="auto"/>
        </w:rPr>
        <w:t>Implication des notables locaux dans le mécanisme de gestion des plaintes ;</w:t>
      </w:r>
    </w:p>
    <w:p w14:paraId="4CB75636" w14:textId="77777777" w:rsidR="00E67F89" w:rsidRPr="00E67F89" w:rsidRDefault="00E67F89" w:rsidP="00844538">
      <w:pPr>
        <w:numPr>
          <w:ilvl w:val="0"/>
          <w:numId w:val="193"/>
        </w:numPr>
        <w:rPr>
          <w:color w:val="auto"/>
        </w:rPr>
      </w:pPr>
      <w:r w:rsidRPr="00E67F89">
        <w:rPr>
          <w:color w:val="auto"/>
        </w:rPr>
        <w:t xml:space="preserve">Sélection d’une entreprise respectant les mesures de sécurité, notamment le port d’EPI durant toute la période du chantier </w:t>
      </w:r>
    </w:p>
    <w:p w14:paraId="568FE0EF" w14:textId="660BE447" w:rsidR="00575CDF" w:rsidRPr="00C801A6" w:rsidRDefault="00575CDF" w:rsidP="00014BC0">
      <w:pPr>
        <w:pStyle w:val="Heading2"/>
      </w:pPr>
      <w:bookmarkStart w:id="669" w:name="_Toc106320374"/>
      <w:bookmarkStart w:id="670" w:name="_Toc230426075"/>
      <w:r w:rsidRPr="00C801A6">
        <w:t>CONCLUSIONS SUR LES CONSULTATIONS PUBLIQUES</w:t>
      </w:r>
      <w:bookmarkEnd w:id="668"/>
      <w:bookmarkEnd w:id="669"/>
      <w:bookmarkEnd w:id="670"/>
    </w:p>
    <w:p w14:paraId="2AF3D1E6" w14:textId="4B3EB0F3" w:rsidR="001538D6" w:rsidRPr="00A743E2" w:rsidRDefault="001538D6" w:rsidP="001538D6">
      <w:pPr>
        <w:rPr>
          <w:szCs w:val="24"/>
        </w:rPr>
      </w:pPr>
      <w:r>
        <w:rPr>
          <w:szCs w:val="24"/>
        </w:rPr>
        <w:t>E</w:t>
      </w:r>
      <w:r w:rsidRPr="00A743E2">
        <w:rPr>
          <w:szCs w:val="24"/>
        </w:rPr>
        <w:t xml:space="preserve">n général toutes les parties prenantes sont toutes intéressées et </w:t>
      </w:r>
      <w:r>
        <w:rPr>
          <w:szCs w:val="24"/>
        </w:rPr>
        <w:t xml:space="preserve">souhaitent toutes être </w:t>
      </w:r>
      <w:r w:rsidRPr="00A743E2">
        <w:rPr>
          <w:szCs w:val="24"/>
        </w:rPr>
        <w:t xml:space="preserve">impliquées dans </w:t>
      </w:r>
      <w:r>
        <w:rPr>
          <w:szCs w:val="24"/>
        </w:rPr>
        <w:t>la préparation et la mise en œuvre du</w:t>
      </w:r>
      <w:r w:rsidRPr="00A743E2">
        <w:rPr>
          <w:szCs w:val="24"/>
        </w:rPr>
        <w:t xml:space="preserve"> P</w:t>
      </w:r>
      <w:r>
        <w:rPr>
          <w:szCs w:val="24"/>
        </w:rPr>
        <w:t>rogramme envisagé, d’une part</w:t>
      </w:r>
      <w:r w:rsidRPr="00A743E2">
        <w:rPr>
          <w:szCs w:val="24"/>
        </w:rPr>
        <w:t xml:space="preserve"> en tant qu’usagers des infrastructures routières et, d’autre part, en raison de leurs fonctions et statuts respectifs.</w:t>
      </w:r>
    </w:p>
    <w:p w14:paraId="66C81C13" w14:textId="77777777" w:rsidR="001538D6" w:rsidRPr="00A743E2" w:rsidRDefault="001538D6" w:rsidP="001538D6">
      <w:pPr>
        <w:rPr>
          <w:szCs w:val="24"/>
        </w:rPr>
      </w:pPr>
      <w:r w:rsidRPr="00A743E2">
        <w:rPr>
          <w:szCs w:val="24"/>
        </w:rPr>
        <w:t xml:space="preserve">Quant aux engagements, outre les secteurs publics, les parties prenantes sont </w:t>
      </w:r>
      <w:r>
        <w:rPr>
          <w:szCs w:val="24"/>
        </w:rPr>
        <w:t>prêtes</w:t>
      </w:r>
      <w:r w:rsidRPr="00A743E2">
        <w:rPr>
          <w:szCs w:val="24"/>
        </w:rPr>
        <w:t xml:space="preserve"> pour la sensibilisation, l’éducation et la formation des usagers de la route, des riverains, des différentes collectivités territoriales quant à la préservation du patrimoine routier</w:t>
      </w:r>
      <w:r>
        <w:rPr>
          <w:szCs w:val="24"/>
        </w:rPr>
        <w:t xml:space="preserve"> et</w:t>
      </w:r>
      <w:r w:rsidRPr="00A743E2">
        <w:rPr>
          <w:szCs w:val="24"/>
        </w:rPr>
        <w:t xml:space="preserve"> du respect des textes règlementaires. </w:t>
      </w:r>
    </w:p>
    <w:p w14:paraId="25E9F599" w14:textId="77777777" w:rsidR="001538D6" w:rsidRDefault="001538D6" w:rsidP="001538D6">
      <w:r>
        <w:t>Toutes les parties ont compris que le Programme envisagé sera phasé.</w:t>
      </w:r>
    </w:p>
    <w:p w14:paraId="263568FB" w14:textId="6A091D4D" w:rsidR="000451C5" w:rsidRDefault="001538D6" w:rsidP="000451C5">
      <w:r>
        <w:t xml:space="preserve">Autrement, au vu de la pertinence et de l’urgence des actions, il n’a pas été difficile d’obtenir l’adhésion des parties. </w:t>
      </w:r>
      <w:r w:rsidR="000451C5">
        <w:br w:type="page"/>
      </w:r>
    </w:p>
    <w:p w14:paraId="5485A68E" w14:textId="77777777" w:rsidR="00575CDF" w:rsidRPr="00C801A6" w:rsidRDefault="00575CDF" w:rsidP="00014BC0">
      <w:pPr>
        <w:pStyle w:val="Heading1"/>
      </w:pPr>
      <w:bookmarkStart w:id="671" w:name="_Toc71794961"/>
      <w:bookmarkStart w:id="672" w:name="_Toc106320375"/>
      <w:bookmarkStart w:id="673" w:name="_Toc230426076"/>
      <w:r w:rsidRPr="00C801A6">
        <w:lastRenderedPageBreak/>
        <w:t>CADRE DE GESTION ENVIRONNEMENTALE ET SOCIALE</w:t>
      </w:r>
      <w:bookmarkEnd w:id="671"/>
      <w:bookmarkEnd w:id="672"/>
      <w:bookmarkEnd w:id="673"/>
    </w:p>
    <w:p w14:paraId="265383A8" w14:textId="77777777" w:rsidR="00575CDF" w:rsidRPr="00C801A6" w:rsidRDefault="00575CDF" w:rsidP="00014BC0">
      <w:pPr>
        <w:pStyle w:val="Heading2"/>
      </w:pPr>
      <w:bookmarkStart w:id="674" w:name="_Toc71794962"/>
      <w:bookmarkStart w:id="675" w:name="_Toc106320376"/>
      <w:bookmarkStart w:id="676" w:name="_Toc230426077"/>
      <w:r w:rsidRPr="00C801A6">
        <w:t>PROCESSUS D’EVALUATION ENVIRONNEMENTALE &amp; SOCIALE</w:t>
      </w:r>
      <w:bookmarkEnd w:id="674"/>
      <w:bookmarkEnd w:id="675"/>
      <w:bookmarkEnd w:id="676"/>
    </w:p>
    <w:p w14:paraId="6CEE9759" w14:textId="77777777" w:rsidR="00575CDF" w:rsidRPr="007C610D" w:rsidRDefault="00575CDF" w:rsidP="007C610D">
      <w:pPr>
        <w:rPr>
          <w:b/>
          <w:bCs/>
        </w:rPr>
      </w:pPr>
      <w:bookmarkStart w:id="677" w:name="_Toc71794963"/>
      <w:bookmarkStart w:id="678" w:name="_Toc106320377"/>
      <w:r w:rsidRPr="007C610D">
        <w:rPr>
          <w:b/>
          <w:bCs/>
        </w:rPr>
        <w:t>Etape 1. Examen environnemental et social préliminaire</w:t>
      </w:r>
      <w:bookmarkEnd w:id="677"/>
      <w:bookmarkEnd w:id="678"/>
    </w:p>
    <w:p w14:paraId="183130F0" w14:textId="77777777" w:rsidR="00575CDF" w:rsidRPr="00C801A6" w:rsidRDefault="00575CDF" w:rsidP="00575CDF">
      <w:pPr>
        <w:rPr>
          <w:color w:val="auto"/>
        </w:rPr>
      </w:pPr>
      <w:r w:rsidRPr="00C801A6">
        <w:rPr>
          <w:color w:val="auto"/>
        </w:rPr>
        <w:t>L’examen environnemental et social préliminaire consiste à définir les caractéristiques du sous-projet envisagé afin de déterminer l’ampleur de ses impacts négatifs potentiels. La démarche permet (i) de catégoriser ledit sous-projet et (ii) de déterminer les types de document d’évaluation environnementale et sociale à produire et le type de consultation du public à mener.</w:t>
      </w:r>
    </w:p>
    <w:p w14:paraId="322F278D" w14:textId="77777777" w:rsidR="00575CDF" w:rsidRPr="00C801A6" w:rsidRDefault="00575CDF" w:rsidP="00575CDF">
      <w:pPr>
        <w:rPr>
          <w:color w:val="auto"/>
        </w:rPr>
      </w:pPr>
      <w:r w:rsidRPr="00C801A6">
        <w:rPr>
          <w:color w:val="auto"/>
        </w:rPr>
        <w:t>Les inputs requis se rapportent aux éléments ci-après :</w:t>
      </w:r>
    </w:p>
    <w:p w14:paraId="560D272F" w14:textId="77777777" w:rsidR="00575CDF" w:rsidRPr="00C801A6" w:rsidRDefault="00575CDF" w:rsidP="00844538">
      <w:pPr>
        <w:numPr>
          <w:ilvl w:val="0"/>
          <w:numId w:val="48"/>
        </w:numPr>
        <w:spacing w:after="120" w:line="240" w:lineRule="auto"/>
        <w:ind w:left="714" w:hanging="357"/>
        <w:rPr>
          <w:color w:val="auto"/>
        </w:rPr>
      </w:pPr>
      <w:r w:rsidRPr="00C801A6">
        <w:rPr>
          <w:color w:val="auto"/>
        </w:rPr>
        <w:t>localisation et nature du sous-projet et des travaux ;</w:t>
      </w:r>
    </w:p>
    <w:p w14:paraId="51A5238B" w14:textId="77777777" w:rsidR="00575CDF" w:rsidRPr="00C801A6" w:rsidRDefault="00575CDF" w:rsidP="00844538">
      <w:pPr>
        <w:numPr>
          <w:ilvl w:val="0"/>
          <w:numId w:val="48"/>
        </w:numPr>
        <w:spacing w:after="120" w:line="240" w:lineRule="auto"/>
        <w:ind w:left="714" w:hanging="357"/>
        <w:rPr>
          <w:color w:val="auto"/>
        </w:rPr>
      </w:pPr>
      <w:r w:rsidRPr="00C801A6">
        <w:rPr>
          <w:color w:val="auto"/>
        </w:rPr>
        <w:t>enjeux environnementaux et sociaux potentiels ;</w:t>
      </w:r>
    </w:p>
    <w:p w14:paraId="475173CC" w14:textId="77777777" w:rsidR="00575CDF" w:rsidRPr="00C801A6" w:rsidRDefault="00575CDF" w:rsidP="00844538">
      <w:pPr>
        <w:numPr>
          <w:ilvl w:val="0"/>
          <w:numId w:val="48"/>
        </w:numPr>
        <w:spacing w:after="120" w:line="240" w:lineRule="auto"/>
        <w:ind w:left="714" w:hanging="357"/>
        <w:rPr>
          <w:color w:val="auto"/>
        </w:rPr>
      </w:pPr>
      <w:r w:rsidRPr="00C801A6">
        <w:rPr>
          <w:color w:val="auto"/>
        </w:rPr>
        <w:t>activités spécifiques (type d’entretien, localisation et activités de la base-vie, extraction de matériaux ...) ayant des risques et impacts particuliers sur l’environnement et nécessitant des mesures d’atténuation appropriées ;</w:t>
      </w:r>
    </w:p>
    <w:p w14:paraId="1AD42CF5" w14:textId="3C0582CC" w:rsidR="00575CDF" w:rsidRPr="00C801A6" w:rsidRDefault="00575CDF" w:rsidP="00844538">
      <w:pPr>
        <w:numPr>
          <w:ilvl w:val="0"/>
          <w:numId w:val="48"/>
        </w:numPr>
        <w:spacing w:line="240" w:lineRule="auto"/>
        <w:ind w:left="714" w:hanging="357"/>
        <w:rPr>
          <w:color w:val="auto"/>
        </w:rPr>
      </w:pPr>
      <w:r w:rsidRPr="00C801A6">
        <w:rPr>
          <w:color w:val="auto"/>
        </w:rPr>
        <w:t xml:space="preserve">normes environnementales et sociales de la </w:t>
      </w:r>
      <w:r w:rsidR="00B910A0" w:rsidRPr="00C801A6">
        <w:rPr>
          <w:color w:val="auto"/>
        </w:rPr>
        <w:t>Banque mondiale</w:t>
      </w:r>
      <w:r w:rsidRPr="00C801A6">
        <w:rPr>
          <w:color w:val="auto"/>
        </w:rPr>
        <w:t xml:space="preserve"> applicables.</w:t>
      </w:r>
    </w:p>
    <w:p w14:paraId="58CD704B" w14:textId="5DFC52D0" w:rsidR="00575CDF" w:rsidRPr="00C801A6" w:rsidRDefault="00575CDF" w:rsidP="00575CDF">
      <w:pPr>
        <w:rPr>
          <w:color w:val="auto"/>
        </w:rPr>
      </w:pPr>
      <w:r w:rsidRPr="00C801A6">
        <w:rPr>
          <w:color w:val="auto"/>
        </w:rPr>
        <w:t>Cette étape sera assurée par l’U</w:t>
      </w:r>
      <w:r w:rsidR="000561B0">
        <w:rPr>
          <w:color w:val="auto"/>
        </w:rPr>
        <w:t>C</w:t>
      </w:r>
      <w:r w:rsidRPr="00C801A6">
        <w:rPr>
          <w:color w:val="auto"/>
        </w:rPr>
        <w:t>P.</w:t>
      </w:r>
    </w:p>
    <w:p w14:paraId="5C59DD6A" w14:textId="77777777" w:rsidR="00575CDF" w:rsidRPr="00DA3B4C" w:rsidRDefault="00575CDF" w:rsidP="00DA3B4C">
      <w:pPr>
        <w:rPr>
          <w:b/>
          <w:bCs/>
        </w:rPr>
      </w:pPr>
      <w:bookmarkStart w:id="679" w:name="_Toc71794964"/>
      <w:bookmarkStart w:id="680" w:name="_Toc230298811"/>
      <w:r w:rsidRPr="00DA3B4C">
        <w:rPr>
          <w:b/>
          <w:bCs/>
        </w:rPr>
        <w:t>Notes sur la catégorisation des sous projets selon le décret MECIE</w:t>
      </w:r>
      <w:bookmarkEnd w:id="679"/>
      <w:bookmarkEnd w:id="680"/>
    </w:p>
    <w:p w14:paraId="7E90021F" w14:textId="01B58E95" w:rsidR="00575CDF" w:rsidRPr="00C801A6" w:rsidRDefault="00575CDF" w:rsidP="00575CDF">
      <w:pPr>
        <w:rPr>
          <w:color w:val="auto"/>
        </w:rPr>
      </w:pPr>
      <w:r w:rsidRPr="00C801A6">
        <w:rPr>
          <w:color w:val="auto"/>
        </w:rPr>
        <w:t>Selon les dispositions du Décret n</w:t>
      </w:r>
      <w:r w:rsidR="00BE7F19">
        <w:rPr>
          <w:color w:val="auto"/>
        </w:rPr>
        <w:t>°2025-080 du 28 janvier 2025 fixe les règles et procédures de l’Evaluation Environnementale et Sociale pour la</w:t>
      </w:r>
      <w:r w:rsidRPr="00C801A6">
        <w:rPr>
          <w:color w:val="auto"/>
        </w:rPr>
        <w:t xml:space="preserve"> Mise en Compatibilité des Investissements avec l’Environnement (MECIE), les projets peuvent être classifiés en trois catégories :</w:t>
      </w:r>
    </w:p>
    <w:p w14:paraId="75AE5E90" w14:textId="2D2BA746" w:rsidR="00575CDF" w:rsidRPr="00C801A6" w:rsidRDefault="00575CDF" w:rsidP="00844538">
      <w:pPr>
        <w:pStyle w:val="ListParagraph"/>
        <w:numPr>
          <w:ilvl w:val="0"/>
          <w:numId w:val="51"/>
        </w:numPr>
        <w:spacing w:line="276" w:lineRule="auto"/>
        <w:ind w:left="850" w:hanging="425"/>
        <w:contextualSpacing w:val="0"/>
        <w:rPr>
          <w:color w:val="auto"/>
        </w:rPr>
      </w:pPr>
      <w:r w:rsidRPr="00C801A6">
        <w:rPr>
          <w:color w:val="auto"/>
        </w:rPr>
        <w:t xml:space="preserve">Annexe 1 : elle donne la liste (avec seuils) des sou-projets soumis à une Etude d’impact environnemental </w:t>
      </w:r>
      <w:r w:rsidR="00591739">
        <w:rPr>
          <w:color w:val="auto"/>
        </w:rPr>
        <w:t xml:space="preserve">et social </w:t>
      </w:r>
      <w:r w:rsidRPr="00C801A6">
        <w:rPr>
          <w:color w:val="auto"/>
        </w:rPr>
        <w:t>(ou EIE</w:t>
      </w:r>
      <w:r w:rsidR="00591739">
        <w:rPr>
          <w:color w:val="auto"/>
        </w:rPr>
        <w:t>S</w:t>
      </w:r>
      <w:r w:rsidRPr="00C801A6">
        <w:rPr>
          <w:color w:val="auto"/>
        </w:rPr>
        <w:t>): les projets soumis à EIE</w:t>
      </w:r>
      <w:r w:rsidR="00E51054">
        <w:rPr>
          <w:color w:val="auto"/>
        </w:rPr>
        <w:t>S</w:t>
      </w:r>
      <w:r w:rsidRPr="00C801A6">
        <w:rPr>
          <w:color w:val="auto"/>
        </w:rPr>
        <w:t xml:space="preserve"> sont des projets qui, de par leur nature technique, leur contiguïté, l’importance de leurs dimensions ou de la sensibilité du milieu d’implantation, sont susceptibles d’avoir des conséquences dommageables sur l’environnement</w:t>
      </w:r>
      <w:r w:rsidR="00E51054">
        <w:rPr>
          <w:color w:val="auto"/>
        </w:rPr>
        <w:t>, sur la santé et les conditions de vie des populations</w:t>
      </w:r>
      <w:r w:rsidRPr="00C801A6">
        <w:rPr>
          <w:color w:val="auto"/>
        </w:rPr>
        <w:t>.</w:t>
      </w:r>
    </w:p>
    <w:p w14:paraId="3D6EAB88" w14:textId="7EBCE44C" w:rsidR="00575CDF" w:rsidRPr="00C801A6" w:rsidRDefault="00575CDF" w:rsidP="00844538">
      <w:pPr>
        <w:pStyle w:val="ListParagraph"/>
        <w:numPr>
          <w:ilvl w:val="0"/>
          <w:numId w:val="51"/>
        </w:numPr>
        <w:spacing w:line="276" w:lineRule="auto"/>
        <w:ind w:left="850" w:hanging="425"/>
        <w:contextualSpacing w:val="0"/>
        <w:rPr>
          <w:color w:val="auto"/>
        </w:rPr>
      </w:pPr>
      <w:r w:rsidRPr="00C801A6">
        <w:rPr>
          <w:color w:val="auto"/>
        </w:rPr>
        <w:t>Annexe 2 : sous-projets soumis à un Programme d’Engagement Environnemental</w:t>
      </w:r>
      <w:r w:rsidR="00591739">
        <w:rPr>
          <w:color w:val="auto"/>
        </w:rPr>
        <w:t xml:space="preserve"> et Social</w:t>
      </w:r>
      <w:r w:rsidRPr="00C801A6">
        <w:rPr>
          <w:color w:val="auto"/>
        </w:rPr>
        <w:t xml:space="preserve"> (PREE</w:t>
      </w:r>
      <w:r w:rsidR="00591739">
        <w:rPr>
          <w:color w:val="auto"/>
        </w:rPr>
        <w:t>S</w:t>
      </w:r>
      <w:r w:rsidRPr="00C801A6">
        <w:rPr>
          <w:color w:val="auto"/>
        </w:rPr>
        <w:t>). Ce sont des sous-projets dont la nature, l’ampleur et d’autres caractéristiques connexes ont le potentiel de provoquer certains impacts sur l'environnement, impacts qui ne sont cependant pas suffisamment importants pour justifier une EIE</w:t>
      </w:r>
      <w:r w:rsidR="00591739">
        <w:rPr>
          <w:color w:val="auto"/>
        </w:rPr>
        <w:t>S</w:t>
      </w:r>
      <w:r w:rsidRPr="00C801A6">
        <w:rPr>
          <w:color w:val="auto"/>
        </w:rPr>
        <w:t xml:space="preserve"> </w:t>
      </w:r>
      <w:r w:rsidR="00E51054">
        <w:rPr>
          <w:color w:val="auto"/>
        </w:rPr>
        <w:t>mais une étude allégée</w:t>
      </w:r>
      <w:r w:rsidRPr="00C801A6">
        <w:rPr>
          <w:color w:val="auto"/>
        </w:rPr>
        <w:t xml:space="preserve">. </w:t>
      </w:r>
      <w:r w:rsidR="00E51054">
        <w:rPr>
          <w:color w:val="auto"/>
        </w:rPr>
        <w:t>Les impacts du projets sont jugées modérés.</w:t>
      </w:r>
    </w:p>
    <w:p w14:paraId="59B74590" w14:textId="2BB9BA26" w:rsidR="00575CDF" w:rsidRPr="00C801A6" w:rsidRDefault="00575CDF" w:rsidP="00575CDF">
      <w:pPr>
        <w:rPr>
          <w:color w:val="auto"/>
        </w:rPr>
      </w:pPr>
      <w:r w:rsidRPr="00C801A6">
        <w:rPr>
          <w:color w:val="auto"/>
        </w:rPr>
        <w:t xml:space="preserve">En plus des classifications des Annexes 1 et 2 du décret MECIE, il faut considérer les disposition de l’article </w:t>
      </w:r>
      <w:r w:rsidR="00E4759D">
        <w:rPr>
          <w:color w:val="auto"/>
        </w:rPr>
        <w:t>81</w:t>
      </w:r>
      <w:r w:rsidRPr="00C801A6">
        <w:rPr>
          <w:color w:val="auto"/>
        </w:rPr>
        <w:t xml:space="preserve"> qui édictent que « Toutes implantations ou modifications des aménagements, ouvrages et travaux susceptibles, de par leur nature technique, leur contiguïté, l’importance de leurs dimensions ou de la sensibilité du milieu d’implantation, d’avoir des conséquences dommageables sur l’environnement, </w:t>
      </w:r>
      <w:r w:rsidR="004016C9">
        <w:rPr>
          <w:color w:val="auto"/>
        </w:rPr>
        <w:t xml:space="preserve">la santé publique, et la biodiversité, </w:t>
      </w:r>
      <w:r w:rsidRPr="00C801A6">
        <w:rPr>
          <w:color w:val="auto"/>
        </w:rPr>
        <w:t xml:space="preserve">non visées par </w:t>
      </w:r>
      <w:r w:rsidR="004016C9">
        <w:rPr>
          <w:color w:val="auto"/>
        </w:rPr>
        <w:t>la définition des zones sensibles</w:t>
      </w:r>
      <w:r w:rsidRPr="00C801A6">
        <w:rPr>
          <w:color w:val="auto"/>
        </w:rPr>
        <w:t xml:space="preserve">ou par l’annexe 1 du présent Décret </w:t>
      </w:r>
      <w:r w:rsidR="004016C9">
        <w:rPr>
          <w:color w:val="auto"/>
        </w:rPr>
        <w:t>ou</w:t>
      </w:r>
      <w:r w:rsidRPr="00C801A6">
        <w:rPr>
          <w:color w:val="auto"/>
        </w:rPr>
        <w:t xml:space="preserve"> pour </w:t>
      </w:r>
      <w:r w:rsidRPr="00C801A6">
        <w:rPr>
          <w:color w:val="auto"/>
        </w:rPr>
        <w:lastRenderedPageBreak/>
        <w:t>lesquelles l’ONE, dûment saisi ou non par le promoteur, et après consultation de la Cellule Environnementale du secteur concerné, notifie au promoteur qu’une EIE</w:t>
      </w:r>
      <w:r w:rsidR="00ED6AA7">
        <w:rPr>
          <w:color w:val="auto"/>
        </w:rPr>
        <w:t>S</w:t>
      </w:r>
      <w:r w:rsidRPr="00C801A6">
        <w:rPr>
          <w:color w:val="auto"/>
        </w:rPr>
        <w:t xml:space="preserve"> est nécessaire ».</w:t>
      </w:r>
    </w:p>
    <w:p w14:paraId="66F49840" w14:textId="3401CCEE" w:rsidR="00575CDF" w:rsidRPr="00C801A6" w:rsidRDefault="00575CDF" w:rsidP="00575CDF">
      <w:pPr>
        <w:rPr>
          <w:color w:val="auto"/>
        </w:rPr>
      </w:pPr>
      <w:r w:rsidRPr="00C801A6">
        <w:rPr>
          <w:color w:val="auto"/>
        </w:rPr>
        <w:t xml:space="preserve">Les sous-projets qui ne figurent pas dans les Annexes 1 et 2 et qui ne sont pas concernés par l’article ci-dessus ne nécessitent aucun des documents environnementaux spécifiques. </w:t>
      </w:r>
    </w:p>
    <w:p w14:paraId="5081C184" w14:textId="3A779CF5" w:rsidR="00575CDF" w:rsidRPr="00DA3B4C" w:rsidRDefault="00575CDF" w:rsidP="00DA3B4C">
      <w:pPr>
        <w:rPr>
          <w:b/>
          <w:bCs/>
        </w:rPr>
      </w:pPr>
      <w:bookmarkStart w:id="681" w:name="_Toc71794965"/>
      <w:bookmarkStart w:id="682" w:name="_Toc230298812"/>
      <w:r w:rsidRPr="00DA3B4C">
        <w:rPr>
          <w:b/>
          <w:bCs/>
        </w:rPr>
        <w:t xml:space="preserve">Notes sur la classification selon le CES de la </w:t>
      </w:r>
      <w:bookmarkEnd w:id="681"/>
      <w:r w:rsidR="00B910A0" w:rsidRPr="00DA3B4C">
        <w:rPr>
          <w:b/>
          <w:bCs/>
        </w:rPr>
        <w:t>Banque mondiale</w:t>
      </w:r>
      <w:bookmarkEnd w:id="682"/>
    </w:p>
    <w:p w14:paraId="1CE9BEDF" w14:textId="7893C6F9" w:rsidR="00575CDF" w:rsidRPr="00C801A6" w:rsidRDefault="00575CDF" w:rsidP="00575CDF">
      <w:pPr>
        <w:rPr>
          <w:color w:val="auto"/>
        </w:rPr>
      </w:pPr>
      <w:r w:rsidRPr="00C801A6">
        <w:rPr>
          <w:color w:val="auto"/>
        </w:rPr>
        <w:t xml:space="preserve">Selon le nouveau CES de la </w:t>
      </w:r>
      <w:r w:rsidR="00B910A0" w:rsidRPr="00C801A6">
        <w:rPr>
          <w:color w:val="auto"/>
        </w:rPr>
        <w:t>Banque mondiale</w:t>
      </w:r>
      <w:r w:rsidRPr="00C801A6">
        <w:rPr>
          <w:color w:val="auto"/>
        </w:rPr>
        <w:t>, les sous-projets comprennent 4 classes niveaux en fonction du niveau des risques E&amp;S qui s’y rapportent :</w:t>
      </w:r>
    </w:p>
    <w:p w14:paraId="4E4C234A" w14:textId="77777777" w:rsidR="00575CDF" w:rsidRPr="00C801A6" w:rsidRDefault="00575CDF" w:rsidP="00844538">
      <w:pPr>
        <w:pStyle w:val="ListParagraph"/>
        <w:numPr>
          <w:ilvl w:val="0"/>
          <w:numId w:val="52"/>
        </w:numPr>
        <w:spacing w:line="276" w:lineRule="auto"/>
        <w:ind w:left="851" w:hanging="425"/>
        <w:contextualSpacing w:val="0"/>
        <w:rPr>
          <w:color w:val="auto"/>
        </w:rPr>
      </w:pPr>
      <w:r w:rsidRPr="00C801A6">
        <w:rPr>
          <w:color w:val="auto"/>
          <w:u w:val="single"/>
        </w:rPr>
        <w:t>Risque élevé :</w:t>
      </w:r>
      <w:r w:rsidRPr="00C801A6">
        <w:rPr>
          <w:color w:val="auto"/>
        </w:rPr>
        <w:t xml:space="preserve"> regroupe les sous-projets qui présentent des risques environnementaux et sociaux majeurs avec des incidences négatives, irréversibles, multiples, sans précédent, avec, par exemple, des effets ressentis dans une zone plus vaste que le site. Selon le CES, ce type de sous-projet nécessite l’intervention d’experts et de spécialistes qui fourniront des conseils et qui exerceront un contrôle sur le sous-projet de manière indépendante (Panel)</w:t>
      </w:r>
    </w:p>
    <w:p w14:paraId="59F2A326" w14:textId="77777777" w:rsidR="00575CDF" w:rsidRPr="00C801A6" w:rsidRDefault="00575CDF" w:rsidP="00844538">
      <w:pPr>
        <w:pStyle w:val="ListParagraph"/>
        <w:numPr>
          <w:ilvl w:val="0"/>
          <w:numId w:val="52"/>
        </w:numPr>
        <w:spacing w:line="276" w:lineRule="auto"/>
        <w:ind w:left="851" w:hanging="425"/>
        <w:contextualSpacing w:val="0"/>
        <w:rPr>
          <w:color w:val="auto"/>
        </w:rPr>
      </w:pPr>
      <w:r w:rsidRPr="00C801A6">
        <w:rPr>
          <w:color w:val="auto"/>
          <w:u w:val="single"/>
        </w:rPr>
        <w:t>Risque substantiel :</w:t>
      </w:r>
      <w:r w:rsidRPr="00C801A6">
        <w:rPr>
          <w:color w:val="auto"/>
        </w:rPr>
        <w:t xml:space="preserve"> les risques sont dits « substantiels » lorsqu’ils sont qualifiés de « majeurs » ou « importants » sur les habitats critiques et les habitants naturels, sur la santé et la sécurité des travailleurs, sur le patrimoine culturel, sur les ressources naturelles biologiques. Selon le CES, il doit être préparé en cas de risques substantiels sur la biodiversité, le Plan de gestion de la biodiversité. </w:t>
      </w:r>
    </w:p>
    <w:p w14:paraId="4C69DDC4" w14:textId="77777777" w:rsidR="00575CDF" w:rsidRPr="00C801A6" w:rsidRDefault="00575CDF" w:rsidP="00844538">
      <w:pPr>
        <w:pStyle w:val="ListParagraph"/>
        <w:numPr>
          <w:ilvl w:val="0"/>
          <w:numId w:val="52"/>
        </w:numPr>
        <w:spacing w:line="276" w:lineRule="auto"/>
        <w:ind w:left="851" w:hanging="425"/>
        <w:contextualSpacing w:val="0"/>
        <w:rPr>
          <w:color w:val="auto"/>
        </w:rPr>
      </w:pPr>
      <w:r w:rsidRPr="00C801A6">
        <w:rPr>
          <w:color w:val="auto"/>
          <w:u w:val="single"/>
        </w:rPr>
        <w:t>Risque modéré :</w:t>
      </w:r>
      <w:r w:rsidRPr="00C801A6">
        <w:rPr>
          <w:color w:val="auto"/>
        </w:rPr>
        <w:t xml:space="preserve"> On parle de « risques modérés » lorsqu’ils ne sont pas graves, et restent à des niveaux acceptables. </w:t>
      </w:r>
    </w:p>
    <w:p w14:paraId="146D96CD" w14:textId="77777777" w:rsidR="00575CDF" w:rsidRPr="00C801A6" w:rsidRDefault="00575CDF" w:rsidP="00844538">
      <w:pPr>
        <w:pStyle w:val="ListParagraph"/>
        <w:numPr>
          <w:ilvl w:val="0"/>
          <w:numId w:val="52"/>
        </w:numPr>
        <w:spacing w:line="276" w:lineRule="auto"/>
        <w:ind w:left="851" w:hanging="425"/>
        <w:contextualSpacing w:val="0"/>
        <w:rPr>
          <w:color w:val="auto"/>
        </w:rPr>
      </w:pPr>
      <w:r w:rsidRPr="00C801A6">
        <w:rPr>
          <w:color w:val="auto"/>
          <w:u w:val="single"/>
        </w:rPr>
        <w:t>Risque faible </w:t>
      </w:r>
      <w:r w:rsidRPr="00C801A6">
        <w:rPr>
          <w:color w:val="auto"/>
        </w:rPr>
        <w:t>: correspond aux sous-projets sans impacts significatifs sur l’environnement et le social. Ce sont des risques qui peuvent être neutralisés avec des mesures d’atténuation simples (prescriptions)</w:t>
      </w:r>
    </w:p>
    <w:p w14:paraId="4B3EEDD8" w14:textId="77777777" w:rsidR="00575CDF" w:rsidRPr="00C801A6" w:rsidRDefault="00575CDF" w:rsidP="00575CDF">
      <w:pPr>
        <w:rPr>
          <w:color w:val="auto"/>
        </w:rPr>
      </w:pPr>
      <w:r w:rsidRPr="00C801A6">
        <w:rPr>
          <w:color w:val="auto"/>
        </w:rPr>
        <w:t>A rappeler que les sous projets à risque élevé ne sont pas éligibles dans le cadre du présent Projet.</w:t>
      </w:r>
    </w:p>
    <w:p w14:paraId="48375A39" w14:textId="77777777" w:rsidR="00575CDF" w:rsidRPr="007C610D" w:rsidRDefault="00575CDF" w:rsidP="007C610D">
      <w:pPr>
        <w:rPr>
          <w:b/>
          <w:bCs/>
        </w:rPr>
      </w:pPr>
      <w:bookmarkStart w:id="683" w:name="_Toc71794966"/>
      <w:bookmarkStart w:id="684" w:name="_Toc106320378"/>
      <w:r w:rsidRPr="007C610D">
        <w:rPr>
          <w:b/>
          <w:bCs/>
        </w:rPr>
        <w:t>Etape 2 : Réalisation de l’étude environnementale et sociale</w:t>
      </w:r>
      <w:bookmarkEnd w:id="683"/>
      <w:bookmarkEnd w:id="684"/>
    </w:p>
    <w:p w14:paraId="0E8D25FC" w14:textId="77777777" w:rsidR="00575CDF" w:rsidRPr="00C801A6" w:rsidRDefault="00575CDF" w:rsidP="00575CDF">
      <w:pPr>
        <w:rPr>
          <w:color w:val="auto"/>
        </w:rPr>
      </w:pPr>
      <w:r w:rsidRPr="00C801A6">
        <w:rPr>
          <w:color w:val="auto"/>
        </w:rPr>
        <w:t>Globalement, cette étape comprend les activités suivantes :</w:t>
      </w:r>
    </w:p>
    <w:p w14:paraId="57F6EFE4" w14:textId="77777777" w:rsidR="00575CDF" w:rsidRPr="00C801A6" w:rsidRDefault="00575CDF" w:rsidP="00844538">
      <w:pPr>
        <w:pStyle w:val="ListParagraph"/>
        <w:numPr>
          <w:ilvl w:val="0"/>
          <w:numId w:val="53"/>
        </w:numPr>
        <w:spacing w:before="160" w:after="0" w:line="276" w:lineRule="auto"/>
        <w:ind w:left="851" w:hanging="425"/>
        <w:contextualSpacing w:val="0"/>
        <w:rPr>
          <w:color w:val="auto"/>
        </w:rPr>
      </w:pPr>
      <w:r w:rsidRPr="00C801A6">
        <w:rPr>
          <w:color w:val="auto"/>
        </w:rPr>
        <w:t>Préparation des termes de référence des études à réaliser.</w:t>
      </w:r>
    </w:p>
    <w:p w14:paraId="375DD246" w14:textId="77777777" w:rsidR="00575CDF" w:rsidRPr="00C801A6" w:rsidRDefault="00575CDF" w:rsidP="00844538">
      <w:pPr>
        <w:pStyle w:val="ListParagraph"/>
        <w:numPr>
          <w:ilvl w:val="0"/>
          <w:numId w:val="53"/>
        </w:numPr>
        <w:spacing w:before="80" w:after="0" w:line="276" w:lineRule="auto"/>
        <w:ind w:left="851" w:hanging="425"/>
        <w:contextualSpacing w:val="0"/>
        <w:rPr>
          <w:color w:val="auto"/>
        </w:rPr>
      </w:pPr>
      <w:r w:rsidRPr="00C801A6">
        <w:rPr>
          <w:color w:val="auto"/>
        </w:rPr>
        <w:t>Recrutement de consultants qualifiés pour les conduire.</w:t>
      </w:r>
    </w:p>
    <w:p w14:paraId="2558961B" w14:textId="77777777" w:rsidR="00575CDF" w:rsidRPr="00C801A6" w:rsidRDefault="00575CDF" w:rsidP="00844538">
      <w:pPr>
        <w:pStyle w:val="ListParagraph"/>
        <w:numPr>
          <w:ilvl w:val="0"/>
          <w:numId w:val="53"/>
        </w:numPr>
        <w:spacing w:before="80" w:after="0" w:line="276" w:lineRule="auto"/>
        <w:ind w:left="851" w:hanging="425"/>
        <w:contextualSpacing w:val="0"/>
        <w:rPr>
          <w:color w:val="auto"/>
        </w:rPr>
      </w:pPr>
      <w:r w:rsidRPr="00C801A6">
        <w:rPr>
          <w:color w:val="auto"/>
        </w:rPr>
        <w:t>Consultations publiques.</w:t>
      </w:r>
    </w:p>
    <w:p w14:paraId="52835902" w14:textId="77777777" w:rsidR="00575CDF" w:rsidRPr="00C801A6" w:rsidRDefault="00575CDF" w:rsidP="00844538">
      <w:pPr>
        <w:pStyle w:val="ListParagraph"/>
        <w:numPr>
          <w:ilvl w:val="0"/>
          <w:numId w:val="53"/>
        </w:numPr>
        <w:spacing w:before="80" w:line="276" w:lineRule="auto"/>
        <w:ind w:left="850" w:hanging="425"/>
        <w:contextualSpacing w:val="0"/>
        <w:rPr>
          <w:color w:val="auto"/>
        </w:rPr>
      </w:pPr>
      <w:r w:rsidRPr="00C801A6">
        <w:rPr>
          <w:color w:val="auto"/>
        </w:rPr>
        <w:t>Rédaction du Rapport d’étude.</w:t>
      </w:r>
    </w:p>
    <w:p w14:paraId="13FA7B58" w14:textId="77777777" w:rsidR="00575CDF" w:rsidRPr="00C801A6" w:rsidRDefault="00575CDF" w:rsidP="00575CDF">
      <w:pPr>
        <w:rPr>
          <w:color w:val="auto"/>
        </w:rPr>
      </w:pPr>
      <w:r w:rsidRPr="00C801A6">
        <w:rPr>
          <w:color w:val="auto"/>
        </w:rPr>
        <w:t>Aussi bien la législation nationale que les NES prévoient la participation du public dans la préparation de l’étude environnementale et sociale. Ainsi, des consultations publiques avec les communautés locales et les autres parties prenantes/affectées/intéressées seront organisées. Les résultats desdites consultations publiques seront pris en compte dans le rapport.</w:t>
      </w:r>
    </w:p>
    <w:p w14:paraId="0B5A9BBD" w14:textId="77777777" w:rsidR="00575CDF" w:rsidRPr="00C801A6" w:rsidRDefault="00575CDF" w:rsidP="00575CDF">
      <w:pPr>
        <w:rPr>
          <w:color w:val="auto"/>
        </w:rPr>
      </w:pPr>
      <w:r w:rsidRPr="00C801A6">
        <w:rPr>
          <w:color w:val="auto"/>
        </w:rPr>
        <w:lastRenderedPageBreak/>
        <w:t>En outre, tous les documents devront comporter des résumés non techniques en Malagasy, en Français et en Anglais afin d’en faciliter la compréhension. Les résumés indiqueront en des termes accessibles au public, l’état initial de l’environnement du sous-projet envisagé, les modifications apportées par le sous-projet et les mesures envisagées pour pallier les conséquences dommageables de l’investissement sur l’environnement et le social ainsi que les arrangements institutionnels pour sa mise en œuvre.</w:t>
      </w:r>
    </w:p>
    <w:p w14:paraId="2E15610D" w14:textId="77777777" w:rsidR="00575CDF" w:rsidRPr="007C610D" w:rsidRDefault="00575CDF" w:rsidP="007C610D">
      <w:pPr>
        <w:rPr>
          <w:b/>
          <w:bCs/>
        </w:rPr>
      </w:pPr>
      <w:bookmarkStart w:id="685" w:name="_Toc71794967"/>
      <w:bookmarkStart w:id="686" w:name="_Toc106320379"/>
      <w:r w:rsidRPr="007C610D">
        <w:rPr>
          <w:b/>
          <w:bCs/>
        </w:rPr>
        <w:t>Etape 3 : Evaluation des rapports</w:t>
      </w:r>
      <w:bookmarkEnd w:id="685"/>
      <w:bookmarkEnd w:id="686"/>
    </w:p>
    <w:p w14:paraId="0538FCD4" w14:textId="5845469A" w:rsidR="00575CDF" w:rsidRPr="00C801A6" w:rsidRDefault="00575CDF" w:rsidP="00575CDF">
      <w:pPr>
        <w:rPr>
          <w:color w:val="auto"/>
        </w:rPr>
      </w:pPr>
      <w:r w:rsidRPr="00C801A6">
        <w:rPr>
          <w:color w:val="auto"/>
        </w:rPr>
        <w:t xml:space="preserve">Le Rapport d’études environnementales et sociales sera d’abord soumis par le consultant au client. Par la suite, ce dernier le soumettra à son tour à la </w:t>
      </w:r>
      <w:r w:rsidR="00B910A0" w:rsidRPr="00C801A6">
        <w:rPr>
          <w:color w:val="auto"/>
        </w:rPr>
        <w:t>Banque mondiale</w:t>
      </w:r>
      <w:r w:rsidRPr="00C801A6">
        <w:rPr>
          <w:color w:val="auto"/>
        </w:rPr>
        <w:t xml:space="preserve"> pour évaluation.</w:t>
      </w:r>
    </w:p>
    <w:p w14:paraId="764800F7" w14:textId="77777777" w:rsidR="00575CDF" w:rsidRPr="00C801A6" w:rsidRDefault="00575CDF" w:rsidP="00575CDF">
      <w:pPr>
        <w:rPr>
          <w:color w:val="auto"/>
        </w:rPr>
      </w:pPr>
      <w:r w:rsidRPr="00C801A6">
        <w:rPr>
          <w:color w:val="auto"/>
        </w:rPr>
        <w:t>Une copie dudit Rapport sera envoyée au Ministère de tutelle afin que ce dernier soit au courant et puisse procéder au suivi environnemental et social participatif. En effet, de cette manière, le Ministère pourra aussi émettre des commentaires quant à la qualité du document et, durant la mise en œuvre, ses agents pourront également exercer leur mission de suivi environnemental &amp; social.</w:t>
      </w:r>
    </w:p>
    <w:p w14:paraId="435A0D86" w14:textId="77777777" w:rsidR="00575CDF" w:rsidRPr="007C610D" w:rsidRDefault="00575CDF" w:rsidP="007C610D">
      <w:pPr>
        <w:rPr>
          <w:b/>
          <w:bCs/>
        </w:rPr>
      </w:pPr>
      <w:bookmarkStart w:id="687" w:name="_Toc71794968"/>
      <w:bookmarkStart w:id="688" w:name="_Toc106320380"/>
      <w:r w:rsidRPr="007C610D">
        <w:rPr>
          <w:b/>
          <w:bCs/>
        </w:rPr>
        <w:t>Etape 4 : Diffusion des documents de sauvegarde</w:t>
      </w:r>
      <w:bookmarkEnd w:id="687"/>
      <w:bookmarkEnd w:id="688"/>
    </w:p>
    <w:p w14:paraId="70C5A904" w14:textId="77777777" w:rsidR="00575CDF" w:rsidRPr="00C801A6" w:rsidRDefault="00575CDF" w:rsidP="00575CDF">
      <w:pPr>
        <w:rPr>
          <w:color w:val="auto"/>
        </w:rPr>
      </w:pPr>
      <w:r w:rsidRPr="00C801A6">
        <w:rPr>
          <w:color w:val="auto"/>
        </w:rPr>
        <w:t>La législation nationale et le CES prévoient que les documents doivent être mis à la disposition du public.</w:t>
      </w:r>
    </w:p>
    <w:p w14:paraId="69F1E866" w14:textId="611257F5" w:rsidR="00575CDF" w:rsidRPr="00C801A6" w:rsidRDefault="00575CDF" w:rsidP="00575CDF">
      <w:pPr>
        <w:rPr>
          <w:color w:val="auto"/>
        </w:rPr>
      </w:pPr>
      <w:r w:rsidRPr="00C801A6">
        <w:rPr>
          <w:color w:val="auto"/>
        </w:rPr>
        <w:t>Pour ce faire, une fois approuvée par la Banque, les documents seront publiés sur le site Web du Projet. Avec l’autorisation du Gouvernement (représenté par l’U</w:t>
      </w:r>
      <w:r w:rsidR="003D76B7">
        <w:rPr>
          <w:color w:val="auto"/>
        </w:rPr>
        <w:t>C</w:t>
      </w:r>
      <w:r w:rsidRPr="00C801A6">
        <w:rPr>
          <w:color w:val="auto"/>
        </w:rPr>
        <w:t>P), la Banque les publiera également sur son site Web externe.</w:t>
      </w:r>
    </w:p>
    <w:p w14:paraId="006D8B44" w14:textId="77777777" w:rsidR="00575CDF" w:rsidRPr="00C801A6" w:rsidRDefault="00575CDF" w:rsidP="00575CDF">
      <w:pPr>
        <w:rPr>
          <w:color w:val="auto"/>
        </w:rPr>
      </w:pPr>
      <w:r w:rsidRPr="00C801A6">
        <w:rPr>
          <w:color w:val="auto"/>
        </w:rPr>
        <w:t>En respect des dispositions nationales et des exigences des NES de la Banque, des copies avec des résumés non techniques seront aussi être déposés au niveau des Communes à travers lesquelles la route visée passe.</w:t>
      </w:r>
    </w:p>
    <w:p w14:paraId="05846D00" w14:textId="77777777" w:rsidR="00575CDF" w:rsidRPr="007C610D" w:rsidRDefault="00575CDF" w:rsidP="007C610D">
      <w:pPr>
        <w:rPr>
          <w:b/>
          <w:bCs/>
        </w:rPr>
      </w:pPr>
      <w:bookmarkStart w:id="689" w:name="_Toc71794969"/>
      <w:bookmarkStart w:id="690" w:name="_Toc106320381"/>
      <w:r w:rsidRPr="007C610D">
        <w:rPr>
          <w:b/>
          <w:bCs/>
        </w:rPr>
        <w:t>Etape 5 : Intégration des dispositions environnementales et sociales dans les dossiers d’appel d’offres</w:t>
      </w:r>
      <w:bookmarkEnd w:id="689"/>
      <w:bookmarkEnd w:id="690"/>
    </w:p>
    <w:p w14:paraId="44563C71" w14:textId="77777777" w:rsidR="00575CDF" w:rsidRPr="00C801A6" w:rsidRDefault="00575CDF" w:rsidP="00575CDF">
      <w:pPr>
        <w:rPr>
          <w:color w:val="auto"/>
        </w:rPr>
      </w:pPr>
      <w:r w:rsidRPr="00C801A6">
        <w:rPr>
          <w:color w:val="auto"/>
        </w:rPr>
        <w:t>Quelle que soit le niveau de risque E&amp;S du sous-projet envisagé (risques faibles, risques modérés ou risques substantiels), les clauses/mesures environnementales et sociales définies dans le Plan de gestion environnementale et sociale devront être intégrées dans le dossier d’appel d’offres des travaux (DAO) qui y correspond. Par voie de conséquence, elles feront partie du contrat de l’Entreprise de travaux.</w:t>
      </w:r>
    </w:p>
    <w:p w14:paraId="3B599D2A" w14:textId="45726DBB" w:rsidR="00575CDF" w:rsidRPr="00C801A6" w:rsidRDefault="00575CDF" w:rsidP="00575CDF">
      <w:pPr>
        <w:rPr>
          <w:color w:val="auto"/>
        </w:rPr>
      </w:pPr>
      <w:r w:rsidRPr="00C801A6">
        <w:rPr>
          <w:color w:val="auto"/>
        </w:rPr>
        <w:t>Le Spécialiste environnemental et social de l’U</w:t>
      </w:r>
      <w:r w:rsidR="00C65708">
        <w:rPr>
          <w:color w:val="auto"/>
        </w:rPr>
        <w:t>C</w:t>
      </w:r>
      <w:r w:rsidRPr="00C801A6">
        <w:rPr>
          <w:color w:val="auto"/>
        </w:rPr>
        <w:t>P veillera à ce que toutes les prescriptions et recommandations environnementales et sociales soient effectivement intégrées dans les DAO.</w:t>
      </w:r>
    </w:p>
    <w:p w14:paraId="77EF343D" w14:textId="77777777" w:rsidR="00575CDF" w:rsidRPr="007C610D" w:rsidRDefault="00575CDF" w:rsidP="007C610D">
      <w:pPr>
        <w:rPr>
          <w:b/>
          <w:bCs/>
        </w:rPr>
      </w:pPr>
      <w:bookmarkStart w:id="691" w:name="_Toc71794970"/>
      <w:bookmarkStart w:id="692" w:name="_Toc106320382"/>
      <w:r w:rsidRPr="007C610D">
        <w:rPr>
          <w:b/>
          <w:bCs/>
        </w:rPr>
        <w:t>Etape 6 : Surveillance et suivi environnemental et social</w:t>
      </w:r>
      <w:bookmarkEnd w:id="691"/>
      <w:bookmarkEnd w:id="692"/>
    </w:p>
    <w:p w14:paraId="2EB3FC27" w14:textId="77777777" w:rsidR="00575CDF" w:rsidRPr="00C801A6" w:rsidRDefault="00575CDF" w:rsidP="00575CDF">
      <w:pPr>
        <w:rPr>
          <w:color w:val="auto"/>
        </w:rPr>
      </w:pPr>
      <w:r w:rsidRPr="00C801A6">
        <w:rPr>
          <w:color w:val="auto"/>
        </w:rPr>
        <w:t>La surveillance (se rapporte au contrôle de l’effectivité des mesures) et le suivi environnemental et social (changement dans les composantes affectées) sont menés en parallèle avec l’exécution des activités du sous-projet considéré :</w:t>
      </w:r>
    </w:p>
    <w:p w14:paraId="49DD1E89" w14:textId="77777777" w:rsidR="00575CDF" w:rsidRPr="00C801A6" w:rsidRDefault="00575CDF" w:rsidP="00844538">
      <w:pPr>
        <w:pStyle w:val="ListParagraph"/>
        <w:numPr>
          <w:ilvl w:val="0"/>
          <w:numId w:val="53"/>
        </w:numPr>
        <w:spacing w:line="276" w:lineRule="auto"/>
        <w:ind w:left="851" w:hanging="425"/>
        <w:rPr>
          <w:color w:val="auto"/>
        </w:rPr>
      </w:pPr>
      <w:r w:rsidRPr="00C801A6">
        <w:rPr>
          <w:color w:val="auto"/>
        </w:rPr>
        <w:lastRenderedPageBreak/>
        <w:t xml:space="preserve">La surveillance a pour principal objectif de s’assurer que les mesures préconisées sont effectivement mises en œuvre durant l’exécution du sous-projet ; </w:t>
      </w:r>
    </w:p>
    <w:p w14:paraId="42E95AB7" w14:textId="77777777" w:rsidR="00575CDF" w:rsidRPr="00C801A6" w:rsidRDefault="00575CDF" w:rsidP="00844538">
      <w:pPr>
        <w:pStyle w:val="ListParagraph"/>
        <w:numPr>
          <w:ilvl w:val="0"/>
          <w:numId w:val="53"/>
        </w:numPr>
        <w:spacing w:line="276" w:lineRule="auto"/>
        <w:ind w:left="851" w:hanging="425"/>
        <w:rPr>
          <w:color w:val="auto"/>
        </w:rPr>
      </w:pPr>
      <w:r w:rsidRPr="00C801A6">
        <w:rPr>
          <w:color w:val="auto"/>
        </w:rPr>
        <w:t>le suivi environnemental consiste à suivre les changements dans les composantes de l’environnement affecté et de préparer, le cas échéant, des mesures de correction appropriées.</w:t>
      </w:r>
    </w:p>
    <w:p w14:paraId="0D49FC5E" w14:textId="77777777" w:rsidR="00575CDF" w:rsidRPr="00C801A6" w:rsidRDefault="00575CDF" w:rsidP="00575CDF">
      <w:pPr>
        <w:rPr>
          <w:color w:val="auto"/>
        </w:rPr>
      </w:pPr>
      <w:r w:rsidRPr="00C801A6">
        <w:rPr>
          <w:color w:val="auto"/>
        </w:rPr>
        <w:t>Dans ce cadre, les PGES qui seront préparés pour les différents sous-projets préciseront, entre autres :</w:t>
      </w:r>
    </w:p>
    <w:p w14:paraId="6A636C7A" w14:textId="77777777" w:rsidR="00575CDF" w:rsidRPr="00C801A6" w:rsidRDefault="00575CDF" w:rsidP="00844538">
      <w:pPr>
        <w:pStyle w:val="ListParagraph"/>
        <w:numPr>
          <w:ilvl w:val="0"/>
          <w:numId w:val="51"/>
        </w:numPr>
        <w:spacing w:after="80" w:line="276" w:lineRule="auto"/>
        <w:ind w:left="714" w:hanging="357"/>
        <w:contextualSpacing w:val="0"/>
        <w:rPr>
          <w:color w:val="auto"/>
        </w:rPr>
      </w:pPr>
      <w:r w:rsidRPr="00C801A6">
        <w:rPr>
          <w:color w:val="auto"/>
        </w:rPr>
        <w:t>La liste des éléments ou paramètres qui nécessitent une surveillance et un suivi environnemental ;</w:t>
      </w:r>
    </w:p>
    <w:p w14:paraId="0345655B" w14:textId="77777777" w:rsidR="00575CDF" w:rsidRPr="00C801A6" w:rsidRDefault="00575CDF" w:rsidP="00844538">
      <w:pPr>
        <w:pStyle w:val="ListParagraph"/>
        <w:numPr>
          <w:ilvl w:val="0"/>
          <w:numId w:val="51"/>
        </w:numPr>
        <w:spacing w:after="80" w:line="276" w:lineRule="auto"/>
        <w:ind w:left="714" w:hanging="357"/>
        <w:contextualSpacing w:val="0"/>
        <w:rPr>
          <w:color w:val="auto"/>
        </w:rPr>
      </w:pPr>
      <w:r w:rsidRPr="00C801A6">
        <w:rPr>
          <w:color w:val="auto"/>
        </w:rPr>
        <w:t>L’ensemble des moyens envisagés pour protéger l’environnement et le milieu humain ;</w:t>
      </w:r>
    </w:p>
    <w:p w14:paraId="184E1027" w14:textId="77777777" w:rsidR="00575CDF" w:rsidRPr="00C801A6" w:rsidRDefault="00575CDF" w:rsidP="00844538">
      <w:pPr>
        <w:pStyle w:val="ListParagraph"/>
        <w:numPr>
          <w:ilvl w:val="0"/>
          <w:numId w:val="51"/>
        </w:numPr>
        <w:spacing w:after="80" w:line="276" w:lineRule="auto"/>
        <w:ind w:left="714" w:hanging="357"/>
        <w:contextualSpacing w:val="0"/>
        <w:rPr>
          <w:color w:val="auto"/>
        </w:rPr>
      </w:pPr>
      <w:r w:rsidRPr="00C801A6">
        <w:rPr>
          <w:color w:val="auto"/>
        </w:rPr>
        <w:t>Le mécanisme d’intervention en cas de non-respect du PGES considéré (non-conformité) ; des mesures de correction seront alors élaborées, mises en œuvre et suivies ;</w:t>
      </w:r>
    </w:p>
    <w:p w14:paraId="05CE7593" w14:textId="77777777" w:rsidR="00575CDF" w:rsidRPr="00C801A6" w:rsidRDefault="00575CDF" w:rsidP="00844538">
      <w:pPr>
        <w:pStyle w:val="ListParagraph"/>
        <w:numPr>
          <w:ilvl w:val="0"/>
          <w:numId w:val="51"/>
        </w:numPr>
        <w:spacing w:after="80" w:line="276" w:lineRule="auto"/>
        <w:ind w:left="714" w:hanging="357"/>
        <w:contextualSpacing w:val="0"/>
        <w:rPr>
          <w:color w:val="auto"/>
        </w:rPr>
      </w:pPr>
      <w:r w:rsidRPr="00C801A6">
        <w:rPr>
          <w:color w:val="auto"/>
        </w:rPr>
        <w:t>Les engagements du Maître d’œuvre et du Maître d’ouvrage délégué quant à l’intégration des mesures environnementales et sociales dans leur plan d’action.</w:t>
      </w:r>
    </w:p>
    <w:p w14:paraId="5C8144DE" w14:textId="77777777" w:rsidR="00575CDF" w:rsidRPr="00C801A6" w:rsidRDefault="00575CDF" w:rsidP="00575CDF">
      <w:pPr>
        <w:rPr>
          <w:color w:val="auto"/>
        </w:rPr>
      </w:pPr>
      <w:r w:rsidRPr="00C801A6">
        <w:rPr>
          <w:color w:val="auto"/>
        </w:rPr>
        <w:t>Le programme de surveillance et de suivi environnemental devra couvrir toutes les étapes du sous-projet considéré.</w:t>
      </w:r>
    </w:p>
    <w:p w14:paraId="663BE8E4" w14:textId="77777777" w:rsidR="00575CDF" w:rsidRPr="00C801A6" w:rsidRDefault="00575CDF" w:rsidP="00575CDF">
      <w:pPr>
        <w:rPr>
          <w:color w:val="auto"/>
        </w:rPr>
      </w:pPr>
      <w:r w:rsidRPr="00C801A6">
        <w:rPr>
          <w:color w:val="auto"/>
        </w:rPr>
        <w:t>Un système de reporting sera également mis en place. Ceci inclura notamment des rapports de surveillance et de suivi environnemental. Un cahier de surveillance environnementale sera mis en place. Ce registre mentionnera toutes les activités environnementales et sociales entreprises durant le cycle du sous-projet considéré.</w:t>
      </w:r>
    </w:p>
    <w:p w14:paraId="2362506A" w14:textId="77777777" w:rsidR="00575CDF" w:rsidRPr="007C610D" w:rsidRDefault="00575CDF" w:rsidP="007C610D">
      <w:pPr>
        <w:rPr>
          <w:b/>
          <w:bCs/>
        </w:rPr>
      </w:pPr>
      <w:bookmarkStart w:id="693" w:name="_Toc71794971"/>
      <w:bookmarkStart w:id="694" w:name="_Toc106320383"/>
      <w:r w:rsidRPr="007C610D">
        <w:rPr>
          <w:b/>
          <w:bCs/>
        </w:rPr>
        <w:t>Résumé des responsabilités des acteurs dans le processus</w:t>
      </w:r>
      <w:bookmarkEnd w:id="693"/>
      <w:bookmarkEnd w:id="694"/>
    </w:p>
    <w:p w14:paraId="0DB3C754" w14:textId="77777777" w:rsidR="00575CDF" w:rsidRPr="00C801A6" w:rsidRDefault="00575CDF" w:rsidP="00575CDF">
      <w:pPr>
        <w:rPr>
          <w:color w:val="auto"/>
        </w:rPr>
      </w:pPr>
      <w:r w:rsidRPr="00C801A6">
        <w:rPr>
          <w:color w:val="auto"/>
        </w:rPr>
        <w:t>Le tableau suivant résume les responsabilités dans la procédure d’évaluation environnementale et sociale :</w:t>
      </w:r>
    </w:p>
    <w:p w14:paraId="44F2ACAB" w14:textId="63A49DC5" w:rsidR="00575CDF" w:rsidRPr="00C801A6" w:rsidRDefault="00C65708" w:rsidP="00C65708">
      <w:pPr>
        <w:pStyle w:val="Caption"/>
        <w:rPr>
          <w:color w:val="auto"/>
        </w:rPr>
      </w:pPr>
      <w:bookmarkStart w:id="695" w:name="_Toc230427749"/>
      <w:r>
        <w:t xml:space="preserve">Tableau </w:t>
      </w:r>
      <w:r w:rsidR="00E44887">
        <w:fldChar w:fldCharType="begin"/>
      </w:r>
      <w:r w:rsidR="00E44887">
        <w:instrText xml:space="preserve"> SEQ Tableau \* ARABIC </w:instrText>
      </w:r>
      <w:r w:rsidR="00E44887">
        <w:fldChar w:fldCharType="separate"/>
      </w:r>
      <w:r w:rsidR="00253F1A">
        <w:rPr>
          <w:noProof/>
        </w:rPr>
        <w:t>29</w:t>
      </w:r>
      <w:r w:rsidR="00E44887">
        <w:rPr>
          <w:noProof/>
        </w:rPr>
        <w:fldChar w:fldCharType="end"/>
      </w:r>
      <w:r w:rsidR="00575CDF" w:rsidRPr="00C801A6">
        <w:rPr>
          <w:color w:val="auto"/>
        </w:rPr>
        <w:t> : Résumé des principales responsabilités dans le processus d’évaluation environnementale et sociale</w:t>
      </w:r>
      <w:bookmarkEnd w:id="695"/>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69"/>
        <w:gridCol w:w="3755"/>
        <w:gridCol w:w="3756"/>
      </w:tblGrid>
      <w:tr w:rsidR="00C801A6" w:rsidRPr="00844538" w14:paraId="7ADD94A2" w14:textId="77777777" w:rsidTr="00844538">
        <w:trPr>
          <w:tblHeader/>
          <w:jc w:val="center"/>
        </w:trPr>
        <w:tc>
          <w:tcPr>
            <w:tcW w:w="2376" w:type="dxa"/>
            <w:vMerge w:val="restart"/>
            <w:shd w:val="clear" w:color="auto" w:fill="C2D69B"/>
            <w:vAlign w:val="center"/>
          </w:tcPr>
          <w:p w14:paraId="2CD6FD14" w14:textId="1BC23D8F" w:rsidR="00575CDF" w:rsidRPr="00844538" w:rsidRDefault="00575CDF" w:rsidP="00844538">
            <w:pPr>
              <w:jc w:val="center"/>
              <w:rPr>
                <w:b/>
                <w:bCs/>
                <w:sz w:val="22"/>
                <w:szCs w:val="20"/>
              </w:rPr>
            </w:pPr>
            <w:bookmarkStart w:id="696" w:name="_Toc106320384"/>
            <w:r w:rsidRPr="00844538">
              <w:rPr>
                <w:b/>
                <w:bCs/>
                <w:sz w:val="22"/>
                <w:szCs w:val="20"/>
              </w:rPr>
              <w:t>PRINCIPALES ETAPES</w:t>
            </w:r>
            <w:bookmarkEnd w:id="696"/>
          </w:p>
        </w:tc>
        <w:tc>
          <w:tcPr>
            <w:tcW w:w="6945" w:type="dxa"/>
            <w:gridSpan w:val="2"/>
            <w:shd w:val="clear" w:color="auto" w:fill="C2D69B"/>
            <w:vAlign w:val="center"/>
          </w:tcPr>
          <w:p w14:paraId="4EB7C3C1" w14:textId="77777777" w:rsidR="00575CDF" w:rsidRPr="00844538" w:rsidRDefault="00575CDF" w:rsidP="00844538">
            <w:pPr>
              <w:jc w:val="center"/>
              <w:rPr>
                <w:b/>
                <w:bCs/>
                <w:sz w:val="22"/>
                <w:szCs w:val="20"/>
              </w:rPr>
            </w:pPr>
            <w:bookmarkStart w:id="697" w:name="_Toc106320385"/>
            <w:r w:rsidRPr="00844538">
              <w:rPr>
                <w:b/>
                <w:bCs/>
                <w:sz w:val="22"/>
                <w:szCs w:val="20"/>
              </w:rPr>
              <w:t>RESPONSABILITES</w:t>
            </w:r>
            <w:bookmarkEnd w:id="697"/>
          </w:p>
        </w:tc>
      </w:tr>
      <w:tr w:rsidR="00C801A6" w:rsidRPr="00844538" w14:paraId="2070A5FC" w14:textId="77777777" w:rsidTr="00844538">
        <w:trPr>
          <w:tblHeader/>
          <w:jc w:val="center"/>
        </w:trPr>
        <w:tc>
          <w:tcPr>
            <w:tcW w:w="2376" w:type="dxa"/>
            <w:vMerge/>
            <w:vAlign w:val="center"/>
          </w:tcPr>
          <w:p w14:paraId="219BFCAB" w14:textId="77777777" w:rsidR="00575CDF" w:rsidRPr="00844538" w:rsidRDefault="00575CDF" w:rsidP="00844538">
            <w:pPr>
              <w:jc w:val="center"/>
              <w:rPr>
                <w:b/>
                <w:bCs/>
                <w:sz w:val="22"/>
                <w:szCs w:val="20"/>
              </w:rPr>
            </w:pPr>
          </w:p>
        </w:tc>
        <w:tc>
          <w:tcPr>
            <w:tcW w:w="3472" w:type="dxa"/>
            <w:shd w:val="clear" w:color="auto" w:fill="C2D69B"/>
            <w:vAlign w:val="center"/>
          </w:tcPr>
          <w:p w14:paraId="783902A9" w14:textId="09F98FA6" w:rsidR="00575CDF" w:rsidRPr="00844538" w:rsidRDefault="00575CDF" w:rsidP="00844538">
            <w:pPr>
              <w:jc w:val="center"/>
              <w:rPr>
                <w:b/>
                <w:bCs/>
                <w:sz w:val="22"/>
                <w:szCs w:val="20"/>
              </w:rPr>
            </w:pPr>
            <w:bookmarkStart w:id="698" w:name="_Toc106320386"/>
            <w:r w:rsidRPr="00844538">
              <w:rPr>
                <w:b/>
                <w:bCs/>
                <w:sz w:val="22"/>
                <w:szCs w:val="20"/>
              </w:rPr>
              <w:t>U</w:t>
            </w:r>
            <w:r w:rsidR="00C65708" w:rsidRPr="00844538">
              <w:rPr>
                <w:b/>
                <w:bCs/>
                <w:sz w:val="22"/>
                <w:szCs w:val="20"/>
              </w:rPr>
              <w:t>C</w:t>
            </w:r>
            <w:r w:rsidRPr="00844538">
              <w:rPr>
                <w:b/>
                <w:bCs/>
                <w:sz w:val="22"/>
                <w:szCs w:val="20"/>
              </w:rPr>
              <w:t xml:space="preserve">P (UNITE DE </w:t>
            </w:r>
            <w:r w:rsidR="00C65708" w:rsidRPr="00844538">
              <w:rPr>
                <w:b/>
                <w:bCs/>
                <w:sz w:val="22"/>
                <w:szCs w:val="20"/>
              </w:rPr>
              <w:t>COORDINATION</w:t>
            </w:r>
            <w:r w:rsidRPr="00844538">
              <w:rPr>
                <w:b/>
                <w:bCs/>
                <w:sz w:val="22"/>
                <w:szCs w:val="20"/>
              </w:rPr>
              <w:t xml:space="preserve"> DU PROJET)</w:t>
            </w:r>
            <w:bookmarkEnd w:id="698"/>
          </w:p>
        </w:tc>
        <w:tc>
          <w:tcPr>
            <w:tcW w:w="3473" w:type="dxa"/>
            <w:shd w:val="clear" w:color="auto" w:fill="C2D69B"/>
            <w:vAlign w:val="center"/>
          </w:tcPr>
          <w:p w14:paraId="3E2805BB" w14:textId="74B25D6E" w:rsidR="00575CDF" w:rsidRPr="00844538" w:rsidRDefault="00B910A0" w:rsidP="00844538">
            <w:pPr>
              <w:jc w:val="center"/>
              <w:rPr>
                <w:b/>
                <w:bCs/>
                <w:sz w:val="22"/>
                <w:szCs w:val="20"/>
              </w:rPr>
            </w:pPr>
            <w:bookmarkStart w:id="699" w:name="_Toc106320387"/>
            <w:r w:rsidRPr="00844538">
              <w:rPr>
                <w:b/>
                <w:bCs/>
                <w:sz w:val="22"/>
                <w:szCs w:val="20"/>
              </w:rPr>
              <w:t>BANQUE MONDIALE</w:t>
            </w:r>
            <w:bookmarkEnd w:id="699"/>
          </w:p>
        </w:tc>
      </w:tr>
      <w:tr w:rsidR="00C801A6" w:rsidRPr="00844538" w14:paraId="49A71557" w14:textId="77777777" w:rsidTr="00844538">
        <w:trPr>
          <w:jc w:val="center"/>
        </w:trPr>
        <w:tc>
          <w:tcPr>
            <w:tcW w:w="2376" w:type="dxa"/>
          </w:tcPr>
          <w:p w14:paraId="1C9C803A" w14:textId="77777777" w:rsidR="00575CDF" w:rsidRPr="00844538" w:rsidRDefault="00575CDF" w:rsidP="00844538">
            <w:pPr>
              <w:rPr>
                <w:sz w:val="22"/>
                <w:szCs w:val="20"/>
              </w:rPr>
            </w:pPr>
            <w:bookmarkStart w:id="700" w:name="_Toc106320388"/>
            <w:r w:rsidRPr="00844538">
              <w:rPr>
                <w:sz w:val="22"/>
                <w:szCs w:val="20"/>
              </w:rPr>
              <w:t>Examen environnemental préalable (screening)</w:t>
            </w:r>
            <w:bookmarkEnd w:id="700"/>
          </w:p>
        </w:tc>
        <w:tc>
          <w:tcPr>
            <w:tcW w:w="3472" w:type="dxa"/>
          </w:tcPr>
          <w:p w14:paraId="3AEFF614" w14:textId="77777777" w:rsidR="00575CDF" w:rsidRPr="00844538" w:rsidRDefault="00575CDF" w:rsidP="00844538">
            <w:pPr>
              <w:rPr>
                <w:sz w:val="22"/>
                <w:szCs w:val="20"/>
              </w:rPr>
            </w:pPr>
            <w:bookmarkStart w:id="701" w:name="_Toc106320389"/>
            <w:r w:rsidRPr="00844538">
              <w:rPr>
                <w:sz w:val="22"/>
                <w:szCs w:val="20"/>
              </w:rPr>
              <w:t>Préparation de la fiche d’examen environnemental préalable</w:t>
            </w:r>
            <w:bookmarkEnd w:id="701"/>
          </w:p>
          <w:p w14:paraId="22C04245" w14:textId="77777777" w:rsidR="00575CDF" w:rsidRPr="00844538" w:rsidRDefault="00575CDF" w:rsidP="00844538">
            <w:pPr>
              <w:rPr>
                <w:sz w:val="22"/>
                <w:szCs w:val="20"/>
              </w:rPr>
            </w:pPr>
            <w:bookmarkStart w:id="702" w:name="_Toc106320390"/>
            <w:r w:rsidRPr="00844538">
              <w:rPr>
                <w:sz w:val="22"/>
                <w:szCs w:val="20"/>
              </w:rPr>
              <w:t>Catégorisation du sous-projet et identification du/des documents à préparer selon les NES applicables et la législation environnementale nationale</w:t>
            </w:r>
            <w:bookmarkEnd w:id="702"/>
          </w:p>
        </w:tc>
        <w:tc>
          <w:tcPr>
            <w:tcW w:w="3473" w:type="dxa"/>
          </w:tcPr>
          <w:p w14:paraId="44BB2536" w14:textId="77777777" w:rsidR="00575CDF" w:rsidRPr="00844538" w:rsidRDefault="00575CDF" w:rsidP="00844538">
            <w:pPr>
              <w:rPr>
                <w:sz w:val="22"/>
                <w:szCs w:val="20"/>
              </w:rPr>
            </w:pPr>
            <w:bookmarkStart w:id="703" w:name="_Toc106320391"/>
            <w:r w:rsidRPr="00844538">
              <w:rPr>
                <w:sz w:val="22"/>
                <w:szCs w:val="20"/>
              </w:rPr>
              <w:t>Vérification à postériori de la catégorie du sous-projet et des NES applicables</w:t>
            </w:r>
            <w:bookmarkEnd w:id="703"/>
          </w:p>
          <w:p w14:paraId="5A8F61C8" w14:textId="77777777" w:rsidR="00575CDF" w:rsidRPr="00844538" w:rsidRDefault="00575CDF" w:rsidP="00844538">
            <w:pPr>
              <w:rPr>
                <w:sz w:val="22"/>
                <w:szCs w:val="20"/>
              </w:rPr>
            </w:pPr>
            <w:bookmarkStart w:id="704" w:name="_Toc106320392"/>
            <w:r w:rsidRPr="00844538">
              <w:rPr>
                <w:sz w:val="22"/>
                <w:szCs w:val="20"/>
              </w:rPr>
              <w:t>Une fiche de tri est annexée à toutes les études environnementales et sociales soumises à la Banque</w:t>
            </w:r>
            <w:bookmarkEnd w:id="704"/>
          </w:p>
        </w:tc>
      </w:tr>
      <w:tr w:rsidR="00C801A6" w:rsidRPr="00844538" w14:paraId="1555AD2A" w14:textId="77777777" w:rsidTr="00844538">
        <w:trPr>
          <w:jc w:val="center"/>
        </w:trPr>
        <w:tc>
          <w:tcPr>
            <w:tcW w:w="2376" w:type="dxa"/>
          </w:tcPr>
          <w:p w14:paraId="29EA82B9" w14:textId="77777777" w:rsidR="00575CDF" w:rsidRPr="00844538" w:rsidRDefault="00575CDF" w:rsidP="00844538">
            <w:pPr>
              <w:rPr>
                <w:sz w:val="22"/>
                <w:szCs w:val="20"/>
              </w:rPr>
            </w:pPr>
            <w:bookmarkStart w:id="705" w:name="_Toc106320393"/>
            <w:r w:rsidRPr="00844538">
              <w:rPr>
                <w:sz w:val="22"/>
                <w:szCs w:val="20"/>
              </w:rPr>
              <w:t>Mise en œuvre du PMPP. Consultations du public</w:t>
            </w:r>
            <w:bookmarkEnd w:id="705"/>
          </w:p>
        </w:tc>
        <w:tc>
          <w:tcPr>
            <w:tcW w:w="3472" w:type="dxa"/>
          </w:tcPr>
          <w:p w14:paraId="24A5BE10" w14:textId="77777777" w:rsidR="00575CDF" w:rsidRPr="00844538" w:rsidRDefault="00575CDF" w:rsidP="00844538">
            <w:pPr>
              <w:rPr>
                <w:sz w:val="22"/>
                <w:szCs w:val="20"/>
              </w:rPr>
            </w:pPr>
            <w:bookmarkStart w:id="706" w:name="_Toc106320394"/>
            <w:r w:rsidRPr="00844538">
              <w:rPr>
                <w:sz w:val="22"/>
                <w:szCs w:val="20"/>
              </w:rPr>
              <w:t>Consultation des groupes affectés et intéressés</w:t>
            </w:r>
            <w:bookmarkEnd w:id="706"/>
          </w:p>
        </w:tc>
        <w:tc>
          <w:tcPr>
            <w:tcW w:w="3473" w:type="dxa"/>
          </w:tcPr>
          <w:p w14:paraId="057930E6" w14:textId="77777777" w:rsidR="00575CDF" w:rsidRPr="00844538" w:rsidRDefault="00575CDF" w:rsidP="00844538">
            <w:pPr>
              <w:rPr>
                <w:sz w:val="22"/>
                <w:szCs w:val="20"/>
              </w:rPr>
            </w:pPr>
            <w:bookmarkStart w:id="707" w:name="_Toc106320395"/>
            <w:r w:rsidRPr="00844538">
              <w:rPr>
                <w:sz w:val="22"/>
                <w:szCs w:val="20"/>
              </w:rPr>
              <w:t>Vérification (à postériori)</w:t>
            </w:r>
            <w:bookmarkEnd w:id="707"/>
          </w:p>
        </w:tc>
      </w:tr>
      <w:tr w:rsidR="00C801A6" w:rsidRPr="00844538" w14:paraId="0A1712A3" w14:textId="77777777" w:rsidTr="00844538">
        <w:trPr>
          <w:jc w:val="center"/>
        </w:trPr>
        <w:tc>
          <w:tcPr>
            <w:tcW w:w="2376" w:type="dxa"/>
          </w:tcPr>
          <w:p w14:paraId="12E0F449" w14:textId="77777777" w:rsidR="00575CDF" w:rsidRPr="00844538" w:rsidRDefault="00575CDF" w:rsidP="00844538">
            <w:pPr>
              <w:rPr>
                <w:sz w:val="22"/>
                <w:szCs w:val="20"/>
              </w:rPr>
            </w:pPr>
            <w:bookmarkStart w:id="708" w:name="_Toc106320396"/>
            <w:r w:rsidRPr="00844538">
              <w:rPr>
                <w:sz w:val="22"/>
                <w:szCs w:val="20"/>
              </w:rPr>
              <w:lastRenderedPageBreak/>
              <w:t>Elaboration des TdR</w:t>
            </w:r>
            <w:bookmarkEnd w:id="708"/>
          </w:p>
          <w:p w14:paraId="67B353D3" w14:textId="460879E5" w:rsidR="00575CDF" w:rsidRPr="00844538" w:rsidRDefault="00575CDF" w:rsidP="00844538">
            <w:pPr>
              <w:rPr>
                <w:sz w:val="22"/>
                <w:szCs w:val="20"/>
              </w:rPr>
            </w:pPr>
            <w:bookmarkStart w:id="709" w:name="_Toc106320397"/>
            <w:r w:rsidRPr="00844538">
              <w:rPr>
                <w:sz w:val="22"/>
                <w:szCs w:val="20"/>
              </w:rPr>
              <w:t>Sélection du consultant</w:t>
            </w:r>
            <w:bookmarkEnd w:id="709"/>
          </w:p>
        </w:tc>
        <w:tc>
          <w:tcPr>
            <w:tcW w:w="3472" w:type="dxa"/>
          </w:tcPr>
          <w:p w14:paraId="65A3AF86" w14:textId="77777777" w:rsidR="00575CDF" w:rsidRPr="00844538" w:rsidRDefault="00575CDF" w:rsidP="00844538">
            <w:pPr>
              <w:rPr>
                <w:sz w:val="22"/>
                <w:szCs w:val="20"/>
              </w:rPr>
            </w:pPr>
            <w:bookmarkStart w:id="710" w:name="_Toc106320398"/>
            <w:r w:rsidRPr="00844538">
              <w:rPr>
                <w:sz w:val="22"/>
                <w:szCs w:val="20"/>
              </w:rPr>
              <w:t>Préparation des TdR des études E&amp;S et des autres études requises</w:t>
            </w:r>
            <w:bookmarkEnd w:id="710"/>
          </w:p>
          <w:p w14:paraId="53919AC5" w14:textId="77777777" w:rsidR="00575CDF" w:rsidRPr="00844538" w:rsidRDefault="00575CDF" w:rsidP="00844538">
            <w:pPr>
              <w:rPr>
                <w:sz w:val="22"/>
                <w:szCs w:val="20"/>
              </w:rPr>
            </w:pPr>
            <w:bookmarkStart w:id="711" w:name="_Toc106320399"/>
            <w:r w:rsidRPr="00844538">
              <w:rPr>
                <w:sz w:val="22"/>
                <w:szCs w:val="20"/>
              </w:rPr>
              <w:t>Sélection du consultant pour la réalisation des études requises (PGES, PR, etc.)</w:t>
            </w:r>
            <w:bookmarkEnd w:id="711"/>
          </w:p>
        </w:tc>
        <w:tc>
          <w:tcPr>
            <w:tcW w:w="3473" w:type="dxa"/>
          </w:tcPr>
          <w:p w14:paraId="13EB5169" w14:textId="77777777" w:rsidR="00575CDF" w:rsidRPr="00844538" w:rsidRDefault="00575CDF" w:rsidP="00844538">
            <w:pPr>
              <w:rPr>
                <w:sz w:val="22"/>
                <w:szCs w:val="20"/>
              </w:rPr>
            </w:pPr>
            <w:bookmarkStart w:id="712" w:name="_Toc106320400"/>
            <w:r w:rsidRPr="00844538">
              <w:rPr>
                <w:sz w:val="22"/>
                <w:szCs w:val="20"/>
              </w:rPr>
              <w:t>En fonction du montant du marché :</w:t>
            </w:r>
            <w:bookmarkEnd w:id="712"/>
          </w:p>
          <w:p w14:paraId="459ED474" w14:textId="77777777" w:rsidR="00575CDF" w:rsidRPr="00844538" w:rsidRDefault="00575CDF" w:rsidP="00844538">
            <w:pPr>
              <w:rPr>
                <w:sz w:val="22"/>
                <w:szCs w:val="20"/>
              </w:rPr>
            </w:pPr>
            <w:bookmarkStart w:id="713" w:name="_Toc106320401"/>
            <w:r w:rsidRPr="00844538">
              <w:rPr>
                <w:sz w:val="22"/>
                <w:szCs w:val="20"/>
              </w:rPr>
              <w:t>Non-objection requise si le seuil est dépassé (selon qu’il s’agisse de firmes ou consultant individuels, le nouveau Manuel de passation des marchés fixe des seuils pour le montant de la consultance)</w:t>
            </w:r>
            <w:bookmarkEnd w:id="713"/>
          </w:p>
          <w:p w14:paraId="79493F87" w14:textId="77777777" w:rsidR="00575CDF" w:rsidRPr="00844538" w:rsidRDefault="00575CDF" w:rsidP="00844538">
            <w:pPr>
              <w:rPr>
                <w:sz w:val="22"/>
                <w:szCs w:val="20"/>
              </w:rPr>
            </w:pPr>
            <w:bookmarkStart w:id="714" w:name="_Toc106320402"/>
            <w:r w:rsidRPr="00844538">
              <w:rPr>
                <w:sz w:val="22"/>
                <w:szCs w:val="20"/>
              </w:rPr>
              <w:t>Revue à posteriori si le seuil n’est pas dépassé</w:t>
            </w:r>
            <w:bookmarkEnd w:id="714"/>
          </w:p>
        </w:tc>
      </w:tr>
      <w:tr w:rsidR="00C801A6" w:rsidRPr="00844538" w14:paraId="66E0B6D4" w14:textId="77777777" w:rsidTr="00844538">
        <w:trPr>
          <w:jc w:val="center"/>
        </w:trPr>
        <w:tc>
          <w:tcPr>
            <w:tcW w:w="2376" w:type="dxa"/>
          </w:tcPr>
          <w:p w14:paraId="32329C9B" w14:textId="77777777" w:rsidR="00575CDF" w:rsidRPr="00844538" w:rsidRDefault="00575CDF" w:rsidP="00844538">
            <w:pPr>
              <w:rPr>
                <w:sz w:val="22"/>
                <w:szCs w:val="20"/>
              </w:rPr>
            </w:pPr>
            <w:bookmarkStart w:id="715" w:name="_Toc106320403"/>
            <w:r w:rsidRPr="00844538">
              <w:rPr>
                <w:sz w:val="22"/>
                <w:szCs w:val="20"/>
              </w:rPr>
              <w:t>Analyse environnementale et sociale</w:t>
            </w:r>
            <w:bookmarkEnd w:id="715"/>
          </w:p>
        </w:tc>
        <w:tc>
          <w:tcPr>
            <w:tcW w:w="3472" w:type="dxa"/>
          </w:tcPr>
          <w:p w14:paraId="5AAEB249" w14:textId="77777777" w:rsidR="00575CDF" w:rsidRPr="00844538" w:rsidRDefault="00575CDF" w:rsidP="00844538">
            <w:pPr>
              <w:rPr>
                <w:sz w:val="22"/>
                <w:szCs w:val="20"/>
              </w:rPr>
            </w:pPr>
            <w:bookmarkStart w:id="716" w:name="_Toc106320404"/>
            <w:r w:rsidRPr="00844538">
              <w:rPr>
                <w:sz w:val="22"/>
                <w:szCs w:val="20"/>
              </w:rPr>
              <w:t>Traitement des données</w:t>
            </w:r>
            <w:bookmarkEnd w:id="716"/>
          </w:p>
          <w:p w14:paraId="7AFA7B66" w14:textId="77777777" w:rsidR="00575CDF" w:rsidRPr="00844538" w:rsidRDefault="00575CDF" w:rsidP="00844538">
            <w:pPr>
              <w:rPr>
                <w:sz w:val="22"/>
                <w:szCs w:val="20"/>
              </w:rPr>
            </w:pPr>
            <w:bookmarkStart w:id="717" w:name="_Toc106320405"/>
            <w:r w:rsidRPr="00844538">
              <w:rPr>
                <w:sz w:val="22"/>
                <w:szCs w:val="20"/>
              </w:rPr>
              <w:t>Rédaction : Tenir compte des résultats des consultations</w:t>
            </w:r>
            <w:bookmarkEnd w:id="717"/>
          </w:p>
        </w:tc>
        <w:tc>
          <w:tcPr>
            <w:tcW w:w="3473" w:type="dxa"/>
          </w:tcPr>
          <w:p w14:paraId="765CF2EF" w14:textId="77777777" w:rsidR="00575CDF" w:rsidRPr="00844538" w:rsidRDefault="00575CDF" w:rsidP="00844538">
            <w:pPr>
              <w:rPr>
                <w:sz w:val="22"/>
                <w:szCs w:val="20"/>
              </w:rPr>
            </w:pPr>
          </w:p>
        </w:tc>
      </w:tr>
      <w:tr w:rsidR="00C801A6" w:rsidRPr="00844538" w14:paraId="76BAFA44" w14:textId="77777777" w:rsidTr="00844538">
        <w:trPr>
          <w:jc w:val="center"/>
        </w:trPr>
        <w:tc>
          <w:tcPr>
            <w:tcW w:w="2376" w:type="dxa"/>
          </w:tcPr>
          <w:p w14:paraId="55D2D488" w14:textId="77777777" w:rsidR="00575CDF" w:rsidRPr="00844538" w:rsidRDefault="00575CDF" w:rsidP="00844538">
            <w:pPr>
              <w:rPr>
                <w:sz w:val="22"/>
                <w:szCs w:val="20"/>
              </w:rPr>
            </w:pPr>
            <w:bookmarkStart w:id="718" w:name="_Toc106320406"/>
            <w:r w:rsidRPr="00844538">
              <w:rPr>
                <w:sz w:val="22"/>
                <w:szCs w:val="20"/>
              </w:rPr>
              <w:t>Examen et approbation des documents</w:t>
            </w:r>
            <w:bookmarkEnd w:id="718"/>
          </w:p>
        </w:tc>
        <w:tc>
          <w:tcPr>
            <w:tcW w:w="3472" w:type="dxa"/>
          </w:tcPr>
          <w:p w14:paraId="1430465E" w14:textId="77777777" w:rsidR="00575CDF" w:rsidRPr="00844538" w:rsidRDefault="00575CDF" w:rsidP="00844538">
            <w:pPr>
              <w:rPr>
                <w:sz w:val="22"/>
                <w:szCs w:val="20"/>
              </w:rPr>
            </w:pPr>
            <w:bookmarkStart w:id="719" w:name="_Toc106320407"/>
            <w:r w:rsidRPr="00844538">
              <w:rPr>
                <w:sz w:val="22"/>
                <w:szCs w:val="20"/>
              </w:rPr>
              <w:t>Vérification de la conformité des études aux TdR</w:t>
            </w:r>
            <w:bookmarkEnd w:id="719"/>
          </w:p>
          <w:p w14:paraId="1B083946" w14:textId="77777777" w:rsidR="00575CDF" w:rsidRPr="00844538" w:rsidRDefault="00575CDF" w:rsidP="00844538">
            <w:pPr>
              <w:rPr>
                <w:sz w:val="22"/>
                <w:szCs w:val="20"/>
              </w:rPr>
            </w:pPr>
            <w:bookmarkStart w:id="720" w:name="_Toc106320408"/>
            <w:r w:rsidRPr="00844538">
              <w:rPr>
                <w:sz w:val="22"/>
                <w:szCs w:val="20"/>
              </w:rPr>
              <w:t>Modification des documents selon les commentaires des intervenants</w:t>
            </w:r>
            <w:bookmarkEnd w:id="720"/>
          </w:p>
          <w:p w14:paraId="258A03F4" w14:textId="79B73CD8" w:rsidR="00575CDF" w:rsidRPr="00844538" w:rsidRDefault="00575CDF" w:rsidP="00844538">
            <w:pPr>
              <w:rPr>
                <w:sz w:val="22"/>
                <w:szCs w:val="20"/>
              </w:rPr>
            </w:pPr>
            <w:bookmarkStart w:id="721" w:name="_Toc106320409"/>
            <w:r w:rsidRPr="00844538">
              <w:rPr>
                <w:sz w:val="22"/>
                <w:szCs w:val="20"/>
              </w:rPr>
              <w:t xml:space="preserve">Soumission du plan de gestion environnementale et sociale (PGES) du sous-projet et autres documents requis par la </w:t>
            </w:r>
            <w:r w:rsidR="00B910A0" w:rsidRPr="00844538">
              <w:rPr>
                <w:sz w:val="22"/>
                <w:szCs w:val="20"/>
              </w:rPr>
              <w:t>Banque mondiale</w:t>
            </w:r>
            <w:bookmarkEnd w:id="721"/>
          </w:p>
        </w:tc>
        <w:tc>
          <w:tcPr>
            <w:tcW w:w="3473" w:type="dxa"/>
          </w:tcPr>
          <w:p w14:paraId="3AC67318" w14:textId="77777777" w:rsidR="00575CDF" w:rsidRPr="00844538" w:rsidRDefault="00575CDF" w:rsidP="00844538">
            <w:pPr>
              <w:rPr>
                <w:sz w:val="22"/>
                <w:szCs w:val="20"/>
              </w:rPr>
            </w:pPr>
            <w:bookmarkStart w:id="722" w:name="_Toc106320410"/>
            <w:r w:rsidRPr="00844538">
              <w:rPr>
                <w:sz w:val="22"/>
                <w:szCs w:val="20"/>
              </w:rPr>
              <w:t>Commentaires sur les études réalisées</w:t>
            </w:r>
            <w:bookmarkEnd w:id="722"/>
          </w:p>
          <w:p w14:paraId="6A3A362F" w14:textId="77777777" w:rsidR="00575CDF" w:rsidRPr="00844538" w:rsidRDefault="00575CDF" w:rsidP="00844538">
            <w:pPr>
              <w:rPr>
                <w:sz w:val="22"/>
                <w:szCs w:val="20"/>
              </w:rPr>
            </w:pPr>
          </w:p>
          <w:p w14:paraId="145AB413" w14:textId="7DF0E2B5" w:rsidR="00575CDF" w:rsidRPr="00844538" w:rsidRDefault="00575CDF" w:rsidP="00844538">
            <w:pPr>
              <w:rPr>
                <w:sz w:val="22"/>
                <w:szCs w:val="20"/>
              </w:rPr>
            </w:pPr>
            <w:bookmarkStart w:id="723" w:name="_Toc106320411"/>
            <w:r w:rsidRPr="00844538">
              <w:rPr>
                <w:sz w:val="22"/>
                <w:szCs w:val="20"/>
              </w:rPr>
              <w:t>Approbation des études environnementales et sociales requises</w:t>
            </w:r>
            <w:bookmarkEnd w:id="723"/>
          </w:p>
        </w:tc>
      </w:tr>
      <w:tr w:rsidR="00C801A6" w:rsidRPr="00844538" w14:paraId="5D09650C" w14:textId="77777777" w:rsidTr="00844538">
        <w:trPr>
          <w:jc w:val="center"/>
        </w:trPr>
        <w:tc>
          <w:tcPr>
            <w:tcW w:w="2376" w:type="dxa"/>
          </w:tcPr>
          <w:p w14:paraId="7E1FF9D6" w14:textId="77777777" w:rsidR="00575CDF" w:rsidRPr="00844538" w:rsidRDefault="00575CDF" w:rsidP="00844538">
            <w:pPr>
              <w:rPr>
                <w:sz w:val="22"/>
                <w:szCs w:val="20"/>
              </w:rPr>
            </w:pPr>
            <w:bookmarkStart w:id="724" w:name="_Toc106320412"/>
            <w:r w:rsidRPr="00844538">
              <w:rPr>
                <w:sz w:val="22"/>
                <w:szCs w:val="20"/>
              </w:rPr>
              <w:t>Diffusion des documents</w:t>
            </w:r>
            <w:bookmarkEnd w:id="724"/>
          </w:p>
        </w:tc>
        <w:tc>
          <w:tcPr>
            <w:tcW w:w="3472" w:type="dxa"/>
          </w:tcPr>
          <w:p w14:paraId="2BC07FC1" w14:textId="20C33D94" w:rsidR="00575CDF" w:rsidRPr="00844538" w:rsidRDefault="00575CDF" w:rsidP="00844538">
            <w:pPr>
              <w:rPr>
                <w:sz w:val="22"/>
                <w:szCs w:val="20"/>
              </w:rPr>
            </w:pPr>
            <w:bookmarkStart w:id="725" w:name="_Toc106320413"/>
            <w:r w:rsidRPr="00844538">
              <w:rPr>
                <w:sz w:val="22"/>
                <w:szCs w:val="20"/>
              </w:rPr>
              <w:t xml:space="preserve">Site Web du Projet / </w:t>
            </w:r>
            <w:r w:rsidR="001F446C" w:rsidRPr="00844538">
              <w:rPr>
                <w:sz w:val="22"/>
                <w:szCs w:val="20"/>
              </w:rPr>
              <w:t>MTP</w:t>
            </w:r>
            <w:bookmarkEnd w:id="725"/>
          </w:p>
          <w:p w14:paraId="12F1D014" w14:textId="77777777" w:rsidR="00575CDF" w:rsidRPr="00844538" w:rsidRDefault="00575CDF" w:rsidP="00844538">
            <w:pPr>
              <w:rPr>
                <w:sz w:val="22"/>
                <w:szCs w:val="20"/>
              </w:rPr>
            </w:pPr>
            <w:bookmarkStart w:id="726" w:name="_Toc106320414"/>
            <w:r w:rsidRPr="00844538">
              <w:rPr>
                <w:sz w:val="22"/>
                <w:szCs w:val="20"/>
              </w:rPr>
              <w:t>Au niveau local</w:t>
            </w:r>
            <w:bookmarkEnd w:id="726"/>
          </w:p>
        </w:tc>
        <w:tc>
          <w:tcPr>
            <w:tcW w:w="3473" w:type="dxa"/>
          </w:tcPr>
          <w:p w14:paraId="5D7B44C0" w14:textId="4E390E92" w:rsidR="00575CDF" w:rsidRPr="00844538" w:rsidRDefault="00575CDF" w:rsidP="00844538">
            <w:pPr>
              <w:rPr>
                <w:sz w:val="22"/>
                <w:szCs w:val="20"/>
              </w:rPr>
            </w:pPr>
            <w:bookmarkStart w:id="727" w:name="_Toc106320415"/>
            <w:r w:rsidRPr="00844538">
              <w:rPr>
                <w:sz w:val="22"/>
                <w:szCs w:val="20"/>
              </w:rPr>
              <w:t>External Web site de la Banque</w:t>
            </w:r>
            <w:bookmarkEnd w:id="727"/>
          </w:p>
        </w:tc>
      </w:tr>
      <w:tr w:rsidR="00C801A6" w:rsidRPr="00844538" w14:paraId="651900DE" w14:textId="77777777" w:rsidTr="00844538">
        <w:trPr>
          <w:jc w:val="center"/>
        </w:trPr>
        <w:tc>
          <w:tcPr>
            <w:tcW w:w="2376" w:type="dxa"/>
          </w:tcPr>
          <w:p w14:paraId="4C765B65" w14:textId="77777777" w:rsidR="00575CDF" w:rsidRPr="00844538" w:rsidRDefault="00575CDF" w:rsidP="00844538">
            <w:pPr>
              <w:rPr>
                <w:sz w:val="22"/>
                <w:szCs w:val="20"/>
              </w:rPr>
            </w:pPr>
            <w:bookmarkStart w:id="728" w:name="_Toc106320416"/>
            <w:r w:rsidRPr="00844538">
              <w:rPr>
                <w:sz w:val="22"/>
                <w:szCs w:val="20"/>
              </w:rPr>
              <w:t>Surveillance et Suivi environnemental et social</w:t>
            </w:r>
            <w:bookmarkEnd w:id="728"/>
          </w:p>
        </w:tc>
        <w:tc>
          <w:tcPr>
            <w:tcW w:w="3472" w:type="dxa"/>
          </w:tcPr>
          <w:p w14:paraId="739D09F4" w14:textId="77777777" w:rsidR="00575CDF" w:rsidRPr="00844538" w:rsidRDefault="00575CDF" w:rsidP="00844538">
            <w:pPr>
              <w:rPr>
                <w:sz w:val="22"/>
                <w:szCs w:val="20"/>
              </w:rPr>
            </w:pPr>
            <w:bookmarkStart w:id="729" w:name="_Toc106320417"/>
            <w:r w:rsidRPr="00844538">
              <w:rPr>
                <w:sz w:val="22"/>
                <w:szCs w:val="20"/>
              </w:rPr>
              <w:t>Suivi interne de l’exécution du PGES</w:t>
            </w:r>
            <w:bookmarkEnd w:id="729"/>
          </w:p>
          <w:p w14:paraId="6A93D4CB" w14:textId="05A61C4A" w:rsidR="00575CDF" w:rsidRPr="00844538" w:rsidRDefault="00575CDF" w:rsidP="00844538">
            <w:pPr>
              <w:rPr>
                <w:sz w:val="22"/>
                <w:szCs w:val="20"/>
              </w:rPr>
            </w:pPr>
            <w:bookmarkStart w:id="730" w:name="_Toc106320418"/>
            <w:r w:rsidRPr="00844538">
              <w:rPr>
                <w:sz w:val="22"/>
                <w:szCs w:val="20"/>
              </w:rPr>
              <w:t xml:space="preserve">Soumission des rapports de suivi environnemental &amp; social à la </w:t>
            </w:r>
            <w:r w:rsidR="00B910A0" w:rsidRPr="00844538">
              <w:rPr>
                <w:sz w:val="22"/>
                <w:szCs w:val="20"/>
              </w:rPr>
              <w:t>Banque mondiale</w:t>
            </w:r>
            <w:bookmarkEnd w:id="730"/>
          </w:p>
        </w:tc>
        <w:tc>
          <w:tcPr>
            <w:tcW w:w="3473" w:type="dxa"/>
          </w:tcPr>
          <w:p w14:paraId="44575307" w14:textId="77777777" w:rsidR="00575CDF" w:rsidRPr="00844538" w:rsidRDefault="00575CDF" w:rsidP="00844538">
            <w:pPr>
              <w:rPr>
                <w:sz w:val="22"/>
                <w:szCs w:val="20"/>
              </w:rPr>
            </w:pPr>
            <w:bookmarkStart w:id="731" w:name="_Toc106320419"/>
            <w:r w:rsidRPr="00844538">
              <w:rPr>
                <w:sz w:val="22"/>
                <w:szCs w:val="20"/>
              </w:rPr>
              <w:t>Supervision / Missions d’appui (tous les 6 mois)</w:t>
            </w:r>
            <w:bookmarkEnd w:id="731"/>
          </w:p>
        </w:tc>
      </w:tr>
    </w:tbl>
    <w:p w14:paraId="0B432FE0" w14:textId="77777777" w:rsidR="00575CDF" w:rsidRPr="00C801A6" w:rsidRDefault="00575CDF" w:rsidP="00014BC0">
      <w:pPr>
        <w:pStyle w:val="Heading2"/>
      </w:pPr>
      <w:bookmarkStart w:id="732" w:name="_Toc71794972"/>
      <w:bookmarkStart w:id="733" w:name="_Toc106320420"/>
      <w:bookmarkStart w:id="734" w:name="_Toc230426078"/>
      <w:r w:rsidRPr="00C801A6">
        <w:t>MECANISMES DE GESTION DES PLAINTES ET DEs litiges</w:t>
      </w:r>
      <w:bookmarkEnd w:id="732"/>
      <w:bookmarkEnd w:id="733"/>
      <w:bookmarkEnd w:id="734"/>
    </w:p>
    <w:p w14:paraId="2B905514" w14:textId="41398290" w:rsidR="00575CDF" w:rsidRPr="00C801A6" w:rsidRDefault="00575CDF" w:rsidP="00575CDF">
      <w:pPr>
        <w:rPr>
          <w:color w:val="auto"/>
        </w:rPr>
      </w:pPr>
      <w:r w:rsidRPr="00C801A6">
        <w:rPr>
          <w:color w:val="auto"/>
        </w:rPr>
        <w:t xml:space="preserve">Le </w:t>
      </w:r>
      <w:r w:rsidR="001F446C" w:rsidRPr="00C801A6">
        <w:rPr>
          <w:color w:val="auto"/>
        </w:rPr>
        <w:t>MTP</w:t>
      </w:r>
      <w:r w:rsidRPr="00C801A6">
        <w:rPr>
          <w:color w:val="auto"/>
        </w:rPr>
        <w:t>, à travers l’UCP/P</w:t>
      </w:r>
      <w:r w:rsidR="00C65708">
        <w:rPr>
          <w:color w:val="auto"/>
        </w:rPr>
        <w:t>CMCI</w:t>
      </w:r>
      <w:r w:rsidRPr="00C801A6">
        <w:rPr>
          <w:color w:val="auto"/>
        </w:rPr>
        <w:t xml:space="preserve"> (projet appuyé par la Banque), met déjà en œuvre un mécanisme de gestion des plaintes pour ses chantiers en cours. Pour des raisons de commodité de travail, il est recommandé d’adopter le même mécanisme.</w:t>
      </w:r>
    </w:p>
    <w:p w14:paraId="5B1CBCA7" w14:textId="1C7218F5" w:rsidR="00575CDF" w:rsidRPr="007C610D" w:rsidRDefault="00575CDF" w:rsidP="0062486F">
      <w:pPr>
        <w:pStyle w:val="Heading3"/>
      </w:pPr>
      <w:bookmarkStart w:id="735" w:name="_Toc71533188"/>
      <w:bookmarkStart w:id="736" w:name="_Toc71794973"/>
      <w:bookmarkStart w:id="737" w:name="_Toc106320421"/>
      <w:bookmarkStart w:id="738" w:name="_Toc230426079"/>
      <w:r w:rsidRPr="007C610D">
        <w:t xml:space="preserve">Résolution </w:t>
      </w:r>
      <w:r w:rsidR="008C4034" w:rsidRPr="007C610D">
        <w:t xml:space="preserve">traditionnelle </w:t>
      </w:r>
      <w:r w:rsidRPr="007C610D">
        <w:t>des conflits</w:t>
      </w:r>
      <w:bookmarkEnd w:id="735"/>
      <w:bookmarkEnd w:id="736"/>
      <w:bookmarkEnd w:id="737"/>
      <w:bookmarkEnd w:id="738"/>
    </w:p>
    <w:p w14:paraId="787E2B15" w14:textId="6CDF3B21" w:rsidR="00575CDF" w:rsidRPr="00C801A6" w:rsidRDefault="00575CDF" w:rsidP="00575CDF">
      <w:pPr>
        <w:rPr>
          <w:color w:val="auto"/>
          <w:lang w:val="fr-BE" w:eastAsia="ja-JP"/>
        </w:rPr>
      </w:pPr>
      <w:r w:rsidRPr="00C801A6">
        <w:rPr>
          <w:color w:val="auto"/>
          <w:lang w:val="fr-BE" w:eastAsia="ja-JP"/>
        </w:rPr>
        <w:t xml:space="preserve">Dans toutes les régions de Madagascar, la notion de </w:t>
      </w:r>
      <w:r w:rsidRPr="00C801A6">
        <w:rPr>
          <w:i/>
          <w:color w:val="auto"/>
          <w:lang w:val="fr-BE" w:eastAsia="ja-JP"/>
        </w:rPr>
        <w:t>Fihavanana</w:t>
      </w:r>
      <w:r w:rsidRPr="00C801A6">
        <w:rPr>
          <w:color w:val="auto"/>
          <w:lang w:val="fr-BE" w:eastAsia="ja-JP"/>
        </w:rPr>
        <w:t xml:space="preserve"> est à la base des relations communautaires mais, chaque communauté a ses propres façons de régler des différends. En </w:t>
      </w:r>
      <w:r w:rsidRPr="00C801A6">
        <w:rPr>
          <w:color w:val="auto"/>
          <w:lang w:val="fr-BE" w:eastAsia="ja-JP"/>
        </w:rPr>
        <w:lastRenderedPageBreak/>
        <w:t xml:space="preserve">contrepartie, il y a aussi des sanctions dont la nature et l’application varient, également, d’une zone à l’autre. Qu’à cela ne tienne, le plus important est le principe. Pour ce faire, l’on note des séances communautaires appelées </w:t>
      </w:r>
      <w:r w:rsidRPr="00C801A6">
        <w:rPr>
          <w:i/>
          <w:color w:val="auto"/>
          <w:lang w:val="fr-BE" w:eastAsia="ja-JP"/>
        </w:rPr>
        <w:t xml:space="preserve">Kabary </w:t>
      </w:r>
      <w:r w:rsidRPr="00C801A6">
        <w:rPr>
          <w:color w:val="auto"/>
          <w:lang w:val="fr-BE" w:eastAsia="ja-JP"/>
        </w:rPr>
        <w:t>ou autres durant lesquelles on règle la quasi-totalité des différends qui se rapportent à la vie communautaire.</w:t>
      </w:r>
    </w:p>
    <w:p w14:paraId="1B47AB5C" w14:textId="77777777" w:rsidR="00575CDF" w:rsidRPr="0062486F" w:rsidRDefault="00575CDF" w:rsidP="0062486F">
      <w:pPr>
        <w:pStyle w:val="Heading3"/>
      </w:pPr>
      <w:bookmarkStart w:id="739" w:name="_Toc71533189"/>
      <w:bookmarkStart w:id="740" w:name="_Toc71794974"/>
      <w:bookmarkStart w:id="741" w:name="_Toc106320423"/>
      <w:bookmarkStart w:id="742" w:name="_Toc230426080"/>
      <w:r w:rsidRPr="0062486F">
        <w:t>Objectif du mécanisme de gestion des plaintes</w:t>
      </w:r>
      <w:bookmarkEnd w:id="739"/>
      <w:bookmarkEnd w:id="740"/>
      <w:bookmarkEnd w:id="741"/>
      <w:bookmarkEnd w:id="742"/>
    </w:p>
    <w:p w14:paraId="27859D19" w14:textId="670BD261" w:rsidR="00575CDF" w:rsidRPr="00C801A6" w:rsidRDefault="00575CDF" w:rsidP="00575CDF">
      <w:pPr>
        <w:rPr>
          <w:color w:val="auto"/>
        </w:rPr>
      </w:pPr>
      <w:r w:rsidRPr="00C801A6">
        <w:rPr>
          <w:color w:val="auto"/>
        </w:rPr>
        <w:t>Conformément au standard internationaux, le mécanisme de gestion des plaintes doit être mis en place par l’U</w:t>
      </w:r>
      <w:r w:rsidR="00C65708">
        <w:rPr>
          <w:color w:val="auto"/>
        </w:rPr>
        <w:t>C</w:t>
      </w:r>
      <w:r w:rsidRPr="00C801A6">
        <w:rPr>
          <w:color w:val="auto"/>
        </w:rPr>
        <w:t xml:space="preserve">P pour permettre à toutes les parties prenantes, et en particulier celles qui sont affectées par le Projet, de fournir leur appréciation sur le Projet, de canaliser leurs préoccupations, et d’accéder à des informations ou de rechercher un recours. </w:t>
      </w:r>
    </w:p>
    <w:p w14:paraId="34D560B6" w14:textId="77777777" w:rsidR="00575CDF" w:rsidRPr="00C801A6" w:rsidRDefault="00575CDF" w:rsidP="00575CDF">
      <w:pPr>
        <w:rPr>
          <w:color w:val="auto"/>
        </w:rPr>
      </w:pPr>
      <w:r w:rsidRPr="00C801A6">
        <w:rPr>
          <w:color w:val="auto"/>
        </w:rPr>
        <w:t>D’une manière générale, le MGP vise à :</w:t>
      </w:r>
    </w:p>
    <w:p w14:paraId="78EBFA55" w14:textId="77777777" w:rsidR="00575CDF" w:rsidRPr="00C801A6" w:rsidRDefault="00575CDF" w:rsidP="00844538">
      <w:pPr>
        <w:pStyle w:val="ListParagraph"/>
        <w:numPr>
          <w:ilvl w:val="0"/>
          <w:numId w:val="59"/>
        </w:numPr>
        <w:spacing w:after="80" w:line="276" w:lineRule="auto"/>
        <w:ind w:left="709" w:hanging="425"/>
        <w:contextualSpacing w:val="0"/>
        <w:rPr>
          <w:color w:val="auto"/>
        </w:rPr>
      </w:pPr>
      <w:r w:rsidRPr="00C801A6">
        <w:rPr>
          <w:color w:val="auto"/>
        </w:rPr>
        <w:t>Renforcer les capacités de toutes les parties prenantes du Projet, des autorités, des communautés bénéficiaires à défendre leur droit, à traiter et à résoudre localement tout d’abord les différends qui peuvent apparaître,</w:t>
      </w:r>
    </w:p>
    <w:p w14:paraId="0FEF9561" w14:textId="77777777" w:rsidR="00575CDF" w:rsidRPr="00C801A6" w:rsidRDefault="00575CDF" w:rsidP="00844538">
      <w:pPr>
        <w:pStyle w:val="ListParagraph"/>
        <w:numPr>
          <w:ilvl w:val="0"/>
          <w:numId w:val="59"/>
        </w:numPr>
        <w:spacing w:after="80" w:line="276" w:lineRule="auto"/>
        <w:ind w:left="709" w:hanging="425"/>
        <w:contextualSpacing w:val="0"/>
        <w:rPr>
          <w:color w:val="auto"/>
        </w:rPr>
      </w:pPr>
      <w:r w:rsidRPr="00C801A6">
        <w:rPr>
          <w:color w:val="auto"/>
        </w:rPr>
        <w:t>Renforcer et asseoir la recevabilité du Projet auprès des communautés bénéficiaires tout en encourageant la participation citoyenne.</w:t>
      </w:r>
    </w:p>
    <w:p w14:paraId="75425F82" w14:textId="77777777" w:rsidR="00575CDF" w:rsidRPr="00C801A6" w:rsidRDefault="00575CDF" w:rsidP="00844538">
      <w:pPr>
        <w:pStyle w:val="ListParagraph"/>
        <w:numPr>
          <w:ilvl w:val="0"/>
          <w:numId w:val="59"/>
        </w:numPr>
        <w:spacing w:after="80" w:line="276" w:lineRule="auto"/>
        <w:ind w:left="709" w:hanging="425"/>
        <w:contextualSpacing w:val="0"/>
        <w:rPr>
          <w:color w:val="auto"/>
        </w:rPr>
      </w:pPr>
      <w:r w:rsidRPr="00C801A6">
        <w:rPr>
          <w:color w:val="auto"/>
        </w:rPr>
        <w:t>Assurer une amélioration continue de la qualité d’intervention du Projet et de ses prestataires en tirant des leçons issues des plaintes reçues.</w:t>
      </w:r>
    </w:p>
    <w:p w14:paraId="0E57040D" w14:textId="77777777" w:rsidR="00575CDF" w:rsidRPr="00C801A6" w:rsidRDefault="00575CDF" w:rsidP="00844538">
      <w:pPr>
        <w:pStyle w:val="ListParagraph"/>
        <w:numPr>
          <w:ilvl w:val="0"/>
          <w:numId w:val="59"/>
        </w:numPr>
        <w:spacing w:after="80" w:line="276" w:lineRule="auto"/>
        <w:ind w:left="709" w:hanging="425"/>
        <w:contextualSpacing w:val="0"/>
        <w:rPr>
          <w:color w:val="auto"/>
        </w:rPr>
      </w:pPr>
      <w:r w:rsidRPr="00C801A6">
        <w:rPr>
          <w:color w:val="auto"/>
        </w:rPr>
        <w:t>Donner des réponses dans un délai raisonnable aux plaignants,</w:t>
      </w:r>
    </w:p>
    <w:p w14:paraId="3B432A15" w14:textId="77777777" w:rsidR="00575CDF" w:rsidRPr="00C801A6" w:rsidRDefault="00575CDF" w:rsidP="00844538">
      <w:pPr>
        <w:pStyle w:val="ListParagraph"/>
        <w:numPr>
          <w:ilvl w:val="0"/>
          <w:numId w:val="59"/>
        </w:numPr>
        <w:spacing w:after="80" w:line="276" w:lineRule="auto"/>
        <w:ind w:left="709" w:hanging="425"/>
        <w:contextualSpacing w:val="0"/>
        <w:rPr>
          <w:color w:val="auto"/>
        </w:rPr>
      </w:pPr>
      <w:r w:rsidRPr="00C801A6">
        <w:rPr>
          <w:color w:val="auto"/>
        </w:rPr>
        <w:t>Assurer la transparence du processus,</w:t>
      </w:r>
    </w:p>
    <w:p w14:paraId="1AB24CC9" w14:textId="77777777" w:rsidR="00575CDF" w:rsidRPr="00C801A6" w:rsidRDefault="00575CDF" w:rsidP="00844538">
      <w:pPr>
        <w:pStyle w:val="ListParagraph"/>
        <w:numPr>
          <w:ilvl w:val="0"/>
          <w:numId w:val="59"/>
        </w:numPr>
        <w:spacing w:after="80" w:line="276" w:lineRule="auto"/>
        <w:ind w:left="709" w:hanging="425"/>
        <w:contextualSpacing w:val="0"/>
        <w:rPr>
          <w:color w:val="auto"/>
        </w:rPr>
      </w:pPr>
      <w:r w:rsidRPr="00C801A6">
        <w:rPr>
          <w:color w:val="auto"/>
        </w:rPr>
        <w:t>Connaître les limites des processus/mécanismes afin d'apporter des améliorations qui répondent mieux à la réalité,</w:t>
      </w:r>
    </w:p>
    <w:p w14:paraId="453876BD" w14:textId="77777777" w:rsidR="00575CDF" w:rsidRPr="00C801A6" w:rsidRDefault="00575CDF" w:rsidP="00844538">
      <w:pPr>
        <w:pStyle w:val="ListParagraph"/>
        <w:numPr>
          <w:ilvl w:val="0"/>
          <w:numId w:val="59"/>
        </w:numPr>
        <w:spacing w:line="276" w:lineRule="auto"/>
        <w:ind w:left="709" w:hanging="425"/>
        <w:contextualSpacing w:val="0"/>
        <w:rPr>
          <w:color w:val="auto"/>
        </w:rPr>
      </w:pPr>
      <w:r w:rsidRPr="00C801A6">
        <w:rPr>
          <w:color w:val="auto"/>
        </w:rPr>
        <w:t>Avoir un peu plus de maîtrise de la situation réelle dans la connaissance des vérités ,..</w:t>
      </w:r>
    </w:p>
    <w:p w14:paraId="0DD1475A" w14:textId="30AAEE0F" w:rsidR="00FB4C8E" w:rsidRDefault="00FB4C8E" w:rsidP="00575CDF">
      <w:pPr>
        <w:rPr>
          <w:color w:val="auto"/>
        </w:rPr>
      </w:pPr>
      <w:r w:rsidRPr="00B73034">
        <w:rPr>
          <w:color w:val="auto"/>
        </w:rPr>
        <w:t xml:space="preserve">Dans ce cadre, pour la </w:t>
      </w:r>
      <w:r w:rsidRPr="00FB4C8E">
        <w:rPr>
          <w:color w:val="auto"/>
        </w:rPr>
        <w:t>mise en œuvre du Projet (appuyé par la Banque), l’Unité de Coordination du Projet PACT a déjà mis en place un Mécanisme de gestion des plaintes dans le cadre du Projet d’Appui à la Connectivité des Transports, encore sous le régime des anciennes Politiques de sauvegarde. A ce titre, le mécanisme en place pourra être étendu pour le PCMCI/CERC, avec éventuellement une mise à jour pour respecter les exigences des NES</w:t>
      </w:r>
    </w:p>
    <w:p w14:paraId="38121263" w14:textId="77777777" w:rsidR="00575CDF" w:rsidRPr="00C801A6" w:rsidRDefault="00575CDF" w:rsidP="00C65572">
      <w:pPr>
        <w:pStyle w:val="Heading3"/>
      </w:pPr>
      <w:bookmarkStart w:id="743" w:name="_Toc71533190"/>
      <w:bookmarkStart w:id="744" w:name="_Toc71794975"/>
      <w:bookmarkStart w:id="745" w:name="_Toc106320424"/>
      <w:bookmarkStart w:id="746" w:name="_Toc230426081"/>
      <w:r w:rsidRPr="00C801A6">
        <w:t xml:space="preserve">Catégories possibles de plaintes et de </w:t>
      </w:r>
      <w:bookmarkEnd w:id="743"/>
      <w:bookmarkEnd w:id="744"/>
      <w:r w:rsidRPr="00C801A6">
        <w:t>doléances</w:t>
      </w:r>
      <w:bookmarkEnd w:id="745"/>
      <w:bookmarkEnd w:id="746"/>
    </w:p>
    <w:p w14:paraId="285827F9" w14:textId="77777777" w:rsidR="00575CDF" w:rsidRPr="00C801A6" w:rsidRDefault="00575CDF" w:rsidP="00575CDF">
      <w:pPr>
        <w:rPr>
          <w:color w:val="auto"/>
          <w:lang w:val="fr-BE" w:eastAsia="ja-JP"/>
        </w:rPr>
      </w:pPr>
      <w:r w:rsidRPr="00C801A6">
        <w:rPr>
          <w:color w:val="auto"/>
          <w:lang w:val="fr-BE" w:eastAsia="ja-JP"/>
        </w:rPr>
        <w:t xml:space="preserve">L’on peut distinguer différents types de </w:t>
      </w:r>
      <w:r w:rsidRPr="00C801A6">
        <w:rPr>
          <w:i/>
          <w:color w:val="auto"/>
          <w:lang w:val="fr-BE" w:eastAsia="ja-JP"/>
        </w:rPr>
        <w:t>plaintes</w:t>
      </w:r>
      <w:r w:rsidRPr="00C801A6">
        <w:rPr>
          <w:color w:val="auto"/>
          <w:lang w:val="fr-BE" w:eastAsia="ja-JP"/>
        </w:rPr>
        <w:t xml:space="preserve"> ou de </w:t>
      </w:r>
      <w:r w:rsidRPr="00C801A6">
        <w:rPr>
          <w:i/>
          <w:color w:val="auto"/>
          <w:lang w:val="fr-BE" w:eastAsia="ja-JP"/>
        </w:rPr>
        <w:t>doléances</w:t>
      </w:r>
      <w:r w:rsidRPr="00C801A6">
        <w:rPr>
          <w:color w:val="auto"/>
          <w:lang w:val="fr-BE" w:eastAsia="ja-JP"/>
        </w:rPr>
        <w:t>. En effet, à part la plainte qui se rapporte à une infraction en droit, l’on note :</w:t>
      </w:r>
    </w:p>
    <w:p w14:paraId="59024449" w14:textId="77777777" w:rsidR="00575CDF" w:rsidRPr="00C801A6" w:rsidRDefault="00575CDF" w:rsidP="00844538">
      <w:pPr>
        <w:pStyle w:val="ListParagraph"/>
        <w:numPr>
          <w:ilvl w:val="0"/>
          <w:numId w:val="60"/>
        </w:numPr>
        <w:spacing w:after="80" w:line="276" w:lineRule="auto"/>
        <w:ind w:left="709" w:hanging="349"/>
        <w:contextualSpacing w:val="0"/>
        <w:rPr>
          <w:color w:val="auto"/>
          <w:lang w:val="fr-BE" w:eastAsia="ja-JP"/>
        </w:rPr>
      </w:pPr>
      <w:r w:rsidRPr="00C801A6">
        <w:rPr>
          <w:color w:val="auto"/>
          <w:lang w:val="fr-BE" w:eastAsia="ja-JP"/>
        </w:rPr>
        <w:t>Une doléance : Insatisfaction par rapport au non-respect de ce qui a été convenu.</w:t>
      </w:r>
    </w:p>
    <w:p w14:paraId="470293A3" w14:textId="77777777" w:rsidR="00575CDF" w:rsidRPr="00C801A6" w:rsidRDefault="00575CDF" w:rsidP="00844538">
      <w:pPr>
        <w:pStyle w:val="ListParagraph"/>
        <w:numPr>
          <w:ilvl w:val="0"/>
          <w:numId w:val="60"/>
        </w:numPr>
        <w:spacing w:after="80" w:line="276" w:lineRule="auto"/>
        <w:ind w:left="709" w:hanging="352"/>
        <w:contextualSpacing w:val="0"/>
        <w:rPr>
          <w:color w:val="auto"/>
          <w:lang w:val="fr-BE" w:eastAsia="ja-JP"/>
        </w:rPr>
      </w:pPr>
      <w:r w:rsidRPr="00C801A6">
        <w:rPr>
          <w:color w:val="auto"/>
          <w:lang w:val="fr-BE" w:eastAsia="ja-JP"/>
        </w:rPr>
        <w:t>Une réclamation : Demande pour obtenir ce à quoi on pense avoir droit.</w:t>
      </w:r>
    </w:p>
    <w:p w14:paraId="48E6BC5D" w14:textId="77777777" w:rsidR="00575CDF" w:rsidRPr="00C801A6" w:rsidRDefault="00575CDF" w:rsidP="00844538">
      <w:pPr>
        <w:pStyle w:val="ListParagraph"/>
        <w:numPr>
          <w:ilvl w:val="0"/>
          <w:numId w:val="60"/>
        </w:numPr>
        <w:spacing w:line="276" w:lineRule="auto"/>
        <w:ind w:left="709" w:hanging="352"/>
        <w:contextualSpacing w:val="0"/>
        <w:rPr>
          <w:color w:val="auto"/>
          <w:lang w:val="fr-BE" w:eastAsia="ja-JP"/>
        </w:rPr>
      </w:pPr>
      <w:r w:rsidRPr="00C801A6">
        <w:rPr>
          <w:color w:val="auto"/>
          <w:lang w:val="fr-BE" w:eastAsia="ja-JP"/>
        </w:rPr>
        <w:t>Une dénonciation : Signalement de la culpabilité d’autrui.</w:t>
      </w:r>
    </w:p>
    <w:p w14:paraId="56D5280E" w14:textId="77777777" w:rsidR="00575CDF" w:rsidRPr="00C801A6" w:rsidRDefault="00575CDF" w:rsidP="00575CDF">
      <w:pPr>
        <w:rPr>
          <w:color w:val="auto"/>
          <w:lang w:val="fr-BE" w:eastAsia="ja-JP"/>
        </w:rPr>
      </w:pPr>
      <w:r w:rsidRPr="00C801A6">
        <w:rPr>
          <w:color w:val="auto"/>
          <w:lang w:val="fr-BE" w:eastAsia="ja-JP"/>
        </w:rPr>
        <w:t>En somme, « plainte » est un terme générique. Entre autres, lors d’un chantier routier, on peut rencontrer diverses formes y afférentes :</w:t>
      </w:r>
    </w:p>
    <w:p w14:paraId="4A6E8CFB" w14:textId="77777777" w:rsidR="00575CDF" w:rsidRPr="00C801A6" w:rsidRDefault="00575CDF" w:rsidP="00844538">
      <w:pPr>
        <w:pStyle w:val="ListParagraph"/>
        <w:numPr>
          <w:ilvl w:val="0"/>
          <w:numId w:val="59"/>
        </w:numPr>
        <w:spacing w:after="80" w:line="276" w:lineRule="auto"/>
        <w:ind w:left="709" w:hanging="352"/>
        <w:contextualSpacing w:val="0"/>
        <w:rPr>
          <w:color w:val="auto"/>
          <w:lang w:val="fr-BE" w:eastAsia="ja-JP"/>
        </w:rPr>
      </w:pPr>
      <w:r w:rsidRPr="00C801A6">
        <w:rPr>
          <w:color w:val="auto"/>
          <w:lang w:val="fr-BE" w:eastAsia="ja-JP"/>
        </w:rPr>
        <w:t>Durant la mise en œuvre d’opérations de réinstallation, par déformation de langage, on appel « plainte » tous les événements suivants :</w:t>
      </w:r>
    </w:p>
    <w:p w14:paraId="0E23689B" w14:textId="77777777" w:rsidR="00575CDF" w:rsidRPr="00C801A6" w:rsidRDefault="00575CDF" w:rsidP="00844538">
      <w:pPr>
        <w:pStyle w:val="ListParagraph"/>
        <w:numPr>
          <w:ilvl w:val="1"/>
          <w:numId w:val="59"/>
        </w:numPr>
        <w:spacing w:after="80" w:line="276" w:lineRule="auto"/>
        <w:ind w:left="1134" w:hanging="425"/>
        <w:contextualSpacing w:val="0"/>
        <w:rPr>
          <w:color w:val="auto"/>
          <w:lang w:val="fr-BE" w:eastAsia="ja-JP"/>
        </w:rPr>
      </w:pPr>
      <w:r w:rsidRPr="00C801A6">
        <w:rPr>
          <w:color w:val="auto"/>
          <w:lang w:val="fr-BE" w:eastAsia="ja-JP"/>
        </w:rPr>
        <w:lastRenderedPageBreak/>
        <w:t>Mésentente entre héritiers dans la répartition des compensations monétaires pour la perte d’une partie de bien immeuble.</w:t>
      </w:r>
    </w:p>
    <w:p w14:paraId="7F70B99A" w14:textId="77777777" w:rsidR="00575CDF" w:rsidRPr="00C801A6" w:rsidRDefault="00575CDF" w:rsidP="00844538">
      <w:pPr>
        <w:pStyle w:val="ListParagraph"/>
        <w:numPr>
          <w:ilvl w:val="1"/>
          <w:numId w:val="59"/>
        </w:numPr>
        <w:spacing w:after="80" w:line="276" w:lineRule="auto"/>
        <w:ind w:left="1134" w:hanging="425"/>
        <w:contextualSpacing w:val="0"/>
        <w:rPr>
          <w:color w:val="auto"/>
          <w:lang w:val="fr-BE" w:eastAsia="ja-JP"/>
        </w:rPr>
      </w:pPr>
      <w:r w:rsidRPr="00C801A6">
        <w:rPr>
          <w:color w:val="auto"/>
          <w:lang w:val="fr-BE" w:eastAsia="ja-JP"/>
        </w:rPr>
        <w:t>Réclamation pour une erreur durant les études foncières.</w:t>
      </w:r>
    </w:p>
    <w:p w14:paraId="228D4B19" w14:textId="77777777" w:rsidR="00575CDF" w:rsidRPr="00C801A6" w:rsidRDefault="00575CDF" w:rsidP="00844538">
      <w:pPr>
        <w:pStyle w:val="ListParagraph"/>
        <w:numPr>
          <w:ilvl w:val="1"/>
          <w:numId w:val="59"/>
        </w:numPr>
        <w:spacing w:after="80" w:line="276" w:lineRule="auto"/>
        <w:ind w:left="1134" w:hanging="425"/>
        <w:contextualSpacing w:val="0"/>
        <w:rPr>
          <w:color w:val="auto"/>
          <w:lang w:val="fr-BE" w:eastAsia="ja-JP"/>
        </w:rPr>
      </w:pPr>
      <w:r w:rsidRPr="00C801A6">
        <w:rPr>
          <w:color w:val="auto"/>
          <w:lang w:val="fr-BE" w:eastAsia="ja-JP"/>
        </w:rPr>
        <w:t>Mésentente entre les propriétaires de deux parcelles mitoyennes impactées par une déviation de la route.</w:t>
      </w:r>
    </w:p>
    <w:p w14:paraId="2186C531" w14:textId="77777777" w:rsidR="00575CDF" w:rsidRPr="00C801A6" w:rsidRDefault="00575CDF" w:rsidP="00844538">
      <w:pPr>
        <w:pStyle w:val="ListParagraph"/>
        <w:numPr>
          <w:ilvl w:val="1"/>
          <w:numId w:val="59"/>
        </w:numPr>
        <w:spacing w:after="80" w:line="276" w:lineRule="auto"/>
        <w:ind w:left="1134" w:hanging="425"/>
        <w:contextualSpacing w:val="0"/>
        <w:rPr>
          <w:color w:val="auto"/>
          <w:lang w:val="fr-BE" w:eastAsia="ja-JP"/>
        </w:rPr>
      </w:pPr>
      <w:r w:rsidRPr="00C801A6">
        <w:rPr>
          <w:color w:val="auto"/>
          <w:lang w:val="fr-BE" w:eastAsia="ja-JP"/>
        </w:rPr>
        <w:t>Refus par rapport au montant d’une compensation monétaire.</w:t>
      </w:r>
    </w:p>
    <w:p w14:paraId="4A47AABD" w14:textId="77777777" w:rsidR="00575CDF" w:rsidRPr="00C801A6" w:rsidRDefault="00575CDF" w:rsidP="00844538">
      <w:pPr>
        <w:pStyle w:val="ListParagraph"/>
        <w:numPr>
          <w:ilvl w:val="1"/>
          <w:numId w:val="59"/>
        </w:numPr>
        <w:spacing w:line="276" w:lineRule="auto"/>
        <w:ind w:left="1134" w:hanging="425"/>
        <w:contextualSpacing w:val="0"/>
        <w:rPr>
          <w:color w:val="auto"/>
          <w:lang w:val="fr-BE" w:eastAsia="ja-JP"/>
        </w:rPr>
      </w:pPr>
      <w:r w:rsidRPr="00C801A6">
        <w:rPr>
          <w:color w:val="auto"/>
          <w:lang w:val="fr-BE" w:eastAsia="ja-JP"/>
        </w:rPr>
        <w:t>Autres.</w:t>
      </w:r>
    </w:p>
    <w:p w14:paraId="3A6DE881" w14:textId="77777777" w:rsidR="00575CDF" w:rsidRPr="00C801A6" w:rsidRDefault="00575CDF" w:rsidP="00844538">
      <w:pPr>
        <w:pStyle w:val="ListParagraph"/>
        <w:numPr>
          <w:ilvl w:val="0"/>
          <w:numId w:val="59"/>
        </w:numPr>
        <w:spacing w:after="80" w:line="276" w:lineRule="auto"/>
        <w:ind w:left="709" w:hanging="352"/>
        <w:contextualSpacing w:val="0"/>
        <w:rPr>
          <w:color w:val="auto"/>
          <w:lang w:val="fr-BE" w:eastAsia="ja-JP"/>
        </w:rPr>
      </w:pPr>
      <w:r w:rsidRPr="00C801A6">
        <w:rPr>
          <w:color w:val="auto"/>
          <w:lang w:val="fr-BE" w:eastAsia="ja-JP"/>
        </w:rPr>
        <w:t>Plainte environnementale</w:t>
      </w:r>
    </w:p>
    <w:p w14:paraId="257D8085" w14:textId="77777777" w:rsidR="00575CDF" w:rsidRPr="00C801A6" w:rsidRDefault="00575CDF" w:rsidP="00575CDF">
      <w:pPr>
        <w:ind w:left="709"/>
        <w:rPr>
          <w:color w:val="auto"/>
          <w:lang w:val="fr-BE" w:eastAsia="ja-JP"/>
        </w:rPr>
      </w:pPr>
      <w:r w:rsidRPr="00C801A6">
        <w:rPr>
          <w:color w:val="auto"/>
          <w:u w:val="single"/>
          <w:lang w:val="fr-BE" w:eastAsia="ja-JP"/>
        </w:rPr>
        <w:t>Ex :</w:t>
      </w:r>
      <w:r w:rsidRPr="00C801A6">
        <w:rPr>
          <w:color w:val="auto"/>
          <w:lang w:val="fr-BE" w:eastAsia="ja-JP"/>
        </w:rPr>
        <w:t xml:space="preserve"> une passerelle qui n’a pas été remise par l’entreprise de travaux. Le propriétaire peut se plaindre.</w:t>
      </w:r>
    </w:p>
    <w:p w14:paraId="5AB8381F" w14:textId="77777777" w:rsidR="00575CDF" w:rsidRPr="00C801A6" w:rsidRDefault="00575CDF" w:rsidP="00575CDF">
      <w:pPr>
        <w:ind w:left="709"/>
        <w:rPr>
          <w:color w:val="auto"/>
          <w:lang w:val="fr-BE" w:eastAsia="ja-JP"/>
        </w:rPr>
      </w:pPr>
      <w:r w:rsidRPr="00C801A6">
        <w:rPr>
          <w:color w:val="auto"/>
          <w:lang w:val="fr-BE" w:eastAsia="ja-JP"/>
        </w:rPr>
        <w:t>Si l’entreprise coupe des arbres d’ornementation sur le bord de la route visée, les riverains sont en droit de porter plainte pour s’y opposer.</w:t>
      </w:r>
    </w:p>
    <w:p w14:paraId="684DD3E0" w14:textId="08A122D5" w:rsidR="00575CDF" w:rsidRPr="00C801A6" w:rsidRDefault="00575CDF" w:rsidP="00844538">
      <w:pPr>
        <w:pStyle w:val="ListParagraph"/>
        <w:numPr>
          <w:ilvl w:val="0"/>
          <w:numId w:val="59"/>
        </w:numPr>
        <w:spacing w:line="276" w:lineRule="auto"/>
        <w:ind w:left="709" w:hanging="352"/>
        <w:contextualSpacing w:val="0"/>
        <w:rPr>
          <w:color w:val="auto"/>
          <w:lang w:val="fr-BE" w:eastAsia="ja-JP"/>
        </w:rPr>
      </w:pPr>
      <w:r w:rsidRPr="00C801A6">
        <w:rPr>
          <w:color w:val="auto"/>
          <w:lang w:val="fr-BE" w:eastAsia="ja-JP"/>
        </w:rPr>
        <w:t>Plaintes spécifiques.</w:t>
      </w:r>
    </w:p>
    <w:p w14:paraId="0CC637AE" w14:textId="77777777" w:rsidR="00575CDF" w:rsidRPr="00C801A6" w:rsidRDefault="00575CDF" w:rsidP="00844538">
      <w:pPr>
        <w:pStyle w:val="ListParagraph"/>
        <w:numPr>
          <w:ilvl w:val="0"/>
          <w:numId w:val="59"/>
        </w:numPr>
        <w:spacing w:line="276" w:lineRule="auto"/>
        <w:ind w:left="709" w:hanging="352"/>
        <w:rPr>
          <w:color w:val="auto"/>
          <w:lang w:val="fr-BE" w:eastAsia="ja-JP"/>
        </w:rPr>
      </w:pPr>
      <w:r w:rsidRPr="00C801A6">
        <w:rPr>
          <w:color w:val="auto"/>
          <w:lang w:val="fr-BE" w:eastAsia="ja-JP"/>
        </w:rPr>
        <w:t>Etc.</w:t>
      </w:r>
    </w:p>
    <w:p w14:paraId="2B52D8FE" w14:textId="77777777" w:rsidR="00575CDF" w:rsidRPr="00C801A6" w:rsidRDefault="00575CDF" w:rsidP="00C65572">
      <w:pPr>
        <w:pStyle w:val="Heading3"/>
      </w:pPr>
      <w:bookmarkStart w:id="747" w:name="_Toc71533191"/>
      <w:bookmarkStart w:id="748" w:name="_Toc71794976"/>
      <w:bookmarkStart w:id="749" w:name="_Toc106320425"/>
      <w:bookmarkStart w:id="750" w:name="_Toc230426082"/>
      <w:r w:rsidRPr="00C801A6">
        <w:t>Principes de gestion des plaintes</w:t>
      </w:r>
      <w:bookmarkEnd w:id="747"/>
      <w:bookmarkEnd w:id="748"/>
      <w:bookmarkEnd w:id="749"/>
      <w:bookmarkEnd w:id="750"/>
    </w:p>
    <w:p w14:paraId="245B4664" w14:textId="77777777" w:rsidR="00575CDF" w:rsidRPr="00C801A6" w:rsidRDefault="00575CDF" w:rsidP="00844538">
      <w:pPr>
        <w:pStyle w:val="ListParagraph"/>
        <w:numPr>
          <w:ilvl w:val="0"/>
          <w:numId w:val="62"/>
        </w:numPr>
        <w:spacing w:line="276" w:lineRule="auto"/>
        <w:rPr>
          <w:b/>
          <w:color w:val="auto"/>
          <w:u w:val="single"/>
        </w:rPr>
      </w:pPr>
      <w:r w:rsidRPr="00C801A6">
        <w:rPr>
          <w:b/>
          <w:color w:val="auto"/>
          <w:u w:val="single"/>
        </w:rPr>
        <w:t>Bases</w:t>
      </w:r>
    </w:p>
    <w:p w14:paraId="5CA8340E" w14:textId="77777777" w:rsidR="00575CDF" w:rsidRPr="00C801A6" w:rsidRDefault="00575CDF" w:rsidP="00575CDF">
      <w:pPr>
        <w:ind w:left="708"/>
        <w:rPr>
          <w:color w:val="auto"/>
          <w:lang w:eastAsia="ja-JP"/>
        </w:rPr>
      </w:pPr>
      <w:r w:rsidRPr="00C801A6">
        <w:rPr>
          <w:color w:val="auto"/>
          <w:lang w:eastAsia="ja-JP"/>
        </w:rPr>
        <w:t>Les principes fondamentaux suivants seront assurés afin d’assurer l’effectivité du mécanisme :</w:t>
      </w:r>
    </w:p>
    <w:p w14:paraId="3BE1F319" w14:textId="77777777" w:rsidR="00575CDF" w:rsidRPr="00C801A6" w:rsidRDefault="00575CDF" w:rsidP="00844538">
      <w:pPr>
        <w:pStyle w:val="ListParagraph"/>
        <w:numPr>
          <w:ilvl w:val="0"/>
          <w:numId w:val="50"/>
        </w:numPr>
        <w:spacing w:line="276" w:lineRule="auto"/>
        <w:ind w:left="1134" w:hanging="425"/>
        <w:contextualSpacing w:val="0"/>
        <w:rPr>
          <w:b/>
          <w:color w:val="auto"/>
          <w:lang w:eastAsia="ja-JP"/>
        </w:rPr>
      </w:pPr>
      <w:r w:rsidRPr="00C801A6">
        <w:rPr>
          <w:b/>
          <w:color w:val="auto"/>
          <w:lang w:eastAsia="ja-JP"/>
        </w:rPr>
        <w:t>Accessibilité</w:t>
      </w:r>
    </w:p>
    <w:p w14:paraId="6637E324" w14:textId="77777777" w:rsidR="00575CDF" w:rsidRPr="00C801A6" w:rsidRDefault="00575CDF" w:rsidP="00844538">
      <w:pPr>
        <w:pStyle w:val="ListParagraph"/>
        <w:numPr>
          <w:ilvl w:val="1"/>
          <w:numId w:val="58"/>
        </w:numPr>
        <w:spacing w:line="276" w:lineRule="auto"/>
        <w:ind w:left="1560" w:hanging="426"/>
        <w:rPr>
          <w:color w:val="auto"/>
          <w:lang w:eastAsia="ja-JP"/>
        </w:rPr>
      </w:pPr>
      <w:r w:rsidRPr="00C801A6">
        <w:rPr>
          <w:color w:val="auto"/>
          <w:lang w:eastAsia="ja-JP"/>
        </w:rPr>
        <w:t>Diffuser largement le mécanisme aux groupes cibles, en surmontant les barrières linguistiques, géographiques, intellectuelles, financières ... ;</w:t>
      </w:r>
    </w:p>
    <w:p w14:paraId="0911CCD9" w14:textId="77777777" w:rsidR="00575CDF" w:rsidRPr="00C801A6" w:rsidRDefault="00575CDF" w:rsidP="00844538">
      <w:pPr>
        <w:pStyle w:val="ListParagraph"/>
        <w:numPr>
          <w:ilvl w:val="1"/>
          <w:numId w:val="58"/>
        </w:numPr>
        <w:spacing w:line="276" w:lineRule="auto"/>
        <w:ind w:left="1560" w:hanging="426"/>
        <w:rPr>
          <w:color w:val="auto"/>
          <w:lang w:eastAsia="ja-JP"/>
        </w:rPr>
      </w:pPr>
      <w:r w:rsidRPr="00C801A6">
        <w:rPr>
          <w:color w:val="auto"/>
          <w:lang w:eastAsia="ja-JP"/>
        </w:rPr>
        <w:t>Expliquer clairement les procédures de dépôt de plaintes ;</w:t>
      </w:r>
    </w:p>
    <w:p w14:paraId="0AEC6279" w14:textId="77777777" w:rsidR="00575CDF" w:rsidRPr="00C801A6" w:rsidRDefault="00575CDF" w:rsidP="00844538">
      <w:pPr>
        <w:pStyle w:val="ListParagraph"/>
        <w:numPr>
          <w:ilvl w:val="1"/>
          <w:numId w:val="58"/>
        </w:numPr>
        <w:spacing w:line="276" w:lineRule="auto"/>
        <w:ind w:left="1560" w:hanging="426"/>
        <w:rPr>
          <w:color w:val="auto"/>
          <w:lang w:eastAsia="ja-JP"/>
        </w:rPr>
      </w:pPr>
      <w:r w:rsidRPr="00C801A6">
        <w:rPr>
          <w:color w:val="auto"/>
          <w:lang w:eastAsia="ja-JP"/>
        </w:rPr>
        <w:t>Diversifier les canaux ou les types de plaintes possibles ;</w:t>
      </w:r>
    </w:p>
    <w:p w14:paraId="298A73EE" w14:textId="77777777" w:rsidR="00575CDF" w:rsidRPr="00C801A6" w:rsidRDefault="00575CDF" w:rsidP="00844538">
      <w:pPr>
        <w:pStyle w:val="ListParagraph"/>
        <w:numPr>
          <w:ilvl w:val="1"/>
          <w:numId w:val="58"/>
        </w:numPr>
        <w:spacing w:line="276" w:lineRule="auto"/>
        <w:ind w:left="1559" w:hanging="425"/>
        <w:contextualSpacing w:val="0"/>
        <w:rPr>
          <w:color w:val="auto"/>
          <w:lang w:eastAsia="ja-JP"/>
        </w:rPr>
      </w:pPr>
      <w:r w:rsidRPr="00C801A6">
        <w:rPr>
          <w:color w:val="auto"/>
          <w:lang w:eastAsia="ja-JP"/>
        </w:rPr>
        <w:t>Assister les personnes ayant des problèmes particuliers dans la formulation d’une plainte.</w:t>
      </w:r>
    </w:p>
    <w:p w14:paraId="3F8E3F3D" w14:textId="77777777" w:rsidR="00575CDF" w:rsidRPr="00C801A6" w:rsidRDefault="00575CDF" w:rsidP="00844538">
      <w:pPr>
        <w:pStyle w:val="ListParagraph"/>
        <w:numPr>
          <w:ilvl w:val="0"/>
          <w:numId w:val="50"/>
        </w:numPr>
        <w:spacing w:line="276" w:lineRule="auto"/>
        <w:ind w:left="1134" w:hanging="425"/>
        <w:contextualSpacing w:val="0"/>
        <w:rPr>
          <w:b/>
          <w:color w:val="auto"/>
          <w:lang w:eastAsia="ja-JP"/>
        </w:rPr>
      </w:pPr>
      <w:r w:rsidRPr="00C801A6">
        <w:rPr>
          <w:b/>
          <w:color w:val="auto"/>
          <w:lang w:eastAsia="ja-JP"/>
        </w:rPr>
        <w:t>Sécurité</w:t>
      </w:r>
    </w:p>
    <w:p w14:paraId="4F1CCF77" w14:textId="77777777" w:rsidR="00575CDF" w:rsidRPr="00C801A6" w:rsidRDefault="00575CDF" w:rsidP="00844538">
      <w:pPr>
        <w:pStyle w:val="ListParagraph"/>
        <w:numPr>
          <w:ilvl w:val="1"/>
          <w:numId w:val="58"/>
        </w:numPr>
        <w:spacing w:line="276" w:lineRule="auto"/>
        <w:ind w:left="1560" w:hanging="426"/>
        <w:rPr>
          <w:color w:val="auto"/>
          <w:lang w:eastAsia="ja-JP"/>
        </w:rPr>
      </w:pPr>
      <w:r w:rsidRPr="00C801A6">
        <w:rPr>
          <w:color w:val="auto"/>
          <w:lang w:eastAsia="ja-JP"/>
        </w:rPr>
        <w:t>A la demande du plaignant : assurer l’anonymat du dossier.</w:t>
      </w:r>
    </w:p>
    <w:p w14:paraId="1F4FECF0" w14:textId="77777777" w:rsidR="00575CDF" w:rsidRPr="00C801A6" w:rsidRDefault="00575CDF" w:rsidP="00844538">
      <w:pPr>
        <w:pStyle w:val="ListParagraph"/>
        <w:numPr>
          <w:ilvl w:val="1"/>
          <w:numId w:val="58"/>
        </w:numPr>
        <w:spacing w:line="276" w:lineRule="auto"/>
        <w:ind w:left="1559" w:hanging="425"/>
        <w:contextualSpacing w:val="0"/>
        <w:rPr>
          <w:color w:val="auto"/>
          <w:lang w:eastAsia="ja-JP"/>
        </w:rPr>
      </w:pPr>
      <w:r w:rsidRPr="00C801A6">
        <w:rPr>
          <w:color w:val="auto"/>
          <w:lang w:eastAsia="ja-JP"/>
        </w:rPr>
        <w:t>Assurer la confidentialité, surtout pour le cas de plaintes de nature sensibles.</w:t>
      </w:r>
    </w:p>
    <w:p w14:paraId="58416B75" w14:textId="77777777" w:rsidR="00575CDF" w:rsidRPr="00C801A6" w:rsidRDefault="00575CDF" w:rsidP="00844538">
      <w:pPr>
        <w:pStyle w:val="ListParagraph"/>
        <w:numPr>
          <w:ilvl w:val="0"/>
          <w:numId w:val="50"/>
        </w:numPr>
        <w:spacing w:line="276" w:lineRule="auto"/>
        <w:ind w:left="1134" w:hanging="425"/>
        <w:contextualSpacing w:val="0"/>
        <w:rPr>
          <w:b/>
          <w:color w:val="auto"/>
          <w:lang w:eastAsia="ja-JP"/>
        </w:rPr>
      </w:pPr>
      <w:r w:rsidRPr="00C801A6">
        <w:rPr>
          <w:b/>
          <w:color w:val="auto"/>
          <w:lang w:eastAsia="ja-JP"/>
        </w:rPr>
        <w:t>Transparence</w:t>
      </w:r>
    </w:p>
    <w:p w14:paraId="60C45127" w14:textId="77777777" w:rsidR="00575CDF" w:rsidRPr="00C801A6" w:rsidRDefault="00575CDF" w:rsidP="00844538">
      <w:pPr>
        <w:pStyle w:val="ListParagraph"/>
        <w:numPr>
          <w:ilvl w:val="1"/>
          <w:numId w:val="58"/>
        </w:numPr>
        <w:spacing w:line="276" w:lineRule="auto"/>
        <w:ind w:left="1559" w:hanging="425"/>
        <w:contextualSpacing w:val="0"/>
        <w:rPr>
          <w:color w:val="auto"/>
          <w:lang w:eastAsia="ja-JP"/>
        </w:rPr>
      </w:pPr>
      <w:r w:rsidRPr="00C801A6">
        <w:rPr>
          <w:color w:val="auto"/>
          <w:lang w:eastAsia="ja-JP"/>
        </w:rPr>
        <w:t>Renseigner les parties concernées et les plaignants sur l’évolution et les résultats du traitement.</w:t>
      </w:r>
    </w:p>
    <w:p w14:paraId="666A235A" w14:textId="77777777" w:rsidR="00575CDF" w:rsidRPr="00C801A6" w:rsidRDefault="00575CDF" w:rsidP="00844538">
      <w:pPr>
        <w:pStyle w:val="ListParagraph"/>
        <w:numPr>
          <w:ilvl w:val="0"/>
          <w:numId w:val="50"/>
        </w:numPr>
        <w:spacing w:line="276" w:lineRule="auto"/>
        <w:ind w:left="1134" w:hanging="425"/>
        <w:contextualSpacing w:val="0"/>
        <w:rPr>
          <w:b/>
          <w:color w:val="auto"/>
          <w:lang w:eastAsia="ja-JP"/>
        </w:rPr>
      </w:pPr>
      <w:r w:rsidRPr="00C801A6">
        <w:rPr>
          <w:b/>
          <w:color w:val="auto"/>
          <w:lang w:eastAsia="ja-JP"/>
        </w:rPr>
        <w:t>Impartialité</w:t>
      </w:r>
    </w:p>
    <w:p w14:paraId="10DB19E7" w14:textId="77777777" w:rsidR="00575CDF" w:rsidRPr="00C801A6" w:rsidRDefault="00575CDF" w:rsidP="00844538">
      <w:pPr>
        <w:pStyle w:val="ListParagraph"/>
        <w:numPr>
          <w:ilvl w:val="1"/>
          <w:numId w:val="58"/>
        </w:numPr>
        <w:spacing w:line="276" w:lineRule="auto"/>
        <w:ind w:left="1559" w:hanging="425"/>
        <w:rPr>
          <w:color w:val="auto"/>
          <w:lang w:eastAsia="ja-JP"/>
        </w:rPr>
      </w:pPr>
      <w:r w:rsidRPr="00C801A6">
        <w:rPr>
          <w:color w:val="auto"/>
          <w:lang w:eastAsia="ja-JP"/>
        </w:rPr>
        <w:t>Veiller à l’impartialité des personnes qui participent aux investigations / traitements.</w:t>
      </w:r>
    </w:p>
    <w:p w14:paraId="3A86D80C" w14:textId="2290FB57" w:rsidR="00FB4C8E" w:rsidRPr="00253F1A" w:rsidRDefault="00575CDF" w:rsidP="00C83928">
      <w:pPr>
        <w:pStyle w:val="ListParagraph"/>
        <w:numPr>
          <w:ilvl w:val="1"/>
          <w:numId w:val="58"/>
        </w:numPr>
        <w:spacing w:line="259" w:lineRule="auto"/>
        <w:ind w:left="1559" w:hanging="425"/>
        <w:contextualSpacing w:val="0"/>
        <w:jc w:val="left"/>
        <w:rPr>
          <w:color w:val="auto"/>
          <w:lang w:eastAsia="ja-JP"/>
        </w:rPr>
      </w:pPr>
      <w:r w:rsidRPr="00253F1A">
        <w:rPr>
          <w:color w:val="auto"/>
          <w:lang w:eastAsia="ja-JP"/>
        </w:rPr>
        <w:lastRenderedPageBreak/>
        <w:t>Assurer qu’aucune personne ayant un intérêt direct dans l’issue de l’investigation ne participe au traitement de la plainte concernée.</w:t>
      </w:r>
    </w:p>
    <w:p w14:paraId="24699267" w14:textId="77777777" w:rsidR="00575CDF" w:rsidRPr="00C801A6" w:rsidRDefault="00575CDF" w:rsidP="00844538">
      <w:pPr>
        <w:pStyle w:val="ListParagraph"/>
        <w:numPr>
          <w:ilvl w:val="0"/>
          <w:numId w:val="50"/>
        </w:numPr>
        <w:spacing w:line="276" w:lineRule="auto"/>
        <w:ind w:left="1134" w:hanging="425"/>
        <w:contextualSpacing w:val="0"/>
        <w:rPr>
          <w:b/>
          <w:color w:val="auto"/>
          <w:lang w:eastAsia="ja-JP"/>
        </w:rPr>
      </w:pPr>
      <w:r w:rsidRPr="00C801A6">
        <w:rPr>
          <w:b/>
          <w:color w:val="auto"/>
          <w:lang w:eastAsia="ja-JP"/>
        </w:rPr>
        <w:t>Prévisibilité</w:t>
      </w:r>
    </w:p>
    <w:p w14:paraId="012238BD" w14:textId="77777777" w:rsidR="00575CDF" w:rsidRPr="00C801A6" w:rsidRDefault="00575CDF" w:rsidP="00844538">
      <w:pPr>
        <w:pStyle w:val="ListParagraph"/>
        <w:numPr>
          <w:ilvl w:val="1"/>
          <w:numId w:val="58"/>
        </w:numPr>
        <w:spacing w:line="276" w:lineRule="auto"/>
        <w:ind w:left="1559" w:hanging="425"/>
        <w:contextualSpacing w:val="0"/>
        <w:rPr>
          <w:color w:val="auto"/>
          <w:lang w:eastAsia="ja-JP"/>
        </w:rPr>
      </w:pPr>
      <w:r w:rsidRPr="00C801A6">
        <w:rPr>
          <w:color w:val="auto"/>
          <w:lang w:eastAsia="ja-JP"/>
        </w:rPr>
        <w:t>Réagir promptement à toutes les plaintes : toutes les plaintes doivent être enregistrées et les résultats du traitement restitués.</w:t>
      </w:r>
    </w:p>
    <w:p w14:paraId="18E74A6F" w14:textId="77777777" w:rsidR="00575CDF" w:rsidRPr="00C801A6" w:rsidRDefault="00575CDF" w:rsidP="00844538">
      <w:pPr>
        <w:pStyle w:val="ListParagraph"/>
        <w:numPr>
          <w:ilvl w:val="1"/>
          <w:numId w:val="58"/>
        </w:numPr>
        <w:spacing w:line="276" w:lineRule="auto"/>
        <w:ind w:left="1559" w:hanging="425"/>
        <w:contextualSpacing w:val="0"/>
        <w:rPr>
          <w:color w:val="auto"/>
          <w:lang w:eastAsia="ja-JP"/>
        </w:rPr>
      </w:pPr>
      <w:r w:rsidRPr="00C801A6">
        <w:rPr>
          <w:color w:val="auto"/>
          <w:lang w:eastAsia="ja-JP"/>
        </w:rPr>
        <w:t>Présenter un processus de traitement clair, avec des délais pour chaque étape.</w:t>
      </w:r>
    </w:p>
    <w:p w14:paraId="7C1F3866" w14:textId="77777777" w:rsidR="00575CDF" w:rsidRPr="00C801A6" w:rsidRDefault="00575CDF" w:rsidP="00844538">
      <w:pPr>
        <w:pStyle w:val="ListParagraph"/>
        <w:numPr>
          <w:ilvl w:val="0"/>
          <w:numId w:val="50"/>
        </w:numPr>
        <w:spacing w:line="276" w:lineRule="auto"/>
        <w:ind w:left="1134" w:hanging="425"/>
        <w:contextualSpacing w:val="0"/>
        <w:rPr>
          <w:b/>
          <w:color w:val="auto"/>
          <w:lang w:eastAsia="ja-JP"/>
        </w:rPr>
      </w:pPr>
      <w:r w:rsidRPr="00C801A6">
        <w:rPr>
          <w:b/>
          <w:color w:val="auto"/>
          <w:lang w:eastAsia="ja-JP"/>
        </w:rPr>
        <w:t>Principe de subsidiarité</w:t>
      </w:r>
    </w:p>
    <w:p w14:paraId="54C38F9C" w14:textId="77777777" w:rsidR="00575CDF" w:rsidRPr="00C801A6" w:rsidRDefault="00575CDF" w:rsidP="00575CDF">
      <w:pPr>
        <w:ind w:left="1134"/>
        <w:rPr>
          <w:color w:val="auto"/>
          <w:lang w:eastAsia="ja-JP"/>
        </w:rPr>
      </w:pPr>
      <w:r w:rsidRPr="00C801A6">
        <w:rPr>
          <w:color w:val="auto"/>
          <w:lang w:eastAsia="ja-JP"/>
        </w:rPr>
        <w:t>Ce principe se base sur la règle de répartition des compétences. Ainsi la première responsabilité doit être prise par le niveau le plus bas de l’autorité pour résoudre un problème donné. Le principe de subsidiarité du MGP vise à assurer une prise de décision la plus proche possible des populations et des communautés locales. Concernant le MGP, l’échelon le plus bas se trouve au niveau des Quartiers.</w:t>
      </w:r>
    </w:p>
    <w:p w14:paraId="6D694124" w14:textId="77777777" w:rsidR="00575CDF" w:rsidRPr="00C801A6" w:rsidRDefault="00575CDF" w:rsidP="00844538">
      <w:pPr>
        <w:pStyle w:val="ListParagraph"/>
        <w:numPr>
          <w:ilvl w:val="0"/>
          <w:numId w:val="62"/>
        </w:numPr>
        <w:spacing w:line="276" w:lineRule="auto"/>
        <w:rPr>
          <w:b/>
          <w:color w:val="auto"/>
          <w:u w:val="single"/>
        </w:rPr>
      </w:pPr>
      <w:r w:rsidRPr="00C801A6">
        <w:rPr>
          <w:b/>
          <w:color w:val="auto"/>
          <w:u w:val="single"/>
        </w:rPr>
        <w:t>Principes de traitement</w:t>
      </w:r>
    </w:p>
    <w:p w14:paraId="79F4EA60" w14:textId="336F2700" w:rsidR="00575CDF" w:rsidRPr="00C801A6" w:rsidRDefault="00575CDF" w:rsidP="00575CDF">
      <w:pPr>
        <w:ind w:left="284"/>
        <w:rPr>
          <w:color w:val="auto"/>
        </w:rPr>
      </w:pPr>
      <w:r w:rsidRPr="00C801A6">
        <w:rPr>
          <w:color w:val="auto"/>
        </w:rPr>
        <w:t>Le règlement des litiges se fait d’abord à l’amiable et par étapes : au niveau des Sages du Fokontany, au niveau de la Commune, au niveau Région, au niveau de l’antenne locale du Projet, au niveau de l’U</w:t>
      </w:r>
      <w:r w:rsidR="00C65708">
        <w:rPr>
          <w:color w:val="auto"/>
        </w:rPr>
        <w:t>C</w:t>
      </w:r>
      <w:r w:rsidRPr="00C801A6">
        <w:rPr>
          <w:color w:val="auto"/>
        </w:rPr>
        <w:t>P au siège jusqu’au Ministère de Tutelle en cas de besoin et, comme voie de recours, le Tribunal.</w:t>
      </w:r>
    </w:p>
    <w:p w14:paraId="43D05F15" w14:textId="77777777" w:rsidR="00575CDF" w:rsidRPr="00C801A6" w:rsidRDefault="00575CDF" w:rsidP="00844538">
      <w:pPr>
        <w:pStyle w:val="ListParagraph"/>
        <w:numPr>
          <w:ilvl w:val="0"/>
          <w:numId w:val="61"/>
        </w:numPr>
        <w:spacing w:line="276" w:lineRule="auto"/>
        <w:ind w:left="1134" w:hanging="425"/>
        <w:contextualSpacing w:val="0"/>
        <w:rPr>
          <w:color w:val="auto"/>
        </w:rPr>
      </w:pPr>
      <w:r w:rsidRPr="00C801A6">
        <w:rPr>
          <w:color w:val="auto"/>
        </w:rPr>
        <w:t>Chaque plainte non résolue à un niveau donné sera transférée au niveau supérieur et ainsi de suite.</w:t>
      </w:r>
    </w:p>
    <w:p w14:paraId="2BDC8C5C" w14:textId="77777777" w:rsidR="00575CDF" w:rsidRPr="00C801A6" w:rsidRDefault="00575CDF" w:rsidP="00844538">
      <w:pPr>
        <w:pStyle w:val="ListParagraph"/>
        <w:numPr>
          <w:ilvl w:val="0"/>
          <w:numId w:val="61"/>
        </w:numPr>
        <w:spacing w:line="276" w:lineRule="auto"/>
        <w:ind w:left="1134" w:hanging="425"/>
        <w:rPr>
          <w:color w:val="auto"/>
        </w:rPr>
      </w:pPr>
      <w:r w:rsidRPr="00C801A6">
        <w:rPr>
          <w:color w:val="auto"/>
        </w:rPr>
        <w:t>Le délai de traitement d’une plainte ne devrait pas excéder trente (30 jours) en général, sauf si la procédure requiert l’intervention d’autres acteurs ou des recoupements spéciaux ou encore des traitements particuliers.</w:t>
      </w:r>
    </w:p>
    <w:p w14:paraId="47017632" w14:textId="77777777" w:rsidR="00575CDF" w:rsidRPr="00C801A6" w:rsidRDefault="00575CDF" w:rsidP="003042DB">
      <w:pPr>
        <w:pStyle w:val="Heading4"/>
        <w:rPr>
          <w:color w:val="auto"/>
        </w:rPr>
      </w:pPr>
      <w:bookmarkStart w:id="751" w:name="_Toc71533192"/>
      <w:bookmarkStart w:id="752" w:name="_Toc71794977"/>
      <w:bookmarkStart w:id="753" w:name="_Toc230298813"/>
      <w:r w:rsidRPr="00C801A6">
        <w:rPr>
          <w:color w:val="auto"/>
        </w:rPr>
        <w:t>Traitement à l’amiable</w:t>
      </w:r>
      <w:bookmarkEnd w:id="751"/>
      <w:bookmarkEnd w:id="752"/>
      <w:bookmarkEnd w:id="753"/>
    </w:p>
    <w:p w14:paraId="1E202EAA" w14:textId="77777777" w:rsidR="00575CDF" w:rsidRPr="00C801A6" w:rsidRDefault="00575CDF" w:rsidP="00575CDF">
      <w:pPr>
        <w:rPr>
          <w:color w:val="auto"/>
          <w:lang w:eastAsia="ja-JP"/>
        </w:rPr>
      </w:pPr>
      <w:r w:rsidRPr="00C801A6">
        <w:rPr>
          <w:color w:val="auto"/>
          <w:lang w:eastAsia="ja-JP"/>
        </w:rPr>
        <w:t>Le traitement à l’amiable devrait passer par les étapes suivantes :</w:t>
      </w:r>
    </w:p>
    <w:p w14:paraId="53AAE2B5" w14:textId="77777777" w:rsidR="00575CDF" w:rsidRPr="00C801A6" w:rsidRDefault="00575CDF" w:rsidP="00844538">
      <w:pPr>
        <w:pStyle w:val="ListParagraph"/>
        <w:numPr>
          <w:ilvl w:val="1"/>
          <w:numId w:val="55"/>
        </w:numPr>
        <w:spacing w:line="276" w:lineRule="auto"/>
        <w:ind w:left="426"/>
        <w:contextualSpacing w:val="0"/>
        <w:rPr>
          <w:color w:val="auto"/>
          <w:szCs w:val="24"/>
        </w:rPr>
      </w:pPr>
      <w:r w:rsidRPr="00C801A6">
        <w:rPr>
          <w:color w:val="auto"/>
          <w:szCs w:val="24"/>
          <w:u w:val="single"/>
        </w:rPr>
        <w:t>Enregistrement de la plainte</w:t>
      </w:r>
      <w:r w:rsidRPr="00C801A6">
        <w:rPr>
          <w:color w:val="auto"/>
          <w:szCs w:val="24"/>
        </w:rPr>
        <w:t> : par l’intermédiaire d’un registre de doléance mis à la disposition de la population au niveau de chaque Fokontany, de la Commune d’insertion des travaux, ou au niveau des représentants du Projet (Bureaux Régionaux, Antennes et Siège)</w:t>
      </w:r>
    </w:p>
    <w:p w14:paraId="5DC8275F" w14:textId="77777777" w:rsidR="00575CDF" w:rsidRPr="00C801A6" w:rsidRDefault="00575CDF" w:rsidP="00575CDF">
      <w:pPr>
        <w:ind w:left="426"/>
        <w:rPr>
          <w:color w:val="auto"/>
          <w:szCs w:val="24"/>
        </w:rPr>
      </w:pPr>
      <w:r w:rsidRPr="00C801A6">
        <w:rPr>
          <w:color w:val="auto"/>
          <w:szCs w:val="24"/>
        </w:rPr>
        <w:t>Il s’agit d’enregistrer la plainte pour qu’elle soit traçable. Le formulaire doit être signé par le plaignant et visé par l’agent qui l’enregistre. Chaque plainte est également enregistrée dans le registre des plaintes.</w:t>
      </w:r>
    </w:p>
    <w:p w14:paraId="629B5DBF" w14:textId="77777777" w:rsidR="00575CDF" w:rsidRPr="00C801A6" w:rsidRDefault="00575CDF" w:rsidP="00575CDF">
      <w:pPr>
        <w:ind w:left="426"/>
        <w:rPr>
          <w:color w:val="auto"/>
          <w:szCs w:val="24"/>
        </w:rPr>
      </w:pPr>
      <w:r w:rsidRPr="00C801A6">
        <w:rPr>
          <w:color w:val="auto"/>
          <w:szCs w:val="24"/>
        </w:rPr>
        <w:t>Un récépissé sera délivré au plaignant après enregistrement de sa plainte.</w:t>
      </w:r>
    </w:p>
    <w:p w14:paraId="7D685A59" w14:textId="77777777" w:rsidR="00575CDF" w:rsidRPr="00C801A6" w:rsidRDefault="00575CDF" w:rsidP="00575CDF">
      <w:pPr>
        <w:ind w:left="426"/>
        <w:rPr>
          <w:color w:val="auto"/>
          <w:szCs w:val="24"/>
        </w:rPr>
      </w:pPr>
      <w:r w:rsidRPr="00C801A6">
        <w:rPr>
          <w:color w:val="auto"/>
          <w:szCs w:val="24"/>
        </w:rPr>
        <w:t>Dans le cas d’une plainte anonyme, le formulaire sera rempli par l’agent qui l’a enregistrée. Il en est de même pour les plaintes reçues par téléphone qui seront enregistrées par celui qui a répondu à l’appel.</w:t>
      </w:r>
    </w:p>
    <w:p w14:paraId="275F131A" w14:textId="77777777" w:rsidR="00575CDF" w:rsidRPr="00C801A6" w:rsidRDefault="00575CDF" w:rsidP="00575CDF">
      <w:pPr>
        <w:ind w:left="426"/>
        <w:rPr>
          <w:color w:val="auto"/>
          <w:szCs w:val="24"/>
        </w:rPr>
      </w:pPr>
      <w:r w:rsidRPr="00C801A6">
        <w:rPr>
          <w:color w:val="auto"/>
          <w:szCs w:val="24"/>
        </w:rPr>
        <w:lastRenderedPageBreak/>
        <w:t>Le formulaire rempli sera transféré au responsable de traitement concerné selon le niveau de traitement requis.</w:t>
      </w:r>
    </w:p>
    <w:p w14:paraId="056C8F36" w14:textId="77777777" w:rsidR="00575CDF" w:rsidRPr="00C801A6" w:rsidRDefault="00575CDF" w:rsidP="00844538">
      <w:pPr>
        <w:pStyle w:val="ListParagraph"/>
        <w:numPr>
          <w:ilvl w:val="1"/>
          <w:numId w:val="55"/>
        </w:numPr>
        <w:spacing w:line="276" w:lineRule="auto"/>
        <w:ind w:left="426"/>
        <w:contextualSpacing w:val="0"/>
        <w:rPr>
          <w:color w:val="auto"/>
          <w:szCs w:val="24"/>
        </w:rPr>
      </w:pPr>
      <w:r w:rsidRPr="00C801A6">
        <w:rPr>
          <w:color w:val="auto"/>
          <w:szCs w:val="24"/>
          <w:u w:val="single"/>
        </w:rPr>
        <w:t>Analyse et catégorisation de la plainte</w:t>
      </w:r>
    </w:p>
    <w:p w14:paraId="30BEB806" w14:textId="77777777" w:rsidR="00575CDF" w:rsidRPr="00C801A6" w:rsidRDefault="00575CDF" w:rsidP="00575CDF">
      <w:pPr>
        <w:ind w:left="426"/>
        <w:rPr>
          <w:color w:val="auto"/>
          <w:szCs w:val="24"/>
        </w:rPr>
      </w:pPr>
      <w:r w:rsidRPr="00C801A6">
        <w:rPr>
          <w:color w:val="auto"/>
          <w:szCs w:val="24"/>
        </w:rPr>
        <w:t>Chaque plainte sera analysée en fonction de sa nature et des activités du projet ou du sous-projet concernées pour définir les entités et les responsables impliqués dans son traitement.</w:t>
      </w:r>
    </w:p>
    <w:p w14:paraId="1FA69ADE" w14:textId="672407BD" w:rsidR="00575CDF" w:rsidRPr="00C801A6" w:rsidRDefault="00575CDF" w:rsidP="00575CDF">
      <w:pPr>
        <w:ind w:left="426"/>
        <w:rPr>
          <w:color w:val="auto"/>
          <w:szCs w:val="24"/>
        </w:rPr>
      </w:pPr>
      <w:r w:rsidRPr="00C801A6">
        <w:rPr>
          <w:color w:val="auto"/>
          <w:szCs w:val="24"/>
        </w:rPr>
        <w:t>En effet, les membres du Comité de Litige seront définis en fonction de ces derniers. Il en est de même pour ce qu’il en est de l’U</w:t>
      </w:r>
      <w:r w:rsidR="00C65708">
        <w:rPr>
          <w:color w:val="auto"/>
          <w:szCs w:val="24"/>
        </w:rPr>
        <w:t>C</w:t>
      </w:r>
      <w:r w:rsidRPr="00C801A6">
        <w:rPr>
          <w:color w:val="auto"/>
          <w:szCs w:val="24"/>
        </w:rPr>
        <w:t xml:space="preserve">P, le responsable impliqué dans son traitement peut être régional ou central, donc c’est soit, le Chef d’Antenne ou le Chef de l’Unité de Coordination National et/ou le Responsable de la Sauvegarde Sociale ou </w:t>
      </w:r>
      <w:r w:rsidR="006F38A3">
        <w:rPr>
          <w:color w:val="auto"/>
          <w:szCs w:val="24"/>
        </w:rPr>
        <w:t xml:space="preserve">EAS-HS </w:t>
      </w:r>
      <w:r w:rsidRPr="00C801A6">
        <w:rPr>
          <w:color w:val="auto"/>
          <w:szCs w:val="24"/>
        </w:rPr>
        <w:t xml:space="preserve"> suivant le cas.</w:t>
      </w:r>
    </w:p>
    <w:p w14:paraId="55900493" w14:textId="77777777" w:rsidR="00575CDF" w:rsidRPr="00C801A6" w:rsidRDefault="00575CDF" w:rsidP="00844538">
      <w:pPr>
        <w:pStyle w:val="ListParagraph"/>
        <w:numPr>
          <w:ilvl w:val="1"/>
          <w:numId w:val="55"/>
        </w:numPr>
        <w:spacing w:line="276" w:lineRule="auto"/>
        <w:ind w:left="426"/>
        <w:contextualSpacing w:val="0"/>
        <w:rPr>
          <w:color w:val="auto"/>
          <w:szCs w:val="24"/>
          <w:u w:val="single"/>
        </w:rPr>
      </w:pPr>
      <w:r w:rsidRPr="00C801A6">
        <w:rPr>
          <w:color w:val="auto"/>
          <w:szCs w:val="24"/>
          <w:u w:val="single"/>
        </w:rPr>
        <w:t>Vérification et recoupement</w:t>
      </w:r>
    </w:p>
    <w:p w14:paraId="110C51A6" w14:textId="77777777" w:rsidR="00575CDF" w:rsidRPr="00C801A6" w:rsidRDefault="00575CDF" w:rsidP="00575CDF">
      <w:pPr>
        <w:ind w:left="426"/>
        <w:rPr>
          <w:color w:val="auto"/>
          <w:szCs w:val="24"/>
        </w:rPr>
      </w:pPr>
      <w:r w:rsidRPr="00C801A6">
        <w:rPr>
          <w:color w:val="auto"/>
          <w:szCs w:val="24"/>
        </w:rPr>
        <w:t>(Auprès du plaignant ou au moyen de réunions, de confrontation, visites sur le terrain ou par téléphone)</w:t>
      </w:r>
    </w:p>
    <w:p w14:paraId="20A50368" w14:textId="77777777" w:rsidR="00575CDF" w:rsidRPr="00C801A6" w:rsidRDefault="00575CDF" w:rsidP="00575CDF">
      <w:pPr>
        <w:ind w:left="426"/>
        <w:rPr>
          <w:color w:val="auto"/>
          <w:szCs w:val="24"/>
        </w:rPr>
      </w:pPr>
      <w:r w:rsidRPr="00C801A6">
        <w:rPr>
          <w:color w:val="auto"/>
          <w:szCs w:val="24"/>
        </w:rPr>
        <w:t>Il s’agit de faire une investigation directe et de procéder aussi à une vérification physique suivant le cas.</w:t>
      </w:r>
    </w:p>
    <w:p w14:paraId="758065CC" w14:textId="13319A1B" w:rsidR="00575CDF" w:rsidRPr="00C801A6" w:rsidRDefault="00575CDF" w:rsidP="00575CDF">
      <w:pPr>
        <w:ind w:left="426"/>
        <w:rPr>
          <w:color w:val="auto"/>
        </w:rPr>
      </w:pPr>
      <w:r w:rsidRPr="00C801A6">
        <w:rPr>
          <w:color w:val="auto"/>
        </w:rPr>
        <w:t xml:space="preserve">A faire autant que possible pour confirmer la raison de la plainte et évaluer sa pertinence. Toutefois, le recoupement sur le terrain n’est pas à faire systématiquement sauf dans le cas d’une dénonciation (Signalement de la culpabilité d'autrui par rapport au non-respect de droit humain ou à une injustice). C’est aux premiers responsables du processus, en l’occurrence le Responsable environnemental et le Responsable social du Projet </w:t>
      </w:r>
      <w:r w:rsidR="003349AF" w:rsidRPr="00C801A6">
        <w:rPr>
          <w:color w:val="auto"/>
        </w:rPr>
        <w:t>P</w:t>
      </w:r>
      <w:r w:rsidR="00C65708">
        <w:rPr>
          <w:color w:val="auto"/>
        </w:rPr>
        <w:t>CMCI</w:t>
      </w:r>
      <w:r w:rsidRPr="00C801A6">
        <w:rPr>
          <w:color w:val="auto"/>
        </w:rPr>
        <w:t xml:space="preserve"> d’en juger.</w:t>
      </w:r>
    </w:p>
    <w:p w14:paraId="59CE4C14" w14:textId="77777777" w:rsidR="00575CDF" w:rsidRPr="00C801A6" w:rsidRDefault="00575CDF" w:rsidP="00844538">
      <w:pPr>
        <w:pStyle w:val="ListParagraph"/>
        <w:numPr>
          <w:ilvl w:val="1"/>
          <w:numId w:val="55"/>
        </w:numPr>
        <w:spacing w:line="276" w:lineRule="auto"/>
        <w:ind w:left="426"/>
        <w:contextualSpacing w:val="0"/>
        <w:rPr>
          <w:color w:val="auto"/>
          <w:szCs w:val="24"/>
          <w:u w:val="single"/>
        </w:rPr>
      </w:pPr>
      <w:r w:rsidRPr="00C801A6">
        <w:rPr>
          <w:color w:val="auto"/>
          <w:szCs w:val="24"/>
          <w:u w:val="single"/>
        </w:rPr>
        <w:t>Prise de décision compte tenu du résultat obtenu</w:t>
      </w:r>
    </w:p>
    <w:p w14:paraId="5A49769A" w14:textId="77777777" w:rsidR="00575CDF" w:rsidRPr="00C801A6" w:rsidRDefault="00575CDF" w:rsidP="00575CDF">
      <w:pPr>
        <w:ind w:left="426"/>
        <w:rPr>
          <w:color w:val="auto"/>
          <w:szCs w:val="24"/>
        </w:rPr>
      </w:pPr>
      <w:r w:rsidRPr="00C801A6">
        <w:rPr>
          <w:color w:val="auto"/>
          <w:szCs w:val="24"/>
        </w:rPr>
        <w:t xml:space="preserve">La prise de décision concerne la disposition à prendre ou sur la situation à changer, la (ou les) mesure(s) corrective(s) à préconiser ou sur le contenu de la réponse à envoyer au plaignant entre autres. </w:t>
      </w:r>
    </w:p>
    <w:p w14:paraId="4F57DBE5" w14:textId="77777777" w:rsidR="00575CDF" w:rsidRPr="00C801A6" w:rsidRDefault="00575CDF" w:rsidP="00575CDF">
      <w:pPr>
        <w:ind w:left="426"/>
        <w:rPr>
          <w:color w:val="auto"/>
          <w:szCs w:val="24"/>
        </w:rPr>
      </w:pPr>
      <w:r w:rsidRPr="00C801A6">
        <w:rPr>
          <w:color w:val="auto"/>
          <w:szCs w:val="24"/>
        </w:rPr>
        <w:t xml:space="preserve">Si la plainte est fondée, l’entité décideur prendra la décision de rectifier la situation. </w:t>
      </w:r>
    </w:p>
    <w:p w14:paraId="789BB3E2" w14:textId="77777777" w:rsidR="00575CDF" w:rsidRPr="00C801A6" w:rsidRDefault="00575CDF" w:rsidP="00575CDF">
      <w:pPr>
        <w:ind w:left="426"/>
        <w:rPr>
          <w:color w:val="auto"/>
          <w:szCs w:val="24"/>
        </w:rPr>
      </w:pPr>
      <w:r w:rsidRPr="00C801A6">
        <w:rPr>
          <w:color w:val="auto"/>
          <w:szCs w:val="24"/>
        </w:rPr>
        <w:t>Si la plainte n’est pas fondée, ou bien si aucun recours n’est plus possible ou le délai de considération de la plainte a été dépassé, la décision à prendre serait d’envoyer une lettre de regret au plaignant en lui donnant les explications y afférentes.</w:t>
      </w:r>
    </w:p>
    <w:p w14:paraId="0850E130" w14:textId="77777777" w:rsidR="00575CDF" w:rsidRPr="00C801A6" w:rsidRDefault="00575CDF" w:rsidP="00844538">
      <w:pPr>
        <w:pStyle w:val="ListParagraph"/>
        <w:numPr>
          <w:ilvl w:val="1"/>
          <w:numId w:val="55"/>
        </w:numPr>
        <w:spacing w:line="276" w:lineRule="auto"/>
        <w:ind w:left="426"/>
        <w:contextualSpacing w:val="0"/>
        <w:rPr>
          <w:color w:val="auto"/>
          <w:szCs w:val="24"/>
          <w:u w:val="single"/>
        </w:rPr>
      </w:pPr>
      <w:r w:rsidRPr="00C801A6">
        <w:rPr>
          <w:color w:val="auto"/>
          <w:szCs w:val="24"/>
          <w:u w:val="single"/>
        </w:rPr>
        <w:t>Remplissage de la fiche de suivi de plainte</w:t>
      </w:r>
    </w:p>
    <w:p w14:paraId="21DB9A1F" w14:textId="77777777" w:rsidR="00575CDF" w:rsidRPr="00C801A6" w:rsidRDefault="00575CDF" w:rsidP="00575CDF">
      <w:pPr>
        <w:ind w:left="426"/>
        <w:rPr>
          <w:color w:val="auto"/>
          <w:szCs w:val="24"/>
        </w:rPr>
      </w:pPr>
      <w:r w:rsidRPr="00C801A6">
        <w:rPr>
          <w:color w:val="auto"/>
          <w:szCs w:val="24"/>
        </w:rPr>
        <w:t>La fiche de suivi de plainte est à remplir pour chaque plainte enregistrée quel que soit le dénouement du traitement de la plainte.</w:t>
      </w:r>
    </w:p>
    <w:p w14:paraId="00B46D22" w14:textId="77777777" w:rsidR="00575CDF" w:rsidRPr="00C801A6" w:rsidRDefault="00575CDF" w:rsidP="00844538">
      <w:pPr>
        <w:pStyle w:val="ListParagraph"/>
        <w:numPr>
          <w:ilvl w:val="1"/>
          <w:numId w:val="55"/>
        </w:numPr>
        <w:spacing w:line="276" w:lineRule="auto"/>
        <w:ind w:left="426"/>
        <w:contextualSpacing w:val="0"/>
        <w:rPr>
          <w:color w:val="auto"/>
          <w:szCs w:val="24"/>
          <w:u w:val="single"/>
        </w:rPr>
      </w:pPr>
      <w:r w:rsidRPr="00C801A6">
        <w:rPr>
          <w:color w:val="auto"/>
          <w:szCs w:val="24"/>
          <w:u w:val="single"/>
        </w:rPr>
        <w:t>Emission de réponse au plaignant</w:t>
      </w:r>
    </w:p>
    <w:p w14:paraId="24CB6AF9" w14:textId="77777777" w:rsidR="00575CDF" w:rsidRPr="00C801A6" w:rsidRDefault="00575CDF" w:rsidP="00575CDF">
      <w:pPr>
        <w:ind w:left="426"/>
        <w:rPr>
          <w:color w:val="auto"/>
          <w:szCs w:val="24"/>
        </w:rPr>
      </w:pPr>
      <w:r w:rsidRPr="00C801A6">
        <w:rPr>
          <w:color w:val="auto"/>
          <w:szCs w:val="24"/>
        </w:rPr>
        <w:t>Toutes les plaintes traitées au niveau régional et central devraient être répondues par lettre officielle. Dans le cas où le plaignant n’est pas anonyme, il aura à signer une fiche de transmission de ladite lettre.</w:t>
      </w:r>
    </w:p>
    <w:p w14:paraId="2AD3A016" w14:textId="03984A48" w:rsidR="00575CDF" w:rsidRPr="00C801A6" w:rsidRDefault="00575CDF" w:rsidP="00575CDF">
      <w:pPr>
        <w:ind w:left="426"/>
        <w:rPr>
          <w:color w:val="auto"/>
          <w:szCs w:val="24"/>
        </w:rPr>
      </w:pPr>
      <w:r w:rsidRPr="00C801A6">
        <w:rPr>
          <w:color w:val="auto"/>
          <w:szCs w:val="24"/>
        </w:rPr>
        <w:lastRenderedPageBreak/>
        <w:t>D’une part, l’entité concernée ainsi que l’U</w:t>
      </w:r>
      <w:r w:rsidR="00C65708">
        <w:rPr>
          <w:color w:val="auto"/>
          <w:szCs w:val="24"/>
        </w:rPr>
        <w:t>C</w:t>
      </w:r>
      <w:r w:rsidRPr="00C801A6">
        <w:rPr>
          <w:color w:val="auto"/>
          <w:szCs w:val="24"/>
        </w:rPr>
        <w:t>P assurent :</w:t>
      </w:r>
    </w:p>
    <w:p w14:paraId="13B131DE" w14:textId="77777777" w:rsidR="00575CDF" w:rsidRPr="00C801A6" w:rsidRDefault="00575CDF" w:rsidP="00844538">
      <w:pPr>
        <w:pStyle w:val="ListParagraph"/>
        <w:numPr>
          <w:ilvl w:val="0"/>
          <w:numId w:val="56"/>
        </w:numPr>
        <w:spacing w:line="276" w:lineRule="auto"/>
        <w:ind w:left="851"/>
        <w:rPr>
          <w:color w:val="auto"/>
          <w:szCs w:val="24"/>
        </w:rPr>
      </w:pPr>
      <w:r w:rsidRPr="00C801A6">
        <w:rPr>
          <w:color w:val="auto"/>
          <w:szCs w:val="24"/>
        </w:rPr>
        <w:t>De contacter des plaignants pour leur expliquer comment leurs plaintes ont été réglées,</w:t>
      </w:r>
    </w:p>
    <w:p w14:paraId="0FD2C085" w14:textId="77777777" w:rsidR="00575CDF" w:rsidRPr="00C801A6" w:rsidRDefault="00575CDF" w:rsidP="00844538">
      <w:pPr>
        <w:pStyle w:val="ListParagraph"/>
        <w:numPr>
          <w:ilvl w:val="0"/>
          <w:numId w:val="56"/>
        </w:numPr>
        <w:spacing w:line="276" w:lineRule="auto"/>
        <w:ind w:left="851"/>
        <w:rPr>
          <w:color w:val="auto"/>
          <w:szCs w:val="24"/>
        </w:rPr>
      </w:pPr>
      <w:r w:rsidRPr="00C801A6">
        <w:rPr>
          <w:color w:val="auto"/>
          <w:szCs w:val="24"/>
        </w:rPr>
        <w:t>Faire connaitre de manière plus large les résultats des actions liées au mécanisme de gestion des plaintes, afin d’améliorer sa visibilité et de renforcer la confiance de la population (nombre de plaintes reçues, catégories de plaintes, cas résolus, retours d’information vis-à-vis des plaignants, …).</w:t>
      </w:r>
    </w:p>
    <w:p w14:paraId="23306641" w14:textId="2DD3B245" w:rsidR="00575CDF" w:rsidRPr="00AA6329" w:rsidRDefault="00575CDF" w:rsidP="1949FB49">
      <w:pPr>
        <w:pStyle w:val="CommentText"/>
        <w:spacing w:after="160" w:line="276" w:lineRule="auto"/>
        <w:ind w:left="851"/>
        <w:rPr>
          <w:rFonts w:eastAsia="Times New Roman"/>
          <w:sz w:val="24"/>
          <w:szCs w:val="24"/>
          <w:lang w:val="fr-FR" w:eastAsia="fr-FR"/>
        </w:rPr>
      </w:pPr>
      <w:r w:rsidRPr="00AA6329">
        <w:rPr>
          <w:rFonts w:ascii="Times New Roman" w:eastAsia="Times New Roman" w:hAnsi="Times New Roman"/>
          <w:sz w:val="24"/>
          <w:szCs w:val="24"/>
          <w:lang w:val="fr-FR"/>
        </w:rPr>
        <w:t xml:space="preserve">Dans le cas de plaintes liées aux </w:t>
      </w:r>
      <w:r w:rsidR="006F38A3">
        <w:rPr>
          <w:rFonts w:ascii="Times New Roman" w:eastAsia="Times New Roman" w:hAnsi="Times New Roman"/>
          <w:sz w:val="24"/>
          <w:szCs w:val="24"/>
          <w:lang w:val="fr-FR"/>
        </w:rPr>
        <w:t xml:space="preserve">EAS-HS </w:t>
      </w:r>
      <w:r w:rsidRPr="00AA6329">
        <w:rPr>
          <w:rFonts w:ascii="Times New Roman" w:eastAsia="Times New Roman" w:hAnsi="Times New Roman"/>
          <w:sz w:val="24"/>
          <w:szCs w:val="24"/>
          <w:lang w:val="fr-FR"/>
        </w:rPr>
        <w:t xml:space="preserve"> </w:t>
      </w:r>
      <w:r w:rsidRPr="00AA6329">
        <w:rPr>
          <w:rFonts w:ascii="Times New Roman" w:eastAsia="Times New Roman" w:hAnsi="Times New Roman"/>
          <w:sz w:val="24"/>
          <w:szCs w:val="24"/>
          <w:lang w:val="fr-FR" w:eastAsia="fr-FR"/>
        </w:rPr>
        <w:t>et VCE, en cas de non-résolution sur place, le Projet les renvoie aux organismes spécialisés pour leur prise en charge.</w:t>
      </w:r>
    </w:p>
    <w:p w14:paraId="12CF82BA" w14:textId="77777777" w:rsidR="00575CDF" w:rsidRPr="00C801A6" w:rsidRDefault="00575CDF" w:rsidP="00844538">
      <w:pPr>
        <w:pStyle w:val="ListParagraph"/>
        <w:numPr>
          <w:ilvl w:val="1"/>
          <w:numId w:val="55"/>
        </w:numPr>
        <w:spacing w:line="276" w:lineRule="auto"/>
        <w:ind w:left="426"/>
        <w:contextualSpacing w:val="0"/>
        <w:rPr>
          <w:color w:val="auto"/>
          <w:szCs w:val="24"/>
          <w:u w:val="single"/>
        </w:rPr>
      </w:pPr>
      <w:r w:rsidRPr="00C801A6">
        <w:rPr>
          <w:color w:val="auto"/>
          <w:szCs w:val="24"/>
          <w:u w:val="single"/>
        </w:rPr>
        <w:t>Clôture et Archivage</w:t>
      </w:r>
    </w:p>
    <w:p w14:paraId="3DD6D0C1" w14:textId="77777777" w:rsidR="00575CDF" w:rsidRPr="00C801A6" w:rsidRDefault="00575CDF" w:rsidP="00575CDF">
      <w:pPr>
        <w:ind w:left="851"/>
        <w:rPr>
          <w:color w:val="auto"/>
          <w:szCs w:val="24"/>
        </w:rPr>
      </w:pPr>
      <w:r w:rsidRPr="00C801A6">
        <w:rPr>
          <w:color w:val="auto"/>
          <w:szCs w:val="24"/>
        </w:rPr>
        <w:t>L’opération consiste à regrouper ensemble et archiver tous les documents relatifs à chaque plainte traitée.</w:t>
      </w:r>
    </w:p>
    <w:p w14:paraId="751360A0" w14:textId="77777777" w:rsidR="00575CDF" w:rsidRPr="00C801A6" w:rsidRDefault="00575CDF" w:rsidP="00844538">
      <w:pPr>
        <w:pStyle w:val="ListParagraph"/>
        <w:numPr>
          <w:ilvl w:val="1"/>
          <w:numId w:val="55"/>
        </w:numPr>
        <w:spacing w:line="276" w:lineRule="auto"/>
        <w:ind w:left="426"/>
        <w:contextualSpacing w:val="0"/>
        <w:rPr>
          <w:color w:val="auto"/>
          <w:szCs w:val="24"/>
          <w:u w:val="single"/>
        </w:rPr>
      </w:pPr>
      <w:r w:rsidRPr="00C801A6">
        <w:rPr>
          <w:color w:val="auto"/>
          <w:szCs w:val="24"/>
          <w:u w:val="single"/>
        </w:rPr>
        <w:t>Rapportage</w:t>
      </w:r>
    </w:p>
    <w:p w14:paraId="036EE0DA" w14:textId="77777777" w:rsidR="00575CDF" w:rsidRPr="00C801A6" w:rsidRDefault="00575CDF" w:rsidP="00575CDF">
      <w:pPr>
        <w:ind w:left="851"/>
        <w:rPr>
          <w:color w:val="auto"/>
          <w:szCs w:val="24"/>
        </w:rPr>
      </w:pPr>
      <w:r w:rsidRPr="00C801A6">
        <w:rPr>
          <w:color w:val="auto"/>
          <w:szCs w:val="24"/>
        </w:rPr>
        <w:t>En partant de la base des données qui est mise à jour régulièrement, un rapport relatant la situation des plaintes doit être rédigé périodiquement au Bureau National.</w:t>
      </w:r>
    </w:p>
    <w:p w14:paraId="4FB4AF16" w14:textId="5F048302" w:rsidR="00575CDF" w:rsidRPr="00C801A6" w:rsidRDefault="00575CDF" w:rsidP="00575CDF">
      <w:pPr>
        <w:ind w:left="851"/>
        <w:rPr>
          <w:color w:val="auto"/>
        </w:rPr>
      </w:pPr>
      <w:r w:rsidRPr="00C801A6">
        <w:rPr>
          <w:color w:val="auto"/>
        </w:rPr>
        <w:t>Une synthèse de ce rapport sera incluse dans le rapport périodique de l’U</w:t>
      </w:r>
      <w:r w:rsidR="00C65708">
        <w:rPr>
          <w:color w:val="auto"/>
        </w:rPr>
        <w:t>C</w:t>
      </w:r>
      <w:r w:rsidRPr="00C801A6">
        <w:rPr>
          <w:color w:val="auto"/>
        </w:rPr>
        <w:t xml:space="preserve">P du Projet </w:t>
      </w:r>
      <w:r w:rsidR="003349AF" w:rsidRPr="00C801A6">
        <w:rPr>
          <w:color w:val="auto"/>
        </w:rPr>
        <w:t>P</w:t>
      </w:r>
      <w:r w:rsidR="00C65708">
        <w:rPr>
          <w:color w:val="auto"/>
        </w:rPr>
        <w:t>CMCI</w:t>
      </w:r>
      <w:r w:rsidRPr="00C801A6">
        <w:rPr>
          <w:color w:val="auto"/>
        </w:rPr>
        <w:t xml:space="preserve"> à la </w:t>
      </w:r>
      <w:r w:rsidR="00B910A0" w:rsidRPr="00C801A6">
        <w:rPr>
          <w:color w:val="auto"/>
        </w:rPr>
        <w:t>Banque mondiale</w:t>
      </w:r>
      <w:r w:rsidRPr="00C801A6">
        <w:rPr>
          <w:color w:val="auto"/>
        </w:rPr>
        <w:t>.</w:t>
      </w:r>
    </w:p>
    <w:p w14:paraId="61ADB90E" w14:textId="619E027B" w:rsidR="00575CDF" w:rsidRPr="00C801A6" w:rsidRDefault="00575CDF" w:rsidP="00575CDF">
      <w:pPr>
        <w:rPr>
          <w:color w:val="auto"/>
          <w:szCs w:val="24"/>
        </w:rPr>
      </w:pPr>
      <w:r w:rsidRPr="00C801A6">
        <w:rPr>
          <w:color w:val="auto"/>
          <w:szCs w:val="24"/>
        </w:rPr>
        <w:t xml:space="preserve">Par ailleurs, les plaintes graves comme le harcèlement sexuel, les Violences Basées sur le Genre et les cas de corruption devront être portées à la connaissance de la </w:t>
      </w:r>
      <w:r w:rsidR="00B910A0" w:rsidRPr="00C801A6">
        <w:rPr>
          <w:color w:val="auto"/>
          <w:szCs w:val="24"/>
        </w:rPr>
        <w:t>Banque mondiale</w:t>
      </w:r>
      <w:r w:rsidRPr="00C801A6">
        <w:rPr>
          <w:color w:val="auto"/>
          <w:szCs w:val="24"/>
        </w:rPr>
        <w:t xml:space="preserve"> le plus tôt possible (dans les 48h) et devront être résolus vite. La durée et le mode de leur résolution varient selon les cas.</w:t>
      </w:r>
    </w:p>
    <w:p w14:paraId="60A134A9" w14:textId="77777777" w:rsidR="00575CDF" w:rsidRPr="00C801A6" w:rsidRDefault="00575CDF" w:rsidP="00575CDF">
      <w:pPr>
        <w:rPr>
          <w:color w:val="auto"/>
          <w:szCs w:val="24"/>
        </w:rPr>
      </w:pPr>
      <w:r w:rsidRPr="00C801A6">
        <w:rPr>
          <w:color w:val="auto"/>
          <w:szCs w:val="24"/>
        </w:rPr>
        <w:t>Le tableau suivant résume le processus de traitement des doléances reçues :</w:t>
      </w:r>
    </w:p>
    <w:p w14:paraId="236E2AC9" w14:textId="208185BA" w:rsidR="00575CDF" w:rsidRPr="00C801A6" w:rsidRDefault="00C65708" w:rsidP="00C65708">
      <w:pPr>
        <w:pStyle w:val="Caption"/>
        <w:rPr>
          <w:color w:val="auto"/>
        </w:rPr>
      </w:pPr>
      <w:bookmarkStart w:id="754" w:name="_Toc71533229"/>
      <w:bookmarkStart w:id="755" w:name="_Toc230427750"/>
      <w:r>
        <w:t xml:space="preserve">Tableau </w:t>
      </w:r>
      <w:r w:rsidR="00E44887">
        <w:fldChar w:fldCharType="begin"/>
      </w:r>
      <w:r w:rsidR="00E44887">
        <w:instrText xml:space="preserve"> SEQ Tableau \* ARABIC </w:instrText>
      </w:r>
      <w:r w:rsidR="00E44887">
        <w:fldChar w:fldCharType="separate"/>
      </w:r>
      <w:r w:rsidR="00253F1A">
        <w:rPr>
          <w:noProof/>
        </w:rPr>
        <w:t>30</w:t>
      </w:r>
      <w:r w:rsidR="00E44887">
        <w:rPr>
          <w:noProof/>
        </w:rPr>
        <w:fldChar w:fldCharType="end"/>
      </w:r>
      <w:r w:rsidR="00575CDF" w:rsidRPr="00C801A6">
        <w:rPr>
          <w:color w:val="auto"/>
        </w:rPr>
        <w:t> : Etapes du processus de traitement des doléances reçues</w:t>
      </w:r>
      <w:bookmarkEnd w:id="754"/>
      <w:bookmarkEnd w:id="755"/>
    </w:p>
    <w:tbl>
      <w:tblPr>
        <w:tblStyle w:val="TableGrid"/>
        <w:tblW w:w="9498" w:type="dxa"/>
        <w:tblInd w:w="103" w:type="dxa"/>
        <w:tblLook w:val="04A0" w:firstRow="1" w:lastRow="0" w:firstColumn="1" w:lastColumn="0" w:noHBand="0" w:noVBand="1"/>
      </w:tblPr>
      <w:tblGrid>
        <w:gridCol w:w="1734"/>
        <w:gridCol w:w="1842"/>
        <w:gridCol w:w="2520"/>
        <w:gridCol w:w="1984"/>
        <w:gridCol w:w="1418"/>
      </w:tblGrid>
      <w:tr w:rsidR="00C801A6" w:rsidRPr="00C801A6" w14:paraId="46636BC6" w14:textId="77777777" w:rsidTr="00347FDB">
        <w:trPr>
          <w:tblHeader/>
        </w:trPr>
        <w:tc>
          <w:tcPr>
            <w:tcW w:w="1734" w:type="dxa"/>
            <w:tcBorders>
              <w:top w:val="single" w:sz="4" w:space="0" w:color="auto"/>
            </w:tcBorders>
            <w:shd w:val="clear" w:color="auto" w:fill="E2EFD9" w:themeFill="accent6" w:themeFillTint="33"/>
          </w:tcPr>
          <w:p w14:paraId="546C305E" w14:textId="77777777" w:rsidR="00575CDF" w:rsidRPr="00C801A6" w:rsidRDefault="00575CDF" w:rsidP="00347FDB">
            <w:pPr>
              <w:spacing w:before="60" w:after="60"/>
              <w:jc w:val="left"/>
              <w:rPr>
                <w:b/>
                <w:color w:val="auto"/>
                <w:sz w:val="22"/>
              </w:rPr>
            </w:pPr>
            <w:r w:rsidRPr="00C801A6">
              <w:rPr>
                <w:b/>
                <w:color w:val="auto"/>
                <w:sz w:val="22"/>
              </w:rPr>
              <w:t>Etape</w:t>
            </w:r>
          </w:p>
        </w:tc>
        <w:tc>
          <w:tcPr>
            <w:tcW w:w="1842" w:type="dxa"/>
            <w:tcBorders>
              <w:top w:val="single" w:sz="4" w:space="0" w:color="auto"/>
            </w:tcBorders>
            <w:shd w:val="clear" w:color="auto" w:fill="E2EFD9" w:themeFill="accent6" w:themeFillTint="33"/>
          </w:tcPr>
          <w:p w14:paraId="55886DB3" w14:textId="77777777" w:rsidR="00575CDF" w:rsidRPr="00C801A6" w:rsidRDefault="00575CDF" w:rsidP="00347FDB">
            <w:pPr>
              <w:spacing w:before="60" w:after="60"/>
              <w:jc w:val="left"/>
              <w:rPr>
                <w:b/>
                <w:color w:val="auto"/>
                <w:sz w:val="22"/>
              </w:rPr>
            </w:pPr>
            <w:r w:rsidRPr="00C801A6">
              <w:rPr>
                <w:b/>
                <w:color w:val="auto"/>
                <w:sz w:val="22"/>
              </w:rPr>
              <w:t>Activités</w:t>
            </w:r>
          </w:p>
        </w:tc>
        <w:tc>
          <w:tcPr>
            <w:tcW w:w="2520" w:type="dxa"/>
            <w:tcBorders>
              <w:top w:val="single" w:sz="4" w:space="0" w:color="auto"/>
            </w:tcBorders>
            <w:shd w:val="clear" w:color="auto" w:fill="E2EFD9" w:themeFill="accent6" w:themeFillTint="33"/>
          </w:tcPr>
          <w:p w14:paraId="6DE546EA" w14:textId="77777777" w:rsidR="00575CDF" w:rsidRPr="00C801A6" w:rsidRDefault="00575CDF" w:rsidP="00347FDB">
            <w:pPr>
              <w:spacing w:before="60" w:after="60"/>
              <w:jc w:val="left"/>
              <w:rPr>
                <w:b/>
                <w:color w:val="auto"/>
                <w:sz w:val="22"/>
              </w:rPr>
            </w:pPr>
            <w:r w:rsidRPr="00C801A6">
              <w:rPr>
                <w:b/>
                <w:color w:val="auto"/>
                <w:sz w:val="22"/>
              </w:rPr>
              <w:t>Personnes responsables</w:t>
            </w:r>
          </w:p>
        </w:tc>
        <w:tc>
          <w:tcPr>
            <w:tcW w:w="1984" w:type="dxa"/>
            <w:tcBorders>
              <w:top w:val="single" w:sz="4" w:space="0" w:color="auto"/>
            </w:tcBorders>
            <w:shd w:val="clear" w:color="auto" w:fill="E2EFD9" w:themeFill="accent6" w:themeFillTint="33"/>
          </w:tcPr>
          <w:p w14:paraId="0FDE6583" w14:textId="77777777" w:rsidR="00575CDF" w:rsidRPr="00C801A6" w:rsidRDefault="00575CDF" w:rsidP="00347FDB">
            <w:pPr>
              <w:spacing w:before="60" w:after="60"/>
              <w:jc w:val="left"/>
              <w:rPr>
                <w:b/>
                <w:color w:val="auto"/>
                <w:sz w:val="22"/>
              </w:rPr>
            </w:pPr>
            <w:r w:rsidRPr="00C801A6">
              <w:rPr>
                <w:b/>
                <w:color w:val="auto"/>
                <w:sz w:val="22"/>
              </w:rPr>
              <w:t>Observations</w:t>
            </w:r>
          </w:p>
        </w:tc>
        <w:tc>
          <w:tcPr>
            <w:tcW w:w="1418" w:type="dxa"/>
            <w:tcBorders>
              <w:top w:val="single" w:sz="4" w:space="0" w:color="auto"/>
            </w:tcBorders>
            <w:shd w:val="clear" w:color="auto" w:fill="E2EFD9" w:themeFill="accent6" w:themeFillTint="33"/>
          </w:tcPr>
          <w:p w14:paraId="61E918A5" w14:textId="77777777" w:rsidR="00575CDF" w:rsidRPr="00C801A6" w:rsidRDefault="00575CDF" w:rsidP="00347FDB">
            <w:pPr>
              <w:spacing w:before="60" w:after="60"/>
              <w:jc w:val="left"/>
              <w:rPr>
                <w:b/>
                <w:color w:val="auto"/>
                <w:sz w:val="22"/>
              </w:rPr>
            </w:pPr>
            <w:r w:rsidRPr="00C801A6">
              <w:rPr>
                <w:b/>
                <w:color w:val="auto"/>
                <w:sz w:val="22"/>
              </w:rPr>
              <w:t>Délai</w:t>
            </w:r>
          </w:p>
        </w:tc>
      </w:tr>
      <w:tr w:rsidR="00C801A6" w:rsidRPr="00C801A6" w14:paraId="439C70BB" w14:textId="77777777" w:rsidTr="00347FDB">
        <w:tc>
          <w:tcPr>
            <w:tcW w:w="1734" w:type="dxa"/>
            <w:shd w:val="clear" w:color="auto" w:fill="FFFFFF" w:themeFill="background1"/>
          </w:tcPr>
          <w:p w14:paraId="6F2A721A" w14:textId="77777777" w:rsidR="00575CDF" w:rsidRPr="00C801A6" w:rsidRDefault="00575CDF" w:rsidP="00347FDB">
            <w:pPr>
              <w:spacing w:before="60" w:after="60"/>
              <w:jc w:val="left"/>
              <w:rPr>
                <w:color w:val="auto"/>
                <w:sz w:val="22"/>
              </w:rPr>
            </w:pPr>
            <w:r w:rsidRPr="00C801A6">
              <w:rPr>
                <w:color w:val="auto"/>
                <w:sz w:val="22"/>
              </w:rPr>
              <w:t>Etape 0</w:t>
            </w:r>
          </w:p>
        </w:tc>
        <w:tc>
          <w:tcPr>
            <w:tcW w:w="1842" w:type="dxa"/>
            <w:shd w:val="clear" w:color="auto" w:fill="FFFFFF" w:themeFill="background1"/>
          </w:tcPr>
          <w:p w14:paraId="4A685438" w14:textId="77777777" w:rsidR="00575CDF" w:rsidRPr="00C801A6" w:rsidRDefault="00575CDF" w:rsidP="00347FDB">
            <w:pPr>
              <w:spacing w:before="60" w:after="60"/>
              <w:jc w:val="left"/>
              <w:rPr>
                <w:color w:val="auto"/>
                <w:sz w:val="22"/>
              </w:rPr>
            </w:pPr>
            <w:r w:rsidRPr="00C801A6">
              <w:rPr>
                <w:color w:val="auto"/>
                <w:sz w:val="22"/>
              </w:rPr>
              <w:t>Réception des plaintes au niveau du Maire ou du Chef Fokontany, qu’elles soient anonymes ou non</w:t>
            </w:r>
          </w:p>
        </w:tc>
        <w:tc>
          <w:tcPr>
            <w:tcW w:w="2520" w:type="dxa"/>
            <w:shd w:val="clear" w:color="auto" w:fill="FFFFFF" w:themeFill="background1"/>
          </w:tcPr>
          <w:p w14:paraId="1F73BD17" w14:textId="77777777" w:rsidR="00575CDF" w:rsidRPr="00C801A6" w:rsidRDefault="00575CDF" w:rsidP="00347FDB">
            <w:pPr>
              <w:spacing w:before="60" w:after="60"/>
              <w:jc w:val="left"/>
              <w:rPr>
                <w:color w:val="auto"/>
                <w:sz w:val="22"/>
              </w:rPr>
            </w:pPr>
            <w:r w:rsidRPr="00C801A6">
              <w:rPr>
                <w:color w:val="auto"/>
                <w:sz w:val="22"/>
              </w:rPr>
              <w:t>Chef Fokontany, Agent au niveau de la Commune</w:t>
            </w:r>
          </w:p>
        </w:tc>
        <w:tc>
          <w:tcPr>
            <w:tcW w:w="1984" w:type="dxa"/>
            <w:shd w:val="clear" w:color="auto" w:fill="FFFFFF" w:themeFill="background1"/>
          </w:tcPr>
          <w:p w14:paraId="3629DF8B" w14:textId="77777777" w:rsidR="00575CDF" w:rsidRPr="00C801A6" w:rsidRDefault="00575CDF" w:rsidP="00347FDB">
            <w:pPr>
              <w:spacing w:before="60" w:after="60"/>
              <w:jc w:val="left"/>
              <w:rPr>
                <w:color w:val="auto"/>
                <w:sz w:val="22"/>
              </w:rPr>
            </w:pPr>
            <w:r w:rsidRPr="00C801A6">
              <w:rPr>
                <w:color w:val="auto"/>
                <w:sz w:val="22"/>
              </w:rPr>
              <w:t>Consignation des éléments de la plainte dans le registre déposé à cet effet</w:t>
            </w:r>
          </w:p>
        </w:tc>
        <w:tc>
          <w:tcPr>
            <w:tcW w:w="1418" w:type="dxa"/>
            <w:shd w:val="clear" w:color="auto" w:fill="FFFFFF" w:themeFill="background1"/>
          </w:tcPr>
          <w:p w14:paraId="7F719635" w14:textId="77777777" w:rsidR="00575CDF" w:rsidRPr="00C801A6" w:rsidRDefault="00575CDF" w:rsidP="00347FDB">
            <w:pPr>
              <w:spacing w:before="60" w:after="60"/>
              <w:jc w:val="left"/>
              <w:rPr>
                <w:color w:val="auto"/>
                <w:sz w:val="22"/>
              </w:rPr>
            </w:pPr>
            <w:r w:rsidRPr="00C801A6">
              <w:rPr>
                <w:color w:val="auto"/>
                <w:sz w:val="22"/>
              </w:rPr>
              <w:t>1 jour</w:t>
            </w:r>
          </w:p>
        </w:tc>
      </w:tr>
      <w:tr w:rsidR="00C801A6" w:rsidRPr="00C801A6" w14:paraId="30D2BD4C" w14:textId="77777777" w:rsidTr="00347FDB">
        <w:tc>
          <w:tcPr>
            <w:tcW w:w="1734" w:type="dxa"/>
            <w:shd w:val="clear" w:color="auto" w:fill="FFFFFF" w:themeFill="background1"/>
          </w:tcPr>
          <w:p w14:paraId="639D8AFA" w14:textId="77777777" w:rsidR="00575CDF" w:rsidRPr="00C801A6" w:rsidRDefault="00575CDF" w:rsidP="00347FDB">
            <w:pPr>
              <w:spacing w:before="60" w:after="60"/>
              <w:jc w:val="left"/>
              <w:rPr>
                <w:color w:val="auto"/>
                <w:sz w:val="22"/>
              </w:rPr>
            </w:pPr>
            <w:r w:rsidRPr="00C801A6">
              <w:rPr>
                <w:color w:val="auto"/>
                <w:sz w:val="22"/>
              </w:rPr>
              <w:t>Etape 1</w:t>
            </w:r>
          </w:p>
        </w:tc>
        <w:tc>
          <w:tcPr>
            <w:tcW w:w="1842" w:type="dxa"/>
            <w:shd w:val="clear" w:color="auto" w:fill="FFFFFF" w:themeFill="background1"/>
          </w:tcPr>
          <w:p w14:paraId="2DE978E1" w14:textId="77777777" w:rsidR="00575CDF" w:rsidRPr="00C801A6" w:rsidRDefault="00575CDF" w:rsidP="00347FDB">
            <w:pPr>
              <w:spacing w:before="60" w:after="60"/>
              <w:jc w:val="left"/>
              <w:rPr>
                <w:color w:val="auto"/>
                <w:sz w:val="22"/>
              </w:rPr>
            </w:pPr>
            <w:r w:rsidRPr="00C801A6">
              <w:rPr>
                <w:color w:val="auto"/>
                <w:sz w:val="22"/>
              </w:rPr>
              <w:t>Médiation par les sages du village ou du Fokontany, le chef Fokontany et des comités de quartier</w:t>
            </w:r>
          </w:p>
        </w:tc>
        <w:tc>
          <w:tcPr>
            <w:tcW w:w="2520" w:type="dxa"/>
            <w:shd w:val="clear" w:color="auto" w:fill="FFFFFF" w:themeFill="background1"/>
          </w:tcPr>
          <w:p w14:paraId="70CF2454" w14:textId="77777777" w:rsidR="00575CDF" w:rsidRPr="00C801A6" w:rsidRDefault="00575CDF" w:rsidP="00347FDB">
            <w:pPr>
              <w:spacing w:before="60" w:after="60"/>
              <w:jc w:val="left"/>
              <w:rPr>
                <w:color w:val="auto"/>
                <w:sz w:val="22"/>
              </w:rPr>
            </w:pPr>
            <w:r w:rsidRPr="00C801A6">
              <w:rPr>
                <w:color w:val="auto"/>
                <w:sz w:val="22"/>
              </w:rPr>
              <w:t>Sages du Fokontany, Chef Fokontany, président comité de quartier, plaignant(s), un représentant du projet</w:t>
            </w:r>
          </w:p>
        </w:tc>
        <w:tc>
          <w:tcPr>
            <w:tcW w:w="1984" w:type="dxa"/>
            <w:shd w:val="clear" w:color="auto" w:fill="FFFFFF" w:themeFill="background1"/>
          </w:tcPr>
          <w:p w14:paraId="55B1AD7D" w14:textId="77777777" w:rsidR="00575CDF" w:rsidRPr="00C801A6" w:rsidRDefault="00575CDF" w:rsidP="00347FDB">
            <w:pPr>
              <w:spacing w:before="60" w:after="60"/>
              <w:jc w:val="left"/>
              <w:rPr>
                <w:color w:val="auto"/>
                <w:sz w:val="22"/>
              </w:rPr>
            </w:pPr>
            <w:r w:rsidRPr="00C801A6">
              <w:rPr>
                <w:color w:val="auto"/>
                <w:sz w:val="22"/>
              </w:rPr>
              <w:t>PV de médiation à établir par le Chef Fokontany ou les Sages du Fokontany</w:t>
            </w:r>
          </w:p>
        </w:tc>
        <w:tc>
          <w:tcPr>
            <w:tcW w:w="1418" w:type="dxa"/>
            <w:shd w:val="clear" w:color="auto" w:fill="FFFFFF" w:themeFill="background1"/>
          </w:tcPr>
          <w:p w14:paraId="1C5981BC" w14:textId="77777777" w:rsidR="00575CDF" w:rsidRPr="00C801A6" w:rsidRDefault="00575CDF" w:rsidP="00347FDB">
            <w:pPr>
              <w:spacing w:before="60" w:after="60"/>
              <w:jc w:val="left"/>
              <w:rPr>
                <w:color w:val="auto"/>
                <w:sz w:val="22"/>
              </w:rPr>
            </w:pPr>
            <w:r w:rsidRPr="00C801A6">
              <w:rPr>
                <w:color w:val="auto"/>
                <w:sz w:val="22"/>
              </w:rPr>
              <w:t>1 Jour à 1 semaine</w:t>
            </w:r>
          </w:p>
        </w:tc>
      </w:tr>
      <w:tr w:rsidR="00C801A6" w:rsidRPr="00C801A6" w14:paraId="507E028E" w14:textId="77777777" w:rsidTr="00347FDB">
        <w:tc>
          <w:tcPr>
            <w:tcW w:w="1734" w:type="dxa"/>
            <w:shd w:val="clear" w:color="auto" w:fill="FFFFFF" w:themeFill="background1"/>
          </w:tcPr>
          <w:p w14:paraId="1FB4E8B3" w14:textId="77777777" w:rsidR="00575CDF" w:rsidRPr="00C801A6" w:rsidRDefault="00575CDF" w:rsidP="00347FDB">
            <w:pPr>
              <w:spacing w:before="60" w:after="60"/>
              <w:jc w:val="left"/>
              <w:rPr>
                <w:color w:val="auto"/>
                <w:sz w:val="22"/>
              </w:rPr>
            </w:pPr>
            <w:r w:rsidRPr="00C801A6">
              <w:rPr>
                <w:color w:val="auto"/>
                <w:sz w:val="22"/>
              </w:rPr>
              <w:t>Etape 2</w:t>
            </w:r>
          </w:p>
        </w:tc>
        <w:tc>
          <w:tcPr>
            <w:tcW w:w="1842" w:type="dxa"/>
            <w:shd w:val="clear" w:color="auto" w:fill="FFFFFF" w:themeFill="background1"/>
          </w:tcPr>
          <w:p w14:paraId="7A4FD791" w14:textId="0F557699" w:rsidR="00575CDF" w:rsidRPr="00C801A6" w:rsidRDefault="00575CDF" w:rsidP="00347FDB">
            <w:pPr>
              <w:spacing w:before="60" w:after="60"/>
              <w:jc w:val="left"/>
              <w:rPr>
                <w:color w:val="auto"/>
                <w:sz w:val="22"/>
              </w:rPr>
            </w:pPr>
            <w:r w:rsidRPr="00C801A6">
              <w:rPr>
                <w:color w:val="auto"/>
                <w:sz w:val="22"/>
              </w:rPr>
              <w:t xml:space="preserve">Médiation de l’ALC assisté par le Représentant </w:t>
            </w:r>
            <w:r w:rsidRPr="00C801A6">
              <w:rPr>
                <w:color w:val="auto"/>
                <w:sz w:val="22"/>
              </w:rPr>
              <w:lastRenderedPageBreak/>
              <w:t>du Projet l’équipe de l’U</w:t>
            </w:r>
            <w:r w:rsidR="00C65708">
              <w:rPr>
                <w:color w:val="auto"/>
                <w:sz w:val="22"/>
              </w:rPr>
              <w:t>C</w:t>
            </w:r>
            <w:r w:rsidRPr="00C801A6">
              <w:rPr>
                <w:color w:val="auto"/>
                <w:sz w:val="22"/>
              </w:rPr>
              <w:t>P-</w:t>
            </w:r>
            <w:r w:rsidR="00D6045D" w:rsidRPr="00C801A6">
              <w:rPr>
                <w:color w:val="auto"/>
                <w:sz w:val="22"/>
              </w:rPr>
              <w:t>P</w:t>
            </w:r>
            <w:r w:rsidR="00C65708">
              <w:rPr>
                <w:color w:val="auto"/>
                <w:sz w:val="22"/>
              </w:rPr>
              <w:t>CMCI</w:t>
            </w:r>
            <w:r w:rsidRPr="00C801A6">
              <w:rPr>
                <w:color w:val="auto"/>
                <w:sz w:val="22"/>
              </w:rPr>
              <w:t>-MdC</w:t>
            </w:r>
          </w:p>
        </w:tc>
        <w:tc>
          <w:tcPr>
            <w:tcW w:w="2520" w:type="dxa"/>
            <w:shd w:val="clear" w:color="auto" w:fill="FFFFFF" w:themeFill="background1"/>
          </w:tcPr>
          <w:p w14:paraId="640DCCE3" w14:textId="77777777" w:rsidR="00575CDF" w:rsidRPr="00C801A6" w:rsidRDefault="00575CDF" w:rsidP="00347FDB">
            <w:pPr>
              <w:spacing w:before="60" w:after="60"/>
              <w:jc w:val="left"/>
              <w:rPr>
                <w:color w:val="auto"/>
                <w:sz w:val="22"/>
              </w:rPr>
            </w:pPr>
            <w:r w:rsidRPr="00C801A6">
              <w:rPr>
                <w:color w:val="auto"/>
                <w:sz w:val="22"/>
              </w:rPr>
              <w:lastRenderedPageBreak/>
              <w:t xml:space="preserve">Le Maire ou son représentant, le </w:t>
            </w:r>
            <w:r w:rsidRPr="00C801A6">
              <w:rPr>
                <w:color w:val="auto"/>
                <w:sz w:val="22"/>
              </w:rPr>
              <w:lastRenderedPageBreak/>
              <w:t>plaignant(s), un représentant du Projet</w:t>
            </w:r>
          </w:p>
        </w:tc>
        <w:tc>
          <w:tcPr>
            <w:tcW w:w="1984" w:type="dxa"/>
            <w:shd w:val="clear" w:color="auto" w:fill="FFFFFF" w:themeFill="background1"/>
          </w:tcPr>
          <w:p w14:paraId="0079FA02" w14:textId="77777777" w:rsidR="00575CDF" w:rsidRPr="00C801A6" w:rsidRDefault="00575CDF" w:rsidP="00347FDB">
            <w:pPr>
              <w:spacing w:before="60" w:after="60"/>
              <w:jc w:val="left"/>
              <w:rPr>
                <w:color w:val="auto"/>
                <w:sz w:val="22"/>
              </w:rPr>
            </w:pPr>
            <w:r w:rsidRPr="00C801A6">
              <w:rPr>
                <w:color w:val="auto"/>
                <w:sz w:val="22"/>
              </w:rPr>
              <w:lastRenderedPageBreak/>
              <w:t xml:space="preserve">PV de médiation à établir par la Commune sous </w:t>
            </w:r>
            <w:r w:rsidRPr="00C801A6">
              <w:rPr>
                <w:color w:val="auto"/>
                <w:sz w:val="22"/>
              </w:rPr>
              <w:lastRenderedPageBreak/>
              <w:t>l’assistance du représentant du Projet</w:t>
            </w:r>
          </w:p>
        </w:tc>
        <w:tc>
          <w:tcPr>
            <w:tcW w:w="1418" w:type="dxa"/>
            <w:shd w:val="clear" w:color="auto" w:fill="FFFFFF" w:themeFill="background1"/>
          </w:tcPr>
          <w:p w14:paraId="6278D486" w14:textId="77777777" w:rsidR="00575CDF" w:rsidRPr="00C801A6" w:rsidRDefault="00575CDF" w:rsidP="00347FDB">
            <w:pPr>
              <w:spacing w:before="60" w:after="60"/>
              <w:jc w:val="left"/>
              <w:rPr>
                <w:color w:val="auto"/>
                <w:sz w:val="22"/>
              </w:rPr>
            </w:pPr>
            <w:r w:rsidRPr="00C801A6">
              <w:rPr>
                <w:color w:val="auto"/>
                <w:sz w:val="22"/>
              </w:rPr>
              <w:lastRenderedPageBreak/>
              <w:t>2 jours à 2 semaines</w:t>
            </w:r>
          </w:p>
        </w:tc>
      </w:tr>
      <w:tr w:rsidR="00C801A6" w:rsidRPr="00C801A6" w14:paraId="00BB64FA" w14:textId="77777777" w:rsidTr="00347FDB">
        <w:tc>
          <w:tcPr>
            <w:tcW w:w="1734" w:type="dxa"/>
            <w:shd w:val="clear" w:color="auto" w:fill="FFFFFF" w:themeFill="background1"/>
          </w:tcPr>
          <w:p w14:paraId="0D34D9C8" w14:textId="77777777" w:rsidR="00575CDF" w:rsidRPr="00C801A6" w:rsidRDefault="00575CDF" w:rsidP="00347FDB">
            <w:pPr>
              <w:spacing w:before="60" w:after="60"/>
              <w:jc w:val="left"/>
              <w:rPr>
                <w:color w:val="auto"/>
                <w:sz w:val="22"/>
              </w:rPr>
            </w:pPr>
            <w:r w:rsidRPr="00C801A6">
              <w:rPr>
                <w:color w:val="auto"/>
                <w:sz w:val="22"/>
              </w:rPr>
              <w:t>Etape 3</w:t>
            </w:r>
          </w:p>
        </w:tc>
        <w:tc>
          <w:tcPr>
            <w:tcW w:w="1842" w:type="dxa"/>
            <w:shd w:val="clear" w:color="auto" w:fill="FFFFFF" w:themeFill="background1"/>
          </w:tcPr>
          <w:p w14:paraId="3F93791D" w14:textId="6A69C3B5" w:rsidR="00575CDF" w:rsidRPr="00C801A6" w:rsidRDefault="00575CDF" w:rsidP="00347FDB">
            <w:pPr>
              <w:spacing w:before="60" w:after="60"/>
              <w:jc w:val="left"/>
              <w:rPr>
                <w:color w:val="auto"/>
                <w:sz w:val="22"/>
              </w:rPr>
            </w:pPr>
            <w:r w:rsidRPr="00C801A6">
              <w:rPr>
                <w:color w:val="auto"/>
                <w:sz w:val="22"/>
              </w:rPr>
              <w:t>Arbitrage par le CRRL, assisté par l’équipe de l’U</w:t>
            </w:r>
            <w:r w:rsidR="00C65708">
              <w:rPr>
                <w:color w:val="auto"/>
                <w:sz w:val="22"/>
              </w:rPr>
              <w:t>C</w:t>
            </w:r>
            <w:r w:rsidRPr="00C801A6">
              <w:rPr>
                <w:color w:val="auto"/>
                <w:sz w:val="22"/>
              </w:rPr>
              <w:t>P-</w:t>
            </w:r>
            <w:r w:rsidR="00D6045D" w:rsidRPr="00C801A6">
              <w:rPr>
                <w:color w:val="auto"/>
                <w:sz w:val="22"/>
              </w:rPr>
              <w:t>P</w:t>
            </w:r>
            <w:r w:rsidR="00C65708">
              <w:rPr>
                <w:color w:val="auto"/>
                <w:sz w:val="22"/>
              </w:rPr>
              <w:t>CMCI</w:t>
            </w:r>
            <w:r w:rsidRPr="00C801A6">
              <w:rPr>
                <w:color w:val="auto"/>
                <w:sz w:val="22"/>
              </w:rPr>
              <w:t>-MdC</w:t>
            </w:r>
          </w:p>
        </w:tc>
        <w:tc>
          <w:tcPr>
            <w:tcW w:w="2520" w:type="dxa"/>
            <w:shd w:val="clear" w:color="auto" w:fill="FFFFFF" w:themeFill="background1"/>
          </w:tcPr>
          <w:p w14:paraId="179A34DD" w14:textId="77777777" w:rsidR="00575CDF" w:rsidRPr="00C801A6" w:rsidRDefault="00575CDF" w:rsidP="00347FDB">
            <w:pPr>
              <w:spacing w:before="60" w:after="60"/>
              <w:jc w:val="left"/>
              <w:rPr>
                <w:color w:val="auto"/>
                <w:sz w:val="22"/>
              </w:rPr>
            </w:pPr>
            <w:r w:rsidRPr="00C801A6">
              <w:rPr>
                <w:color w:val="auto"/>
                <w:sz w:val="22"/>
              </w:rPr>
              <w:t>Le CRRL qui peut s’adjoindre toute personne qu’elle juge compétente pour l’aider à la résolution du litige, le plaignant(s), un représentant du projet</w:t>
            </w:r>
          </w:p>
        </w:tc>
        <w:tc>
          <w:tcPr>
            <w:tcW w:w="1984" w:type="dxa"/>
            <w:shd w:val="clear" w:color="auto" w:fill="FFFFFF" w:themeFill="background1"/>
          </w:tcPr>
          <w:p w14:paraId="11EAC845" w14:textId="77777777" w:rsidR="00575CDF" w:rsidRPr="00C801A6" w:rsidRDefault="00575CDF" w:rsidP="00347FDB">
            <w:pPr>
              <w:spacing w:before="60" w:after="60"/>
              <w:jc w:val="left"/>
              <w:rPr>
                <w:color w:val="auto"/>
                <w:sz w:val="22"/>
              </w:rPr>
            </w:pPr>
            <w:r w:rsidRPr="00C801A6">
              <w:rPr>
                <w:color w:val="auto"/>
                <w:sz w:val="22"/>
              </w:rPr>
              <w:t>PV de médiation à établir par le CRRL assisté par du représentant du Projet.</w:t>
            </w:r>
          </w:p>
        </w:tc>
        <w:tc>
          <w:tcPr>
            <w:tcW w:w="1418" w:type="dxa"/>
            <w:shd w:val="clear" w:color="auto" w:fill="FFFFFF" w:themeFill="background1"/>
          </w:tcPr>
          <w:p w14:paraId="7711CB91" w14:textId="77777777" w:rsidR="00575CDF" w:rsidRPr="00C801A6" w:rsidRDefault="00575CDF" w:rsidP="00347FDB">
            <w:pPr>
              <w:spacing w:before="60" w:after="60"/>
              <w:jc w:val="left"/>
              <w:rPr>
                <w:color w:val="auto"/>
                <w:sz w:val="22"/>
              </w:rPr>
            </w:pPr>
            <w:r w:rsidRPr="00C801A6">
              <w:rPr>
                <w:color w:val="auto"/>
                <w:sz w:val="22"/>
              </w:rPr>
              <w:t>3 jours à 2 semaines</w:t>
            </w:r>
          </w:p>
        </w:tc>
      </w:tr>
      <w:tr w:rsidR="00C801A6" w:rsidRPr="00C801A6" w14:paraId="2DBBC1C3" w14:textId="77777777" w:rsidTr="00347FDB">
        <w:tc>
          <w:tcPr>
            <w:tcW w:w="1734" w:type="dxa"/>
            <w:shd w:val="clear" w:color="auto" w:fill="FFFFFF" w:themeFill="background1"/>
          </w:tcPr>
          <w:p w14:paraId="301D827E" w14:textId="77777777" w:rsidR="00575CDF" w:rsidRPr="00C801A6" w:rsidRDefault="00575CDF" w:rsidP="00347FDB">
            <w:pPr>
              <w:spacing w:before="60" w:after="60"/>
              <w:jc w:val="left"/>
              <w:rPr>
                <w:color w:val="auto"/>
                <w:sz w:val="22"/>
              </w:rPr>
            </w:pPr>
            <w:r w:rsidRPr="00C801A6">
              <w:rPr>
                <w:color w:val="auto"/>
                <w:sz w:val="22"/>
              </w:rPr>
              <w:t>Etape 4</w:t>
            </w:r>
          </w:p>
        </w:tc>
        <w:tc>
          <w:tcPr>
            <w:tcW w:w="1842" w:type="dxa"/>
            <w:shd w:val="clear" w:color="auto" w:fill="FFFFFF" w:themeFill="background1"/>
          </w:tcPr>
          <w:p w14:paraId="7723F409" w14:textId="77777777" w:rsidR="00575CDF" w:rsidRPr="00C801A6" w:rsidRDefault="00575CDF" w:rsidP="00347FDB">
            <w:pPr>
              <w:spacing w:before="60" w:after="60"/>
              <w:jc w:val="left"/>
              <w:rPr>
                <w:color w:val="auto"/>
                <w:sz w:val="22"/>
              </w:rPr>
            </w:pPr>
            <w:r w:rsidRPr="00C801A6">
              <w:rPr>
                <w:color w:val="auto"/>
                <w:sz w:val="22"/>
              </w:rPr>
              <w:t>Recours au niveau du tribunal de première instance</w:t>
            </w:r>
          </w:p>
          <w:p w14:paraId="395607ED" w14:textId="77777777" w:rsidR="00575CDF" w:rsidRPr="00C801A6" w:rsidRDefault="00575CDF" w:rsidP="00347FDB">
            <w:pPr>
              <w:spacing w:before="60" w:after="60"/>
              <w:jc w:val="left"/>
              <w:rPr>
                <w:color w:val="auto"/>
                <w:sz w:val="22"/>
              </w:rPr>
            </w:pPr>
          </w:p>
        </w:tc>
        <w:tc>
          <w:tcPr>
            <w:tcW w:w="2520" w:type="dxa"/>
            <w:shd w:val="clear" w:color="auto" w:fill="FFFFFF" w:themeFill="background1"/>
          </w:tcPr>
          <w:p w14:paraId="347ADAB4" w14:textId="77777777" w:rsidR="00575CDF" w:rsidRPr="00C801A6" w:rsidRDefault="00575CDF" w:rsidP="00347FDB">
            <w:pPr>
              <w:spacing w:before="60" w:after="60"/>
              <w:jc w:val="left"/>
              <w:rPr>
                <w:color w:val="auto"/>
                <w:sz w:val="22"/>
              </w:rPr>
            </w:pPr>
            <w:r w:rsidRPr="00C801A6">
              <w:rPr>
                <w:color w:val="auto"/>
                <w:sz w:val="22"/>
              </w:rPr>
              <w:t>Le juge, le plaignant et le représentant du projet</w:t>
            </w:r>
          </w:p>
        </w:tc>
        <w:tc>
          <w:tcPr>
            <w:tcW w:w="1984" w:type="dxa"/>
            <w:shd w:val="clear" w:color="auto" w:fill="FFFFFF" w:themeFill="background1"/>
          </w:tcPr>
          <w:p w14:paraId="6824E96E" w14:textId="77777777" w:rsidR="00575CDF" w:rsidRPr="00C801A6" w:rsidRDefault="00575CDF" w:rsidP="00347FDB">
            <w:pPr>
              <w:spacing w:before="60" w:after="60"/>
              <w:jc w:val="left"/>
              <w:rPr>
                <w:color w:val="auto"/>
                <w:sz w:val="22"/>
              </w:rPr>
            </w:pPr>
            <w:r w:rsidRPr="00C801A6">
              <w:rPr>
                <w:color w:val="auto"/>
                <w:sz w:val="22"/>
              </w:rPr>
              <w:t>PV à établir par le greffier du tribunal.</w:t>
            </w:r>
          </w:p>
        </w:tc>
        <w:tc>
          <w:tcPr>
            <w:tcW w:w="1418" w:type="dxa"/>
            <w:shd w:val="clear" w:color="auto" w:fill="FFFFFF" w:themeFill="background1"/>
          </w:tcPr>
          <w:p w14:paraId="6B1C0A15" w14:textId="77777777" w:rsidR="00575CDF" w:rsidRPr="00C801A6" w:rsidRDefault="00575CDF" w:rsidP="00347FDB">
            <w:pPr>
              <w:spacing w:before="60" w:after="60"/>
              <w:jc w:val="left"/>
              <w:rPr>
                <w:color w:val="auto"/>
                <w:sz w:val="22"/>
              </w:rPr>
            </w:pPr>
            <w:r w:rsidRPr="00C801A6">
              <w:rPr>
                <w:color w:val="auto"/>
                <w:sz w:val="22"/>
              </w:rPr>
              <w:t>Au prorata</w:t>
            </w:r>
          </w:p>
        </w:tc>
      </w:tr>
      <w:tr w:rsidR="00C801A6" w:rsidRPr="00C801A6" w14:paraId="4AB6166A" w14:textId="77777777" w:rsidTr="00347FDB">
        <w:tc>
          <w:tcPr>
            <w:tcW w:w="1734" w:type="dxa"/>
            <w:shd w:val="clear" w:color="auto" w:fill="FFFFFF" w:themeFill="background1"/>
          </w:tcPr>
          <w:p w14:paraId="170532AE" w14:textId="77777777" w:rsidR="00575CDF" w:rsidRPr="00C801A6" w:rsidRDefault="00575CDF" w:rsidP="00347FDB">
            <w:pPr>
              <w:spacing w:before="60" w:after="60"/>
              <w:jc w:val="left"/>
              <w:rPr>
                <w:color w:val="auto"/>
                <w:sz w:val="22"/>
              </w:rPr>
            </w:pPr>
            <w:r w:rsidRPr="00C801A6">
              <w:rPr>
                <w:color w:val="auto"/>
                <w:sz w:val="22"/>
              </w:rPr>
              <w:t>Etape commune à toutes les plaintes</w:t>
            </w:r>
          </w:p>
        </w:tc>
        <w:tc>
          <w:tcPr>
            <w:tcW w:w="1842" w:type="dxa"/>
            <w:shd w:val="clear" w:color="auto" w:fill="FFFFFF" w:themeFill="background1"/>
          </w:tcPr>
          <w:p w14:paraId="3D75F2B6" w14:textId="77777777" w:rsidR="00575CDF" w:rsidRPr="00C801A6" w:rsidRDefault="00575CDF" w:rsidP="00347FDB">
            <w:pPr>
              <w:spacing w:before="60" w:after="60"/>
              <w:jc w:val="left"/>
              <w:rPr>
                <w:color w:val="auto"/>
                <w:sz w:val="22"/>
              </w:rPr>
            </w:pPr>
            <w:r w:rsidRPr="00C801A6">
              <w:rPr>
                <w:color w:val="auto"/>
                <w:sz w:val="22"/>
              </w:rPr>
              <w:t>Restitution des résultats des traitements aux intéressés</w:t>
            </w:r>
          </w:p>
          <w:p w14:paraId="70ECFE1D" w14:textId="77777777" w:rsidR="00575CDF" w:rsidRPr="00C801A6" w:rsidRDefault="00575CDF" w:rsidP="00347FDB">
            <w:pPr>
              <w:spacing w:before="60" w:after="60"/>
              <w:jc w:val="left"/>
              <w:rPr>
                <w:color w:val="auto"/>
                <w:sz w:val="22"/>
              </w:rPr>
            </w:pPr>
            <w:r w:rsidRPr="00C801A6">
              <w:rPr>
                <w:color w:val="auto"/>
                <w:sz w:val="22"/>
              </w:rPr>
              <w:t>Suivi des résolutions</w:t>
            </w:r>
          </w:p>
        </w:tc>
        <w:tc>
          <w:tcPr>
            <w:tcW w:w="2520" w:type="dxa"/>
            <w:shd w:val="clear" w:color="auto" w:fill="FFFFFF" w:themeFill="background1"/>
          </w:tcPr>
          <w:p w14:paraId="4EDDA21C" w14:textId="77777777" w:rsidR="00575CDF" w:rsidRPr="00C801A6" w:rsidRDefault="00575CDF" w:rsidP="00347FDB">
            <w:pPr>
              <w:spacing w:before="60" w:after="60"/>
              <w:jc w:val="left"/>
              <w:rPr>
                <w:color w:val="auto"/>
                <w:sz w:val="22"/>
              </w:rPr>
            </w:pPr>
            <w:r w:rsidRPr="00C801A6">
              <w:rPr>
                <w:color w:val="auto"/>
                <w:sz w:val="22"/>
              </w:rPr>
              <w:t>CRL (en tant que de besoin)</w:t>
            </w:r>
          </w:p>
        </w:tc>
        <w:tc>
          <w:tcPr>
            <w:tcW w:w="1984" w:type="dxa"/>
            <w:shd w:val="clear" w:color="auto" w:fill="FFFFFF" w:themeFill="background1"/>
          </w:tcPr>
          <w:p w14:paraId="27A0E484" w14:textId="77777777" w:rsidR="00575CDF" w:rsidRPr="00C801A6" w:rsidRDefault="00575CDF" w:rsidP="00347FDB">
            <w:pPr>
              <w:spacing w:before="60" w:after="60"/>
              <w:jc w:val="left"/>
              <w:rPr>
                <w:color w:val="auto"/>
                <w:sz w:val="22"/>
              </w:rPr>
            </w:pPr>
            <w:r w:rsidRPr="00C801A6">
              <w:rPr>
                <w:color w:val="auto"/>
                <w:sz w:val="22"/>
              </w:rPr>
              <w:t>Une copie des PV ou autres montrant les résolutions adoptées sera donnée aux intéressés</w:t>
            </w:r>
          </w:p>
        </w:tc>
        <w:tc>
          <w:tcPr>
            <w:tcW w:w="1418" w:type="dxa"/>
            <w:shd w:val="clear" w:color="auto" w:fill="FFFFFF" w:themeFill="background1"/>
          </w:tcPr>
          <w:p w14:paraId="626B5559" w14:textId="77777777" w:rsidR="00575CDF" w:rsidRPr="00C801A6" w:rsidRDefault="00575CDF" w:rsidP="00347FDB">
            <w:pPr>
              <w:spacing w:before="60" w:after="60"/>
              <w:jc w:val="left"/>
              <w:rPr>
                <w:color w:val="auto"/>
                <w:sz w:val="22"/>
              </w:rPr>
            </w:pPr>
            <w:r w:rsidRPr="00C801A6">
              <w:rPr>
                <w:color w:val="auto"/>
                <w:sz w:val="22"/>
              </w:rPr>
              <w:t>Au plus tard 5 jours après la livraison des résultats des traitements</w:t>
            </w:r>
          </w:p>
        </w:tc>
      </w:tr>
    </w:tbl>
    <w:p w14:paraId="4686CD9A" w14:textId="77777777" w:rsidR="00575CDF" w:rsidRPr="00C801A6" w:rsidRDefault="00575CDF" w:rsidP="00575CDF">
      <w:pPr>
        <w:spacing w:before="240"/>
        <w:rPr>
          <w:color w:val="auto"/>
        </w:rPr>
      </w:pPr>
      <w:r w:rsidRPr="00C801A6">
        <w:rPr>
          <w:color w:val="auto"/>
        </w:rPr>
        <w:t xml:space="preserve">Dans le cas où les plaintes ne sont pas résolues de cette manière, les dossiers seront traités </w:t>
      </w:r>
      <w:r w:rsidRPr="00C801A6">
        <w:rPr>
          <w:color w:val="auto"/>
          <w:shd w:val="clear" w:color="auto" w:fill="FFFFFF"/>
        </w:rPr>
        <w:t>par les instances supérieures.</w:t>
      </w:r>
    </w:p>
    <w:p w14:paraId="3C8A78C5" w14:textId="77777777" w:rsidR="00575CDF" w:rsidRPr="00C801A6" w:rsidRDefault="00575CDF" w:rsidP="00575CDF">
      <w:pPr>
        <w:rPr>
          <w:color w:val="auto"/>
        </w:rPr>
      </w:pPr>
      <w:r w:rsidRPr="00C801A6">
        <w:rPr>
          <w:color w:val="auto"/>
        </w:rPr>
        <w:t>Dans la pratique, pour gagner du temps, les étapes 1 et 2 peuvent être combinées</w:t>
      </w:r>
    </w:p>
    <w:p w14:paraId="2747DFA8" w14:textId="77777777" w:rsidR="00575CDF" w:rsidRPr="00C801A6" w:rsidRDefault="00575CDF" w:rsidP="003042DB">
      <w:pPr>
        <w:pStyle w:val="Heading4"/>
        <w:rPr>
          <w:color w:val="auto"/>
        </w:rPr>
      </w:pPr>
      <w:bookmarkStart w:id="756" w:name="_Toc71533193"/>
      <w:bookmarkStart w:id="757" w:name="_Toc71794978"/>
      <w:bookmarkStart w:id="758" w:name="_Toc230298814"/>
      <w:r w:rsidRPr="00C801A6">
        <w:rPr>
          <w:color w:val="auto"/>
        </w:rPr>
        <w:t>Cas du traitement des plaintes à d’autres niveaux du Projet</w:t>
      </w:r>
      <w:bookmarkEnd w:id="756"/>
      <w:bookmarkEnd w:id="757"/>
      <w:bookmarkEnd w:id="758"/>
    </w:p>
    <w:p w14:paraId="0B5BEB74" w14:textId="05D211D0" w:rsidR="00575CDF" w:rsidRPr="00C801A6" w:rsidRDefault="00575CDF" w:rsidP="00575CDF">
      <w:pPr>
        <w:rPr>
          <w:color w:val="auto"/>
          <w:lang w:eastAsia="ja-JP"/>
        </w:rPr>
      </w:pPr>
      <w:r w:rsidRPr="00C801A6">
        <w:rPr>
          <w:color w:val="auto"/>
          <w:lang w:eastAsia="ja-JP"/>
        </w:rPr>
        <w:t xml:space="preserve">Les plaintes collectées et enregistrées directement par d’autres acteurs du Projet (Ministère, </w:t>
      </w:r>
      <w:r w:rsidR="00B910A0" w:rsidRPr="00C801A6">
        <w:rPr>
          <w:color w:val="auto"/>
          <w:lang w:eastAsia="ja-JP"/>
        </w:rPr>
        <w:t>Banque mondiale</w:t>
      </w:r>
      <w:r w:rsidRPr="00C801A6">
        <w:rPr>
          <w:color w:val="auto"/>
          <w:lang w:eastAsia="ja-JP"/>
        </w:rPr>
        <w:t>, Communes, Organisations de Sociétés Civiles …) qui les concernent sont directement traitées par ces acteurs à leur niveau suivant les principes ci-dessus.</w:t>
      </w:r>
    </w:p>
    <w:p w14:paraId="60647630" w14:textId="77777777" w:rsidR="00575CDF" w:rsidRPr="00C801A6" w:rsidRDefault="00575CDF" w:rsidP="00575CDF">
      <w:pPr>
        <w:rPr>
          <w:color w:val="auto"/>
          <w:lang w:eastAsia="ja-JP"/>
        </w:rPr>
      </w:pPr>
      <w:r w:rsidRPr="00C801A6">
        <w:rPr>
          <w:color w:val="auto"/>
          <w:lang w:eastAsia="ja-JP"/>
        </w:rPr>
        <w:t>Dans le cas où les litiges en question ne les concernent pas, elles seront référées par ses récepteurs aux responsables du traitement.</w:t>
      </w:r>
    </w:p>
    <w:p w14:paraId="0917005C" w14:textId="77777777" w:rsidR="00575CDF" w:rsidRPr="00C801A6" w:rsidRDefault="00575CDF" w:rsidP="00575CDF">
      <w:pPr>
        <w:rPr>
          <w:color w:val="auto"/>
          <w:lang w:eastAsia="ja-JP"/>
        </w:rPr>
      </w:pPr>
      <w:r w:rsidRPr="00C801A6">
        <w:rPr>
          <w:color w:val="auto"/>
          <w:lang w:eastAsia="ja-JP"/>
        </w:rPr>
        <w:t>Tous les transferts de documents ou d’information devraient être enregistrés dans un registre spécial de traitement de plaintes développé par le Projet.</w:t>
      </w:r>
    </w:p>
    <w:p w14:paraId="527572A2" w14:textId="77777777" w:rsidR="00575CDF" w:rsidRPr="00C801A6" w:rsidRDefault="00575CDF" w:rsidP="003042DB">
      <w:pPr>
        <w:pStyle w:val="Heading4"/>
        <w:rPr>
          <w:color w:val="auto"/>
        </w:rPr>
      </w:pPr>
      <w:bookmarkStart w:id="759" w:name="_Toc71533194"/>
      <w:bookmarkStart w:id="760" w:name="_Toc71794979"/>
      <w:bookmarkStart w:id="761" w:name="_Toc230298815"/>
      <w:r w:rsidRPr="00C801A6">
        <w:rPr>
          <w:color w:val="auto"/>
        </w:rPr>
        <w:t>Recours au tribunal</w:t>
      </w:r>
      <w:bookmarkEnd w:id="759"/>
      <w:bookmarkEnd w:id="760"/>
      <w:bookmarkEnd w:id="761"/>
    </w:p>
    <w:p w14:paraId="7EBB86F1" w14:textId="77777777" w:rsidR="00575CDF" w:rsidRPr="00C801A6" w:rsidRDefault="00575CDF" w:rsidP="00575CDF">
      <w:pPr>
        <w:rPr>
          <w:color w:val="auto"/>
          <w:lang w:eastAsia="ja-JP"/>
        </w:rPr>
      </w:pPr>
      <w:r w:rsidRPr="00C801A6">
        <w:rPr>
          <w:color w:val="auto"/>
          <w:lang w:eastAsia="ja-JP"/>
        </w:rPr>
        <w:t xml:space="preserve">Le recours aux tribunaux ne sera fait qu’après avoir épuisé toutes les tentatives de règlement à l’amiable. </w:t>
      </w:r>
    </w:p>
    <w:p w14:paraId="7B34C070" w14:textId="77777777" w:rsidR="00575CDF" w:rsidRPr="00C801A6" w:rsidRDefault="00575CDF" w:rsidP="00575CDF">
      <w:pPr>
        <w:rPr>
          <w:color w:val="auto"/>
          <w:lang w:eastAsia="ja-JP"/>
        </w:rPr>
      </w:pPr>
      <w:r w:rsidRPr="00C801A6">
        <w:rPr>
          <w:color w:val="auto"/>
          <w:lang w:eastAsia="ja-JP"/>
        </w:rPr>
        <w:t>Le recours judiciaire se fera selon les modalités suivantes :</w:t>
      </w:r>
    </w:p>
    <w:p w14:paraId="31C77051" w14:textId="77777777" w:rsidR="00575CDF" w:rsidRPr="00C801A6" w:rsidRDefault="00575CDF" w:rsidP="00844538">
      <w:pPr>
        <w:pStyle w:val="ListParagraph"/>
        <w:numPr>
          <w:ilvl w:val="0"/>
          <w:numId w:val="57"/>
        </w:numPr>
        <w:spacing w:after="80" w:line="276" w:lineRule="auto"/>
        <w:ind w:left="714" w:hanging="357"/>
        <w:contextualSpacing w:val="0"/>
        <w:rPr>
          <w:color w:val="auto"/>
          <w:lang w:eastAsia="ja-JP"/>
        </w:rPr>
      </w:pPr>
      <w:r w:rsidRPr="00C801A6">
        <w:rPr>
          <w:color w:val="auto"/>
          <w:lang w:eastAsia="ja-JP"/>
        </w:rPr>
        <w:lastRenderedPageBreak/>
        <w:t xml:space="preserve">Une assistance sera fournie au plaignant (dans le cas de la mise en œuvre du PR afin de leur permettre de pouvoir exercer leur droit de recours). </w:t>
      </w:r>
    </w:p>
    <w:p w14:paraId="4B2C8EFE" w14:textId="77777777" w:rsidR="00575CDF" w:rsidRPr="00C801A6" w:rsidRDefault="00575CDF" w:rsidP="00844538">
      <w:pPr>
        <w:pStyle w:val="ListParagraph"/>
        <w:numPr>
          <w:ilvl w:val="0"/>
          <w:numId w:val="57"/>
        </w:numPr>
        <w:spacing w:after="80" w:line="276" w:lineRule="auto"/>
        <w:ind w:left="714" w:hanging="357"/>
        <w:contextualSpacing w:val="0"/>
        <w:rPr>
          <w:color w:val="auto"/>
          <w:lang w:eastAsia="ja-JP"/>
        </w:rPr>
      </w:pPr>
      <w:r w:rsidRPr="00C801A6">
        <w:rPr>
          <w:color w:val="auto"/>
          <w:lang w:eastAsia="ja-JP"/>
        </w:rPr>
        <w:t>la période minimale pour présenter un recours sera de 40 jours calendaire après le refus d’accepter l’offre d’indemnisation ou l’échec de la conciliation, le dernier à survenir s’appliquant ;</w:t>
      </w:r>
    </w:p>
    <w:p w14:paraId="07768FA0" w14:textId="77777777" w:rsidR="00575CDF" w:rsidRPr="00C801A6" w:rsidRDefault="00575CDF" w:rsidP="00844538">
      <w:pPr>
        <w:pStyle w:val="ListParagraph"/>
        <w:numPr>
          <w:ilvl w:val="0"/>
          <w:numId w:val="57"/>
        </w:numPr>
        <w:spacing w:line="276" w:lineRule="auto"/>
        <w:rPr>
          <w:color w:val="auto"/>
          <w:lang w:eastAsia="ja-JP"/>
        </w:rPr>
      </w:pPr>
      <w:r w:rsidRPr="00C801A6">
        <w:rPr>
          <w:color w:val="auto"/>
          <w:lang w:eastAsia="ja-JP"/>
        </w:rPr>
        <w:t>les instances seront flexibles et ouvertes à diverses formes de preuves.</w:t>
      </w:r>
    </w:p>
    <w:p w14:paraId="6A70AF6F" w14:textId="77777777" w:rsidR="00575CDF" w:rsidRPr="00C801A6" w:rsidRDefault="00575CDF" w:rsidP="00575CDF">
      <w:pPr>
        <w:rPr>
          <w:color w:val="auto"/>
          <w:lang w:eastAsia="ja-JP"/>
        </w:rPr>
      </w:pPr>
      <w:r w:rsidRPr="00C801A6">
        <w:rPr>
          <w:color w:val="auto"/>
          <w:lang w:eastAsia="ja-JP"/>
        </w:rPr>
        <w:t>Au cas où des personnes expropriées s’aviseraient à induire en erreur l’opinion publique à travers des média, des sessions de discussions seraient organisées et des notes d’information en Français et en Malagasy seraient élaborées en conséquence et distribuées aux médias.</w:t>
      </w:r>
    </w:p>
    <w:p w14:paraId="2E303E24" w14:textId="77777777" w:rsidR="00575CDF" w:rsidRPr="00C801A6" w:rsidRDefault="00575CDF" w:rsidP="00C65572">
      <w:pPr>
        <w:pStyle w:val="Heading3"/>
      </w:pPr>
      <w:bookmarkStart w:id="762" w:name="_Toc71533195"/>
      <w:bookmarkStart w:id="763" w:name="_Toc71794980"/>
      <w:bookmarkStart w:id="764" w:name="_Toc106320426"/>
      <w:bookmarkStart w:id="765" w:name="_Toc230426083"/>
      <w:r w:rsidRPr="00C801A6">
        <w:t>Procédure particulière pour le traitement de cas de plaintes touchant les cadres du projet</w:t>
      </w:r>
      <w:bookmarkEnd w:id="762"/>
      <w:bookmarkEnd w:id="763"/>
      <w:bookmarkEnd w:id="764"/>
      <w:bookmarkEnd w:id="765"/>
      <w:r w:rsidRPr="00C801A6">
        <w:t xml:space="preserve"> </w:t>
      </w:r>
    </w:p>
    <w:p w14:paraId="0BCCB6C3" w14:textId="072A22B0" w:rsidR="00575CDF" w:rsidRPr="00C801A6" w:rsidRDefault="00575CDF" w:rsidP="00575CDF">
      <w:pPr>
        <w:rPr>
          <w:color w:val="auto"/>
          <w:u w:val="single"/>
        </w:rPr>
      </w:pPr>
      <w:r w:rsidRPr="00C801A6">
        <w:rPr>
          <w:color w:val="auto"/>
          <w:u w:val="single"/>
        </w:rPr>
        <w:t>Cas du Comité de pilotage, de l’U</w:t>
      </w:r>
      <w:r w:rsidR="00C65708">
        <w:rPr>
          <w:color w:val="auto"/>
          <w:u w:val="single"/>
        </w:rPr>
        <w:t>C</w:t>
      </w:r>
      <w:r w:rsidRPr="00C801A6">
        <w:rPr>
          <w:color w:val="auto"/>
          <w:u w:val="single"/>
        </w:rPr>
        <w:t>P, autres</w:t>
      </w:r>
    </w:p>
    <w:p w14:paraId="478C031F" w14:textId="77777777" w:rsidR="00575CDF" w:rsidRPr="00C801A6" w:rsidRDefault="00575CDF" w:rsidP="00575CDF">
      <w:pPr>
        <w:rPr>
          <w:color w:val="auto"/>
          <w:lang w:eastAsia="ja-JP"/>
        </w:rPr>
      </w:pPr>
      <w:r w:rsidRPr="00C801A6">
        <w:rPr>
          <w:color w:val="auto"/>
          <w:lang w:eastAsia="ja-JP"/>
        </w:rPr>
        <w:t>Les plaintes et doléances collectées et enregistrées touchant en même temps deux ou plusieurs acteurs principaux de mise en œuvre du projet feront l’objet de traitement en arbitrage qui sera dirigé par un Comité Spécial de Traitement des Plaintes mis en place pour l’occasion par le Projet.</w:t>
      </w:r>
    </w:p>
    <w:p w14:paraId="6160A383" w14:textId="77777777" w:rsidR="00575CDF" w:rsidRPr="00C801A6" w:rsidRDefault="00575CDF" w:rsidP="00C65572">
      <w:pPr>
        <w:pStyle w:val="Heading3"/>
      </w:pPr>
      <w:bookmarkStart w:id="766" w:name="_Toc71533196"/>
      <w:bookmarkStart w:id="767" w:name="_Toc71794981"/>
      <w:bookmarkStart w:id="768" w:name="_Toc106320427"/>
      <w:bookmarkStart w:id="769" w:name="_Toc230426084"/>
      <w:r w:rsidRPr="00C801A6">
        <w:t>Traitement de plaintes internes à l’entreprise</w:t>
      </w:r>
      <w:bookmarkEnd w:id="766"/>
      <w:bookmarkEnd w:id="767"/>
      <w:bookmarkEnd w:id="768"/>
      <w:bookmarkEnd w:id="769"/>
    </w:p>
    <w:p w14:paraId="536DBDF8" w14:textId="77777777" w:rsidR="00575CDF" w:rsidRPr="00C801A6" w:rsidRDefault="00575CDF" w:rsidP="00575CDF">
      <w:pPr>
        <w:rPr>
          <w:color w:val="auto"/>
          <w:lang w:eastAsia="ja-JP"/>
        </w:rPr>
      </w:pPr>
      <w:r w:rsidRPr="00C801A6">
        <w:rPr>
          <w:color w:val="auto"/>
          <w:lang w:eastAsia="ja-JP"/>
        </w:rPr>
        <w:t>Chaque entreprise travaillant pour le projet développera un mécanisme de gestion de plaintes spécifique à l’entreprise. Toutefois le MGP de l’entreprise devrait considérer les éléments ci-après :</w:t>
      </w:r>
    </w:p>
    <w:p w14:paraId="341DA3B8" w14:textId="4F16F079" w:rsidR="00575CDF" w:rsidRPr="00C801A6" w:rsidRDefault="00575CDF" w:rsidP="00575CDF">
      <w:pPr>
        <w:rPr>
          <w:color w:val="auto"/>
          <w:lang w:eastAsia="ja-JP"/>
        </w:rPr>
      </w:pPr>
      <w:r w:rsidRPr="00C801A6">
        <w:rPr>
          <w:color w:val="auto"/>
          <w:lang w:eastAsia="ja-JP"/>
        </w:rPr>
        <w:t>L’entreprise ne peut traiter que des problèmes internes à elle, des petits problèmes d’ordre technique causés par les travaux dont la résolution et le traitement relèvent de sa compétence, ou des problèmes liés à son règlement intérieur propre.</w:t>
      </w:r>
      <w:r w:rsidR="003349AF" w:rsidRPr="00C801A6">
        <w:rPr>
          <w:color w:val="auto"/>
          <w:lang w:eastAsia="ja-JP"/>
        </w:rPr>
        <w:t xml:space="preserve"> </w:t>
      </w:r>
    </w:p>
    <w:p w14:paraId="701E8E67" w14:textId="77777777" w:rsidR="00575CDF" w:rsidRPr="00C801A6" w:rsidRDefault="00575CDF" w:rsidP="00C65572">
      <w:pPr>
        <w:pStyle w:val="Heading3"/>
      </w:pPr>
      <w:bookmarkStart w:id="770" w:name="_Ref71491749"/>
      <w:bookmarkStart w:id="771" w:name="_Toc71533197"/>
      <w:bookmarkStart w:id="772" w:name="_Toc71794982"/>
      <w:bookmarkStart w:id="773" w:name="_Toc106320428"/>
      <w:bookmarkStart w:id="774" w:name="_Toc230426085"/>
      <w:r w:rsidRPr="00C801A6">
        <w:t>Procédure de traitement des plaintes spécifiques</w:t>
      </w:r>
      <w:bookmarkEnd w:id="770"/>
      <w:bookmarkEnd w:id="771"/>
      <w:bookmarkEnd w:id="772"/>
      <w:bookmarkEnd w:id="773"/>
      <w:bookmarkEnd w:id="774"/>
    </w:p>
    <w:p w14:paraId="5F49E6F9" w14:textId="72B0FDC0" w:rsidR="00575CDF" w:rsidRPr="00C801A6" w:rsidRDefault="00575CDF" w:rsidP="003042DB">
      <w:pPr>
        <w:pStyle w:val="Heading4"/>
        <w:rPr>
          <w:color w:val="auto"/>
        </w:rPr>
      </w:pPr>
      <w:bookmarkStart w:id="775" w:name="_Toc71794983"/>
      <w:bookmarkStart w:id="776" w:name="_Toc230298816"/>
      <w:r w:rsidRPr="00C801A6">
        <w:rPr>
          <w:color w:val="auto"/>
        </w:rPr>
        <w:t xml:space="preserve">Cas du harcèlement sexuel, </w:t>
      </w:r>
      <w:r w:rsidR="006F38A3">
        <w:rPr>
          <w:color w:val="auto"/>
        </w:rPr>
        <w:t xml:space="preserve">EAS-HS </w:t>
      </w:r>
      <w:r w:rsidR="000D4144">
        <w:rPr>
          <w:color w:val="auto"/>
        </w:rPr>
        <w:t xml:space="preserve"> ET L’EXPLOITATION</w:t>
      </w:r>
      <w:r w:rsidRPr="00C801A6">
        <w:rPr>
          <w:color w:val="auto"/>
        </w:rPr>
        <w:t xml:space="preserve"> </w:t>
      </w:r>
      <w:r w:rsidR="000D4144">
        <w:rPr>
          <w:color w:val="auto"/>
        </w:rPr>
        <w:t>D</w:t>
      </w:r>
      <w:r w:rsidRPr="00C801A6">
        <w:rPr>
          <w:color w:val="auto"/>
        </w:rPr>
        <w:t>es enfants dans le cadre du projet</w:t>
      </w:r>
      <w:bookmarkEnd w:id="775"/>
      <w:bookmarkEnd w:id="776"/>
    </w:p>
    <w:p w14:paraId="312ECB7B" w14:textId="4471C28B" w:rsidR="00575CDF" w:rsidRPr="00C801A6" w:rsidRDefault="00575CDF" w:rsidP="00575CDF">
      <w:pPr>
        <w:rPr>
          <w:color w:val="auto"/>
          <w:lang w:eastAsia="ja-JP"/>
        </w:rPr>
      </w:pPr>
      <w:r w:rsidRPr="00C801A6">
        <w:rPr>
          <w:color w:val="auto"/>
          <w:lang w:eastAsia="ja-JP"/>
        </w:rPr>
        <w:t>Des dispositions particulières seront prises dans le cas d’un harcèlement sexuel, violence basée sur le genre et abus sexuel sur les enfants (</w:t>
      </w:r>
      <w:r w:rsidR="006F38A3">
        <w:rPr>
          <w:color w:val="auto"/>
          <w:lang w:eastAsia="ja-JP"/>
        </w:rPr>
        <w:t xml:space="preserve">EAS-HS </w:t>
      </w:r>
      <w:r w:rsidRPr="00C801A6">
        <w:rPr>
          <w:color w:val="auto"/>
          <w:lang w:eastAsia="ja-JP"/>
        </w:rPr>
        <w:t>).</w:t>
      </w:r>
    </w:p>
    <w:p w14:paraId="6B40EC2C" w14:textId="77777777" w:rsidR="00575CDF" w:rsidRPr="00C801A6" w:rsidRDefault="00575CDF" w:rsidP="00575CDF">
      <w:pPr>
        <w:rPr>
          <w:color w:val="auto"/>
          <w:lang w:eastAsia="ja-JP"/>
        </w:rPr>
      </w:pPr>
      <w:r w:rsidRPr="00C801A6">
        <w:rPr>
          <w:color w:val="auto"/>
          <w:lang w:eastAsia="ja-JP"/>
        </w:rPr>
        <w:t>En effet, dans le cadre du projet et en complément du mécanisme de gestion des doléances présenté précédemment, il sera également établi un protocole spécifique de prise en charge des violences et abus sexuels envers les femmes et les enfants.</w:t>
      </w:r>
    </w:p>
    <w:p w14:paraId="34B1408E" w14:textId="77777777" w:rsidR="00575CDF" w:rsidRPr="00C801A6" w:rsidRDefault="00575CDF" w:rsidP="00575CDF">
      <w:pPr>
        <w:rPr>
          <w:color w:val="auto"/>
          <w:lang w:eastAsia="ja-JP"/>
        </w:rPr>
      </w:pPr>
      <w:r w:rsidRPr="00C801A6">
        <w:rPr>
          <w:color w:val="auto"/>
          <w:lang w:eastAsia="ja-JP"/>
        </w:rPr>
        <w:t>Le projet travaillera en collaboration étroite avec des organismes spécialisés (ex. Cellule d’écoute et de Conseils juridiques auprès du Ministère chargé de la Population, de la Protection Sociale, et de la Promotion de la Femme, Associations ou ONG, plateforme) pour la prise en charge des cas de violence basée sur le genre, entre autres « toutes activités spécifiques de sensibilisation, mobilisation et prise en charge de cas » dans le cadre du projet.</w:t>
      </w:r>
    </w:p>
    <w:p w14:paraId="0F066912" w14:textId="77777777" w:rsidR="00575CDF" w:rsidRPr="00C801A6" w:rsidRDefault="00575CDF" w:rsidP="00575CDF">
      <w:pPr>
        <w:rPr>
          <w:color w:val="auto"/>
          <w:lang w:eastAsia="ja-JP"/>
        </w:rPr>
      </w:pPr>
      <w:r w:rsidRPr="00C801A6">
        <w:rPr>
          <w:color w:val="auto"/>
          <w:lang w:eastAsia="ja-JP"/>
        </w:rPr>
        <w:lastRenderedPageBreak/>
        <w:t>Des conventions de partenariat seront ainsi développées avec ces entités. Toutes les plaintes et dénonciations de cas d’harcèlement sexuel, violence basée sur le genre et abus sexuel sur les enfants enregistrées dans le cadre du projet seront directement transférées et traités par ces entités spécialisées.</w:t>
      </w:r>
    </w:p>
    <w:p w14:paraId="03F99715" w14:textId="77777777" w:rsidR="00575CDF" w:rsidRPr="00C801A6" w:rsidRDefault="00575CDF" w:rsidP="003042DB">
      <w:pPr>
        <w:pStyle w:val="Heading4"/>
        <w:rPr>
          <w:color w:val="auto"/>
        </w:rPr>
      </w:pPr>
      <w:bookmarkStart w:id="777" w:name="_Toc71794984"/>
      <w:bookmarkStart w:id="778" w:name="_Toc230298817"/>
      <w:r w:rsidRPr="00C801A6">
        <w:rPr>
          <w:color w:val="auto"/>
        </w:rPr>
        <w:t>Procédure de traitement des plaintes dans le cadre de la passation de marchés</w:t>
      </w:r>
      <w:bookmarkEnd w:id="777"/>
      <w:bookmarkEnd w:id="778"/>
    </w:p>
    <w:p w14:paraId="1925B54E" w14:textId="3E6E4D4B" w:rsidR="00575CDF" w:rsidRPr="00C801A6" w:rsidRDefault="00575CDF" w:rsidP="00575CDF">
      <w:pPr>
        <w:rPr>
          <w:color w:val="auto"/>
          <w:lang w:eastAsia="ja-JP"/>
        </w:rPr>
      </w:pPr>
      <w:r w:rsidRPr="00C801A6">
        <w:rPr>
          <w:color w:val="auto"/>
          <w:lang w:eastAsia="ja-JP"/>
        </w:rPr>
        <w:t xml:space="preserve">Tout ce qui a trait à la gestion des contrats avec les partenaires relève du Service de Passation des Marchés (un Manuel de Traitement des Plaintes dans le Manuel de Procédures de Passation des Marchés du projet </w:t>
      </w:r>
      <w:r w:rsidR="00D6045D" w:rsidRPr="00C801A6">
        <w:rPr>
          <w:color w:val="auto"/>
          <w:lang w:eastAsia="ja-JP"/>
        </w:rPr>
        <w:t>P</w:t>
      </w:r>
      <w:r w:rsidR="00C65708">
        <w:rPr>
          <w:color w:val="auto"/>
          <w:lang w:eastAsia="ja-JP"/>
        </w:rPr>
        <w:t>CMCI</w:t>
      </w:r>
      <w:r w:rsidRPr="00C801A6">
        <w:rPr>
          <w:color w:val="auto"/>
          <w:lang w:eastAsia="ja-JP"/>
        </w:rPr>
        <w:t xml:space="preserve"> sera à produire le cas échéant). Les cas enregistrés seront toutefois comptabilisés dans ce mécanisme de gestion de plaintes.</w:t>
      </w:r>
    </w:p>
    <w:p w14:paraId="56A93F69" w14:textId="77777777" w:rsidR="00575CDF" w:rsidRPr="00C801A6" w:rsidRDefault="00575CDF" w:rsidP="00C65572">
      <w:pPr>
        <w:pStyle w:val="Heading3"/>
      </w:pPr>
      <w:bookmarkStart w:id="779" w:name="_Toc71533198"/>
      <w:bookmarkStart w:id="780" w:name="_Toc71794985"/>
      <w:bookmarkStart w:id="781" w:name="_Toc106320429"/>
      <w:bookmarkStart w:id="782" w:name="_Toc230426086"/>
      <w:r w:rsidRPr="00C801A6">
        <w:t>Surveillance, suivi et consolidation des données sur les plaintes et les litiges</w:t>
      </w:r>
      <w:bookmarkEnd w:id="779"/>
      <w:bookmarkEnd w:id="780"/>
      <w:bookmarkEnd w:id="781"/>
      <w:bookmarkEnd w:id="782"/>
    </w:p>
    <w:p w14:paraId="35F28353" w14:textId="20D7CBC9" w:rsidR="00575CDF" w:rsidRPr="00C801A6" w:rsidRDefault="00575CDF" w:rsidP="003042DB">
      <w:pPr>
        <w:pStyle w:val="Heading4"/>
        <w:rPr>
          <w:color w:val="auto"/>
        </w:rPr>
      </w:pPr>
      <w:bookmarkStart w:id="783" w:name="_Toc71533199"/>
      <w:bookmarkStart w:id="784" w:name="_Toc71794986"/>
      <w:bookmarkStart w:id="785" w:name="_Toc230298818"/>
      <w:r w:rsidRPr="00C801A6">
        <w:rPr>
          <w:color w:val="auto"/>
        </w:rPr>
        <w:t>Suivi du Mécanisme de gestion des plaintes</w:t>
      </w:r>
      <w:bookmarkEnd w:id="783"/>
      <w:bookmarkEnd w:id="784"/>
      <w:bookmarkEnd w:id="785"/>
    </w:p>
    <w:p w14:paraId="33A4DB5F" w14:textId="6B189FE6" w:rsidR="00575CDF" w:rsidRPr="00C801A6" w:rsidRDefault="00575CDF" w:rsidP="00575CDF">
      <w:pPr>
        <w:rPr>
          <w:color w:val="auto"/>
          <w:lang w:eastAsia="ja-JP"/>
        </w:rPr>
      </w:pPr>
      <w:r w:rsidRPr="00C801A6">
        <w:rPr>
          <w:color w:val="auto"/>
          <w:lang w:eastAsia="ja-JP"/>
        </w:rPr>
        <w:t>Le suivi du MGP est permanent et périodique. Le suivi interne par chaque partie prenante du projet sera réalisé d’une manière permanente. Et, le suivi fait par l’U</w:t>
      </w:r>
      <w:r w:rsidR="00C65708">
        <w:rPr>
          <w:color w:val="auto"/>
          <w:lang w:eastAsia="ja-JP"/>
        </w:rPr>
        <w:t>C</w:t>
      </w:r>
      <w:r w:rsidRPr="00C801A6">
        <w:rPr>
          <w:color w:val="auto"/>
          <w:lang w:eastAsia="ja-JP"/>
        </w:rPr>
        <w:t>P sera périodique pour la supervision sur terrain mais permanent à travers le rapport qu’ils reçoivent des différentes entités impliquées dans le projet.</w:t>
      </w:r>
    </w:p>
    <w:p w14:paraId="5680ABA5" w14:textId="77777777" w:rsidR="00575CDF" w:rsidRPr="00C801A6" w:rsidRDefault="00575CDF" w:rsidP="00575CDF">
      <w:pPr>
        <w:rPr>
          <w:color w:val="auto"/>
          <w:lang w:eastAsia="ja-JP"/>
        </w:rPr>
      </w:pPr>
      <w:r w:rsidRPr="00C801A6">
        <w:rPr>
          <w:color w:val="auto"/>
          <w:lang w:eastAsia="ja-JP"/>
        </w:rPr>
        <w:t>Au niveau de la coordination générale, le spécialiste en sauvegarde reçoit tous les rapports sur les plaintes, il les exploite et assure le suivi à distance. Il effectue une supervision une fois par trimestre dans la zone d’intervention du Projet, le cas échéant.</w:t>
      </w:r>
    </w:p>
    <w:p w14:paraId="2145B482" w14:textId="77777777" w:rsidR="00575CDF" w:rsidRPr="00C801A6" w:rsidRDefault="00575CDF" w:rsidP="003042DB">
      <w:pPr>
        <w:pStyle w:val="Heading4"/>
        <w:rPr>
          <w:color w:val="auto"/>
        </w:rPr>
      </w:pPr>
      <w:bookmarkStart w:id="786" w:name="_Toc71533200"/>
      <w:bookmarkStart w:id="787" w:name="_Toc71794987"/>
      <w:bookmarkStart w:id="788" w:name="_Toc230298819"/>
      <w:r w:rsidRPr="00C801A6">
        <w:rPr>
          <w:color w:val="auto"/>
        </w:rPr>
        <w:t>Indicateurs de suivi</w:t>
      </w:r>
      <w:bookmarkEnd w:id="786"/>
      <w:bookmarkEnd w:id="787"/>
      <w:bookmarkEnd w:id="788"/>
    </w:p>
    <w:p w14:paraId="0A2A915B" w14:textId="77777777" w:rsidR="00575CDF" w:rsidRPr="00C801A6" w:rsidRDefault="00575CDF" w:rsidP="00575CDF">
      <w:pPr>
        <w:rPr>
          <w:color w:val="auto"/>
          <w:lang w:eastAsia="ja-JP"/>
        </w:rPr>
      </w:pPr>
      <w:r w:rsidRPr="00C801A6">
        <w:rPr>
          <w:color w:val="auto"/>
          <w:lang w:eastAsia="ja-JP"/>
        </w:rPr>
        <w:t>Pour mieux appréhender la performance de ce mécanisme, quelques indicateurs de suivi seront collectés et évalués. A titre non limitatif, il s’agit des indicateurs ci-après :</w:t>
      </w:r>
    </w:p>
    <w:p w14:paraId="1E171765" w14:textId="77777777" w:rsidR="00575CDF" w:rsidRPr="00C801A6" w:rsidRDefault="00575CDF" w:rsidP="00844538">
      <w:pPr>
        <w:pStyle w:val="ListParagraph"/>
        <w:numPr>
          <w:ilvl w:val="0"/>
          <w:numId w:val="57"/>
        </w:numPr>
        <w:spacing w:after="80" w:line="276" w:lineRule="auto"/>
        <w:ind w:left="714" w:hanging="357"/>
        <w:contextualSpacing w:val="0"/>
        <w:rPr>
          <w:rFonts w:eastAsia="Times New Roman" w:cs="Times New Roman"/>
          <w:color w:val="auto"/>
          <w:lang w:eastAsia="ja-JP"/>
        </w:rPr>
      </w:pPr>
      <w:r w:rsidRPr="00C801A6">
        <w:rPr>
          <w:color w:val="auto"/>
          <w:lang w:eastAsia="ja-JP"/>
        </w:rPr>
        <w:t>% de plaintes non résolue</w:t>
      </w:r>
      <w:r w:rsidRPr="00C801A6">
        <w:rPr>
          <w:rFonts w:eastAsia="Times New Roman" w:cs="Times New Roman"/>
          <w:color w:val="auto"/>
          <w:lang w:eastAsia="ja-JP"/>
        </w:rPr>
        <w:t>s dans chaque catégorie</w:t>
      </w:r>
    </w:p>
    <w:p w14:paraId="76E92E2B" w14:textId="77777777" w:rsidR="00575CDF" w:rsidRPr="00C801A6" w:rsidRDefault="00575CDF" w:rsidP="00844538">
      <w:pPr>
        <w:pStyle w:val="ListParagraph"/>
        <w:numPr>
          <w:ilvl w:val="0"/>
          <w:numId w:val="57"/>
        </w:numPr>
        <w:spacing w:after="80" w:line="276" w:lineRule="auto"/>
        <w:ind w:left="714" w:hanging="357"/>
        <w:contextualSpacing w:val="0"/>
        <w:rPr>
          <w:rFonts w:eastAsia="Times New Roman" w:cs="Times New Roman"/>
          <w:color w:val="auto"/>
          <w:lang w:eastAsia="ja-JP"/>
        </w:rPr>
      </w:pPr>
      <w:r w:rsidRPr="00C801A6">
        <w:rPr>
          <w:rFonts w:eastAsia="Times New Roman" w:cs="Times New Roman"/>
          <w:color w:val="auto"/>
          <w:lang w:eastAsia="ja-JP"/>
        </w:rPr>
        <w:t>% de plaintes reçues et ayant été résolues par le MGP</w:t>
      </w:r>
    </w:p>
    <w:p w14:paraId="6A9D1577" w14:textId="77777777" w:rsidR="00575CDF" w:rsidRPr="00C801A6" w:rsidRDefault="00575CDF" w:rsidP="00844538">
      <w:pPr>
        <w:pStyle w:val="ListParagraph"/>
        <w:numPr>
          <w:ilvl w:val="0"/>
          <w:numId w:val="57"/>
        </w:numPr>
        <w:spacing w:after="80" w:line="276" w:lineRule="auto"/>
        <w:ind w:left="714" w:hanging="357"/>
        <w:contextualSpacing w:val="0"/>
        <w:rPr>
          <w:rFonts w:eastAsia="Times New Roman" w:cs="Times New Roman"/>
          <w:color w:val="auto"/>
          <w:lang w:eastAsia="ja-JP"/>
        </w:rPr>
      </w:pPr>
      <w:r w:rsidRPr="00C801A6">
        <w:rPr>
          <w:rFonts w:eastAsia="Times New Roman" w:cs="Times New Roman"/>
          <w:color w:val="auto"/>
          <w:lang w:eastAsia="ja-JP"/>
        </w:rPr>
        <w:t>% de plaintes parvenues par la boîte à suggestion, par mel, réunion de sensibilisation, etc.</w:t>
      </w:r>
    </w:p>
    <w:p w14:paraId="274D5B29" w14:textId="77777777" w:rsidR="00575CDF" w:rsidRPr="00C801A6" w:rsidRDefault="00575CDF" w:rsidP="00844538">
      <w:pPr>
        <w:pStyle w:val="ListParagraph"/>
        <w:numPr>
          <w:ilvl w:val="0"/>
          <w:numId w:val="57"/>
        </w:numPr>
        <w:spacing w:after="80" w:line="276" w:lineRule="auto"/>
        <w:ind w:left="714" w:hanging="357"/>
        <w:contextualSpacing w:val="0"/>
        <w:rPr>
          <w:rFonts w:eastAsia="Times New Roman" w:cs="Times New Roman"/>
          <w:color w:val="auto"/>
          <w:lang w:eastAsia="ja-JP"/>
        </w:rPr>
      </w:pPr>
      <w:r w:rsidRPr="00C801A6">
        <w:rPr>
          <w:rFonts w:eastAsia="Times New Roman" w:cs="Times New Roman"/>
          <w:color w:val="auto"/>
          <w:lang w:eastAsia="ja-JP"/>
        </w:rPr>
        <w:t>% de plaintes résolues dans les délais prévus par le MGP</w:t>
      </w:r>
    </w:p>
    <w:p w14:paraId="5DAF0112" w14:textId="77777777" w:rsidR="00575CDF" w:rsidRPr="00C801A6" w:rsidRDefault="00575CDF" w:rsidP="00844538">
      <w:pPr>
        <w:pStyle w:val="ListParagraph"/>
        <w:numPr>
          <w:ilvl w:val="0"/>
          <w:numId w:val="57"/>
        </w:numPr>
        <w:spacing w:after="80" w:line="276" w:lineRule="auto"/>
        <w:ind w:left="714" w:hanging="357"/>
        <w:contextualSpacing w:val="0"/>
        <w:rPr>
          <w:rFonts w:eastAsia="Times New Roman" w:cs="Times New Roman"/>
          <w:color w:val="auto"/>
          <w:lang w:eastAsia="ja-JP"/>
        </w:rPr>
      </w:pPr>
      <w:r w:rsidRPr="00C801A6">
        <w:rPr>
          <w:rFonts w:eastAsia="Times New Roman" w:cs="Times New Roman"/>
          <w:color w:val="auto"/>
          <w:lang w:eastAsia="ja-JP"/>
        </w:rPr>
        <w:t>% de plaintes résolues à l’amiable</w:t>
      </w:r>
    </w:p>
    <w:p w14:paraId="1DC8ECD4" w14:textId="77777777" w:rsidR="00575CDF" w:rsidRPr="00C801A6" w:rsidRDefault="00575CDF" w:rsidP="00844538">
      <w:pPr>
        <w:pStyle w:val="ListParagraph"/>
        <w:numPr>
          <w:ilvl w:val="0"/>
          <w:numId w:val="57"/>
        </w:numPr>
        <w:spacing w:after="80" w:line="276" w:lineRule="auto"/>
        <w:ind w:left="714" w:hanging="357"/>
        <w:contextualSpacing w:val="0"/>
        <w:rPr>
          <w:color w:val="auto"/>
          <w:lang w:eastAsia="ja-JP"/>
        </w:rPr>
      </w:pPr>
      <w:r w:rsidRPr="00C801A6">
        <w:rPr>
          <w:color w:val="auto"/>
          <w:lang w:eastAsia="ja-JP"/>
        </w:rPr>
        <w:t>% de plaintes résolues au niveau du CRL (Commune) ou CRRL (Région)</w:t>
      </w:r>
    </w:p>
    <w:p w14:paraId="403239F6" w14:textId="77777777" w:rsidR="00575CDF" w:rsidRPr="00C801A6" w:rsidRDefault="00575CDF" w:rsidP="00844538">
      <w:pPr>
        <w:pStyle w:val="ListParagraph"/>
        <w:numPr>
          <w:ilvl w:val="0"/>
          <w:numId w:val="57"/>
        </w:numPr>
        <w:spacing w:after="80" w:line="276" w:lineRule="auto"/>
        <w:ind w:left="714" w:hanging="357"/>
        <w:contextualSpacing w:val="0"/>
        <w:rPr>
          <w:color w:val="auto"/>
          <w:lang w:eastAsia="ja-JP"/>
        </w:rPr>
      </w:pPr>
      <w:r w:rsidRPr="00C801A6">
        <w:rPr>
          <w:color w:val="auto"/>
          <w:lang w:eastAsia="ja-JP"/>
        </w:rPr>
        <w:t>% de plaintes ayant nécessité un recours</w:t>
      </w:r>
    </w:p>
    <w:p w14:paraId="61E66E01" w14:textId="77777777" w:rsidR="00575CDF" w:rsidRPr="00C801A6" w:rsidRDefault="00575CDF" w:rsidP="00844538">
      <w:pPr>
        <w:pStyle w:val="ListParagraph"/>
        <w:numPr>
          <w:ilvl w:val="0"/>
          <w:numId w:val="57"/>
        </w:numPr>
        <w:spacing w:after="80" w:line="276" w:lineRule="auto"/>
        <w:ind w:left="714" w:hanging="357"/>
        <w:contextualSpacing w:val="0"/>
        <w:rPr>
          <w:color w:val="auto"/>
          <w:lang w:eastAsia="ja-JP"/>
        </w:rPr>
      </w:pPr>
      <w:r w:rsidRPr="00C801A6">
        <w:rPr>
          <w:color w:val="auto"/>
          <w:lang w:eastAsia="ja-JP"/>
        </w:rPr>
        <w:t>Nombre d’ateliers de renforcement des capacités réalisés par semestre</w:t>
      </w:r>
    </w:p>
    <w:p w14:paraId="6016FBD2" w14:textId="77777777" w:rsidR="00575CDF" w:rsidRPr="00C801A6" w:rsidRDefault="00575CDF" w:rsidP="00844538">
      <w:pPr>
        <w:pStyle w:val="ListParagraph"/>
        <w:numPr>
          <w:ilvl w:val="0"/>
          <w:numId w:val="57"/>
        </w:numPr>
        <w:spacing w:after="80" w:line="276" w:lineRule="auto"/>
        <w:ind w:left="714" w:hanging="357"/>
        <w:contextualSpacing w:val="0"/>
        <w:rPr>
          <w:color w:val="auto"/>
          <w:lang w:eastAsia="ja-JP"/>
        </w:rPr>
      </w:pPr>
      <w:r w:rsidRPr="00C801A6">
        <w:rPr>
          <w:color w:val="auto"/>
          <w:lang w:eastAsia="ja-JP"/>
        </w:rPr>
        <w:t xml:space="preserve">Nombre d’information/sensibilisation des bénéficiaires ou clients de leur droit de déposer plainte et de la méthode à suivre pour déposer une plainte auprès de la personne compétente ; </w:t>
      </w:r>
    </w:p>
    <w:p w14:paraId="6CC790DC" w14:textId="77777777" w:rsidR="00575CDF" w:rsidRPr="00C801A6" w:rsidRDefault="00575CDF" w:rsidP="00844538">
      <w:pPr>
        <w:pStyle w:val="ListParagraph"/>
        <w:numPr>
          <w:ilvl w:val="0"/>
          <w:numId w:val="57"/>
        </w:numPr>
        <w:spacing w:after="80" w:line="276" w:lineRule="auto"/>
        <w:ind w:left="714" w:hanging="357"/>
        <w:contextualSpacing w:val="0"/>
        <w:rPr>
          <w:color w:val="auto"/>
          <w:lang w:eastAsia="ja-JP"/>
        </w:rPr>
      </w:pPr>
      <w:r w:rsidRPr="00C801A6">
        <w:rPr>
          <w:color w:val="auto"/>
          <w:lang w:eastAsia="ja-JP"/>
        </w:rPr>
        <w:t xml:space="preserve">Nombre de formations dispensées au personnel, aux entités ou parties prenantes sur le déroulement du mécanisme de gestion des plaintes, le rôle de l'agent dans le processus </w:t>
      </w:r>
      <w:r w:rsidRPr="00C801A6">
        <w:rPr>
          <w:color w:val="auto"/>
          <w:lang w:eastAsia="ja-JP"/>
        </w:rPr>
        <w:lastRenderedPageBreak/>
        <w:t xml:space="preserve">et le moyen de gérer convenablement ces plaintes jusqu'à leur règlement définitif (comment gérer les plaintes et en référer à la personne compétente aux fins d'enquête et de règlement), les modalités de gestion des plaintes et la méthodologie à utiliser pour informer les bénéficiaires et acteurs du MGP. </w:t>
      </w:r>
    </w:p>
    <w:p w14:paraId="3F0D4581" w14:textId="77777777" w:rsidR="00575CDF" w:rsidRPr="00C801A6" w:rsidRDefault="00575CDF" w:rsidP="00844538">
      <w:pPr>
        <w:pStyle w:val="ListParagraph"/>
        <w:numPr>
          <w:ilvl w:val="0"/>
          <w:numId w:val="57"/>
        </w:numPr>
        <w:spacing w:after="80" w:line="276" w:lineRule="auto"/>
        <w:ind w:left="714" w:hanging="357"/>
        <w:contextualSpacing w:val="0"/>
        <w:rPr>
          <w:color w:val="auto"/>
          <w:lang w:eastAsia="ja-JP"/>
        </w:rPr>
      </w:pPr>
      <w:r w:rsidRPr="00C801A6">
        <w:rPr>
          <w:color w:val="auto"/>
          <w:lang w:eastAsia="ja-JP"/>
        </w:rPr>
        <w:t>Nombre de plaignants/bénéficiaires du Projet recevant une réponse opportune concernant leurs plaintes, au plus tard un mois après le dépôt de la plainte.</w:t>
      </w:r>
    </w:p>
    <w:p w14:paraId="7B3029D2" w14:textId="77777777" w:rsidR="00575CDF" w:rsidRPr="00C801A6" w:rsidRDefault="00575CDF" w:rsidP="00844538">
      <w:pPr>
        <w:pStyle w:val="ListParagraph"/>
        <w:numPr>
          <w:ilvl w:val="0"/>
          <w:numId w:val="57"/>
        </w:numPr>
        <w:spacing w:after="80" w:line="276" w:lineRule="auto"/>
        <w:ind w:left="714" w:hanging="357"/>
        <w:contextualSpacing w:val="0"/>
        <w:rPr>
          <w:color w:val="auto"/>
          <w:lang w:eastAsia="ja-JP"/>
        </w:rPr>
      </w:pPr>
      <w:r w:rsidRPr="00C801A6">
        <w:rPr>
          <w:color w:val="auto"/>
          <w:lang w:eastAsia="ja-JP"/>
        </w:rPr>
        <w:t>Taux d’adoption d’information pour corriger des erreurs, des omissions et des activités susceptibles de nuire aux bénéficiaires</w:t>
      </w:r>
    </w:p>
    <w:p w14:paraId="01C153D4" w14:textId="77777777" w:rsidR="00575CDF" w:rsidRPr="00C801A6" w:rsidRDefault="00575CDF" w:rsidP="00844538">
      <w:pPr>
        <w:pStyle w:val="ListParagraph"/>
        <w:numPr>
          <w:ilvl w:val="0"/>
          <w:numId w:val="57"/>
        </w:numPr>
        <w:spacing w:after="80" w:line="276" w:lineRule="auto"/>
        <w:ind w:left="714" w:hanging="357"/>
        <w:contextualSpacing w:val="0"/>
        <w:rPr>
          <w:color w:val="auto"/>
          <w:lang w:eastAsia="ja-JP"/>
        </w:rPr>
      </w:pPr>
      <w:r w:rsidRPr="00C801A6">
        <w:rPr>
          <w:color w:val="auto"/>
          <w:lang w:eastAsia="ja-JP"/>
        </w:rPr>
        <w:t>% d’utilisation de chaque méthode d’enregistrement des plaintes : formulaires, e-mail, réseaux sociaux, téléphone, anonymes, autres.</w:t>
      </w:r>
    </w:p>
    <w:p w14:paraId="70B9AD47" w14:textId="670205F8" w:rsidR="00575CDF" w:rsidRPr="00C801A6" w:rsidRDefault="00575CDF" w:rsidP="00575CDF">
      <w:pPr>
        <w:rPr>
          <w:color w:val="auto"/>
          <w:lang w:eastAsia="ja-JP"/>
        </w:rPr>
      </w:pPr>
      <w:r w:rsidRPr="00C801A6">
        <w:rPr>
          <w:color w:val="auto"/>
          <w:lang w:eastAsia="ja-JP"/>
        </w:rPr>
        <w:t xml:space="preserve">Pour mieux permettre la lecture de ces indicateurs, un rapport de suivi semestriel sera établi selon le format recommandé par la Banque. Ces rapports semestriels seront soumis (i) à la </w:t>
      </w:r>
      <w:r w:rsidR="00B910A0" w:rsidRPr="00C801A6">
        <w:rPr>
          <w:color w:val="auto"/>
          <w:lang w:eastAsia="ja-JP"/>
        </w:rPr>
        <w:t>Banque mondiale</w:t>
      </w:r>
      <w:r w:rsidRPr="00C801A6">
        <w:rPr>
          <w:color w:val="auto"/>
          <w:lang w:eastAsia="ja-JP"/>
        </w:rPr>
        <w:t xml:space="preserve"> avant la tenue de chaque mission d'appui / supervision et (ii) aux autres parties prenantes du Projet pour information. </w:t>
      </w:r>
    </w:p>
    <w:p w14:paraId="1E395EA7" w14:textId="77777777" w:rsidR="00575CDF" w:rsidRPr="00C801A6" w:rsidRDefault="00575CDF" w:rsidP="00C65572">
      <w:pPr>
        <w:pStyle w:val="Heading3"/>
      </w:pPr>
      <w:bookmarkStart w:id="789" w:name="_Toc71533201"/>
      <w:bookmarkStart w:id="790" w:name="_Toc71794988"/>
      <w:bookmarkStart w:id="791" w:name="_Toc106320430"/>
      <w:bookmarkStart w:id="792" w:name="_Toc230426087"/>
      <w:r w:rsidRPr="00C801A6">
        <w:t>Informations et sensibilisation sur le MGP</w:t>
      </w:r>
      <w:bookmarkEnd w:id="789"/>
      <w:bookmarkEnd w:id="790"/>
      <w:bookmarkEnd w:id="791"/>
      <w:bookmarkEnd w:id="792"/>
    </w:p>
    <w:p w14:paraId="19F0FFC4" w14:textId="77777777" w:rsidR="00575CDF" w:rsidRPr="00C801A6" w:rsidRDefault="00575CDF" w:rsidP="00575CDF">
      <w:pPr>
        <w:rPr>
          <w:color w:val="auto"/>
          <w:lang w:eastAsia="ja-JP"/>
        </w:rPr>
      </w:pPr>
      <w:r w:rsidRPr="00C801A6">
        <w:rPr>
          <w:color w:val="auto"/>
          <w:lang w:eastAsia="ja-JP"/>
        </w:rPr>
        <w:t>Les Spécialistes E&amp;S en collaboration avec les points focaux informeront toutes les parties prenantes de l’existence de mécanisme de gestion de plaintes d’une manière claire et compréhensible pour les tiers ciblés, en utilisant différents supports / méthodes (affichage au niveau des bureaux de chaque ministère ou agence (Agence routière, Fonds Routier), média, réunion d’information …). En particulier, les modes d’enregistrement des plaintes devront être communiqués de manière précise et mis en exergue.</w:t>
      </w:r>
    </w:p>
    <w:p w14:paraId="4D90C68A" w14:textId="77777777" w:rsidR="00575CDF" w:rsidRPr="00C801A6" w:rsidRDefault="00575CDF" w:rsidP="00575CDF">
      <w:pPr>
        <w:rPr>
          <w:color w:val="auto"/>
          <w:lang w:eastAsia="ja-JP"/>
        </w:rPr>
      </w:pPr>
      <w:r w:rsidRPr="00C801A6">
        <w:rPr>
          <w:color w:val="auto"/>
          <w:lang w:eastAsia="ja-JP"/>
        </w:rPr>
        <w:t>Les communications relatives au mécanisme de gestion des plaintes (dépliants, affiches, articles et communiqué de presse) devront indiquer l’adresse postale, le numéro de téléphone et l’adresse e-mail des responsables du MGP au sein du Projet.</w:t>
      </w:r>
    </w:p>
    <w:p w14:paraId="461D68C9" w14:textId="77777777" w:rsidR="00575CDF" w:rsidRPr="00C801A6" w:rsidRDefault="00575CDF" w:rsidP="00C65572">
      <w:pPr>
        <w:pStyle w:val="Heading3"/>
      </w:pPr>
      <w:bookmarkStart w:id="793" w:name="_Toc71533202"/>
      <w:bookmarkStart w:id="794" w:name="_Toc71794989"/>
      <w:bookmarkStart w:id="795" w:name="_Toc106320431"/>
      <w:bookmarkStart w:id="796" w:name="_Toc230426088"/>
      <w:r w:rsidRPr="00C801A6">
        <w:t>Archivages</w:t>
      </w:r>
      <w:bookmarkEnd w:id="793"/>
      <w:bookmarkEnd w:id="794"/>
      <w:bookmarkEnd w:id="795"/>
      <w:bookmarkEnd w:id="796"/>
    </w:p>
    <w:p w14:paraId="7149B9E3" w14:textId="72E85ECB" w:rsidR="00575CDF" w:rsidRPr="00C801A6" w:rsidRDefault="00575CDF" w:rsidP="00575CDF">
      <w:pPr>
        <w:rPr>
          <w:color w:val="auto"/>
          <w:lang w:eastAsia="ja-JP"/>
        </w:rPr>
      </w:pPr>
      <w:r w:rsidRPr="00C801A6">
        <w:rPr>
          <w:color w:val="auto"/>
          <w:lang w:eastAsia="ja-JP"/>
        </w:rPr>
        <w:t>Le Projet établira une base de données qui capitalisera l’ensemble des plaintes et doléances reçues et traitées dans le cadre du projet. L’U</w:t>
      </w:r>
      <w:r w:rsidR="00C65708">
        <w:rPr>
          <w:color w:val="auto"/>
          <w:lang w:eastAsia="ja-JP"/>
        </w:rPr>
        <w:t>C</w:t>
      </w:r>
      <w:r w:rsidRPr="00C801A6">
        <w:rPr>
          <w:color w:val="auto"/>
          <w:lang w:eastAsia="ja-JP"/>
        </w:rPr>
        <w:t>P assurera la capitalisation générale et la gestion de la base de données centrale et le suivi global du traitement des plaintes sera aussi assuré par l’U</w:t>
      </w:r>
      <w:r w:rsidR="00C65708">
        <w:rPr>
          <w:color w:val="auto"/>
          <w:lang w:eastAsia="ja-JP"/>
        </w:rPr>
        <w:t>C</w:t>
      </w:r>
      <w:r w:rsidRPr="00C801A6">
        <w:rPr>
          <w:color w:val="auto"/>
          <w:lang w:eastAsia="ja-JP"/>
        </w:rPr>
        <w:t xml:space="preserve">P sous contrôle du Comité de Pilotage du Projet. </w:t>
      </w:r>
    </w:p>
    <w:p w14:paraId="346D359F" w14:textId="51B41FFD" w:rsidR="00575CDF" w:rsidRPr="00C801A6" w:rsidRDefault="00575CDF" w:rsidP="00575CDF">
      <w:pPr>
        <w:rPr>
          <w:color w:val="auto"/>
          <w:lang w:eastAsia="ja-JP"/>
        </w:rPr>
      </w:pPr>
      <w:r w:rsidRPr="00C801A6">
        <w:rPr>
          <w:color w:val="auto"/>
          <w:lang w:eastAsia="ja-JP"/>
        </w:rPr>
        <w:t>Chaque entité responsable d’activité ou de composante particulier désignera un responsable attitré pour la capitalisation des données à leur niveau suivant les grandes lignes définies en commun par le projet. Ces informations seront communiquées périodiquement à l’U</w:t>
      </w:r>
      <w:r w:rsidR="00C65708">
        <w:rPr>
          <w:color w:val="auto"/>
          <w:lang w:eastAsia="ja-JP"/>
        </w:rPr>
        <w:t>C</w:t>
      </w:r>
      <w:r w:rsidRPr="00C801A6">
        <w:rPr>
          <w:color w:val="auto"/>
          <w:lang w:eastAsia="ja-JP"/>
        </w:rPr>
        <w:t xml:space="preserve">P. </w:t>
      </w:r>
    </w:p>
    <w:p w14:paraId="5CAEEDDA" w14:textId="539DF344" w:rsidR="00575CDF" w:rsidRPr="00C801A6" w:rsidRDefault="00575CDF" w:rsidP="00575CDF">
      <w:pPr>
        <w:rPr>
          <w:color w:val="auto"/>
          <w:lang w:eastAsia="ja-JP"/>
        </w:rPr>
      </w:pPr>
      <w:r w:rsidRPr="00C801A6">
        <w:rPr>
          <w:color w:val="auto"/>
          <w:lang w:eastAsia="ja-JP"/>
        </w:rPr>
        <w:t>L’U</w:t>
      </w:r>
      <w:r w:rsidR="00C65708">
        <w:rPr>
          <w:color w:val="auto"/>
          <w:lang w:eastAsia="ja-JP"/>
        </w:rPr>
        <w:t>C</w:t>
      </w:r>
      <w:r w:rsidRPr="00C801A6">
        <w:rPr>
          <w:color w:val="auto"/>
          <w:lang w:eastAsia="ja-JP"/>
        </w:rPr>
        <w:t>P établira des rapports tous les quatre mois sur la situation des plaintes relatives au Projet (nombre de plaintes reçus, catégories de plaintes, cas résolus, retours d’information vis-à-vis des plaignants, …) sur la base des rapports émis par la MOIS.</w:t>
      </w:r>
    </w:p>
    <w:p w14:paraId="3DE79CE9" w14:textId="77777777" w:rsidR="00575CDF" w:rsidRPr="00C801A6" w:rsidRDefault="00575CDF" w:rsidP="00014BC0">
      <w:pPr>
        <w:pStyle w:val="Heading2"/>
      </w:pPr>
      <w:bookmarkStart w:id="797" w:name="_Toc71794990"/>
      <w:bookmarkStart w:id="798" w:name="_Toc106320432"/>
      <w:bookmarkStart w:id="799" w:name="_Toc230426089"/>
      <w:r w:rsidRPr="00C801A6">
        <w:lastRenderedPageBreak/>
        <w:t>PLAN D’ACTION CONTRE LES VIOLENCES BASEES SUR LE GENRE</w:t>
      </w:r>
      <w:bookmarkEnd w:id="797"/>
      <w:bookmarkEnd w:id="798"/>
      <w:bookmarkEnd w:id="799"/>
      <w:r w:rsidRPr="00C801A6">
        <w:t xml:space="preserve"> </w:t>
      </w:r>
    </w:p>
    <w:p w14:paraId="797B72E1" w14:textId="77777777" w:rsidR="00575CDF" w:rsidRPr="00C801A6" w:rsidRDefault="64C26F39" w:rsidP="00575CDF">
      <w:pPr>
        <w:rPr>
          <w:color w:val="auto"/>
        </w:rPr>
      </w:pPr>
      <w:r w:rsidRPr="00C801A6">
        <w:rPr>
          <w:color w:val="auto"/>
        </w:rPr>
        <w:t>Etant donné le nombre « assez élevé » à « élevé » d’hommes seuls qui travaillent dans un chantier routier, ces derniers sont, potentiellement, susceptibles d’augmenter l’exposition aux risques et effets néfastes des populations riveraines</w:t>
      </w:r>
      <w:r w:rsidR="00575CDF" w:rsidRPr="00C801A6">
        <w:rPr>
          <w:rStyle w:val="FootnoteReference"/>
          <w:color w:val="auto"/>
        </w:rPr>
        <w:footnoteReference w:id="23"/>
      </w:r>
      <w:r w:rsidRPr="00C801A6">
        <w:rPr>
          <w:color w:val="auto"/>
        </w:rPr>
        <w:t>.</w:t>
      </w:r>
    </w:p>
    <w:p w14:paraId="0FF31295" w14:textId="34F1AC37" w:rsidR="00575CDF" w:rsidRPr="00C801A6" w:rsidRDefault="00575CDF" w:rsidP="00C65572">
      <w:pPr>
        <w:pStyle w:val="Heading3"/>
      </w:pPr>
      <w:bookmarkStart w:id="800" w:name="_Toc71794991"/>
      <w:bookmarkStart w:id="801" w:name="_Toc106320433"/>
      <w:bookmarkStart w:id="802" w:name="_Toc230426090"/>
      <w:r w:rsidRPr="00C801A6">
        <w:t>Considération préliminaire</w:t>
      </w:r>
      <w:bookmarkEnd w:id="800"/>
      <w:bookmarkEnd w:id="801"/>
      <w:bookmarkEnd w:id="802"/>
    </w:p>
    <w:p w14:paraId="7B1CA6E2" w14:textId="3A4EC3F4" w:rsidR="00575CDF" w:rsidRPr="00C801A6" w:rsidRDefault="00575CDF" w:rsidP="00575CDF">
      <w:pPr>
        <w:rPr>
          <w:color w:val="auto"/>
        </w:rPr>
      </w:pPr>
      <w:r w:rsidRPr="00C801A6">
        <w:rPr>
          <w:color w:val="auto"/>
        </w:rPr>
        <w:t>Selon l’OMS, la « </w:t>
      </w:r>
      <w:r w:rsidR="00E21E41">
        <w:rPr>
          <w:color w:val="auto"/>
        </w:rPr>
        <w:t>V</w:t>
      </w:r>
      <w:r w:rsidRPr="00C801A6">
        <w:rPr>
          <w:color w:val="auto"/>
        </w:rPr>
        <w:t xml:space="preserve">iolence </w:t>
      </w:r>
      <w:r w:rsidR="00E21E41">
        <w:rPr>
          <w:color w:val="auto"/>
        </w:rPr>
        <w:t>B</w:t>
      </w:r>
      <w:r w:rsidRPr="00C801A6">
        <w:rPr>
          <w:color w:val="auto"/>
        </w:rPr>
        <w:t xml:space="preserve">asée sur le </w:t>
      </w:r>
      <w:r w:rsidR="00E21E41">
        <w:rPr>
          <w:color w:val="auto"/>
        </w:rPr>
        <w:t>G</w:t>
      </w:r>
      <w:r w:rsidRPr="00C801A6">
        <w:rPr>
          <w:color w:val="auto"/>
        </w:rPr>
        <w:t xml:space="preserve">enre » est un terme regroupant tous les actes infligés à une personne contre son gré. Elle est fondée sur les différences sociales (genre) entre hommes et femmes. Les actes de </w:t>
      </w:r>
      <w:r w:rsidR="006F38A3">
        <w:rPr>
          <w:color w:val="auto"/>
        </w:rPr>
        <w:t xml:space="preserve">EAS-HS </w:t>
      </w:r>
      <w:r w:rsidRPr="00C801A6">
        <w:rPr>
          <w:color w:val="auto"/>
        </w:rPr>
        <w:t xml:space="preserve"> violent un certain nombre de droits de l’Homme fondamentaux protégés par des textes et des conventions internationales. Dans ce cadre, les formes de </w:t>
      </w:r>
      <w:r w:rsidR="006F38A3">
        <w:rPr>
          <w:color w:val="auto"/>
        </w:rPr>
        <w:t xml:space="preserve">EAS-HS </w:t>
      </w:r>
      <w:r w:rsidRPr="00C801A6">
        <w:rPr>
          <w:color w:val="auto"/>
        </w:rPr>
        <w:t xml:space="preserve"> les plus connues sont :</w:t>
      </w:r>
    </w:p>
    <w:p w14:paraId="153B1441" w14:textId="77777777" w:rsidR="00575CDF" w:rsidRPr="00C801A6" w:rsidRDefault="00575CDF" w:rsidP="00844538">
      <w:pPr>
        <w:pStyle w:val="ListParagraph"/>
        <w:numPr>
          <w:ilvl w:val="0"/>
          <w:numId w:val="63"/>
        </w:numPr>
        <w:spacing w:before="120" w:after="0" w:line="276" w:lineRule="auto"/>
        <w:ind w:left="426" w:hanging="426"/>
        <w:rPr>
          <w:color w:val="auto"/>
        </w:rPr>
      </w:pPr>
      <w:r w:rsidRPr="00C801A6">
        <w:rPr>
          <w:color w:val="auto"/>
        </w:rPr>
        <w:t>Les violences physiques</w:t>
      </w:r>
    </w:p>
    <w:p w14:paraId="1684C7AD" w14:textId="77777777" w:rsidR="00575CDF" w:rsidRPr="00C801A6" w:rsidRDefault="00575CDF" w:rsidP="00844538">
      <w:pPr>
        <w:pStyle w:val="ListParagraph"/>
        <w:numPr>
          <w:ilvl w:val="0"/>
          <w:numId w:val="63"/>
        </w:numPr>
        <w:spacing w:before="120" w:after="0" w:line="276" w:lineRule="auto"/>
        <w:ind w:left="425" w:hanging="425"/>
        <w:contextualSpacing w:val="0"/>
        <w:rPr>
          <w:color w:val="auto"/>
        </w:rPr>
      </w:pPr>
      <w:r w:rsidRPr="00C801A6">
        <w:rPr>
          <w:color w:val="auto"/>
        </w:rPr>
        <w:t>Les violences morales ou psychologiques</w:t>
      </w:r>
    </w:p>
    <w:p w14:paraId="7EECE4F3" w14:textId="77777777" w:rsidR="00575CDF" w:rsidRPr="00C801A6" w:rsidRDefault="00575CDF" w:rsidP="00575CDF">
      <w:pPr>
        <w:ind w:left="425"/>
        <w:rPr>
          <w:color w:val="auto"/>
        </w:rPr>
      </w:pPr>
      <w:r w:rsidRPr="00C801A6">
        <w:rPr>
          <w:color w:val="auto"/>
        </w:rPr>
        <w:t>Elles consistent à dévaloriser la femme par des attitudes et propos méprisants et injurieux ayant pour effet de créer chez elle, un sentiment permanent de frustration, de crainte, de perte de confiance en soi, etc. :</w:t>
      </w:r>
    </w:p>
    <w:p w14:paraId="61184BD1" w14:textId="77777777" w:rsidR="00575CDF" w:rsidRPr="00C801A6" w:rsidRDefault="00575CDF" w:rsidP="00844538">
      <w:pPr>
        <w:pStyle w:val="ListParagraph"/>
        <w:numPr>
          <w:ilvl w:val="0"/>
          <w:numId w:val="64"/>
        </w:numPr>
        <w:spacing w:before="120" w:after="0" w:line="276" w:lineRule="auto"/>
        <w:ind w:left="851" w:hanging="425"/>
        <w:rPr>
          <w:color w:val="auto"/>
        </w:rPr>
      </w:pPr>
      <w:r w:rsidRPr="00C801A6">
        <w:rPr>
          <w:color w:val="auto"/>
        </w:rPr>
        <w:t>socialisation discriminatoire des enfants sur la base du sexe</w:t>
      </w:r>
    </w:p>
    <w:p w14:paraId="7C216F68" w14:textId="77777777" w:rsidR="00575CDF" w:rsidRPr="00C801A6" w:rsidRDefault="00575CDF" w:rsidP="00844538">
      <w:pPr>
        <w:pStyle w:val="ListParagraph"/>
        <w:numPr>
          <w:ilvl w:val="0"/>
          <w:numId w:val="64"/>
        </w:numPr>
        <w:spacing w:before="120" w:after="0" w:line="276" w:lineRule="auto"/>
        <w:ind w:left="851" w:hanging="425"/>
        <w:rPr>
          <w:color w:val="auto"/>
        </w:rPr>
      </w:pPr>
      <w:r w:rsidRPr="00C801A6">
        <w:rPr>
          <w:color w:val="auto"/>
        </w:rPr>
        <w:t>propos infâmants et invectives (outrages) publiques</w:t>
      </w:r>
    </w:p>
    <w:p w14:paraId="29BBEADC" w14:textId="77777777" w:rsidR="00575CDF" w:rsidRPr="00C801A6" w:rsidRDefault="00575CDF" w:rsidP="00844538">
      <w:pPr>
        <w:pStyle w:val="ListParagraph"/>
        <w:numPr>
          <w:ilvl w:val="0"/>
          <w:numId w:val="64"/>
        </w:numPr>
        <w:spacing w:before="120" w:after="0" w:line="276" w:lineRule="auto"/>
        <w:ind w:left="851" w:hanging="425"/>
        <w:rPr>
          <w:color w:val="auto"/>
        </w:rPr>
      </w:pPr>
      <w:r w:rsidRPr="00C801A6">
        <w:rPr>
          <w:color w:val="auto"/>
        </w:rPr>
        <w:t>répudiations abusives</w:t>
      </w:r>
    </w:p>
    <w:p w14:paraId="292DB9FD" w14:textId="77777777" w:rsidR="00575CDF" w:rsidRPr="00C801A6" w:rsidRDefault="00575CDF" w:rsidP="00844538">
      <w:pPr>
        <w:pStyle w:val="ListParagraph"/>
        <w:numPr>
          <w:ilvl w:val="0"/>
          <w:numId w:val="64"/>
        </w:numPr>
        <w:spacing w:before="120" w:after="0" w:line="276" w:lineRule="auto"/>
        <w:ind w:left="851" w:hanging="425"/>
        <w:rPr>
          <w:color w:val="auto"/>
        </w:rPr>
      </w:pPr>
      <w:r w:rsidRPr="00C801A6">
        <w:rPr>
          <w:color w:val="auto"/>
        </w:rPr>
        <w:t>abandon des femmes et des filles enceintes par les auteurs de leur grossesse</w:t>
      </w:r>
    </w:p>
    <w:p w14:paraId="5A44DE00" w14:textId="77777777" w:rsidR="00575CDF" w:rsidRPr="00C801A6" w:rsidRDefault="00575CDF" w:rsidP="00844538">
      <w:pPr>
        <w:pStyle w:val="ListParagraph"/>
        <w:numPr>
          <w:ilvl w:val="0"/>
          <w:numId w:val="64"/>
        </w:numPr>
        <w:spacing w:before="120" w:after="0" w:line="276" w:lineRule="auto"/>
        <w:ind w:left="851" w:hanging="425"/>
        <w:rPr>
          <w:color w:val="auto"/>
        </w:rPr>
      </w:pPr>
      <w:r w:rsidRPr="00C801A6">
        <w:rPr>
          <w:color w:val="auto"/>
        </w:rPr>
        <w:t>instrumentalisation des femmes et des filles par des artistes musiciens ou des médias</w:t>
      </w:r>
    </w:p>
    <w:p w14:paraId="1F057D98" w14:textId="77777777" w:rsidR="00575CDF" w:rsidRPr="00C801A6" w:rsidRDefault="00575CDF" w:rsidP="00844538">
      <w:pPr>
        <w:pStyle w:val="ListParagraph"/>
        <w:numPr>
          <w:ilvl w:val="0"/>
          <w:numId w:val="64"/>
        </w:numPr>
        <w:spacing w:before="120" w:after="0" w:line="276" w:lineRule="auto"/>
        <w:ind w:left="851" w:hanging="425"/>
        <w:rPr>
          <w:color w:val="auto"/>
        </w:rPr>
      </w:pPr>
      <w:r w:rsidRPr="00C801A6">
        <w:rPr>
          <w:color w:val="auto"/>
        </w:rPr>
        <w:t>refus de rapport sexuel</w:t>
      </w:r>
    </w:p>
    <w:p w14:paraId="30AFF0A9" w14:textId="77777777" w:rsidR="00575CDF" w:rsidRPr="00C801A6" w:rsidRDefault="00575CDF" w:rsidP="00844538">
      <w:pPr>
        <w:pStyle w:val="ListParagraph"/>
        <w:numPr>
          <w:ilvl w:val="0"/>
          <w:numId w:val="64"/>
        </w:numPr>
        <w:spacing w:before="120" w:after="0" w:line="276" w:lineRule="auto"/>
        <w:ind w:left="851" w:hanging="425"/>
        <w:rPr>
          <w:color w:val="auto"/>
        </w:rPr>
      </w:pPr>
      <w:r w:rsidRPr="00C801A6">
        <w:rPr>
          <w:color w:val="auto"/>
        </w:rPr>
        <w:t>privation d’aliment</w:t>
      </w:r>
    </w:p>
    <w:p w14:paraId="68B03EF6" w14:textId="77777777" w:rsidR="00575CDF" w:rsidRPr="00C801A6" w:rsidRDefault="00575CDF" w:rsidP="00844538">
      <w:pPr>
        <w:pStyle w:val="ListParagraph"/>
        <w:numPr>
          <w:ilvl w:val="0"/>
          <w:numId w:val="64"/>
        </w:numPr>
        <w:spacing w:before="120" w:after="0" w:line="276" w:lineRule="auto"/>
        <w:ind w:left="851" w:hanging="425"/>
        <w:rPr>
          <w:color w:val="auto"/>
        </w:rPr>
      </w:pPr>
      <w:r w:rsidRPr="00C801A6">
        <w:rPr>
          <w:color w:val="auto"/>
        </w:rPr>
        <w:t>intimidation et menaces</w:t>
      </w:r>
    </w:p>
    <w:p w14:paraId="4C6C4CB7" w14:textId="77777777" w:rsidR="00575CDF" w:rsidRPr="00C801A6" w:rsidRDefault="00575CDF" w:rsidP="00844538">
      <w:pPr>
        <w:pStyle w:val="ListParagraph"/>
        <w:numPr>
          <w:ilvl w:val="0"/>
          <w:numId w:val="63"/>
        </w:numPr>
        <w:spacing w:before="120" w:line="276" w:lineRule="auto"/>
        <w:ind w:left="425" w:hanging="425"/>
        <w:contextualSpacing w:val="0"/>
        <w:rPr>
          <w:color w:val="auto"/>
        </w:rPr>
      </w:pPr>
      <w:r w:rsidRPr="00C801A6">
        <w:rPr>
          <w:color w:val="auto"/>
        </w:rPr>
        <w:t>Les violences sexuelles</w:t>
      </w:r>
    </w:p>
    <w:p w14:paraId="71C7F127" w14:textId="77777777" w:rsidR="00575CDF" w:rsidRPr="00C801A6" w:rsidRDefault="00575CDF" w:rsidP="00575CDF">
      <w:pPr>
        <w:ind w:left="426"/>
        <w:rPr>
          <w:color w:val="auto"/>
        </w:rPr>
      </w:pPr>
      <w:r w:rsidRPr="00C801A6">
        <w:rPr>
          <w:color w:val="auto"/>
        </w:rPr>
        <w:t>Les violences sexuelles sont un ensemble d’actes et de comportements qui amènent la femme à subir des relations sexuelles contre sa volonté. Il s’agit de tout acte sexuel, tentative d’obtenir des faveurs sexuelles, commentaires ou avances sexuels non désirés, ou actes de trafic de la sexualité d’une personne, utilisant la coercition, la menace de sévices ou de recours à la force physique, par toute personne, quelle que soit sa relation avec la victime. On peut citer :</w:t>
      </w:r>
    </w:p>
    <w:p w14:paraId="1E7B5BDB" w14:textId="77777777" w:rsidR="00575CDF" w:rsidRPr="00C801A6" w:rsidRDefault="00575CDF" w:rsidP="00844538">
      <w:pPr>
        <w:pStyle w:val="ListParagraph"/>
        <w:numPr>
          <w:ilvl w:val="0"/>
          <w:numId w:val="64"/>
        </w:numPr>
        <w:spacing w:before="120" w:after="0" w:line="276" w:lineRule="auto"/>
        <w:ind w:left="851" w:hanging="425"/>
        <w:rPr>
          <w:color w:val="auto"/>
        </w:rPr>
      </w:pPr>
      <w:r w:rsidRPr="00C801A6">
        <w:rPr>
          <w:color w:val="auto"/>
        </w:rPr>
        <w:t>viol</w:t>
      </w:r>
    </w:p>
    <w:p w14:paraId="7D7FAF9B" w14:textId="77777777" w:rsidR="00575CDF" w:rsidRPr="00C801A6" w:rsidRDefault="00575CDF" w:rsidP="00844538">
      <w:pPr>
        <w:pStyle w:val="ListParagraph"/>
        <w:numPr>
          <w:ilvl w:val="0"/>
          <w:numId w:val="64"/>
        </w:numPr>
        <w:spacing w:before="120" w:after="0" w:line="276" w:lineRule="auto"/>
        <w:ind w:left="851" w:hanging="425"/>
        <w:rPr>
          <w:color w:val="auto"/>
        </w:rPr>
      </w:pPr>
      <w:r w:rsidRPr="00C801A6">
        <w:rPr>
          <w:color w:val="auto"/>
        </w:rPr>
        <w:t>inceste</w:t>
      </w:r>
    </w:p>
    <w:p w14:paraId="2680BF5A" w14:textId="77777777" w:rsidR="00575CDF" w:rsidRPr="00C801A6" w:rsidRDefault="00575CDF" w:rsidP="00844538">
      <w:pPr>
        <w:pStyle w:val="ListParagraph"/>
        <w:numPr>
          <w:ilvl w:val="0"/>
          <w:numId w:val="64"/>
        </w:numPr>
        <w:spacing w:before="120" w:after="0" w:line="276" w:lineRule="auto"/>
        <w:ind w:left="851" w:hanging="425"/>
        <w:rPr>
          <w:color w:val="auto"/>
        </w:rPr>
      </w:pPr>
      <w:r w:rsidRPr="00C801A6">
        <w:rPr>
          <w:color w:val="auto"/>
        </w:rPr>
        <w:lastRenderedPageBreak/>
        <w:t>pédophilie</w:t>
      </w:r>
    </w:p>
    <w:p w14:paraId="3439A4DB" w14:textId="77777777" w:rsidR="00575CDF" w:rsidRPr="00C801A6" w:rsidRDefault="00575CDF" w:rsidP="00844538">
      <w:pPr>
        <w:pStyle w:val="ListParagraph"/>
        <w:numPr>
          <w:ilvl w:val="0"/>
          <w:numId w:val="64"/>
        </w:numPr>
        <w:spacing w:before="120" w:after="0" w:line="276" w:lineRule="auto"/>
        <w:ind w:left="851" w:hanging="425"/>
        <w:rPr>
          <w:color w:val="auto"/>
        </w:rPr>
      </w:pPr>
      <w:r w:rsidRPr="00C801A6">
        <w:rPr>
          <w:color w:val="auto"/>
        </w:rPr>
        <w:t>agressions sexuelles</w:t>
      </w:r>
    </w:p>
    <w:p w14:paraId="22763223" w14:textId="77777777" w:rsidR="00575CDF" w:rsidRPr="00C801A6" w:rsidRDefault="00575CDF" w:rsidP="00844538">
      <w:pPr>
        <w:pStyle w:val="ListParagraph"/>
        <w:numPr>
          <w:ilvl w:val="0"/>
          <w:numId w:val="64"/>
        </w:numPr>
        <w:spacing w:before="120" w:after="0" w:line="276" w:lineRule="auto"/>
        <w:ind w:left="851" w:hanging="425"/>
        <w:rPr>
          <w:color w:val="auto"/>
        </w:rPr>
      </w:pPr>
      <w:r w:rsidRPr="00C801A6">
        <w:rPr>
          <w:color w:val="auto"/>
        </w:rPr>
        <w:t>harcèlement sexuel ;</w:t>
      </w:r>
    </w:p>
    <w:p w14:paraId="2B6E349E" w14:textId="77777777" w:rsidR="00575CDF" w:rsidRPr="00C801A6" w:rsidRDefault="00575CDF" w:rsidP="00844538">
      <w:pPr>
        <w:pStyle w:val="ListParagraph"/>
        <w:numPr>
          <w:ilvl w:val="0"/>
          <w:numId w:val="64"/>
        </w:numPr>
        <w:spacing w:before="120" w:after="0" w:line="276" w:lineRule="auto"/>
        <w:ind w:left="851" w:hanging="425"/>
        <w:rPr>
          <w:color w:val="auto"/>
        </w:rPr>
      </w:pPr>
      <w:r w:rsidRPr="00C801A6">
        <w:rPr>
          <w:color w:val="auto"/>
        </w:rPr>
        <w:t>relations sexuelles trop fréquentes, déshumanisantes ou épousant les allures d’un règlement de compte</w:t>
      </w:r>
    </w:p>
    <w:p w14:paraId="3DE56B50" w14:textId="77777777" w:rsidR="00575CDF" w:rsidRPr="00C801A6" w:rsidRDefault="00575CDF" w:rsidP="00844538">
      <w:pPr>
        <w:pStyle w:val="ListParagraph"/>
        <w:numPr>
          <w:ilvl w:val="0"/>
          <w:numId w:val="64"/>
        </w:numPr>
        <w:spacing w:before="120" w:after="0" w:line="276" w:lineRule="auto"/>
        <w:ind w:left="851" w:hanging="425"/>
        <w:rPr>
          <w:color w:val="auto"/>
        </w:rPr>
      </w:pPr>
      <w:r w:rsidRPr="00C801A6">
        <w:rPr>
          <w:color w:val="auto"/>
        </w:rPr>
        <w:t>transmission volontaire des IST ou VIH/SIDA</w:t>
      </w:r>
    </w:p>
    <w:p w14:paraId="2552B4B4" w14:textId="77777777" w:rsidR="00575CDF" w:rsidRPr="00C801A6" w:rsidRDefault="00575CDF" w:rsidP="00844538">
      <w:pPr>
        <w:pStyle w:val="ListParagraph"/>
        <w:numPr>
          <w:ilvl w:val="0"/>
          <w:numId w:val="64"/>
        </w:numPr>
        <w:spacing w:before="120" w:after="0" w:line="276" w:lineRule="auto"/>
        <w:ind w:left="851" w:hanging="425"/>
        <w:rPr>
          <w:color w:val="auto"/>
        </w:rPr>
      </w:pPr>
      <w:r w:rsidRPr="00C801A6">
        <w:rPr>
          <w:color w:val="auto"/>
        </w:rPr>
        <w:t>proxénétisme, etc.</w:t>
      </w:r>
    </w:p>
    <w:p w14:paraId="70EB32A8" w14:textId="77777777" w:rsidR="00575CDF" w:rsidRPr="00C801A6" w:rsidRDefault="00575CDF" w:rsidP="00844538">
      <w:pPr>
        <w:pStyle w:val="ListParagraph"/>
        <w:numPr>
          <w:ilvl w:val="0"/>
          <w:numId w:val="63"/>
        </w:numPr>
        <w:spacing w:before="120" w:after="0" w:line="276" w:lineRule="auto"/>
        <w:ind w:left="425" w:hanging="425"/>
        <w:contextualSpacing w:val="0"/>
        <w:rPr>
          <w:color w:val="auto"/>
        </w:rPr>
      </w:pPr>
      <w:r w:rsidRPr="00C801A6">
        <w:rPr>
          <w:color w:val="auto"/>
        </w:rPr>
        <w:t>Les violences liées à certaines pratiques culturelles.</w:t>
      </w:r>
    </w:p>
    <w:p w14:paraId="0A034BFF" w14:textId="77777777" w:rsidR="00575CDF" w:rsidRPr="00C801A6" w:rsidRDefault="00575CDF" w:rsidP="00575CDF">
      <w:pPr>
        <w:ind w:left="426"/>
        <w:rPr>
          <w:color w:val="auto"/>
        </w:rPr>
      </w:pPr>
      <w:r w:rsidRPr="00C801A6">
        <w:rPr>
          <w:color w:val="auto"/>
        </w:rPr>
        <w:t>Ce sont des violences liées à des pratiques coutumières ou religieuses :</w:t>
      </w:r>
    </w:p>
    <w:p w14:paraId="3B873DF1" w14:textId="77777777" w:rsidR="00575CDF" w:rsidRPr="00C801A6" w:rsidRDefault="00575CDF" w:rsidP="00844538">
      <w:pPr>
        <w:pStyle w:val="ListParagraph"/>
        <w:numPr>
          <w:ilvl w:val="0"/>
          <w:numId w:val="64"/>
        </w:numPr>
        <w:spacing w:before="120" w:after="0" w:line="276" w:lineRule="auto"/>
        <w:ind w:left="851" w:hanging="425"/>
        <w:rPr>
          <w:color w:val="auto"/>
        </w:rPr>
      </w:pPr>
      <w:r w:rsidRPr="00C801A6">
        <w:rPr>
          <w:color w:val="auto"/>
        </w:rPr>
        <w:t>exigence abusive de la dot favorisant le concubinage et sa cohorte de problèmes ;</w:t>
      </w:r>
    </w:p>
    <w:p w14:paraId="4E602B41" w14:textId="77777777" w:rsidR="00575CDF" w:rsidRPr="00C801A6" w:rsidRDefault="00575CDF" w:rsidP="00844538">
      <w:pPr>
        <w:pStyle w:val="ListParagraph"/>
        <w:numPr>
          <w:ilvl w:val="0"/>
          <w:numId w:val="64"/>
        </w:numPr>
        <w:spacing w:before="120" w:after="0" w:line="276" w:lineRule="auto"/>
        <w:ind w:left="851" w:hanging="425"/>
        <w:rPr>
          <w:color w:val="auto"/>
        </w:rPr>
      </w:pPr>
      <w:r w:rsidRPr="00C801A6">
        <w:rPr>
          <w:color w:val="auto"/>
        </w:rPr>
        <w:t>mariages précoces ou forcés</w:t>
      </w:r>
    </w:p>
    <w:p w14:paraId="5A683B3F" w14:textId="77777777" w:rsidR="00575CDF" w:rsidRPr="00C801A6" w:rsidRDefault="00575CDF" w:rsidP="00844538">
      <w:pPr>
        <w:pStyle w:val="ListParagraph"/>
        <w:numPr>
          <w:ilvl w:val="0"/>
          <w:numId w:val="64"/>
        </w:numPr>
        <w:spacing w:before="120" w:after="0" w:line="276" w:lineRule="auto"/>
        <w:ind w:left="851" w:hanging="425"/>
        <w:rPr>
          <w:color w:val="auto"/>
        </w:rPr>
      </w:pPr>
      <w:r w:rsidRPr="00C801A6">
        <w:rPr>
          <w:color w:val="auto"/>
        </w:rPr>
        <w:t>lévirat</w:t>
      </w:r>
    </w:p>
    <w:p w14:paraId="6BB5C989" w14:textId="77777777" w:rsidR="00575CDF" w:rsidRPr="00C801A6" w:rsidRDefault="00575CDF" w:rsidP="00844538">
      <w:pPr>
        <w:pStyle w:val="ListParagraph"/>
        <w:numPr>
          <w:ilvl w:val="0"/>
          <w:numId w:val="64"/>
        </w:numPr>
        <w:spacing w:before="120" w:after="0" w:line="276" w:lineRule="auto"/>
        <w:ind w:left="851" w:hanging="425"/>
        <w:rPr>
          <w:color w:val="auto"/>
        </w:rPr>
      </w:pPr>
      <w:r w:rsidRPr="00C801A6">
        <w:rPr>
          <w:color w:val="auto"/>
        </w:rPr>
        <w:t>rites de veuvage dégradants</w:t>
      </w:r>
    </w:p>
    <w:p w14:paraId="38016AF5" w14:textId="77777777" w:rsidR="00575CDF" w:rsidRPr="00C801A6" w:rsidRDefault="00575CDF" w:rsidP="00844538">
      <w:pPr>
        <w:pStyle w:val="ListParagraph"/>
        <w:numPr>
          <w:ilvl w:val="0"/>
          <w:numId w:val="64"/>
        </w:numPr>
        <w:spacing w:before="120" w:after="0" w:line="276" w:lineRule="auto"/>
        <w:ind w:left="851" w:hanging="425"/>
        <w:rPr>
          <w:color w:val="auto"/>
        </w:rPr>
      </w:pPr>
      <w:r w:rsidRPr="00C801A6">
        <w:rPr>
          <w:color w:val="auto"/>
        </w:rPr>
        <w:t>polygamie.</w:t>
      </w:r>
    </w:p>
    <w:p w14:paraId="2970F8EB" w14:textId="77777777" w:rsidR="00575CDF" w:rsidRPr="00C801A6" w:rsidRDefault="00575CDF" w:rsidP="00844538">
      <w:pPr>
        <w:pStyle w:val="ListParagraph"/>
        <w:numPr>
          <w:ilvl w:val="0"/>
          <w:numId w:val="63"/>
        </w:numPr>
        <w:spacing w:before="120" w:line="276" w:lineRule="auto"/>
        <w:ind w:left="425" w:hanging="425"/>
        <w:contextualSpacing w:val="0"/>
        <w:rPr>
          <w:color w:val="auto"/>
        </w:rPr>
      </w:pPr>
      <w:r w:rsidRPr="00C801A6">
        <w:rPr>
          <w:color w:val="auto"/>
        </w:rPr>
        <w:t>Violences économiques</w:t>
      </w:r>
    </w:p>
    <w:p w14:paraId="6E0A26E3" w14:textId="77777777" w:rsidR="00575CDF" w:rsidRPr="00C801A6" w:rsidRDefault="00575CDF" w:rsidP="00575CDF">
      <w:pPr>
        <w:ind w:left="426"/>
        <w:rPr>
          <w:color w:val="auto"/>
        </w:rPr>
      </w:pPr>
      <w:r w:rsidRPr="00C801A6">
        <w:rPr>
          <w:color w:val="auto"/>
        </w:rPr>
        <w:t>Il s’agit d’un ensemble de faits et comportements qui empêchent l’épanouissement économique de la femme parmi lesquels on peut citer :</w:t>
      </w:r>
    </w:p>
    <w:p w14:paraId="1682B24D" w14:textId="77777777" w:rsidR="00575CDF" w:rsidRPr="00C801A6" w:rsidRDefault="00575CDF" w:rsidP="00844538">
      <w:pPr>
        <w:pStyle w:val="ListParagraph"/>
        <w:numPr>
          <w:ilvl w:val="0"/>
          <w:numId w:val="64"/>
        </w:numPr>
        <w:spacing w:before="120" w:after="0" w:line="276" w:lineRule="auto"/>
        <w:ind w:left="851" w:hanging="425"/>
        <w:rPr>
          <w:color w:val="auto"/>
        </w:rPr>
      </w:pPr>
      <w:r w:rsidRPr="00C801A6">
        <w:rPr>
          <w:color w:val="auto"/>
        </w:rPr>
        <w:t>L’interdiction d’exercer une profession ou une activité économique</w:t>
      </w:r>
    </w:p>
    <w:p w14:paraId="2EFEF3BD" w14:textId="77777777" w:rsidR="00575CDF" w:rsidRPr="00C801A6" w:rsidRDefault="00575CDF" w:rsidP="00844538">
      <w:pPr>
        <w:pStyle w:val="ListParagraph"/>
        <w:numPr>
          <w:ilvl w:val="0"/>
          <w:numId w:val="64"/>
        </w:numPr>
        <w:spacing w:before="120" w:after="0" w:line="276" w:lineRule="auto"/>
        <w:ind w:left="851" w:hanging="425"/>
        <w:rPr>
          <w:color w:val="auto"/>
        </w:rPr>
      </w:pPr>
      <w:r w:rsidRPr="00C801A6">
        <w:rPr>
          <w:color w:val="auto"/>
        </w:rPr>
        <w:t>Une division sexuelle du travail domestique pénalisant les filles</w:t>
      </w:r>
    </w:p>
    <w:p w14:paraId="05D9633E" w14:textId="77777777" w:rsidR="00575CDF" w:rsidRPr="00C801A6" w:rsidRDefault="00575CDF" w:rsidP="00844538">
      <w:pPr>
        <w:pStyle w:val="ListParagraph"/>
        <w:numPr>
          <w:ilvl w:val="0"/>
          <w:numId w:val="64"/>
        </w:numPr>
        <w:spacing w:before="120" w:after="0" w:line="276" w:lineRule="auto"/>
        <w:ind w:left="851" w:hanging="425"/>
        <w:rPr>
          <w:color w:val="auto"/>
        </w:rPr>
      </w:pPr>
      <w:r w:rsidRPr="00C801A6">
        <w:rPr>
          <w:color w:val="auto"/>
        </w:rPr>
        <w:t>Des maternités accablantes et non négociées</w:t>
      </w:r>
    </w:p>
    <w:p w14:paraId="7FC1033B" w14:textId="77777777" w:rsidR="00575CDF" w:rsidRPr="00C801A6" w:rsidRDefault="00575CDF" w:rsidP="00844538">
      <w:pPr>
        <w:pStyle w:val="ListParagraph"/>
        <w:numPr>
          <w:ilvl w:val="0"/>
          <w:numId w:val="64"/>
        </w:numPr>
        <w:spacing w:before="120" w:after="0" w:line="276" w:lineRule="auto"/>
        <w:ind w:left="851" w:hanging="425"/>
        <w:rPr>
          <w:color w:val="auto"/>
        </w:rPr>
      </w:pPr>
      <w:r w:rsidRPr="00C801A6">
        <w:rPr>
          <w:color w:val="auto"/>
        </w:rPr>
        <w:t>La confiscation des revenus des femmes par le mari ou la belle-famille</w:t>
      </w:r>
    </w:p>
    <w:p w14:paraId="2AA5FA1A" w14:textId="77777777" w:rsidR="00575CDF" w:rsidRPr="00C801A6" w:rsidRDefault="00575CDF" w:rsidP="00844538">
      <w:pPr>
        <w:pStyle w:val="ListParagraph"/>
        <w:numPr>
          <w:ilvl w:val="0"/>
          <w:numId w:val="64"/>
        </w:numPr>
        <w:spacing w:before="120" w:after="0" w:line="276" w:lineRule="auto"/>
        <w:ind w:left="851" w:hanging="425"/>
        <w:rPr>
          <w:color w:val="auto"/>
        </w:rPr>
      </w:pPr>
      <w:r w:rsidRPr="00C801A6">
        <w:rPr>
          <w:color w:val="auto"/>
        </w:rPr>
        <w:t>L’exploitation du travail des jeunes filles dans les ménages</w:t>
      </w:r>
    </w:p>
    <w:p w14:paraId="3C78811A" w14:textId="77777777" w:rsidR="00575CDF" w:rsidRPr="00C801A6" w:rsidRDefault="00575CDF" w:rsidP="00844538">
      <w:pPr>
        <w:pStyle w:val="ListParagraph"/>
        <w:numPr>
          <w:ilvl w:val="0"/>
          <w:numId w:val="64"/>
        </w:numPr>
        <w:spacing w:before="120" w:after="0" w:line="276" w:lineRule="auto"/>
        <w:ind w:left="851" w:hanging="425"/>
        <w:rPr>
          <w:color w:val="auto"/>
        </w:rPr>
      </w:pPr>
      <w:r w:rsidRPr="00C801A6">
        <w:rPr>
          <w:color w:val="auto"/>
        </w:rPr>
        <w:t>La prostitution forcée</w:t>
      </w:r>
    </w:p>
    <w:p w14:paraId="75FD8B1F" w14:textId="77777777" w:rsidR="00575CDF" w:rsidRPr="00C801A6" w:rsidRDefault="00575CDF" w:rsidP="00844538">
      <w:pPr>
        <w:pStyle w:val="ListParagraph"/>
        <w:numPr>
          <w:ilvl w:val="0"/>
          <w:numId w:val="64"/>
        </w:numPr>
        <w:spacing w:before="120" w:line="276" w:lineRule="auto"/>
        <w:ind w:left="850" w:hanging="425"/>
        <w:rPr>
          <w:color w:val="auto"/>
        </w:rPr>
      </w:pPr>
      <w:r w:rsidRPr="00C801A6">
        <w:rPr>
          <w:color w:val="auto"/>
        </w:rPr>
        <w:t>Les enlèvements criminels, etc.</w:t>
      </w:r>
    </w:p>
    <w:p w14:paraId="1ACF2BCF" w14:textId="3DCAAFC7" w:rsidR="00575CDF" w:rsidRPr="00C801A6" w:rsidRDefault="00575CDF" w:rsidP="00575CDF">
      <w:pPr>
        <w:rPr>
          <w:color w:val="auto"/>
        </w:rPr>
      </w:pPr>
      <w:r w:rsidRPr="00C801A6">
        <w:rPr>
          <w:color w:val="auto"/>
        </w:rPr>
        <w:t xml:space="preserve">Les termes « victime » et « survivant(e) » peuvent être utilisés de manière interchangeable. Le terme « victime » est souvent utilisé en droit et en médecine. Le terme « survivant(e) » est généralement préféré par les secteurs sociaux et psychologiques en raison de la résilience qu'il implique (UNFPA, 2008). D’une manière générale, les actes </w:t>
      </w:r>
      <w:r w:rsidR="006F38A3">
        <w:rPr>
          <w:color w:val="auto"/>
        </w:rPr>
        <w:t xml:space="preserve">EAS-HS </w:t>
      </w:r>
      <w:r w:rsidRPr="00C801A6">
        <w:rPr>
          <w:color w:val="auto"/>
        </w:rPr>
        <w:t xml:space="preserve"> peuvent concerner des femmes, des jeunes filles et même des jeunes garçons.</w:t>
      </w:r>
    </w:p>
    <w:p w14:paraId="67FAF8A3" w14:textId="05C7602B" w:rsidR="00575CDF" w:rsidRPr="00C801A6" w:rsidRDefault="00575CDF" w:rsidP="00C65572">
      <w:pPr>
        <w:pStyle w:val="Heading3"/>
      </w:pPr>
      <w:bookmarkStart w:id="803" w:name="_Toc71794994"/>
      <w:bookmarkStart w:id="804" w:name="_Toc106320436"/>
      <w:bookmarkStart w:id="805" w:name="_Toc230426091"/>
      <w:r w:rsidRPr="00C801A6">
        <w:t xml:space="preserve">Plan d’action </w:t>
      </w:r>
      <w:r w:rsidR="006F38A3">
        <w:t xml:space="preserve">EAS-HS </w:t>
      </w:r>
      <w:r w:rsidRPr="00C801A6">
        <w:t xml:space="preserve"> pour le Projet</w:t>
      </w:r>
      <w:bookmarkEnd w:id="803"/>
      <w:bookmarkEnd w:id="804"/>
      <w:bookmarkEnd w:id="805"/>
    </w:p>
    <w:p w14:paraId="22216EB7" w14:textId="13E5E86B" w:rsidR="00575CDF" w:rsidRPr="00C801A6" w:rsidRDefault="00575CDF" w:rsidP="003042DB">
      <w:pPr>
        <w:pStyle w:val="Heading4"/>
        <w:rPr>
          <w:color w:val="auto"/>
        </w:rPr>
      </w:pPr>
      <w:bookmarkStart w:id="806" w:name="_Toc71794995"/>
      <w:bookmarkStart w:id="807" w:name="_Toc230298820"/>
      <w:r w:rsidRPr="00C801A6">
        <w:rPr>
          <w:color w:val="auto"/>
        </w:rPr>
        <w:t>Objectifs</w:t>
      </w:r>
      <w:bookmarkEnd w:id="806"/>
      <w:bookmarkEnd w:id="807"/>
    </w:p>
    <w:p w14:paraId="77A132BA" w14:textId="383B10E9" w:rsidR="00575CDF" w:rsidRPr="00C801A6" w:rsidRDefault="00575CDF" w:rsidP="00575CDF">
      <w:pPr>
        <w:rPr>
          <w:color w:val="auto"/>
        </w:rPr>
      </w:pPr>
      <w:r w:rsidRPr="00C801A6">
        <w:rPr>
          <w:color w:val="auto"/>
          <w:u w:val="single"/>
        </w:rPr>
        <w:t>Objectif principal :</w:t>
      </w:r>
      <w:r w:rsidRPr="00C801A6">
        <w:rPr>
          <w:color w:val="auto"/>
        </w:rPr>
        <w:t xml:space="preserve"> Tout mettre en œuvre pour que les chantiers du Projet ne soient pas des foyers de recrudescence d’actes </w:t>
      </w:r>
      <w:r w:rsidR="006F38A3">
        <w:rPr>
          <w:color w:val="auto"/>
        </w:rPr>
        <w:t xml:space="preserve">EAS-HS </w:t>
      </w:r>
      <w:r w:rsidRPr="00C801A6">
        <w:rPr>
          <w:color w:val="auto"/>
        </w:rPr>
        <w:t>.</w:t>
      </w:r>
    </w:p>
    <w:p w14:paraId="7E23F803" w14:textId="77777777" w:rsidR="00575CDF" w:rsidRPr="00C801A6" w:rsidRDefault="00575CDF" w:rsidP="00575CDF">
      <w:pPr>
        <w:rPr>
          <w:color w:val="auto"/>
          <w:u w:val="single"/>
        </w:rPr>
      </w:pPr>
      <w:r w:rsidRPr="00C801A6">
        <w:rPr>
          <w:color w:val="auto"/>
          <w:u w:val="single"/>
        </w:rPr>
        <w:t>Objectifs spécifiques</w:t>
      </w:r>
    </w:p>
    <w:p w14:paraId="44EE8167" w14:textId="77777777" w:rsidR="00575CDF" w:rsidRPr="00C801A6" w:rsidRDefault="00575CDF" w:rsidP="00575CDF">
      <w:pPr>
        <w:rPr>
          <w:color w:val="auto"/>
        </w:rPr>
      </w:pPr>
      <w:r w:rsidRPr="00C801A6">
        <w:rPr>
          <w:color w:val="auto"/>
        </w:rPr>
        <w:t>Dans les chantiers du Projet, les actions auront pour objectifs spécifiques de :</w:t>
      </w:r>
    </w:p>
    <w:p w14:paraId="0CE71F11" w14:textId="448798CC" w:rsidR="00575CDF" w:rsidRPr="00C801A6" w:rsidRDefault="00575CDF" w:rsidP="00844538">
      <w:pPr>
        <w:pStyle w:val="ListParagraph"/>
        <w:numPr>
          <w:ilvl w:val="0"/>
          <w:numId w:val="65"/>
        </w:numPr>
        <w:spacing w:before="120" w:after="0" w:line="276" w:lineRule="auto"/>
        <w:ind w:left="993" w:hanging="426"/>
        <w:rPr>
          <w:color w:val="auto"/>
        </w:rPr>
      </w:pPr>
      <w:r w:rsidRPr="00C801A6">
        <w:rPr>
          <w:color w:val="auto"/>
        </w:rPr>
        <w:t xml:space="preserve">Eviter toutes formes de </w:t>
      </w:r>
      <w:r w:rsidR="006F38A3">
        <w:rPr>
          <w:color w:val="auto"/>
        </w:rPr>
        <w:t xml:space="preserve">EAS-HS </w:t>
      </w:r>
      <w:r w:rsidRPr="00C801A6">
        <w:rPr>
          <w:color w:val="auto"/>
        </w:rPr>
        <w:t xml:space="preserve"> durant la mise en œuvre des activités du Projet :</w:t>
      </w:r>
    </w:p>
    <w:p w14:paraId="199F9011" w14:textId="77777777" w:rsidR="00575CDF" w:rsidRPr="00C801A6" w:rsidRDefault="00575CDF" w:rsidP="00844538">
      <w:pPr>
        <w:pStyle w:val="ListParagraph"/>
        <w:numPr>
          <w:ilvl w:val="0"/>
          <w:numId w:val="63"/>
        </w:numPr>
        <w:spacing w:before="120" w:after="0" w:line="276" w:lineRule="auto"/>
        <w:ind w:left="1418" w:hanging="426"/>
        <w:contextualSpacing w:val="0"/>
        <w:rPr>
          <w:color w:val="auto"/>
        </w:rPr>
      </w:pPr>
      <w:r w:rsidRPr="00C801A6">
        <w:rPr>
          <w:color w:val="auto"/>
        </w:rPr>
        <w:t>Organiser des séances de sensibilisation</w:t>
      </w:r>
    </w:p>
    <w:p w14:paraId="19669B31" w14:textId="3F7B9C72" w:rsidR="00575CDF" w:rsidRPr="00C801A6" w:rsidRDefault="00575CDF" w:rsidP="00844538">
      <w:pPr>
        <w:pStyle w:val="ListParagraph"/>
        <w:numPr>
          <w:ilvl w:val="0"/>
          <w:numId w:val="63"/>
        </w:numPr>
        <w:spacing w:before="120" w:after="0" w:line="276" w:lineRule="auto"/>
        <w:ind w:left="1418" w:hanging="426"/>
        <w:contextualSpacing w:val="0"/>
        <w:rPr>
          <w:color w:val="auto"/>
        </w:rPr>
      </w:pPr>
      <w:r w:rsidRPr="00C801A6">
        <w:rPr>
          <w:color w:val="auto"/>
        </w:rPr>
        <w:lastRenderedPageBreak/>
        <w:t xml:space="preserve">Coupler les séances de sensibilisation avec l’information des riverains sur les mécanismes mis en place (accompagnements divers, accompagnement juridique au cas où la victime souhaite porter plainte, mécanisme de gestion des plaintes </w:t>
      </w:r>
      <w:r w:rsidR="006F38A3">
        <w:rPr>
          <w:color w:val="auto"/>
        </w:rPr>
        <w:t xml:space="preserve">EAS-HS </w:t>
      </w:r>
      <w:r w:rsidRPr="00C801A6">
        <w:rPr>
          <w:color w:val="auto"/>
        </w:rPr>
        <w:t>)</w:t>
      </w:r>
    </w:p>
    <w:p w14:paraId="105C776D" w14:textId="77777777" w:rsidR="00575CDF" w:rsidRPr="00C801A6" w:rsidRDefault="00575CDF" w:rsidP="00844538">
      <w:pPr>
        <w:pStyle w:val="ListParagraph"/>
        <w:numPr>
          <w:ilvl w:val="0"/>
          <w:numId w:val="65"/>
        </w:numPr>
        <w:spacing w:before="120" w:after="0" w:line="276" w:lineRule="auto"/>
        <w:ind w:left="992" w:hanging="425"/>
        <w:contextualSpacing w:val="0"/>
        <w:rPr>
          <w:color w:val="auto"/>
        </w:rPr>
      </w:pPr>
      <w:r w:rsidRPr="00C801A6">
        <w:rPr>
          <w:color w:val="auto"/>
        </w:rPr>
        <w:t>S’assurer que d’éventuels cas qui apparaissent soient traités et documentés.</w:t>
      </w:r>
    </w:p>
    <w:p w14:paraId="465E5528" w14:textId="665ECAA0" w:rsidR="00575CDF" w:rsidRPr="00C801A6" w:rsidRDefault="00575CDF" w:rsidP="00844538">
      <w:pPr>
        <w:pStyle w:val="ListParagraph"/>
        <w:numPr>
          <w:ilvl w:val="0"/>
          <w:numId w:val="65"/>
        </w:numPr>
        <w:spacing w:before="120" w:after="0" w:line="276" w:lineRule="auto"/>
        <w:ind w:left="992" w:hanging="425"/>
        <w:contextualSpacing w:val="0"/>
        <w:rPr>
          <w:color w:val="auto"/>
        </w:rPr>
      </w:pPr>
      <w:r w:rsidRPr="00C801A6">
        <w:rPr>
          <w:color w:val="auto"/>
        </w:rPr>
        <w:t xml:space="preserve">Contribuer à la pérennisation des activités de lutte et de prévention des </w:t>
      </w:r>
      <w:r w:rsidR="006F38A3">
        <w:rPr>
          <w:color w:val="auto"/>
        </w:rPr>
        <w:t xml:space="preserve">EAS-HS </w:t>
      </w:r>
      <w:r w:rsidRPr="00C801A6">
        <w:rPr>
          <w:color w:val="auto"/>
        </w:rPr>
        <w:t>.</w:t>
      </w:r>
    </w:p>
    <w:p w14:paraId="2BF5C117" w14:textId="77777777" w:rsidR="00575CDF" w:rsidRPr="00C801A6" w:rsidRDefault="00575CDF" w:rsidP="003042DB">
      <w:pPr>
        <w:pStyle w:val="Heading4"/>
        <w:rPr>
          <w:color w:val="auto"/>
        </w:rPr>
      </w:pPr>
      <w:bookmarkStart w:id="808" w:name="_Toc71794996"/>
      <w:bookmarkStart w:id="809" w:name="_Toc230298821"/>
      <w:r w:rsidRPr="00C801A6">
        <w:rPr>
          <w:color w:val="auto"/>
        </w:rPr>
        <w:t>Plan d’actions</w:t>
      </w:r>
      <w:bookmarkEnd w:id="808"/>
      <w:bookmarkEnd w:id="809"/>
    </w:p>
    <w:p w14:paraId="13860A29" w14:textId="043EAAB2" w:rsidR="00E21E41" w:rsidRDefault="00E21E41" w:rsidP="00E21E41">
      <w:r>
        <w:t xml:space="preserve">Un Plan de prévention et de lutte contre les actes </w:t>
      </w:r>
      <w:r w:rsidR="006F38A3">
        <w:t xml:space="preserve">EAS-HS </w:t>
      </w:r>
      <w:r>
        <w:t xml:space="preserve"> a été préparé dans un document séparé. Ledit Plan a été conçu pour être conforme aux dispositions de la législation nationale et aux exigences des NES. Le budget prévu est le suivant :</w:t>
      </w:r>
    </w:p>
    <w:p w14:paraId="1D2805CF" w14:textId="493FA9D3" w:rsidR="00575CDF" w:rsidRPr="00C801A6" w:rsidRDefault="00E21E41" w:rsidP="00E21E41">
      <w:pPr>
        <w:pStyle w:val="Caption"/>
        <w:rPr>
          <w:color w:val="auto"/>
        </w:rPr>
      </w:pPr>
      <w:bookmarkStart w:id="810" w:name="_Toc230427751"/>
      <w:r>
        <w:t xml:space="preserve">Tableau </w:t>
      </w:r>
      <w:r w:rsidR="00E44887">
        <w:fldChar w:fldCharType="begin"/>
      </w:r>
      <w:r w:rsidR="00E44887">
        <w:instrText xml:space="preserve"> SEQ Tableau \* ARABIC </w:instrText>
      </w:r>
      <w:r w:rsidR="00E44887">
        <w:fldChar w:fldCharType="separate"/>
      </w:r>
      <w:r w:rsidR="00253F1A">
        <w:rPr>
          <w:noProof/>
        </w:rPr>
        <w:t>31</w:t>
      </w:r>
      <w:r w:rsidR="00E44887">
        <w:rPr>
          <w:noProof/>
        </w:rPr>
        <w:fldChar w:fldCharType="end"/>
      </w:r>
      <w:r>
        <w:rPr>
          <w:color w:val="auto"/>
        </w:rPr>
        <w:t xml:space="preserve"> </w:t>
      </w:r>
      <w:r w:rsidR="00575CDF" w:rsidRPr="00C801A6">
        <w:rPr>
          <w:color w:val="auto"/>
        </w:rPr>
        <w:t xml:space="preserve">: Budget pour le Plan d’actions </w:t>
      </w:r>
      <w:r w:rsidR="006F38A3">
        <w:rPr>
          <w:color w:val="auto"/>
        </w:rPr>
        <w:t>EAS-HS</w:t>
      </w:r>
      <w:bookmarkEnd w:id="810"/>
      <w:r w:rsidR="006F38A3">
        <w:rPr>
          <w:color w:val="auto"/>
        </w:rPr>
        <w:t xml:space="preserve"> </w:t>
      </w:r>
    </w:p>
    <w:tbl>
      <w:tblPr>
        <w:tblStyle w:val="Trameclaire-Accent51"/>
        <w:tblW w:w="92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4503"/>
        <w:gridCol w:w="1352"/>
        <w:gridCol w:w="1276"/>
        <w:gridCol w:w="2126"/>
      </w:tblGrid>
      <w:tr w:rsidR="00C801A6" w:rsidRPr="00C801A6" w14:paraId="40CA9938" w14:textId="77777777" w:rsidTr="00E21E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tcBorders>
              <w:top w:val="none" w:sz="0" w:space="0" w:color="auto"/>
              <w:left w:val="none" w:sz="0" w:space="0" w:color="auto"/>
              <w:bottom w:val="none" w:sz="0" w:space="0" w:color="auto"/>
              <w:right w:val="none" w:sz="0" w:space="0" w:color="auto"/>
            </w:tcBorders>
            <w:shd w:val="clear" w:color="auto" w:fill="E2EFD9" w:themeFill="accent6" w:themeFillTint="33"/>
          </w:tcPr>
          <w:p w14:paraId="23738C60" w14:textId="77777777" w:rsidR="00575CDF" w:rsidRPr="00C801A6" w:rsidRDefault="00575CDF" w:rsidP="00347FDB">
            <w:pPr>
              <w:spacing w:before="80" w:after="80"/>
              <w:rPr>
                <w:color w:val="auto"/>
                <w:szCs w:val="24"/>
              </w:rPr>
            </w:pPr>
            <w:r w:rsidRPr="00C801A6">
              <w:rPr>
                <w:color w:val="auto"/>
                <w:szCs w:val="24"/>
              </w:rPr>
              <w:t>Libellé</w:t>
            </w:r>
          </w:p>
        </w:tc>
        <w:tc>
          <w:tcPr>
            <w:tcW w:w="1352" w:type="dxa"/>
            <w:tcBorders>
              <w:top w:val="none" w:sz="0" w:space="0" w:color="auto"/>
              <w:left w:val="none" w:sz="0" w:space="0" w:color="auto"/>
              <w:bottom w:val="none" w:sz="0" w:space="0" w:color="auto"/>
              <w:right w:val="none" w:sz="0" w:space="0" w:color="auto"/>
            </w:tcBorders>
            <w:shd w:val="clear" w:color="auto" w:fill="E2EFD9" w:themeFill="accent6" w:themeFillTint="33"/>
          </w:tcPr>
          <w:p w14:paraId="22DCFEDE" w14:textId="77777777" w:rsidR="00575CDF" w:rsidRPr="00C801A6" w:rsidRDefault="00575CDF" w:rsidP="00347FDB">
            <w:pPr>
              <w:spacing w:before="80" w:after="80"/>
              <w:jc w:val="center"/>
              <w:cnfStyle w:val="100000000000" w:firstRow="1" w:lastRow="0" w:firstColumn="0" w:lastColumn="0" w:oddVBand="0" w:evenVBand="0" w:oddHBand="0" w:evenHBand="0" w:firstRowFirstColumn="0" w:firstRowLastColumn="0" w:lastRowFirstColumn="0" w:lastRowLastColumn="0"/>
              <w:rPr>
                <w:color w:val="auto"/>
                <w:szCs w:val="24"/>
              </w:rPr>
            </w:pPr>
            <w:r w:rsidRPr="00C801A6">
              <w:rPr>
                <w:color w:val="auto"/>
                <w:szCs w:val="24"/>
              </w:rPr>
              <w:t>PU (USD)</w:t>
            </w:r>
          </w:p>
        </w:tc>
        <w:tc>
          <w:tcPr>
            <w:tcW w:w="1276" w:type="dxa"/>
            <w:tcBorders>
              <w:top w:val="none" w:sz="0" w:space="0" w:color="auto"/>
              <w:left w:val="none" w:sz="0" w:space="0" w:color="auto"/>
              <w:bottom w:val="none" w:sz="0" w:space="0" w:color="auto"/>
              <w:right w:val="none" w:sz="0" w:space="0" w:color="auto"/>
            </w:tcBorders>
            <w:shd w:val="clear" w:color="auto" w:fill="E2EFD9" w:themeFill="accent6" w:themeFillTint="33"/>
          </w:tcPr>
          <w:p w14:paraId="132A42C6" w14:textId="77777777" w:rsidR="00575CDF" w:rsidRPr="00C801A6" w:rsidRDefault="00575CDF" w:rsidP="00347FDB">
            <w:pPr>
              <w:spacing w:before="80" w:after="80"/>
              <w:jc w:val="center"/>
              <w:cnfStyle w:val="100000000000" w:firstRow="1" w:lastRow="0" w:firstColumn="0" w:lastColumn="0" w:oddVBand="0" w:evenVBand="0" w:oddHBand="0" w:evenHBand="0" w:firstRowFirstColumn="0" w:firstRowLastColumn="0" w:lastRowFirstColumn="0" w:lastRowLastColumn="0"/>
              <w:rPr>
                <w:color w:val="auto"/>
                <w:szCs w:val="24"/>
              </w:rPr>
            </w:pPr>
            <w:r w:rsidRPr="00C801A6">
              <w:rPr>
                <w:color w:val="auto"/>
                <w:szCs w:val="24"/>
              </w:rPr>
              <w:t>Q</w:t>
            </w:r>
          </w:p>
        </w:tc>
        <w:tc>
          <w:tcPr>
            <w:tcW w:w="2126" w:type="dxa"/>
            <w:tcBorders>
              <w:top w:val="none" w:sz="0" w:space="0" w:color="auto"/>
              <w:left w:val="none" w:sz="0" w:space="0" w:color="auto"/>
              <w:bottom w:val="none" w:sz="0" w:space="0" w:color="auto"/>
              <w:right w:val="none" w:sz="0" w:space="0" w:color="auto"/>
            </w:tcBorders>
            <w:shd w:val="clear" w:color="auto" w:fill="E2EFD9" w:themeFill="accent6" w:themeFillTint="33"/>
          </w:tcPr>
          <w:p w14:paraId="57505B47" w14:textId="77777777" w:rsidR="00575CDF" w:rsidRPr="00C801A6" w:rsidRDefault="00575CDF" w:rsidP="00347FDB">
            <w:pPr>
              <w:spacing w:before="80" w:after="80"/>
              <w:jc w:val="center"/>
              <w:cnfStyle w:val="100000000000" w:firstRow="1" w:lastRow="0" w:firstColumn="0" w:lastColumn="0" w:oddVBand="0" w:evenVBand="0" w:oddHBand="0" w:evenHBand="0" w:firstRowFirstColumn="0" w:firstRowLastColumn="0" w:lastRowFirstColumn="0" w:lastRowLastColumn="0"/>
              <w:rPr>
                <w:color w:val="auto"/>
                <w:szCs w:val="24"/>
              </w:rPr>
            </w:pPr>
            <w:r w:rsidRPr="00C801A6">
              <w:rPr>
                <w:color w:val="auto"/>
                <w:szCs w:val="24"/>
              </w:rPr>
              <w:t>Montant (USD)</w:t>
            </w:r>
          </w:p>
        </w:tc>
      </w:tr>
      <w:tr w:rsidR="00C801A6" w:rsidRPr="00C801A6" w14:paraId="535F0743" w14:textId="77777777" w:rsidTr="00E21E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tcBorders>
              <w:left w:val="none" w:sz="0" w:space="0" w:color="auto"/>
              <w:right w:val="none" w:sz="0" w:space="0" w:color="auto"/>
            </w:tcBorders>
            <w:shd w:val="clear" w:color="auto" w:fill="FFFFFF" w:themeFill="background1"/>
          </w:tcPr>
          <w:p w14:paraId="3764DECC" w14:textId="77777777" w:rsidR="00575CDF" w:rsidRPr="00C801A6" w:rsidRDefault="00575CDF" w:rsidP="00347FDB">
            <w:pPr>
              <w:spacing w:before="80" w:after="80"/>
              <w:rPr>
                <w:b w:val="0"/>
                <w:color w:val="auto"/>
                <w:szCs w:val="24"/>
              </w:rPr>
            </w:pPr>
            <w:r w:rsidRPr="00C801A6">
              <w:rPr>
                <w:b w:val="0"/>
                <w:color w:val="auto"/>
                <w:szCs w:val="24"/>
              </w:rPr>
              <w:t>Edition du Plan d’actions</w:t>
            </w:r>
          </w:p>
        </w:tc>
        <w:tc>
          <w:tcPr>
            <w:tcW w:w="1352" w:type="dxa"/>
            <w:tcBorders>
              <w:left w:val="none" w:sz="0" w:space="0" w:color="auto"/>
              <w:right w:val="none" w:sz="0" w:space="0" w:color="auto"/>
            </w:tcBorders>
            <w:shd w:val="clear" w:color="auto" w:fill="FFFFFF" w:themeFill="background1"/>
          </w:tcPr>
          <w:p w14:paraId="33C40FB4" w14:textId="77777777" w:rsidR="00575CDF" w:rsidRPr="00C801A6" w:rsidRDefault="00575CDF" w:rsidP="00347FDB">
            <w:pPr>
              <w:spacing w:before="80" w:after="80"/>
              <w:jc w:val="right"/>
              <w:cnfStyle w:val="000000100000" w:firstRow="0" w:lastRow="0" w:firstColumn="0" w:lastColumn="0" w:oddVBand="0" w:evenVBand="0" w:oddHBand="1" w:evenHBand="0" w:firstRowFirstColumn="0" w:firstRowLastColumn="0" w:lastRowFirstColumn="0" w:lastRowLastColumn="0"/>
              <w:rPr>
                <w:color w:val="auto"/>
                <w:szCs w:val="24"/>
              </w:rPr>
            </w:pPr>
            <w:r w:rsidRPr="00C801A6">
              <w:rPr>
                <w:color w:val="auto"/>
                <w:szCs w:val="24"/>
              </w:rPr>
              <w:t>2.5</w:t>
            </w:r>
          </w:p>
        </w:tc>
        <w:tc>
          <w:tcPr>
            <w:tcW w:w="1276" w:type="dxa"/>
            <w:tcBorders>
              <w:left w:val="none" w:sz="0" w:space="0" w:color="auto"/>
              <w:right w:val="none" w:sz="0" w:space="0" w:color="auto"/>
            </w:tcBorders>
            <w:shd w:val="clear" w:color="auto" w:fill="FFFFFF" w:themeFill="background1"/>
          </w:tcPr>
          <w:p w14:paraId="039B2CD5" w14:textId="77777777" w:rsidR="00575CDF" w:rsidRPr="00C801A6" w:rsidRDefault="00575CDF" w:rsidP="00347FDB">
            <w:pPr>
              <w:spacing w:before="80" w:after="80"/>
              <w:jc w:val="right"/>
              <w:cnfStyle w:val="000000100000" w:firstRow="0" w:lastRow="0" w:firstColumn="0" w:lastColumn="0" w:oddVBand="0" w:evenVBand="0" w:oddHBand="1" w:evenHBand="0" w:firstRowFirstColumn="0" w:firstRowLastColumn="0" w:lastRowFirstColumn="0" w:lastRowLastColumn="0"/>
              <w:rPr>
                <w:color w:val="auto"/>
                <w:szCs w:val="24"/>
              </w:rPr>
            </w:pPr>
            <w:r w:rsidRPr="00C801A6">
              <w:rPr>
                <w:color w:val="auto"/>
                <w:szCs w:val="24"/>
              </w:rPr>
              <w:t>500</w:t>
            </w:r>
          </w:p>
        </w:tc>
        <w:tc>
          <w:tcPr>
            <w:tcW w:w="2126" w:type="dxa"/>
            <w:tcBorders>
              <w:left w:val="none" w:sz="0" w:space="0" w:color="auto"/>
              <w:right w:val="none" w:sz="0" w:space="0" w:color="auto"/>
            </w:tcBorders>
            <w:shd w:val="clear" w:color="auto" w:fill="FFFFFF" w:themeFill="background1"/>
          </w:tcPr>
          <w:p w14:paraId="7313A2F2" w14:textId="77777777" w:rsidR="00575CDF" w:rsidRPr="00C801A6" w:rsidRDefault="00575CDF" w:rsidP="00347FDB">
            <w:pPr>
              <w:spacing w:before="80" w:after="80"/>
              <w:ind w:right="110"/>
              <w:jc w:val="right"/>
              <w:cnfStyle w:val="000000100000" w:firstRow="0" w:lastRow="0" w:firstColumn="0" w:lastColumn="0" w:oddVBand="0" w:evenVBand="0" w:oddHBand="1" w:evenHBand="0" w:firstRowFirstColumn="0" w:firstRowLastColumn="0" w:lastRowFirstColumn="0" w:lastRowLastColumn="0"/>
              <w:rPr>
                <w:color w:val="auto"/>
                <w:szCs w:val="24"/>
              </w:rPr>
            </w:pPr>
            <w:r w:rsidRPr="00C801A6">
              <w:rPr>
                <w:color w:val="auto"/>
                <w:szCs w:val="24"/>
              </w:rPr>
              <w:t>1,250</w:t>
            </w:r>
          </w:p>
        </w:tc>
      </w:tr>
      <w:tr w:rsidR="00C801A6" w:rsidRPr="00C801A6" w14:paraId="24E5AAFC" w14:textId="77777777" w:rsidTr="00347FDB">
        <w:tc>
          <w:tcPr>
            <w:cnfStyle w:val="001000000000" w:firstRow="0" w:lastRow="0" w:firstColumn="1" w:lastColumn="0" w:oddVBand="0" w:evenVBand="0" w:oddHBand="0" w:evenHBand="0" w:firstRowFirstColumn="0" w:firstRowLastColumn="0" w:lastRowFirstColumn="0" w:lastRowLastColumn="0"/>
            <w:tcW w:w="4503" w:type="dxa"/>
            <w:shd w:val="clear" w:color="auto" w:fill="FFFFFF" w:themeFill="background1"/>
          </w:tcPr>
          <w:p w14:paraId="7FA67E29" w14:textId="77777777" w:rsidR="00575CDF" w:rsidRPr="00C801A6" w:rsidRDefault="00575CDF" w:rsidP="00347FDB">
            <w:pPr>
              <w:spacing w:before="80" w:after="80"/>
              <w:rPr>
                <w:b w:val="0"/>
                <w:color w:val="auto"/>
                <w:szCs w:val="24"/>
              </w:rPr>
            </w:pPr>
            <w:r w:rsidRPr="00C801A6">
              <w:rPr>
                <w:b w:val="0"/>
                <w:color w:val="auto"/>
                <w:szCs w:val="24"/>
              </w:rPr>
              <w:t>Edition de posters / affichages</w:t>
            </w:r>
          </w:p>
        </w:tc>
        <w:tc>
          <w:tcPr>
            <w:tcW w:w="1352" w:type="dxa"/>
            <w:shd w:val="clear" w:color="auto" w:fill="FFFFFF" w:themeFill="background1"/>
          </w:tcPr>
          <w:p w14:paraId="3142EF85" w14:textId="77777777" w:rsidR="00575CDF" w:rsidRPr="00C801A6" w:rsidRDefault="00575CDF" w:rsidP="00347FDB">
            <w:pPr>
              <w:spacing w:before="80" w:after="80"/>
              <w:jc w:val="right"/>
              <w:cnfStyle w:val="000000000000" w:firstRow="0" w:lastRow="0" w:firstColumn="0" w:lastColumn="0" w:oddVBand="0" w:evenVBand="0" w:oddHBand="0" w:evenHBand="0" w:firstRowFirstColumn="0" w:firstRowLastColumn="0" w:lastRowFirstColumn="0" w:lastRowLastColumn="0"/>
              <w:rPr>
                <w:color w:val="auto"/>
                <w:szCs w:val="24"/>
              </w:rPr>
            </w:pPr>
            <w:r w:rsidRPr="00C801A6">
              <w:rPr>
                <w:color w:val="auto"/>
                <w:szCs w:val="24"/>
              </w:rPr>
              <w:t>3</w:t>
            </w:r>
          </w:p>
        </w:tc>
        <w:tc>
          <w:tcPr>
            <w:tcW w:w="1276" w:type="dxa"/>
            <w:shd w:val="clear" w:color="auto" w:fill="FFFFFF" w:themeFill="background1"/>
          </w:tcPr>
          <w:p w14:paraId="6FEB8845" w14:textId="77777777" w:rsidR="00575CDF" w:rsidRPr="00C801A6" w:rsidRDefault="00575CDF" w:rsidP="00347FDB">
            <w:pPr>
              <w:spacing w:before="80" w:after="80"/>
              <w:jc w:val="right"/>
              <w:cnfStyle w:val="000000000000" w:firstRow="0" w:lastRow="0" w:firstColumn="0" w:lastColumn="0" w:oddVBand="0" w:evenVBand="0" w:oddHBand="0" w:evenHBand="0" w:firstRowFirstColumn="0" w:firstRowLastColumn="0" w:lastRowFirstColumn="0" w:lastRowLastColumn="0"/>
              <w:rPr>
                <w:color w:val="auto"/>
                <w:szCs w:val="24"/>
              </w:rPr>
            </w:pPr>
            <w:r w:rsidRPr="00C801A6">
              <w:rPr>
                <w:color w:val="auto"/>
                <w:szCs w:val="24"/>
              </w:rPr>
              <w:t>500</w:t>
            </w:r>
          </w:p>
        </w:tc>
        <w:tc>
          <w:tcPr>
            <w:tcW w:w="2126" w:type="dxa"/>
            <w:shd w:val="clear" w:color="auto" w:fill="FFFFFF" w:themeFill="background1"/>
          </w:tcPr>
          <w:p w14:paraId="39D7BFCB" w14:textId="77777777" w:rsidR="00575CDF" w:rsidRPr="00C801A6" w:rsidRDefault="00575CDF" w:rsidP="00347FDB">
            <w:pPr>
              <w:spacing w:before="80" w:after="80"/>
              <w:ind w:right="110"/>
              <w:jc w:val="right"/>
              <w:cnfStyle w:val="000000000000" w:firstRow="0" w:lastRow="0" w:firstColumn="0" w:lastColumn="0" w:oddVBand="0" w:evenVBand="0" w:oddHBand="0" w:evenHBand="0" w:firstRowFirstColumn="0" w:firstRowLastColumn="0" w:lastRowFirstColumn="0" w:lastRowLastColumn="0"/>
              <w:rPr>
                <w:color w:val="auto"/>
                <w:szCs w:val="24"/>
              </w:rPr>
            </w:pPr>
            <w:r w:rsidRPr="00C801A6">
              <w:rPr>
                <w:color w:val="auto"/>
                <w:szCs w:val="24"/>
              </w:rPr>
              <w:t>1,500</w:t>
            </w:r>
          </w:p>
        </w:tc>
      </w:tr>
      <w:tr w:rsidR="00C801A6" w:rsidRPr="00C801A6" w14:paraId="72C2E93F" w14:textId="77777777" w:rsidTr="00E21E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tcBorders>
              <w:left w:val="none" w:sz="0" w:space="0" w:color="auto"/>
              <w:right w:val="none" w:sz="0" w:space="0" w:color="auto"/>
            </w:tcBorders>
            <w:shd w:val="clear" w:color="auto" w:fill="FFFFFF" w:themeFill="background1"/>
          </w:tcPr>
          <w:p w14:paraId="19DD5007" w14:textId="77777777" w:rsidR="00575CDF" w:rsidRPr="00C801A6" w:rsidRDefault="00575CDF" w:rsidP="00347FDB">
            <w:pPr>
              <w:spacing w:before="80" w:after="80"/>
              <w:rPr>
                <w:b w:val="0"/>
                <w:color w:val="auto"/>
                <w:szCs w:val="24"/>
              </w:rPr>
            </w:pPr>
            <w:r w:rsidRPr="00C801A6">
              <w:rPr>
                <w:b w:val="0"/>
                <w:color w:val="auto"/>
                <w:szCs w:val="24"/>
              </w:rPr>
              <w:t xml:space="preserve">Frais de consultance et Frais d’activités pour des activités spot : </w:t>
            </w:r>
          </w:p>
          <w:p w14:paraId="5A53E526" w14:textId="77777777" w:rsidR="00575CDF" w:rsidRPr="00C801A6" w:rsidRDefault="00575CDF" w:rsidP="00844538">
            <w:pPr>
              <w:pStyle w:val="ListParagraph"/>
              <w:numPr>
                <w:ilvl w:val="0"/>
                <w:numId w:val="63"/>
              </w:numPr>
              <w:spacing w:before="80" w:after="80" w:line="276" w:lineRule="auto"/>
              <w:ind w:left="709" w:hanging="349"/>
              <w:contextualSpacing w:val="0"/>
              <w:rPr>
                <w:b w:val="0"/>
                <w:color w:val="auto"/>
                <w:szCs w:val="24"/>
              </w:rPr>
            </w:pPr>
            <w:r w:rsidRPr="00C801A6">
              <w:rPr>
                <w:b w:val="0"/>
                <w:color w:val="auto"/>
                <w:szCs w:val="24"/>
              </w:rPr>
              <w:t>Fréquence : 1 fois / 2 mois</w:t>
            </w:r>
          </w:p>
          <w:p w14:paraId="5F8ABD04" w14:textId="77777777" w:rsidR="00575CDF" w:rsidRPr="00C801A6" w:rsidRDefault="00575CDF" w:rsidP="00844538">
            <w:pPr>
              <w:pStyle w:val="ListParagraph"/>
              <w:numPr>
                <w:ilvl w:val="0"/>
                <w:numId w:val="63"/>
              </w:numPr>
              <w:spacing w:before="80" w:after="80" w:line="276" w:lineRule="auto"/>
              <w:ind w:left="709" w:hanging="349"/>
              <w:contextualSpacing w:val="0"/>
              <w:rPr>
                <w:b w:val="0"/>
                <w:color w:val="auto"/>
                <w:szCs w:val="24"/>
              </w:rPr>
            </w:pPr>
            <w:r w:rsidRPr="00C801A6">
              <w:rPr>
                <w:b w:val="0"/>
                <w:color w:val="auto"/>
                <w:szCs w:val="24"/>
              </w:rPr>
              <w:t>Dépenses annuelles : 20,000usd</w:t>
            </w:r>
          </w:p>
        </w:tc>
        <w:tc>
          <w:tcPr>
            <w:tcW w:w="1352" w:type="dxa"/>
            <w:tcBorders>
              <w:left w:val="none" w:sz="0" w:space="0" w:color="auto"/>
              <w:right w:val="none" w:sz="0" w:space="0" w:color="auto"/>
            </w:tcBorders>
            <w:shd w:val="clear" w:color="auto" w:fill="FFFFFF" w:themeFill="background1"/>
          </w:tcPr>
          <w:p w14:paraId="688236F7" w14:textId="7CADDE5B" w:rsidR="00575CDF" w:rsidRPr="00C801A6" w:rsidRDefault="00E21E41" w:rsidP="00347FDB">
            <w:pPr>
              <w:spacing w:before="80" w:after="80"/>
              <w:jc w:val="right"/>
              <w:cnfStyle w:val="000000100000" w:firstRow="0" w:lastRow="0" w:firstColumn="0" w:lastColumn="0" w:oddVBand="0" w:evenVBand="0" w:oddHBand="1" w:evenHBand="0" w:firstRowFirstColumn="0" w:firstRowLastColumn="0" w:lastRowFirstColumn="0" w:lastRowLastColumn="0"/>
              <w:rPr>
                <w:color w:val="auto"/>
                <w:szCs w:val="24"/>
              </w:rPr>
            </w:pPr>
            <w:r>
              <w:rPr>
                <w:color w:val="auto"/>
                <w:szCs w:val="24"/>
              </w:rPr>
              <w:t>1</w:t>
            </w:r>
            <w:r w:rsidR="00575CDF" w:rsidRPr="00C801A6">
              <w:rPr>
                <w:color w:val="auto"/>
                <w:szCs w:val="24"/>
              </w:rPr>
              <w:t>0,000</w:t>
            </w:r>
          </w:p>
        </w:tc>
        <w:tc>
          <w:tcPr>
            <w:tcW w:w="1276" w:type="dxa"/>
            <w:tcBorders>
              <w:left w:val="none" w:sz="0" w:space="0" w:color="auto"/>
              <w:right w:val="none" w:sz="0" w:space="0" w:color="auto"/>
            </w:tcBorders>
            <w:shd w:val="clear" w:color="auto" w:fill="FFFFFF" w:themeFill="background1"/>
          </w:tcPr>
          <w:p w14:paraId="66838CE0" w14:textId="4D030E34" w:rsidR="00575CDF" w:rsidRPr="00C801A6" w:rsidRDefault="00E21E41" w:rsidP="0095287C">
            <w:pPr>
              <w:spacing w:before="80" w:after="80"/>
              <w:jc w:val="right"/>
              <w:cnfStyle w:val="000000100000" w:firstRow="0" w:lastRow="0" w:firstColumn="0" w:lastColumn="0" w:oddVBand="0" w:evenVBand="0" w:oddHBand="1" w:evenHBand="0" w:firstRowFirstColumn="0" w:firstRowLastColumn="0" w:lastRowFirstColumn="0" w:lastRowLastColumn="0"/>
              <w:rPr>
                <w:color w:val="auto"/>
              </w:rPr>
            </w:pPr>
            <w:r>
              <w:rPr>
                <w:color w:val="auto"/>
              </w:rPr>
              <w:t>4</w:t>
            </w:r>
            <w:r w:rsidR="00575CDF" w:rsidRPr="00C801A6">
              <w:rPr>
                <w:color w:val="auto"/>
              </w:rPr>
              <w:t xml:space="preserve"> </w:t>
            </w:r>
          </w:p>
        </w:tc>
        <w:tc>
          <w:tcPr>
            <w:tcW w:w="2126" w:type="dxa"/>
            <w:tcBorders>
              <w:left w:val="none" w:sz="0" w:space="0" w:color="auto"/>
              <w:right w:val="none" w:sz="0" w:space="0" w:color="auto"/>
            </w:tcBorders>
            <w:shd w:val="clear" w:color="auto" w:fill="FFFFFF" w:themeFill="background1"/>
          </w:tcPr>
          <w:p w14:paraId="5FC063D6" w14:textId="15A9377A" w:rsidR="00575CDF" w:rsidRPr="00C801A6" w:rsidRDefault="00E21E41" w:rsidP="00347FDB">
            <w:pPr>
              <w:spacing w:before="80" w:after="80"/>
              <w:ind w:right="110"/>
              <w:jc w:val="right"/>
              <w:cnfStyle w:val="000000100000" w:firstRow="0" w:lastRow="0" w:firstColumn="0" w:lastColumn="0" w:oddVBand="0" w:evenVBand="0" w:oddHBand="1" w:evenHBand="0" w:firstRowFirstColumn="0" w:firstRowLastColumn="0" w:lastRowFirstColumn="0" w:lastRowLastColumn="0"/>
              <w:rPr>
                <w:color w:val="auto"/>
                <w:szCs w:val="24"/>
              </w:rPr>
            </w:pPr>
            <w:r>
              <w:rPr>
                <w:color w:val="auto"/>
                <w:szCs w:val="24"/>
              </w:rPr>
              <w:t>4</w:t>
            </w:r>
            <w:r w:rsidR="00575CDF" w:rsidRPr="00C801A6">
              <w:rPr>
                <w:color w:val="auto"/>
                <w:szCs w:val="24"/>
              </w:rPr>
              <w:t>0,000</w:t>
            </w:r>
          </w:p>
        </w:tc>
      </w:tr>
      <w:tr w:rsidR="00C801A6" w:rsidRPr="00C801A6" w14:paraId="3F4CB7D3" w14:textId="77777777" w:rsidTr="00347FDB">
        <w:tc>
          <w:tcPr>
            <w:cnfStyle w:val="001000000000" w:firstRow="0" w:lastRow="0" w:firstColumn="1" w:lastColumn="0" w:oddVBand="0" w:evenVBand="0" w:oddHBand="0" w:evenHBand="0" w:firstRowFirstColumn="0" w:firstRowLastColumn="0" w:lastRowFirstColumn="0" w:lastRowLastColumn="0"/>
            <w:tcW w:w="4503" w:type="dxa"/>
            <w:shd w:val="clear" w:color="auto" w:fill="FFFFFF" w:themeFill="background1"/>
          </w:tcPr>
          <w:p w14:paraId="3A7B144B" w14:textId="77777777" w:rsidR="00575CDF" w:rsidRPr="00C801A6" w:rsidRDefault="00575CDF" w:rsidP="00347FDB">
            <w:pPr>
              <w:spacing w:before="80" w:after="80"/>
              <w:rPr>
                <w:b w:val="0"/>
                <w:color w:val="auto"/>
                <w:szCs w:val="24"/>
              </w:rPr>
            </w:pPr>
            <w:r w:rsidRPr="00C801A6">
              <w:rPr>
                <w:b w:val="0"/>
                <w:color w:val="auto"/>
                <w:szCs w:val="24"/>
              </w:rPr>
              <w:t>Imprévus</w:t>
            </w:r>
          </w:p>
        </w:tc>
        <w:tc>
          <w:tcPr>
            <w:tcW w:w="1352" w:type="dxa"/>
            <w:shd w:val="clear" w:color="auto" w:fill="FFFFFF" w:themeFill="background1"/>
          </w:tcPr>
          <w:p w14:paraId="1EC64535" w14:textId="77777777" w:rsidR="00575CDF" w:rsidRPr="00C801A6" w:rsidRDefault="00575CDF" w:rsidP="00347FDB">
            <w:pPr>
              <w:spacing w:before="80" w:after="80"/>
              <w:jc w:val="center"/>
              <w:cnfStyle w:val="000000000000" w:firstRow="0" w:lastRow="0" w:firstColumn="0" w:lastColumn="0" w:oddVBand="0" w:evenVBand="0" w:oddHBand="0" w:evenHBand="0" w:firstRowFirstColumn="0" w:firstRowLastColumn="0" w:lastRowFirstColumn="0" w:lastRowLastColumn="0"/>
              <w:rPr>
                <w:color w:val="auto"/>
                <w:szCs w:val="24"/>
              </w:rPr>
            </w:pPr>
            <w:r w:rsidRPr="00C801A6">
              <w:rPr>
                <w:color w:val="auto"/>
                <w:szCs w:val="24"/>
              </w:rPr>
              <w:t>Fft</w:t>
            </w:r>
          </w:p>
        </w:tc>
        <w:tc>
          <w:tcPr>
            <w:tcW w:w="1276" w:type="dxa"/>
            <w:shd w:val="clear" w:color="auto" w:fill="FFFFFF" w:themeFill="background1"/>
          </w:tcPr>
          <w:p w14:paraId="3759D26E" w14:textId="77777777" w:rsidR="00575CDF" w:rsidRPr="00C801A6" w:rsidRDefault="00575CDF" w:rsidP="00347FDB">
            <w:pPr>
              <w:spacing w:before="80" w:after="80"/>
              <w:jc w:val="center"/>
              <w:cnfStyle w:val="000000000000" w:firstRow="0" w:lastRow="0" w:firstColumn="0" w:lastColumn="0" w:oddVBand="0" w:evenVBand="0" w:oddHBand="0" w:evenHBand="0" w:firstRowFirstColumn="0" w:firstRowLastColumn="0" w:lastRowFirstColumn="0" w:lastRowLastColumn="0"/>
              <w:rPr>
                <w:color w:val="auto"/>
                <w:szCs w:val="24"/>
              </w:rPr>
            </w:pPr>
          </w:p>
        </w:tc>
        <w:tc>
          <w:tcPr>
            <w:tcW w:w="2126" w:type="dxa"/>
            <w:shd w:val="clear" w:color="auto" w:fill="FFFFFF" w:themeFill="background1"/>
          </w:tcPr>
          <w:p w14:paraId="0BEA8714" w14:textId="07E37940" w:rsidR="00575CDF" w:rsidRPr="00C801A6" w:rsidRDefault="00E21E41" w:rsidP="00347FDB">
            <w:pPr>
              <w:spacing w:before="80" w:after="80"/>
              <w:ind w:right="110"/>
              <w:jc w:val="right"/>
              <w:cnfStyle w:val="000000000000" w:firstRow="0" w:lastRow="0" w:firstColumn="0" w:lastColumn="0" w:oddVBand="0" w:evenVBand="0" w:oddHBand="0" w:evenHBand="0" w:firstRowFirstColumn="0" w:firstRowLastColumn="0" w:lastRowFirstColumn="0" w:lastRowLastColumn="0"/>
              <w:rPr>
                <w:color w:val="auto"/>
                <w:szCs w:val="24"/>
              </w:rPr>
            </w:pPr>
            <w:r>
              <w:rPr>
                <w:color w:val="auto"/>
                <w:szCs w:val="24"/>
              </w:rPr>
              <w:t>3</w:t>
            </w:r>
            <w:r w:rsidR="00575CDF" w:rsidRPr="00C801A6">
              <w:rPr>
                <w:color w:val="auto"/>
                <w:szCs w:val="24"/>
              </w:rPr>
              <w:t>,000</w:t>
            </w:r>
          </w:p>
        </w:tc>
      </w:tr>
      <w:tr w:rsidR="00C801A6" w:rsidRPr="00C801A6" w14:paraId="0CE433F3" w14:textId="77777777" w:rsidTr="00E21E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tcBorders>
              <w:left w:val="none" w:sz="0" w:space="0" w:color="auto"/>
              <w:right w:val="none" w:sz="0" w:space="0" w:color="auto"/>
            </w:tcBorders>
            <w:shd w:val="clear" w:color="auto" w:fill="FFFFFF" w:themeFill="background1"/>
          </w:tcPr>
          <w:p w14:paraId="7D34DDE9" w14:textId="77777777" w:rsidR="00575CDF" w:rsidRPr="00C801A6" w:rsidRDefault="00575CDF" w:rsidP="00347FDB">
            <w:pPr>
              <w:spacing w:before="80" w:after="80"/>
              <w:rPr>
                <w:b w:val="0"/>
                <w:color w:val="auto"/>
                <w:szCs w:val="24"/>
              </w:rPr>
            </w:pPr>
            <w:r w:rsidRPr="00C801A6">
              <w:rPr>
                <w:b w:val="0"/>
                <w:color w:val="auto"/>
                <w:szCs w:val="24"/>
              </w:rPr>
              <w:t>Total</w:t>
            </w:r>
          </w:p>
        </w:tc>
        <w:tc>
          <w:tcPr>
            <w:tcW w:w="1352" w:type="dxa"/>
            <w:tcBorders>
              <w:left w:val="none" w:sz="0" w:space="0" w:color="auto"/>
              <w:right w:val="none" w:sz="0" w:space="0" w:color="auto"/>
            </w:tcBorders>
            <w:shd w:val="clear" w:color="auto" w:fill="FFFFFF" w:themeFill="background1"/>
          </w:tcPr>
          <w:p w14:paraId="70321FB0" w14:textId="77777777" w:rsidR="00575CDF" w:rsidRPr="00C801A6" w:rsidRDefault="00575CDF" w:rsidP="00347FDB">
            <w:pPr>
              <w:spacing w:before="80" w:after="80"/>
              <w:jc w:val="right"/>
              <w:cnfStyle w:val="000000100000" w:firstRow="0" w:lastRow="0" w:firstColumn="0" w:lastColumn="0" w:oddVBand="0" w:evenVBand="0" w:oddHBand="1" w:evenHBand="0" w:firstRowFirstColumn="0" w:firstRowLastColumn="0" w:lastRowFirstColumn="0" w:lastRowLastColumn="0"/>
              <w:rPr>
                <w:b/>
                <w:color w:val="auto"/>
                <w:szCs w:val="24"/>
              </w:rPr>
            </w:pPr>
          </w:p>
        </w:tc>
        <w:tc>
          <w:tcPr>
            <w:tcW w:w="1276" w:type="dxa"/>
            <w:tcBorders>
              <w:left w:val="none" w:sz="0" w:space="0" w:color="auto"/>
              <w:right w:val="none" w:sz="0" w:space="0" w:color="auto"/>
            </w:tcBorders>
            <w:shd w:val="clear" w:color="auto" w:fill="FFFFFF" w:themeFill="background1"/>
          </w:tcPr>
          <w:p w14:paraId="4DF6A071" w14:textId="77777777" w:rsidR="00575CDF" w:rsidRPr="00C801A6" w:rsidRDefault="00575CDF" w:rsidP="00347FDB">
            <w:pPr>
              <w:spacing w:before="80" w:after="80"/>
              <w:jc w:val="right"/>
              <w:cnfStyle w:val="000000100000" w:firstRow="0" w:lastRow="0" w:firstColumn="0" w:lastColumn="0" w:oddVBand="0" w:evenVBand="0" w:oddHBand="1" w:evenHBand="0" w:firstRowFirstColumn="0" w:firstRowLastColumn="0" w:lastRowFirstColumn="0" w:lastRowLastColumn="0"/>
              <w:rPr>
                <w:b/>
                <w:color w:val="auto"/>
                <w:szCs w:val="24"/>
              </w:rPr>
            </w:pPr>
          </w:p>
        </w:tc>
        <w:tc>
          <w:tcPr>
            <w:tcW w:w="2126" w:type="dxa"/>
            <w:tcBorders>
              <w:left w:val="none" w:sz="0" w:space="0" w:color="auto"/>
              <w:right w:val="none" w:sz="0" w:space="0" w:color="auto"/>
            </w:tcBorders>
            <w:shd w:val="clear" w:color="auto" w:fill="FFFFFF" w:themeFill="background1"/>
          </w:tcPr>
          <w:p w14:paraId="0975F27C" w14:textId="50227061" w:rsidR="00575CDF" w:rsidRPr="00C801A6" w:rsidRDefault="00E21E41" w:rsidP="00347FDB">
            <w:pPr>
              <w:spacing w:before="80" w:after="80"/>
              <w:ind w:right="110"/>
              <w:jc w:val="right"/>
              <w:cnfStyle w:val="000000100000" w:firstRow="0" w:lastRow="0" w:firstColumn="0" w:lastColumn="0" w:oddVBand="0" w:evenVBand="0" w:oddHBand="1" w:evenHBand="0" w:firstRowFirstColumn="0" w:firstRowLastColumn="0" w:lastRowFirstColumn="0" w:lastRowLastColumn="0"/>
              <w:rPr>
                <w:b/>
                <w:color w:val="auto"/>
                <w:szCs w:val="24"/>
              </w:rPr>
            </w:pPr>
            <w:r>
              <w:rPr>
                <w:b/>
                <w:color w:val="auto"/>
                <w:szCs w:val="24"/>
              </w:rPr>
              <w:t>4</w:t>
            </w:r>
            <w:r w:rsidR="00575CDF" w:rsidRPr="00C801A6">
              <w:rPr>
                <w:b/>
                <w:color w:val="auto"/>
                <w:szCs w:val="24"/>
              </w:rPr>
              <w:t>7,</w:t>
            </w:r>
            <w:r>
              <w:rPr>
                <w:b/>
                <w:color w:val="auto"/>
                <w:szCs w:val="24"/>
              </w:rPr>
              <w:t>00</w:t>
            </w:r>
            <w:r w:rsidR="00575CDF" w:rsidRPr="00C801A6">
              <w:rPr>
                <w:b/>
                <w:color w:val="auto"/>
                <w:szCs w:val="24"/>
              </w:rPr>
              <w:t>0</w:t>
            </w:r>
          </w:p>
        </w:tc>
      </w:tr>
    </w:tbl>
    <w:p w14:paraId="24A74E0E" w14:textId="11E93F3D" w:rsidR="00E21E41" w:rsidRDefault="00E21E41" w:rsidP="00014BC0">
      <w:pPr>
        <w:pStyle w:val="Heading2"/>
      </w:pPr>
      <w:bookmarkStart w:id="811" w:name="_Toc71794997"/>
      <w:bookmarkStart w:id="812" w:name="_Toc106320437"/>
      <w:bookmarkStart w:id="813" w:name="_Toc230426092"/>
      <w:r w:rsidRPr="00C801A6">
        <w:t xml:space="preserve">PLAN D’ACTION </w:t>
      </w:r>
      <w:r>
        <w:t>POUR LA PROMOTION DU</w:t>
      </w:r>
      <w:r w:rsidRPr="00C801A6">
        <w:t xml:space="preserve"> GENRE</w:t>
      </w:r>
      <w:bookmarkEnd w:id="813"/>
      <w:r w:rsidRPr="00C801A6">
        <w:t xml:space="preserve"> </w:t>
      </w:r>
    </w:p>
    <w:p w14:paraId="3B61C660" w14:textId="77777777" w:rsidR="00E21E41" w:rsidRDefault="00E21E41" w:rsidP="00E21E41">
      <w:r>
        <w:t>La Banque mondiale œuvre pour des</w:t>
      </w:r>
      <w:r w:rsidRPr="00B836A8">
        <w:t xml:space="preserve"> sociétés </w:t>
      </w:r>
      <w:r>
        <w:t xml:space="preserve">humaines </w:t>
      </w:r>
      <w:r w:rsidRPr="00B836A8">
        <w:t>plus inclusives, plus productives et plus respectueuses de l’environnement</w:t>
      </w:r>
      <w:r>
        <w:t>. Dans ce cadre, afin d’</w:t>
      </w:r>
      <w:r w:rsidRPr="002748C2">
        <w:t>optimiser l’intégration sociale du Projet</w:t>
      </w:r>
      <w:r>
        <w:t xml:space="preserve"> envisagé</w:t>
      </w:r>
      <w:r w:rsidRPr="002748C2">
        <w:t xml:space="preserve">, un Plan d’Action pour la promotion du Genre </w:t>
      </w:r>
      <w:r>
        <w:t>a aussi été préparé</w:t>
      </w:r>
      <w:r w:rsidRPr="002748C2">
        <w:t xml:space="preserve"> </w:t>
      </w:r>
      <w:r>
        <w:t>dans un document séparé.</w:t>
      </w:r>
    </w:p>
    <w:p w14:paraId="31041FED" w14:textId="77777777" w:rsidR="00E21E41" w:rsidRDefault="00E21E41" w:rsidP="00E21E41">
      <w:r>
        <w:t>Le budget y afférent est le suivant :</w:t>
      </w:r>
    </w:p>
    <w:p w14:paraId="064992C7" w14:textId="5DD4C665" w:rsidR="00E21E41" w:rsidRDefault="00E21E41" w:rsidP="00E21E41">
      <w:pPr>
        <w:pStyle w:val="Caption"/>
      </w:pPr>
      <w:bookmarkStart w:id="814" w:name="_Toc138414232"/>
      <w:bookmarkStart w:id="815" w:name="_Toc230427752"/>
      <w:r>
        <w:t xml:space="preserve">Tableau </w:t>
      </w:r>
      <w:r w:rsidR="00E44887">
        <w:fldChar w:fldCharType="begin"/>
      </w:r>
      <w:r w:rsidR="00E44887">
        <w:instrText xml:space="preserve"> SEQ Tableau \* ARABIC </w:instrText>
      </w:r>
      <w:r w:rsidR="00E44887">
        <w:fldChar w:fldCharType="separate"/>
      </w:r>
      <w:r w:rsidR="00253F1A">
        <w:rPr>
          <w:noProof/>
        </w:rPr>
        <w:t>32</w:t>
      </w:r>
      <w:r w:rsidR="00E44887">
        <w:rPr>
          <w:noProof/>
        </w:rPr>
        <w:fldChar w:fldCharType="end"/>
      </w:r>
      <w:r>
        <w:t xml:space="preserve"> . Budget pour le Plan d’actions pour la promotion du Genre</w:t>
      </w:r>
      <w:bookmarkEnd w:id="814"/>
      <w:bookmarkEnd w:id="815"/>
    </w:p>
    <w:tbl>
      <w:tblPr>
        <w:tblStyle w:val="Trameclaire-Accent51"/>
        <w:tblW w:w="9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747"/>
        <w:gridCol w:w="4039"/>
        <w:gridCol w:w="1352"/>
        <w:gridCol w:w="1276"/>
        <w:gridCol w:w="2126"/>
      </w:tblGrid>
      <w:tr w:rsidR="00E21E41" w:rsidRPr="00464032" w14:paraId="086E2C41" w14:textId="77777777" w:rsidTr="00253F1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47" w:type="dxa"/>
            <w:tcBorders>
              <w:top w:val="none" w:sz="0" w:space="0" w:color="auto"/>
              <w:left w:val="none" w:sz="0" w:space="0" w:color="auto"/>
              <w:bottom w:val="none" w:sz="0" w:space="0" w:color="auto"/>
              <w:right w:val="none" w:sz="0" w:space="0" w:color="auto"/>
            </w:tcBorders>
            <w:shd w:val="clear" w:color="auto" w:fill="E2EFD9" w:themeFill="accent6" w:themeFillTint="33"/>
          </w:tcPr>
          <w:p w14:paraId="4F90A14D" w14:textId="77777777" w:rsidR="00E21E41" w:rsidRPr="00464032" w:rsidRDefault="00E21E41" w:rsidP="00216772">
            <w:pPr>
              <w:spacing w:before="40" w:after="40"/>
              <w:rPr>
                <w:szCs w:val="24"/>
              </w:rPr>
            </w:pPr>
            <w:r>
              <w:rPr>
                <w:szCs w:val="24"/>
              </w:rPr>
              <w:t>N°</w:t>
            </w:r>
          </w:p>
        </w:tc>
        <w:tc>
          <w:tcPr>
            <w:tcW w:w="4039" w:type="dxa"/>
            <w:tcBorders>
              <w:top w:val="none" w:sz="0" w:space="0" w:color="auto"/>
              <w:left w:val="none" w:sz="0" w:space="0" w:color="auto"/>
              <w:bottom w:val="none" w:sz="0" w:space="0" w:color="auto"/>
              <w:right w:val="none" w:sz="0" w:space="0" w:color="auto"/>
            </w:tcBorders>
            <w:shd w:val="clear" w:color="auto" w:fill="E2EFD9" w:themeFill="accent6" w:themeFillTint="33"/>
          </w:tcPr>
          <w:p w14:paraId="7A88EBF9" w14:textId="77777777" w:rsidR="00E21E41" w:rsidRPr="00464032" w:rsidRDefault="00E21E41" w:rsidP="00216772">
            <w:pPr>
              <w:spacing w:before="40" w:after="40"/>
              <w:cnfStyle w:val="100000000000" w:firstRow="1" w:lastRow="0" w:firstColumn="0" w:lastColumn="0" w:oddVBand="0" w:evenVBand="0" w:oddHBand="0" w:evenHBand="0" w:firstRowFirstColumn="0" w:firstRowLastColumn="0" w:lastRowFirstColumn="0" w:lastRowLastColumn="0"/>
              <w:rPr>
                <w:szCs w:val="24"/>
              </w:rPr>
            </w:pPr>
            <w:r w:rsidRPr="00464032">
              <w:rPr>
                <w:szCs w:val="24"/>
              </w:rPr>
              <w:t>Libellé</w:t>
            </w:r>
          </w:p>
        </w:tc>
        <w:tc>
          <w:tcPr>
            <w:tcW w:w="1352" w:type="dxa"/>
            <w:tcBorders>
              <w:top w:val="none" w:sz="0" w:space="0" w:color="auto"/>
              <w:left w:val="none" w:sz="0" w:space="0" w:color="auto"/>
              <w:bottom w:val="none" w:sz="0" w:space="0" w:color="auto"/>
              <w:right w:val="none" w:sz="0" w:space="0" w:color="auto"/>
            </w:tcBorders>
            <w:shd w:val="clear" w:color="auto" w:fill="E2EFD9" w:themeFill="accent6" w:themeFillTint="33"/>
          </w:tcPr>
          <w:p w14:paraId="71D1A9F6" w14:textId="77777777" w:rsidR="00E21E41" w:rsidRPr="00464032" w:rsidRDefault="00E21E41" w:rsidP="00216772">
            <w:pPr>
              <w:spacing w:before="40" w:after="40"/>
              <w:jc w:val="center"/>
              <w:cnfStyle w:val="100000000000" w:firstRow="1" w:lastRow="0" w:firstColumn="0" w:lastColumn="0" w:oddVBand="0" w:evenVBand="0" w:oddHBand="0" w:evenHBand="0" w:firstRowFirstColumn="0" w:firstRowLastColumn="0" w:lastRowFirstColumn="0" w:lastRowLastColumn="0"/>
              <w:rPr>
                <w:szCs w:val="24"/>
              </w:rPr>
            </w:pPr>
            <w:r w:rsidRPr="00464032">
              <w:rPr>
                <w:szCs w:val="24"/>
              </w:rPr>
              <w:t>PU (USD)</w:t>
            </w:r>
          </w:p>
        </w:tc>
        <w:tc>
          <w:tcPr>
            <w:tcW w:w="1276" w:type="dxa"/>
            <w:tcBorders>
              <w:top w:val="none" w:sz="0" w:space="0" w:color="auto"/>
              <w:left w:val="none" w:sz="0" w:space="0" w:color="auto"/>
              <w:bottom w:val="none" w:sz="0" w:space="0" w:color="auto"/>
              <w:right w:val="none" w:sz="0" w:space="0" w:color="auto"/>
            </w:tcBorders>
            <w:shd w:val="clear" w:color="auto" w:fill="E2EFD9" w:themeFill="accent6" w:themeFillTint="33"/>
          </w:tcPr>
          <w:p w14:paraId="137241F9" w14:textId="77777777" w:rsidR="00E21E41" w:rsidRPr="00464032" w:rsidRDefault="00E21E41" w:rsidP="00216772">
            <w:pPr>
              <w:spacing w:before="40" w:after="40"/>
              <w:jc w:val="center"/>
              <w:cnfStyle w:val="100000000000" w:firstRow="1" w:lastRow="0" w:firstColumn="0" w:lastColumn="0" w:oddVBand="0" w:evenVBand="0" w:oddHBand="0" w:evenHBand="0" w:firstRowFirstColumn="0" w:firstRowLastColumn="0" w:lastRowFirstColumn="0" w:lastRowLastColumn="0"/>
              <w:rPr>
                <w:szCs w:val="24"/>
              </w:rPr>
            </w:pPr>
            <w:r w:rsidRPr="00464032">
              <w:rPr>
                <w:szCs w:val="24"/>
              </w:rPr>
              <w:t>Q</w:t>
            </w:r>
          </w:p>
        </w:tc>
        <w:tc>
          <w:tcPr>
            <w:tcW w:w="2126" w:type="dxa"/>
            <w:tcBorders>
              <w:top w:val="none" w:sz="0" w:space="0" w:color="auto"/>
              <w:left w:val="none" w:sz="0" w:space="0" w:color="auto"/>
              <w:bottom w:val="none" w:sz="0" w:space="0" w:color="auto"/>
              <w:right w:val="none" w:sz="0" w:space="0" w:color="auto"/>
            </w:tcBorders>
            <w:shd w:val="clear" w:color="auto" w:fill="E2EFD9" w:themeFill="accent6" w:themeFillTint="33"/>
          </w:tcPr>
          <w:p w14:paraId="2159ADD3" w14:textId="77777777" w:rsidR="00E21E41" w:rsidRPr="00464032" w:rsidRDefault="00E21E41" w:rsidP="00216772">
            <w:pPr>
              <w:spacing w:before="40" w:after="40"/>
              <w:jc w:val="center"/>
              <w:cnfStyle w:val="100000000000" w:firstRow="1" w:lastRow="0" w:firstColumn="0" w:lastColumn="0" w:oddVBand="0" w:evenVBand="0" w:oddHBand="0" w:evenHBand="0" w:firstRowFirstColumn="0" w:firstRowLastColumn="0" w:lastRowFirstColumn="0" w:lastRowLastColumn="0"/>
              <w:rPr>
                <w:szCs w:val="24"/>
              </w:rPr>
            </w:pPr>
            <w:r w:rsidRPr="00464032">
              <w:rPr>
                <w:szCs w:val="24"/>
              </w:rPr>
              <w:t>Montant (USD)</w:t>
            </w:r>
          </w:p>
        </w:tc>
      </w:tr>
      <w:tr w:rsidR="00E21E41" w:rsidRPr="00464032" w14:paraId="6BFC50C8" w14:textId="77777777" w:rsidTr="002167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7" w:type="dxa"/>
            <w:tcBorders>
              <w:left w:val="none" w:sz="0" w:space="0" w:color="auto"/>
              <w:right w:val="none" w:sz="0" w:space="0" w:color="auto"/>
            </w:tcBorders>
            <w:shd w:val="clear" w:color="auto" w:fill="FFFFFF" w:themeFill="background1"/>
          </w:tcPr>
          <w:p w14:paraId="05A480B9" w14:textId="77777777" w:rsidR="00E21E41" w:rsidRPr="00464032" w:rsidRDefault="00E21E41" w:rsidP="00216772">
            <w:pPr>
              <w:spacing w:before="40" w:after="40"/>
              <w:rPr>
                <w:szCs w:val="24"/>
              </w:rPr>
            </w:pPr>
            <w:r>
              <w:rPr>
                <w:szCs w:val="24"/>
              </w:rPr>
              <w:t>1</w:t>
            </w:r>
          </w:p>
        </w:tc>
        <w:tc>
          <w:tcPr>
            <w:tcW w:w="4039" w:type="dxa"/>
            <w:tcBorders>
              <w:left w:val="none" w:sz="0" w:space="0" w:color="auto"/>
              <w:right w:val="none" w:sz="0" w:space="0" w:color="auto"/>
            </w:tcBorders>
            <w:shd w:val="clear" w:color="auto" w:fill="FFFFFF" w:themeFill="background1"/>
          </w:tcPr>
          <w:p w14:paraId="12EAFB26" w14:textId="77777777" w:rsidR="00E21E41" w:rsidRPr="00464032" w:rsidRDefault="00E21E41" w:rsidP="00216772">
            <w:pPr>
              <w:spacing w:before="40" w:after="40"/>
              <w:cnfStyle w:val="000000100000" w:firstRow="0" w:lastRow="0" w:firstColumn="0" w:lastColumn="0" w:oddVBand="0" w:evenVBand="0" w:oddHBand="1" w:evenHBand="0" w:firstRowFirstColumn="0" w:firstRowLastColumn="0" w:lastRowFirstColumn="0" w:lastRowLastColumn="0"/>
              <w:rPr>
                <w:b/>
                <w:szCs w:val="24"/>
              </w:rPr>
            </w:pPr>
            <w:r>
              <w:rPr>
                <w:szCs w:val="24"/>
              </w:rPr>
              <w:t>Enquêtes et consultations sur terrain (en sus aux études E&amp;S classiques)</w:t>
            </w:r>
          </w:p>
        </w:tc>
        <w:tc>
          <w:tcPr>
            <w:tcW w:w="1352" w:type="dxa"/>
            <w:tcBorders>
              <w:left w:val="none" w:sz="0" w:space="0" w:color="auto"/>
              <w:right w:val="none" w:sz="0" w:space="0" w:color="auto"/>
            </w:tcBorders>
            <w:shd w:val="clear" w:color="auto" w:fill="FFFFFF" w:themeFill="background1"/>
          </w:tcPr>
          <w:p w14:paraId="5BB18E49" w14:textId="77777777" w:rsidR="00E21E41" w:rsidRPr="00464032" w:rsidRDefault="00E21E41" w:rsidP="00216772">
            <w:pPr>
              <w:spacing w:before="40" w:after="40"/>
              <w:jc w:val="right"/>
              <w:cnfStyle w:val="000000100000" w:firstRow="0" w:lastRow="0" w:firstColumn="0" w:lastColumn="0" w:oddVBand="0" w:evenVBand="0" w:oddHBand="1" w:evenHBand="0" w:firstRowFirstColumn="0" w:firstRowLastColumn="0" w:lastRowFirstColumn="0" w:lastRowLastColumn="0"/>
              <w:rPr>
                <w:szCs w:val="24"/>
              </w:rPr>
            </w:pPr>
            <w:r>
              <w:rPr>
                <w:szCs w:val="24"/>
              </w:rPr>
              <w:t>3,000</w:t>
            </w:r>
          </w:p>
        </w:tc>
        <w:tc>
          <w:tcPr>
            <w:tcW w:w="1276" w:type="dxa"/>
            <w:tcBorders>
              <w:left w:val="none" w:sz="0" w:space="0" w:color="auto"/>
              <w:right w:val="none" w:sz="0" w:space="0" w:color="auto"/>
            </w:tcBorders>
            <w:shd w:val="clear" w:color="auto" w:fill="FFFFFF" w:themeFill="background1"/>
          </w:tcPr>
          <w:p w14:paraId="45AC6A2D" w14:textId="77777777" w:rsidR="00E21E41" w:rsidRPr="00464032" w:rsidRDefault="00E21E41" w:rsidP="00216772">
            <w:pPr>
              <w:spacing w:before="40" w:after="40"/>
              <w:jc w:val="right"/>
              <w:cnfStyle w:val="000000100000" w:firstRow="0" w:lastRow="0" w:firstColumn="0" w:lastColumn="0" w:oddVBand="0" w:evenVBand="0" w:oddHBand="1" w:evenHBand="0" w:firstRowFirstColumn="0" w:firstRowLastColumn="0" w:lastRowFirstColumn="0" w:lastRowLastColumn="0"/>
              <w:rPr>
                <w:szCs w:val="24"/>
              </w:rPr>
            </w:pPr>
            <w:r>
              <w:rPr>
                <w:szCs w:val="24"/>
              </w:rPr>
              <w:t>10</w:t>
            </w:r>
          </w:p>
        </w:tc>
        <w:tc>
          <w:tcPr>
            <w:tcW w:w="2126" w:type="dxa"/>
            <w:tcBorders>
              <w:left w:val="none" w:sz="0" w:space="0" w:color="auto"/>
              <w:right w:val="none" w:sz="0" w:space="0" w:color="auto"/>
            </w:tcBorders>
            <w:shd w:val="clear" w:color="auto" w:fill="FFFFFF" w:themeFill="background1"/>
          </w:tcPr>
          <w:p w14:paraId="02720A28" w14:textId="77777777" w:rsidR="00E21E41" w:rsidRPr="00464032" w:rsidRDefault="00E21E41" w:rsidP="00216772">
            <w:pPr>
              <w:spacing w:before="40" w:after="40"/>
              <w:ind w:right="110"/>
              <w:jc w:val="right"/>
              <w:cnfStyle w:val="000000100000" w:firstRow="0" w:lastRow="0" w:firstColumn="0" w:lastColumn="0" w:oddVBand="0" w:evenVBand="0" w:oddHBand="1" w:evenHBand="0" w:firstRowFirstColumn="0" w:firstRowLastColumn="0" w:lastRowFirstColumn="0" w:lastRowLastColumn="0"/>
              <w:rPr>
                <w:szCs w:val="24"/>
              </w:rPr>
            </w:pPr>
            <w:r>
              <w:rPr>
                <w:szCs w:val="24"/>
              </w:rPr>
              <w:t>30,000</w:t>
            </w:r>
          </w:p>
        </w:tc>
      </w:tr>
      <w:tr w:rsidR="00E21E41" w:rsidRPr="00464032" w14:paraId="3F28DC15" w14:textId="77777777" w:rsidTr="00216772">
        <w:tc>
          <w:tcPr>
            <w:cnfStyle w:val="001000000000" w:firstRow="0" w:lastRow="0" w:firstColumn="1" w:lastColumn="0" w:oddVBand="0" w:evenVBand="0" w:oddHBand="0" w:evenHBand="0" w:firstRowFirstColumn="0" w:firstRowLastColumn="0" w:lastRowFirstColumn="0" w:lastRowLastColumn="0"/>
            <w:tcW w:w="747" w:type="dxa"/>
            <w:shd w:val="clear" w:color="auto" w:fill="FFFFFF" w:themeFill="background1"/>
          </w:tcPr>
          <w:p w14:paraId="49B407F6" w14:textId="77777777" w:rsidR="00E21E41" w:rsidRPr="00464032" w:rsidRDefault="00E21E41" w:rsidP="00216772">
            <w:pPr>
              <w:spacing w:before="40" w:after="40"/>
              <w:rPr>
                <w:szCs w:val="24"/>
              </w:rPr>
            </w:pPr>
            <w:r>
              <w:rPr>
                <w:szCs w:val="24"/>
              </w:rPr>
              <w:t>2</w:t>
            </w:r>
          </w:p>
        </w:tc>
        <w:tc>
          <w:tcPr>
            <w:tcW w:w="4039" w:type="dxa"/>
            <w:shd w:val="clear" w:color="auto" w:fill="FFFFFF" w:themeFill="background1"/>
          </w:tcPr>
          <w:p w14:paraId="1AA24A27" w14:textId="77777777" w:rsidR="00E21E41" w:rsidRPr="00464032" w:rsidRDefault="00E21E41" w:rsidP="00216772">
            <w:pPr>
              <w:spacing w:before="40" w:after="40"/>
              <w:cnfStyle w:val="000000000000" w:firstRow="0" w:lastRow="0" w:firstColumn="0" w:lastColumn="0" w:oddVBand="0" w:evenVBand="0" w:oddHBand="0" w:evenHBand="0" w:firstRowFirstColumn="0" w:firstRowLastColumn="0" w:lastRowFirstColumn="0" w:lastRowLastColumn="0"/>
              <w:rPr>
                <w:b/>
                <w:szCs w:val="24"/>
              </w:rPr>
            </w:pPr>
            <w:r>
              <w:rPr>
                <w:szCs w:val="24"/>
              </w:rPr>
              <w:t>Réalisations physiques (y compris les charges liées à l’ingénieur de contrôle)</w:t>
            </w:r>
          </w:p>
        </w:tc>
        <w:tc>
          <w:tcPr>
            <w:tcW w:w="1352" w:type="dxa"/>
            <w:shd w:val="clear" w:color="auto" w:fill="FFFFFF" w:themeFill="background1"/>
          </w:tcPr>
          <w:p w14:paraId="5F036F37" w14:textId="77777777" w:rsidR="00E21E41" w:rsidRPr="00464032" w:rsidRDefault="00E21E41" w:rsidP="00216772">
            <w:pPr>
              <w:spacing w:before="40" w:after="40"/>
              <w:jc w:val="right"/>
              <w:cnfStyle w:val="000000000000" w:firstRow="0" w:lastRow="0" w:firstColumn="0" w:lastColumn="0" w:oddVBand="0" w:evenVBand="0" w:oddHBand="0" w:evenHBand="0" w:firstRowFirstColumn="0" w:firstRowLastColumn="0" w:lastRowFirstColumn="0" w:lastRowLastColumn="0"/>
              <w:rPr>
                <w:szCs w:val="24"/>
              </w:rPr>
            </w:pPr>
            <w:r>
              <w:rPr>
                <w:szCs w:val="24"/>
              </w:rPr>
              <w:t>10,000</w:t>
            </w:r>
          </w:p>
        </w:tc>
        <w:tc>
          <w:tcPr>
            <w:tcW w:w="1276" w:type="dxa"/>
            <w:shd w:val="clear" w:color="auto" w:fill="FFFFFF" w:themeFill="background1"/>
          </w:tcPr>
          <w:p w14:paraId="21CE81E6" w14:textId="77777777" w:rsidR="00E21E41" w:rsidRPr="00464032" w:rsidRDefault="00E21E41" w:rsidP="00216772">
            <w:pPr>
              <w:spacing w:before="40" w:after="40"/>
              <w:jc w:val="right"/>
              <w:cnfStyle w:val="000000000000" w:firstRow="0" w:lastRow="0" w:firstColumn="0" w:lastColumn="0" w:oddVBand="0" w:evenVBand="0" w:oddHBand="0" w:evenHBand="0" w:firstRowFirstColumn="0" w:firstRowLastColumn="0" w:lastRowFirstColumn="0" w:lastRowLastColumn="0"/>
              <w:rPr>
                <w:szCs w:val="24"/>
              </w:rPr>
            </w:pPr>
            <w:r>
              <w:rPr>
                <w:szCs w:val="24"/>
              </w:rPr>
              <w:t>10</w:t>
            </w:r>
          </w:p>
        </w:tc>
        <w:tc>
          <w:tcPr>
            <w:tcW w:w="2126" w:type="dxa"/>
            <w:shd w:val="clear" w:color="auto" w:fill="FFFFFF" w:themeFill="background1"/>
          </w:tcPr>
          <w:p w14:paraId="0A5A2422" w14:textId="77777777" w:rsidR="00E21E41" w:rsidRPr="00464032" w:rsidRDefault="00E21E41" w:rsidP="00216772">
            <w:pPr>
              <w:spacing w:before="40" w:after="40"/>
              <w:ind w:right="110"/>
              <w:jc w:val="right"/>
              <w:cnfStyle w:val="000000000000" w:firstRow="0" w:lastRow="0" w:firstColumn="0" w:lastColumn="0" w:oddVBand="0" w:evenVBand="0" w:oddHBand="0" w:evenHBand="0" w:firstRowFirstColumn="0" w:firstRowLastColumn="0" w:lastRowFirstColumn="0" w:lastRowLastColumn="0"/>
              <w:rPr>
                <w:szCs w:val="24"/>
              </w:rPr>
            </w:pPr>
            <w:r>
              <w:rPr>
                <w:szCs w:val="24"/>
              </w:rPr>
              <w:t>100,000</w:t>
            </w:r>
          </w:p>
        </w:tc>
      </w:tr>
      <w:tr w:rsidR="00E21E41" w:rsidRPr="00464032" w14:paraId="3BC39C3A" w14:textId="77777777" w:rsidTr="002167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7" w:type="dxa"/>
            <w:tcBorders>
              <w:left w:val="none" w:sz="0" w:space="0" w:color="auto"/>
              <w:right w:val="none" w:sz="0" w:space="0" w:color="auto"/>
            </w:tcBorders>
            <w:shd w:val="clear" w:color="auto" w:fill="FFFFFF" w:themeFill="background1"/>
          </w:tcPr>
          <w:p w14:paraId="1D8FE028" w14:textId="77777777" w:rsidR="00E21E41" w:rsidRPr="00464032" w:rsidRDefault="00E21E41" w:rsidP="00216772">
            <w:pPr>
              <w:spacing w:before="40" w:after="40"/>
              <w:rPr>
                <w:szCs w:val="24"/>
              </w:rPr>
            </w:pPr>
            <w:r>
              <w:rPr>
                <w:szCs w:val="24"/>
              </w:rPr>
              <w:lastRenderedPageBreak/>
              <w:t>3</w:t>
            </w:r>
          </w:p>
        </w:tc>
        <w:tc>
          <w:tcPr>
            <w:tcW w:w="4039" w:type="dxa"/>
            <w:tcBorders>
              <w:left w:val="none" w:sz="0" w:space="0" w:color="auto"/>
              <w:right w:val="none" w:sz="0" w:space="0" w:color="auto"/>
            </w:tcBorders>
            <w:shd w:val="clear" w:color="auto" w:fill="FFFFFF" w:themeFill="background1"/>
          </w:tcPr>
          <w:p w14:paraId="33971FCB" w14:textId="77777777" w:rsidR="00E21E41" w:rsidRPr="008C64F9" w:rsidRDefault="00E21E41" w:rsidP="00216772">
            <w:pPr>
              <w:spacing w:before="40" w:after="40"/>
              <w:cnfStyle w:val="000000100000" w:firstRow="0" w:lastRow="0" w:firstColumn="0" w:lastColumn="0" w:oddVBand="0" w:evenVBand="0" w:oddHBand="1" w:evenHBand="0" w:firstRowFirstColumn="0" w:firstRowLastColumn="0" w:lastRowFirstColumn="0" w:lastRowLastColumn="0"/>
              <w:rPr>
                <w:szCs w:val="24"/>
              </w:rPr>
            </w:pPr>
            <w:r w:rsidRPr="008C64F9">
              <w:rPr>
                <w:szCs w:val="24"/>
              </w:rPr>
              <w:t>Autres charges</w:t>
            </w:r>
            <w:r>
              <w:rPr>
                <w:szCs w:val="24"/>
              </w:rPr>
              <w:t xml:space="preserve"> (petits équipements, renforcement des capacités des bénéficiaires …)</w:t>
            </w:r>
          </w:p>
        </w:tc>
        <w:tc>
          <w:tcPr>
            <w:tcW w:w="1352" w:type="dxa"/>
            <w:tcBorders>
              <w:left w:val="none" w:sz="0" w:space="0" w:color="auto"/>
              <w:right w:val="none" w:sz="0" w:space="0" w:color="auto"/>
            </w:tcBorders>
            <w:shd w:val="clear" w:color="auto" w:fill="FFFFFF" w:themeFill="background1"/>
          </w:tcPr>
          <w:p w14:paraId="47AB909A" w14:textId="77777777" w:rsidR="00E21E41" w:rsidRPr="00464032" w:rsidRDefault="00E21E41" w:rsidP="00216772">
            <w:pPr>
              <w:spacing w:before="40" w:after="40"/>
              <w:jc w:val="right"/>
              <w:cnfStyle w:val="000000100000" w:firstRow="0" w:lastRow="0" w:firstColumn="0" w:lastColumn="0" w:oddVBand="0" w:evenVBand="0" w:oddHBand="1" w:evenHBand="0" w:firstRowFirstColumn="0" w:firstRowLastColumn="0" w:lastRowFirstColumn="0" w:lastRowLastColumn="0"/>
              <w:rPr>
                <w:szCs w:val="24"/>
              </w:rPr>
            </w:pPr>
            <w:r>
              <w:rPr>
                <w:szCs w:val="24"/>
              </w:rPr>
              <w:t>1</w:t>
            </w:r>
            <w:r w:rsidRPr="00464032">
              <w:rPr>
                <w:szCs w:val="24"/>
              </w:rPr>
              <w:t>0,000</w:t>
            </w:r>
          </w:p>
        </w:tc>
        <w:tc>
          <w:tcPr>
            <w:tcW w:w="1276" w:type="dxa"/>
            <w:tcBorders>
              <w:left w:val="none" w:sz="0" w:space="0" w:color="auto"/>
              <w:right w:val="none" w:sz="0" w:space="0" w:color="auto"/>
            </w:tcBorders>
            <w:shd w:val="clear" w:color="auto" w:fill="FFFFFF" w:themeFill="background1"/>
          </w:tcPr>
          <w:p w14:paraId="1BD74654" w14:textId="77777777" w:rsidR="00E21E41" w:rsidRPr="00464032" w:rsidRDefault="00E21E41" w:rsidP="00216772">
            <w:pPr>
              <w:spacing w:before="40" w:after="40"/>
              <w:jc w:val="center"/>
              <w:cnfStyle w:val="000000100000" w:firstRow="0" w:lastRow="0" w:firstColumn="0" w:lastColumn="0" w:oddVBand="0" w:evenVBand="0" w:oddHBand="1" w:evenHBand="0" w:firstRowFirstColumn="0" w:firstRowLastColumn="0" w:lastRowFirstColumn="0" w:lastRowLastColumn="0"/>
            </w:pPr>
            <w:r>
              <w:t>Lot</w:t>
            </w:r>
          </w:p>
        </w:tc>
        <w:tc>
          <w:tcPr>
            <w:tcW w:w="2126" w:type="dxa"/>
            <w:tcBorders>
              <w:left w:val="none" w:sz="0" w:space="0" w:color="auto"/>
              <w:right w:val="none" w:sz="0" w:space="0" w:color="auto"/>
            </w:tcBorders>
            <w:shd w:val="clear" w:color="auto" w:fill="FFFFFF" w:themeFill="background1"/>
          </w:tcPr>
          <w:p w14:paraId="2CB1CAF3" w14:textId="77777777" w:rsidR="00E21E41" w:rsidRPr="00464032" w:rsidRDefault="00E21E41" w:rsidP="00216772">
            <w:pPr>
              <w:spacing w:before="40" w:after="40"/>
              <w:ind w:right="110"/>
              <w:jc w:val="right"/>
              <w:cnfStyle w:val="000000100000" w:firstRow="0" w:lastRow="0" w:firstColumn="0" w:lastColumn="0" w:oddVBand="0" w:evenVBand="0" w:oddHBand="1" w:evenHBand="0" w:firstRowFirstColumn="0" w:firstRowLastColumn="0" w:lastRowFirstColumn="0" w:lastRowLastColumn="0"/>
              <w:rPr>
                <w:szCs w:val="24"/>
              </w:rPr>
            </w:pPr>
            <w:r>
              <w:rPr>
                <w:szCs w:val="24"/>
              </w:rPr>
              <w:t>1</w:t>
            </w:r>
            <w:r w:rsidRPr="00464032">
              <w:rPr>
                <w:szCs w:val="24"/>
              </w:rPr>
              <w:t>0,000</w:t>
            </w:r>
          </w:p>
        </w:tc>
      </w:tr>
      <w:tr w:rsidR="00E21E41" w:rsidRPr="00464032" w14:paraId="37CC6CA9" w14:textId="77777777" w:rsidTr="00216772">
        <w:tc>
          <w:tcPr>
            <w:cnfStyle w:val="001000000000" w:firstRow="0" w:lastRow="0" w:firstColumn="1" w:lastColumn="0" w:oddVBand="0" w:evenVBand="0" w:oddHBand="0" w:evenHBand="0" w:firstRowFirstColumn="0" w:firstRowLastColumn="0" w:lastRowFirstColumn="0" w:lastRowLastColumn="0"/>
            <w:tcW w:w="747" w:type="dxa"/>
            <w:shd w:val="clear" w:color="auto" w:fill="FFFFFF" w:themeFill="background1"/>
          </w:tcPr>
          <w:p w14:paraId="5A4D2FA4" w14:textId="77777777" w:rsidR="00E21E41" w:rsidRPr="00464032" w:rsidRDefault="00E21E41" w:rsidP="00216772">
            <w:pPr>
              <w:spacing w:before="40" w:after="40"/>
              <w:rPr>
                <w:szCs w:val="24"/>
              </w:rPr>
            </w:pPr>
          </w:p>
        </w:tc>
        <w:tc>
          <w:tcPr>
            <w:tcW w:w="4039" w:type="dxa"/>
            <w:shd w:val="clear" w:color="auto" w:fill="FFFFFF" w:themeFill="background1"/>
          </w:tcPr>
          <w:p w14:paraId="5E2986DC" w14:textId="77777777" w:rsidR="00E21E41" w:rsidRPr="00464032" w:rsidRDefault="00E21E41" w:rsidP="00216772">
            <w:pPr>
              <w:spacing w:before="40" w:after="40"/>
              <w:cnfStyle w:val="000000000000" w:firstRow="0" w:lastRow="0" w:firstColumn="0" w:lastColumn="0" w:oddVBand="0" w:evenVBand="0" w:oddHBand="0" w:evenHBand="0" w:firstRowFirstColumn="0" w:firstRowLastColumn="0" w:lastRowFirstColumn="0" w:lastRowLastColumn="0"/>
              <w:rPr>
                <w:b/>
                <w:szCs w:val="24"/>
              </w:rPr>
            </w:pPr>
            <w:r w:rsidRPr="00464032">
              <w:rPr>
                <w:szCs w:val="24"/>
              </w:rPr>
              <w:t>Imprévus</w:t>
            </w:r>
          </w:p>
        </w:tc>
        <w:tc>
          <w:tcPr>
            <w:tcW w:w="1352" w:type="dxa"/>
            <w:shd w:val="clear" w:color="auto" w:fill="FFFFFF" w:themeFill="background1"/>
          </w:tcPr>
          <w:p w14:paraId="7A278F6B" w14:textId="77777777" w:rsidR="00E21E41" w:rsidRPr="00464032" w:rsidRDefault="00E21E41" w:rsidP="00216772">
            <w:pPr>
              <w:spacing w:before="40" w:after="40"/>
              <w:jc w:val="center"/>
              <w:cnfStyle w:val="000000000000" w:firstRow="0" w:lastRow="0" w:firstColumn="0" w:lastColumn="0" w:oddVBand="0" w:evenVBand="0" w:oddHBand="0" w:evenHBand="0" w:firstRowFirstColumn="0" w:firstRowLastColumn="0" w:lastRowFirstColumn="0" w:lastRowLastColumn="0"/>
              <w:rPr>
                <w:szCs w:val="24"/>
              </w:rPr>
            </w:pPr>
            <w:r w:rsidRPr="00464032">
              <w:rPr>
                <w:szCs w:val="24"/>
              </w:rPr>
              <w:t>Fft</w:t>
            </w:r>
          </w:p>
        </w:tc>
        <w:tc>
          <w:tcPr>
            <w:tcW w:w="1276" w:type="dxa"/>
            <w:shd w:val="clear" w:color="auto" w:fill="FFFFFF" w:themeFill="background1"/>
          </w:tcPr>
          <w:p w14:paraId="5AB5F27B" w14:textId="77777777" w:rsidR="00E21E41" w:rsidRPr="00464032" w:rsidRDefault="00E21E41" w:rsidP="00216772">
            <w:pPr>
              <w:spacing w:before="40" w:after="40"/>
              <w:jc w:val="center"/>
              <w:cnfStyle w:val="000000000000" w:firstRow="0" w:lastRow="0" w:firstColumn="0" w:lastColumn="0" w:oddVBand="0" w:evenVBand="0" w:oddHBand="0" w:evenHBand="0" w:firstRowFirstColumn="0" w:firstRowLastColumn="0" w:lastRowFirstColumn="0" w:lastRowLastColumn="0"/>
              <w:rPr>
                <w:szCs w:val="24"/>
              </w:rPr>
            </w:pPr>
          </w:p>
        </w:tc>
        <w:tc>
          <w:tcPr>
            <w:tcW w:w="2126" w:type="dxa"/>
            <w:shd w:val="clear" w:color="auto" w:fill="FFFFFF" w:themeFill="background1"/>
          </w:tcPr>
          <w:p w14:paraId="11244735" w14:textId="77777777" w:rsidR="00E21E41" w:rsidRPr="00464032" w:rsidRDefault="00E21E41" w:rsidP="00216772">
            <w:pPr>
              <w:spacing w:before="40" w:after="40"/>
              <w:ind w:right="110"/>
              <w:jc w:val="right"/>
              <w:cnfStyle w:val="000000000000" w:firstRow="0" w:lastRow="0" w:firstColumn="0" w:lastColumn="0" w:oddVBand="0" w:evenVBand="0" w:oddHBand="0" w:evenHBand="0" w:firstRowFirstColumn="0" w:firstRowLastColumn="0" w:lastRowFirstColumn="0" w:lastRowLastColumn="0"/>
              <w:rPr>
                <w:szCs w:val="24"/>
              </w:rPr>
            </w:pPr>
            <w:r>
              <w:rPr>
                <w:szCs w:val="24"/>
              </w:rPr>
              <w:t>5</w:t>
            </w:r>
            <w:r w:rsidRPr="00464032">
              <w:rPr>
                <w:szCs w:val="24"/>
              </w:rPr>
              <w:t>,000</w:t>
            </w:r>
          </w:p>
        </w:tc>
      </w:tr>
      <w:tr w:rsidR="00E21E41" w:rsidRPr="00464032" w14:paraId="01AF64F1" w14:textId="77777777" w:rsidTr="002167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7" w:type="dxa"/>
            <w:tcBorders>
              <w:left w:val="none" w:sz="0" w:space="0" w:color="auto"/>
              <w:right w:val="none" w:sz="0" w:space="0" w:color="auto"/>
            </w:tcBorders>
            <w:shd w:val="clear" w:color="auto" w:fill="FFFFFF" w:themeFill="background1"/>
          </w:tcPr>
          <w:p w14:paraId="38714FE9" w14:textId="77777777" w:rsidR="00E21E41" w:rsidRPr="00464032" w:rsidRDefault="00E21E41" w:rsidP="00216772">
            <w:pPr>
              <w:spacing w:before="40" w:after="40"/>
              <w:rPr>
                <w:szCs w:val="24"/>
              </w:rPr>
            </w:pPr>
          </w:p>
        </w:tc>
        <w:tc>
          <w:tcPr>
            <w:tcW w:w="4039" w:type="dxa"/>
            <w:tcBorders>
              <w:left w:val="none" w:sz="0" w:space="0" w:color="auto"/>
              <w:right w:val="none" w:sz="0" w:space="0" w:color="auto"/>
            </w:tcBorders>
            <w:shd w:val="clear" w:color="auto" w:fill="FFFFFF" w:themeFill="background1"/>
          </w:tcPr>
          <w:p w14:paraId="6E13602E" w14:textId="77777777" w:rsidR="00E21E41" w:rsidRPr="00464032" w:rsidRDefault="00E21E41" w:rsidP="00216772">
            <w:pPr>
              <w:spacing w:before="40" w:after="40"/>
              <w:cnfStyle w:val="000000100000" w:firstRow="0" w:lastRow="0" w:firstColumn="0" w:lastColumn="0" w:oddVBand="0" w:evenVBand="0" w:oddHBand="1" w:evenHBand="0" w:firstRowFirstColumn="0" w:firstRowLastColumn="0" w:lastRowFirstColumn="0" w:lastRowLastColumn="0"/>
              <w:rPr>
                <w:b/>
                <w:szCs w:val="24"/>
              </w:rPr>
            </w:pPr>
            <w:r w:rsidRPr="00464032">
              <w:rPr>
                <w:szCs w:val="24"/>
              </w:rPr>
              <w:t>Total</w:t>
            </w:r>
          </w:p>
        </w:tc>
        <w:tc>
          <w:tcPr>
            <w:tcW w:w="1352" w:type="dxa"/>
            <w:tcBorders>
              <w:left w:val="none" w:sz="0" w:space="0" w:color="auto"/>
              <w:right w:val="none" w:sz="0" w:space="0" w:color="auto"/>
            </w:tcBorders>
            <w:shd w:val="clear" w:color="auto" w:fill="FFFFFF" w:themeFill="background1"/>
          </w:tcPr>
          <w:p w14:paraId="785DA9F0" w14:textId="77777777" w:rsidR="00E21E41" w:rsidRPr="00464032" w:rsidRDefault="00E21E41" w:rsidP="00216772">
            <w:pPr>
              <w:spacing w:before="40" w:after="40"/>
              <w:jc w:val="right"/>
              <w:cnfStyle w:val="000000100000" w:firstRow="0" w:lastRow="0" w:firstColumn="0" w:lastColumn="0" w:oddVBand="0" w:evenVBand="0" w:oddHBand="1" w:evenHBand="0" w:firstRowFirstColumn="0" w:firstRowLastColumn="0" w:lastRowFirstColumn="0" w:lastRowLastColumn="0"/>
              <w:rPr>
                <w:b/>
                <w:szCs w:val="24"/>
              </w:rPr>
            </w:pPr>
          </w:p>
        </w:tc>
        <w:tc>
          <w:tcPr>
            <w:tcW w:w="1276" w:type="dxa"/>
            <w:tcBorders>
              <w:left w:val="none" w:sz="0" w:space="0" w:color="auto"/>
              <w:right w:val="none" w:sz="0" w:space="0" w:color="auto"/>
            </w:tcBorders>
            <w:shd w:val="clear" w:color="auto" w:fill="FFFFFF" w:themeFill="background1"/>
          </w:tcPr>
          <w:p w14:paraId="3C4D4550" w14:textId="77777777" w:rsidR="00E21E41" w:rsidRPr="00464032" w:rsidRDefault="00E21E41" w:rsidP="00216772">
            <w:pPr>
              <w:spacing w:before="40" w:after="40"/>
              <w:jc w:val="right"/>
              <w:cnfStyle w:val="000000100000" w:firstRow="0" w:lastRow="0" w:firstColumn="0" w:lastColumn="0" w:oddVBand="0" w:evenVBand="0" w:oddHBand="1" w:evenHBand="0" w:firstRowFirstColumn="0" w:firstRowLastColumn="0" w:lastRowFirstColumn="0" w:lastRowLastColumn="0"/>
              <w:rPr>
                <w:b/>
                <w:szCs w:val="24"/>
              </w:rPr>
            </w:pPr>
          </w:p>
        </w:tc>
        <w:tc>
          <w:tcPr>
            <w:tcW w:w="2126" w:type="dxa"/>
            <w:tcBorders>
              <w:left w:val="none" w:sz="0" w:space="0" w:color="auto"/>
              <w:right w:val="none" w:sz="0" w:space="0" w:color="auto"/>
            </w:tcBorders>
            <w:shd w:val="clear" w:color="auto" w:fill="FFFFFF" w:themeFill="background1"/>
          </w:tcPr>
          <w:p w14:paraId="7B68E1E7" w14:textId="77777777" w:rsidR="00E21E41" w:rsidRPr="00464032" w:rsidRDefault="00E21E41" w:rsidP="00216772">
            <w:pPr>
              <w:spacing w:before="40" w:after="40"/>
              <w:ind w:right="110"/>
              <w:jc w:val="right"/>
              <w:cnfStyle w:val="000000100000" w:firstRow="0" w:lastRow="0" w:firstColumn="0" w:lastColumn="0" w:oddVBand="0" w:evenVBand="0" w:oddHBand="1" w:evenHBand="0" w:firstRowFirstColumn="0" w:firstRowLastColumn="0" w:lastRowFirstColumn="0" w:lastRowLastColumn="0"/>
              <w:rPr>
                <w:b/>
                <w:szCs w:val="24"/>
              </w:rPr>
            </w:pPr>
            <w:r>
              <w:rPr>
                <w:b/>
                <w:szCs w:val="24"/>
              </w:rPr>
              <w:t>145,000</w:t>
            </w:r>
          </w:p>
        </w:tc>
      </w:tr>
    </w:tbl>
    <w:p w14:paraId="474543E0" w14:textId="77777777" w:rsidR="00E21E41" w:rsidRPr="00E21E41" w:rsidRDefault="00E21E41" w:rsidP="00E21E41"/>
    <w:p w14:paraId="29A9ADE5" w14:textId="4985A415" w:rsidR="00575CDF" w:rsidRPr="00C801A6" w:rsidRDefault="00575CDF" w:rsidP="00014BC0">
      <w:pPr>
        <w:pStyle w:val="Heading2"/>
      </w:pPr>
      <w:bookmarkStart w:id="816" w:name="_Toc230426093"/>
      <w:r w:rsidRPr="00C801A6">
        <w:t>ARRANGEMENTS INSTITUTIONNEL pour la MISE EN ŒUVRE ET le SUIVI DU CGES</w:t>
      </w:r>
      <w:bookmarkEnd w:id="811"/>
      <w:bookmarkEnd w:id="812"/>
      <w:bookmarkEnd w:id="816"/>
    </w:p>
    <w:p w14:paraId="0B64101D" w14:textId="1D3D1E9C" w:rsidR="00E21E41" w:rsidRDefault="00E21E41" w:rsidP="00E21E41">
      <w:r>
        <w:t>Les arrangements institutionnels pour la mise en œuvre et le suivi du Projet PCMCI sont les suivants :</w:t>
      </w:r>
    </w:p>
    <w:p w14:paraId="18CAF291" w14:textId="77777777" w:rsidR="00E21E41" w:rsidRPr="000A74CD" w:rsidRDefault="00E21E41" w:rsidP="00844538">
      <w:pPr>
        <w:pStyle w:val="ListParagraph"/>
        <w:numPr>
          <w:ilvl w:val="0"/>
          <w:numId w:val="176"/>
        </w:numPr>
        <w:spacing w:after="120" w:line="276" w:lineRule="auto"/>
        <w:ind w:left="567" w:hanging="425"/>
        <w:contextualSpacing w:val="0"/>
        <w:rPr>
          <w:b/>
          <w:bCs/>
          <w:color w:val="auto"/>
        </w:rPr>
      </w:pPr>
      <w:r w:rsidRPr="000A74CD">
        <w:rPr>
          <w:b/>
          <w:bCs/>
          <w:color w:val="auto"/>
        </w:rPr>
        <w:t>Le Maître d’Ouvrage</w:t>
      </w:r>
    </w:p>
    <w:p w14:paraId="3CC869D6" w14:textId="77777777" w:rsidR="00E21E41" w:rsidRDefault="00E21E41" w:rsidP="00E21E41">
      <w:pPr>
        <w:ind w:left="567"/>
        <w:rPr>
          <w:color w:val="000000"/>
        </w:rPr>
      </w:pPr>
      <w:r w:rsidRPr="00FF3275">
        <w:rPr>
          <w:color w:val="000000"/>
        </w:rPr>
        <w:t>La maîtrise d’ouvrage relève des fonctions du Ministère des Travaux Publics (MTP), Ministère de tutelle du Projet</w:t>
      </w:r>
      <w:r>
        <w:rPr>
          <w:color w:val="000000"/>
        </w:rPr>
        <w:t xml:space="preserve"> qui représente l’Etat </w:t>
      </w:r>
    </w:p>
    <w:p w14:paraId="6F910351" w14:textId="77777777" w:rsidR="00E21E41" w:rsidRDefault="00E21E41" w:rsidP="00E21E41">
      <w:pPr>
        <w:ind w:left="567"/>
        <w:rPr>
          <w:rFonts w:cs="Arial"/>
        </w:rPr>
      </w:pPr>
      <w:r>
        <w:rPr>
          <w:rFonts w:cs="Arial"/>
        </w:rPr>
        <w:t xml:space="preserve">Comme </w:t>
      </w:r>
      <w:r w:rsidRPr="00BB11CB">
        <w:rPr>
          <w:rFonts w:cs="Arial"/>
        </w:rPr>
        <w:t xml:space="preserve">Maître d’Ouvrage du réseau des routes nationales, le MTP représente l’Etat. A ce titre, il conçoit les routes et autres ouvrages des travaux publics, met en œuvre leur construction, leur réhabilitation et leur entretien. Il est </w:t>
      </w:r>
      <w:r>
        <w:rPr>
          <w:rFonts w:cs="Arial"/>
        </w:rPr>
        <w:t xml:space="preserve">aussi </w:t>
      </w:r>
      <w:r w:rsidRPr="00BB11CB">
        <w:rPr>
          <w:rFonts w:cs="Arial"/>
        </w:rPr>
        <w:t>chargé des actes administratifs nécessaires au déroulement de l’étude</w:t>
      </w:r>
      <w:r>
        <w:rPr>
          <w:rFonts w:cs="Arial"/>
        </w:rPr>
        <w:t>, entre autres, l’</w:t>
      </w:r>
      <w:r w:rsidRPr="00BB11CB">
        <w:rPr>
          <w:rFonts w:cs="Arial"/>
        </w:rPr>
        <w:t>Arrêté d’ouverture d’enquêtes</w:t>
      </w:r>
      <w:r>
        <w:rPr>
          <w:rFonts w:cs="Arial"/>
        </w:rPr>
        <w:t xml:space="preserve"> </w:t>
      </w:r>
      <w:r w:rsidRPr="00BB11CB">
        <w:rPr>
          <w:rFonts w:cs="Arial"/>
        </w:rPr>
        <w:t>de commodo in commodo,</w:t>
      </w:r>
      <w:r>
        <w:rPr>
          <w:rFonts w:cs="Arial"/>
        </w:rPr>
        <w:t xml:space="preserve"> le </w:t>
      </w:r>
      <w:r w:rsidRPr="00BB11CB">
        <w:rPr>
          <w:rFonts w:cs="Arial"/>
        </w:rPr>
        <w:t xml:space="preserve">Décret Déclaratif d’Utilité Publique (DDUP) éventuel, </w:t>
      </w:r>
      <w:r>
        <w:rPr>
          <w:rFonts w:cs="Arial"/>
        </w:rPr>
        <w:t>l’</w:t>
      </w:r>
      <w:r w:rsidRPr="00BB11CB">
        <w:rPr>
          <w:rFonts w:cs="Arial"/>
        </w:rPr>
        <w:t>Arrêté de cession à l’amiable</w:t>
      </w:r>
      <w:r>
        <w:rPr>
          <w:rFonts w:cs="Arial"/>
        </w:rPr>
        <w:t>.</w:t>
      </w:r>
    </w:p>
    <w:p w14:paraId="29392CB1" w14:textId="77777777" w:rsidR="00E21E41" w:rsidRDefault="00E21E41" w:rsidP="00E21E41">
      <w:pPr>
        <w:ind w:left="567"/>
        <w:rPr>
          <w:rFonts w:cs="Arial"/>
        </w:rPr>
      </w:pPr>
      <w:r w:rsidRPr="00BB11CB">
        <w:rPr>
          <w:rFonts w:cs="Arial"/>
        </w:rPr>
        <w:t>Il dispose d’une Direction chargée des Etudes Environnementales dans le secteur des travaux publics (D</w:t>
      </w:r>
      <w:r>
        <w:rPr>
          <w:rFonts w:cs="Arial"/>
        </w:rPr>
        <w:t>irection Evaluation Environnementale ou D</w:t>
      </w:r>
      <w:r w:rsidRPr="00BB11CB">
        <w:rPr>
          <w:rFonts w:cs="Arial"/>
        </w:rPr>
        <w:t>EE) rattachée au Secrétariat Général</w:t>
      </w:r>
      <w:r>
        <w:rPr>
          <w:rFonts w:cs="Arial"/>
        </w:rPr>
        <w:t xml:space="preserve"> et </w:t>
      </w:r>
      <w:r w:rsidRPr="00BB11CB">
        <w:rPr>
          <w:rFonts w:cs="Arial"/>
        </w:rPr>
        <w:t>qui représente la Cellule Environnementale du ministère</w:t>
      </w:r>
      <w:r>
        <w:rPr>
          <w:rFonts w:cs="Arial"/>
        </w:rPr>
        <w:t>.</w:t>
      </w:r>
    </w:p>
    <w:p w14:paraId="11745C4B" w14:textId="6621567C" w:rsidR="00E21E41" w:rsidRDefault="00E21E41" w:rsidP="00E21E41">
      <w:pPr>
        <w:ind w:left="567"/>
        <w:rPr>
          <w:rFonts w:cs="Arial"/>
        </w:rPr>
      </w:pPr>
      <w:r w:rsidRPr="001F0FD2">
        <w:rPr>
          <w:rFonts w:cs="Arial"/>
        </w:rPr>
        <w:t>Pour le Projet P</w:t>
      </w:r>
      <w:r w:rsidR="00A8125D">
        <w:rPr>
          <w:rFonts w:cs="Arial"/>
        </w:rPr>
        <w:t>CMCI</w:t>
      </w:r>
      <w:r w:rsidRPr="001F0FD2">
        <w:rPr>
          <w:rFonts w:cs="Arial"/>
        </w:rPr>
        <w:t xml:space="preserve">, </w:t>
      </w:r>
      <w:r w:rsidRPr="00BB11CB">
        <w:rPr>
          <w:rFonts w:cs="Arial"/>
        </w:rPr>
        <w:t>il assure pleinement la maitrise d’ouvrage sur le plan technique.</w:t>
      </w:r>
    </w:p>
    <w:p w14:paraId="3805627E" w14:textId="77777777" w:rsidR="00E21E41" w:rsidRPr="000A74CD" w:rsidRDefault="00E21E41" w:rsidP="00844538">
      <w:pPr>
        <w:pStyle w:val="ListParagraph"/>
        <w:numPr>
          <w:ilvl w:val="0"/>
          <w:numId w:val="176"/>
        </w:numPr>
        <w:spacing w:after="120" w:line="276" w:lineRule="auto"/>
        <w:ind w:left="567" w:hanging="425"/>
        <w:contextualSpacing w:val="0"/>
        <w:rPr>
          <w:b/>
          <w:bCs/>
          <w:color w:val="auto"/>
        </w:rPr>
      </w:pPr>
      <w:r w:rsidRPr="000A74CD">
        <w:rPr>
          <w:b/>
          <w:bCs/>
          <w:color w:val="auto"/>
        </w:rPr>
        <w:t>Le Maître d'Ouvrage Délégué (MOD)</w:t>
      </w:r>
    </w:p>
    <w:p w14:paraId="4B342AE1" w14:textId="27FFCDA2" w:rsidR="003223E0" w:rsidRPr="00254809" w:rsidRDefault="00E21E41" w:rsidP="003223E0">
      <w:pPr>
        <w:ind w:left="567"/>
        <w:rPr>
          <w:rFonts w:cs="Arial"/>
          <w:color w:val="auto"/>
        </w:rPr>
      </w:pPr>
      <w:r w:rsidRPr="00254809">
        <w:rPr>
          <w:rFonts w:cs="Arial"/>
          <w:color w:val="auto"/>
        </w:rPr>
        <w:t xml:space="preserve">Le </w:t>
      </w:r>
      <w:r w:rsidR="003223E0" w:rsidRPr="00254809">
        <w:rPr>
          <w:rFonts w:cs="Arial"/>
          <w:color w:val="auto"/>
        </w:rPr>
        <w:t>MOD, à la fois l’Agence d’exécution des sous-projets de la composante 1 du projet PCMCI, est l’AR, tandis que l’UCP/</w:t>
      </w:r>
      <w:r w:rsidR="00A8125D">
        <w:rPr>
          <w:rFonts w:cs="Arial"/>
          <w:color w:val="auto"/>
        </w:rPr>
        <w:t>CERC-PCMCI</w:t>
      </w:r>
      <w:r w:rsidR="003223E0" w:rsidRPr="00254809">
        <w:rPr>
          <w:rFonts w:cs="Arial"/>
          <w:color w:val="auto"/>
        </w:rPr>
        <w:t xml:space="preserve"> est désignée comme MOD pour la composante 4.</w:t>
      </w:r>
    </w:p>
    <w:p w14:paraId="3DB3C8B6" w14:textId="77777777" w:rsidR="00E21E41" w:rsidRPr="000A74CD" w:rsidRDefault="00E21E41" w:rsidP="00844538">
      <w:pPr>
        <w:pStyle w:val="ListParagraph"/>
        <w:numPr>
          <w:ilvl w:val="0"/>
          <w:numId w:val="176"/>
        </w:numPr>
        <w:spacing w:after="120" w:line="276" w:lineRule="auto"/>
        <w:ind w:left="567" w:hanging="425"/>
        <w:contextualSpacing w:val="0"/>
        <w:rPr>
          <w:b/>
          <w:bCs/>
          <w:color w:val="auto"/>
        </w:rPr>
      </w:pPr>
      <w:r w:rsidRPr="000A74CD">
        <w:rPr>
          <w:b/>
          <w:bCs/>
          <w:color w:val="auto"/>
        </w:rPr>
        <w:t>Le Maître d'œuvre</w:t>
      </w:r>
    </w:p>
    <w:p w14:paraId="3527B2D4" w14:textId="0B7F5447" w:rsidR="00E21E41" w:rsidRPr="000A74CD" w:rsidRDefault="00E21E41" w:rsidP="00E21E41">
      <w:pPr>
        <w:ind w:left="567"/>
        <w:rPr>
          <w:rFonts w:cs="Arial"/>
        </w:rPr>
      </w:pPr>
      <w:r w:rsidRPr="000A74CD">
        <w:rPr>
          <w:rFonts w:cs="Arial"/>
        </w:rPr>
        <w:t xml:space="preserve">Il est désigné comme "le Consultant" : il s’agit du bureau d'études chargé </w:t>
      </w:r>
      <w:r>
        <w:rPr>
          <w:rFonts w:cs="Arial"/>
        </w:rPr>
        <w:t>de l’élaboration du</w:t>
      </w:r>
      <w:r w:rsidRPr="00BB11CB">
        <w:rPr>
          <w:rFonts w:cs="Arial"/>
        </w:rPr>
        <w:t xml:space="preserve"> CGES, </w:t>
      </w:r>
      <w:r>
        <w:rPr>
          <w:rFonts w:cs="Arial"/>
        </w:rPr>
        <w:t xml:space="preserve">du </w:t>
      </w:r>
      <w:r w:rsidRPr="00BB11CB">
        <w:rPr>
          <w:rFonts w:cs="Arial"/>
        </w:rPr>
        <w:t xml:space="preserve">CR, et </w:t>
      </w:r>
      <w:r>
        <w:rPr>
          <w:rFonts w:cs="Arial"/>
        </w:rPr>
        <w:t>d’</w:t>
      </w:r>
      <w:r w:rsidRPr="00BB11CB">
        <w:rPr>
          <w:rFonts w:cs="Arial"/>
        </w:rPr>
        <w:t xml:space="preserve">autres documents prévus </w:t>
      </w:r>
      <w:r>
        <w:rPr>
          <w:rFonts w:cs="Arial"/>
        </w:rPr>
        <w:t xml:space="preserve">pour le Projet </w:t>
      </w:r>
      <w:r w:rsidR="00D1342C">
        <w:rPr>
          <w:rFonts w:cs="Arial"/>
        </w:rPr>
        <w:t>PCMCI</w:t>
      </w:r>
      <w:r>
        <w:rPr>
          <w:rFonts w:cs="Arial"/>
        </w:rPr>
        <w:t>. Il dispose</w:t>
      </w:r>
      <w:r w:rsidRPr="00BB11CB">
        <w:rPr>
          <w:rFonts w:cs="Arial"/>
        </w:rPr>
        <w:t xml:space="preserve"> d’un contrat avec la MOD</w:t>
      </w:r>
      <w:r w:rsidRPr="000A74CD">
        <w:rPr>
          <w:rFonts w:cs="Arial"/>
        </w:rPr>
        <w:t>.</w:t>
      </w:r>
    </w:p>
    <w:p w14:paraId="4F043825" w14:textId="77777777" w:rsidR="00E21E41" w:rsidRPr="000A74CD" w:rsidRDefault="00E21E41" w:rsidP="00844538">
      <w:pPr>
        <w:pStyle w:val="ListParagraph"/>
        <w:numPr>
          <w:ilvl w:val="0"/>
          <w:numId w:val="176"/>
        </w:numPr>
        <w:spacing w:after="120" w:line="276" w:lineRule="auto"/>
        <w:ind w:left="567" w:hanging="425"/>
        <w:contextualSpacing w:val="0"/>
        <w:rPr>
          <w:b/>
          <w:bCs/>
          <w:color w:val="auto"/>
        </w:rPr>
      </w:pPr>
      <w:r w:rsidRPr="000A74CD">
        <w:rPr>
          <w:b/>
          <w:bCs/>
          <w:color w:val="auto"/>
        </w:rPr>
        <w:t xml:space="preserve">Le Chef de Projet </w:t>
      </w:r>
    </w:p>
    <w:p w14:paraId="6FEAC811" w14:textId="1B8079A0" w:rsidR="00E21E41" w:rsidRDefault="00254809" w:rsidP="00E21E41">
      <w:pPr>
        <w:ind w:left="567"/>
        <w:rPr>
          <w:color w:val="000000"/>
        </w:rPr>
      </w:pPr>
      <w:bookmarkStart w:id="817" w:name="_Hlk160808157"/>
      <w:r w:rsidRPr="00254809">
        <w:rPr>
          <w:color w:val="auto"/>
        </w:rPr>
        <w:t>Selon la composante concernée du projet, il s’agit de l’Ingénieur à l’Agence Routière ou de l’UCP/</w:t>
      </w:r>
      <w:r w:rsidR="00A8125D">
        <w:rPr>
          <w:color w:val="auto"/>
        </w:rPr>
        <w:t>CERC-PCMCI</w:t>
      </w:r>
      <w:r w:rsidRPr="00254809">
        <w:rPr>
          <w:color w:val="auto"/>
        </w:rPr>
        <w:t xml:space="preserve"> </w:t>
      </w:r>
      <w:bookmarkEnd w:id="817"/>
      <w:r w:rsidRPr="00254809">
        <w:rPr>
          <w:color w:val="auto"/>
        </w:rPr>
        <w:t xml:space="preserve">qui </w:t>
      </w:r>
      <w:r w:rsidR="00E21E41">
        <w:rPr>
          <w:color w:val="000000"/>
        </w:rPr>
        <w:t>sera</w:t>
      </w:r>
      <w:r w:rsidR="00E21E41" w:rsidRPr="00FF3275">
        <w:rPr>
          <w:color w:val="000000"/>
        </w:rPr>
        <w:t xml:space="preserve"> chargé du suivi du projet considéré.</w:t>
      </w:r>
    </w:p>
    <w:p w14:paraId="1D0A3235" w14:textId="77777777" w:rsidR="00E21E41" w:rsidRPr="000A74CD" w:rsidRDefault="00E21E41" w:rsidP="00844538">
      <w:pPr>
        <w:pStyle w:val="ListParagraph"/>
        <w:numPr>
          <w:ilvl w:val="0"/>
          <w:numId w:val="176"/>
        </w:numPr>
        <w:spacing w:after="120" w:line="276" w:lineRule="auto"/>
        <w:ind w:left="567" w:hanging="425"/>
        <w:contextualSpacing w:val="0"/>
        <w:rPr>
          <w:b/>
          <w:bCs/>
          <w:color w:val="auto"/>
        </w:rPr>
      </w:pPr>
      <w:r w:rsidRPr="000A74CD">
        <w:rPr>
          <w:b/>
          <w:bCs/>
          <w:color w:val="auto"/>
        </w:rPr>
        <w:lastRenderedPageBreak/>
        <w:t>Le Maître d’œuvre technique (MOeT)</w:t>
      </w:r>
    </w:p>
    <w:p w14:paraId="2B34E2D0" w14:textId="77777777" w:rsidR="00E21E41" w:rsidRDefault="00E21E41" w:rsidP="00E21E41">
      <w:pPr>
        <w:ind w:left="567"/>
        <w:rPr>
          <w:color w:val="000000"/>
        </w:rPr>
      </w:pPr>
      <w:r w:rsidRPr="00FF3275">
        <w:rPr>
          <w:color w:val="000000"/>
        </w:rPr>
        <w:t xml:space="preserve">Le Maître d'Œuvre Technique est l'entité retenue pour suivre la réalisation des travaux, dans les conditions de délais, de qualité et de coût fixées par ce dernier et conformément au marché de travaux. </w:t>
      </w:r>
    </w:p>
    <w:p w14:paraId="26EE0AF3" w14:textId="77777777" w:rsidR="00E21E41" w:rsidRPr="00FF3275" w:rsidRDefault="00E21E41" w:rsidP="00E21E41">
      <w:pPr>
        <w:ind w:left="567"/>
        <w:rPr>
          <w:color w:val="000000"/>
        </w:rPr>
      </w:pPr>
      <w:r w:rsidRPr="00FF3275">
        <w:rPr>
          <w:color w:val="000000"/>
        </w:rPr>
        <w:t xml:space="preserve">C’est le bureau d'études qui sera chargé d'exécuter le contrôle et la surveillance des travaux, le suivi des délais et des budgets selon les modalités définies dans son contrat. </w:t>
      </w:r>
    </w:p>
    <w:p w14:paraId="1526C766" w14:textId="77777777" w:rsidR="00E21E41" w:rsidRPr="00FF3275" w:rsidRDefault="00E21E41" w:rsidP="00E21E41">
      <w:pPr>
        <w:ind w:left="567"/>
        <w:rPr>
          <w:color w:val="000000"/>
        </w:rPr>
      </w:pPr>
      <w:bookmarkStart w:id="818" w:name="_Hlk134985885"/>
      <w:r w:rsidRPr="00FF3275">
        <w:rPr>
          <w:color w:val="000000"/>
        </w:rPr>
        <w:t xml:space="preserve">Il assurera également </w:t>
      </w:r>
      <w:r w:rsidRPr="000A74CD">
        <w:rPr>
          <w:color w:val="000000"/>
        </w:rPr>
        <w:t>la responsabilité du chef de projet pour le compte du Maître d’Ouvrage. Dans ce cadre, il tiendra</w:t>
      </w:r>
      <w:r w:rsidRPr="00FF3275">
        <w:rPr>
          <w:color w:val="000000"/>
        </w:rPr>
        <w:t xml:space="preserve"> le secrétariat des réunions de chantier et conduira toute visite des personnalités ou fonctionnaires en visite officielle sur le chantier et leur exposera les explications technico-administratives et environnementales nécessaires au déroulement des travaux. </w:t>
      </w:r>
    </w:p>
    <w:p w14:paraId="0BBC5399" w14:textId="77777777" w:rsidR="00E21E41" w:rsidRDefault="00E21E41" w:rsidP="00E21E41">
      <w:pPr>
        <w:ind w:left="567"/>
        <w:rPr>
          <w:color w:val="000000"/>
        </w:rPr>
      </w:pPr>
      <w:r w:rsidRPr="00FF3275">
        <w:rPr>
          <w:color w:val="000000"/>
        </w:rPr>
        <w:t>Il consignera toute anomalie et décision prises sur le chantier concernant l’environnement et le social dans le rapport mensuel de surveillance environnementale et sociale qu’il fera valider par le MTP/U</w:t>
      </w:r>
      <w:r>
        <w:rPr>
          <w:color w:val="000000"/>
        </w:rPr>
        <w:t>C</w:t>
      </w:r>
      <w:r w:rsidRPr="00FF3275">
        <w:rPr>
          <w:color w:val="000000"/>
        </w:rPr>
        <w:t xml:space="preserve">P. L’Expert Environnemental du MOeT rendra donc compte de l’effectivité des mesures prises et pourra proposer des dispositions en cas de besoin. </w:t>
      </w:r>
    </w:p>
    <w:p w14:paraId="52DFC941" w14:textId="77777777" w:rsidR="00E21E41" w:rsidRPr="000A74CD" w:rsidRDefault="00E21E41" w:rsidP="00844538">
      <w:pPr>
        <w:pStyle w:val="ListParagraph"/>
        <w:numPr>
          <w:ilvl w:val="0"/>
          <w:numId w:val="176"/>
        </w:numPr>
        <w:spacing w:after="120" w:line="276" w:lineRule="auto"/>
        <w:ind w:left="567" w:hanging="425"/>
        <w:contextualSpacing w:val="0"/>
        <w:rPr>
          <w:b/>
          <w:bCs/>
          <w:color w:val="auto"/>
        </w:rPr>
      </w:pPr>
      <w:r w:rsidRPr="000A74CD">
        <w:rPr>
          <w:b/>
          <w:bCs/>
          <w:color w:val="auto"/>
        </w:rPr>
        <w:t>Les Autorités Locales</w:t>
      </w:r>
    </w:p>
    <w:p w14:paraId="6E38B70D" w14:textId="4380F5C8" w:rsidR="00E21E41" w:rsidRPr="00FF3275" w:rsidRDefault="00E21E41" w:rsidP="00E21E41">
      <w:pPr>
        <w:ind w:left="567"/>
        <w:rPr>
          <w:color w:val="000000"/>
        </w:rPr>
      </w:pPr>
      <w:r w:rsidRPr="00FF3275">
        <w:rPr>
          <w:color w:val="000000"/>
        </w:rPr>
        <w:t xml:space="preserve">Il s’agit des autorités </w:t>
      </w:r>
      <w:r>
        <w:rPr>
          <w:color w:val="000000"/>
        </w:rPr>
        <w:t>au niveau des districts, communes et fokontany des</w:t>
      </w:r>
      <w:r w:rsidRPr="00FF3275">
        <w:rPr>
          <w:color w:val="000000"/>
        </w:rPr>
        <w:t xml:space="preserve"> </w:t>
      </w:r>
      <w:r>
        <w:rPr>
          <w:color w:val="000000"/>
        </w:rPr>
        <w:t>r</w:t>
      </w:r>
      <w:r w:rsidRPr="00FF3275">
        <w:rPr>
          <w:color w:val="000000"/>
        </w:rPr>
        <w:t>égions concernées</w:t>
      </w:r>
      <w:r>
        <w:rPr>
          <w:color w:val="000000"/>
        </w:rPr>
        <w:t xml:space="preserve"> </w:t>
      </w:r>
      <w:r w:rsidR="00D1342C">
        <w:rPr>
          <w:color w:val="000000"/>
        </w:rPr>
        <w:t>par les travaux.</w:t>
      </w:r>
    </w:p>
    <w:p w14:paraId="10D351E8" w14:textId="77777777" w:rsidR="00E21E41" w:rsidRDefault="00E21E41" w:rsidP="00E21E41">
      <w:pPr>
        <w:ind w:left="567"/>
        <w:rPr>
          <w:color w:val="000000"/>
        </w:rPr>
      </w:pPr>
      <w:r w:rsidRPr="00FF3275">
        <w:rPr>
          <w:color w:val="000000"/>
        </w:rPr>
        <w:t>Elles ont un droit de regard sur le bon respect des principes auxquels adhère le Projet (principes de participation, transparence et équité) et au suivi de la mise en œuvre du Plan de Gestion Environnementale et Sociale du Projet (PGES-P)</w:t>
      </w:r>
      <w:r>
        <w:rPr>
          <w:color w:val="000000"/>
        </w:rPr>
        <w:t xml:space="preserve">. Elles peuvent donner leur avis pendant les </w:t>
      </w:r>
      <w:r w:rsidRPr="000A74CD">
        <w:rPr>
          <w:color w:val="000000"/>
        </w:rPr>
        <w:t xml:space="preserve">consultations publiques auxquelles elles peuvent participer. </w:t>
      </w:r>
    </w:p>
    <w:p w14:paraId="15F9DF37" w14:textId="77777777" w:rsidR="00E21E41" w:rsidRDefault="00E21E41" w:rsidP="00E21E41">
      <w:pPr>
        <w:ind w:left="567"/>
        <w:rPr>
          <w:color w:val="000000"/>
        </w:rPr>
      </w:pPr>
      <w:r>
        <w:rPr>
          <w:color w:val="000000"/>
        </w:rPr>
        <w:t>Par ailleurs, l</w:t>
      </w:r>
      <w:r w:rsidRPr="004A436A">
        <w:rPr>
          <w:color w:val="000000"/>
        </w:rPr>
        <w:t>es communes concernées par le tracé participent à l’évaluation environnementale (consultations publiques, enquête de commodo et incommodo) et sont impliqué</w:t>
      </w:r>
      <w:r>
        <w:rPr>
          <w:color w:val="000000"/>
        </w:rPr>
        <w:t>e</w:t>
      </w:r>
      <w:r w:rsidRPr="004A436A">
        <w:rPr>
          <w:color w:val="000000"/>
        </w:rPr>
        <w:t>s dans le processus d’expropriation pour utilité publique à travers les Personnes Affectées par le Projet (PAPs). Les Communes sont également sollicitées dans le système de gestion des conflits ou plaintes.</w:t>
      </w:r>
    </w:p>
    <w:p w14:paraId="2DF501B8" w14:textId="77777777" w:rsidR="00E21E41" w:rsidRPr="000A74CD" w:rsidRDefault="00E21E41" w:rsidP="00844538">
      <w:pPr>
        <w:pStyle w:val="ListParagraph"/>
        <w:numPr>
          <w:ilvl w:val="0"/>
          <w:numId w:val="176"/>
        </w:numPr>
        <w:spacing w:after="120" w:line="276" w:lineRule="auto"/>
        <w:ind w:left="567" w:hanging="425"/>
        <w:contextualSpacing w:val="0"/>
        <w:rPr>
          <w:b/>
          <w:bCs/>
          <w:color w:val="auto"/>
        </w:rPr>
      </w:pPr>
      <w:r w:rsidRPr="000A74CD">
        <w:rPr>
          <w:b/>
          <w:bCs/>
          <w:color w:val="auto"/>
        </w:rPr>
        <w:t>Les Entreprises contractantes pour les travaux</w:t>
      </w:r>
    </w:p>
    <w:p w14:paraId="2B4FC749" w14:textId="77777777" w:rsidR="00E21E41" w:rsidRDefault="00E21E41" w:rsidP="00E21E41">
      <w:pPr>
        <w:ind w:left="567"/>
        <w:rPr>
          <w:color w:val="000000"/>
        </w:rPr>
      </w:pPr>
      <w:r w:rsidRPr="00FF3275">
        <w:rPr>
          <w:color w:val="000000"/>
        </w:rPr>
        <w:t>La mise en œuvre de la majeure partie des mesures environnementales et sociales qui seront associées au</w:t>
      </w:r>
      <w:r>
        <w:rPr>
          <w:color w:val="000000"/>
        </w:rPr>
        <w:t>x activités du</w:t>
      </w:r>
      <w:r w:rsidRPr="00FF3275">
        <w:rPr>
          <w:color w:val="000000"/>
        </w:rPr>
        <w:t xml:space="preserve"> projet envisagé sera de la responsabilité des Entreprises de travaux, notamment à travers la mise en œuvre des prescriptions des documents de sauvegarde (PGES-P, clauses environnementales et sociales, autres)</w:t>
      </w:r>
      <w:r>
        <w:rPr>
          <w:color w:val="000000"/>
        </w:rPr>
        <w:t>.</w:t>
      </w:r>
    </w:p>
    <w:p w14:paraId="2E9D1463" w14:textId="77777777" w:rsidR="00E21E41" w:rsidRPr="000A74CD" w:rsidRDefault="00E21E41" w:rsidP="00844538">
      <w:pPr>
        <w:pStyle w:val="ListParagraph"/>
        <w:numPr>
          <w:ilvl w:val="0"/>
          <w:numId w:val="176"/>
        </w:numPr>
        <w:spacing w:after="120" w:line="276" w:lineRule="auto"/>
        <w:ind w:left="567" w:hanging="425"/>
        <w:contextualSpacing w:val="0"/>
        <w:rPr>
          <w:b/>
          <w:bCs/>
          <w:color w:val="auto"/>
        </w:rPr>
      </w:pPr>
      <w:r w:rsidRPr="000A74CD">
        <w:rPr>
          <w:b/>
          <w:bCs/>
          <w:color w:val="auto"/>
        </w:rPr>
        <w:t>Le Maître d’œuvre institutionnelle et sociale (MOIS)</w:t>
      </w:r>
    </w:p>
    <w:p w14:paraId="5B23DDC6" w14:textId="77777777" w:rsidR="00E21E41" w:rsidRDefault="00E21E41" w:rsidP="00E21E41">
      <w:pPr>
        <w:ind w:left="567"/>
        <w:rPr>
          <w:color w:val="000000"/>
        </w:rPr>
      </w:pPr>
      <w:r w:rsidRPr="00FF3275">
        <w:rPr>
          <w:color w:val="000000"/>
        </w:rPr>
        <w:t xml:space="preserve">La maîtrise d’œuvre institutionnelle et sociale </w:t>
      </w:r>
      <w:r>
        <w:rPr>
          <w:color w:val="000000"/>
        </w:rPr>
        <w:t>est le</w:t>
      </w:r>
      <w:r w:rsidRPr="00FF3275">
        <w:rPr>
          <w:color w:val="000000"/>
        </w:rPr>
        <w:t xml:space="preserve"> bureau d’études ou </w:t>
      </w:r>
      <w:r>
        <w:rPr>
          <w:color w:val="000000"/>
        </w:rPr>
        <w:t>l’</w:t>
      </w:r>
      <w:r w:rsidRPr="00FF3275">
        <w:rPr>
          <w:color w:val="000000"/>
        </w:rPr>
        <w:t xml:space="preserve">ONG </w:t>
      </w:r>
      <w:r>
        <w:rPr>
          <w:color w:val="000000"/>
        </w:rPr>
        <w:t xml:space="preserve">prestataire ayant pour missions : (i) de </w:t>
      </w:r>
      <w:r w:rsidRPr="00FF3275">
        <w:rPr>
          <w:color w:val="000000"/>
        </w:rPr>
        <w:t xml:space="preserve">faciliter le déroulement des travaux sur les secteurs où ceux-ci présentent un impact social important, avec perturbation et déplacements temporaires ou définitifs des ménages et des activités, qui nécessiteront un travail d’information, de négociation, d’accompagnement tout au long du chantier pour qu’il se déroule dans les </w:t>
      </w:r>
      <w:r w:rsidRPr="00FF3275">
        <w:rPr>
          <w:color w:val="000000"/>
        </w:rPr>
        <w:lastRenderedPageBreak/>
        <w:t>meilleures conditions</w:t>
      </w:r>
      <w:r>
        <w:rPr>
          <w:color w:val="000000"/>
        </w:rPr>
        <w:t xml:space="preserve"> ; (ii) </w:t>
      </w:r>
      <w:r w:rsidRPr="00FF3275">
        <w:rPr>
          <w:color w:val="000000"/>
        </w:rPr>
        <w:t>de suivre la bonne réinstallation des populations déplacées, dans le cadre de la mise en œuvre du PR du projet, ainsi que dans la mise en œuvre de mesures sociales et la coordination du MGP, et ce durant toute la phase du projet.</w:t>
      </w:r>
    </w:p>
    <w:p w14:paraId="09FFDD89" w14:textId="6146D8D9" w:rsidR="00E21E41" w:rsidRPr="00FF3275" w:rsidRDefault="00E21E41" w:rsidP="00844538">
      <w:pPr>
        <w:pStyle w:val="ListParagraph"/>
        <w:numPr>
          <w:ilvl w:val="0"/>
          <w:numId w:val="176"/>
        </w:numPr>
        <w:spacing w:after="120" w:line="276" w:lineRule="auto"/>
        <w:ind w:left="567" w:hanging="425"/>
        <w:contextualSpacing w:val="0"/>
        <w:rPr>
          <w:b/>
          <w:bCs/>
          <w:color w:val="000000"/>
        </w:rPr>
      </w:pPr>
      <w:r w:rsidRPr="00FF3275">
        <w:rPr>
          <w:b/>
          <w:bCs/>
          <w:color w:val="000000"/>
        </w:rPr>
        <w:t xml:space="preserve">L’Entité d’appui pour la lutte contre les </w:t>
      </w:r>
      <w:r w:rsidR="006F38A3">
        <w:rPr>
          <w:b/>
          <w:bCs/>
          <w:color w:val="000000"/>
        </w:rPr>
        <w:t xml:space="preserve">EAS-HS </w:t>
      </w:r>
      <w:r w:rsidRPr="00FF3275">
        <w:rPr>
          <w:b/>
          <w:bCs/>
          <w:color w:val="000000"/>
        </w:rPr>
        <w:t xml:space="preserve"> :</w:t>
      </w:r>
    </w:p>
    <w:p w14:paraId="37E273C3" w14:textId="5A957013" w:rsidR="00E21E41" w:rsidRDefault="00E21E41" w:rsidP="00E21E41">
      <w:pPr>
        <w:ind w:left="567"/>
        <w:rPr>
          <w:color w:val="000000"/>
        </w:rPr>
      </w:pPr>
      <w:r>
        <w:rPr>
          <w:color w:val="000000"/>
        </w:rPr>
        <w:t xml:space="preserve">C’est </w:t>
      </w:r>
      <w:r w:rsidRPr="00FF3275">
        <w:rPr>
          <w:color w:val="000000"/>
        </w:rPr>
        <w:t xml:space="preserve">une entité experte spécialiste dans la lutte contre les </w:t>
      </w:r>
      <w:r w:rsidR="006F38A3">
        <w:rPr>
          <w:color w:val="000000"/>
        </w:rPr>
        <w:t xml:space="preserve">EAS-HS </w:t>
      </w:r>
      <w:r>
        <w:rPr>
          <w:color w:val="000000"/>
        </w:rPr>
        <w:t xml:space="preserve"> qui sera recrutée par le Projet</w:t>
      </w:r>
      <w:r w:rsidRPr="00FF3275">
        <w:rPr>
          <w:color w:val="000000"/>
        </w:rPr>
        <w:t>. Ses principales missions seront</w:t>
      </w:r>
      <w:r>
        <w:rPr>
          <w:color w:val="000000"/>
        </w:rPr>
        <w:t xml:space="preserve"> : (i) </w:t>
      </w:r>
      <w:r w:rsidRPr="00FF3275">
        <w:rPr>
          <w:color w:val="000000"/>
        </w:rPr>
        <w:t xml:space="preserve">de fournir des appuis conseils opérationnels en matière de </w:t>
      </w:r>
      <w:r w:rsidR="006F38A3">
        <w:rPr>
          <w:color w:val="000000"/>
        </w:rPr>
        <w:t xml:space="preserve">EAS-HS </w:t>
      </w:r>
      <w:r w:rsidRPr="00FF3275">
        <w:rPr>
          <w:color w:val="000000"/>
        </w:rPr>
        <w:t xml:space="preserve"> ; </w:t>
      </w:r>
      <w:r>
        <w:rPr>
          <w:color w:val="000000"/>
        </w:rPr>
        <w:t>(ii) d’</w:t>
      </w:r>
      <w:r w:rsidRPr="00FF3275">
        <w:rPr>
          <w:color w:val="000000"/>
        </w:rPr>
        <w:t xml:space="preserve">apporter un soutien aux survivant(e)s de </w:t>
      </w:r>
      <w:r w:rsidR="006F38A3">
        <w:rPr>
          <w:color w:val="000000"/>
        </w:rPr>
        <w:t xml:space="preserve">EAS-HS </w:t>
      </w:r>
      <w:r w:rsidRPr="00FF3275">
        <w:rPr>
          <w:color w:val="000000"/>
        </w:rPr>
        <w:t xml:space="preserve"> ou de VCE ; </w:t>
      </w:r>
      <w:r>
        <w:rPr>
          <w:color w:val="000000"/>
        </w:rPr>
        <w:t>(iii) d’</w:t>
      </w:r>
      <w:r w:rsidRPr="00FF3275">
        <w:rPr>
          <w:color w:val="000000"/>
        </w:rPr>
        <w:t xml:space="preserve">assurer la disponibilité de paquet de services minimum de prise en charge de survivants de </w:t>
      </w:r>
      <w:r w:rsidR="006F38A3">
        <w:rPr>
          <w:color w:val="000000"/>
        </w:rPr>
        <w:t xml:space="preserve">EAS-HS </w:t>
      </w:r>
      <w:r w:rsidRPr="00FF3275">
        <w:rPr>
          <w:color w:val="000000"/>
        </w:rPr>
        <w:t xml:space="preserve"> c’est à dire: un ensemble de base de services de soins de santé pour les survivants</w:t>
      </w:r>
      <w:r>
        <w:rPr>
          <w:color w:val="000000"/>
        </w:rPr>
        <w:t xml:space="preserve"> ; </w:t>
      </w:r>
      <w:r w:rsidRPr="00FF3275">
        <w:rPr>
          <w:color w:val="000000"/>
        </w:rPr>
        <w:t>des services sociaux (soutien psycho-social)</w:t>
      </w:r>
      <w:r>
        <w:rPr>
          <w:color w:val="000000"/>
        </w:rPr>
        <w:t xml:space="preserve"> ; </w:t>
      </w:r>
      <w:r w:rsidRPr="00FF3275">
        <w:rPr>
          <w:color w:val="000000"/>
        </w:rPr>
        <w:t>d’espace de bien-être et de conseil pour les jeunes femmes/femmes</w:t>
      </w:r>
      <w:r>
        <w:rPr>
          <w:color w:val="000000"/>
        </w:rPr>
        <w:t> ;</w:t>
      </w:r>
      <w:r w:rsidRPr="00FF3275">
        <w:rPr>
          <w:color w:val="000000"/>
        </w:rPr>
        <w:t xml:space="preserve"> des services d’appui et de protection légal et judiciaires; </w:t>
      </w:r>
      <w:r>
        <w:rPr>
          <w:color w:val="000000"/>
        </w:rPr>
        <w:t>(iv) de c</w:t>
      </w:r>
      <w:r w:rsidRPr="00FF3275">
        <w:rPr>
          <w:color w:val="000000"/>
        </w:rPr>
        <w:t xml:space="preserve">ontribuer à la mise en œuvre efficace du projet, dont principalement les processus de réinstallation ; </w:t>
      </w:r>
      <w:r>
        <w:rPr>
          <w:color w:val="000000"/>
        </w:rPr>
        <w:t xml:space="preserve">(v) de </w:t>
      </w:r>
      <w:r w:rsidRPr="00FF3275">
        <w:rPr>
          <w:color w:val="000000"/>
        </w:rPr>
        <w:t xml:space="preserve">contribuer à consolider les partenariats dans la mise en œuvre des activités de lutte contre les </w:t>
      </w:r>
      <w:r w:rsidR="006F38A3">
        <w:rPr>
          <w:color w:val="000000"/>
        </w:rPr>
        <w:t xml:space="preserve">EAS-HS </w:t>
      </w:r>
      <w:r w:rsidRPr="00FF3275">
        <w:rPr>
          <w:color w:val="000000"/>
        </w:rPr>
        <w:t xml:space="preserve"> </w:t>
      </w:r>
      <w:r>
        <w:rPr>
          <w:color w:val="000000"/>
        </w:rPr>
        <w:t xml:space="preserve">et (vi) de </w:t>
      </w:r>
      <w:r w:rsidRPr="00FF3275">
        <w:rPr>
          <w:color w:val="000000"/>
        </w:rPr>
        <w:t xml:space="preserve">promouvoir la gestion du savoir et des meilleurs pratiques en termes de lutte contre les </w:t>
      </w:r>
      <w:r w:rsidR="006F38A3">
        <w:rPr>
          <w:color w:val="000000"/>
        </w:rPr>
        <w:t xml:space="preserve">EAS-HS </w:t>
      </w:r>
      <w:r w:rsidRPr="00FF3275">
        <w:rPr>
          <w:color w:val="000000"/>
        </w:rPr>
        <w:t>.</w:t>
      </w:r>
    </w:p>
    <w:p w14:paraId="15A21A4C" w14:textId="77777777" w:rsidR="00575CDF" w:rsidRPr="00C801A6" w:rsidRDefault="00575CDF" w:rsidP="00014BC0">
      <w:pPr>
        <w:pStyle w:val="Heading2"/>
      </w:pPr>
      <w:bookmarkStart w:id="819" w:name="_Toc71795001"/>
      <w:bookmarkStart w:id="820" w:name="_Toc106320440"/>
      <w:bookmarkStart w:id="821" w:name="_Toc230426094"/>
      <w:bookmarkEnd w:id="818"/>
      <w:r w:rsidRPr="00C801A6">
        <w:t>PLAN CADRE DE GESTION ENVIRONNEMENTALE ET SOCIALE</w:t>
      </w:r>
      <w:bookmarkEnd w:id="819"/>
      <w:bookmarkEnd w:id="820"/>
      <w:bookmarkEnd w:id="821"/>
    </w:p>
    <w:p w14:paraId="06D7A590" w14:textId="77777777" w:rsidR="00575CDF" w:rsidRPr="00C801A6" w:rsidRDefault="00575CDF" w:rsidP="00C65572">
      <w:pPr>
        <w:pStyle w:val="Heading3"/>
      </w:pPr>
      <w:bookmarkStart w:id="822" w:name="_Toc71795002"/>
      <w:bookmarkStart w:id="823" w:name="_Toc106320441"/>
      <w:bookmarkStart w:id="824" w:name="_Toc230426095"/>
      <w:r w:rsidRPr="00C801A6">
        <w:t>Objectifs</w:t>
      </w:r>
      <w:bookmarkEnd w:id="822"/>
      <w:bookmarkEnd w:id="823"/>
      <w:bookmarkEnd w:id="824"/>
    </w:p>
    <w:p w14:paraId="19F73186" w14:textId="77777777" w:rsidR="00575CDF" w:rsidRPr="00C801A6" w:rsidRDefault="00575CDF" w:rsidP="00575CDF">
      <w:pPr>
        <w:spacing w:before="100" w:after="100"/>
        <w:rPr>
          <w:rFonts w:cs="Times New Roman"/>
          <w:color w:val="auto"/>
        </w:rPr>
      </w:pPr>
      <w:r w:rsidRPr="00C801A6">
        <w:rPr>
          <w:rFonts w:cs="Times New Roman"/>
          <w:color w:val="auto"/>
        </w:rPr>
        <w:t xml:space="preserve">Un Plan de gestion environnementale et sociale a pour principal objectif de fournir d’assurer que les mesures d’atténuation des impacts négatifs prévues correspondent aux prévisions en matière d’évitement ou de mitigation des impacts prédits. En fonction de la situation qui prévaut, des mesures de correction pourront être nécessaires. </w:t>
      </w:r>
    </w:p>
    <w:p w14:paraId="3B339B9A" w14:textId="77777777" w:rsidR="00575CDF" w:rsidRPr="00C801A6" w:rsidRDefault="00575CDF" w:rsidP="00575CDF">
      <w:pPr>
        <w:spacing w:before="100" w:after="100"/>
        <w:rPr>
          <w:rFonts w:cs="Times New Roman"/>
          <w:color w:val="auto"/>
        </w:rPr>
      </w:pPr>
      <w:r w:rsidRPr="00C801A6">
        <w:rPr>
          <w:rFonts w:cs="Times New Roman"/>
          <w:color w:val="auto"/>
        </w:rPr>
        <w:t>Il réunit à la fois les paramètres à surveiller d’une manière quotidienne et ceux à suivre dans le temps.</w:t>
      </w:r>
    </w:p>
    <w:p w14:paraId="45E52615" w14:textId="77777777" w:rsidR="00575CDF" w:rsidRPr="00C801A6" w:rsidRDefault="00575CDF" w:rsidP="00575CDF">
      <w:pPr>
        <w:rPr>
          <w:rFonts w:cs="Times New Roman"/>
          <w:color w:val="auto"/>
        </w:rPr>
      </w:pPr>
      <w:r w:rsidRPr="00C801A6">
        <w:rPr>
          <w:rFonts w:cs="Times New Roman"/>
          <w:color w:val="auto"/>
        </w:rPr>
        <w:t xml:space="preserve">Les objectifs spécifiques d’un PGES consistent à : </w:t>
      </w:r>
    </w:p>
    <w:p w14:paraId="02F2C3E2" w14:textId="77777777" w:rsidR="00575CDF" w:rsidRPr="00C801A6" w:rsidRDefault="00575CDF" w:rsidP="00844538">
      <w:pPr>
        <w:numPr>
          <w:ilvl w:val="0"/>
          <w:numId w:val="66"/>
        </w:numPr>
        <w:spacing w:before="100" w:after="100" w:line="240" w:lineRule="auto"/>
        <w:ind w:left="709" w:hanging="425"/>
        <w:rPr>
          <w:rFonts w:cs="Times New Roman"/>
          <w:color w:val="auto"/>
        </w:rPr>
      </w:pPr>
      <w:r w:rsidRPr="00C801A6">
        <w:rPr>
          <w:rFonts w:cs="Times New Roman"/>
          <w:color w:val="auto"/>
          <w:szCs w:val="20"/>
        </w:rPr>
        <w:t>Concré</w:t>
      </w:r>
      <w:r w:rsidRPr="00C801A6">
        <w:rPr>
          <w:rFonts w:cs="Times New Roman"/>
          <w:color w:val="auto"/>
        </w:rPr>
        <w:t>tiser tous les engagements du sous-projet vis-à-vis de l’environnement et des communautés riveraines ;</w:t>
      </w:r>
    </w:p>
    <w:p w14:paraId="365156D2" w14:textId="77777777" w:rsidR="00575CDF" w:rsidRPr="00C801A6" w:rsidRDefault="00575CDF" w:rsidP="00844538">
      <w:pPr>
        <w:numPr>
          <w:ilvl w:val="0"/>
          <w:numId w:val="66"/>
        </w:numPr>
        <w:spacing w:before="100" w:after="100" w:line="240" w:lineRule="auto"/>
        <w:ind w:left="709" w:hanging="425"/>
        <w:rPr>
          <w:rFonts w:cs="Times New Roman"/>
          <w:color w:val="auto"/>
        </w:rPr>
      </w:pPr>
      <w:r w:rsidRPr="00C801A6">
        <w:rPr>
          <w:rFonts w:cs="Times New Roman"/>
          <w:color w:val="auto"/>
          <w:szCs w:val="20"/>
        </w:rPr>
        <w:t>Préciser les problématiques environnementales relatives aux différentes activités du sous-projet et d’élaborer une planifica</w:t>
      </w:r>
      <w:r w:rsidRPr="00C801A6">
        <w:rPr>
          <w:rFonts w:cs="Times New Roman"/>
          <w:color w:val="auto"/>
        </w:rPr>
        <w:t>tion et des procédures pour gérer ces problématiques ;</w:t>
      </w:r>
    </w:p>
    <w:p w14:paraId="697C8616" w14:textId="77777777" w:rsidR="00575CDF" w:rsidRPr="00C801A6" w:rsidRDefault="00575CDF" w:rsidP="00844538">
      <w:pPr>
        <w:numPr>
          <w:ilvl w:val="0"/>
          <w:numId w:val="66"/>
        </w:numPr>
        <w:spacing w:before="100" w:after="100" w:line="240" w:lineRule="auto"/>
        <w:ind w:left="709" w:hanging="425"/>
        <w:rPr>
          <w:rFonts w:eastAsia="Times New Roman" w:cs="Times New Roman"/>
          <w:color w:val="auto"/>
        </w:rPr>
      </w:pPr>
      <w:r w:rsidRPr="00C801A6">
        <w:rPr>
          <w:rFonts w:cs="Times New Roman"/>
          <w:color w:val="auto"/>
        </w:rPr>
        <w:t>Déterminer les responsabilités du personnel clé du sous-projet relativeme</w:t>
      </w:r>
      <w:r w:rsidRPr="00C801A6">
        <w:rPr>
          <w:rFonts w:eastAsia="Times New Roman" w:cs="Times New Roman"/>
          <w:color w:val="auto"/>
        </w:rPr>
        <w:t>nt à la mise en œuvre du PGES ;</w:t>
      </w:r>
    </w:p>
    <w:p w14:paraId="6930FBFE" w14:textId="77777777" w:rsidR="00575CDF" w:rsidRPr="00C801A6" w:rsidRDefault="00575CDF" w:rsidP="00844538">
      <w:pPr>
        <w:numPr>
          <w:ilvl w:val="0"/>
          <w:numId w:val="66"/>
        </w:numPr>
        <w:spacing w:before="100" w:after="100" w:line="240" w:lineRule="auto"/>
        <w:ind w:left="709" w:hanging="425"/>
        <w:rPr>
          <w:rFonts w:cs="Times New Roman"/>
          <w:color w:val="auto"/>
        </w:rPr>
      </w:pPr>
      <w:r w:rsidRPr="00C801A6">
        <w:rPr>
          <w:rFonts w:cs="Times New Roman"/>
          <w:color w:val="auto"/>
          <w:szCs w:val="20"/>
        </w:rPr>
        <w:t>Mettre les informations sur la mise en œuvre d’un sous-projet donné à la disposition des</w:t>
      </w:r>
      <w:r w:rsidRPr="00C801A6">
        <w:rPr>
          <w:rFonts w:cs="Times New Roman"/>
          <w:color w:val="auto"/>
        </w:rPr>
        <w:t xml:space="preserve"> autorités locales, régionales voire nationales et aux personnes intéressées ;</w:t>
      </w:r>
    </w:p>
    <w:p w14:paraId="17401EBC" w14:textId="77777777" w:rsidR="00575CDF" w:rsidRPr="00C801A6" w:rsidRDefault="00575CDF" w:rsidP="00844538">
      <w:pPr>
        <w:numPr>
          <w:ilvl w:val="0"/>
          <w:numId w:val="66"/>
        </w:numPr>
        <w:spacing w:before="100" w:after="100" w:line="240" w:lineRule="auto"/>
        <w:ind w:left="709" w:hanging="425"/>
        <w:rPr>
          <w:rFonts w:cs="Times New Roman"/>
          <w:color w:val="auto"/>
        </w:rPr>
      </w:pPr>
      <w:r w:rsidRPr="00C801A6">
        <w:rPr>
          <w:rFonts w:cs="Times New Roman"/>
          <w:color w:val="auto"/>
        </w:rPr>
        <w:t>Le cas éch</w:t>
      </w:r>
      <w:r w:rsidRPr="00C801A6">
        <w:rPr>
          <w:rFonts w:eastAsia="Times New Roman" w:cs="Times New Roman"/>
          <w:color w:val="auto"/>
        </w:rPr>
        <w:t>éant, établir des actions correctives</w:t>
      </w:r>
      <w:r w:rsidRPr="00C801A6">
        <w:rPr>
          <w:rFonts w:cs="Times New Roman"/>
          <w:color w:val="auto"/>
        </w:rPr>
        <w:t>.</w:t>
      </w:r>
    </w:p>
    <w:p w14:paraId="11E7D583" w14:textId="77777777" w:rsidR="00575CDF" w:rsidRPr="00C801A6" w:rsidRDefault="00575CDF" w:rsidP="00C65572">
      <w:pPr>
        <w:pStyle w:val="Heading3"/>
      </w:pPr>
      <w:bookmarkStart w:id="825" w:name="_Toc71795003"/>
      <w:bookmarkStart w:id="826" w:name="_Toc106320442"/>
      <w:bookmarkStart w:id="827" w:name="_Toc230426096"/>
      <w:r w:rsidRPr="00C801A6">
        <w:t>Plan cadre de surveillance environnementale et sociale</w:t>
      </w:r>
      <w:bookmarkEnd w:id="825"/>
      <w:bookmarkEnd w:id="826"/>
      <w:bookmarkEnd w:id="827"/>
    </w:p>
    <w:p w14:paraId="05F6B372" w14:textId="77777777" w:rsidR="00575CDF" w:rsidRPr="00C801A6" w:rsidRDefault="00575CDF" w:rsidP="00575CDF">
      <w:pPr>
        <w:rPr>
          <w:color w:val="auto"/>
        </w:rPr>
      </w:pPr>
      <w:r w:rsidRPr="00C801A6">
        <w:rPr>
          <w:color w:val="auto"/>
        </w:rPr>
        <w:t xml:space="preserve">Un Plan de surveillance E&amp;S vise à s’assurer que les mesures préconisées ont été effectivement mises en œuvre d’une manière adéquate. </w:t>
      </w:r>
    </w:p>
    <w:p w14:paraId="5319A520" w14:textId="77777777" w:rsidR="00064FF0" w:rsidRPr="00C801A6" w:rsidRDefault="00575CDF" w:rsidP="00575CDF">
      <w:pPr>
        <w:rPr>
          <w:color w:val="auto"/>
        </w:rPr>
      </w:pPr>
      <w:r w:rsidRPr="00C801A6">
        <w:rPr>
          <w:color w:val="auto"/>
        </w:rPr>
        <w:lastRenderedPageBreak/>
        <w:t xml:space="preserve">Une anomalie d’ordre environnemental / social (ou « non-conformité ») est définie comme étant un non-respect des mesures d’une mesure d’atténuation donnée : les réunions d’encadrement et les visites sur chantier permettront d’en assurer la prévention. Ces actions seront répertoriées dans le Cahier de surveillance environnementale. </w:t>
      </w:r>
    </w:p>
    <w:p w14:paraId="3F53D08D" w14:textId="0D74922F" w:rsidR="00064FF0" w:rsidRPr="00C801A6" w:rsidRDefault="00575CDF" w:rsidP="00575CDF">
      <w:pPr>
        <w:rPr>
          <w:color w:val="auto"/>
        </w:rPr>
      </w:pPr>
      <w:r w:rsidRPr="00C801A6">
        <w:rPr>
          <w:color w:val="auto"/>
        </w:rPr>
        <w:t xml:space="preserve">Les </w:t>
      </w:r>
      <w:r w:rsidRPr="00C801A6">
        <w:rPr>
          <w:color w:val="auto"/>
          <w:u w:val="single"/>
        </w:rPr>
        <w:t>indicateurs</w:t>
      </w:r>
      <w:r w:rsidRPr="00C801A6">
        <w:rPr>
          <w:color w:val="auto"/>
        </w:rPr>
        <w:t xml:space="preserve"> de surveillance sont </w:t>
      </w:r>
      <w:r w:rsidRPr="00C801A6">
        <w:rPr>
          <w:color w:val="auto"/>
          <w:u w:val="single"/>
        </w:rPr>
        <w:t>qualitatifs</w:t>
      </w:r>
      <w:r w:rsidRPr="00C801A6">
        <w:rPr>
          <w:color w:val="auto"/>
        </w:rPr>
        <w:t xml:space="preserve"> car ils ne mesurent pas des grandeurs mais servent pour le contrôle d’effectivité des mesures.</w:t>
      </w:r>
      <w:r w:rsidR="00064FF0" w:rsidRPr="00C801A6">
        <w:rPr>
          <w:color w:val="auto"/>
        </w:rPr>
        <w:t xml:space="preserve"> </w:t>
      </w:r>
    </w:p>
    <w:p w14:paraId="3B09D905" w14:textId="77777777" w:rsidR="00575CDF" w:rsidRPr="00C801A6" w:rsidRDefault="00575CDF" w:rsidP="00575CDF">
      <w:pPr>
        <w:rPr>
          <w:color w:val="auto"/>
        </w:rPr>
        <w:sectPr w:rsidR="00575CDF" w:rsidRPr="00C801A6" w:rsidSect="00635A10">
          <w:pgSz w:w="11907" w:h="16840" w:code="9"/>
          <w:pgMar w:top="1418" w:right="1418" w:bottom="1418" w:left="1418" w:header="709" w:footer="709" w:gutter="0"/>
          <w:cols w:space="708"/>
          <w:docGrid w:linePitch="360"/>
        </w:sectPr>
      </w:pPr>
    </w:p>
    <w:p w14:paraId="79A019DD" w14:textId="254745D3" w:rsidR="00D1342C" w:rsidRDefault="00D1342C" w:rsidP="00D1342C">
      <w:pPr>
        <w:pStyle w:val="Caption"/>
        <w:keepNext/>
      </w:pPr>
      <w:bookmarkStart w:id="828" w:name="_Toc230427753"/>
      <w:r>
        <w:lastRenderedPageBreak/>
        <w:t xml:space="preserve">Tableau </w:t>
      </w:r>
      <w:r w:rsidR="00E44887">
        <w:fldChar w:fldCharType="begin"/>
      </w:r>
      <w:r w:rsidR="00E44887">
        <w:instrText xml:space="preserve"> SEQ Tableau \* ARABIC </w:instrText>
      </w:r>
      <w:r w:rsidR="00E44887">
        <w:fldChar w:fldCharType="separate"/>
      </w:r>
      <w:r w:rsidR="00253F1A">
        <w:rPr>
          <w:noProof/>
        </w:rPr>
        <w:t>33</w:t>
      </w:r>
      <w:r w:rsidR="00E44887">
        <w:rPr>
          <w:noProof/>
        </w:rPr>
        <w:fldChar w:fldCharType="end"/>
      </w:r>
      <w:r>
        <w:t> : PLAN CADRE DE SURVEILLANCE E&amp;S – TRAVAUX DE GENIE CIVIL – PHASE DE PREPARATION</w:t>
      </w:r>
      <w:bookmarkEnd w:id="828"/>
    </w:p>
    <w:tbl>
      <w:tblPr>
        <w:tblStyle w:val="TableGrid"/>
        <w:tblW w:w="0" w:type="auto"/>
        <w:tblInd w:w="-5" w:type="dxa"/>
        <w:tblLook w:val="04A0" w:firstRow="1" w:lastRow="0" w:firstColumn="1" w:lastColumn="0" w:noHBand="0" w:noVBand="1"/>
      </w:tblPr>
      <w:tblGrid>
        <w:gridCol w:w="2648"/>
        <w:gridCol w:w="2333"/>
        <w:gridCol w:w="2748"/>
        <w:gridCol w:w="2363"/>
        <w:gridCol w:w="1377"/>
        <w:gridCol w:w="1649"/>
        <w:gridCol w:w="1897"/>
      </w:tblGrid>
      <w:tr w:rsidR="00C801A6" w:rsidRPr="00C801A6" w14:paraId="7ABD1E37" w14:textId="77777777" w:rsidTr="003609CC">
        <w:trPr>
          <w:tblHeader/>
        </w:trPr>
        <w:tc>
          <w:tcPr>
            <w:tcW w:w="15015" w:type="dxa"/>
            <w:gridSpan w:val="7"/>
            <w:tcBorders>
              <w:top w:val="nil"/>
              <w:left w:val="nil"/>
              <w:bottom w:val="single" w:sz="4" w:space="0" w:color="auto"/>
              <w:right w:val="nil"/>
            </w:tcBorders>
          </w:tcPr>
          <w:p w14:paraId="65BC0FF5" w14:textId="08744739" w:rsidR="003609CC" w:rsidRPr="00C801A6" w:rsidRDefault="003609CC" w:rsidP="003609CC">
            <w:pPr>
              <w:pStyle w:val="Caption"/>
              <w:rPr>
                <w:color w:val="auto"/>
              </w:rPr>
            </w:pPr>
          </w:p>
        </w:tc>
      </w:tr>
      <w:tr w:rsidR="00C801A6" w:rsidRPr="00C801A6" w14:paraId="031B5A40" w14:textId="77777777" w:rsidTr="003609CC">
        <w:trPr>
          <w:tblHeader/>
        </w:trPr>
        <w:tc>
          <w:tcPr>
            <w:tcW w:w="2648" w:type="dxa"/>
            <w:tcBorders>
              <w:top w:val="single" w:sz="4" w:space="0" w:color="auto"/>
              <w:bottom w:val="single" w:sz="4" w:space="0" w:color="auto"/>
            </w:tcBorders>
            <w:shd w:val="clear" w:color="auto" w:fill="E2EFD9" w:themeFill="accent6" w:themeFillTint="33"/>
          </w:tcPr>
          <w:p w14:paraId="0B327373" w14:textId="77777777" w:rsidR="00064FF0" w:rsidRPr="00C801A6" w:rsidRDefault="00064FF0" w:rsidP="00347FDB">
            <w:pPr>
              <w:spacing w:before="20" w:after="20" w:line="264" w:lineRule="auto"/>
              <w:jc w:val="left"/>
              <w:rPr>
                <w:rFonts w:cs="Times New Roman"/>
                <w:b/>
                <w:color w:val="auto"/>
                <w:sz w:val="19"/>
                <w:szCs w:val="19"/>
              </w:rPr>
            </w:pPr>
            <w:r w:rsidRPr="00C801A6">
              <w:rPr>
                <w:rFonts w:cs="Times New Roman"/>
                <w:b/>
                <w:color w:val="auto"/>
                <w:sz w:val="19"/>
                <w:szCs w:val="19"/>
              </w:rPr>
              <w:t>Impacts types</w:t>
            </w:r>
          </w:p>
        </w:tc>
        <w:tc>
          <w:tcPr>
            <w:tcW w:w="2333" w:type="dxa"/>
            <w:tcBorders>
              <w:top w:val="single" w:sz="4" w:space="0" w:color="auto"/>
              <w:bottom w:val="single" w:sz="4" w:space="0" w:color="auto"/>
            </w:tcBorders>
            <w:shd w:val="clear" w:color="auto" w:fill="E2EFD9" w:themeFill="accent6" w:themeFillTint="33"/>
          </w:tcPr>
          <w:p w14:paraId="2983B13C" w14:textId="77777777" w:rsidR="00064FF0" w:rsidRPr="00C801A6" w:rsidRDefault="00064FF0" w:rsidP="00347FDB">
            <w:pPr>
              <w:spacing w:before="20" w:after="20" w:line="264" w:lineRule="auto"/>
              <w:jc w:val="left"/>
              <w:rPr>
                <w:rFonts w:cs="Times New Roman"/>
                <w:b/>
                <w:color w:val="auto"/>
                <w:sz w:val="19"/>
                <w:szCs w:val="19"/>
              </w:rPr>
            </w:pPr>
            <w:r w:rsidRPr="00C801A6">
              <w:rPr>
                <w:rFonts w:cs="Times New Roman"/>
                <w:b/>
                <w:color w:val="auto"/>
                <w:sz w:val="19"/>
                <w:szCs w:val="19"/>
              </w:rPr>
              <w:t>Mesures d’évitement types</w:t>
            </w:r>
          </w:p>
        </w:tc>
        <w:tc>
          <w:tcPr>
            <w:tcW w:w="2748" w:type="dxa"/>
            <w:tcBorders>
              <w:top w:val="single" w:sz="4" w:space="0" w:color="auto"/>
              <w:bottom w:val="single" w:sz="4" w:space="0" w:color="auto"/>
            </w:tcBorders>
            <w:shd w:val="clear" w:color="auto" w:fill="E2EFD9" w:themeFill="accent6" w:themeFillTint="33"/>
          </w:tcPr>
          <w:p w14:paraId="3C3315F3" w14:textId="77777777" w:rsidR="00064FF0" w:rsidRPr="00C801A6" w:rsidRDefault="00064FF0" w:rsidP="00347FDB">
            <w:pPr>
              <w:spacing w:before="20" w:after="20" w:line="264" w:lineRule="auto"/>
              <w:jc w:val="left"/>
              <w:rPr>
                <w:rFonts w:cs="Times New Roman"/>
                <w:b/>
                <w:color w:val="auto"/>
                <w:sz w:val="19"/>
                <w:szCs w:val="19"/>
              </w:rPr>
            </w:pPr>
            <w:r w:rsidRPr="00C801A6">
              <w:rPr>
                <w:rFonts w:cs="Times New Roman"/>
                <w:b/>
                <w:color w:val="auto"/>
                <w:sz w:val="19"/>
                <w:szCs w:val="19"/>
              </w:rPr>
              <w:t>Mesures d’atténuation types</w:t>
            </w:r>
          </w:p>
        </w:tc>
        <w:tc>
          <w:tcPr>
            <w:tcW w:w="2363" w:type="dxa"/>
            <w:tcBorders>
              <w:top w:val="single" w:sz="4" w:space="0" w:color="auto"/>
              <w:bottom w:val="single" w:sz="4" w:space="0" w:color="auto"/>
            </w:tcBorders>
            <w:shd w:val="clear" w:color="auto" w:fill="E2EFD9" w:themeFill="accent6" w:themeFillTint="33"/>
          </w:tcPr>
          <w:p w14:paraId="0EDDEC3D" w14:textId="77777777" w:rsidR="00064FF0" w:rsidRPr="00C801A6" w:rsidRDefault="00064FF0" w:rsidP="00347FDB">
            <w:pPr>
              <w:spacing w:before="20" w:after="20" w:line="264" w:lineRule="auto"/>
              <w:jc w:val="left"/>
              <w:rPr>
                <w:rFonts w:cs="Times New Roman"/>
                <w:b/>
                <w:color w:val="auto"/>
                <w:sz w:val="19"/>
                <w:szCs w:val="19"/>
              </w:rPr>
            </w:pPr>
            <w:r w:rsidRPr="00C801A6">
              <w:rPr>
                <w:rFonts w:cs="Times New Roman"/>
                <w:b/>
                <w:color w:val="auto"/>
                <w:sz w:val="19"/>
                <w:szCs w:val="19"/>
              </w:rPr>
              <w:t>Indicateurs de surveillance</w:t>
            </w:r>
          </w:p>
        </w:tc>
        <w:tc>
          <w:tcPr>
            <w:tcW w:w="1377" w:type="dxa"/>
            <w:tcBorders>
              <w:top w:val="single" w:sz="4" w:space="0" w:color="auto"/>
              <w:bottom w:val="single" w:sz="4" w:space="0" w:color="auto"/>
            </w:tcBorders>
            <w:shd w:val="clear" w:color="auto" w:fill="E2EFD9" w:themeFill="accent6" w:themeFillTint="33"/>
          </w:tcPr>
          <w:p w14:paraId="72BC9548" w14:textId="77777777" w:rsidR="00064FF0" w:rsidRPr="00C801A6" w:rsidRDefault="00064FF0" w:rsidP="00347FDB">
            <w:pPr>
              <w:spacing w:before="20" w:after="20" w:line="264" w:lineRule="auto"/>
              <w:jc w:val="left"/>
              <w:rPr>
                <w:rFonts w:cs="Times New Roman"/>
                <w:b/>
                <w:color w:val="auto"/>
                <w:sz w:val="19"/>
                <w:szCs w:val="19"/>
              </w:rPr>
            </w:pPr>
            <w:r w:rsidRPr="00C801A6">
              <w:rPr>
                <w:rFonts w:cs="Times New Roman"/>
                <w:b/>
                <w:color w:val="auto"/>
                <w:sz w:val="19"/>
                <w:szCs w:val="19"/>
              </w:rPr>
              <w:t>Méthode</w:t>
            </w:r>
          </w:p>
        </w:tc>
        <w:tc>
          <w:tcPr>
            <w:tcW w:w="1649" w:type="dxa"/>
            <w:tcBorders>
              <w:top w:val="single" w:sz="4" w:space="0" w:color="auto"/>
              <w:bottom w:val="single" w:sz="4" w:space="0" w:color="auto"/>
            </w:tcBorders>
            <w:shd w:val="clear" w:color="auto" w:fill="E2EFD9" w:themeFill="accent6" w:themeFillTint="33"/>
          </w:tcPr>
          <w:p w14:paraId="47B7E30B" w14:textId="77777777" w:rsidR="00064FF0" w:rsidRPr="00C801A6" w:rsidRDefault="00064FF0" w:rsidP="00347FDB">
            <w:pPr>
              <w:spacing w:before="20" w:after="20" w:line="264" w:lineRule="auto"/>
              <w:jc w:val="left"/>
              <w:rPr>
                <w:rFonts w:cs="Times New Roman"/>
                <w:b/>
                <w:color w:val="auto"/>
                <w:sz w:val="19"/>
                <w:szCs w:val="19"/>
              </w:rPr>
            </w:pPr>
            <w:r w:rsidRPr="00C801A6">
              <w:rPr>
                <w:rFonts w:cs="Times New Roman"/>
                <w:b/>
                <w:color w:val="auto"/>
                <w:sz w:val="19"/>
                <w:szCs w:val="19"/>
              </w:rPr>
              <w:t>Mise en œuvre</w:t>
            </w:r>
          </w:p>
        </w:tc>
        <w:tc>
          <w:tcPr>
            <w:tcW w:w="1897" w:type="dxa"/>
            <w:tcBorders>
              <w:top w:val="single" w:sz="4" w:space="0" w:color="auto"/>
              <w:bottom w:val="single" w:sz="4" w:space="0" w:color="auto"/>
            </w:tcBorders>
            <w:shd w:val="clear" w:color="auto" w:fill="E2EFD9" w:themeFill="accent6" w:themeFillTint="33"/>
          </w:tcPr>
          <w:p w14:paraId="748DE872" w14:textId="77777777" w:rsidR="00064FF0" w:rsidRPr="00C801A6" w:rsidRDefault="00064FF0" w:rsidP="00347FDB">
            <w:pPr>
              <w:spacing w:before="20" w:after="20" w:line="264" w:lineRule="auto"/>
              <w:jc w:val="left"/>
              <w:rPr>
                <w:rFonts w:cs="Times New Roman"/>
                <w:b/>
                <w:color w:val="auto"/>
                <w:sz w:val="19"/>
                <w:szCs w:val="19"/>
              </w:rPr>
            </w:pPr>
            <w:r w:rsidRPr="00C801A6">
              <w:rPr>
                <w:rFonts w:cs="Times New Roman"/>
                <w:b/>
                <w:color w:val="auto"/>
                <w:sz w:val="19"/>
                <w:szCs w:val="19"/>
              </w:rPr>
              <w:t>Calendrier</w:t>
            </w:r>
          </w:p>
        </w:tc>
      </w:tr>
      <w:tr w:rsidR="00C801A6" w:rsidRPr="00C801A6" w14:paraId="47992603" w14:textId="77777777" w:rsidTr="00347FDB">
        <w:tc>
          <w:tcPr>
            <w:tcW w:w="2648" w:type="dxa"/>
            <w:tcBorders>
              <w:top w:val="single" w:sz="4" w:space="0" w:color="auto"/>
              <w:left w:val="single" w:sz="4" w:space="0" w:color="auto"/>
              <w:bottom w:val="single" w:sz="4" w:space="0" w:color="auto"/>
              <w:right w:val="nil"/>
            </w:tcBorders>
            <w:shd w:val="clear" w:color="auto" w:fill="D0CECE" w:themeFill="background2" w:themeFillShade="E6"/>
          </w:tcPr>
          <w:p w14:paraId="4B61EE0A" w14:textId="77777777" w:rsidR="00064FF0" w:rsidRPr="00C801A6" w:rsidRDefault="00064FF0" w:rsidP="00347FDB">
            <w:pPr>
              <w:spacing w:before="20" w:after="20" w:line="264" w:lineRule="auto"/>
              <w:jc w:val="left"/>
              <w:rPr>
                <w:rFonts w:cs="Times New Roman"/>
                <w:b/>
                <w:color w:val="auto"/>
                <w:sz w:val="19"/>
                <w:szCs w:val="19"/>
                <w:lang w:eastAsia="fr-FR"/>
              </w:rPr>
            </w:pPr>
            <w:r w:rsidRPr="00C801A6">
              <w:rPr>
                <w:rFonts w:cs="Times New Roman"/>
                <w:b/>
                <w:color w:val="auto"/>
                <w:sz w:val="19"/>
                <w:szCs w:val="19"/>
                <w:lang w:eastAsia="fr-FR"/>
              </w:rPr>
              <w:t>Milieux biophysiques</w:t>
            </w:r>
          </w:p>
        </w:tc>
        <w:tc>
          <w:tcPr>
            <w:tcW w:w="2333" w:type="dxa"/>
            <w:tcBorders>
              <w:top w:val="single" w:sz="4" w:space="0" w:color="auto"/>
              <w:left w:val="nil"/>
              <w:bottom w:val="single" w:sz="4" w:space="0" w:color="auto"/>
              <w:right w:val="nil"/>
            </w:tcBorders>
            <w:shd w:val="clear" w:color="auto" w:fill="D0CECE" w:themeFill="background2" w:themeFillShade="E6"/>
          </w:tcPr>
          <w:p w14:paraId="06F5D699" w14:textId="77777777" w:rsidR="00064FF0" w:rsidRPr="00C801A6" w:rsidRDefault="00064FF0" w:rsidP="00347FDB">
            <w:pPr>
              <w:spacing w:before="20" w:after="20" w:line="264" w:lineRule="auto"/>
              <w:jc w:val="left"/>
              <w:rPr>
                <w:rFonts w:cs="Times New Roman"/>
                <w:b/>
                <w:color w:val="auto"/>
                <w:sz w:val="19"/>
                <w:szCs w:val="19"/>
                <w:lang w:eastAsia="fr-FR"/>
              </w:rPr>
            </w:pPr>
          </w:p>
        </w:tc>
        <w:tc>
          <w:tcPr>
            <w:tcW w:w="2748" w:type="dxa"/>
            <w:tcBorders>
              <w:top w:val="single" w:sz="4" w:space="0" w:color="auto"/>
              <w:left w:val="nil"/>
              <w:bottom w:val="single" w:sz="4" w:space="0" w:color="auto"/>
              <w:right w:val="nil"/>
            </w:tcBorders>
            <w:shd w:val="clear" w:color="auto" w:fill="D0CECE" w:themeFill="background2" w:themeFillShade="E6"/>
          </w:tcPr>
          <w:p w14:paraId="20365159" w14:textId="77777777" w:rsidR="00064FF0" w:rsidRPr="00C801A6" w:rsidRDefault="00064FF0" w:rsidP="00347FDB">
            <w:pPr>
              <w:spacing w:before="20" w:after="20" w:line="264" w:lineRule="auto"/>
              <w:jc w:val="left"/>
              <w:rPr>
                <w:rFonts w:cs="Times New Roman"/>
                <w:b/>
                <w:color w:val="auto"/>
                <w:sz w:val="19"/>
                <w:szCs w:val="19"/>
                <w:lang w:eastAsia="fr-FR"/>
              </w:rPr>
            </w:pPr>
          </w:p>
        </w:tc>
        <w:tc>
          <w:tcPr>
            <w:tcW w:w="2363" w:type="dxa"/>
            <w:tcBorders>
              <w:top w:val="single" w:sz="4" w:space="0" w:color="auto"/>
              <w:left w:val="nil"/>
              <w:bottom w:val="single" w:sz="4" w:space="0" w:color="auto"/>
              <w:right w:val="nil"/>
            </w:tcBorders>
            <w:shd w:val="clear" w:color="auto" w:fill="D0CECE" w:themeFill="background2" w:themeFillShade="E6"/>
          </w:tcPr>
          <w:p w14:paraId="5EDB8BC9" w14:textId="77777777" w:rsidR="00064FF0" w:rsidRPr="00C801A6" w:rsidRDefault="00064FF0" w:rsidP="00347FDB">
            <w:pPr>
              <w:spacing w:before="20" w:after="20" w:line="264" w:lineRule="auto"/>
              <w:jc w:val="left"/>
              <w:rPr>
                <w:rFonts w:cs="Times New Roman"/>
                <w:b/>
                <w:color w:val="auto"/>
                <w:sz w:val="19"/>
                <w:szCs w:val="19"/>
                <w:lang w:eastAsia="fr-FR"/>
              </w:rPr>
            </w:pPr>
          </w:p>
        </w:tc>
        <w:tc>
          <w:tcPr>
            <w:tcW w:w="1377" w:type="dxa"/>
            <w:tcBorders>
              <w:top w:val="single" w:sz="4" w:space="0" w:color="auto"/>
              <w:left w:val="nil"/>
              <w:bottom w:val="single" w:sz="4" w:space="0" w:color="auto"/>
              <w:right w:val="nil"/>
            </w:tcBorders>
            <w:shd w:val="clear" w:color="auto" w:fill="D0CECE" w:themeFill="background2" w:themeFillShade="E6"/>
          </w:tcPr>
          <w:p w14:paraId="278E90A9" w14:textId="77777777" w:rsidR="00064FF0" w:rsidRPr="00C801A6" w:rsidRDefault="00064FF0" w:rsidP="00347FDB">
            <w:pPr>
              <w:spacing w:before="20" w:after="20" w:line="264" w:lineRule="auto"/>
              <w:jc w:val="left"/>
              <w:rPr>
                <w:rFonts w:cs="Times New Roman"/>
                <w:b/>
                <w:color w:val="auto"/>
                <w:sz w:val="19"/>
                <w:szCs w:val="19"/>
                <w:lang w:eastAsia="fr-FR"/>
              </w:rPr>
            </w:pPr>
          </w:p>
        </w:tc>
        <w:tc>
          <w:tcPr>
            <w:tcW w:w="1649" w:type="dxa"/>
            <w:tcBorders>
              <w:top w:val="single" w:sz="4" w:space="0" w:color="auto"/>
              <w:left w:val="nil"/>
              <w:bottom w:val="single" w:sz="4" w:space="0" w:color="auto"/>
              <w:right w:val="nil"/>
            </w:tcBorders>
            <w:shd w:val="clear" w:color="auto" w:fill="D0CECE" w:themeFill="background2" w:themeFillShade="E6"/>
          </w:tcPr>
          <w:p w14:paraId="235079CA" w14:textId="77777777" w:rsidR="00064FF0" w:rsidRPr="00C801A6" w:rsidRDefault="00064FF0" w:rsidP="00347FDB">
            <w:pPr>
              <w:spacing w:before="20" w:after="20" w:line="264" w:lineRule="auto"/>
              <w:jc w:val="left"/>
              <w:rPr>
                <w:rFonts w:cs="Times New Roman"/>
                <w:b/>
                <w:color w:val="auto"/>
                <w:sz w:val="19"/>
                <w:szCs w:val="19"/>
                <w:lang w:eastAsia="fr-FR"/>
              </w:rPr>
            </w:pPr>
          </w:p>
        </w:tc>
        <w:tc>
          <w:tcPr>
            <w:tcW w:w="1897" w:type="dxa"/>
            <w:tcBorders>
              <w:top w:val="single" w:sz="4" w:space="0" w:color="auto"/>
              <w:left w:val="nil"/>
              <w:bottom w:val="single" w:sz="4" w:space="0" w:color="auto"/>
              <w:right w:val="single" w:sz="4" w:space="0" w:color="auto"/>
            </w:tcBorders>
            <w:shd w:val="clear" w:color="auto" w:fill="D0CECE" w:themeFill="background2" w:themeFillShade="E6"/>
          </w:tcPr>
          <w:p w14:paraId="615CFE6A" w14:textId="77777777" w:rsidR="00064FF0" w:rsidRPr="00C801A6" w:rsidRDefault="00064FF0" w:rsidP="00347FDB">
            <w:pPr>
              <w:spacing w:before="20" w:after="20" w:line="264" w:lineRule="auto"/>
              <w:jc w:val="left"/>
              <w:rPr>
                <w:rFonts w:cs="Times New Roman"/>
                <w:b/>
                <w:color w:val="auto"/>
                <w:sz w:val="19"/>
                <w:szCs w:val="19"/>
                <w:lang w:eastAsia="fr-FR"/>
              </w:rPr>
            </w:pPr>
          </w:p>
        </w:tc>
      </w:tr>
      <w:tr w:rsidR="00C801A6" w:rsidRPr="00C801A6" w14:paraId="05226B79" w14:textId="77777777" w:rsidTr="00347FDB">
        <w:tc>
          <w:tcPr>
            <w:tcW w:w="2648" w:type="dxa"/>
            <w:tcBorders>
              <w:top w:val="single" w:sz="4" w:space="0" w:color="auto"/>
            </w:tcBorders>
          </w:tcPr>
          <w:p w14:paraId="59542472" w14:textId="72CF4D31" w:rsidR="00064FF0" w:rsidRPr="00C801A6" w:rsidRDefault="00064FF0" w:rsidP="00347FDB">
            <w:pPr>
              <w:spacing w:before="20" w:after="20" w:line="264" w:lineRule="auto"/>
              <w:jc w:val="left"/>
              <w:rPr>
                <w:rFonts w:cs="Times New Roman"/>
                <w:color w:val="auto"/>
                <w:sz w:val="19"/>
                <w:szCs w:val="19"/>
                <w:lang w:eastAsia="fr-FR"/>
              </w:rPr>
            </w:pPr>
            <w:r w:rsidRPr="00C801A6">
              <w:rPr>
                <w:rFonts w:cs="Times New Roman"/>
                <w:color w:val="auto"/>
                <w:sz w:val="19"/>
                <w:szCs w:val="19"/>
                <w:lang w:eastAsia="fr-FR"/>
              </w:rPr>
              <w:t xml:space="preserve">Risques liés à l’installation de la base-vie : risques de recrudescence d’actes </w:t>
            </w:r>
            <w:r w:rsidR="006F38A3">
              <w:rPr>
                <w:rFonts w:cs="Times New Roman"/>
                <w:color w:val="auto"/>
                <w:sz w:val="19"/>
                <w:szCs w:val="19"/>
                <w:lang w:eastAsia="fr-FR"/>
              </w:rPr>
              <w:t xml:space="preserve">EAS-HS </w:t>
            </w:r>
            <w:r w:rsidRPr="00C801A6">
              <w:rPr>
                <w:rFonts w:cs="Times New Roman"/>
                <w:color w:val="auto"/>
                <w:sz w:val="19"/>
                <w:szCs w:val="19"/>
                <w:lang w:eastAsia="fr-FR"/>
              </w:rPr>
              <w:t>, risques de pollution, autres</w:t>
            </w:r>
          </w:p>
          <w:p w14:paraId="0C06FDB6" w14:textId="77777777" w:rsidR="00064FF0" w:rsidRPr="00C801A6" w:rsidRDefault="00064FF0" w:rsidP="00347FDB">
            <w:pPr>
              <w:spacing w:before="20" w:after="20" w:line="264" w:lineRule="auto"/>
              <w:jc w:val="left"/>
              <w:rPr>
                <w:rFonts w:cs="Times New Roman"/>
                <w:color w:val="auto"/>
                <w:sz w:val="19"/>
                <w:szCs w:val="19"/>
                <w:lang w:eastAsia="fr-FR"/>
              </w:rPr>
            </w:pPr>
            <w:r w:rsidRPr="00C801A6">
              <w:rPr>
                <w:rFonts w:cs="Times New Roman"/>
                <w:color w:val="auto"/>
                <w:sz w:val="19"/>
                <w:szCs w:val="19"/>
                <w:lang w:eastAsia="fr-FR"/>
              </w:rPr>
              <w:t>Respect des us et coutumes locales</w:t>
            </w:r>
          </w:p>
        </w:tc>
        <w:tc>
          <w:tcPr>
            <w:tcW w:w="2333" w:type="dxa"/>
            <w:tcBorders>
              <w:top w:val="single" w:sz="4" w:space="0" w:color="auto"/>
            </w:tcBorders>
          </w:tcPr>
          <w:p w14:paraId="033FEFDC"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Aucune</w:t>
            </w:r>
          </w:p>
        </w:tc>
        <w:tc>
          <w:tcPr>
            <w:tcW w:w="2748" w:type="dxa"/>
            <w:tcBorders>
              <w:top w:val="single" w:sz="4" w:space="0" w:color="auto"/>
            </w:tcBorders>
          </w:tcPr>
          <w:p w14:paraId="46E17C00"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Installer la base-vie à :</w:t>
            </w:r>
          </w:p>
          <w:p w14:paraId="535EE4DE" w14:textId="19AA6A49" w:rsidR="00064FF0" w:rsidRPr="00C801A6" w:rsidRDefault="00064FF0" w:rsidP="00844538">
            <w:pPr>
              <w:pStyle w:val="ListParagraph"/>
              <w:numPr>
                <w:ilvl w:val="1"/>
                <w:numId w:val="28"/>
              </w:numPr>
              <w:spacing w:before="20" w:after="20" w:line="264" w:lineRule="auto"/>
              <w:ind w:left="284" w:hanging="142"/>
              <w:contextualSpacing w:val="0"/>
              <w:jc w:val="left"/>
              <w:rPr>
                <w:rFonts w:cs="Times New Roman"/>
                <w:color w:val="auto"/>
                <w:sz w:val="19"/>
                <w:szCs w:val="19"/>
              </w:rPr>
            </w:pPr>
            <w:r w:rsidRPr="00C801A6">
              <w:rPr>
                <w:rFonts w:cs="Times New Roman"/>
                <w:color w:val="auto"/>
                <w:sz w:val="19"/>
                <w:szCs w:val="19"/>
              </w:rPr>
              <w:t xml:space="preserve">au moins 200m de la zone habitée la plus proche afin de contribuer à la minimisation des risques d’actes </w:t>
            </w:r>
            <w:r w:rsidR="006F38A3">
              <w:rPr>
                <w:rFonts w:cs="Times New Roman"/>
                <w:color w:val="auto"/>
                <w:sz w:val="19"/>
                <w:szCs w:val="19"/>
              </w:rPr>
              <w:t xml:space="preserve">EAS-HS </w:t>
            </w:r>
          </w:p>
          <w:p w14:paraId="7A7EF375" w14:textId="77777777" w:rsidR="00064FF0" w:rsidRPr="00C801A6" w:rsidRDefault="00064FF0" w:rsidP="00844538">
            <w:pPr>
              <w:pStyle w:val="ListParagraph"/>
              <w:numPr>
                <w:ilvl w:val="1"/>
                <w:numId w:val="28"/>
              </w:numPr>
              <w:spacing w:before="20" w:after="20" w:line="264" w:lineRule="auto"/>
              <w:ind w:left="284" w:hanging="142"/>
              <w:contextualSpacing w:val="0"/>
              <w:jc w:val="left"/>
              <w:rPr>
                <w:rFonts w:cs="Times New Roman"/>
                <w:color w:val="auto"/>
                <w:sz w:val="19"/>
                <w:szCs w:val="19"/>
              </w:rPr>
            </w:pPr>
            <w:r w:rsidRPr="00C801A6">
              <w:rPr>
                <w:rFonts w:cs="Times New Roman"/>
                <w:color w:val="auto"/>
                <w:sz w:val="19"/>
                <w:szCs w:val="19"/>
              </w:rPr>
              <w:t>au moins 50m d’un plan d’eau</w:t>
            </w:r>
          </w:p>
          <w:p w14:paraId="734ED566"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Installer des douches et des latrines</w:t>
            </w:r>
          </w:p>
        </w:tc>
        <w:tc>
          <w:tcPr>
            <w:tcW w:w="2363" w:type="dxa"/>
            <w:tcBorders>
              <w:top w:val="single" w:sz="4" w:space="0" w:color="auto"/>
            </w:tcBorders>
          </w:tcPr>
          <w:p w14:paraId="325D9AAC"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PV de sélection du site de la base-vie</w:t>
            </w:r>
          </w:p>
          <w:p w14:paraId="4C03929F"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Plan de situation de la base-vie</w:t>
            </w:r>
          </w:p>
        </w:tc>
        <w:tc>
          <w:tcPr>
            <w:tcW w:w="1377" w:type="dxa"/>
            <w:tcBorders>
              <w:top w:val="single" w:sz="4" w:space="0" w:color="auto"/>
            </w:tcBorders>
          </w:tcPr>
          <w:p w14:paraId="401CCB4F"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Vérification</w:t>
            </w:r>
          </w:p>
        </w:tc>
        <w:tc>
          <w:tcPr>
            <w:tcW w:w="1649" w:type="dxa"/>
            <w:tcBorders>
              <w:top w:val="single" w:sz="4" w:space="0" w:color="auto"/>
            </w:tcBorders>
          </w:tcPr>
          <w:p w14:paraId="2BB05E9B"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Entreprise</w:t>
            </w:r>
          </w:p>
          <w:p w14:paraId="282A3009"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MdC</w:t>
            </w:r>
          </w:p>
        </w:tc>
        <w:tc>
          <w:tcPr>
            <w:tcW w:w="1897" w:type="dxa"/>
            <w:tcBorders>
              <w:top w:val="single" w:sz="4" w:space="0" w:color="auto"/>
            </w:tcBorders>
          </w:tcPr>
          <w:p w14:paraId="758186EF"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Au moment de l’installation</w:t>
            </w:r>
          </w:p>
        </w:tc>
      </w:tr>
      <w:tr w:rsidR="00C801A6" w:rsidRPr="00C801A6" w14:paraId="73E2E40D" w14:textId="77777777" w:rsidTr="00347FDB">
        <w:tc>
          <w:tcPr>
            <w:tcW w:w="2648" w:type="dxa"/>
            <w:tcBorders>
              <w:bottom w:val="single" w:sz="4" w:space="0" w:color="auto"/>
            </w:tcBorders>
          </w:tcPr>
          <w:p w14:paraId="1481C31F" w14:textId="77777777" w:rsidR="00064FF0" w:rsidRPr="00C801A6" w:rsidRDefault="00064FF0" w:rsidP="00347FDB">
            <w:pPr>
              <w:spacing w:before="20" w:after="20" w:line="264" w:lineRule="auto"/>
              <w:jc w:val="left"/>
              <w:rPr>
                <w:rFonts w:cs="Times New Roman"/>
                <w:color w:val="auto"/>
                <w:sz w:val="19"/>
                <w:szCs w:val="19"/>
                <w:lang w:eastAsia="fr-FR"/>
              </w:rPr>
            </w:pPr>
            <w:r w:rsidRPr="00C801A6">
              <w:rPr>
                <w:rFonts w:cs="Times New Roman"/>
                <w:color w:val="auto"/>
                <w:sz w:val="19"/>
                <w:szCs w:val="19"/>
                <w:lang w:eastAsia="fr-FR"/>
              </w:rPr>
              <w:t>Perte de couverture végétale / base-vie</w:t>
            </w:r>
          </w:p>
        </w:tc>
        <w:tc>
          <w:tcPr>
            <w:tcW w:w="2333" w:type="dxa"/>
            <w:tcBorders>
              <w:bottom w:val="single" w:sz="4" w:space="0" w:color="auto"/>
            </w:tcBorders>
          </w:tcPr>
          <w:p w14:paraId="51273EA6"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Aucune</w:t>
            </w:r>
          </w:p>
        </w:tc>
        <w:tc>
          <w:tcPr>
            <w:tcW w:w="2748" w:type="dxa"/>
            <w:tcBorders>
              <w:bottom w:val="single" w:sz="4" w:space="0" w:color="auto"/>
            </w:tcBorders>
          </w:tcPr>
          <w:p w14:paraId="699B3D98"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Limiter le débroussaillage au strict nécessaire</w:t>
            </w:r>
          </w:p>
          <w:p w14:paraId="0396E184"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Revégétalisation par embroussaillement et plantation d’arbres sur les limites de la base-vie</w:t>
            </w:r>
          </w:p>
        </w:tc>
        <w:tc>
          <w:tcPr>
            <w:tcW w:w="2363" w:type="dxa"/>
            <w:tcBorders>
              <w:bottom w:val="single" w:sz="4" w:space="0" w:color="auto"/>
            </w:tcBorders>
          </w:tcPr>
          <w:p w14:paraId="4E562AA4"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Plan de la base-vie</w:t>
            </w:r>
          </w:p>
        </w:tc>
        <w:tc>
          <w:tcPr>
            <w:tcW w:w="1377" w:type="dxa"/>
            <w:tcBorders>
              <w:bottom w:val="single" w:sz="4" w:space="0" w:color="auto"/>
            </w:tcBorders>
          </w:tcPr>
          <w:p w14:paraId="5AAEBD6D"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Vérification</w:t>
            </w:r>
          </w:p>
        </w:tc>
        <w:tc>
          <w:tcPr>
            <w:tcW w:w="1649" w:type="dxa"/>
            <w:tcBorders>
              <w:bottom w:val="single" w:sz="4" w:space="0" w:color="auto"/>
            </w:tcBorders>
          </w:tcPr>
          <w:p w14:paraId="7CA5F55B"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Entreprise</w:t>
            </w:r>
          </w:p>
          <w:p w14:paraId="05C2A072"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MdC</w:t>
            </w:r>
          </w:p>
        </w:tc>
        <w:tc>
          <w:tcPr>
            <w:tcW w:w="1897" w:type="dxa"/>
            <w:tcBorders>
              <w:bottom w:val="single" w:sz="4" w:space="0" w:color="auto"/>
            </w:tcBorders>
          </w:tcPr>
          <w:p w14:paraId="1691D69C"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Au moment de l’installation</w:t>
            </w:r>
          </w:p>
        </w:tc>
      </w:tr>
      <w:tr w:rsidR="00C801A6" w:rsidRPr="00C801A6" w14:paraId="14064829" w14:textId="77777777" w:rsidTr="00347FDB">
        <w:tc>
          <w:tcPr>
            <w:tcW w:w="2648" w:type="dxa"/>
            <w:tcBorders>
              <w:top w:val="single" w:sz="4" w:space="0" w:color="auto"/>
              <w:left w:val="single" w:sz="4" w:space="0" w:color="auto"/>
              <w:bottom w:val="single" w:sz="4" w:space="0" w:color="auto"/>
              <w:right w:val="nil"/>
            </w:tcBorders>
            <w:shd w:val="clear" w:color="auto" w:fill="D0CECE" w:themeFill="background2" w:themeFillShade="E6"/>
          </w:tcPr>
          <w:p w14:paraId="6253CE91" w14:textId="77777777" w:rsidR="00064FF0" w:rsidRPr="00C801A6" w:rsidRDefault="00064FF0" w:rsidP="00347FDB">
            <w:pPr>
              <w:spacing w:before="20" w:after="20" w:line="264" w:lineRule="auto"/>
              <w:jc w:val="left"/>
              <w:rPr>
                <w:rFonts w:cs="Times New Roman"/>
                <w:b/>
                <w:color w:val="auto"/>
                <w:sz w:val="19"/>
                <w:szCs w:val="19"/>
                <w:lang w:eastAsia="fr-FR"/>
              </w:rPr>
            </w:pPr>
            <w:r w:rsidRPr="00C801A6">
              <w:rPr>
                <w:rFonts w:cs="Times New Roman"/>
                <w:b/>
                <w:color w:val="auto"/>
                <w:sz w:val="19"/>
                <w:szCs w:val="19"/>
                <w:lang w:eastAsia="fr-FR"/>
              </w:rPr>
              <w:t>Impacts socioéconomiques</w:t>
            </w:r>
          </w:p>
        </w:tc>
        <w:tc>
          <w:tcPr>
            <w:tcW w:w="2333" w:type="dxa"/>
            <w:tcBorders>
              <w:top w:val="single" w:sz="4" w:space="0" w:color="auto"/>
              <w:left w:val="nil"/>
              <w:bottom w:val="single" w:sz="4" w:space="0" w:color="auto"/>
              <w:right w:val="nil"/>
            </w:tcBorders>
            <w:shd w:val="clear" w:color="auto" w:fill="D0CECE" w:themeFill="background2" w:themeFillShade="E6"/>
          </w:tcPr>
          <w:p w14:paraId="442876A7" w14:textId="77777777" w:rsidR="00064FF0" w:rsidRPr="00C801A6" w:rsidRDefault="00064FF0" w:rsidP="00347FDB">
            <w:pPr>
              <w:spacing w:before="20" w:after="20" w:line="264" w:lineRule="auto"/>
              <w:jc w:val="left"/>
              <w:rPr>
                <w:rFonts w:cs="Times New Roman"/>
                <w:b/>
                <w:color w:val="auto"/>
                <w:sz w:val="19"/>
                <w:szCs w:val="19"/>
                <w:lang w:eastAsia="fr-FR"/>
              </w:rPr>
            </w:pPr>
          </w:p>
        </w:tc>
        <w:tc>
          <w:tcPr>
            <w:tcW w:w="2748" w:type="dxa"/>
            <w:tcBorders>
              <w:top w:val="single" w:sz="4" w:space="0" w:color="auto"/>
              <w:left w:val="nil"/>
              <w:bottom w:val="single" w:sz="4" w:space="0" w:color="auto"/>
              <w:right w:val="nil"/>
            </w:tcBorders>
            <w:shd w:val="clear" w:color="auto" w:fill="D0CECE" w:themeFill="background2" w:themeFillShade="E6"/>
          </w:tcPr>
          <w:p w14:paraId="5F5CC6AC" w14:textId="77777777" w:rsidR="00064FF0" w:rsidRPr="00C801A6" w:rsidRDefault="00064FF0" w:rsidP="00347FDB">
            <w:pPr>
              <w:spacing w:before="20" w:after="20" w:line="264" w:lineRule="auto"/>
              <w:jc w:val="left"/>
              <w:rPr>
                <w:rFonts w:cs="Times New Roman"/>
                <w:b/>
                <w:color w:val="auto"/>
                <w:sz w:val="19"/>
                <w:szCs w:val="19"/>
                <w:lang w:eastAsia="fr-FR"/>
              </w:rPr>
            </w:pPr>
          </w:p>
        </w:tc>
        <w:tc>
          <w:tcPr>
            <w:tcW w:w="2363" w:type="dxa"/>
            <w:tcBorders>
              <w:top w:val="single" w:sz="4" w:space="0" w:color="auto"/>
              <w:left w:val="nil"/>
              <w:bottom w:val="single" w:sz="4" w:space="0" w:color="auto"/>
              <w:right w:val="nil"/>
            </w:tcBorders>
            <w:shd w:val="clear" w:color="auto" w:fill="D0CECE" w:themeFill="background2" w:themeFillShade="E6"/>
          </w:tcPr>
          <w:p w14:paraId="053EA4CE" w14:textId="77777777" w:rsidR="00064FF0" w:rsidRPr="00C801A6" w:rsidRDefault="00064FF0" w:rsidP="00347FDB">
            <w:pPr>
              <w:spacing w:before="20" w:after="20" w:line="264" w:lineRule="auto"/>
              <w:jc w:val="left"/>
              <w:rPr>
                <w:rFonts w:cs="Times New Roman"/>
                <w:b/>
                <w:color w:val="auto"/>
                <w:sz w:val="19"/>
                <w:szCs w:val="19"/>
                <w:lang w:eastAsia="fr-FR"/>
              </w:rPr>
            </w:pPr>
          </w:p>
        </w:tc>
        <w:tc>
          <w:tcPr>
            <w:tcW w:w="1377" w:type="dxa"/>
            <w:tcBorders>
              <w:top w:val="single" w:sz="4" w:space="0" w:color="auto"/>
              <w:left w:val="nil"/>
              <w:bottom w:val="single" w:sz="4" w:space="0" w:color="auto"/>
              <w:right w:val="nil"/>
            </w:tcBorders>
            <w:shd w:val="clear" w:color="auto" w:fill="D0CECE" w:themeFill="background2" w:themeFillShade="E6"/>
          </w:tcPr>
          <w:p w14:paraId="4F453107" w14:textId="77777777" w:rsidR="00064FF0" w:rsidRPr="00C801A6" w:rsidRDefault="00064FF0" w:rsidP="00347FDB">
            <w:pPr>
              <w:spacing w:before="20" w:after="20" w:line="264" w:lineRule="auto"/>
              <w:jc w:val="left"/>
              <w:rPr>
                <w:rFonts w:cs="Times New Roman"/>
                <w:b/>
                <w:color w:val="auto"/>
                <w:sz w:val="19"/>
                <w:szCs w:val="19"/>
                <w:lang w:eastAsia="fr-FR"/>
              </w:rPr>
            </w:pPr>
          </w:p>
        </w:tc>
        <w:tc>
          <w:tcPr>
            <w:tcW w:w="1649" w:type="dxa"/>
            <w:tcBorders>
              <w:top w:val="single" w:sz="4" w:space="0" w:color="auto"/>
              <w:left w:val="nil"/>
              <w:bottom w:val="single" w:sz="4" w:space="0" w:color="auto"/>
              <w:right w:val="nil"/>
            </w:tcBorders>
            <w:shd w:val="clear" w:color="auto" w:fill="D0CECE" w:themeFill="background2" w:themeFillShade="E6"/>
          </w:tcPr>
          <w:p w14:paraId="2C76AA3E" w14:textId="77777777" w:rsidR="00064FF0" w:rsidRPr="00C801A6" w:rsidRDefault="00064FF0" w:rsidP="00347FDB">
            <w:pPr>
              <w:spacing w:before="20" w:after="20" w:line="264" w:lineRule="auto"/>
              <w:jc w:val="left"/>
              <w:rPr>
                <w:rFonts w:cs="Times New Roman"/>
                <w:b/>
                <w:color w:val="auto"/>
                <w:sz w:val="19"/>
                <w:szCs w:val="19"/>
                <w:lang w:eastAsia="fr-FR"/>
              </w:rPr>
            </w:pPr>
          </w:p>
        </w:tc>
        <w:tc>
          <w:tcPr>
            <w:tcW w:w="1897" w:type="dxa"/>
            <w:tcBorders>
              <w:top w:val="single" w:sz="4" w:space="0" w:color="auto"/>
              <w:left w:val="nil"/>
              <w:bottom w:val="single" w:sz="4" w:space="0" w:color="auto"/>
              <w:right w:val="single" w:sz="4" w:space="0" w:color="auto"/>
            </w:tcBorders>
            <w:shd w:val="clear" w:color="auto" w:fill="D0CECE" w:themeFill="background2" w:themeFillShade="E6"/>
          </w:tcPr>
          <w:p w14:paraId="5F6DD80D" w14:textId="77777777" w:rsidR="00064FF0" w:rsidRPr="00C801A6" w:rsidRDefault="00064FF0" w:rsidP="00347FDB">
            <w:pPr>
              <w:spacing w:before="20" w:after="20" w:line="264" w:lineRule="auto"/>
              <w:jc w:val="left"/>
              <w:rPr>
                <w:rFonts w:cs="Times New Roman"/>
                <w:b/>
                <w:color w:val="auto"/>
                <w:sz w:val="19"/>
                <w:szCs w:val="19"/>
                <w:lang w:eastAsia="fr-FR"/>
              </w:rPr>
            </w:pPr>
          </w:p>
        </w:tc>
      </w:tr>
      <w:tr w:rsidR="00C801A6" w:rsidRPr="00C801A6" w14:paraId="46AEF1E1" w14:textId="77777777" w:rsidTr="00347FDB">
        <w:tc>
          <w:tcPr>
            <w:tcW w:w="2648" w:type="dxa"/>
            <w:tcBorders>
              <w:top w:val="single" w:sz="4" w:space="0" w:color="auto"/>
            </w:tcBorders>
          </w:tcPr>
          <w:p w14:paraId="500B13C7" w14:textId="77777777" w:rsidR="00064FF0" w:rsidRPr="00C801A6" w:rsidRDefault="00064FF0" w:rsidP="00347FDB">
            <w:pPr>
              <w:spacing w:before="20" w:after="20" w:line="264" w:lineRule="auto"/>
              <w:jc w:val="left"/>
              <w:rPr>
                <w:rFonts w:cs="Times New Roman"/>
                <w:color w:val="auto"/>
                <w:sz w:val="19"/>
                <w:szCs w:val="19"/>
                <w:lang w:eastAsia="fr-FR"/>
              </w:rPr>
            </w:pPr>
            <w:r w:rsidRPr="00C801A6">
              <w:rPr>
                <w:rFonts w:cs="Times New Roman"/>
                <w:color w:val="auto"/>
                <w:sz w:val="19"/>
                <w:szCs w:val="19"/>
                <w:lang w:eastAsia="fr-FR"/>
              </w:rPr>
              <w:t>Instauration d’un climat de méfiance entre l’Entreprise de travaux et les riverains</w:t>
            </w:r>
          </w:p>
        </w:tc>
        <w:tc>
          <w:tcPr>
            <w:tcW w:w="2333" w:type="dxa"/>
            <w:tcBorders>
              <w:top w:val="single" w:sz="4" w:space="0" w:color="auto"/>
            </w:tcBorders>
          </w:tcPr>
          <w:p w14:paraId="54028CB0"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Organiser une réunion d’information des riverains au démarrage du chantier</w:t>
            </w:r>
          </w:p>
        </w:tc>
        <w:tc>
          <w:tcPr>
            <w:tcW w:w="2748" w:type="dxa"/>
            <w:tcBorders>
              <w:top w:val="single" w:sz="4" w:space="0" w:color="auto"/>
            </w:tcBorders>
          </w:tcPr>
          <w:p w14:paraId="00DC1C26"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 xml:space="preserve">Traiter les éventuelles plaintes dans les plus brefs délais </w:t>
            </w:r>
          </w:p>
        </w:tc>
        <w:tc>
          <w:tcPr>
            <w:tcW w:w="2363" w:type="dxa"/>
            <w:tcBorders>
              <w:top w:val="single" w:sz="4" w:space="0" w:color="auto"/>
            </w:tcBorders>
          </w:tcPr>
          <w:p w14:paraId="173099FA"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Registre des plaintes</w:t>
            </w:r>
          </w:p>
        </w:tc>
        <w:tc>
          <w:tcPr>
            <w:tcW w:w="1377" w:type="dxa"/>
            <w:tcBorders>
              <w:top w:val="single" w:sz="4" w:space="0" w:color="auto"/>
            </w:tcBorders>
          </w:tcPr>
          <w:p w14:paraId="3E8FB9D4"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Vérification</w:t>
            </w:r>
          </w:p>
        </w:tc>
        <w:tc>
          <w:tcPr>
            <w:tcW w:w="1649" w:type="dxa"/>
            <w:tcBorders>
              <w:top w:val="single" w:sz="4" w:space="0" w:color="auto"/>
            </w:tcBorders>
          </w:tcPr>
          <w:p w14:paraId="2AD8CD3A"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Entreprise</w:t>
            </w:r>
          </w:p>
          <w:p w14:paraId="5A45E5B6"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MdC</w:t>
            </w:r>
          </w:p>
        </w:tc>
        <w:tc>
          <w:tcPr>
            <w:tcW w:w="1897" w:type="dxa"/>
            <w:tcBorders>
              <w:top w:val="single" w:sz="4" w:space="0" w:color="auto"/>
            </w:tcBorders>
          </w:tcPr>
          <w:p w14:paraId="468A676F"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Commencer à le mettre en place au moment de l’installation</w:t>
            </w:r>
          </w:p>
        </w:tc>
      </w:tr>
      <w:tr w:rsidR="00C801A6" w:rsidRPr="00C801A6" w14:paraId="0493F2EF" w14:textId="77777777" w:rsidTr="00347FDB">
        <w:tc>
          <w:tcPr>
            <w:tcW w:w="2648" w:type="dxa"/>
            <w:tcBorders>
              <w:top w:val="single" w:sz="4" w:space="0" w:color="auto"/>
            </w:tcBorders>
          </w:tcPr>
          <w:p w14:paraId="40821570" w14:textId="77777777" w:rsidR="00064FF0" w:rsidRPr="00C801A6" w:rsidRDefault="00064FF0" w:rsidP="00347FDB">
            <w:pPr>
              <w:spacing w:before="20" w:after="20" w:line="264" w:lineRule="auto"/>
              <w:jc w:val="left"/>
              <w:rPr>
                <w:rFonts w:cs="Times New Roman"/>
                <w:color w:val="auto"/>
                <w:sz w:val="19"/>
                <w:szCs w:val="19"/>
              </w:rPr>
            </w:pPr>
            <w:r w:rsidRPr="00C801A6">
              <w:rPr>
                <w:rFonts w:cs="Times New Roman"/>
                <w:color w:val="auto"/>
                <w:sz w:val="19"/>
                <w:szCs w:val="19"/>
              </w:rPr>
              <w:t>Risques d’accidents de circulation durant l’a</w:t>
            </w:r>
            <w:r w:rsidRPr="00C801A6">
              <w:rPr>
                <w:rFonts w:cs="Times New Roman"/>
                <w:color w:val="auto"/>
                <w:sz w:val="19"/>
                <w:szCs w:val="19"/>
                <w:lang w:eastAsia="fr-FR"/>
              </w:rPr>
              <w:t>menée des matériels et équipements</w:t>
            </w:r>
          </w:p>
        </w:tc>
        <w:tc>
          <w:tcPr>
            <w:tcW w:w="2333" w:type="dxa"/>
            <w:tcBorders>
              <w:top w:val="single" w:sz="4" w:space="0" w:color="auto"/>
            </w:tcBorders>
          </w:tcPr>
          <w:p w14:paraId="597D3537"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Sensibiliser les chauffeurs sur les accidents de la route</w:t>
            </w:r>
          </w:p>
        </w:tc>
        <w:tc>
          <w:tcPr>
            <w:tcW w:w="2748" w:type="dxa"/>
            <w:tcBorders>
              <w:top w:val="single" w:sz="4" w:space="0" w:color="auto"/>
            </w:tcBorders>
          </w:tcPr>
          <w:p w14:paraId="336F5C6B"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Limiter la vitesse à 20km/h en zone habitée et à 40km/h en rase-campagne</w:t>
            </w:r>
          </w:p>
        </w:tc>
        <w:tc>
          <w:tcPr>
            <w:tcW w:w="2363" w:type="dxa"/>
            <w:tcBorders>
              <w:top w:val="single" w:sz="4" w:space="0" w:color="auto"/>
            </w:tcBorders>
          </w:tcPr>
          <w:p w14:paraId="52393BC1"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Affichage dans la cabine du conducteur</w:t>
            </w:r>
          </w:p>
        </w:tc>
        <w:tc>
          <w:tcPr>
            <w:tcW w:w="1377" w:type="dxa"/>
            <w:tcBorders>
              <w:top w:val="single" w:sz="4" w:space="0" w:color="auto"/>
            </w:tcBorders>
          </w:tcPr>
          <w:p w14:paraId="78B62E81"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Vérification</w:t>
            </w:r>
          </w:p>
        </w:tc>
        <w:tc>
          <w:tcPr>
            <w:tcW w:w="1649" w:type="dxa"/>
            <w:tcBorders>
              <w:top w:val="single" w:sz="4" w:space="0" w:color="auto"/>
            </w:tcBorders>
          </w:tcPr>
          <w:p w14:paraId="00231170"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Entreprise</w:t>
            </w:r>
          </w:p>
        </w:tc>
        <w:tc>
          <w:tcPr>
            <w:tcW w:w="1897" w:type="dxa"/>
            <w:tcBorders>
              <w:top w:val="single" w:sz="4" w:space="0" w:color="auto"/>
            </w:tcBorders>
          </w:tcPr>
          <w:p w14:paraId="5C60B1DA"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Avant le 1</w:t>
            </w:r>
            <w:r w:rsidRPr="00C801A6">
              <w:rPr>
                <w:rFonts w:cs="Times New Roman"/>
                <w:color w:val="auto"/>
                <w:sz w:val="19"/>
                <w:szCs w:val="19"/>
                <w:vertAlign w:val="superscript"/>
              </w:rPr>
              <w:t>er</w:t>
            </w:r>
            <w:r w:rsidRPr="00C801A6">
              <w:rPr>
                <w:rFonts w:cs="Times New Roman"/>
                <w:color w:val="auto"/>
                <w:sz w:val="19"/>
                <w:szCs w:val="19"/>
              </w:rPr>
              <w:t xml:space="preserve"> voyage</w:t>
            </w:r>
          </w:p>
        </w:tc>
      </w:tr>
      <w:tr w:rsidR="00C801A6" w:rsidRPr="00C801A6" w14:paraId="4FE1F881" w14:textId="77777777" w:rsidTr="00347FDB">
        <w:tc>
          <w:tcPr>
            <w:tcW w:w="2648" w:type="dxa"/>
          </w:tcPr>
          <w:p w14:paraId="3ADB6A8E" w14:textId="77777777" w:rsidR="00064FF0" w:rsidRPr="00C801A6" w:rsidRDefault="00064FF0" w:rsidP="00347FDB">
            <w:pPr>
              <w:spacing w:before="20" w:after="20" w:line="264" w:lineRule="auto"/>
              <w:jc w:val="left"/>
              <w:rPr>
                <w:rFonts w:cs="Times New Roman"/>
                <w:color w:val="auto"/>
                <w:sz w:val="19"/>
                <w:szCs w:val="19"/>
                <w:lang w:eastAsia="fr-FR"/>
              </w:rPr>
            </w:pPr>
            <w:r w:rsidRPr="00C801A6">
              <w:rPr>
                <w:rFonts w:cs="Times New Roman"/>
                <w:color w:val="auto"/>
                <w:sz w:val="19"/>
                <w:szCs w:val="19"/>
              </w:rPr>
              <w:t>Risques de conflits sociaux liés au recrutement des ouvriers</w:t>
            </w:r>
            <w:r w:rsidRPr="00C801A6">
              <w:rPr>
                <w:rFonts w:cs="Times New Roman"/>
                <w:color w:val="auto"/>
                <w:sz w:val="19"/>
                <w:szCs w:val="19"/>
                <w:lang w:eastAsia="fr-FR"/>
              </w:rPr>
              <w:t xml:space="preserve"> durant la phase de recrutement </w:t>
            </w:r>
          </w:p>
        </w:tc>
        <w:tc>
          <w:tcPr>
            <w:tcW w:w="2333" w:type="dxa"/>
          </w:tcPr>
          <w:p w14:paraId="0E93981D"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Recommander à l’entreprise d’assurer la transparence quant aux recrutements locaux</w:t>
            </w:r>
          </w:p>
          <w:p w14:paraId="4F3F51CC"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Afficher les besoins en ressources humaines</w:t>
            </w:r>
          </w:p>
        </w:tc>
        <w:tc>
          <w:tcPr>
            <w:tcW w:w="2748" w:type="dxa"/>
          </w:tcPr>
          <w:p w14:paraId="4B31E0F7"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 xml:space="preserve">Traiter les éventuelles plaintes sur le recrutement dans les plus brefs délais </w:t>
            </w:r>
          </w:p>
        </w:tc>
        <w:tc>
          <w:tcPr>
            <w:tcW w:w="2363" w:type="dxa"/>
          </w:tcPr>
          <w:p w14:paraId="5390461C"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Registre des plaintes</w:t>
            </w:r>
          </w:p>
        </w:tc>
        <w:tc>
          <w:tcPr>
            <w:tcW w:w="1377" w:type="dxa"/>
          </w:tcPr>
          <w:p w14:paraId="60DE8CF7"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Vérification</w:t>
            </w:r>
          </w:p>
        </w:tc>
        <w:tc>
          <w:tcPr>
            <w:tcW w:w="1649" w:type="dxa"/>
          </w:tcPr>
          <w:p w14:paraId="54D2D60B"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Entreprise</w:t>
            </w:r>
          </w:p>
          <w:p w14:paraId="376A3691"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MdC</w:t>
            </w:r>
          </w:p>
        </w:tc>
        <w:tc>
          <w:tcPr>
            <w:tcW w:w="1897" w:type="dxa"/>
          </w:tcPr>
          <w:p w14:paraId="00BC38F6"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Commencer à le mettre en place au moment de l’installation</w:t>
            </w:r>
          </w:p>
        </w:tc>
      </w:tr>
      <w:tr w:rsidR="00C801A6" w:rsidRPr="00C801A6" w14:paraId="2D6BB0B2" w14:textId="77777777" w:rsidTr="00347FDB">
        <w:tc>
          <w:tcPr>
            <w:tcW w:w="2648" w:type="dxa"/>
          </w:tcPr>
          <w:p w14:paraId="2B073D1D" w14:textId="77777777" w:rsidR="00064FF0" w:rsidRPr="00C801A6" w:rsidRDefault="00064FF0" w:rsidP="00347FDB">
            <w:pPr>
              <w:spacing w:before="20" w:after="20" w:line="264" w:lineRule="auto"/>
              <w:jc w:val="left"/>
              <w:rPr>
                <w:rFonts w:cs="Times New Roman"/>
                <w:color w:val="auto"/>
                <w:sz w:val="19"/>
                <w:szCs w:val="19"/>
              </w:rPr>
            </w:pPr>
            <w:r w:rsidRPr="00C801A6">
              <w:rPr>
                <w:rFonts w:cs="Times New Roman"/>
                <w:color w:val="auto"/>
                <w:sz w:val="19"/>
                <w:szCs w:val="19"/>
              </w:rPr>
              <w:lastRenderedPageBreak/>
              <w:t>Risques liés à la libération d’emprise :</w:t>
            </w:r>
          </w:p>
          <w:p w14:paraId="4FC05514" w14:textId="77777777" w:rsidR="00064FF0" w:rsidRPr="00C801A6" w:rsidRDefault="00064FF0" w:rsidP="00844538">
            <w:pPr>
              <w:pStyle w:val="ListParagraph"/>
              <w:numPr>
                <w:ilvl w:val="0"/>
                <w:numId w:val="63"/>
              </w:numPr>
              <w:spacing w:before="20" w:after="20" w:line="264" w:lineRule="auto"/>
              <w:ind w:left="142" w:hanging="142"/>
              <w:contextualSpacing w:val="0"/>
              <w:jc w:val="left"/>
              <w:rPr>
                <w:rFonts w:cs="Times New Roman"/>
                <w:color w:val="auto"/>
                <w:sz w:val="19"/>
                <w:szCs w:val="19"/>
                <w:lang w:eastAsia="fr-FR"/>
              </w:rPr>
            </w:pPr>
            <w:r w:rsidRPr="00C801A6">
              <w:rPr>
                <w:rFonts w:cs="Times New Roman"/>
                <w:color w:val="auto"/>
                <w:sz w:val="19"/>
                <w:szCs w:val="19"/>
                <w:lang w:eastAsia="fr-FR"/>
              </w:rPr>
              <w:t>Perturbations de sources de revenus</w:t>
            </w:r>
          </w:p>
          <w:p w14:paraId="208CCE6A" w14:textId="77777777" w:rsidR="00064FF0" w:rsidRPr="00C801A6" w:rsidRDefault="00064FF0" w:rsidP="00844538">
            <w:pPr>
              <w:pStyle w:val="ListParagraph"/>
              <w:numPr>
                <w:ilvl w:val="0"/>
                <w:numId w:val="63"/>
              </w:numPr>
              <w:spacing w:before="20" w:after="20" w:line="264" w:lineRule="auto"/>
              <w:ind w:left="142" w:hanging="142"/>
              <w:contextualSpacing w:val="0"/>
              <w:jc w:val="left"/>
              <w:rPr>
                <w:rFonts w:cs="Times New Roman"/>
                <w:color w:val="auto"/>
                <w:sz w:val="19"/>
                <w:szCs w:val="19"/>
                <w:lang w:eastAsia="fr-FR"/>
              </w:rPr>
            </w:pPr>
            <w:r w:rsidRPr="00C801A6">
              <w:rPr>
                <w:rFonts w:cs="Times New Roman"/>
                <w:color w:val="auto"/>
                <w:sz w:val="19"/>
                <w:szCs w:val="19"/>
                <w:lang w:eastAsia="fr-FR"/>
              </w:rPr>
              <w:t>Pertes d’actifs</w:t>
            </w:r>
          </w:p>
          <w:p w14:paraId="54D76C6F" w14:textId="77777777" w:rsidR="00064FF0" w:rsidRPr="00C801A6" w:rsidRDefault="00064FF0" w:rsidP="00844538">
            <w:pPr>
              <w:pStyle w:val="ListParagraph"/>
              <w:numPr>
                <w:ilvl w:val="0"/>
                <w:numId w:val="63"/>
              </w:numPr>
              <w:spacing w:before="20" w:after="20" w:line="264" w:lineRule="auto"/>
              <w:ind w:left="142" w:hanging="142"/>
              <w:contextualSpacing w:val="0"/>
              <w:jc w:val="left"/>
              <w:rPr>
                <w:rFonts w:cs="Times New Roman"/>
                <w:color w:val="auto"/>
                <w:sz w:val="19"/>
                <w:szCs w:val="19"/>
                <w:lang w:eastAsia="fr-FR"/>
              </w:rPr>
            </w:pPr>
            <w:r w:rsidRPr="00C801A6">
              <w:rPr>
                <w:rFonts w:cs="Times New Roman"/>
                <w:color w:val="auto"/>
                <w:sz w:val="19"/>
                <w:szCs w:val="19"/>
                <w:lang w:eastAsia="fr-FR"/>
              </w:rPr>
              <w:t>autres</w:t>
            </w:r>
          </w:p>
        </w:tc>
        <w:tc>
          <w:tcPr>
            <w:tcW w:w="2333" w:type="dxa"/>
          </w:tcPr>
          <w:p w14:paraId="6767B371"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Investiguer les options possibles pour ne pas impacter des biens privés ou perturber des sources de revenus</w:t>
            </w:r>
          </w:p>
        </w:tc>
        <w:tc>
          <w:tcPr>
            <w:tcW w:w="2748" w:type="dxa"/>
          </w:tcPr>
          <w:p w14:paraId="105BDD15"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Préparer et mettre en œuvre un Plan de réinstallation</w:t>
            </w:r>
          </w:p>
        </w:tc>
        <w:tc>
          <w:tcPr>
            <w:tcW w:w="2363" w:type="dxa"/>
          </w:tcPr>
          <w:p w14:paraId="2F3D18BD"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Plan de réinstallation approuvé</w:t>
            </w:r>
          </w:p>
          <w:p w14:paraId="55EAE7A5"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Rapport de mise en œuvre approuvé par la Banque</w:t>
            </w:r>
          </w:p>
        </w:tc>
        <w:tc>
          <w:tcPr>
            <w:tcW w:w="1377" w:type="dxa"/>
          </w:tcPr>
          <w:p w14:paraId="2FC58EBE"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Vérification</w:t>
            </w:r>
          </w:p>
        </w:tc>
        <w:tc>
          <w:tcPr>
            <w:tcW w:w="1649" w:type="dxa"/>
          </w:tcPr>
          <w:p w14:paraId="4901D4C8" w14:textId="0E87F84F"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U</w:t>
            </w:r>
            <w:r w:rsidR="00D1342C">
              <w:rPr>
                <w:rFonts w:cs="Times New Roman"/>
                <w:color w:val="auto"/>
                <w:sz w:val="19"/>
                <w:szCs w:val="19"/>
              </w:rPr>
              <w:t>C</w:t>
            </w:r>
            <w:r w:rsidRPr="00C801A6">
              <w:rPr>
                <w:rFonts w:cs="Times New Roman"/>
                <w:color w:val="auto"/>
                <w:sz w:val="19"/>
                <w:szCs w:val="19"/>
              </w:rPr>
              <w:t xml:space="preserve">P </w:t>
            </w:r>
            <w:r w:rsidRPr="00C801A6">
              <w:rPr>
                <w:rFonts w:cs="Times New Roman"/>
                <w:i/>
                <w:color w:val="auto"/>
                <w:sz w:val="19"/>
                <w:szCs w:val="19"/>
              </w:rPr>
              <w:t>(éventuellement un sous-traitant)</w:t>
            </w:r>
          </w:p>
        </w:tc>
        <w:tc>
          <w:tcPr>
            <w:tcW w:w="1897" w:type="dxa"/>
          </w:tcPr>
          <w:p w14:paraId="664CDA9D"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Commencer à le mettre en place au moment de l’installation</w:t>
            </w:r>
          </w:p>
        </w:tc>
      </w:tr>
      <w:tr w:rsidR="00C801A6" w:rsidRPr="00C801A6" w14:paraId="58D2C8A2" w14:textId="77777777" w:rsidTr="00347FDB">
        <w:tc>
          <w:tcPr>
            <w:tcW w:w="2648" w:type="dxa"/>
          </w:tcPr>
          <w:p w14:paraId="17667994" w14:textId="77777777" w:rsidR="00064FF0" w:rsidRPr="00C801A6" w:rsidRDefault="00064FF0" w:rsidP="00347FDB">
            <w:pPr>
              <w:spacing w:before="20" w:after="20" w:line="264" w:lineRule="auto"/>
              <w:jc w:val="left"/>
              <w:rPr>
                <w:rFonts w:cs="Times New Roman"/>
                <w:color w:val="auto"/>
                <w:sz w:val="19"/>
                <w:szCs w:val="19"/>
                <w:lang w:eastAsia="fr-FR"/>
              </w:rPr>
            </w:pPr>
            <w:r w:rsidRPr="00C801A6">
              <w:rPr>
                <w:rFonts w:cs="Times New Roman"/>
                <w:color w:val="auto"/>
                <w:sz w:val="19"/>
                <w:szCs w:val="19"/>
              </w:rPr>
              <w:t>Risques liés à l’a</w:t>
            </w:r>
            <w:r w:rsidRPr="00C801A6">
              <w:rPr>
                <w:rFonts w:cs="Times New Roman"/>
                <w:color w:val="auto"/>
                <w:sz w:val="19"/>
                <w:szCs w:val="19"/>
                <w:lang w:eastAsia="fr-FR"/>
              </w:rPr>
              <w:t>fflux d’ouvriers immigrés</w:t>
            </w:r>
          </w:p>
        </w:tc>
        <w:tc>
          <w:tcPr>
            <w:tcW w:w="2333" w:type="dxa"/>
          </w:tcPr>
          <w:p w14:paraId="5152DF3B"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A compétences égales, privilégier le recrutement local</w:t>
            </w:r>
          </w:p>
        </w:tc>
        <w:tc>
          <w:tcPr>
            <w:tcW w:w="2748" w:type="dxa"/>
          </w:tcPr>
          <w:p w14:paraId="734ACAAC"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Compléter les effectifs manquants avec des recrutements extérieurs</w:t>
            </w:r>
          </w:p>
        </w:tc>
        <w:tc>
          <w:tcPr>
            <w:tcW w:w="2363" w:type="dxa"/>
          </w:tcPr>
          <w:p w14:paraId="174E2C70"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Registre des employés</w:t>
            </w:r>
          </w:p>
        </w:tc>
        <w:tc>
          <w:tcPr>
            <w:tcW w:w="1377" w:type="dxa"/>
          </w:tcPr>
          <w:p w14:paraId="2D0B7338"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Vérification</w:t>
            </w:r>
          </w:p>
        </w:tc>
        <w:tc>
          <w:tcPr>
            <w:tcW w:w="1649" w:type="dxa"/>
          </w:tcPr>
          <w:p w14:paraId="2B4FFD77"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Entreprise</w:t>
            </w:r>
          </w:p>
          <w:p w14:paraId="36BB9B11"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MdC</w:t>
            </w:r>
          </w:p>
        </w:tc>
        <w:tc>
          <w:tcPr>
            <w:tcW w:w="1897" w:type="dxa"/>
          </w:tcPr>
          <w:p w14:paraId="5638B709"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En permanence</w:t>
            </w:r>
          </w:p>
        </w:tc>
      </w:tr>
      <w:tr w:rsidR="00C801A6" w:rsidRPr="00C801A6" w14:paraId="27677227" w14:textId="77777777" w:rsidTr="00347FDB">
        <w:tc>
          <w:tcPr>
            <w:tcW w:w="2648" w:type="dxa"/>
          </w:tcPr>
          <w:p w14:paraId="2967CC10" w14:textId="77777777" w:rsidR="00064FF0" w:rsidRPr="00C801A6" w:rsidRDefault="00064FF0" w:rsidP="00347FDB">
            <w:pPr>
              <w:spacing w:before="20" w:after="20" w:line="264" w:lineRule="auto"/>
              <w:jc w:val="left"/>
              <w:rPr>
                <w:rFonts w:cs="Times New Roman"/>
                <w:color w:val="auto"/>
                <w:sz w:val="19"/>
                <w:szCs w:val="19"/>
                <w:lang w:eastAsia="fr-FR"/>
              </w:rPr>
            </w:pPr>
            <w:r w:rsidRPr="00C801A6">
              <w:rPr>
                <w:rFonts w:cs="Times New Roman"/>
                <w:color w:val="auto"/>
                <w:sz w:val="19"/>
                <w:szCs w:val="19"/>
                <w:lang w:eastAsia="fr-FR"/>
              </w:rPr>
              <w:t>Risques liés à la promiscuité sexuelle (risques de propagation de maladies sexuellement transmissibles, d’augmentation du taux de comportements illicites, etc.)</w:t>
            </w:r>
          </w:p>
        </w:tc>
        <w:tc>
          <w:tcPr>
            <w:tcW w:w="2333" w:type="dxa"/>
          </w:tcPr>
          <w:p w14:paraId="0E0C5A28"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Organiser des séances de sensibilisation des ouvriers et des riverains</w:t>
            </w:r>
          </w:p>
          <w:p w14:paraId="0AEB69EE"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Faire signer le Code de conduite à tous les employés</w:t>
            </w:r>
          </w:p>
        </w:tc>
        <w:tc>
          <w:tcPr>
            <w:tcW w:w="2748" w:type="dxa"/>
          </w:tcPr>
          <w:p w14:paraId="044B8830"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Mettre des préservatifs à la disposition gratuite des employés</w:t>
            </w:r>
          </w:p>
        </w:tc>
        <w:tc>
          <w:tcPr>
            <w:tcW w:w="2363" w:type="dxa"/>
          </w:tcPr>
          <w:p w14:paraId="60B439CE"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Codes de conduite signés</w:t>
            </w:r>
          </w:p>
          <w:p w14:paraId="7D1A7FA8"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PV de sensibilisation</w:t>
            </w:r>
          </w:p>
          <w:p w14:paraId="7CA0387A"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Disponibilité de préservatifs</w:t>
            </w:r>
          </w:p>
        </w:tc>
        <w:tc>
          <w:tcPr>
            <w:tcW w:w="1377" w:type="dxa"/>
          </w:tcPr>
          <w:p w14:paraId="29A3A89E"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Vérification</w:t>
            </w:r>
          </w:p>
        </w:tc>
        <w:tc>
          <w:tcPr>
            <w:tcW w:w="1649" w:type="dxa"/>
          </w:tcPr>
          <w:p w14:paraId="06887877"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Entreprise</w:t>
            </w:r>
          </w:p>
          <w:p w14:paraId="3C821026"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MdC</w:t>
            </w:r>
          </w:p>
        </w:tc>
        <w:tc>
          <w:tcPr>
            <w:tcW w:w="1897" w:type="dxa"/>
          </w:tcPr>
          <w:p w14:paraId="64B24E01"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Tous les mois</w:t>
            </w:r>
          </w:p>
        </w:tc>
      </w:tr>
      <w:tr w:rsidR="00C801A6" w:rsidRPr="00C801A6" w14:paraId="1589B175" w14:textId="77777777" w:rsidTr="00347FDB">
        <w:tc>
          <w:tcPr>
            <w:tcW w:w="2648" w:type="dxa"/>
          </w:tcPr>
          <w:p w14:paraId="46930A53" w14:textId="3FC58086" w:rsidR="00064FF0" w:rsidRPr="00C801A6" w:rsidRDefault="00064FF0" w:rsidP="00347FDB">
            <w:pPr>
              <w:spacing w:before="20" w:after="20" w:line="264" w:lineRule="auto"/>
              <w:jc w:val="left"/>
              <w:rPr>
                <w:rFonts w:cs="Times New Roman"/>
                <w:color w:val="auto"/>
                <w:sz w:val="19"/>
                <w:szCs w:val="19"/>
                <w:lang w:eastAsia="fr-FR"/>
              </w:rPr>
            </w:pPr>
            <w:r w:rsidRPr="00C801A6">
              <w:rPr>
                <w:rFonts w:cs="Times New Roman"/>
                <w:color w:val="auto"/>
                <w:sz w:val="19"/>
                <w:szCs w:val="19"/>
                <w:lang w:eastAsia="fr-FR"/>
              </w:rPr>
              <w:t>Risques de prolifération de maladies contagieuses comme le Covid-19</w:t>
            </w:r>
            <w:r w:rsidR="00474BAC">
              <w:rPr>
                <w:rFonts w:cs="Times New Roman"/>
                <w:color w:val="auto"/>
                <w:sz w:val="19"/>
                <w:szCs w:val="19"/>
                <w:lang w:eastAsia="fr-FR"/>
              </w:rPr>
              <w:t>, Mpox</w:t>
            </w:r>
          </w:p>
        </w:tc>
        <w:tc>
          <w:tcPr>
            <w:tcW w:w="2333" w:type="dxa"/>
          </w:tcPr>
          <w:p w14:paraId="11FFE8EC"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Sensibiliser les employer et les riverains sur le respect des gestes barrières</w:t>
            </w:r>
          </w:p>
        </w:tc>
        <w:tc>
          <w:tcPr>
            <w:tcW w:w="2748" w:type="dxa"/>
          </w:tcPr>
          <w:p w14:paraId="21976640"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Fournir des moyens de protection aux employés</w:t>
            </w:r>
          </w:p>
        </w:tc>
        <w:tc>
          <w:tcPr>
            <w:tcW w:w="2363" w:type="dxa"/>
          </w:tcPr>
          <w:p w14:paraId="483A67C9"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Affichage des mesures barrières</w:t>
            </w:r>
          </w:p>
          <w:p w14:paraId="03AC6F40"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Lavage des mains ou gel</w:t>
            </w:r>
          </w:p>
        </w:tc>
        <w:tc>
          <w:tcPr>
            <w:tcW w:w="1377" w:type="dxa"/>
          </w:tcPr>
          <w:p w14:paraId="0934ACF1"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Vérification</w:t>
            </w:r>
          </w:p>
        </w:tc>
        <w:tc>
          <w:tcPr>
            <w:tcW w:w="1649" w:type="dxa"/>
          </w:tcPr>
          <w:p w14:paraId="44DB3FFD"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Entreprise</w:t>
            </w:r>
          </w:p>
          <w:p w14:paraId="2A32ADB8"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MdC</w:t>
            </w:r>
          </w:p>
        </w:tc>
        <w:tc>
          <w:tcPr>
            <w:tcW w:w="1897" w:type="dxa"/>
          </w:tcPr>
          <w:p w14:paraId="753F3964"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En permanence</w:t>
            </w:r>
          </w:p>
        </w:tc>
      </w:tr>
      <w:tr w:rsidR="00C801A6" w:rsidRPr="00C801A6" w14:paraId="0F78C335" w14:textId="77777777" w:rsidTr="00347FDB">
        <w:tc>
          <w:tcPr>
            <w:tcW w:w="2648" w:type="dxa"/>
          </w:tcPr>
          <w:p w14:paraId="5E69A05B" w14:textId="77777777" w:rsidR="00064FF0" w:rsidRPr="00C801A6" w:rsidRDefault="00064FF0" w:rsidP="00347FDB">
            <w:pPr>
              <w:spacing w:before="20" w:after="20" w:line="264" w:lineRule="auto"/>
              <w:jc w:val="left"/>
              <w:rPr>
                <w:rFonts w:cs="Times New Roman"/>
                <w:color w:val="auto"/>
                <w:sz w:val="19"/>
                <w:szCs w:val="19"/>
                <w:lang w:eastAsia="fr-FR"/>
              </w:rPr>
            </w:pPr>
            <w:r w:rsidRPr="00C801A6">
              <w:rPr>
                <w:rFonts w:cs="Times New Roman"/>
                <w:color w:val="auto"/>
                <w:sz w:val="19"/>
                <w:szCs w:val="19"/>
                <w:lang w:eastAsia="fr-FR"/>
              </w:rPr>
              <w:t>Risques d’augmentation des pressions sur les services sociaux de base : Centres de santé, etc.</w:t>
            </w:r>
          </w:p>
        </w:tc>
        <w:tc>
          <w:tcPr>
            <w:tcW w:w="2333" w:type="dxa"/>
          </w:tcPr>
          <w:p w14:paraId="1539AE82"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Sensibiliser les employés sur la santé au travail</w:t>
            </w:r>
          </w:p>
        </w:tc>
        <w:tc>
          <w:tcPr>
            <w:tcW w:w="2748" w:type="dxa"/>
          </w:tcPr>
          <w:p w14:paraId="60E876D5"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Signer une convention avec un médecin privé</w:t>
            </w:r>
          </w:p>
        </w:tc>
        <w:tc>
          <w:tcPr>
            <w:tcW w:w="2363" w:type="dxa"/>
          </w:tcPr>
          <w:p w14:paraId="5123BFC4"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Journal du personnel</w:t>
            </w:r>
          </w:p>
        </w:tc>
        <w:tc>
          <w:tcPr>
            <w:tcW w:w="1377" w:type="dxa"/>
          </w:tcPr>
          <w:p w14:paraId="63809BBE"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Vérification</w:t>
            </w:r>
          </w:p>
        </w:tc>
        <w:tc>
          <w:tcPr>
            <w:tcW w:w="1649" w:type="dxa"/>
          </w:tcPr>
          <w:p w14:paraId="57E3A42F"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Entreprise</w:t>
            </w:r>
          </w:p>
          <w:p w14:paraId="531E88F2"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MdC</w:t>
            </w:r>
          </w:p>
        </w:tc>
        <w:tc>
          <w:tcPr>
            <w:tcW w:w="1897" w:type="dxa"/>
          </w:tcPr>
          <w:p w14:paraId="55789F01"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En permanence</w:t>
            </w:r>
          </w:p>
        </w:tc>
      </w:tr>
      <w:tr w:rsidR="00C801A6" w:rsidRPr="00C801A6" w14:paraId="4EC806CC" w14:textId="77777777" w:rsidTr="00347FDB">
        <w:tc>
          <w:tcPr>
            <w:tcW w:w="2648" w:type="dxa"/>
          </w:tcPr>
          <w:p w14:paraId="26E57390" w14:textId="77777777" w:rsidR="00064FF0" w:rsidRPr="00C801A6" w:rsidRDefault="00064FF0" w:rsidP="00347FDB">
            <w:pPr>
              <w:spacing w:before="20" w:after="20" w:line="264" w:lineRule="auto"/>
              <w:jc w:val="left"/>
              <w:rPr>
                <w:rFonts w:cs="Times New Roman"/>
                <w:color w:val="auto"/>
                <w:sz w:val="19"/>
                <w:szCs w:val="19"/>
                <w:lang w:eastAsia="fr-FR"/>
              </w:rPr>
            </w:pPr>
            <w:r w:rsidRPr="00C801A6">
              <w:rPr>
                <w:rFonts w:cs="Times New Roman"/>
                <w:color w:val="auto"/>
                <w:sz w:val="19"/>
                <w:szCs w:val="19"/>
                <w:lang w:eastAsia="fr-FR"/>
              </w:rPr>
              <w:t>Risques d’augmentation des pressions sur les ressources naturelles</w:t>
            </w:r>
          </w:p>
        </w:tc>
        <w:tc>
          <w:tcPr>
            <w:tcW w:w="2333" w:type="dxa"/>
          </w:tcPr>
          <w:p w14:paraId="4B8F34B4"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Sensibiliser les employés sur l’utilisation du bois de chauffe et encore moins sur l’utilisation du charbon de bois</w:t>
            </w:r>
          </w:p>
          <w:p w14:paraId="4FE5AB9D"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Les sensibiliser aussi sur le braconnage</w:t>
            </w:r>
          </w:p>
        </w:tc>
        <w:tc>
          <w:tcPr>
            <w:tcW w:w="2748" w:type="dxa"/>
          </w:tcPr>
          <w:p w14:paraId="38F59827"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Utiliser les chutes de bois provenant de la construction de la base-vie pour la préparation des repas</w:t>
            </w:r>
          </w:p>
          <w:p w14:paraId="40DADC25"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Utiliser des foyers améliorés</w:t>
            </w:r>
          </w:p>
        </w:tc>
        <w:tc>
          <w:tcPr>
            <w:tcW w:w="2363" w:type="dxa"/>
          </w:tcPr>
          <w:p w14:paraId="273C5853"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Mode de cuisson</w:t>
            </w:r>
          </w:p>
          <w:p w14:paraId="51153CAC"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Méthode d’approvisionnement en combustible</w:t>
            </w:r>
          </w:p>
        </w:tc>
        <w:tc>
          <w:tcPr>
            <w:tcW w:w="1377" w:type="dxa"/>
          </w:tcPr>
          <w:p w14:paraId="36C56821"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Vérification</w:t>
            </w:r>
          </w:p>
        </w:tc>
        <w:tc>
          <w:tcPr>
            <w:tcW w:w="1649" w:type="dxa"/>
          </w:tcPr>
          <w:p w14:paraId="4E388511"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Entreprise</w:t>
            </w:r>
          </w:p>
          <w:p w14:paraId="6955B72A"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MdC</w:t>
            </w:r>
          </w:p>
        </w:tc>
        <w:tc>
          <w:tcPr>
            <w:tcW w:w="1897" w:type="dxa"/>
          </w:tcPr>
          <w:p w14:paraId="1860A5DE"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En permanence</w:t>
            </w:r>
          </w:p>
        </w:tc>
      </w:tr>
      <w:tr w:rsidR="00C801A6" w:rsidRPr="00C801A6" w14:paraId="3917AE9D" w14:textId="77777777" w:rsidTr="00347FDB">
        <w:tc>
          <w:tcPr>
            <w:tcW w:w="2648" w:type="dxa"/>
            <w:tcBorders>
              <w:bottom w:val="single" w:sz="4" w:space="0" w:color="auto"/>
            </w:tcBorders>
          </w:tcPr>
          <w:p w14:paraId="6AB98F15" w14:textId="04B97A67" w:rsidR="00064FF0" w:rsidRPr="00C801A6" w:rsidRDefault="00064FF0" w:rsidP="00347FDB">
            <w:pPr>
              <w:spacing w:before="20" w:after="20" w:line="264" w:lineRule="auto"/>
              <w:jc w:val="left"/>
              <w:rPr>
                <w:rFonts w:cs="Times New Roman"/>
                <w:color w:val="auto"/>
                <w:sz w:val="19"/>
                <w:szCs w:val="19"/>
                <w:lang w:eastAsia="fr-FR"/>
              </w:rPr>
            </w:pPr>
            <w:r w:rsidRPr="00C801A6">
              <w:rPr>
                <w:rFonts w:cs="Times New Roman"/>
                <w:color w:val="auto"/>
                <w:sz w:val="19"/>
                <w:szCs w:val="19"/>
                <w:lang w:eastAsia="fr-FR"/>
              </w:rPr>
              <w:lastRenderedPageBreak/>
              <w:t xml:space="preserve">Risques d’augmentation des cas d’actes </w:t>
            </w:r>
            <w:r w:rsidR="006F38A3">
              <w:rPr>
                <w:rFonts w:cs="Times New Roman"/>
                <w:color w:val="auto"/>
                <w:sz w:val="19"/>
                <w:szCs w:val="19"/>
                <w:lang w:eastAsia="fr-FR"/>
              </w:rPr>
              <w:t xml:space="preserve">EAS-HS </w:t>
            </w:r>
            <w:r w:rsidRPr="00C801A6">
              <w:rPr>
                <w:rFonts w:cs="Times New Roman"/>
                <w:color w:val="auto"/>
                <w:sz w:val="19"/>
                <w:szCs w:val="19"/>
                <w:lang w:eastAsia="fr-FR"/>
              </w:rPr>
              <w:t>.</w:t>
            </w:r>
          </w:p>
        </w:tc>
        <w:tc>
          <w:tcPr>
            <w:tcW w:w="2333" w:type="dxa"/>
            <w:tcBorders>
              <w:bottom w:val="single" w:sz="4" w:space="0" w:color="auto"/>
            </w:tcBorders>
          </w:tcPr>
          <w:p w14:paraId="6BB303B3" w14:textId="748768AC"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Sensibiliser les ouvriers sur les sanctions légales liées aux actes VBG</w:t>
            </w:r>
            <w:r w:rsidR="00474BAC">
              <w:rPr>
                <w:rFonts w:cs="Times New Roman"/>
                <w:color w:val="auto"/>
                <w:sz w:val="19"/>
                <w:szCs w:val="19"/>
              </w:rPr>
              <w:t>/</w:t>
            </w:r>
            <w:r w:rsidRPr="00C801A6">
              <w:rPr>
                <w:rFonts w:cs="Times New Roman"/>
                <w:color w:val="auto"/>
                <w:sz w:val="19"/>
                <w:szCs w:val="19"/>
              </w:rPr>
              <w:t>EAS_HS</w:t>
            </w:r>
          </w:p>
          <w:p w14:paraId="4DA1D985"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Signature des Codes de conduite par tous les employés</w:t>
            </w:r>
          </w:p>
        </w:tc>
        <w:tc>
          <w:tcPr>
            <w:tcW w:w="2748" w:type="dxa"/>
            <w:tcBorders>
              <w:bottom w:val="single" w:sz="4" w:space="0" w:color="auto"/>
            </w:tcBorders>
          </w:tcPr>
          <w:p w14:paraId="5522A7F2"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Suspendre les contrevenants et leur faire prendre en charge les coûts de leurs actes, le cas échéant</w:t>
            </w:r>
          </w:p>
        </w:tc>
        <w:tc>
          <w:tcPr>
            <w:tcW w:w="2363" w:type="dxa"/>
            <w:tcBorders>
              <w:bottom w:val="single" w:sz="4" w:space="0" w:color="auto"/>
            </w:tcBorders>
          </w:tcPr>
          <w:p w14:paraId="2D91C695"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PV de sensibilisation</w:t>
            </w:r>
          </w:p>
          <w:p w14:paraId="4C7C0989" w14:textId="4DF5120B"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 xml:space="preserve">Registre </w:t>
            </w:r>
            <w:r w:rsidR="006F38A3">
              <w:rPr>
                <w:rFonts w:cs="Times New Roman"/>
                <w:color w:val="auto"/>
                <w:sz w:val="19"/>
                <w:szCs w:val="19"/>
              </w:rPr>
              <w:t xml:space="preserve">EAS-HS </w:t>
            </w:r>
          </w:p>
        </w:tc>
        <w:tc>
          <w:tcPr>
            <w:tcW w:w="1377" w:type="dxa"/>
            <w:tcBorders>
              <w:bottom w:val="single" w:sz="4" w:space="0" w:color="auto"/>
            </w:tcBorders>
          </w:tcPr>
          <w:p w14:paraId="4D86AA94"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Vérification</w:t>
            </w:r>
          </w:p>
        </w:tc>
        <w:tc>
          <w:tcPr>
            <w:tcW w:w="1649" w:type="dxa"/>
            <w:tcBorders>
              <w:bottom w:val="single" w:sz="4" w:space="0" w:color="auto"/>
            </w:tcBorders>
          </w:tcPr>
          <w:p w14:paraId="424AD97D"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Entreprise</w:t>
            </w:r>
          </w:p>
          <w:p w14:paraId="4C867590"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MdC</w:t>
            </w:r>
          </w:p>
        </w:tc>
        <w:tc>
          <w:tcPr>
            <w:tcW w:w="1897" w:type="dxa"/>
            <w:tcBorders>
              <w:bottom w:val="single" w:sz="4" w:space="0" w:color="auto"/>
            </w:tcBorders>
          </w:tcPr>
          <w:p w14:paraId="5D58F764"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Au moins 1 fois / mois</w:t>
            </w:r>
          </w:p>
        </w:tc>
      </w:tr>
    </w:tbl>
    <w:p w14:paraId="5C929D77" w14:textId="2958F602" w:rsidR="00064FF0" w:rsidRDefault="00064FF0" w:rsidP="00064FF0">
      <w:pPr>
        <w:spacing w:line="259" w:lineRule="auto"/>
        <w:jc w:val="left"/>
        <w:rPr>
          <w:color w:val="auto"/>
        </w:rPr>
      </w:pPr>
    </w:p>
    <w:p w14:paraId="54E284B7" w14:textId="7D21B443" w:rsidR="00D1342C" w:rsidRPr="00C801A6" w:rsidRDefault="00D1342C" w:rsidP="00D1342C">
      <w:pPr>
        <w:pStyle w:val="Caption"/>
        <w:rPr>
          <w:color w:val="auto"/>
        </w:rPr>
      </w:pPr>
      <w:bookmarkStart w:id="829" w:name="_Toc230427754"/>
      <w:r>
        <w:t xml:space="preserve">Tableau </w:t>
      </w:r>
      <w:r w:rsidR="00E44887">
        <w:fldChar w:fldCharType="begin"/>
      </w:r>
      <w:r w:rsidR="00E44887">
        <w:instrText xml:space="preserve"> SEQ Tableau \* ARABIC </w:instrText>
      </w:r>
      <w:r w:rsidR="00E44887">
        <w:fldChar w:fldCharType="separate"/>
      </w:r>
      <w:r w:rsidR="00253F1A">
        <w:rPr>
          <w:noProof/>
        </w:rPr>
        <w:t>34</w:t>
      </w:r>
      <w:r w:rsidR="00E44887">
        <w:rPr>
          <w:noProof/>
        </w:rPr>
        <w:fldChar w:fldCharType="end"/>
      </w:r>
      <w:r>
        <w:t> : PLAN CADRE DE SURVEILLANCE E&amp;S – TRAVAUX DE GENIE CIVIL – PHASE DE MISE EN OEUVRE</w:t>
      </w:r>
      <w:bookmarkEnd w:id="829"/>
    </w:p>
    <w:tbl>
      <w:tblPr>
        <w:tblStyle w:val="TableGrid"/>
        <w:tblW w:w="15276" w:type="dxa"/>
        <w:tblInd w:w="-157" w:type="dxa"/>
        <w:tblLook w:val="04A0" w:firstRow="1" w:lastRow="0" w:firstColumn="1" w:lastColumn="0" w:noHBand="0" w:noVBand="1"/>
      </w:tblPr>
      <w:tblGrid>
        <w:gridCol w:w="2660"/>
        <w:gridCol w:w="2297"/>
        <w:gridCol w:w="3265"/>
        <w:gridCol w:w="2090"/>
        <w:gridCol w:w="1421"/>
        <w:gridCol w:w="1700"/>
        <w:gridCol w:w="1843"/>
      </w:tblGrid>
      <w:tr w:rsidR="00C801A6" w:rsidRPr="00C801A6" w14:paraId="1A16DDD3" w14:textId="77777777" w:rsidTr="00253F1A">
        <w:trPr>
          <w:tblHeader/>
        </w:trPr>
        <w:tc>
          <w:tcPr>
            <w:tcW w:w="2660" w:type="dxa"/>
            <w:tcBorders>
              <w:top w:val="single" w:sz="4" w:space="0" w:color="auto"/>
              <w:bottom w:val="single" w:sz="4" w:space="0" w:color="auto"/>
            </w:tcBorders>
            <w:shd w:val="clear" w:color="auto" w:fill="E2EFD9" w:themeFill="accent6" w:themeFillTint="33"/>
          </w:tcPr>
          <w:p w14:paraId="17A4C921" w14:textId="77777777" w:rsidR="00064FF0" w:rsidRPr="00C801A6" w:rsidRDefault="00064FF0" w:rsidP="00347FDB">
            <w:pPr>
              <w:spacing w:before="20" w:after="20" w:line="264" w:lineRule="auto"/>
              <w:jc w:val="left"/>
              <w:rPr>
                <w:rFonts w:cs="Times New Roman"/>
                <w:b/>
                <w:color w:val="auto"/>
                <w:sz w:val="19"/>
                <w:szCs w:val="19"/>
              </w:rPr>
            </w:pPr>
            <w:r w:rsidRPr="00C801A6">
              <w:rPr>
                <w:rFonts w:cs="Times New Roman"/>
                <w:b/>
                <w:color w:val="auto"/>
                <w:sz w:val="19"/>
                <w:szCs w:val="19"/>
              </w:rPr>
              <w:t>Impacts types</w:t>
            </w:r>
          </w:p>
        </w:tc>
        <w:tc>
          <w:tcPr>
            <w:tcW w:w="2297" w:type="dxa"/>
            <w:tcBorders>
              <w:top w:val="single" w:sz="4" w:space="0" w:color="auto"/>
              <w:bottom w:val="single" w:sz="4" w:space="0" w:color="auto"/>
            </w:tcBorders>
            <w:shd w:val="clear" w:color="auto" w:fill="E2EFD9" w:themeFill="accent6" w:themeFillTint="33"/>
          </w:tcPr>
          <w:p w14:paraId="27C4BFE5" w14:textId="77777777" w:rsidR="00064FF0" w:rsidRPr="00C801A6" w:rsidRDefault="00064FF0" w:rsidP="00347FDB">
            <w:pPr>
              <w:spacing w:before="20" w:after="20" w:line="264" w:lineRule="auto"/>
              <w:jc w:val="left"/>
              <w:rPr>
                <w:rFonts w:cs="Times New Roman"/>
                <w:b/>
                <w:color w:val="auto"/>
                <w:sz w:val="19"/>
                <w:szCs w:val="19"/>
              </w:rPr>
            </w:pPr>
            <w:r w:rsidRPr="00C801A6">
              <w:rPr>
                <w:rFonts w:cs="Times New Roman"/>
                <w:b/>
                <w:color w:val="auto"/>
                <w:sz w:val="19"/>
                <w:szCs w:val="19"/>
              </w:rPr>
              <w:t>Mesures d’évitement types</w:t>
            </w:r>
          </w:p>
        </w:tc>
        <w:tc>
          <w:tcPr>
            <w:tcW w:w="3265" w:type="dxa"/>
            <w:tcBorders>
              <w:top w:val="single" w:sz="4" w:space="0" w:color="auto"/>
              <w:bottom w:val="single" w:sz="4" w:space="0" w:color="auto"/>
            </w:tcBorders>
            <w:shd w:val="clear" w:color="auto" w:fill="E2EFD9" w:themeFill="accent6" w:themeFillTint="33"/>
          </w:tcPr>
          <w:p w14:paraId="420283EA" w14:textId="77777777" w:rsidR="00064FF0" w:rsidRPr="00C801A6" w:rsidRDefault="00064FF0" w:rsidP="00347FDB">
            <w:pPr>
              <w:spacing w:before="20" w:after="20" w:line="264" w:lineRule="auto"/>
              <w:jc w:val="left"/>
              <w:rPr>
                <w:rFonts w:cs="Times New Roman"/>
                <w:b/>
                <w:color w:val="auto"/>
                <w:sz w:val="19"/>
                <w:szCs w:val="19"/>
              </w:rPr>
            </w:pPr>
            <w:r w:rsidRPr="00C801A6">
              <w:rPr>
                <w:rFonts w:cs="Times New Roman"/>
                <w:b/>
                <w:color w:val="auto"/>
                <w:sz w:val="19"/>
                <w:szCs w:val="19"/>
              </w:rPr>
              <w:t>Mesures d’atténuation types</w:t>
            </w:r>
          </w:p>
        </w:tc>
        <w:tc>
          <w:tcPr>
            <w:tcW w:w="2090" w:type="dxa"/>
            <w:tcBorders>
              <w:top w:val="single" w:sz="4" w:space="0" w:color="auto"/>
              <w:bottom w:val="single" w:sz="4" w:space="0" w:color="auto"/>
            </w:tcBorders>
            <w:shd w:val="clear" w:color="auto" w:fill="E2EFD9" w:themeFill="accent6" w:themeFillTint="33"/>
          </w:tcPr>
          <w:p w14:paraId="758B8C09" w14:textId="77777777" w:rsidR="00064FF0" w:rsidRPr="00C801A6" w:rsidRDefault="00064FF0" w:rsidP="00347FDB">
            <w:pPr>
              <w:spacing w:before="20" w:after="20" w:line="264" w:lineRule="auto"/>
              <w:jc w:val="left"/>
              <w:rPr>
                <w:rFonts w:cs="Times New Roman"/>
                <w:b/>
                <w:color w:val="auto"/>
                <w:sz w:val="19"/>
                <w:szCs w:val="19"/>
              </w:rPr>
            </w:pPr>
            <w:r w:rsidRPr="00C801A6">
              <w:rPr>
                <w:rFonts w:cs="Times New Roman"/>
                <w:b/>
                <w:color w:val="auto"/>
                <w:sz w:val="19"/>
                <w:szCs w:val="19"/>
              </w:rPr>
              <w:t>Indicateurs de surveillance</w:t>
            </w:r>
          </w:p>
        </w:tc>
        <w:tc>
          <w:tcPr>
            <w:tcW w:w="1421" w:type="dxa"/>
            <w:tcBorders>
              <w:top w:val="single" w:sz="4" w:space="0" w:color="auto"/>
              <w:bottom w:val="single" w:sz="4" w:space="0" w:color="auto"/>
            </w:tcBorders>
            <w:shd w:val="clear" w:color="auto" w:fill="E2EFD9" w:themeFill="accent6" w:themeFillTint="33"/>
          </w:tcPr>
          <w:p w14:paraId="058821EB" w14:textId="77777777" w:rsidR="00064FF0" w:rsidRPr="00C801A6" w:rsidRDefault="00064FF0" w:rsidP="00347FDB">
            <w:pPr>
              <w:spacing w:before="20" w:after="20" w:line="264" w:lineRule="auto"/>
              <w:jc w:val="left"/>
              <w:rPr>
                <w:rFonts w:cs="Times New Roman"/>
                <w:b/>
                <w:color w:val="auto"/>
                <w:sz w:val="19"/>
                <w:szCs w:val="19"/>
              </w:rPr>
            </w:pPr>
            <w:r w:rsidRPr="00C801A6">
              <w:rPr>
                <w:rFonts w:cs="Times New Roman"/>
                <w:b/>
                <w:color w:val="auto"/>
                <w:sz w:val="19"/>
                <w:szCs w:val="19"/>
              </w:rPr>
              <w:t>Méthode</w:t>
            </w:r>
          </w:p>
        </w:tc>
        <w:tc>
          <w:tcPr>
            <w:tcW w:w="1700" w:type="dxa"/>
            <w:tcBorders>
              <w:top w:val="single" w:sz="4" w:space="0" w:color="auto"/>
              <w:bottom w:val="single" w:sz="4" w:space="0" w:color="auto"/>
            </w:tcBorders>
            <w:shd w:val="clear" w:color="auto" w:fill="E2EFD9" w:themeFill="accent6" w:themeFillTint="33"/>
          </w:tcPr>
          <w:p w14:paraId="5289F688" w14:textId="77777777" w:rsidR="00064FF0" w:rsidRPr="00C801A6" w:rsidRDefault="00064FF0" w:rsidP="00347FDB">
            <w:pPr>
              <w:spacing w:before="20" w:after="20" w:line="264" w:lineRule="auto"/>
              <w:jc w:val="left"/>
              <w:rPr>
                <w:rFonts w:cs="Times New Roman"/>
                <w:b/>
                <w:color w:val="auto"/>
                <w:sz w:val="19"/>
                <w:szCs w:val="19"/>
              </w:rPr>
            </w:pPr>
            <w:r w:rsidRPr="00C801A6">
              <w:rPr>
                <w:rFonts w:cs="Times New Roman"/>
                <w:b/>
                <w:color w:val="auto"/>
                <w:sz w:val="19"/>
                <w:szCs w:val="19"/>
              </w:rPr>
              <w:t>Mise en œuvre</w:t>
            </w:r>
          </w:p>
        </w:tc>
        <w:tc>
          <w:tcPr>
            <w:tcW w:w="1843" w:type="dxa"/>
            <w:tcBorders>
              <w:top w:val="single" w:sz="4" w:space="0" w:color="auto"/>
              <w:bottom w:val="single" w:sz="4" w:space="0" w:color="auto"/>
            </w:tcBorders>
            <w:shd w:val="clear" w:color="auto" w:fill="E2EFD9" w:themeFill="accent6" w:themeFillTint="33"/>
          </w:tcPr>
          <w:p w14:paraId="11C3A829" w14:textId="77777777" w:rsidR="00064FF0" w:rsidRPr="00C801A6" w:rsidRDefault="00064FF0" w:rsidP="00347FDB">
            <w:pPr>
              <w:spacing w:before="20" w:after="20" w:line="264" w:lineRule="auto"/>
              <w:jc w:val="left"/>
              <w:rPr>
                <w:rFonts w:cs="Times New Roman"/>
                <w:b/>
                <w:color w:val="auto"/>
                <w:sz w:val="19"/>
                <w:szCs w:val="19"/>
              </w:rPr>
            </w:pPr>
            <w:r w:rsidRPr="00C801A6">
              <w:rPr>
                <w:rFonts w:cs="Times New Roman"/>
                <w:b/>
                <w:color w:val="auto"/>
                <w:sz w:val="19"/>
                <w:szCs w:val="19"/>
              </w:rPr>
              <w:t>Calendrier</w:t>
            </w:r>
          </w:p>
        </w:tc>
      </w:tr>
      <w:tr w:rsidR="00C801A6" w:rsidRPr="00C801A6" w14:paraId="31D4C5F4" w14:textId="77777777" w:rsidTr="00253F1A">
        <w:tc>
          <w:tcPr>
            <w:tcW w:w="2660" w:type="dxa"/>
            <w:tcBorders>
              <w:top w:val="single" w:sz="4" w:space="0" w:color="auto"/>
              <w:left w:val="single" w:sz="4" w:space="0" w:color="auto"/>
              <w:bottom w:val="single" w:sz="4" w:space="0" w:color="auto"/>
              <w:right w:val="nil"/>
            </w:tcBorders>
            <w:shd w:val="clear" w:color="auto" w:fill="D0CECE" w:themeFill="background2" w:themeFillShade="E6"/>
          </w:tcPr>
          <w:p w14:paraId="7A48B294" w14:textId="77777777" w:rsidR="00064FF0" w:rsidRPr="00C801A6" w:rsidRDefault="00064FF0" w:rsidP="00347FDB">
            <w:pPr>
              <w:spacing w:before="20" w:after="20" w:line="264" w:lineRule="auto"/>
              <w:jc w:val="left"/>
              <w:rPr>
                <w:rFonts w:cs="Times New Roman"/>
                <w:b/>
                <w:color w:val="auto"/>
                <w:sz w:val="19"/>
                <w:szCs w:val="19"/>
                <w:lang w:eastAsia="fr-FR"/>
              </w:rPr>
            </w:pPr>
            <w:r w:rsidRPr="00C801A6">
              <w:rPr>
                <w:rFonts w:cs="Times New Roman"/>
                <w:b/>
                <w:color w:val="auto"/>
                <w:sz w:val="19"/>
                <w:szCs w:val="19"/>
                <w:lang w:eastAsia="fr-FR"/>
              </w:rPr>
              <w:t>Milieux biophysiques</w:t>
            </w:r>
          </w:p>
        </w:tc>
        <w:tc>
          <w:tcPr>
            <w:tcW w:w="2297" w:type="dxa"/>
            <w:tcBorders>
              <w:top w:val="single" w:sz="4" w:space="0" w:color="auto"/>
              <w:left w:val="nil"/>
              <w:bottom w:val="single" w:sz="4" w:space="0" w:color="auto"/>
              <w:right w:val="nil"/>
            </w:tcBorders>
            <w:shd w:val="clear" w:color="auto" w:fill="D0CECE" w:themeFill="background2" w:themeFillShade="E6"/>
          </w:tcPr>
          <w:p w14:paraId="51F7CA2E" w14:textId="77777777" w:rsidR="00064FF0" w:rsidRPr="00C801A6" w:rsidRDefault="00064FF0" w:rsidP="00347FDB">
            <w:pPr>
              <w:spacing w:before="20" w:after="20" w:line="264" w:lineRule="auto"/>
              <w:jc w:val="left"/>
              <w:rPr>
                <w:rFonts w:cs="Times New Roman"/>
                <w:b/>
                <w:color w:val="auto"/>
                <w:sz w:val="19"/>
                <w:szCs w:val="19"/>
                <w:lang w:eastAsia="fr-FR"/>
              </w:rPr>
            </w:pPr>
          </w:p>
        </w:tc>
        <w:tc>
          <w:tcPr>
            <w:tcW w:w="3265" w:type="dxa"/>
            <w:tcBorders>
              <w:top w:val="single" w:sz="4" w:space="0" w:color="auto"/>
              <w:left w:val="nil"/>
              <w:bottom w:val="single" w:sz="4" w:space="0" w:color="auto"/>
              <w:right w:val="nil"/>
            </w:tcBorders>
            <w:shd w:val="clear" w:color="auto" w:fill="D0CECE" w:themeFill="background2" w:themeFillShade="E6"/>
          </w:tcPr>
          <w:p w14:paraId="2A142EA3" w14:textId="77777777" w:rsidR="00064FF0" w:rsidRPr="00C801A6" w:rsidRDefault="00064FF0" w:rsidP="00347FDB">
            <w:pPr>
              <w:spacing w:before="20" w:after="20" w:line="264" w:lineRule="auto"/>
              <w:jc w:val="left"/>
              <w:rPr>
                <w:rFonts w:cs="Times New Roman"/>
                <w:b/>
                <w:color w:val="auto"/>
                <w:sz w:val="19"/>
                <w:szCs w:val="19"/>
                <w:lang w:eastAsia="fr-FR"/>
              </w:rPr>
            </w:pPr>
          </w:p>
        </w:tc>
        <w:tc>
          <w:tcPr>
            <w:tcW w:w="2090" w:type="dxa"/>
            <w:tcBorders>
              <w:top w:val="single" w:sz="4" w:space="0" w:color="auto"/>
              <w:left w:val="nil"/>
              <w:bottom w:val="single" w:sz="4" w:space="0" w:color="auto"/>
              <w:right w:val="nil"/>
            </w:tcBorders>
            <w:shd w:val="clear" w:color="auto" w:fill="D0CECE" w:themeFill="background2" w:themeFillShade="E6"/>
          </w:tcPr>
          <w:p w14:paraId="634DFA94" w14:textId="77777777" w:rsidR="00064FF0" w:rsidRPr="00C801A6" w:rsidRDefault="00064FF0" w:rsidP="00347FDB">
            <w:pPr>
              <w:spacing w:before="20" w:after="20" w:line="264" w:lineRule="auto"/>
              <w:jc w:val="left"/>
              <w:rPr>
                <w:rFonts w:cs="Times New Roman"/>
                <w:b/>
                <w:color w:val="auto"/>
                <w:sz w:val="19"/>
                <w:szCs w:val="19"/>
                <w:lang w:eastAsia="fr-FR"/>
              </w:rPr>
            </w:pPr>
          </w:p>
        </w:tc>
        <w:tc>
          <w:tcPr>
            <w:tcW w:w="1421" w:type="dxa"/>
            <w:tcBorders>
              <w:top w:val="single" w:sz="4" w:space="0" w:color="auto"/>
              <w:left w:val="nil"/>
              <w:bottom w:val="single" w:sz="4" w:space="0" w:color="auto"/>
              <w:right w:val="nil"/>
            </w:tcBorders>
            <w:shd w:val="clear" w:color="auto" w:fill="D0CECE" w:themeFill="background2" w:themeFillShade="E6"/>
          </w:tcPr>
          <w:p w14:paraId="4192F807" w14:textId="77777777" w:rsidR="00064FF0" w:rsidRPr="00C801A6" w:rsidRDefault="00064FF0" w:rsidP="00347FDB">
            <w:pPr>
              <w:spacing w:before="20" w:after="20" w:line="264" w:lineRule="auto"/>
              <w:jc w:val="left"/>
              <w:rPr>
                <w:rFonts w:cs="Times New Roman"/>
                <w:b/>
                <w:color w:val="auto"/>
                <w:sz w:val="19"/>
                <w:szCs w:val="19"/>
                <w:lang w:eastAsia="fr-FR"/>
              </w:rPr>
            </w:pPr>
          </w:p>
        </w:tc>
        <w:tc>
          <w:tcPr>
            <w:tcW w:w="1700" w:type="dxa"/>
            <w:tcBorders>
              <w:top w:val="single" w:sz="4" w:space="0" w:color="auto"/>
              <w:left w:val="nil"/>
              <w:bottom w:val="single" w:sz="4" w:space="0" w:color="auto"/>
              <w:right w:val="nil"/>
            </w:tcBorders>
            <w:shd w:val="clear" w:color="auto" w:fill="D0CECE" w:themeFill="background2" w:themeFillShade="E6"/>
          </w:tcPr>
          <w:p w14:paraId="3E41EC79" w14:textId="77777777" w:rsidR="00064FF0" w:rsidRPr="00C801A6" w:rsidRDefault="00064FF0" w:rsidP="00347FDB">
            <w:pPr>
              <w:spacing w:before="20" w:after="20" w:line="264" w:lineRule="auto"/>
              <w:jc w:val="left"/>
              <w:rPr>
                <w:rFonts w:cs="Times New Roman"/>
                <w:b/>
                <w:color w:val="auto"/>
                <w:sz w:val="19"/>
                <w:szCs w:val="19"/>
                <w:lang w:eastAsia="fr-FR"/>
              </w:rPr>
            </w:pPr>
          </w:p>
        </w:tc>
        <w:tc>
          <w:tcPr>
            <w:tcW w:w="1843" w:type="dxa"/>
            <w:tcBorders>
              <w:top w:val="single" w:sz="4" w:space="0" w:color="auto"/>
              <w:left w:val="nil"/>
              <w:bottom w:val="single" w:sz="4" w:space="0" w:color="auto"/>
              <w:right w:val="single" w:sz="4" w:space="0" w:color="auto"/>
            </w:tcBorders>
            <w:shd w:val="clear" w:color="auto" w:fill="D0CECE" w:themeFill="background2" w:themeFillShade="E6"/>
          </w:tcPr>
          <w:p w14:paraId="0219C630" w14:textId="77777777" w:rsidR="00064FF0" w:rsidRPr="00C801A6" w:rsidRDefault="00064FF0" w:rsidP="00347FDB">
            <w:pPr>
              <w:spacing w:before="20" w:after="20" w:line="264" w:lineRule="auto"/>
              <w:jc w:val="left"/>
              <w:rPr>
                <w:rFonts w:cs="Times New Roman"/>
                <w:b/>
                <w:color w:val="auto"/>
                <w:sz w:val="19"/>
                <w:szCs w:val="19"/>
                <w:lang w:eastAsia="fr-FR"/>
              </w:rPr>
            </w:pPr>
          </w:p>
        </w:tc>
      </w:tr>
      <w:tr w:rsidR="00C801A6" w:rsidRPr="00C801A6" w14:paraId="197A984D" w14:textId="77777777" w:rsidTr="00253F1A">
        <w:tc>
          <w:tcPr>
            <w:tcW w:w="2660" w:type="dxa"/>
          </w:tcPr>
          <w:p w14:paraId="4ABAE30E" w14:textId="77777777" w:rsidR="00064FF0" w:rsidRPr="00C801A6" w:rsidRDefault="00064FF0" w:rsidP="00347FDB">
            <w:pPr>
              <w:spacing w:before="20" w:after="20" w:line="264" w:lineRule="auto"/>
              <w:jc w:val="left"/>
              <w:rPr>
                <w:rFonts w:cs="Times New Roman"/>
                <w:color w:val="auto"/>
                <w:sz w:val="19"/>
                <w:szCs w:val="19"/>
                <w:lang w:eastAsia="fr-FR"/>
              </w:rPr>
            </w:pPr>
            <w:r w:rsidRPr="00C801A6">
              <w:rPr>
                <w:rFonts w:cs="Times New Roman"/>
                <w:color w:val="auto"/>
                <w:sz w:val="19"/>
                <w:szCs w:val="19"/>
                <w:lang w:eastAsia="fr-FR"/>
              </w:rPr>
              <w:t>Altération de la qualité de l’air/Emission de poussières</w:t>
            </w:r>
          </w:p>
        </w:tc>
        <w:tc>
          <w:tcPr>
            <w:tcW w:w="2297" w:type="dxa"/>
          </w:tcPr>
          <w:p w14:paraId="7EA57084"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Aucune</w:t>
            </w:r>
          </w:p>
        </w:tc>
        <w:tc>
          <w:tcPr>
            <w:tcW w:w="3265" w:type="dxa"/>
          </w:tcPr>
          <w:p w14:paraId="2BDA6F64"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Arroser les surfaces à remédier</w:t>
            </w:r>
          </w:p>
        </w:tc>
        <w:tc>
          <w:tcPr>
            <w:tcW w:w="2090" w:type="dxa"/>
          </w:tcPr>
          <w:p w14:paraId="75F0177B"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Méthode de remédiation</w:t>
            </w:r>
          </w:p>
        </w:tc>
        <w:tc>
          <w:tcPr>
            <w:tcW w:w="1421" w:type="dxa"/>
          </w:tcPr>
          <w:p w14:paraId="16C1C6D1"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Vérification</w:t>
            </w:r>
          </w:p>
        </w:tc>
        <w:tc>
          <w:tcPr>
            <w:tcW w:w="1700" w:type="dxa"/>
          </w:tcPr>
          <w:p w14:paraId="22F50097"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Entreprise</w:t>
            </w:r>
          </w:p>
          <w:p w14:paraId="2C247154"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MdC</w:t>
            </w:r>
          </w:p>
        </w:tc>
        <w:tc>
          <w:tcPr>
            <w:tcW w:w="1843" w:type="dxa"/>
          </w:tcPr>
          <w:p w14:paraId="0D1C8081"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Tous les jours, avant mise en œuvre</w:t>
            </w:r>
          </w:p>
        </w:tc>
      </w:tr>
      <w:tr w:rsidR="00C801A6" w:rsidRPr="00C801A6" w14:paraId="6011EA2F" w14:textId="77777777" w:rsidTr="00253F1A">
        <w:tc>
          <w:tcPr>
            <w:tcW w:w="2660" w:type="dxa"/>
            <w:tcBorders>
              <w:bottom w:val="single" w:sz="4" w:space="0" w:color="auto"/>
            </w:tcBorders>
          </w:tcPr>
          <w:p w14:paraId="0F3187BC" w14:textId="77777777" w:rsidR="00064FF0" w:rsidRPr="00C801A6" w:rsidRDefault="00064FF0" w:rsidP="00347FDB">
            <w:pPr>
              <w:spacing w:before="20" w:after="20" w:line="264" w:lineRule="auto"/>
              <w:jc w:val="left"/>
              <w:rPr>
                <w:rFonts w:cs="Times New Roman"/>
                <w:color w:val="auto"/>
                <w:sz w:val="19"/>
                <w:szCs w:val="19"/>
                <w:lang w:eastAsia="fr-FR"/>
              </w:rPr>
            </w:pPr>
            <w:r w:rsidRPr="00C801A6">
              <w:rPr>
                <w:rFonts w:cs="Times New Roman"/>
                <w:color w:val="auto"/>
                <w:sz w:val="19"/>
                <w:szCs w:val="19"/>
                <w:lang w:eastAsia="fr-FR"/>
              </w:rPr>
              <w:t>Altération de l’ambiance sonore / Emission de bruit</w:t>
            </w:r>
          </w:p>
        </w:tc>
        <w:tc>
          <w:tcPr>
            <w:tcW w:w="2297" w:type="dxa"/>
            <w:tcBorders>
              <w:bottom w:val="single" w:sz="4" w:space="0" w:color="auto"/>
            </w:tcBorders>
          </w:tcPr>
          <w:p w14:paraId="7A30EEE4"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Aucune</w:t>
            </w:r>
          </w:p>
        </w:tc>
        <w:tc>
          <w:tcPr>
            <w:tcW w:w="3265" w:type="dxa"/>
            <w:tcBorders>
              <w:bottom w:val="single" w:sz="4" w:space="0" w:color="auto"/>
            </w:tcBorders>
          </w:tcPr>
          <w:p w14:paraId="4249987D"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Planifier les heures de travail en zone habitée à des tranches horaires où les riverains sont dans leurs lieux de travail.</w:t>
            </w:r>
          </w:p>
          <w:p w14:paraId="1C6BD066"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Faire attention pour les travaux proches d’une école ou d’un hôpital</w:t>
            </w:r>
          </w:p>
        </w:tc>
        <w:tc>
          <w:tcPr>
            <w:tcW w:w="2090" w:type="dxa"/>
            <w:tcBorders>
              <w:bottom w:val="single" w:sz="4" w:space="0" w:color="auto"/>
            </w:tcBorders>
          </w:tcPr>
          <w:p w14:paraId="6F269C7D"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Planning de travail hebdo</w:t>
            </w:r>
          </w:p>
        </w:tc>
        <w:tc>
          <w:tcPr>
            <w:tcW w:w="1421" w:type="dxa"/>
            <w:tcBorders>
              <w:bottom w:val="single" w:sz="4" w:space="0" w:color="auto"/>
            </w:tcBorders>
          </w:tcPr>
          <w:p w14:paraId="374E5388"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Vérification</w:t>
            </w:r>
          </w:p>
        </w:tc>
        <w:tc>
          <w:tcPr>
            <w:tcW w:w="1700" w:type="dxa"/>
            <w:tcBorders>
              <w:bottom w:val="single" w:sz="4" w:space="0" w:color="auto"/>
            </w:tcBorders>
          </w:tcPr>
          <w:p w14:paraId="52E76671"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Entreprise</w:t>
            </w:r>
          </w:p>
          <w:p w14:paraId="1251D552"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MdC</w:t>
            </w:r>
          </w:p>
        </w:tc>
        <w:tc>
          <w:tcPr>
            <w:tcW w:w="1843" w:type="dxa"/>
            <w:tcBorders>
              <w:bottom w:val="single" w:sz="4" w:space="0" w:color="auto"/>
            </w:tcBorders>
          </w:tcPr>
          <w:p w14:paraId="68715D37"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Toutes les semaines</w:t>
            </w:r>
          </w:p>
        </w:tc>
      </w:tr>
      <w:tr w:rsidR="00C801A6" w:rsidRPr="00C801A6" w14:paraId="716FDC05" w14:textId="77777777" w:rsidTr="00253F1A">
        <w:tc>
          <w:tcPr>
            <w:tcW w:w="4957" w:type="dxa"/>
            <w:gridSpan w:val="2"/>
            <w:tcBorders>
              <w:top w:val="single" w:sz="4" w:space="0" w:color="auto"/>
              <w:left w:val="single" w:sz="4" w:space="0" w:color="auto"/>
              <w:bottom w:val="single" w:sz="4" w:space="0" w:color="auto"/>
              <w:right w:val="nil"/>
            </w:tcBorders>
            <w:shd w:val="clear" w:color="auto" w:fill="D0CECE" w:themeFill="background2" w:themeFillShade="E6"/>
          </w:tcPr>
          <w:p w14:paraId="2A51F9CC" w14:textId="77777777" w:rsidR="00064FF0" w:rsidRPr="00C801A6" w:rsidRDefault="00064FF0" w:rsidP="00347FDB">
            <w:pPr>
              <w:spacing w:before="20" w:after="20" w:line="264" w:lineRule="auto"/>
              <w:jc w:val="left"/>
              <w:rPr>
                <w:rFonts w:cs="Times New Roman"/>
                <w:b/>
                <w:color w:val="auto"/>
                <w:sz w:val="19"/>
                <w:szCs w:val="19"/>
                <w:lang w:eastAsia="fr-FR"/>
              </w:rPr>
            </w:pPr>
            <w:r w:rsidRPr="00C801A6">
              <w:rPr>
                <w:rFonts w:cs="Times New Roman"/>
                <w:b/>
                <w:color w:val="auto"/>
                <w:sz w:val="19"/>
                <w:szCs w:val="19"/>
                <w:lang w:eastAsia="fr-FR"/>
              </w:rPr>
              <w:t>Impacts socioéconomiques</w:t>
            </w:r>
          </w:p>
        </w:tc>
        <w:tc>
          <w:tcPr>
            <w:tcW w:w="3265" w:type="dxa"/>
            <w:tcBorders>
              <w:top w:val="single" w:sz="4" w:space="0" w:color="auto"/>
              <w:left w:val="nil"/>
              <w:bottom w:val="single" w:sz="4" w:space="0" w:color="auto"/>
              <w:right w:val="nil"/>
            </w:tcBorders>
            <w:shd w:val="clear" w:color="auto" w:fill="D0CECE" w:themeFill="background2" w:themeFillShade="E6"/>
          </w:tcPr>
          <w:p w14:paraId="25E8D017" w14:textId="77777777" w:rsidR="00064FF0" w:rsidRPr="00C801A6" w:rsidRDefault="00064FF0" w:rsidP="00347FDB">
            <w:pPr>
              <w:spacing w:before="20" w:after="20" w:line="264" w:lineRule="auto"/>
              <w:jc w:val="left"/>
              <w:rPr>
                <w:rFonts w:cs="Times New Roman"/>
                <w:b/>
                <w:color w:val="auto"/>
                <w:sz w:val="19"/>
                <w:szCs w:val="19"/>
                <w:lang w:eastAsia="fr-FR"/>
              </w:rPr>
            </w:pPr>
          </w:p>
        </w:tc>
        <w:tc>
          <w:tcPr>
            <w:tcW w:w="2090" w:type="dxa"/>
            <w:tcBorders>
              <w:top w:val="single" w:sz="4" w:space="0" w:color="auto"/>
              <w:left w:val="nil"/>
              <w:bottom w:val="single" w:sz="4" w:space="0" w:color="auto"/>
              <w:right w:val="nil"/>
            </w:tcBorders>
            <w:shd w:val="clear" w:color="auto" w:fill="D0CECE" w:themeFill="background2" w:themeFillShade="E6"/>
          </w:tcPr>
          <w:p w14:paraId="6F83D90C" w14:textId="77777777" w:rsidR="00064FF0" w:rsidRPr="00C801A6" w:rsidRDefault="00064FF0" w:rsidP="00347FDB">
            <w:pPr>
              <w:spacing w:before="20" w:after="20" w:line="264" w:lineRule="auto"/>
              <w:jc w:val="left"/>
              <w:rPr>
                <w:rFonts w:cs="Times New Roman"/>
                <w:b/>
                <w:color w:val="auto"/>
                <w:sz w:val="19"/>
                <w:szCs w:val="19"/>
                <w:lang w:eastAsia="fr-FR"/>
              </w:rPr>
            </w:pPr>
          </w:p>
        </w:tc>
        <w:tc>
          <w:tcPr>
            <w:tcW w:w="1421" w:type="dxa"/>
            <w:tcBorders>
              <w:top w:val="single" w:sz="4" w:space="0" w:color="auto"/>
              <w:left w:val="nil"/>
              <w:bottom w:val="single" w:sz="4" w:space="0" w:color="auto"/>
              <w:right w:val="nil"/>
            </w:tcBorders>
            <w:shd w:val="clear" w:color="auto" w:fill="D0CECE" w:themeFill="background2" w:themeFillShade="E6"/>
          </w:tcPr>
          <w:p w14:paraId="302A8145" w14:textId="77777777" w:rsidR="00064FF0" w:rsidRPr="00C801A6" w:rsidRDefault="00064FF0" w:rsidP="00347FDB">
            <w:pPr>
              <w:spacing w:before="20" w:after="20" w:line="264" w:lineRule="auto"/>
              <w:jc w:val="left"/>
              <w:rPr>
                <w:rFonts w:cs="Times New Roman"/>
                <w:b/>
                <w:color w:val="auto"/>
                <w:sz w:val="19"/>
                <w:szCs w:val="19"/>
                <w:lang w:eastAsia="fr-FR"/>
              </w:rPr>
            </w:pPr>
          </w:p>
        </w:tc>
        <w:tc>
          <w:tcPr>
            <w:tcW w:w="1700" w:type="dxa"/>
            <w:tcBorders>
              <w:top w:val="single" w:sz="4" w:space="0" w:color="auto"/>
              <w:left w:val="nil"/>
              <w:bottom w:val="single" w:sz="4" w:space="0" w:color="auto"/>
              <w:right w:val="nil"/>
            </w:tcBorders>
            <w:shd w:val="clear" w:color="auto" w:fill="D0CECE" w:themeFill="background2" w:themeFillShade="E6"/>
          </w:tcPr>
          <w:p w14:paraId="69ADFAB9" w14:textId="77777777" w:rsidR="00064FF0" w:rsidRPr="00C801A6" w:rsidRDefault="00064FF0" w:rsidP="00347FDB">
            <w:pPr>
              <w:spacing w:before="20" w:after="20" w:line="264" w:lineRule="auto"/>
              <w:jc w:val="left"/>
              <w:rPr>
                <w:rFonts w:cs="Times New Roman"/>
                <w:b/>
                <w:color w:val="auto"/>
                <w:sz w:val="19"/>
                <w:szCs w:val="19"/>
                <w:lang w:eastAsia="fr-FR"/>
              </w:rPr>
            </w:pPr>
          </w:p>
        </w:tc>
        <w:tc>
          <w:tcPr>
            <w:tcW w:w="1843" w:type="dxa"/>
            <w:tcBorders>
              <w:top w:val="single" w:sz="4" w:space="0" w:color="auto"/>
              <w:left w:val="nil"/>
              <w:bottom w:val="single" w:sz="4" w:space="0" w:color="auto"/>
              <w:right w:val="single" w:sz="4" w:space="0" w:color="auto"/>
            </w:tcBorders>
            <w:shd w:val="clear" w:color="auto" w:fill="D0CECE" w:themeFill="background2" w:themeFillShade="E6"/>
          </w:tcPr>
          <w:p w14:paraId="5278700F" w14:textId="77777777" w:rsidR="00064FF0" w:rsidRPr="00C801A6" w:rsidRDefault="00064FF0" w:rsidP="00347FDB">
            <w:pPr>
              <w:spacing w:before="20" w:after="20" w:line="264" w:lineRule="auto"/>
              <w:jc w:val="left"/>
              <w:rPr>
                <w:rFonts w:cs="Times New Roman"/>
                <w:b/>
                <w:color w:val="auto"/>
                <w:sz w:val="19"/>
                <w:szCs w:val="19"/>
                <w:lang w:eastAsia="fr-FR"/>
              </w:rPr>
            </w:pPr>
          </w:p>
        </w:tc>
      </w:tr>
      <w:tr w:rsidR="00C801A6" w:rsidRPr="00C801A6" w14:paraId="192DFBC2" w14:textId="77777777" w:rsidTr="00253F1A">
        <w:tc>
          <w:tcPr>
            <w:tcW w:w="2660" w:type="dxa"/>
            <w:tcBorders>
              <w:top w:val="single" w:sz="4" w:space="0" w:color="auto"/>
              <w:bottom w:val="single" w:sz="4" w:space="0" w:color="auto"/>
            </w:tcBorders>
          </w:tcPr>
          <w:p w14:paraId="6B588D39" w14:textId="77777777" w:rsidR="00064FF0" w:rsidRPr="00C801A6" w:rsidRDefault="00064FF0" w:rsidP="00347FDB">
            <w:pPr>
              <w:spacing w:before="20" w:after="20" w:line="264" w:lineRule="auto"/>
              <w:jc w:val="left"/>
              <w:rPr>
                <w:rFonts w:cs="Times New Roman"/>
                <w:color w:val="auto"/>
                <w:sz w:val="19"/>
                <w:szCs w:val="19"/>
                <w:lang w:eastAsia="fr-FR"/>
              </w:rPr>
            </w:pPr>
            <w:r w:rsidRPr="00C801A6">
              <w:rPr>
                <w:rFonts w:cs="Times New Roman"/>
                <w:color w:val="auto"/>
                <w:sz w:val="19"/>
                <w:szCs w:val="19"/>
                <w:lang w:eastAsia="fr-FR"/>
              </w:rPr>
              <w:t>Risques d’inflation locale</w:t>
            </w:r>
          </w:p>
        </w:tc>
        <w:tc>
          <w:tcPr>
            <w:tcW w:w="2297" w:type="dxa"/>
            <w:tcBorders>
              <w:top w:val="single" w:sz="4" w:space="0" w:color="auto"/>
              <w:bottom w:val="single" w:sz="4" w:space="0" w:color="auto"/>
            </w:tcBorders>
          </w:tcPr>
          <w:p w14:paraId="3F2EA2A4"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Négocier des contrats d’approvisionnement avec des fournisseurs locaux pour aboutir un schéma gagnant-gagnant</w:t>
            </w:r>
          </w:p>
        </w:tc>
        <w:tc>
          <w:tcPr>
            <w:tcW w:w="3265" w:type="dxa"/>
            <w:tcBorders>
              <w:top w:val="single" w:sz="4" w:space="0" w:color="auto"/>
              <w:bottom w:val="single" w:sz="4" w:space="0" w:color="auto"/>
            </w:tcBorders>
          </w:tcPr>
          <w:p w14:paraId="7B224CCF"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S’approvisionner ailleurs qu’au village (auquel cas les fournisseurs ne vont pas bénéficier des opportunités offertes par l’existence de la base-vie)</w:t>
            </w:r>
          </w:p>
        </w:tc>
        <w:tc>
          <w:tcPr>
            <w:tcW w:w="2090" w:type="dxa"/>
            <w:tcBorders>
              <w:top w:val="single" w:sz="4" w:space="0" w:color="auto"/>
              <w:bottom w:val="single" w:sz="4" w:space="0" w:color="auto"/>
            </w:tcBorders>
          </w:tcPr>
          <w:p w14:paraId="6DE99C3B"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Contrat d’approvisionnement</w:t>
            </w:r>
          </w:p>
        </w:tc>
        <w:tc>
          <w:tcPr>
            <w:tcW w:w="1421" w:type="dxa"/>
            <w:tcBorders>
              <w:top w:val="single" w:sz="4" w:space="0" w:color="auto"/>
              <w:bottom w:val="single" w:sz="4" w:space="0" w:color="auto"/>
            </w:tcBorders>
          </w:tcPr>
          <w:p w14:paraId="361B672A"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Vérification</w:t>
            </w:r>
          </w:p>
        </w:tc>
        <w:tc>
          <w:tcPr>
            <w:tcW w:w="1700" w:type="dxa"/>
            <w:tcBorders>
              <w:top w:val="single" w:sz="4" w:space="0" w:color="auto"/>
              <w:bottom w:val="single" w:sz="4" w:space="0" w:color="auto"/>
            </w:tcBorders>
          </w:tcPr>
          <w:p w14:paraId="5451871B"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Entreprise</w:t>
            </w:r>
          </w:p>
          <w:p w14:paraId="56B8F046"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MdC</w:t>
            </w:r>
          </w:p>
        </w:tc>
        <w:tc>
          <w:tcPr>
            <w:tcW w:w="1843" w:type="dxa"/>
            <w:tcBorders>
              <w:top w:val="single" w:sz="4" w:space="0" w:color="auto"/>
              <w:bottom w:val="single" w:sz="4" w:space="0" w:color="auto"/>
            </w:tcBorders>
          </w:tcPr>
          <w:p w14:paraId="0FE682A0"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Au moment de l’installation</w:t>
            </w:r>
          </w:p>
        </w:tc>
      </w:tr>
      <w:tr w:rsidR="00C801A6" w:rsidRPr="00C801A6" w14:paraId="438093A2" w14:textId="77777777" w:rsidTr="00253F1A">
        <w:tc>
          <w:tcPr>
            <w:tcW w:w="2660" w:type="dxa"/>
            <w:tcBorders>
              <w:top w:val="single" w:sz="4" w:space="0" w:color="auto"/>
              <w:left w:val="single" w:sz="4" w:space="0" w:color="auto"/>
              <w:bottom w:val="single" w:sz="4" w:space="0" w:color="auto"/>
              <w:right w:val="nil"/>
            </w:tcBorders>
            <w:shd w:val="clear" w:color="auto" w:fill="D0CECE" w:themeFill="background2" w:themeFillShade="E6"/>
          </w:tcPr>
          <w:p w14:paraId="14200DD5" w14:textId="77777777" w:rsidR="00064FF0" w:rsidRPr="00C801A6" w:rsidRDefault="00064FF0" w:rsidP="00347FDB">
            <w:pPr>
              <w:spacing w:before="20" w:after="20" w:line="264" w:lineRule="auto"/>
              <w:jc w:val="left"/>
              <w:rPr>
                <w:rFonts w:cs="Times New Roman"/>
                <w:b/>
                <w:color w:val="auto"/>
                <w:sz w:val="19"/>
                <w:szCs w:val="19"/>
                <w:lang w:eastAsia="fr-FR"/>
              </w:rPr>
            </w:pPr>
            <w:r w:rsidRPr="00C801A6">
              <w:rPr>
                <w:rFonts w:cs="Times New Roman"/>
                <w:b/>
                <w:color w:val="auto"/>
                <w:sz w:val="19"/>
                <w:szCs w:val="19"/>
                <w:lang w:eastAsia="fr-FR"/>
              </w:rPr>
              <w:t>Risques d’accident</w:t>
            </w:r>
          </w:p>
        </w:tc>
        <w:tc>
          <w:tcPr>
            <w:tcW w:w="2297" w:type="dxa"/>
            <w:tcBorders>
              <w:top w:val="single" w:sz="4" w:space="0" w:color="auto"/>
              <w:left w:val="nil"/>
              <w:bottom w:val="single" w:sz="4" w:space="0" w:color="auto"/>
              <w:right w:val="nil"/>
            </w:tcBorders>
            <w:shd w:val="clear" w:color="auto" w:fill="D0CECE" w:themeFill="background2" w:themeFillShade="E6"/>
          </w:tcPr>
          <w:p w14:paraId="2CBF5B61" w14:textId="77777777" w:rsidR="00064FF0" w:rsidRPr="00C801A6" w:rsidRDefault="00064FF0" w:rsidP="00347FDB">
            <w:pPr>
              <w:spacing w:before="20" w:after="20" w:line="264" w:lineRule="auto"/>
              <w:jc w:val="left"/>
              <w:rPr>
                <w:rFonts w:cs="Times New Roman"/>
                <w:b/>
                <w:color w:val="auto"/>
                <w:sz w:val="19"/>
                <w:szCs w:val="19"/>
                <w:lang w:eastAsia="fr-FR"/>
              </w:rPr>
            </w:pPr>
          </w:p>
        </w:tc>
        <w:tc>
          <w:tcPr>
            <w:tcW w:w="3265" w:type="dxa"/>
            <w:tcBorders>
              <w:top w:val="single" w:sz="4" w:space="0" w:color="auto"/>
              <w:left w:val="nil"/>
              <w:bottom w:val="single" w:sz="4" w:space="0" w:color="auto"/>
              <w:right w:val="nil"/>
            </w:tcBorders>
            <w:shd w:val="clear" w:color="auto" w:fill="D0CECE" w:themeFill="background2" w:themeFillShade="E6"/>
          </w:tcPr>
          <w:p w14:paraId="44215827" w14:textId="77777777" w:rsidR="00064FF0" w:rsidRPr="00C801A6" w:rsidRDefault="00064FF0" w:rsidP="00347FDB">
            <w:pPr>
              <w:spacing w:before="20" w:after="20" w:line="264" w:lineRule="auto"/>
              <w:jc w:val="left"/>
              <w:rPr>
                <w:rFonts w:cs="Times New Roman"/>
                <w:b/>
                <w:color w:val="auto"/>
                <w:sz w:val="19"/>
                <w:szCs w:val="19"/>
                <w:lang w:eastAsia="fr-FR"/>
              </w:rPr>
            </w:pPr>
          </w:p>
        </w:tc>
        <w:tc>
          <w:tcPr>
            <w:tcW w:w="2090" w:type="dxa"/>
            <w:tcBorders>
              <w:top w:val="single" w:sz="4" w:space="0" w:color="auto"/>
              <w:left w:val="nil"/>
              <w:bottom w:val="single" w:sz="4" w:space="0" w:color="auto"/>
              <w:right w:val="nil"/>
            </w:tcBorders>
            <w:shd w:val="clear" w:color="auto" w:fill="D0CECE" w:themeFill="background2" w:themeFillShade="E6"/>
          </w:tcPr>
          <w:p w14:paraId="4E3FA7AF" w14:textId="77777777" w:rsidR="00064FF0" w:rsidRPr="00C801A6" w:rsidRDefault="00064FF0" w:rsidP="00347FDB">
            <w:pPr>
              <w:spacing w:before="20" w:after="20" w:line="264" w:lineRule="auto"/>
              <w:jc w:val="left"/>
              <w:rPr>
                <w:rFonts w:cs="Times New Roman"/>
                <w:b/>
                <w:color w:val="auto"/>
                <w:sz w:val="19"/>
                <w:szCs w:val="19"/>
                <w:lang w:eastAsia="fr-FR"/>
              </w:rPr>
            </w:pPr>
          </w:p>
        </w:tc>
        <w:tc>
          <w:tcPr>
            <w:tcW w:w="1421" w:type="dxa"/>
            <w:tcBorders>
              <w:top w:val="single" w:sz="4" w:space="0" w:color="auto"/>
              <w:left w:val="nil"/>
              <w:bottom w:val="single" w:sz="4" w:space="0" w:color="auto"/>
              <w:right w:val="nil"/>
            </w:tcBorders>
            <w:shd w:val="clear" w:color="auto" w:fill="D0CECE" w:themeFill="background2" w:themeFillShade="E6"/>
          </w:tcPr>
          <w:p w14:paraId="7B10C467" w14:textId="77777777" w:rsidR="00064FF0" w:rsidRPr="00C801A6" w:rsidRDefault="00064FF0" w:rsidP="00347FDB">
            <w:pPr>
              <w:spacing w:before="20" w:after="20" w:line="264" w:lineRule="auto"/>
              <w:jc w:val="left"/>
              <w:rPr>
                <w:rFonts w:cs="Times New Roman"/>
                <w:b/>
                <w:color w:val="auto"/>
                <w:sz w:val="19"/>
                <w:szCs w:val="19"/>
                <w:lang w:eastAsia="fr-FR"/>
              </w:rPr>
            </w:pPr>
          </w:p>
        </w:tc>
        <w:tc>
          <w:tcPr>
            <w:tcW w:w="1700" w:type="dxa"/>
            <w:tcBorders>
              <w:top w:val="single" w:sz="4" w:space="0" w:color="auto"/>
              <w:left w:val="nil"/>
              <w:bottom w:val="single" w:sz="4" w:space="0" w:color="auto"/>
              <w:right w:val="nil"/>
            </w:tcBorders>
            <w:shd w:val="clear" w:color="auto" w:fill="D0CECE" w:themeFill="background2" w:themeFillShade="E6"/>
          </w:tcPr>
          <w:p w14:paraId="4D4BAFD5" w14:textId="77777777" w:rsidR="00064FF0" w:rsidRPr="00C801A6" w:rsidRDefault="00064FF0" w:rsidP="00347FDB">
            <w:pPr>
              <w:spacing w:before="20" w:after="20" w:line="264" w:lineRule="auto"/>
              <w:jc w:val="left"/>
              <w:rPr>
                <w:rFonts w:cs="Times New Roman"/>
                <w:b/>
                <w:color w:val="auto"/>
                <w:sz w:val="19"/>
                <w:szCs w:val="19"/>
                <w:lang w:eastAsia="fr-FR"/>
              </w:rPr>
            </w:pPr>
          </w:p>
        </w:tc>
        <w:tc>
          <w:tcPr>
            <w:tcW w:w="1843" w:type="dxa"/>
            <w:tcBorders>
              <w:top w:val="single" w:sz="4" w:space="0" w:color="auto"/>
              <w:left w:val="nil"/>
              <w:bottom w:val="single" w:sz="4" w:space="0" w:color="auto"/>
              <w:right w:val="single" w:sz="4" w:space="0" w:color="auto"/>
            </w:tcBorders>
            <w:shd w:val="clear" w:color="auto" w:fill="D0CECE" w:themeFill="background2" w:themeFillShade="E6"/>
          </w:tcPr>
          <w:p w14:paraId="6BA56780" w14:textId="77777777" w:rsidR="00064FF0" w:rsidRPr="00C801A6" w:rsidRDefault="00064FF0" w:rsidP="00347FDB">
            <w:pPr>
              <w:spacing w:before="20" w:after="20" w:line="264" w:lineRule="auto"/>
              <w:jc w:val="left"/>
              <w:rPr>
                <w:rFonts w:cs="Times New Roman"/>
                <w:b/>
                <w:color w:val="auto"/>
                <w:sz w:val="19"/>
                <w:szCs w:val="19"/>
                <w:lang w:eastAsia="fr-FR"/>
              </w:rPr>
            </w:pPr>
          </w:p>
        </w:tc>
      </w:tr>
      <w:tr w:rsidR="00C801A6" w:rsidRPr="00C801A6" w14:paraId="6DA0A131" w14:textId="77777777" w:rsidTr="00253F1A">
        <w:trPr>
          <w:trHeight w:val="526"/>
        </w:trPr>
        <w:tc>
          <w:tcPr>
            <w:tcW w:w="2660" w:type="dxa"/>
            <w:vMerge w:val="restart"/>
            <w:tcBorders>
              <w:top w:val="single" w:sz="4" w:space="0" w:color="auto"/>
            </w:tcBorders>
          </w:tcPr>
          <w:p w14:paraId="36AC8AB0" w14:textId="77777777" w:rsidR="00064FF0" w:rsidRPr="00C801A6" w:rsidRDefault="00064FF0" w:rsidP="00347FDB">
            <w:pPr>
              <w:spacing w:before="20" w:after="20" w:line="264" w:lineRule="auto"/>
              <w:jc w:val="left"/>
              <w:rPr>
                <w:rFonts w:cs="Times New Roman"/>
                <w:color w:val="auto"/>
                <w:sz w:val="19"/>
                <w:szCs w:val="19"/>
                <w:lang w:eastAsia="fr-FR"/>
              </w:rPr>
            </w:pPr>
            <w:r w:rsidRPr="00C801A6">
              <w:rPr>
                <w:rFonts w:cs="Times New Roman"/>
                <w:color w:val="auto"/>
                <w:sz w:val="19"/>
                <w:szCs w:val="19"/>
                <w:lang w:eastAsia="fr-FR"/>
              </w:rPr>
              <w:t>Risques d’accident de chantier</w:t>
            </w:r>
          </w:p>
        </w:tc>
        <w:tc>
          <w:tcPr>
            <w:tcW w:w="2297" w:type="dxa"/>
            <w:vMerge w:val="restart"/>
            <w:tcBorders>
              <w:top w:val="single" w:sz="4" w:space="0" w:color="auto"/>
            </w:tcBorders>
          </w:tcPr>
          <w:p w14:paraId="14515DCD"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 xml:space="preserve">Sensibiliser les ouvriers et les riverains </w:t>
            </w:r>
            <w:r w:rsidRPr="00C801A6">
              <w:rPr>
                <w:rFonts w:cs="Times New Roman"/>
                <w:color w:val="auto"/>
                <w:sz w:val="19"/>
                <w:szCs w:val="19"/>
              </w:rPr>
              <w:lastRenderedPageBreak/>
              <w:t>(notamment les badauds) sur les risques d’accident de chantier</w:t>
            </w:r>
          </w:p>
        </w:tc>
        <w:tc>
          <w:tcPr>
            <w:tcW w:w="3265" w:type="dxa"/>
            <w:tcBorders>
              <w:top w:val="single" w:sz="4" w:space="0" w:color="auto"/>
              <w:bottom w:val="single" w:sz="4" w:space="0" w:color="auto"/>
            </w:tcBorders>
          </w:tcPr>
          <w:p w14:paraId="10884F7A"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lastRenderedPageBreak/>
              <w:t xml:space="preserve">Lorsqu’il n’est pas possible d’isoler totalement les travailleurs de la </w:t>
            </w:r>
            <w:r w:rsidRPr="00C801A6">
              <w:rPr>
                <w:rFonts w:cs="Times New Roman"/>
                <w:color w:val="auto"/>
                <w:sz w:val="19"/>
                <w:szCs w:val="19"/>
              </w:rPr>
              <w:lastRenderedPageBreak/>
              <w:t xml:space="preserve">circulation, utiliser des barrières protectrices pour les protéger des véhicules ou installer des repères visuels (tels que cônes et balises de travaux) pour délimiter l’aire de travail </w:t>
            </w:r>
          </w:p>
        </w:tc>
        <w:tc>
          <w:tcPr>
            <w:tcW w:w="2090" w:type="dxa"/>
            <w:tcBorders>
              <w:top w:val="single" w:sz="4" w:space="0" w:color="auto"/>
              <w:bottom w:val="single" w:sz="4" w:space="0" w:color="auto"/>
            </w:tcBorders>
          </w:tcPr>
          <w:p w14:paraId="585DB22B"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lastRenderedPageBreak/>
              <w:t>PV de sensibilisation</w:t>
            </w:r>
          </w:p>
          <w:p w14:paraId="1D88F3F7"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lastRenderedPageBreak/>
              <w:t>Existence de repères visuels de délimitation de chantier</w:t>
            </w:r>
          </w:p>
        </w:tc>
        <w:tc>
          <w:tcPr>
            <w:tcW w:w="1421" w:type="dxa"/>
            <w:tcBorders>
              <w:top w:val="single" w:sz="4" w:space="0" w:color="auto"/>
              <w:bottom w:val="single" w:sz="4" w:space="0" w:color="auto"/>
            </w:tcBorders>
          </w:tcPr>
          <w:p w14:paraId="2A040421"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lastRenderedPageBreak/>
              <w:t>Vérification</w:t>
            </w:r>
          </w:p>
        </w:tc>
        <w:tc>
          <w:tcPr>
            <w:tcW w:w="1700" w:type="dxa"/>
            <w:tcBorders>
              <w:top w:val="single" w:sz="4" w:space="0" w:color="auto"/>
              <w:bottom w:val="single" w:sz="4" w:space="0" w:color="auto"/>
            </w:tcBorders>
          </w:tcPr>
          <w:p w14:paraId="771F1EB5"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Entreprise</w:t>
            </w:r>
          </w:p>
          <w:p w14:paraId="7FE9F2D9"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MdC</w:t>
            </w:r>
          </w:p>
        </w:tc>
        <w:tc>
          <w:tcPr>
            <w:tcW w:w="1843" w:type="dxa"/>
            <w:tcBorders>
              <w:top w:val="single" w:sz="4" w:space="0" w:color="auto"/>
              <w:bottom w:val="single" w:sz="4" w:space="0" w:color="auto"/>
            </w:tcBorders>
          </w:tcPr>
          <w:p w14:paraId="4D165AA7"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Tous les jours</w:t>
            </w:r>
          </w:p>
        </w:tc>
      </w:tr>
      <w:tr w:rsidR="00C801A6" w:rsidRPr="00C801A6" w14:paraId="3600F52E" w14:textId="77777777" w:rsidTr="00253F1A">
        <w:trPr>
          <w:trHeight w:val="1536"/>
        </w:trPr>
        <w:tc>
          <w:tcPr>
            <w:tcW w:w="2660" w:type="dxa"/>
            <w:vMerge/>
          </w:tcPr>
          <w:p w14:paraId="4654BD8D" w14:textId="77777777" w:rsidR="00064FF0" w:rsidRPr="00C801A6" w:rsidRDefault="00064FF0" w:rsidP="00347FDB">
            <w:pPr>
              <w:spacing w:before="20" w:after="20" w:line="264" w:lineRule="auto"/>
              <w:jc w:val="left"/>
              <w:rPr>
                <w:rFonts w:cs="Times New Roman"/>
                <w:color w:val="auto"/>
                <w:sz w:val="19"/>
                <w:szCs w:val="19"/>
                <w:lang w:eastAsia="fr-FR"/>
              </w:rPr>
            </w:pPr>
          </w:p>
        </w:tc>
        <w:tc>
          <w:tcPr>
            <w:tcW w:w="2297" w:type="dxa"/>
            <w:vMerge/>
          </w:tcPr>
          <w:p w14:paraId="3BF8A1AA"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p>
        </w:tc>
        <w:tc>
          <w:tcPr>
            <w:tcW w:w="3265" w:type="dxa"/>
            <w:tcBorders>
              <w:top w:val="single" w:sz="4" w:space="0" w:color="auto"/>
              <w:bottom w:val="single" w:sz="4" w:space="0" w:color="auto"/>
            </w:tcBorders>
          </w:tcPr>
          <w:p w14:paraId="4C5ECF9F"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 xml:space="preserve">Régler la circulation en installant des feux de circulation pour travaux au lieu, dans la mesure du possible, de signaleurs munis de drapeaux pour donner des signaux manuels </w:t>
            </w:r>
          </w:p>
        </w:tc>
        <w:tc>
          <w:tcPr>
            <w:tcW w:w="2090" w:type="dxa"/>
            <w:tcBorders>
              <w:top w:val="single" w:sz="4" w:space="0" w:color="auto"/>
              <w:bottom w:val="single" w:sz="4" w:space="0" w:color="auto"/>
            </w:tcBorders>
          </w:tcPr>
          <w:p w14:paraId="6C4FF0EF"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Méthode de régulation de la circulation</w:t>
            </w:r>
          </w:p>
        </w:tc>
        <w:tc>
          <w:tcPr>
            <w:tcW w:w="1421" w:type="dxa"/>
            <w:tcBorders>
              <w:top w:val="single" w:sz="4" w:space="0" w:color="auto"/>
              <w:bottom w:val="single" w:sz="4" w:space="0" w:color="auto"/>
            </w:tcBorders>
          </w:tcPr>
          <w:p w14:paraId="51DAE96C"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Vérification</w:t>
            </w:r>
          </w:p>
        </w:tc>
        <w:tc>
          <w:tcPr>
            <w:tcW w:w="1700" w:type="dxa"/>
            <w:tcBorders>
              <w:top w:val="single" w:sz="4" w:space="0" w:color="auto"/>
              <w:bottom w:val="single" w:sz="4" w:space="0" w:color="auto"/>
            </w:tcBorders>
          </w:tcPr>
          <w:p w14:paraId="5639C3F4"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Entreprise</w:t>
            </w:r>
          </w:p>
          <w:p w14:paraId="011F3AD1"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MdC</w:t>
            </w:r>
          </w:p>
        </w:tc>
        <w:tc>
          <w:tcPr>
            <w:tcW w:w="1843" w:type="dxa"/>
            <w:tcBorders>
              <w:top w:val="single" w:sz="4" w:space="0" w:color="auto"/>
              <w:bottom w:val="single" w:sz="4" w:space="0" w:color="auto"/>
            </w:tcBorders>
          </w:tcPr>
          <w:p w14:paraId="262008DE"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Tous les jours</w:t>
            </w:r>
          </w:p>
        </w:tc>
      </w:tr>
      <w:tr w:rsidR="00C801A6" w:rsidRPr="00C801A6" w14:paraId="487DD652" w14:textId="77777777" w:rsidTr="00253F1A">
        <w:trPr>
          <w:trHeight w:val="653"/>
        </w:trPr>
        <w:tc>
          <w:tcPr>
            <w:tcW w:w="2660" w:type="dxa"/>
            <w:vMerge/>
            <w:tcBorders>
              <w:bottom w:val="single" w:sz="4" w:space="0" w:color="auto"/>
            </w:tcBorders>
          </w:tcPr>
          <w:p w14:paraId="5DCAC475" w14:textId="77777777" w:rsidR="00064FF0" w:rsidRPr="00C801A6" w:rsidRDefault="00064FF0" w:rsidP="00347FDB">
            <w:pPr>
              <w:spacing w:before="20" w:after="20" w:line="264" w:lineRule="auto"/>
              <w:jc w:val="left"/>
              <w:rPr>
                <w:rFonts w:cs="Times New Roman"/>
                <w:color w:val="auto"/>
                <w:sz w:val="19"/>
                <w:szCs w:val="19"/>
                <w:lang w:eastAsia="fr-FR"/>
              </w:rPr>
            </w:pPr>
          </w:p>
        </w:tc>
        <w:tc>
          <w:tcPr>
            <w:tcW w:w="2297" w:type="dxa"/>
            <w:vMerge/>
            <w:tcBorders>
              <w:bottom w:val="single" w:sz="4" w:space="0" w:color="auto"/>
            </w:tcBorders>
          </w:tcPr>
          <w:p w14:paraId="46DF9D76"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p>
        </w:tc>
        <w:tc>
          <w:tcPr>
            <w:tcW w:w="3265" w:type="dxa"/>
            <w:tcBorders>
              <w:top w:val="single" w:sz="4" w:space="0" w:color="auto"/>
              <w:bottom w:val="single" w:sz="4" w:space="0" w:color="auto"/>
            </w:tcBorders>
          </w:tcPr>
          <w:p w14:paraId="0BA8935C"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Concevoir l’aire de travail de manière à éliminer ou à réduire les points sans visibilité</w:t>
            </w:r>
          </w:p>
        </w:tc>
        <w:tc>
          <w:tcPr>
            <w:tcW w:w="2090" w:type="dxa"/>
            <w:tcBorders>
              <w:top w:val="single" w:sz="4" w:space="0" w:color="auto"/>
              <w:bottom w:val="single" w:sz="4" w:space="0" w:color="auto"/>
            </w:tcBorders>
          </w:tcPr>
          <w:p w14:paraId="5D29DB94"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Plainte sur la visibilité</w:t>
            </w:r>
          </w:p>
        </w:tc>
        <w:tc>
          <w:tcPr>
            <w:tcW w:w="1421" w:type="dxa"/>
            <w:tcBorders>
              <w:top w:val="single" w:sz="4" w:space="0" w:color="auto"/>
              <w:bottom w:val="single" w:sz="4" w:space="0" w:color="auto"/>
            </w:tcBorders>
          </w:tcPr>
          <w:p w14:paraId="29D9AE95"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Vérification</w:t>
            </w:r>
          </w:p>
        </w:tc>
        <w:tc>
          <w:tcPr>
            <w:tcW w:w="1700" w:type="dxa"/>
            <w:tcBorders>
              <w:top w:val="single" w:sz="4" w:space="0" w:color="auto"/>
              <w:bottom w:val="single" w:sz="4" w:space="0" w:color="auto"/>
            </w:tcBorders>
          </w:tcPr>
          <w:p w14:paraId="1F0B6099"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Entreprise</w:t>
            </w:r>
          </w:p>
          <w:p w14:paraId="12859897"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MdC</w:t>
            </w:r>
          </w:p>
        </w:tc>
        <w:tc>
          <w:tcPr>
            <w:tcW w:w="1843" w:type="dxa"/>
            <w:tcBorders>
              <w:top w:val="single" w:sz="4" w:space="0" w:color="auto"/>
              <w:bottom w:val="single" w:sz="4" w:space="0" w:color="auto"/>
            </w:tcBorders>
          </w:tcPr>
          <w:p w14:paraId="2A3B8584"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Tous les jours</w:t>
            </w:r>
          </w:p>
        </w:tc>
      </w:tr>
      <w:tr w:rsidR="00C801A6" w:rsidRPr="00C801A6" w14:paraId="6214858B" w14:textId="77777777" w:rsidTr="00253F1A">
        <w:trPr>
          <w:trHeight w:val="1301"/>
        </w:trPr>
        <w:tc>
          <w:tcPr>
            <w:tcW w:w="2660" w:type="dxa"/>
            <w:vMerge w:val="restart"/>
            <w:tcBorders>
              <w:top w:val="single" w:sz="4" w:space="0" w:color="auto"/>
            </w:tcBorders>
          </w:tcPr>
          <w:p w14:paraId="1E93D890" w14:textId="77777777" w:rsidR="00064FF0" w:rsidRPr="00C801A6" w:rsidRDefault="00064FF0" w:rsidP="00347FDB">
            <w:pPr>
              <w:spacing w:before="20" w:after="20" w:line="264" w:lineRule="auto"/>
              <w:jc w:val="left"/>
              <w:rPr>
                <w:rFonts w:cs="Times New Roman"/>
                <w:color w:val="auto"/>
                <w:sz w:val="19"/>
                <w:szCs w:val="19"/>
                <w:lang w:eastAsia="fr-FR"/>
              </w:rPr>
            </w:pPr>
            <w:r w:rsidRPr="00C801A6">
              <w:rPr>
                <w:rFonts w:cs="Times New Roman"/>
                <w:color w:val="auto"/>
                <w:sz w:val="19"/>
                <w:szCs w:val="19"/>
                <w:lang w:eastAsia="fr-FR"/>
              </w:rPr>
              <w:t>Risques de pollution liés à des fuites / déversements de carburant ou à des ruissellements de matières bitumeuses</w:t>
            </w:r>
          </w:p>
        </w:tc>
        <w:tc>
          <w:tcPr>
            <w:tcW w:w="2297" w:type="dxa"/>
            <w:vMerge w:val="restart"/>
            <w:tcBorders>
              <w:top w:val="single" w:sz="4" w:space="0" w:color="auto"/>
            </w:tcBorders>
          </w:tcPr>
          <w:p w14:paraId="28E7DECF"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Aucune</w:t>
            </w:r>
          </w:p>
        </w:tc>
        <w:tc>
          <w:tcPr>
            <w:tcW w:w="3265" w:type="dxa"/>
            <w:tcBorders>
              <w:top w:val="single" w:sz="4" w:space="0" w:color="auto"/>
              <w:bottom w:val="single" w:sz="4" w:space="0" w:color="auto"/>
            </w:tcBorders>
          </w:tcPr>
          <w:p w14:paraId="625B8483"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 xml:space="preserve">Procéder aux travaux de revêtement des routes par temps sec, pour prévenir le ruissellement de matières contenant de l’asphalte ou du ciment ; </w:t>
            </w:r>
          </w:p>
        </w:tc>
        <w:tc>
          <w:tcPr>
            <w:tcW w:w="2090" w:type="dxa"/>
            <w:tcBorders>
              <w:top w:val="single" w:sz="4" w:space="0" w:color="auto"/>
              <w:bottom w:val="single" w:sz="4" w:space="0" w:color="auto"/>
            </w:tcBorders>
          </w:tcPr>
          <w:p w14:paraId="6BF78335"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Plan de travail hebdo</w:t>
            </w:r>
          </w:p>
        </w:tc>
        <w:tc>
          <w:tcPr>
            <w:tcW w:w="1421" w:type="dxa"/>
            <w:tcBorders>
              <w:top w:val="single" w:sz="4" w:space="0" w:color="auto"/>
              <w:bottom w:val="single" w:sz="4" w:space="0" w:color="auto"/>
            </w:tcBorders>
          </w:tcPr>
          <w:p w14:paraId="11717E7E"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Vérification</w:t>
            </w:r>
          </w:p>
        </w:tc>
        <w:tc>
          <w:tcPr>
            <w:tcW w:w="1700" w:type="dxa"/>
            <w:tcBorders>
              <w:top w:val="single" w:sz="4" w:space="0" w:color="auto"/>
              <w:bottom w:val="single" w:sz="4" w:space="0" w:color="auto"/>
            </w:tcBorders>
          </w:tcPr>
          <w:p w14:paraId="4A0E7387"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Entreprise</w:t>
            </w:r>
          </w:p>
          <w:p w14:paraId="2772CE06"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MdC</w:t>
            </w:r>
          </w:p>
        </w:tc>
        <w:tc>
          <w:tcPr>
            <w:tcW w:w="1843" w:type="dxa"/>
            <w:tcBorders>
              <w:top w:val="single" w:sz="4" w:space="0" w:color="auto"/>
              <w:bottom w:val="single" w:sz="4" w:space="0" w:color="auto"/>
            </w:tcBorders>
          </w:tcPr>
          <w:p w14:paraId="7A5676B2"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Toutes les semaines</w:t>
            </w:r>
          </w:p>
        </w:tc>
      </w:tr>
      <w:tr w:rsidR="00C801A6" w:rsidRPr="00C801A6" w14:paraId="3B3B111A" w14:textId="77777777" w:rsidTr="00253F1A">
        <w:trPr>
          <w:trHeight w:val="550"/>
        </w:trPr>
        <w:tc>
          <w:tcPr>
            <w:tcW w:w="2660" w:type="dxa"/>
            <w:vMerge/>
          </w:tcPr>
          <w:p w14:paraId="48542181" w14:textId="77777777" w:rsidR="00064FF0" w:rsidRPr="00C801A6" w:rsidRDefault="00064FF0" w:rsidP="00347FDB">
            <w:pPr>
              <w:spacing w:before="20" w:after="20" w:line="264" w:lineRule="auto"/>
              <w:jc w:val="left"/>
              <w:rPr>
                <w:rFonts w:cs="Times New Roman"/>
                <w:color w:val="auto"/>
                <w:sz w:val="19"/>
                <w:szCs w:val="19"/>
                <w:lang w:eastAsia="fr-FR"/>
              </w:rPr>
            </w:pPr>
          </w:p>
        </w:tc>
        <w:tc>
          <w:tcPr>
            <w:tcW w:w="2297" w:type="dxa"/>
            <w:vMerge/>
          </w:tcPr>
          <w:p w14:paraId="5E961CF1"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p>
        </w:tc>
        <w:tc>
          <w:tcPr>
            <w:tcW w:w="3265" w:type="dxa"/>
            <w:tcBorders>
              <w:top w:val="single" w:sz="4" w:space="0" w:color="auto"/>
              <w:bottom w:val="single" w:sz="4" w:space="0" w:color="auto"/>
            </w:tcBorders>
          </w:tcPr>
          <w:p w14:paraId="3FE1238A"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 xml:space="preserve">Adopter des procédures de chantier adaptées pour réduire le déversement accidentel de matériaux de revêtement pendant les travaux de réparation des nids de poule et des chaussées endommagées. Ces procédures peuvent consister à couvrir les orifices des puisards d’eau de pluie et les regards pendant les travaux de revêtement ; </w:t>
            </w:r>
          </w:p>
        </w:tc>
        <w:tc>
          <w:tcPr>
            <w:tcW w:w="2090" w:type="dxa"/>
            <w:tcBorders>
              <w:top w:val="single" w:sz="4" w:space="0" w:color="auto"/>
              <w:bottom w:val="single" w:sz="4" w:space="0" w:color="auto"/>
            </w:tcBorders>
          </w:tcPr>
          <w:p w14:paraId="3B1D44BE"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Inventaire des puits d’eau</w:t>
            </w:r>
          </w:p>
        </w:tc>
        <w:tc>
          <w:tcPr>
            <w:tcW w:w="1421" w:type="dxa"/>
            <w:tcBorders>
              <w:top w:val="single" w:sz="4" w:space="0" w:color="auto"/>
              <w:bottom w:val="single" w:sz="4" w:space="0" w:color="auto"/>
            </w:tcBorders>
          </w:tcPr>
          <w:p w14:paraId="6CE2FE2B"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Vérification</w:t>
            </w:r>
          </w:p>
        </w:tc>
        <w:tc>
          <w:tcPr>
            <w:tcW w:w="1700" w:type="dxa"/>
            <w:tcBorders>
              <w:top w:val="single" w:sz="4" w:space="0" w:color="auto"/>
              <w:bottom w:val="single" w:sz="4" w:space="0" w:color="auto"/>
            </w:tcBorders>
          </w:tcPr>
          <w:p w14:paraId="5B3DACF5"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Entreprise</w:t>
            </w:r>
          </w:p>
          <w:p w14:paraId="68211E39"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MdC</w:t>
            </w:r>
          </w:p>
        </w:tc>
        <w:tc>
          <w:tcPr>
            <w:tcW w:w="1843" w:type="dxa"/>
            <w:tcBorders>
              <w:top w:val="single" w:sz="4" w:space="0" w:color="auto"/>
              <w:bottom w:val="single" w:sz="4" w:space="0" w:color="auto"/>
            </w:tcBorders>
          </w:tcPr>
          <w:p w14:paraId="59916E23"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Avant mise en œuvre</w:t>
            </w:r>
          </w:p>
        </w:tc>
      </w:tr>
      <w:tr w:rsidR="00C801A6" w:rsidRPr="00C801A6" w14:paraId="1663F3CB" w14:textId="77777777" w:rsidTr="00253F1A">
        <w:trPr>
          <w:trHeight w:val="2812"/>
        </w:trPr>
        <w:tc>
          <w:tcPr>
            <w:tcW w:w="2660" w:type="dxa"/>
            <w:vMerge/>
          </w:tcPr>
          <w:p w14:paraId="640BEADC" w14:textId="77777777" w:rsidR="00064FF0" w:rsidRPr="00C801A6" w:rsidRDefault="00064FF0" w:rsidP="00347FDB">
            <w:pPr>
              <w:spacing w:before="20" w:after="20" w:line="264" w:lineRule="auto"/>
              <w:jc w:val="left"/>
              <w:rPr>
                <w:rFonts w:cs="Times New Roman"/>
                <w:color w:val="auto"/>
                <w:sz w:val="19"/>
                <w:szCs w:val="19"/>
                <w:lang w:eastAsia="fr-FR"/>
              </w:rPr>
            </w:pPr>
          </w:p>
        </w:tc>
        <w:tc>
          <w:tcPr>
            <w:tcW w:w="2297" w:type="dxa"/>
            <w:vMerge/>
          </w:tcPr>
          <w:p w14:paraId="383DE0A6"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p>
        </w:tc>
        <w:tc>
          <w:tcPr>
            <w:tcW w:w="3265" w:type="dxa"/>
            <w:tcBorders>
              <w:top w:val="single" w:sz="4" w:space="0" w:color="auto"/>
              <w:bottom w:val="single" w:sz="4" w:space="0" w:color="auto"/>
            </w:tcBorders>
          </w:tcPr>
          <w:p w14:paraId="38E01B45"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 xml:space="preserve">Prendre des mesures pour lutter contre l’érosion et la sédimentation afin de réduire le volume des ruissellements en provenance des sites en travaux ; et employer des matériaux de dépollution (tels que des matières absorbantes sur le matériel d’asphaltage routier) pour limiter les fuites et les déversements des matières employées pour les revêtements </w:t>
            </w:r>
          </w:p>
        </w:tc>
        <w:tc>
          <w:tcPr>
            <w:tcW w:w="2090" w:type="dxa"/>
            <w:tcBorders>
              <w:top w:val="single" w:sz="4" w:space="0" w:color="auto"/>
              <w:bottom w:val="single" w:sz="4" w:space="0" w:color="auto"/>
            </w:tcBorders>
          </w:tcPr>
          <w:p w14:paraId="0882ED2D"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Mesures de lutte contre l’érosion et la sédimentation</w:t>
            </w:r>
          </w:p>
        </w:tc>
        <w:tc>
          <w:tcPr>
            <w:tcW w:w="1421" w:type="dxa"/>
            <w:tcBorders>
              <w:top w:val="single" w:sz="4" w:space="0" w:color="auto"/>
              <w:bottom w:val="single" w:sz="4" w:space="0" w:color="auto"/>
            </w:tcBorders>
          </w:tcPr>
          <w:p w14:paraId="21D19949"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Vérification</w:t>
            </w:r>
          </w:p>
        </w:tc>
        <w:tc>
          <w:tcPr>
            <w:tcW w:w="1700" w:type="dxa"/>
            <w:tcBorders>
              <w:top w:val="single" w:sz="4" w:space="0" w:color="auto"/>
              <w:bottom w:val="single" w:sz="4" w:space="0" w:color="auto"/>
            </w:tcBorders>
          </w:tcPr>
          <w:p w14:paraId="00F2595E"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Entreprise</w:t>
            </w:r>
          </w:p>
          <w:p w14:paraId="6C5B2870"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MdC</w:t>
            </w:r>
          </w:p>
        </w:tc>
        <w:tc>
          <w:tcPr>
            <w:tcW w:w="1843" w:type="dxa"/>
            <w:tcBorders>
              <w:top w:val="single" w:sz="4" w:space="0" w:color="auto"/>
              <w:bottom w:val="single" w:sz="4" w:space="0" w:color="auto"/>
            </w:tcBorders>
          </w:tcPr>
          <w:p w14:paraId="002B40DC"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Avant mise en œuvre</w:t>
            </w:r>
          </w:p>
        </w:tc>
      </w:tr>
      <w:tr w:rsidR="00C801A6" w:rsidRPr="00C801A6" w14:paraId="7A54F015" w14:textId="77777777" w:rsidTr="00253F1A">
        <w:trPr>
          <w:trHeight w:val="2432"/>
        </w:trPr>
        <w:tc>
          <w:tcPr>
            <w:tcW w:w="2660" w:type="dxa"/>
            <w:vMerge/>
          </w:tcPr>
          <w:p w14:paraId="138C6B3F" w14:textId="77777777" w:rsidR="00064FF0" w:rsidRPr="00C801A6" w:rsidRDefault="00064FF0" w:rsidP="00347FDB">
            <w:pPr>
              <w:spacing w:before="20" w:after="20" w:line="264" w:lineRule="auto"/>
              <w:jc w:val="left"/>
              <w:rPr>
                <w:rFonts w:cs="Times New Roman"/>
                <w:color w:val="auto"/>
                <w:sz w:val="19"/>
                <w:szCs w:val="19"/>
                <w:lang w:eastAsia="fr-FR"/>
              </w:rPr>
            </w:pPr>
          </w:p>
        </w:tc>
        <w:tc>
          <w:tcPr>
            <w:tcW w:w="2297" w:type="dxa"/>
            <w:vMerge/>
          </w:tcPr>
          <w:p w14:paraId="0CFB1016"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p>
        </w:tc>
        <w:tc>
          <w:tcPr>
            <w:tcW w:w="3265" w:type="dxa"/>
            <w:tcBorders>
              <w:top w:val="single" w:sz="4" w:space="0" w:color="auto"/>
              <w:bottom w:val="single" w:sz="4" w:space="0" w:color="auto"/>
            </w:tcBorders>
          </w:tcPr>
          <w:p w14:paraId="16A4CA82"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 xml:space="preserve">Réduire la quantité d’eau utilisée pour limiter les émissions de poussières et privilégier le balayage plutôt que le lavage. </w:t>
            </w:r>
          </w:p>
          <w:p w14:paraId="4AF990D5"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color w:val="auto"/>
                <w:sz w:val="19"/>
                <w:szCs w:val="19"/>
              </w:rPr>
            </w:pPr>
            <w:r w:rsidRPr="00C801A6">
              <w:rPr>
                <w:rFonts w:cs="Times New Roman"/>
                <w:color w:val="auto"/>
                <w:sz w:val="19"/>
                <w:szCs w:val="19"/>
              </w:rPr>
              <w:t>Récupérer les matières balayées pour les intégrer dans les matériaux employés pour constituer des agrégats ou les éliminer en tant que déchets solides, conformément aux recommandations formulées dans les directives EHS générales</w:t>
            </w:r>
          </w:p>
        </w:tc>
        <w:tc>
          <w:tcPr>
            <w:tcW w:w="2090" w:type="dxa"/>
            <w:tcBorders>
              <w:top w:val="single" w:sz="4" w:space="0" w:color="auto"/>
              <w:bottom w:val="single" w:sz="4" w:space="0" w:color="auto"/>
            </w:tcBorders>
          </w:tcPr>
          <w:p w14:paraId="633622D6"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Méthode de traitement des nids de poule</w:t>
            </w:r>
          </w:p>
        </w:tc>
        <w:tc>
          <w:tcPr>
            <w:tcW w:w="1421" w:type="dxa"/>
            <w:tcBorders>
              <w:top w:val="single" w:sz="4" w:space="0" w:color="auto"/>
              <w:bottom w:val="single" w:sz="4" w:space="0" w:color="auto"/>
            </w:tcBorders>
          </w:tcPr>
          <w:p w14:paraId="2EE34788"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Vérification</w:t>
            </w:r>
          </w:p>
        </w:tc>
        <w:tc>
          <w:tcPr>
            <w:tcW w:w="1700" w:type="dxa"/>
            <w:tcBorders>
              <w:top w:val="single" w:sz="4" w:space="0" w:color="auto"/>
              <w:bottom w:val="single" w:sz="4" w:space="0" w:color="auto"/>
            </w:tcBorders>
          </w:tcPr>
          <w:p w14:paraId="603BF370"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Entreprise</w:t>
            </w:r>
          </w:p>
          <w:p w14:paraId="76F6F104"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MdC</w:t>
            </w:r>
          </w:p>
        </w:tc>
        <w:tc>
          <w:tcPr>
            <w:tcW w:w="1843" w:type="dxa"/>
            <w:tcBorders>
              <w:top w:val="single" w:sz="4" w:space="0" w:color="auto"/>
              <w:bottom w:val="single" w:sz="4" w:space="0" w:color="auto"/>
            </w:tcBorders>
          </w:tcPr>
          <w:p w14:paraId="7A8924C7"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Avant mise en œuvre</w:t>
            </w:r>
          </w:p>
        </w:tc>
      </w:tr>
      <w:tr w:rsidR="00C801A6" w:rsidRPr="00C801A6" w14:paraId="31761856" w14:textId="77777777" w:rsidTr="00253F1A">
        <w:trPr>
          <w:trHeight w:val="569"/>
        </w:trPr>
        <w:tc>
          <w:tcPr>
            <w:tcW w:w="2660" w:type="dxa"/>
            <w:vMerge/>
            <w:tcBorders>
              <w:bottom w:val="single" w:sz="4" w:space="0" w:color="auto"/>
            </w:tcBorders>
          </w:tcPr>
          <w:p w14:paraId="278B5755" w14:textId="77777777" w:rsidR="00064FF0" w:rsidRPr="00C801A6" w:rsidRDefault="00064FF0" w:rsidP="00347FDB">
            <w:pPr>
              <w:spacing w:before="20" w:after="20" w:line="264" w:lineRule="auto"/>
              <w:jc w:val="left"/>
              <w:rPr>
                <w:rFonts w:cs="Times New Roman"/>
                <w:color w:val="auto"/>
                <w:sz w:val="19"/>
                <w:szCs w:val="19"/>
                <w:lang w:eastAsia="fr-FR"/>
              </w:rPr>
            </w:pPr>
          </w:p>
        </w:tc>
        <w:tc>
          <w:tcPr>
            <w:tcW w:w="2297" w:type="dxa"/>
            <w:vMerge/>
            <w:tcBorders>
              <w:bottom w:val="single" w:sz="4" w:space="0" w:color="auto"/>
            </w:tcBorders>
          </w:tcPr>
          <w:p w14:paraId="27A21B8A"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p>
        </w:tc>
        <w:tc>
          <w:tcPr>
            <w:tcW w:w="3265" w:type="dxa"/>
            <w:tcBorders>
              <w:top w:val="single" w:sz="4" w:space="0" w:color="auto"/>
              <w:bottom w:val="single" w:sz="4" w:space="0" w:color="auto"/>
            </w:tcBorders>
          </w:tcPr>
          <w:p w14:paraId="110757CD"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Eviter de faire ruisseler les eaux contaminées durant le nettoyage du matériel d’asphaltage routier en utilisant de l’huile végétale plutôt que du diesel comme agent anti-adhérent et de nettoyage ; assurer le confinement des produits de nettoyage et des résidus d’asphalte contaminés ; racler avant de nettoyer ; et procéder aux activités de nettoyage loin des sites d’eaux de surface ou de structures de drainage.</w:t>
            </w:r>
          </w:p>
        </w:tc>
        <w:tc>
          <w:tcPr>
            <w:tcW w:w="2090" w:type="dxa"/>
            <w:tcBorders>
              <w:top w:val="single" w:sz="4" w:space="0" w:color="auto"/>
              <w:bottom w:val="single" w:sz="4" w:space="0" w:color="auto"/>
            </w:tcBorders>
          </w:tcPr>
          <w:p w14:paraId="61BFFEB4"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Méthode de nettoyage du matériel d’asphaltage routier</w:t>
            </w:r>
          </w:p>
        </w:tc>
        <w:tc>
          <w:tcPr>
            <w:tcW w:w="1421" w:type="dxa"/>
            <w:tcBorders>
              <w:top w:val="single" w:sz="4" w:space="0" w:color="auto"/>
              <w:bottom w:val="single" w:sz="4" w:space="0" w:color="auto"/>
            </w:tcBorders>
          </w:tcPr>
          <w:p w14:paraId="1D9B382D"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Vérification</w:t>
            </w:r>
          </w:p>
        </w:tc>
        <w:tc>
          <w:tcPr>
            <w:tcW w:w="1700" w:type="dxa"/>
            <w:tcBorders>
              <w:top w:val="single" w:sz="4" w:space="0" w:color="auto"/>
              <w:bottom w:val="single" w:sz="4" w:space="0" w:color="auto"/>
            </w:tcBorders>
          </w:tcPr>
          <w:p w14:paraId="66C6E8B1"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Entreprise</w:t>
            </w:r>
          </w:p>
          <w:p w14:paraId="77D9C00A"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MdC</w:t>
            </w:r>
          </w:p>
        </w:tc>
        <w:tc>
          <w:tcPr>
            <w:tcW w:w="1843" w:type="dxa"/>
            <w:tcBorders>
              <w:top w:val="single" w:sz="4" w:space="0" w:color="auto"/>
              <w:bottom w:val="single" w:sz="4" w:space="0" w:color="auto"/>
            </w:tcBorders>
          </w:tcPr>
          <w:p w14:paraId="77A9357E"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Après les travaux</w:t>
            </w:r>
          </w:p>
        </w:tc>
      </w:tr>
    </w:tbl>
    <w:p w14:paraId="1A9074EF" w14:textId="043A3F03" w:rsidR="00064FF0" w:rsidRPr="00C801A6" w:rsidRDefault="00D1342C" w:rsidP="00D1342C">
      <w:pPr>
        <w:pStyle w:val="Caption"/>
        <w:rPr>
          <w:color w:val="auto"/>
        </w:rPr>
      </w:pPr>
      <w:bookmarkStart w:id="830" w:name="_Toc230427755"/>
      <w:r>
        <w:lastRenderedPageBreak/>
        <w:t xml:space="preserve">Tableau </w:t>
      </w:r>
      <w:r w:rsidR="00E44887">
        <w:fldChar w:fldCharType="begin"/>
      </w:r>
      <w:r w:rsidR="00E44887">
        <w:instrText xml:space="preserve"> SEQ Tableau \* ARABIC </w:instrText>
      </w:r>
      <w:r w:rsidR="00E44887">
        <w:fldChar w:fldCharType="separate"/>
      </w:r>
      <w:r w:rsidR="00253F1A">
        <w:rPr>
          <w:noProof/>
        </w:rPr>
        <w:t>35</w:t>
      </w:r>
      <w:r w:rsidR="00E44887">
        <w:rPr>
          <w:noProof/>
        </w:rPr>
        <w:fldChar w:fldCharType="end"/>
      </w:r>
      <w:r>
        <w:t xml:space="preserve"> : PLAN </w:t>
      </w:r>
      <w:r w:rsidRPr="00C801A6">
        <w:rPr>
          <w:color w:val="auto"/>
        </w:rPr>
        <w:t>cadre de surveillance E&amp;S. Travaux de génie civil - Phase de repli de chantier</w:t>
      </w:r>
      <w:bookmarkEnd w:id="830"/>
    </w:p>
    <w:tbl>
      <w:tblPr>
        <w:tblStyle w:val="TableGrid"/>
        <w:tblW w:w="0" w:type="auto"/>
        <w:tblInd w:w="-5" w:type="dxa"/>
        <w:tblLook w:val="04A0" w:firstRow="1" w:lastRow="0" w:firstColumn="1" w:lastColumn="0" w:noHBand="0" w:noVBand="1"/>
      </w:tblPr>
      <w:tblGrid>
        <w:gridCol w:w="2613"/>
        <w:gridCol w:w="2369"/>
        <w:gridCol w:w="2782"/>
        <w:gridCol w:w="2366"/>
        <w:gridCol w:w="1418"/>
        <w:gridCol w:w="1682"/>
        <w:gridCol w:w="1785"/>
      </w:tblGrid>
      <w:tr w:rsidR="00C801A6" w:rsidRPr="00C801A6" w14:paraId="02E045A5" w14:textId="77777777" w:rsidTr="00253F1A">
        <w:trPr>
          <w:tblHeader/>
        </w:trPr>
        <w:tc>
          <w:tcPr>
            <w:tcW w:w="2613" w:type="dxa"/>
            <w:tcBorders>
              <w:top w:val="single" w:sz="4" w:space="0" w:color="auto"/>
              <w:bottom w:val="single" w:sz="4" w:space="0" w:color="auto"/>
            </w:tcBorders>
            <w:shd w:val="clear" w:color="auto" w:fill="E2EFD9" w:themeFill="accent6" w:themeFillTint="33"/>
          </w:tcPr>
          <w:p w14:paraId="073DA91C" w14:textId="77777777" w:rsidR="00064FF0" w:rsidRPr="00C801A6" w:rsidRDefault="00064FF0" w:rsidP="00347FDB">
            <w:pPr>
              <w:spacing w:before="80" w:after="80" w:line="240" w:lineRule="auto"/>
              <w:jc w:val="left"/>
              <w:rPr>
                <w:b/>
                <w:color w:val="auto"/>
                <w:sz w:val="20"/>
                <w:szCs w:val="20"/>
              </w:rPr>
            </w:pPr>
            <w:r w:rsidRPr="00C801A6">
              <w:rPr>
                <w:b/>
                <w:color w:val="auto"/>
                <w:sz w:val="20"/>
                <w:szCs w:val="20"/>
              </w:rPr>
              <w:t>Impacts types</w:t>
            </w:r>
          </w:p>
        </w:tc>
        <w:tc>
          <w:tcPr>
            <w:tcW w:w="2369" w:type="dxa"/>
            <w:tcBorders>
              <w:top w:val="single" w:sz="4" w:space="0" w:color="auto"/>
              <w:bottom w:val="single" w:sz="4" w:space="0" w:color="auto"/>
            </w:tcBorders>
            <w:shd w:val="clear" w:color="auto" w:fill="E2EFD9" w:themeFill="accent6" w:themeFillTint="33"/>
          </w:tcPr>
          <w:p w14:paraId="638D3FA2" w14:textId="77777777" w:rsidR="00064FF0" w:rsidRPr="00C801A6" w:rsidRDefault="00064FF0" w:rsidP="00347FDB">
            <w:pPr>
              <w:spacing w:before="80" w:after="80" w:line="240" w:lineRule="auto"/>
              <w:jc w:val="left"/>
              <w:rPr>
                <w:b/>
                <w:color w:val="auto"/>
                <w:sz w:val="20"/>
                <w:szCs w:val="20"/>
              </w:rPr>
            </w:pPr>
            <w:r w:rsidRPr="00C801A6">
              <w:rPr>
                <w:b/>
                <w:color w:val="auto"/>
                <w:sz w:val="20"/>
                <w:szCs w:val="20"/>
              </w:rPr>
              <w:t>Mesures d’évitement types</w:t>
            </w:r>
          </w:p>
        </w:tc>
        <w:tc>
          <w:tcPr>
            <w:tcW w:w="2782" w:type="dxa"/>
            <w:tcBorders>
              <w:top w:val="single" w:sz="4" w:space="0" w:color="auto"/>
              <w:bottom w:val="single" w:sz="4" w:space="0" w:color="auto"/>
            </w:tcBorders>
            <w:shd w:val="clear" w:color="auto" w:fill="E2EFD9" w:themeFill="accent6" w:themeFillTint="33"/>
          </w:tcPr>
          <w:p w14:paraId="3CCF06FD" w14:textId="77777777" w:rsidR="00064FF0" w:rsidRPr="00C801A6" w:rsidRDefault="00064FF0" w:rsidP="00347FDB">
            <w:pPr>
              <w:spacing w:before="80" w:after="80" w:line="240" w:lineRule="auto"/>
              <w:jc w:val="left"/>
              <w:rPr>
                <w:b/>
                <w:color w:val="auto"/>
                <w:sz w:val="20"/>
                <w:szCs w:val="20"/>
              </w:rPr>
            </w:pPr>
            <w:r w:rsidRPr="00C801A6">
              <w:rPr>
                <w:b/>
                <w:color w:val="auto"/>
                <w:sz w:val="20"/>
                <w:szCs w:val="20"/>
              </w:rPr>
              <w:t>Mesures d’atténuation types</w:t>
            </w:r>
          </w:p>
        </w:tc>
        <w:tc>
          <w:tcPr>
            <w:tcW w:w="2366" w:type="dxa"/>
            <w:tcBorders>
              <w:top w:val="single" w:sz="4" w:space="0" w:color="auto"/>
              <w:bottom w:val="single" w:sz="4" w:space="0" w:color="auto"/>
            </w:tcBorders>
            <w:shd w:val="clear" w:color="auto" w:fill="E2EFD9" w:themeFill="accent6" w:themeFillTint="33"/>
          </w:tcPr>
          <w:p w14:paraId="6D4BE948" w14:textId="77777777" w:rsidR="00064FF0" w:rsidRPr="00C801A6" w:rsidRDefault="00064FF0" w:rsidP="00347FDB">
            <w:pPr>
              <w:spacing w:before="80" w:after="80" w:line="240" w:lineRule="auto"/>
              <w:jc w:val="left"/>
              <w:rPr>
                <w:b/>
                <w:color w:val="auto"/>
                <w:sz w:val="20"/>
                <w:szCs w:val="20"/>
              </w:rPr>
            </w:pPr>
            <w:r w:rsidRPr="00C801A6">
              <w:rPr>
                <w:b/>
                <w:color w:val="auto"/>
                <w:sz w:val="20"/>
                <w:szCs w:val="20"/>
              </w:rPr>
              <w:t>Indicateurs de surveillance</w:t>
            </w:r>
          </w:p>
        </w:tc>
        <w:tc>
          <w:tcPr>
            <w:tcW w:w="1418" w:type="dxa"/>
            <w:tcBorders>
              <w:top w:val="single" w:sz="4" w:space="0" w:color="auto"/>
              <w:bottom w:val="single" w:sz="4" w:space="0" w:color="auto"/>
            </w:tcBorders>
            <w:shd w:val="clear" w:color="auto" w:fill="E2EFD9" w:themeFill="accent6" w:themeFillTint="33"/>
          </w:tcPr>
          <w:p w14:paraId="1441530A" w14:textId="77777777" w:rsidR="00064FF0" w:rsidRPr="00C801A6" w:rsidRDefault="00064FF0" w:rsidP="00347FDB">
            <w:pPr>
              <w:spacing w:before="80" w:after="80" w:line="240" w:lineRule="auto"/>
              <w:jc w:val="left"/>
              <w:rPr>
                <w:b/>
                <w:color w:val="auto"/>
                <w:sz w:val="20"/>
                <w:szCs w:val="20"/>
              </w:rPr>
            </w:pPr>
            <w:r w:rsidRPr="00C801A6">
              <w:rPr>
                <w:b/>
                <w:color w:val="auto"/>
                <w:sz w:val="20"/>
                <w:szCs w:val="20"/>
              </w:rPr>
              <w:t>Méthode</w:t>
            </w:r>
          </w:p>
        </w:tc>
        <w:tc>
          <w:tcPr>
            <w:tcW w:w="1682" w:type="dxa"/>
            <w:tcBorders>
              <w:top w:val="single" w:sz="4" w:space="0" w:color="auto"/>
              <w:bottom w:val="single" w:sz="4" w:space="0" w:color="auto"/>
            </w:tcBorders>
            <w:shd w:val="clear" w:color="auto" w:fill="E2EFD9" w:themeFill="accent6" w:themeFillTint="33"/>
          </w:tcPr>
          <w:p w14:paraId="291B5F0E" w14:textId="77777777" w:rsidR="00064FF0" w:rsidRPr="00C801A6" w:rsidRDefault="00064FF0" w:rsidP="00347FDB">
            <w:pPr>
              <w:spacing w:before="80" w:after="80" w:line="240" w:lineRule="auto"/>
              <w:jc w:val="left"/>
              <w:rPr>
                <w:b/>
                <w:color w:val="auto"/>
                <w:sz w:val="20"/>
                <w:szCs w:val="20"/>
              </w:rPr>
            </w:pPr>
            <w:r w:rsidRPr="00C801A6">
              <w:rPr>
                <w:b/>
                <w:color w:val="auto"/>
                <w:sz w:val="20"/>
                <w:szCs w:val="20"/>
              </w:rPr>
              <w:t>Mise en œuvre</w:t>
            </w:r>
          </w:p>
        </w:tc>
        <w:tc>
          <w:tcPr>
            <w:tcW w:w="1785" w:type="dxa"/>
            <w:tcBorders>
              <w:top w:val="single" w:sz="4" w:space="0" w:color="auto"/>
              <w:bottom w:val="single" w:sz="4" w:space="0" w:color="auto"/>
            </w:tcBorders>
            <w:shd w:val="clear" w:color="auto" w:fill="E2EFD9" w:themeFill="accent6" w:themeFillTint="33"/>
          </w:tcPr>
          <w:p w14:paraId="1A1A6D50" w14:textId="77777777" w:rsidR="00064FF0" w:rsidRPr="00C801A6" w:rsidRDefault="00064FF0" w:rsidP="00347FDB">
            <w:pPr>
              <w:spacing w:before="80" w:after="80" w:line="240" w:lineRule="auto"/>
              <w:jc w:val="left"/>
              <w:rPr>
                <w:b/>
                <w:color w:val="auto"/>
                <w:sz w:val="20"/>
                <w:szCs w:val="20"/>
              </w:rPr>
            </w:pPr>
            <w:r w:rsidRPr="00C801A6">
              <w:rPr>
                <w:b/>
                <w:color w:val="auto"/>
                <w:sz w:val="20"/>
                <w:szCs w:val="20"/>
              </w:rPr>
              <w:t>Calendrier</w:t>
            </w:r>
          </w:p>
        </w:tc>
      </w:tr>
      <w:tr w:rsidR="00C801A6" w:rsidRPr="00C801A6" w14:paraId="21E30301" w14:textId="77777777" w:rsidTr="00253F1A">
        <w:tc>
          <w:tcPr>
            <w:tcW w:w="2613" w:type="dxa"/>
            <w:tcBorders>
              <w:top w:val="single" w:sz="4" w:space="0" w:color="auto"/>
              <w:left w:val="single" w:sz="4" w:space="0" w:color="auto"/>
              <w:bottom w:val="single" w:sz="4" w:space="0" w:color="auto"/>
              <w:right w:val="nil"/>
            </w:tcBorders>
            <w:shd w:val="clear" w:color="auto" w:fill="D0CECE" w:themeFill="background2" w:themeFillShade="E6"/>
          </w:tcPr>
          <w:p w14:paraId="70DC8B87" w14:textId="77777777" w:rsidR="00064FF0" w:rsidRPr="00C801A6" w:rsidRDefault="00064FF0" w:rsidP="00347FDB">
            <w:pPr>
              <w:spacing w:before="60" w:after="60"/>
              <w:jc w:val="left"/>
              <w:rPr>
                <w:b/>
                <w:color w:val="auto"/>
                <w:sz w:val="20"/>
                <w:szCs w:val="20"/>
                <w:lang w:eastAsia="fr-FR"/>
              </w:rPr>
            </w:pPr>
            <w:r w:rsidRPr="00C801A6">
              <w:rPr>
                <w:b/>
                <w:color w:val="auto"/>
                <w:sz w:val="20"/>
                <w:szCs w:val="20"/>
                <w:lang w:eastAsia="fr-FR"/>
              </w:rPr>
              <w:t>Milieux biophysiques</w:t>
            </w:r>
          </w:p>
        </w:tc>
        <w:tc>
          <w:tcPr>
            <w:tcW w:w="2369" w:type="dxa"/>
            <w:tcBorders>
              <w:top w:val="single" w:sz="4" w:space="0" w:color="auto"/>
              <w:left w:val="nil"/>
              <w:bottom w:val="single" w:sz="4" w:space="0" w:color="auto"/>
              <w:right w:val="nil"/>
            </w:tcBorders>
            <w:shd w:val="clear" w:color="auto" w:fill="D0CECE" w:themeFill="background2" w:themeFillShade="E6"/>
          </w:tcPr>
          <w:p w14:paraId="57E1A9EA" w14:textId="77777777" w:rsidR="00064FF0" w:rsidRPr="00C801A6" w:rsidRDefault="00064FF0" w:rsidP="00347FDB">
            <w:pPr>
              <w:spacing w:before="60" w:after="60"/>
              <w:jc w:val="left"/>
              <w:rPr>
                <w:b/>
                <w:color w:val="auto"/>
                <w:sz w:val="20"/>
                <w:szCs w:val="20"/>
                <w:lang w:eastAsia="fr-FR"/>
              </w:rPr>
            </w:pPr>
          </w:p>
        </w:tc>
        <w:tc>
          <w:tcPr>
            <w:tcW w:w="2782" w:type="dxa"/>
            <w:tcBorders>
              <w:top w:val="single" w:sz="4" w:space="0" w:color="auto"/>
              <w:left w:val="nil"/>
              <w:bottom w:val="single" w:sz="4" w:space="0" w:color="auto"/>
              <w:right w:val="nil"/>
            </w:tcBorders>
            <w:shd w:val="clear" w:color="auto" w:fill="D0CECE" w:themeFill="background2" w:themeFillShade="E6"/>
          </w:tcPr>
          <w:p w14:paraId="074047C2" w14:textId="77777777" w:rsidR="00064FF0" w:rsidRPr="00C801A6" w:rsidRDefault="00064FF0" w:rsidP="00347FDB">
            <w:pPr>
              <w:spacing w:before="60" w:after="60"/>
              <w:jc w:val="left"/>
              <w:rPr>
                <w:b/>
                <w:color w:val="auto"/>
                <w:sz w:val="20"/>
                <w:szCs w:val="20"/>
                <w:lang w:eastAsia="fr-FR"/>
              </w:rPr>
            </w:pPr>
          </w:p>
        </w:tc>
        <w:tc>
          <w:tcPr>
            <w:tcW w:w="2366" w:type="dxa"/>
            <w:tcBorders>
              <w:top w:val="single" w:sz="4" w:space="0" w:color="auto"/>
              <w:left w:val="nil"/>
              <w:bottom w:val="single" w:sz="4" w:space="0" w:color="auto"/>
              <w:right w:val="nil"/>
            </w:tcBorders>
            <w:shd w:val="clear" w:color="auto" w:fill="D0CECE" w:themeFill="background2" w:themeFillShade="E6"/>
          </w:tcPr>
          <w:p w14:paraId="480D9779" w14:textId="77777777" w:rsidR="00064FF0" w:rsidRPr="00C801A6" w:rsidRDefault="00064FF0" w:rsidP="00347FDB">
            <w:pPr>
              <w:spacing w:before="60" w:after="60"/>
              <w:jc w:val="left"/>
              <w:rPr>
                <w:b/>
                <w:color w:val="auto"/>
                <w:sz w:val="20"/>
                <w:szCs w:val="20"/>
                <w:lang w:eastAsia="fr-FR"/>
              </w:rPr>
            </w:pPr>
          </w:p>
        </w:tc>
        <w:tc>
          <w:tcPr>
            <w:tcW w:w="1418" w:type="dxa"/>
            <w:tcBorders>
              <w:top w:val="single" w:sz="4" w:space="0" w:color="auto"/>
              <w:left w:val="nil"/>
              <w:bottom w:val="single" w:sz="4" w:space="0" w:color="auto"/>
              <w:right w:val="nil"/>
            </w:tcBorders>
            <w:shd w:val="clear" w:color="auto" w:fill="D0CECE" w:themeFill="background2" w:themeFillShade="E6"/>
          </w:tcPr>
          <w:p w14:paraId="4C78C710" w14:textId="77777777" w:rsidR="00064FF0" w:rsidRPr="00C801A6" w:rsidRDefault="00064FF0" w:rsidP="00347FDB">
            <w:pPr>
              <w:spacing w:before="60" w:after="60"/>
              <w:jc w:val="left"/>
              <w:rPr>
                <w:b/>
                <w:color w:val="auto"/>
                <w:sz w:val="20"/>
                <w:szCs w:val="20"/>
                <w:lang w:eastAsia="fr-FR"/>
              </w:rPr>
            </w:pPr>
          </w:p>
        </w:tc>
        <w:tc>
          <w:tcPr>
            <w:tcW w:w="1682" w:type="dxa"/>
            <w:tcBorders>
              <w:top w:val="single" w:sz="4" w:space="0" w:color="auto"/>
              <w:left w:val="nil"/>
              <w:bottom w:val="single" w:sz="4" w:space="0" w:color="auto"/>
              <w:right w:val="nil"/>
            </w:tcBorders>
            <w:shd w:val="clear" w:color="auto" w:fill="D0CECE" w:themeFill="background2" w:themeFillShade="E6"/>
          </w:tcPr>
          <w:p w14:paraId="50797CF0" w14:textId="77777777" w:rsidR="00064FF0" w:rsidRPr="00C801A6" w:rsidRDefault="00064FF0" w:rsidP="00347FDB">
            <w:pPr>
              <w:spacing w:before="60" w:after="60"/>
              <w:jc w:val="left"/>
              <w:rPr>
                <w:b/>
                <w:color w:val="auto"/>
                <w:sz w:val="20"/>
                <w:szCs w:val="20"/>
                <w:lang w:eastAsia="fr-FR"/>
              </w:rPr>
            </w:pPr>
          </w:p>
        </w:tc>
        <w:tc>
          <w:tcPr>
            <w:tcW w:w="1785" w:type="dxa"/>
            <w:tcBorders>
              <w:top w:val="single" w:sz="4" w:space="0" w:color="auto"/>
              <w:left w:val="nil"/>
              <w:bottom w:val="single" w:sz="4" w:space="0" w:color="auto"/>
              <w:right w:val="single" w:sz="4" w:space="0" w:color="auto"/>
            </w:tcBorders>
            <w:shd w:val="clear" w:color="auto" w:fill="D0CECE" w:themeFill="background2" w:themeFillShade="E6"/>
          </w:tcPr>
          <w:p w14:paraId="5FBAF201" w14:textId="77777777" w:rsidR="00064FF0" w:rsidRPr="00C801A6" w:rsidRDefault="00064FF0" w:rsidP="00347FDB">
            <w:pPr>
              <w:spacing w:before="60" w:after="60"/>
              <w:jc w:val="left"/>
              <w:rPr>
                <w:b/>
                <w:color w:val="auto"/>
                <w:sz w:val="20"/>
                <w:szCs w:val="20"/>
                <w:lang w:eastAsia="fr-FR"/>
              </w:rPr>
            </w:pPr>
          </w:p>
        </w:tc>
      </w:tr>
      <w:tr w:rsidR="00C801A6" w:rsidRPr="00C801A6" w14:paraId="11EB1FAE" w14:textId="77777777" w:rsidTr="00253F1A">
        <w:tc>
          <w:tcPr>
            <w:tcW w:w="2613" w:type="dxa"/>
            <w:tcBorders>
              <w:top w:val="single" w:sz="4" w:space="0" w:color="auto"/>
              <w:bottom w:val="single" w:sz="4" w:space="0" w:color="auto"/>
            </w:tcBorders>
          </w:tcPr>
          <w:p w14:paraId="1CF713C2" w14:textId="77777777" w:rsidR="00064FF0" w:rsidRPr="00C801A6" w:rsidRDefault="00064FF0" w:rsidP="00347FDB">
            <w:pPr>
              <w:spacing w:before="60"/>
              <w:jc w:val="left"/>
              <w:rPr>
                <w:color w:val="auto"/>
                <w:sz w:val="20"/>
                <w:szCs w:val="20"/>
                <w:lang w:eastAsia="fr-FR"/>
              </w:rPr>
            </w:pPr>
            <w:r w:rsidRPr="00C801A6">
              <w:rPr>
                <w:color w:val="auto"/>
                <w:sz w:val="20"/>
                <w:szCs w:val="20"/>
                <w:lang w:eastAsia="fr-FR"/>
              </w:rPr>
              <w:t>Risques de pollution de diverses natures au niveau du chantier : abandon de déchets de chantier sur les bords des routes, matières résiduelles diverses au niveau de la base-vie, autres</w:t>
            </w:r>
          </w:p>
        </w:tc>
        <w:tc>
          <w:tcPr>
            <w:tcW w:w="2369" w:type="dxa"/>
            <w:tcBorders>
              <w:top w:val="single" w:sz="4" w:space="0" w:color="auto"/>
              <w:bottom w:val="single" w:sz="4" w:space="0" w:color="auto"/>
            </w:tcBorders>
          </w:tcPr>
          <w:p w14:paraId="4DBDBD83" w14:textId="77777777" w:rsidR="00064FF0" w:rsidRPr="00C801A6" w:rsidRDefault="00064FF0" w:rsidP="00844538">
            <w:pPr>
              <w:pStyle w:val="ListParagraph"/>
              <w:numPr>
                <w:ilvl w:val="0"/>
                <w:numId w:val="28"/>
              </w:numPr>
              <w:spacing w:before="60" w:line="276" w:lineRule="auto"/>
              <w:ind w:left="142" w:hanging="142"/>
              <w:contextualSpacing w:val="0"/>
              <w:jc w:val="left"/>
              <w:rPr>
                <w:color w:val="auto"/>
                <w:sz w:val="20"/>
                <w:szCs w:val="20"/>
              </w:rPr>
            </w:pPr>
            <w:r w:rsidRPr="00C801A6">
              <w:rPr>
                <w:color w:val="auto"/>
                <w:sz w:val="20"/>
                <w:szCs w:val="20"/>
              </w:rPr>
              <w:t>Aucune</w:t>
            </w:r>
          </w:p>
        </w:tc>
        <w:tc>
          <w:tcPr>
            <w:tcW w:w="2782" w:type="dxa"/>
            <w:tcBorders>
              <w:top w:val="single" w:sz="4" w:space="0" w:color="auto"/>
              <w:bottom w:val="single" w:sz="4" w:space="0" w:color="auto"/>
            </w:tcBorders>
          </w:tcPr>
          <w:p w14:paraId="031C21BC" w14:textId="77777777" w:rsidR="00064FF0" w:rsidRPr="00C801A6" w:rsidRDefault="00064FF0" w:rsidP="00844538">
            <w:pPr>
              <w:pStyle w:val="ListParagraph"/>
              <w:numPr>
                <w:ilvl w:val="0"/>
                <w:numId w:val="28"/>
              </w:numPr>
              <w:spacing w:before="60" w:line="276" w:lineRule="auto"/>
              <w:ind w:left="142" w:hanging="142"/>
              <w:contextualSpacing w:val="0"/>
              <w:jc w:val="left"/>
              <w:rPr>
                <w:color w:val="auto"/>
                <w:sz w:val="20"/>
                <w:szCs w:val="20"/>
              </w:rPr>
            </w:pPr>
            <w:r w:rsidRPr="00C801A6">
              <w:rPr>
                <w:color w:val="auto"/>
                <w:sz w:val="20"/>
                <w:szCs w:val="20"/>
              </w:rPr>
              <w:t>Tout nettoyer avant le repli : le dernier attachement ne devrait pas être validé sans ce constat</w:t>
            </w:r>
          </w:p>
        </w:tc>
        <w:tc>
          <w:tcPr>
            <w:tcW w:w="2366" w:type="dxa"/>
            <w:tcBorders>
              <w:top w:val="single" w:sz="4" w:space="0" w:color="auto"/>
              <w:bottom w:val="single" w:sz="4" w:space="0" w:color="auto"/>
            </w:tcBorders>
          </w:tcPr>
          <w:p w14:paraId="6946E649" w14:textId="77777777" w:rsidR="00064FF0" w:rsidRPr="00C801A6" w:rsidRDefault="00064FF0" w:rsidP="00844538">
            <w:pPr>
              <w:pStyle w:val="ListParagraph"/>
              <w:numPr>
                <w:ilvl w:val="0"/>
                <w:numId w:val="28"/>
              </w:numPr>
              <w:spacing w:before="60" w:line="276" w:lineRule="auto"/>
              <w:ind w:left="142" w:hanging="142"/>
              <w:contextualSpacing w:val="0"/>
              <w:jc w:val="left"/>
              <w:rPr>
                <w:color w:val="auto"/>
                <w:sz w:val="20"/>
                <w:szCs w:val="20"/>
              </w:rPr>
            </w:pPr>
            <w:r w:rsidRPr="00C801A6">
              <w:rPr>
                <w:color w:val="auto"/>
                <w:sz w:val="20"/>
                <w:szCs w:val="20"/>
              </w:rPr>
              <w:t>Plan de nettoyage</w:t>
            </w:r>
          </w:p>
        </w:tc>
        <w:tc>
          <w:tcPr>
            <w:tcW w:w="1418" w:type="dxa"/>
            <w:tcBorders>
              <w:top w:val="single" w:sz="4" w:space="0" w:color="auto"/>
              <w:bottom w:val="single" w:sz="4" w:space="0" w:color="auto"/>
            </w:tcBorders>
          </w:tcPr>
          <w:p w14:paraId="5FFD792E" w14:textId="77777777" w:rsidR="00064FF0" w:rsidRPr="00C801A6" w:rsidRDefault="00064FF0" w:rsidP="00844538">
            <w:pPr>
              <w:pStyle w:val="ListParagraph"/>
              <w:numPr>
                <w:ilvl w:val="0"/>
                <w:numId w:val="28"/>
              </w:numPr>
              <w:spacing w:before="60" w:line="276" w:lineRule="auto"/>
              <w:ind w:left="142" w:hanging="142"/>
              <w:contextualSpacing w:val="0"/>
              <w:jc w:val="left"/>
              <w:rPr>
                <w:color w:val="auto"/>
                <w:sz w:val="20"/>
                <w:szCs w:val="20"/>
              </w:rPr>
            </w:pPr>
            <w:r w:rsidRPr="00C801A6">
              <w:rPr>
                <w:color w:val="auto"/>
                <w:sz w:val="20"/>
                <w:szCs w:val="20"/>
              </w:rPr>
              <w:t>Vérification</w:t>
            </w:r>
          </w:p>
        </w:tc>
        <w:tc>
          <w:tcPr>
            <w:tcW w:w="1682" w:type="dxa"/>
            <w:tcBorders>
              <w:top w:val="single" w:sz="4" w:space="0" w:color="auto"/>
              <w:bottom w:val="single" w:sz="4" w:space="0" w:color="auto"/>
            </w:tcBorders>
          </w:tcPr>
          <w:p w14:paraId="1A1EB174" w14:textId="77777777" w:rsidR="00064FF0" w:rsidRPr="00C801A6" w:rsidRDefault="00064FF0" w:rsidP="00844538">
            <w:pPr>
              <w:pStyle w:val="ListParagraph"/>
              <w:numPr>
                <w:ilvl w:val="0"/>
                <w:numId w:val="28"/>
              </w:numPr>
              <w:spacing w:before="60" w:line="276" w:lineRule="auto"/>
              <w:ind w:left="142" w:hanging="142"/>
              <w:contextualSpacing w:val="0"/>
              <w:jc w:val="left"/>
              <w:rPr>
                <w:color w:val="auto"/>
                <w:sz w:val="20"/>
                <w:szCs w:val="20"/>
              </w:rPr>
            </w:pPr>
            <w:r w:rsidRPr="00C801A6">
              <w:rPr>
                <w:color w:val="auto"/>
                <w:sz w:val="20"/>
                <w:szCs w:val="20"/>
              </w:rPr>
              <w:t>Entreprise</w:t>
            </w:r>
          </w:p>
          <w:p w14:paraId="268A7D84" w14:textId="77777777" w:rsidR="00064FF0" w:rsidRPr="00C801A6" w:rsidRDefault="00064FF0" w:rsidP="00844538">
            <w:pPr>
              <w:pStyle w:val="ListParagraph"/>
              <w:numPr>
                <w:ilvl w:val="0"/>
                <w:numId w:val="28"/>
              </w:numPr>
              <w:spacing w:before="60" w:line="276" w:lineRule="auto"/>
              <w:ind w:left="142" w:hanging="142"/>
              <w:contextualSpacing w:val="0"/>
              <w:jc w:val="left"/>
              <w:rPr>
                <w:color w:val="auto"/>
                <w:sz w:val="20"/>
                <w:szCs w:val="20"/>
              </w:rPr>
            </w:pPr>
            <w:r w:rsidRPr="00C801A6">
              <w:rPr>
                <w:color w:val="auto"/>
                <w:sz w:val="20"/>
                <w:szCs w:val="20"/>
              </w:rPr>
              <w:t>MdC</w:t>
            </w:r>
          </w:p>
        </w:tc>
        <w:tc>
          <w:tcPr>
            <w:tcW w:w="1785" w:type="dxa"/>
            <w:tcBorders>
              <w:top w:val="single" w:sz="4" w:space="0" w:color="auto"/>
              <w:bottom w:val="single" w:sz="4" w:space="0" w:color="auto"/>
            </w:tcBorders>
          </w:tcPr>
          <w:p w14:paraId="29FE0AA5" w14:textId="77777777" w:rsidR="00064FF0" w:rsidRPr="00C801A6" w:rsidRDefault="00064FF0" w:rsidP="00844538">
            <w:pPr>
              <w:pStyle w:val="ListParagraph"/>
              <w:numPr>
                <w:ilvl w:val="0"/>
                <w:numId w:val="28"/>
              </w:numPr>
              <w:spacing w:before="60" w:line="276" w:lineRule="auto"/>
              <w:ind w:left="142" w:hanging="142"/>
              <w:contextualSpacing w:val="0"/>
              <w:jc w:val="left"/>
              <w:rPr>
                <w:color w:val="auto"/>
                <w:sz w:val="20"/>
                <w:szCs w:val="20"/>
              </w:rPr>
            </w:pPr>
            <w:r w:rsidRPr="00C801A6">
              <w:rPr>
                <w:color w:val="auto"/>
                <w:sz w:val="20"/>
                <w:szCs w:val="20"/>
              </w:rPr>
              <w:t>Avant repli de chantier</w:t>
            </w:r>
          </w:p>
        </w:tc>
      </w:tr>
      <w:tr w:rsidR="00C801A6" w:rsidRPr="00C801A6" w14:paraId="133506EF" w14:textId="77777777" w:rsidTr="00253F1A">
        <w:tc>
          <w:tcPr>
            <w:tcW w:w="4982" w:type="dxa"/>
            <w:gridSpan w:val="2"/>
            <w:tcBorders>
              <w:top w:val="single" w:sz="4" w:space="0" w:color="auto"/>
              <w:left w:val="single" w:sz="4" w:space="0" w:color="auto"/>
              <w:bottom w:val="single" w:sz="4" w:space="0" w:color="auto"/>
              <w:right w:val="nil"/>
            </w:tcBorders>
            <w:shd w:val="clear" w:color="auto" w:fill="D0CECE" w:themeFill="background2" w:themeFillShade="E6"/>
          </w:tcPr>
          <w:p w14:paraId="042B117C" w14:textId="77777777" w:rsidR="00064FF0" w:rsidRPr="00C801A6" w:rsidRDefault="00064FF0" w:rsidP="00347FDB">
            <w:pPr>
              <w:spacing w:before="60" w:after="60"/>
              <w:jc w:val="left"/>
              <w:rPr>
                <w:b/>
                <w:color w:val="auto"/>
                <w:sz w:val="20"/>
                <w:szCs w:val="20"/>
                <w:lang w:eastAsia="fr-FR"/>
              </w:rPr>
            </w:pPr>
            <w:r w:rsidRPr="00C801A6">
              <w:rPr>
                <w:b/>
                <w:color w:val="auto"/>
                <w:sz w:val="20"/>
                <w:szCs w:val="20"/>
                <w:lang w:eastAsia="fr-FR"/>
              </w:rPr>
              <w:t>Impacts socioéconomiques</w:t>
            </w:r>
          </w:p>
        </w:tc>
        <w:tc>
          <w:tcPr>
            <w:tcW w:w="2782" w:type="dxa"/>
            <w:tcBorders>
              <w:top w:val="single" w:sz="4" w:space="0" w:color="auto"/>
              <w:left w:val="nil"/>
              <w:bottom w:val="single" w:sz="4" w:space="0" w:color="auto"/>
              <w:right w:val="nil"/>
            </w:tcBorders>
            <w:shd w:val="clear" w:color="auto" w:fill="D0CECE" w:themeFill="background2" w:themeFillShade="E6"/>
          </w:tcPr>
          <w:p w14:paraId="034A692A" w14:textId="77777777" w:rsidR="00064FF0" w:rsidRPr="00C801A6" w:rsidRDefault="00064FF0" w:rsidP="00347FDB">
            <w:pPr>
              <w:spacing w:before="60" w:after="60"/>
              <w:jc w:val="left"/>
              <w:rPr>
                <w:b/>
                <w:color w:val="auto"/>
                <w:sz w:val="20"/>
                <w:szCs w:val="20"/>
                <w:lang w:eastAsia="fr-FR"/>
              </w:rPr>
            </w:pPr>
          </w:p>
        </w:tc>
        <w:tc>
          <w:tcPr>
            <w:tcW w:w="2366" w:type="dxa"/>
            <w:tcBorders>
              <w:top w:val="single" w:sz="4" w:space="0" w:color="auto"/>
              <w:left w:val="nil"/>
              <w:bottom w:val="single" w:sz="4" w:space="0" w:color="auto"/>
              <w:right w:val="nil"/>
            </w:tcBorders>
            <w:shd w:val="clear" w:color="auto" w:fill="D0CECE" w:themeFill="background2" w:themeFillShade="E6"/>
          </w:tcPr>
          <w:p w14:paraId="58B11CB0" w14:textId="77777777" w:rsidR="00064FF0" w:rsidRPr="00C801A6" w:rsidRDefault="00064FF0" w:rsidP="00347FDB">
            <w:pPr>
              <w:spacing w:before="60" w:after="60"/>
              <w:jc w:val="left"/>
              <w:rPr>
                <w:b/>
                <w:color w:val="auto"/>
                <w:sz w:val="20"/>
                <w:szCs w:val="20"/>
                <w:lang w:eastAsia="fr-FR"/>
              </w:rPr>
            </w:pPr>
          </w:p>
        </w:tc>
        <w:tc>
          <w:tcPr>
            <w:tcW w:w="1418" w:type="dxa"/>
            <w:tcBorders>
              <w:top w:val="single" w:sz="4" w:space="0" w:color="auto"/>
              <w:left w:val="nil"/>
              <w:bottom w:val="single" w:sz="4" w:space="0" w:color="auto"/>
              <w:right w:val="nil"/>
            </w:tcBorders>
            <w:shd w:val="clear" w:color="auto" w:fill="D0CECE" w:themeFill="background2" w:themeFillShade="E6"/>
          </w:tcPr>
          <w:p w14:paraId="1DA68121" w14:textId="77777777" w:rsidR="00064FF0" w:rsidRPr="00C801A6" w:rsidRDefault="00064FF0" w:rsidP="00347FDB">
            <w:pPr>
              <w:spacing w:before="60" w:after="60"/>
              <w:jc w:val="left"/>
              <w:rPr>
                <w:b/>
                <w:color w:val="auto"/>
                <w:sz w:val="20"/>
                <w:szCs w:val="20"/>
                <w:lang w:eastAsia="fr-FR"/>
              </w:rPr>
            </w:pPr>
          </w:p>
        </w:tc>
        <w:tc>
          <w:tcPr>
            <w:tcW w:w="1682" w:type="dxa"/>
            <w:tcBorders>
              <w:top w:val="single" w:sz="4" w:space="0" w:color="auto"/>
              <w:left w:val="nil"/>
              <w:bottom w:val="single" w:sz="4" w:space="0" w:color="auto"/>
              <w:right w:val="nil"/>
            </w:tcBorders>
            <w:shd w:val="clear" w:color="auto" w:fill="D0CECE" w:themeFill="background2" w:themeFillShade="E6"/>
          </w:tcPr>
          <w:p w14:paraId="17B49CC4" w14:textId="77777777" w:rsidR="00064FF0" w:rsidRPr="00C801A6" w:rsidRDefault="00064FF0" w:rsidP="00347FDB">
            <w:pPr>
              <w:spacing w:before="60" w:after="60"/>
              <w:jc w:val="left"/>
              <w:rPr>
                <w:b/>
                <w:color w:val="auto"/>
                <w:sz w:val="20"/>
                <w:szCs w:val="20"/>
                <w:lang w:eastAsia="fr-FR"/>
              </w:rPr>
            </w:pPr>
          </w:p>
        </w:tc>
        <w:tc>
          <w:tcPr>
            <w:tcW w:w="1785" w:type="dxa"/>
            <w:tcBorders>
              <w:top w:val="single" w:sz="4" w:space="0" w:color="auto"/>
              <w:left w:val="nil"/>
              <w:bottom w:val="single" w:sz="4" w:space="0" w:color="auto"/>
              <w:right w:val="single" w:sz="4" w:space="0" w:color="auto"/>
            </w:tcBorders>
            <w:shd w:val="clear" w:color="auto" w:fill="D0CECE" w:themeFill="background2" w:themeFillShade="E6"/>
          </w:tcPr>
          <w:p w14:paraId="06EED383" w14:textId="77777777" w:rsidR="00064FF0" w:rsidRPr="00C801A6" w:rsidRDefault="00064FF0" w:rsidP="00347FDB">
            <w:pPr>
              <w:spacing w:before="60" w:after="60"/>
              <w:jc w:val="left"/>
              <w:rPr>
                <w:b/>
                <w:color w:val="auto"/>
                <w:sz w:val="20"/>
                <w:szCs w:val="20"/>
                <w:lang w:eastAsia="fr-FR"/>
              </w:rPr>
            </w:pPr>
          </w:p>
        </w:tc>
      </w:tr>
      <w:tr w:rsidR="00064FF0" w:rsidRPr="00C801A6" w14:paraId="74CAD238" w14:textId="77777777" w:rsidTr="00253F1A">
        <w:tc>
          <w:tcPr>
            <w:tcW w:w="2613" w:type="dxa"/>
            <w:tcBorders>
              <w:top w:val="single" w:sz="4" w:space="0" w:color="auto"/>
            </w:tcBorders>
          </w:tcPr>
          <w:p w14:paraId="7457B718" w14:textId="77777777" w:rsidR="00064FF0" w:rsidRPr="00C801A6" w:rsidRDefault="00064FF0" w:rsidP="00347FDB">
            <w:pPr>
              <w:spacing w:before="60"/>
              <w:jc w:val="left"/>
              <w:rPr>
                <w:color w:val="auto"/>
                <w:sz w:val="20"/>
                <w:szCs w:val="20"/>
                <w:lang w:eastAsia="fr-FR"/>
              </w:rPr>
            </w:pPr>
            <w:r w:rsidRPr="00C801A6">
              <w:rPr>
                <w:color w:val="auto"/>
                <w:sz w:val="20"/>
                <w:szCs w:val="20"/>
                <w:lang w:eastAsia="fr-FR"/>
              </w:rPr>
              <w:t>Risques accident au moment du repli</w:t>
            </w:r>
          </w:p>
        </w:tc>
        <w:tc>
          <w:tcPr>
            <w:tcW w:w="2369" w:type="dxa"/>
            <w:tcBorders>
              <w:top w:val="single" w:sz="4" w:space="0" w:color="auto"/>
            </w:tcBorders>
          </w:tcPr>
          <w:p w14:paraId="6417FD5E" w14:textId="77777777" w:rsidR="00064FF0" w:rsidRPr="00C801A6" w:rsidRDefault="00064FF0" w:rsidP="00844538">
            <w:pPr>
              <w:pStyle w:val="ListParagraph"/>
              <w:numPr>
                <w:ilvl w:val="0"/>
                <w:numId w:val="28"/>
              </w:numPr>
              <w:spacing w:before="60" w:line="276" w:lineRule="auto"/>
              <w:ind w:left="142" w:hanging="142"/>
              <w:contextualSpacing w:val="0"/>
              <w:jc w:val="left"/>
              <w:rPr>
                <w:color w:val="auto"/>
                <w:sz w:val="20"/>
                <w:szCs w:val="20"/>
              </w:rPr>
            </w:pPr>
            <w:r w:rsidRPr="00C801A6">
              <w:rPr>
                <w:color w:val="auto"/>
                <w:sz w:val="20"/>
                <w:szCs w:val="20"/>
              </w:rPr>
              <w:t>Sensibiliser les chauffeurs sur les accidents de la route</w:t>
            </w:r>
          </w:p>
        </w:tc>
        <w:tc>
          <w:tcPr>
            <w:tcW w:w="2782" w:type="dxa"/>
            <w:tcBorders>
              <w:top w:val="single" w:sz="4" w:space="0" w:color="auto"/>
            </w:tcBorders>
          </w:tcPr>
          <w:p w14:paraId="075FDD7D" w14:textId="77777777" w:rsidR="00064FF0" w:rsidRPr="00C801A6" w:rsidRDefault="00064FF0" w:rsidP="00844538">
            <w:pPr>
              <w:pStyle w:val="ListParagraph"/>
              <w:numPr>
                <w:ilvl w:val="0"/>
                <w:numId w:val="28"/>
              </w:numPr>
              <w:spacing w:before="60" w:line="276" w:lineRule="auto"/>
              <w:ind w:left="142" w:hanging="142"/>
              <w:contextualSpacing w:val="0"/>
              <w:jc w:val="left"/>
              <w:rPr>
                <w:color w:val="auto"/>
                <w:sz w:val="20"/>
                <w:szCs w:val="20"/>
              </w:rPr>
            </w:pPr>
            <w:r w:rsidRPr="00C801A6">
              <w:rPr>
                <w:color w:val="auto"/>
                <w:sz w:val="20"/>
                <w:szCs w:val="20"/>
              </w:rPr>
              <w:t>Limiter la vitesse à 20km/h en zone habitée et à 40km/h en rase-campagne</w:t>
            </w:r>
          </w:p>
        </w:tc>
        <w:tc>
          <w:tcPr>
            <w:tcW w:w="2366" w:type="dxa"/>
            <w:tcBorders>
              <w:top w:val="single" w:sz="4" w:space="0" w:color="auto"/>
            </w:tcBorders>
          </w:tcPr>
          <w:p w14:paraId="03C0ABD4" w14:textId="77777777" w:rsidR="00064FF0" w:rsidRPr="00C801A6" w:rsidRDefault="00064FF0" w:rsidP="00844538">
            <w:pPr>
              <w:pStyle w:val="ListParagraph"/>
              <w:numPr>
                <w:ilvl w:val="0"/>
                <w:numId w:val="28"/>
              </w:numPr>
              <w:spacing w:before="60" w:line="276" w:lineRule="auto"/>
              <w:ind w:left="142" w:hanging="142"/>
              <w:contextualSpacing w:val="0"/>
              <w:jc w:val="left"/>
              <w:rPr>
                <w:color w:val="auto"/>
                <w:sz w:val="20"/>
                <w:szCs w:val="20"/>
              </w:rPr>
            </w:pPr>
            <w:r w:rsidRPr="00C801A6">
              <w:rPr>
                <w:color w:val="auto"/>
                <w:sz w:val="20"/>
                <w:szCs w:val="20"/>
              </w:rPr>
              <w:t>Affichage des limitations de vitesse dans la cabine</w:t>
            </w:r>
          </w:p>
        </w:tc>
        <w:tc>
          <w:tcPr>
            <w:tcW w:w="1418" w:type="dxa"/>
            <w:tcBorders>
              <w:top w:val="single" w:sz="4" w:space="0" w:color="auto"/>
            </w:tcBorders>
          </w:tcPr>
          <w:p w14:paraId="118C85F6" w14:textId="77777777" w:rsidR="00064FF0" w:rsidRPr="00C801A6" w:rsidRDefault="00064FF0" w:rsidP="00844538">
            <w:pPr>
              <w:pStyle w:val="ListParagraph"/>
              <w:numPr>
                <w:ilvl w:val="0"/>
                <w:numId w:val="28"/>
              </w:numPr>
              <w:spacing w:before="60" w:line="276" w:lineRule="auto"/>
              <w:ind w:left="142" w:hanging="142"/>
              <w:contextualSpacing w:val="0"/>
              <w:jc w:val="left"/>
              <w:rPr>
                <w:color w:val="auto"/>
                <w:sz w:val="20"/>
                <w:szCs w:val="20"/>
              </w:rPr>
            </w:pPr>
            <w:r w:rsidRPr="00C801A6">
              <w:rPr>
                <w:color w:val="auto"/>
                <w:sz w:val="20"/>
                <w:szCs w:val="20"/>
              </w:rPr>
              <w:t>Vérification</w:t>
            </w:r>
          </w:p>
        </w:tc>
        <w:tc>
          <w:tcPr>
            <w:tcW w:w="1682" w:type="dxa"/>
            <w:tcBorders>
              <w:top w:val="single" w:sz="4" w:space="0" w:color="auto"/>
            </w:tcBorders>
          </w:tcPr>
          <w:p w14:paraId="56FBECB5" w14:textId="77777777" w:rsidR="00064FF0" w:rsidRPr="00C801A6" w:rsidRDefault="00064FF0" w:rsidP="00844538">
            <w:pPr>
              <w:pStyle w:val="ListParagraph"/>
              <w:numPr>
                <w:ilvl w:val="0"/>
                <w:numId w:val="28"/>
              </w:numPr>
              <w:spacing w:before="60" w:line="276" w:lineRule="auto"/>
              <w:ind w:left="142" w:hanging="142"/>
              <w:contextualSpacing w:val="0"/>
              <w:jc w:val="left"/>
              <w:rPr>
                <w:color w:val="auto"/>
                <w:sz w:val="20"/>
                <w:szCs w:val="20"/>
              </w:rPr>
            </w:pPr>
            <w:r w:rsidRPr="00C801A6">
              <w:rPr>
                <w:color w:val="auto"/>
                <w:sz w:val="20"/>
                <w:szCs w:val="20"/>
              </w:rPr>
              <w:t>Entreprise</w:t>
            </w:r>
          </w:p>
          <w:p w14:paraId="19B4BA64" w14:textId="77777777" w:rsidR="00064FF0" w:rsidRPr="00C801A6" w:rsidRDefault="00064FF0" w:rsidP="00844538">
            <w:pPr>
              <w:pStyle w:val="ListParagraph"/>
              <w:numPr>
                <w:ilvl w:val="0"/>
                <w:numId w:val="28"/>
              </w:numPr>
              <w:spacing w:before="60" w:line="276" w:lineRule="auto"/>
              <w:ind w:left="142" w:hanging="142"/>
              <w:contextualSpacing w:val="0"/>
              <w:jc w:val="left"/>
              <w:rPr>
                <w:color w:val="auto"/>
                <w:sz w:val="20"/>
                <w:szCs w:val="20"/>
              </w:rPr>
            </w:pPr>
            <w:r w:rsidRPr="00C801A6">
              <w:rPr>
                <w:color w:val="auto"/>
                <w:sz w:val="20"/>
                <w:szCs w:val="20"/>
              </w:rPr>
              <w:t>MdC</w:t>
            </w:r>
          </w:p>
        </w:tc>
        <w:tc>
          <w:tcPr>
            <w:tcW w:w="1785" w:type="dxa"/>
            <w:tcBorders>
              <w:top w:val="single" w:sz="4" w:space="0" w:color="auto"/>
            </w:tcBorders>
          </w:tcPr>
          <w:p w14:paraId="455F519D" w14:textId="77777777" w:rsidR="00064FF0" w:rsidRPr="00C801A6" w:rsidRDefault="00064FF0" w:rsidP="00844538">
            <w:pPr>
              <w:pStyle w:val="ListParagraph"/>
              <w:numPr>
                <w:ilvl w:val="0"/>
                <w:numId w:val="28"/>
              </w:numPr>
              <w:spacing w:before="60" w:line="276" w:lineRule="auto"/>
              <w:ind w:left="142" w:hanging="142"/>
              <w:contextualSpacing w:val="0"/>
              <w:jc w:val="left"/>
              <w:rPr>
                <w:color w:val="auto"/>
                <w:sz w:val="20"/>
                <w:szCs w:val="20"/>
              </w:rPr>
            </w:pPr>
            <w:r w:rsidRPr="00C801A6">
              <w:rPr>
                <w:color w:val="auto"/>
                <w:sz w:val="20"/>
                <w:szCs w:val="20"/>
              </w:rPr>
              <w:t>Avant repli de chantier</w:t>
            </w:r>
          </w:p>
        </w:tc>
      </w:tr>
    </w:tbl>
    <w:p w14:paraId="23EF948C" w14:textId="77777777" w:rsidR="00064FF0" w:rsidRPr="00C801A6" w:rsidRDefault="00064FF0" w:rsidP="00064FF0">
      <w:pPr>
        <w:rPr>
          <w:color w:val="auto"/>
        </w:rPr>
      </w:pPr>
    </w:p>
    <w:p w14:paraId="39228F68" w14:textId="77777777" w:rsidR="00064FF0" w:rsidRPr="00C801A6" w:rsidRDefault="00064FF0" w:rsidP="00064FF0">
      <w:pPr>
        <w:spacing w:line="259" w:lineRule="auto"/>
        <w:jc w:val="left"/>
        <w:rPr>
          <w:color w:val="auto"/>
        </w:rPr>
      </w:pPr>
      <w:r w:rsidRPr="00C801A6">
        <w:rPr>
          <w:color w:val="auto"/>
        </w:rPr>
        <w:br w:type="page"/>
      </w:r>
    </w:p>
    <w:p w14:paraId="1075EDCF" w14:textId="59B12675" w:rsidR="00D1342C" w:rsidRDefault="00D1342C" w:rsidP="00D1342C">
      <w:pPr>
        <w:pStyle w:val="Caption"/>
        <w:keepNext/>
      </w:pPr>
      <w:bookmarkStart w:id="831" w:name="_Toc230427756"/>
      <w:r>
        <w:lastRenderedPageBreak/>
        <w:t xml:space="preserve">Tableau </w:t>
      </w:r>
      <w:r w:rsidR="00E44887">
        <w:fldChar w:fldCharType="begin"/>
      </w:r>
      <w:r w:rsidR="00E44887">
        <w:instrText xml:space="preserve"> SEQ Tableau \* ARABIC </w:instrText>
      </w:r>
      <w:r w:rsidR="00E44887">
        <w:fldChar w:fldCharType="separate"/>
      </w:r>
      <w:r w:rsidR="00646511">
        <w:rPr>
          <w:noProof/>
        </w:rPr>
        <w:t>36</w:t>
      </w:r>
      <w:r w:rsidR="00E44887">
        <w:rPr>
          <w:noProof/>
        </w:rPr>
        <w:fldChar w:fldCharType="end"/>
      </w:r>
      <w:r>
        <w:t xml:space="preserve"> : PLAN </w:t>
      </w:r>
      <w:r w:rsidRPr="00C801A6">
        <w:rPr>
          <w:color w:val="auto"/>
        </w:rPr>
        <w:t>cadre de surveillance E&amp;S. Cas des sites d’extraction</w:t>
      </w:r>
      <w:bookmarkEnd w:id="831"/>
    </w:p>
    <w:tbl>
      <w:tblPr>
        <w:tblW w:w="15059" w:type="dxa"/>
        <w:tblInd w:w="-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37"/>
        <w:gridCol w:w="2678"/>
        <w:gridCol w:w="3120"/>
        <w:gridCol w:w="222"/>
        <w:gridCol w:w="2291"/>
        <w:gridCol w:w="1183"/>
        <w:gridCol w:w="1127"/>
        <w:gridCol w:w="1901"/>
      </w:tblGrid>
      <w:tr w:rsidR="00C801A6" w:rsidRPr="00C801A6" w14:paraId="103E656B" w14:textId="77777777" w:rsidTr="00646511">
        <w:trPr>
          <w:tblHeader/>
        </w:trPr>
        <w:tc>
          <w:tcPr>
            <w:tcW w:w="0" w:type="auto"/>
            <w:tcBorders>
              <w:top w:val="single" w:sz="4" w:space="0" w:color="auto"/>
              <w:bottom w:val="single" w:sz="4" w:space="0" w:color="auto"/>
            </w:tcBorders>
            <w:shd w:val="clear" w:color="auto" w:fill="E2EFD9" w:themeFill="accent6" w:themeFillTint="33"/>
          </w:tcPr>
          <w:p w14:paraId="3F2C4DFA" w14:textId="77777777" w:rsidR="00064FF0" w:rsidRPr="00C801A6" w:rsidRDefault="00064FF0" w:rsidP="00347FDB">
            <w:pPr>
              <w:spacing w:before="80" w:after="80" w:line="240" w:lineRule="auto"/>
              <w:jc w:val="left"/>
              <w:rPr>
                <w:rFonts w:cs="Times New Roman"/>
                <w:b/>
                <w:color w:val="auto"/>
                <w:sz w:val="20"/>
                <w:szCs w:val="20"/>
              </w:rPr>
            </w:pPr>
            <w:r w:rsidRPr="00C801A6">
              <w:rPr>
                <w:rFonts w:cs="Times New Roman"/>
                <w:b/>
                <w:color w:val="auto"/>
                <w:sz w:val="20"/>
                <w:szCs w:val="20"/>
              </w:rPr>
              <w:t>Sources d’impact</w:t>
            </w:r>
          </w:p>
        </w:tc>
        <w:tc>
          <w:tcPr>
            <w:tcW w:w="0" w:type="auto"/>
            <w:tcBorders>
              <w:top w:val="single" w:sz="4" w:space="0" w:color="auto"/>
              <w:bottom w:val="single" w:sz="4" w:space="0" w:color="auto"/>
            </w:tcBorders>
            <w:shd w:val="clear" w:color="auto" w:fill="E2EFD9" w:themeFill="accent6" w:themeFillTint="33"/>
          </w:tcPr>
          <w:p w14:paraId="21B83608" w14:textId="77777777" w:rsidR="00064FF0" w:rsidRPr="00C801A6" w:rsidRDefault="00064FF0" w:rsidP="00347FDB">
            <w:pPr>
              <w:spacing w:before="80" w:after="80" w:line="240" w:lineRule="auto"/>
              <w:jc w:val="left"/>
              <w:rPr>
                <w:rFonts w:cs="Times New Roman"/>
                <w:b/>
                <w:color w:val="auto"/>
                <w:sz w:val="20"/>
                <w:szCs w:val="20"/>
              </w:rPr>
            </w:pPr>
            <w:r w:rsidRPr="00C801A6">
              <w:rPr>
                <w:rFonts w:cs="Times New Roman"/>
                <w:b/>
                <w:color w:val="auto"/>
                <w:sz w:val="20"/>
                <w:szCs w:val="20"/>
              </w:rPr>
              <w:t>Impacts types</w:t>
            </w:r>
          </w:p>
        </w:tc>
        <w:tc>
          <w:tcPr>
            <w:tcW w:w="0" w:type="auto"/>
            <w:tcBorders>
              <w:top w:val="single" w:sz="4" w:space="0" w:color="auto"/>
              <w:bottom w:val="single" w:sz="4" w:space="0" w:color="auto"/>
            </w:tcBorders>
            <w:shd w:val="clear" w:color="auto" w:fill="E2EFD9" w:themeFill="accent6" w:themeFillTint="33"/>
          </w:tcPr>
          <w:p w14:paraId="32FD8BF3" w14:textId="77777777" w:rsidR="00064FF0" w:rsidRPr="00C801A6" w:rsidRDefault="00064FF0" w:rsidP="00347FDB">
            <w:pPr>
              <w:spacing w:before="80" w:after="80" w:line="240" w:lineRule="auto"/>
              <w:jc w:val="left"/>
              <w:rPr>
                <w:b/>
                <w:color w:val="auto"/>
                <w:sz w:val="20"/>
                <w:szCs w:val="20"/>
              </w:rPr>
            </w:pPr>
            <w:r w:rsidRPr="00C801A6">
              <w:rPr>
                <w:b/>
                <w:color w:val="auto"/>
                <w:sz w:val="20"/>
                <w:szCs w:val="20"/>
              </w:rPr>
              <w:t>Mesures d’atténuation types</w:t>
            </w:r>
          </w:p>
        </w:tc>
        <w:tc>
          <w:tcPr>
            <w:tcW w:w="0" w:type="auto"/>
            <w:tcBorders>
              <w:top w:val="single" w:sz="4" w:space="0" w:color="auto"/>
              <w:bottom w:val="single" w:sz="4" w:space="0" w:color="auto"/>
            </w:tcBorders>
          </w:tcPr>
          <w:p w14:paraId="43EEC836" w14:textId="77777777" w:rsidR="00064FF0" w:rsidRPr="00C801A6" w:rsidRDefault="00064FF0" w:rsidP="00347FDB">
            <w:pPr>
              <w:spacing w:before="80" w:after="80" w:line="240" w:lineRule="auto"/>
              <w:jc w:val="left"/>
              <w:rPr>
                <w:b/>
                <w:color w:val="auto"/>
                <w:sz w:val="20"/>
                <w:szCs w:val="20"/>
              </w:rPr>
            </w:pPr>
          </w:p>
        </w:tc>
        <w:tc>
          <w:tcPr>
            <w:tcW w:w="0" w:type="auto"/>
            <w:tcBorders>
              <w:top w:val="single" w:sz="4" w:space="0" w:color="auto"/>
              <w:bottom w:val="single" w:sz="4" w:space="0" w:color="auto"/>
            </w:tcBorders>
            <w:shd w:val="clear" w:color="auto" w:fill="E2EFD9" w:themeFill="accent6" w:themeFillTint="33"/>
          </w:tcPr>
          <w:p w14:paraId="3A839EC7" w14:textId="77777777" w:rsidR="00064FF0" w:rsidRPr="00C801A6" w:rsidRDefault="00064FF0" w:rsidP="00347FDB">
            <w:pPr>
              <w:spacing w:before="80" w:after="80" w:line="240" w:lineRule="auto"/>
              <w:jc w:val="left"/>
              <w:rPr>
                <w:b/>
                <w:color w:val="auto"/>
                <w:sz w:val="20"/>
                <w:szCs w:val="20"/>
              </w:rPr>
            </w:pPr>
            <w:r w:rsidRPr="00C801A6">
              <w:rPr>
                <w:b/>
                <w:color w:val="auto"/>
                <w:sz w:val="20"/>
                <w:szCs w:val="20"/>
              </w:rPr>
              <w:t>Indicateurs de surveillance</w:t>
            </w:r>
          </w:p>
        </w:tc>
        <w:tc>
          <w:tcPr>
            <w:tcW w:w="0" w:type="auto"/>
            <w:tcBorders>
              <w:top w:val="single" w:sz="4" w:space="0" w:color="auto"/>
              <w:bottom w:val="single" w:sz="4" w:space="0" w:color="auto"/>
            </w:tcBorders>
            <w:shd w:val="clear" w:color="auto" w:fill="E2EFD9" w:themeFill="accent6" w:themeFillTint="33"/>
          </w:tcPr>
          <w:p w14:paraId="666F05FE" w14:textId="77777777" w:rsidR="00064FF0" w:rsidRPr="00C801A6" w:rsidRDefault="00064FF0" w:rsidP="00347FDB">
            <w:pPr>
              <w:spacing w:before="80" w:after="80" w:line="240" w:lineRule="auto"/>
              <w:jc w:val="left"/>
              <w:rPr>
                <w:b/>
                <w:color w:val="auto"/>
                <w:sz w:val="20"/>
                <w:szCs w:val="20"/>
              </w:rPr>
            </w:pPr>
            <w:r w:rsidRPr="00C801A6">
              <w:rPr>
                <w:b/>
                <w:color w:val="auto"/>
                <w:sz w:val="20"/>
                <w:szCs w:val="20"/>
              </w:rPr>
              <w:t>Méthode</w:t>
            </w:r>
          </w:p>
        </w:tc>
        <w:tc>
          <w:tcPr>
            <w:tcW w:w="0" w:type="auto"/>
            <w:tcBorders>
              <w:top w:val="single" w:sz="4" w:space="0" w:color="auto"/>
              <w:bottom w:val="single" w:sz="4" w:space="0" w:color="auto"/>
            </w:tcBorders>
            <w:shd w:val="clear" w:color="auto" w:fill="E2EFD9" w:themeFill="accent6" w:themeFillTint="33"/>
          </w:tcPr>
          <w:p w14:paraId="4C45C8F9" w14:textId="77777777" w:rsidR="00064FF0" w:rsidRPr="00C801A6" w:rsidRDefault="00064FF0" w:rsidP="00347FDB">
            <w:pPr>
              <w:spacing w:before="80" w:after="80" w:line="240" w:lineRule="auto"/>
              <w:jc w:val="left"/>
              <w:rPr>
                <w:b/>
                <w:color w:val="auto"/>
                <w:sz w:val="20"/>
                <w:szCs w:val="20"/>
              </w:rPr>
            </w:pPr>
            <w:r w:rsidRPr="00C801A6">
              <w:rPr>
                <w:b/>
                <w:color w:val="auto"/>
                <w:sz w:val="20"/>
                <w:szCs w:val="20"/>
              </w:rPr>
              <w:t>Mise en œuvre</w:t>
            </w:r>
          </w:p>
        </w:tc>
        <w:tc>
          <w:tcPr>
            <w:tcW w:w="0" w:type="auto"/>
            <w:tcBorders>
              <w:top w:val="single" w:sz="4" w:space="0" w:color="auto"/>
              <w:bottom w:val="single" w:sz="4" w:space="0" w:color="auto"/>
            </w:tcBorders>
            <w:shd w:val="clear" w:color="auto" w:fill="E2EFD9" w:themeFill="accent6" w:themeFillTint="33"/>
          </w:tcPr>
          <w:p w14:paraId="2C3BE149" w14:textId="77777777" w:rsidR="00064FF0" w:rsidRPr="00C801A6" w:rsidRDefault="00064FF0" w:rsidP="00347FDB">
            <w:pPr>
              <w:spacing w:before="80" w:after="80" w:line="240" w:lineRule="auto"/>
              <w:jc w:val="left"/>
              <w:rPr>
                <w:b/>
                <w:color w:val="auto"/>
                <w:sz w:val="20"/>
                <w:szCs w:val="20"/>
              </w:rPr>
            </w:pPr>
            <w:r w:rsidRPr="00C801A6">
              <w:rPr>
                <w:b/>
                <w:color w:val="auto"/>
                <w:sz w:val="20"/>
                <w:szCs w:val="20"/>
              </w:rPr>
              <w:t>Calendrier</w:t>
            </w:r>
          </w:p>
        </w:tc>
      </w:tr>
      <w:tr w:rsidR="004A432A" w:rsidRPr="00C801A6" w14:paraId="1219ADCA" w14:textId="77777777" w:rsidTr="00646511">
        <w:tc>
          <w:tcPr>
            <w:tcW w:w="0" w:type="auto"/>
            <w:gridSpan w:val="3"/>
            <w:tcBorders>
              <w:top w:val="single" w:sz="4" w:space="0" w:color="auto"/>
              <w:left w:val="single" w:sz="4" w:space="0" w:color="auto"/>
              <w:bottom w:val="single" w:sz="4" w:space="0" w:color="auto"/>
              <w:right w:val="nil"/>
            </w:tcBorders>
            <w:shd w:val="clear" w:color="auto" w:fill="F4FC88"/>
            <w:vAlign w:val="center"/>
          </w:tcPr>
          <w:p w14:paraId="44C580AE" w14:textId="77777777" w:rsidR="00064FF0" w:rsidRPr="00C801A6" w:rsidRDefault="00064FF0" w:rsidP="00347FDB">
            <w:pPr>
              <w:spacing w:before="30" w:after="30"/>
              <w:jc w:val="left"/>
              <w:rPr>
                <w:rFonts w:cs="Times New Roman"/>
                <w:b/>
                <w:color w:val="auto"/>
                <w:sz w:val="20"/>
                <w:szCs w:val="20"/>
              </w:rPr>
            </w:pPr>
            <w:r w:rsidRPr="00C801A6">
              <w:rPr>
                <w:rFonts w:cs="Times New Roman"/>
                <w:b/>
                <w:color w:val="auto"/>
                <w:sz w:val="20"/>
                <w:szCs w:val="20"/>
              </w:rPr>
              <w:t>Phase préparatoire et de mise en place des installations</w:t>
            </w:r>
          </w:p>
        </w:tc>
        <w:tc>
          <w:tcPr>
            <w:tcW w:w="0" w:type="auto"/>
            <w:tcBorders>
              <w:top w:val="single" w:sz="4" w:space="0" w:color="auto"/>
              <w:left w:val="nil"/>
              <w:bottom w:val="single" w:sz="4" w:space="0" w:color="auto"/>
              <w:right w:val="nil"/>
            </w:tcBorders>
            <w:shd w:val="clear" w:color="auto" w:fill="F4FC88"/>
          </w:tcPr>
          <w:p w14:paraId="67E65FA3" w14:textId="77777777" w:rsidR="00064FF0" w:rsidRPr="00C801A6" w:rsidRDefault="00064FF0" w:rsidP="00347FDB">
            <w:pPr>
              <w:spacing w:before="30" w:after="30"/>
              <w:jc w:val="left"/>
              <w:rPr>
                <w:rFonts w:cs="Times New Roman"/>
                <w:b/>
                <w:color w:val="auto"/>
                <w:sz w:val="20"/>
                <w:szCs w:val="20"/>
              </w:rPr>
            </w:pPr>
          </w:p>
        </w:tc>
        <w:tc>
          <w:tcPr>
            <w:tcW w:w="0" w:type="auto"/>
            <w:tcBorders>
              <w:top w:val="single" w:sz="4" w:space="0" w:color="auto"/>
              <w:left w:val="nil"/>
              <w:bottom w:val="single" w:sz="4" w:space="0" w:color="auto"/>
              <w:right w:val="nil"/>
            </w:tcBorders>
            <w:shd w:val="clear" w:color="auto" w:fill="F4FC88"/>
          </w:tcPr>
          <w:p w14:paraId="0BEFD48C" w14:textId="77777777" w:rsidR="00064FF0" w:rsidRPr="00C801A6" w:rsidRDefault="00064FF0" w:rsidP="00347FDB">
            <w:pPr>
              <w:spacing w:before="30" w:after="30"/>
              <w:jc w:val="left"/>
              <w:rPr>
                <w:rFonts w:cs="Times New Roman"/>
                <w:b/>
                <w:color w:val="auto"/>
                <w:sz w:val="20"/>
                <w:szCs w:val="20"/>
              </w:rPr>
            </w:pPr>
          </w:p>
        </w:tc>
        <w:tc>
          <w:tcPr>
            <w:tcW w:w="0" w:type="auto"/>
            <w:tcBorders>
              <w:top w:val="single" w:sz="4" w:space="0" w:color="auto"/>
              <w:left w:val="nil"/>
              <w:bottom w:val="single" w:sz="4" w:space="0" w:color="auto"/>
              <w:right w:val="nil"/>
            </w:tcBorders>
            <w:shd w:val="clear" w:color="auto" w:fill="F4FC88"/>
          </w:tcPr>
          <w:p w14:paraId="0AB9BAA8" w14:textId="77777777" w:rsidR="00064FF0" w:rsidRPr="00C801A6" w:rsidRDefault="00064FF0" w:rsidP="00347FDB">
            <w:pPr>
              <w:spacing w:before="30" w:after="30"/>
              <w:jc w:val="left"/>
              <w:rPr>
                <w:rFonts w:cs="Times New Roman"/>
                <w:b/>
                <w:color w:val="auto"/>
                <w:sz w:val="20"/>
                <w:szCs w:val="20"/>
              </w:rPr>
            </w:pPr>
          </w:p>
        </w:tc>
        <w:tc>
          <w:tcPr>
            <w:tcW w:w="0" w:type="auto"/>
            <w:tcBorders>
              <w:top w:val="single" w:sz="4" w:space="0" w:color="auto"/>
              <w:left w:val="nil"/>
              <w:bottom w:val="single" w:sz="4" w:space="0" w:color="auto"/>
              <w:right w:val="nil"/>
            </w:tcBorders>
            <w:shd w:val="clear" w:color="auto" w:fill="F4FC88"/>
          </w:tcPr>
          <w:p w14:paraId="123A7090" w14:textId="77777777" w:rsidR="00064FF0" w:rsidRPr="00C801A6" w:rsidRDefault="00064FF0" w:rsidP="00347FDB">
            <w:pPr>
              <w:spacing w:before="30" w:after="30"/>
              <w:jc w:val="left"/>
              <w:rPr>
                <w:rFonts w:cs="Times New Roman"/>
                <w:b/>
                <w:color w:val="auto"/>
                <w:sz w:val="20"/>
                <w:szCs w:val="20"/>
              </w:rPr>
            </w:pPr>
          </w:p>
        </w:tc>
        <w:tc>
          <w:tcPr>
            <w:tcW w:w="0" w:type="auto"/>
            <w:tcBorders>
              <w:top w:val="single" w:sz="4" w:space="0" w:color="auto"/>
              <w:left w:val="nil"/>
              <w:bottom w:val="single" w:sz="4" w:space="0" w:color="auto"/>
              <w:right w:val="single" w:sz="4" w:space="0" w:color="auto"/>
            </w:tcBorders>
            <w:shd w:val="clear" w:color="auto" w:fill="F4FC88"/>
          </w:tcPr>
          <w:p w14:paraId="66FCFA42" w14:textId="77777777" w:rsidR="00064FF0" w:rsidRPr="00C801A6" w:rsidRDefault="00064FF0" w:rsidP="00347FDB">
            <w:pPr>
              <w:spacing w:before="30" w:after="30"/>
              <w:jc w:val="left"/>
              <w:rPr>
                <w:rFonts w:cs="Times New Roman"/>
                <w:b/>
                <w:color w:val="auto"/>
                <w:sz w:val="20"/>
                <w:szCs w:val="20"/>
              </w:rPr>
            </w:pPr>
          </w:p>
        </w:tc>
      </w:tr>
      <w:tr w:rsidR="00C801A6" w:rsidRPr="00C801A6" w14:paraId="483CE40C" w14:textId="77777777" w:rsidTr="00646511">
        <w:tc>
          <w:tcPr>
            <w:tcW w:w="0" w:type="auto"/>
            <w:vMerge w:val="restart"/>
            <w:tcBorders>
              <w:top w:val="single" w:sz="4" w:space="0" w:color="auto"/>
            </w:tcBorders>
          </w:tcPr>
          <w:p w14:paraId="7E2CE2DD"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Débroussaillage / Décapage</w:t>
            </w:r>
          </w:p>
        </w:tc>
        <w:tc>
          <w:tcPr>
            <w:tcW w:w="0" w:type="auto"/>
            <w:tcBorders>
              <w:top w:val="single" w:sz="4" w:space="0" w:color="auto"/>
            </w:tcBorders>
          </w:tcPr>
          <w:p w14:paraId="1B08393D"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Disparition d’une partie de la couverture végétale</w:t>
            </w:r>
          </w:p>
        </w:tc>
        <w:tc>
          <w:tcPr>
            <w:tcW w:w="0" w:type="auto"/>
            <w:tcBorders>
              <w:top w:val="single" w:sz="4" w:space="0" w:color="auto"/>
              <w:right w:val="single" w:sz="4" w:space="0" w:color="auto"/>
            </w:tcBorders>
          </w:tcPr>
          <w:p w14:paraId="2588A3DE"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Limiter le débroussaillage au strict nécessaire</w:t>
            </w:r>
          </w:p>
        </w:tc>
        <w:tc>
          <w:tcPr>
            <w:tcW w:w="0" w:type="auto"/>
            <w:tcBorders>
              <w:top w:val="single" w:sz="4" w:space="0" w:color="auto"/>
              <w:left w:val="single" w:sz="4" w:space="0" w:color="auto"/>
              <w:bottom w:val="nil"/>
              <w:right w:val="single" w:sz="4" w:space="0" w:color="auto"/>
            </w:tcBorders>
          </w:tcPr>
          <w:p w14:paraId="060332CD" w14:textId="77777777" w:rsidR="00064FF0" w:rsidRPr="00C801A6" w:rsidRDefault="00064FF0" w:rsidP="00347FDB">
            <w:pPr>
              <w:spacing w:before="30" w:after="30"/>
              <w:jc w:val="left"/>
              <w:rPr>
                <w:rFonts w:cs="Times New Roman"/>
                <w:color w:val="auto"/>
                <w:sz w:val="20"/>
                <w:szCs w:val="20"/>
              </w:rPr>
            </w:pPr>
          </w:p>
        </w:tc>
        <w:tc>
          <w:tcPr>
            <w:tcW w:w="0" w:type="auto"/>
            <w:tcBorders>
              <w:top w:val="single" w:sz="4" w:space="0" w:color="auto"/>
              <w:left w:val="single" w:sz="4" w:space="0" w:color="auto"/>
            </w:tcBorders>
          </w:tcPr>
          <w:p w14:paraId="43C089F6"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Plan de nettoiement</w:t>
            </w:r>
          </w:p>
        </w:tc>
        <w:tc>
          <w:tcPr>
            <w:tcW w:w="0" w:type="auto"/>
            <w:tcBorders>
              <w:top w:val="single" w:sz="4" w:space="0" w:color="auto"/>
            </w:tcBorders>
          </w:tcPr>
          <w:p w14:paraId="4C7971A4"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Vérification</w:t>
            </w:r>
          </w:p>
        </w:tc>
        <w:tc>
          <w:tcPr>
            <w:tcW w:w="0" w:type="auto"/>
            <w:tcBorders>
              <w:top w:val="single" w:sz="4" w:space="0" w:color="auto"/>
            </w:tcBorders>
          </w:tcPr>
          <w:p w14:paraId="6A098129"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Entreprise MdC</w:t>
            </w:r>
          </w:p>
        </w:tc>
        <w:tc>
          <w:tcPr>
            <w:tcW w:w="0" w:type="auto"/>
            <w:tcBorders>
              <w:top w:val="single" w:sz="4" w:space="0" w:color="auto"/>
            </w:tcBorders>
          </w:tcPr>
          <w:p w14:paraId="09ACE0E8"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Avant exploitation</w:t>
            </w:r>
          </w:p>
        </w:tc>
      </w:tr>
      <w:tr w:rsidR="00C801A6" w:rsidRPr="00C801A6" w14:paraId="5593DC5E" w14:textId="77777777" w:rsidTr="00646511">
        <w:tc>
          <w:tcPr>
            <w:tcW w:w="0" w:type="auto"/>
            <w:vMerge/>
          </w:tcPr>
          <w:p w14:paraId="630569F0" w14:textId="77777777" w:rsidR="00064FF0" w:rsidRPr="00C801A6" w:rsidRDefault="00064FF0" w:rsidP="00347FDB">
            <w:pPr>
              <w:spacing w:before="30" w:after="30"/>
              <w:jc w:val="left"/>
              <w:rPr>
                <w:rFonts w:cs="Times New Roman"/>
                <w:color w:val="auto"/>
                <w:sz w:val="22"/>
              </w:rPr>
            </w:pPr>
          </w:p>
        </w:tc>
        <w:tc>
          <w:tcPr>
            <w:tcW w:w="0" w:type="auto"/>
          </w:tcPr>
          <w:p w14:paraId="61BE0443"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Risques d’amorce d’érosion</w:t>
            </w:r>
          </w:p>
        </w:tc>
        <w:tc>
          <w:tcPr>
            <w:tcW w:w="0" w:type="auto"/>
            <w:tcBorders>
              <w:right w:val="single" w:sz="4" w:space="0" w:color="auto"/>
            </w:tcBorders>
          </w:tcPr>
          <w:p w14:paraId="51B663A4"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Rétablir la circulation naturelle des eaux de pluie</w:t>
            </w:r>
          </w:p>
        </w:tc>
        <w:tc>
          <w:tcPr>
            <w:tcW w:w="0" w:type="auto"/>
            <w:tcBorders>
              <w:top w:val="nil"/>
              <w:left w:val="single" w:sz="4" w:space="0" w:color="auto"/>
              <w:bottom w:val="nil"/>
              <w:right w:val="single" w:sz="4" w:space="0" w:color="auto"/>
            </w:tcBorders>
          </w:tcPr>
          <w:p w14:paraId="5D197A98" w14:textId="77777777" w:rsidR="00064FF0" w:rsidRPr="00C801A6" w:rsidRDefault="00064FF0" w:rsidP="00347FDB">
            <w:pPr>
              <w:spacing w:before="30" w:after="30"/>
              <w:jc w:val="left"/>
              <w:rPr>
                <w:rFonts w:cs="Times New Roman"/>
                <w:color w:val="auto"/>
                <w:sz w:val="20"/>
                <w:szCs w:val="20"/>
              </w:rPr>
            </w:pPr>
          </w:p>
        </w:tc>
        <w:tc>
          <w:tcPr>
            <w:tcW w:w="0" w:type="auto"/>
            <w:tcBorders>
              <w:left w:val="single" w:sz="4" w:space="0" w:color="auto"/>
            </w:tcBorders>
          </w:tcPr>
          <w:p w14:paraId="35810843"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Plan d’exploitation</w:t>
            </w:r>
          </w:p>
        </w:tc>
        <w:tc>
          <w:tcPr>
            <w:tcW w:w="0" w:type="auto"/>
          </w:tcPr>
          <w:p w14:paraId="3226D386"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Vérification</w:t>
            </w:r>
          </w:p>
        </w:tc>
        <w:tc>
          <w:tcPr>
            <w:tcW w:w="0" w:type="auto"/>
          </w:tcPr>
          <w:p w14:paraId="168D85B6"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Entreprise MdC</w:t>
            </w:r>
          </w:p>
        </w:tc>
        <w:tc>
          <w:tcPr>
            <w:tcW w:w="0" w:type="auto"/>
          </w:tcPr>
          <w:p w14:paraId="4E4F5C47"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Avant exploitation</w:t>
            </w:r>
          </w:p>
        </w:tc>
      </w:tr>
      <w:tr w:rsidR="00C801A6" w:rsidRPr="00C801A6" w14:paraId="239469E9" w14:textId="77777777" w:rsidTr="00646511">
        <w:tc>
          <w:tcPr>
            <w:tcW w:w="0" w:type="auto"/>
          </w:tcPr>
          <w:p w14:paraId="2479F46B"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Travaux préparatoires et de construction</w:t>
            </w:r>
          </w:p>
        </w:tc>
        <w:tc>
          <w:tcPr>
            <w:tcW w:w="0" w:type="auto"/>
          </w:tcPr>
          <w:p w14:paraId="75A2606B"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Emissions de bruits et de poussières</w:t>
            </w:r>
          </w:p>
        </w:tc>
        <w:tc>
          <w:tcPr>
            <w:tcW w:w="0" w:type="auto"/>
            <w:tcBorders>
              <w:right w:val="single" w:sz="4" w:space="0" w:color="auto"/>
            </w:tcBorders>
          </w:tcPr>
          <w:p w14:paraId="7159E7DF"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Doter les ouvriers d’EPI appropriés</w:t>
            </w:r>
          </w:p>
        </w:tc>
        <w:tc>
          <w:tcPr>
            <w:tcW w:w="0" w:type="auto"/>
            <w:tcBorders>
              <w:top w:val="nil"/>
              <w:left w:val="single" w:sz="4" w:space="0" w:color="auto"/>
              <w:bottom w:val="nil"/>
              <w:right w:val="single" w:sz="4" w:space="0" w:color="auto"/>
            </w:tcBorders>
          </w:tcPr>
          <w:p w14:paraId="212151B8" w14:textId="77777777" w:rsidR="00064FF0" w:rsidRPr="00C801A6" w:rsidRDefault="00064FF0" w:rsidP="00347FDB">
            <w:pPr>
              <w:spacing w:before="30" w:after="30"/>
              <w:jc w:val="left"/>
              <w:rPr>
                <w:rFonts w:cs="Times New Roman"/>
                <w:color w:val="auto"/>
                <w:sz w:val="20"/>
                <w:szCs w:val="20"/>
              </w:rPr>
            </w:pPr>
          </w:p>
        </w:tc>
        <w:tc>
          <w:tcPr>
            <w:tcW w:w="0" w:type="auto"/>
            <w:tcBorders>
              <w:left w:val="single" w:sz="4" w:space="0" w:color="auto"/>
            </w:tcBorders>
          </w:tcPr>
          <w:p w14:paraId="1648D57D"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Registre des EPI</w:t>
            </w:r>
          </w:p>
        </w:tc>
        <w:tc>
          <w:tcPr>
            <w:tcW w:w="0" w:type="auto"/>
          </w:tcPr>
          <w:p w14:paraId="0332E77E"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Vérification</w:t>
            </w:r>
          </w:p>
        </w:tc>
        <w:tc>
          <w:tcPr>
            <w:tcW w:w="0" w:type="auto"/>
          </w:tcPr>
          <w:p w14:paraId="52E78066"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Entreprise MdC</w:t>
            </w:r>
          </w:p>
        </w:tc>
        <w:tc>
          <w:tcPr>
            <w:tcW w:w="0" w:type="auto"/>
          </w:tcPr>
          <w:p w14:paraId="1635A8AB"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Avant exploitation</w:t>
            </w:r>
          </w:p>
        </w:tc>
      </w:tr>
      <w:tr w:rsidR="00C801A6" w:rsidRPr="00C801A6" w14:paraId="18427530" w14:textId="77777777" w:rsidTr="00646511">
        <w:tc>
          <w:tcPr>
            <w:tcW w:w="0" w:type="auto"/>
          </w:tcPr>
          <w:p w14:paraId="0FAFD58E"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Terrassements</w:t>
            </w:r>
          </w:p>
        </w:tc>
        <w:tc>
          <w:tcPr>
            <w:tcW w:w="0" w:type="auto"/>
          </w:tcPr>
          <w:p w14:paraId="67A06E1E"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Augmentation de la compacité du sol et réduction subséquente de l’infiltration de l’eau</w:t>
            </w:r>
          </w:p>
        </w:tc>
        <w:tc>
          <w:tcPr>
            <w:tcW w:w="0" w:type="auto"/>
            <w:tcBorders>
              <w:right w:val="single" w:sz="4" w:space="0" w:color="auto"/>
            </w:tcBorders>
          </w:tcPr>
          <w:p w14:paraId="10AD6452"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Embroussailler la plateforme après exploitation pour augmenter progressivement la capacité d’infiltration</w:t>
            </w:r>
          </w:p>
        </w:tc>
        <w:tc>
          <w:tcPr>
            <w:tcW w:w="0" w:type="auto"/>
            <w:tcBorders>
              <w:top w:val="nil"/>
              <w:left w:val="single" w:sz="4" w:space="0" w:color="auto"/>
              <w:bottom w:val="nil"/>
              <w:right w:val="single" w:sz="4" w:space="0" w:color="auto"/>
            </w:tcBorders>
          </w:tcPr>
          <w:p w14:paraId="66EE5516" w14:textId="77777777" w:rsidR="00064FF0" w:rsidRPr="00C801A6" w:rsidRDefault="00064FF0" w:rsidP="00347FDB">
            <w:pPr>
              <w:spacing w:before="30" w:after="30"/>
              <w:jc w:val="left"/>
              <w:rPr>
                <w:rFonts w:cs="Times New Roman"/>
                <w:color w:val="auto"/>
                <w:sz w:val="20"/>
                <w:szCs w:val="20"/>
              </w:rPr>
            </w:pPr>
          </w:p>
        </w:tc>
        <w:tc>
          <w:tcPr>
            <w:tcW w:w="0" w:type="auto"/>
            <w:tcBorders>
              <w:left w:val="single" w:sz="4" w:space="0" w:color="auto"/>
            </w:tcBorders>
          </w:tcPr>
          <w:p w14:paraId="604308C7"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Plan de fermeture du site</w:t>
            </w:r>
          </w:p>
        </w:tc>
        <w:tc>
          <w:tcPr>
            <w:tcW w:w="0" w:type="auto"/>
          </w:tcPr>
          <w:p w14:paraId="06B4A7B1"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Vérification</w:t>
            </w:r>
          </w:p>
        </w:tc>
        <w:tc>
          <w:tcPr>
            <w:tcW w:w="0" w:type="auto"/>
          </w:tcPr>
          <w:p w14:paraId="5B91EC45"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Entreprise MdC</w:t>
            </w:r>
          </w:p>
        </w:tc>
        <w:tc>
          <w:tcPr>
            <w:tcW w:w="0" w:type="auto"/>
          </w:tcPr>
          <w:p w14:paraId="0821EB09"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Avant fermeture</w:t>
            </w:r>
          </w:p>
        </w:tc>
      </w:tr>
      <w:tr w:rsidR="00C801A6" w:rsidRPr="00C801A6" w14:paraId="027066BC" w14:textId="77777777" w:rsidTr="00646511">
        <w:tc>
          <w:tcPr>
            <w:tcW w:w="0" w:type="auto"/>
            <w:vMerge w:val="restart"/>
          </w:tcPr>
          <w:p w14:paraId="48967FC3"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Amélioration des voies d’accès : déblais (purge des bourbiers) et remblais / déblais</w:t>
            </w:r>
          </w:p>
        </w:tc>
        <w:tc>
          <w:tcPr>
            <w:tcW w:w="0" w:type="auto"/>
          </w:tcPr>
          <w:p w14:paraId="50B04710"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Risques de modification de l’écoulement naturel des eaux</w:t>
            </w:r>
          </w:p>
        </w:tc>
        <w:tc>
          <w:tcPr>
            <w:tcW w:w="0" w:type="auto"/>
            <w:tcBorders>
              <w:right w:val="single" w:sz="4" w:space="0" w:color="auto"/>
            </w:tcBorders>
          </w:tcPr>
          <w:p w14:paraId="15A307E2"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Aménager des fossés latéraux pour l’évacuation des eaux de pluie</w:t>
            </w:r>
          </w:p>
        </w:tc>
        <w:tc>
          <w:tcPr>
            <w:tcW w:w="0" w:type="auto"/>
            <w:tcBorders>
              <w:top w:val="nil"/>
              <w:left w:val="single" w:sz="4" w:space="0" w:color="auto"/>
              <w:bottom w:val="nil"/>
              <w:right w:val="single" w:sz="4" w:space="0" w:color="auto"/>
            </w:tcBorders>
          </w:tcPr>
          <w:p w14:paraId="2A721F20" w14:textId="77777777" w:rsidR="00064FF0" w:rsidRPr="00C801A6" w:rsidRDefault="00064FF0" w:rsidP="00347FDB">
            <w:pPr>
              <w:spacing w:before="30" w:after="30"/>
              <w:jc w:val="left"/>
              <w:rPr>
                <w:rFonts w:cs="Times New Roman"/>
                <w:color w:val="auto"/>
                <w:sz w:val="20"/>
                <w:szCs w:val="20"/>
              </w:rPr>
            </w:pPr>
          </w:p>
        </w:tc>
        <w:tc>
          <w:tcPr>
            <w:tcW w:w="0" w:type="auto"/>
            <w:tcBorders>
              <w:left w:val="single" w:sz="4" w:space="0" w:color="auto"/>
            </w:tcBorders>
          </w:tcPr>
          <w:p w14:paraId="7720E70A"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Plan d’amélioration des voies d’accès</w:t>
            </w:r>
          </w:p>
        </w:tc>
        <w:tc>
          <w:tcPr>
            <w:tcW w:w="0" w:type="auto"/>
          </w:tcPr>
          <w:p w14:paraId="444C515C"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Vérification</w:t>
            </w:r>
          </w:p>
        </w:tc>
        <w:tc>
          <w:tcPr>
            <w:tcW w:w="0" w:type="auto"/>
          </w:tcPr>
          <w:p w14:paraId="3EDA1176"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Entreprise MdC</w:t>
            </w:r>
          </w:p>
        </w:tc>
        <w:tc>
          <w:tcPr>
            <w:tcW w:w="0" w:type="auto"/>
          </w:tcPr>
          <w:p w14:paraId="4EDCA9F1"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Avant exploitation</w:t>
            </w:r>
          </w:p>
        </w:tc>
      </w:tr>
      <w:tr w:rsidR="00C801A6" w:rsidRPr="00C801A6" w14:paraId="0B817A88" w14:textId="77777777" w:rsidTr="00646511">
        <w:tc>
          <w:tcPr>
            <w:tcW w:w="0" w:type="auto"/>
            <w:vMerge/>
          </w:tcPr>
          <w:p w14:paraId="2D21E828" w14:textId="77777777" w:rsidR="00064FF0" w:rsidRPr="00C801A6" w:rsidRDefault="00064FF0" w:rsidP="00347FDB">
            <w:pPr>
              <w:spacing w:before="30" w:after="30"/>
              <w:jc w:val="left"/>
              <w:rPr>
                <w:rFonts w:cs="Times New Roman"/>
                <w:color w:val="auto"/>
                <w:sz w:val="22"/>
              </w:rPr>
            </w:pPr>
          </w:p>
        </w:tc>
        <w:tc>
          <w:tcPr>
            <w:tcW w:w="0" w:type="auto"/>
          </w:tcPr>
          <w:p w14:paraId="08D4004F"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Stabilité des talus</w:t>
            </w:r>
          </w:p>
        </w:tc>
        <w:tc>
          <w:tcPr>
            <w:tcW w:w="0" w:type="auto"/>
            <w:tcBorders>
              <w:right w:val="single" w:sz="4" w:space="0" w:color="auto"/>
            </w:tcBorders>
          </w:tcPr>
          <w:p w14:paraId="481C7C8A"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Stabiliser mécaniquement ou biologiquement les talus</w:t>
            </w:r>
          </w:p>
        </w:tc>
        <w:tc>
          <w:tcPr>
            <w:tcW w:w="0" w:type="auto"/>
            <w:tcBorders>
              <w:top w:val="nil"/>
              <w:left w:val="single" w:sz="4" w:space="0" w:color="auto"/>
              <w:bottom w:val="nil"/>
              <w:right w:val="single" w:sz="4" w:space="0" w:color="auto"/>
            </w:tcBorders>
          </w:tcPr>
          <w:p w14:paraId="07E28990" w14:textId="77777777" w:rsidR="00064FF0" w:rsidRPr="00C801A6" w:rsidRDefault="00064FF0" w:rsidP="00347FDB">
            <w:pPr>
              <w:spacing w:before="30" w:after="30"/>
              <w:jc w:val="left"/>
              <w:rPr>
                <w:rFonts w:cs="Times New Roman"/>
                <w:color w:val="auto"/>
                <w:sz w:val="20"/>
                <w:szCs w:val="20"/>
              </w:rPr>
            </w:pPr>
          </w:p>
        </w:tc>
        <w:tc>
          <w:tcPr>
            <w:tcW w:w="0" w:type="auto"/>
            <w:tcBorders>
              <w:left w:val="single" w:sz="4" w:space="0" w:color="auto"/>
            </w:tcBorders>
          </w:tcPr>
          <w:p w14:paraId="18C3FB1C"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Plan de stabilisation des talus</w:t>
            </w:r>
          </w:p>
        </w:tc>
        <w:tc>
          <w:tcPr>
            <w:tcW w:w="0" w:type="auto"/>
          </w:tcPr>
          <w:p w14:paraId="31851194"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Vérification</w:t>
            </w:r>
          </w:p>
        </w:tc>
        <w:tc>
          <w:tcPr>
            <w:tcW w:w="0" w:type="auto"/>
          </w:tcPr>
          <w:p w14:paraId="59001B47"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Entreprise MdC</w:t>
            </w:r>
          </w:p>
        </w:tc>
        <w:tc>
          <w:tcPr>
            <w:tcW w:w="0" w:type="auto"/>
          </w:tcPr>
          <w:p w14:paraId="74235BB1"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Au moment de l’exploitation</w:t>
            </w:r>
          </w:p>
        </w:tc>
      </w:tr>
      <w:tr w:rsidR="00C801A6" w:rsidRPr="00C801A6" w14:paraId="14B9F9C5" w14:textId="77777777" w:rsidTr="00646511">
        <w:tc>
          <w:tcPr>
            <w:tcW w:w="0" w:type="auto"/>
            <w:vMerge w:val="restart"/>
          </w:tcPr>
          <w:p w14:paraId="0146762C"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Stockage de gazole</w:t>
            </w:r>
          </w:p>
        </w:tc>
        <w:tc>
          <w:tcPr>
            <w:tcW w:w="0" w:type="auto"/>
          </w:tcPr>
          <w:p w14:paraId="07302365"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Risques de fuites ou de déversements accidentels d’hydrocarbures et pollution subséquente</w:t>
            </w:r>
          </w:p>
        </w:tc>
        <w:tc>
          <w:tcPr>
            <w:tcW w:w="0" w:type="auto"/>
            <w:tcBorders>
              <w:right w:val="single" w:sz="4" w:space="0" w:color="auto"/>
            </w:tcBorders>
          </w:tcPr>
          <w:p w14:paraId="5CCA9004"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Stocker le gazole sur une aire imperméabilisée ou sur bâche</w:t>
            </w:r>
          </w:p>
        </w:tc>
        <w:tc>
          <w:tcPr>
            <w:tcW w:w="0" w:type="auto"/>
            <w:tcBorders>
              <w:top w:val="nil"/>
              <w:left w:val="single" w:sz="4" w:space="0" w:color="auto"/>
              <w:bottom w:val="nil"/>
              <w:right w:val="single" w:sz="4" w:space="0" w:color="auto"/>
            </w:tcBorders>
          </w:tcPr>
          <w:p w14:paraId="6203C2E1" w14:textId="77777777" w:rsidR="00064FF0" w:rsidRPr="00C801A6" w:rsidRDefault="00064FF0" w:rsidP="00347FDB">
            <w:pPr>
              <w:spacing w:before="30" w:after="30"/>
              <w:jc w:val="left"/>
              <w:rPr>
                <w:rFonts w:cs="Times New Roman"/>
                <w:color w:val="auto"/>
                <w:sz w:val="20"/>
                <w:szCs w:val="20"/>
              </w:rPr>
            </w:pPr>
          </w:p>
        </w:tc>
        <w:tc>
          <w:tcPr>
            <w:tcW w:w="0" w:type="auto"/>
            <w:tcBorders>
              <w:left w:val="single" w:sz="4" w:space="0" w:color="auto"/>
            </w:tcBorders>
          </w:tcPr>
          <w:p w14:paraId="45581697"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Plan du site du site de stockage</w:t>
            </w:r>
          </w:p>
        </w:tc>
        <w:tc>
          <w:tcPr>
            <w:tcW w:w="0" w:type="auto"/>
          </w:tcPr>
          <w:p w14:paraId="5F678B6D"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Vérification</w:t>
            </w:r>
          </w:p>
        </w:tc>
        <w:tc>
          <w:tcPr>
            <w:tcW w:w="0" w:type="auto"/>
          </w:tcPr>
          <w:p w14:paraId="225CB602"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Entreprise MdC</w:t>
            </w:r>
          </w:p>
        </w:tc>
        <w:tc>
          <w:tcPr>
            <w:tcW w:w="0" w:type="auto"/>
          </w:tcPr>
          <w:p w14:paraId="59BF234C"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Au moment de l’exploitation</w:t>
            </w:r>
          </w:p>
        </w:tc>
      </w:tr>
      <w:tr w:rsidR="00C801A6" w:rsidRPr="00C801A6" w14:paraId="1A35AE96" w14:textId="77777777" w:rsidTr="00646511">
        <w:tc>
          <w:tcPr>
            <w:tcW w:w="0" w:type="auto"/>
            <w:vMerge/>
          </w:tcPr>
          <w:p w14:paraId="3DAFC844" w14:textId="77777777" w:rsidR="00064FF0" w:rsidRPr="00C801A6" w:rsidRDefault="00064FF0" w:rsidP="00347FDB">
            <w:pPr>
              <w:spacing w:before="30" w:after="30"/>
              <w:jc w:val="left"/>
              <w:rPr>
                <w:rFonts w:cs="Times New Roman"/>
                <w:color w:val="auto"/>
                <w:sz w:val="22"/>
              </w:rPr>
            </w:pPr>
          </w:p>
        </w:tc>
        <w:tc>
          <w:tcPr>
            <w:tcW w:w="0" w:type="auto"/>
          </w:tcPr>
          <w:p w14:paraId="1BA2C068"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Risques d’incendie</w:t>
            </w:r>
          </w:p>
        </w:tc>
        <w:tc>
          <w:tcPr>
            <w:tcW w:w="0" w:type="auto"/>
            <w:tcBorders>
              <w:right w:val="single" w:sz="4" w:space="0" w:color="auto"/>
            </w:tcBorders>
          </w:tcPr>
          <w:p w14:paraId="4DBC183E"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Sécuriser le site de stockage</w:t>
            </w:r>
          </w:p>
        </w:tc>
        <w:tc>
          <w:tcPr>
            <w:tcW w:w="0" w:type="auto"/>
            <w:tcBorders>
              <w:top w:val="nil"/>
              <w:left w:val="single" w:sz="4" w:space="0" w:color="auto"/>
              <w:bottom w:val="nil"/>
              <w:right w:val="single" w:sz="4" w:space="0" w:color="auto"/>
            </w:tcBorders>
          </w:tcPr>
          <w:p w14:paraId="43FAE0C9" w14:textId="77777777" w:rsidR="00064FF0" w:rsidRPr="00C801A6" w:rsidRDefault="00064FF0" w:rsidP="00347FDB">
            <w:pPr>
              <w:spacing w:before="30" w:after="30"/>
              <w:jc w:val="left"/>
              <w:rPr>
                <w:rFonts w:cs="Times New Roman"/>
                <w:color w:val="auto"/>
                <w:sz w:val="20"/>
                <w:szCs w:val="20"/>
              </w:rPr>
            </w:pPr>
          </w:p>
        </w:tc>
        <w:tc>
          <w:tcPr>
            <w:tcW w:w="0" w:type="auto"/>
            <w:tcBorders>
              <w:left w:val="single" w:sz="4" w:space="0" w:color="auto"/>
            </w:tcBorders>
          </w:tcPr>
          <w:p w14:paraId="0A8E45D5"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Plan du site du site de stockage</w:t>
            </w:r>
          </w:p>
        </w:tc>
        <w:tc>
          <w:tcPr>
            <w:tcW w:w="0" w:type="auto"/>
          </w:tcPr>
          <w:p w14:paraId="0F19A272"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Vérification</w:t>
            </w:r>
          </w:p>
        </w:tc>
        <w:tc>
          <w:tcPr>
            <w:tcW w:w="0" w:type="auto"/>
          </w:tcPr>
          <w:p w14:paraId="6579AD61"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Entreprise MdC</w:t>
            </w:r>
          </w:p>
        </w:tc>
        <w:tc>
          <w:tcPr>
            <w:tcW w:w="0" w:type="auto"/>
          </w:tcPr>
          <w:p w14:paraId="07FD4466"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Au moment de l’exploitation</w:t>
            </w:r>
          </w:p>
        </w:tc>
      </w:tr>
      <w:tr w:rsidR="00C801A6" w:rsidRPr="00C801A6" w14:paraId="7AB14289" w14:textId="77777777" w:rsidTr="00646511">
        <w:tc>
          <w:tcPr>
            <w:tcW w:w="0" w:type="auto"/>
            <w:tcBorders>
              <w:bottom w:val="single" w:sz="4" w:space="0" w:color="auto"/>
            </w:tcBorders>
          </w:tcPr>
          <w:p w14:paraId="18776671"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Transport et circulation</w:t>
            </w:r>
          </w:p>
        </w:tc>
        <w:tc>
          <w:tcPr>
            <w:tcW w:w="0" w:type="auto"/>
            <w:tcBorders>
              <w:bottom w:val="single" w:sz="4" w:space="0" w:color="auto"/>
            </w:tcBorders>
          </w:tcPr>
          <w:p w14:paraId="37A1CE80"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Risques d’accidents</w:t>
            </w:r>
          </w:p>
        </w:tc>
        <w:tc>
          <w:tcPr>
            <w:tcW w:w="0" w:type="auto"/>
            <w:tcBorders>
              <w:bottom w:val="single" w:sz="4" w:space="0" w:color="auto"/>
              <w:right w:val="single" w:sz="4" w:space="0" w:color="auto"/>
            </w:tcBorders>
          </w:tcPr>
          <w:p w14:paraId="1F7D74ED" w14:textId="77777777" w:rsidR="00064FF0" w:rsidRDefault="00064FF0" w:rsidP="00347FDB">
            <w:pPr>
              <w:spacing w:before="30" w:after="30"/>
              <w:jc w:val="left"/>
              <w:rPr>
                <w:rFonts w:cs="Times New Roman"/>
                <w:color w:val="auto"/>
                <w:sz w:val="20"/>
                <w:szCs w:val="20"/>
              </w:rPr>
            </w:pPr>
            <w:r w:rsidRPr="00C801A6">
              <w:rPr>
                <w:rFonts w:cs="Times New Roman"/>
                <w:color w:val="auto"/>
                <w:sz w:val="20"/>
                <w:szCs w:val="20"/>
              </w:rPr>
              <w:t>Concevoir et mettre en œuvre un Plan de circulation des véhicules</w:t>
            </w:r>
          </w:p>
          <w:p w14:paraId="0B75BFBA" w14:textId="77777777" w:rsidR="00D1342C" w:rsidRDefault="00D1342C" w:rsidP="00347FDB">
            <w:pPr>
              <w:spacing w:before="30" w:after="30"/>
              <w:jc w:val="left"/>
              <w:rPr>
                <w:rFonts w:cs="Times New Roman"/>
                <w:color w:val="auto"/>
                <w:sz w:val="20"/>
                <w:szCs w:val="20"/>
              </w:rPr>
            </w:pPr>
          </w:p>
          <w:p w14:paraId="557BC8FC" w14:textId="2AFB72F4" w:rsidR="00D1342C" w:rsidRPr="00C801A6" w:rsidRDefault="00D1342C" w:rsidP="00347FDB">
            <w:pPr>
              <w:spacing w:before="30" w:after="30"/>
              <w:jc w:val="left"/>
              <w:rPr>
                <w:rFonts w:cs="Times New Roman"/>
                <w:color w:val="auto"/>
                <w:sz w:val="20"/>
                <w:szCs w:val="20"/>
              </w:rPr>
            </w:pPr>
          </w:p>
        </w:tc>
        <w:tc>
          <w:tcPr>
            <w:tcW w:w="0" w:type="auto"/>
            <w:tcBorders>
              <w:top w:val="nil"/>
              <w:left w:val="single" w:sz="4" w:space="0" w:color="auto"/>
              <w:bottom w:val="single" w:sz="4" w:space="0" w:color="auto"/>
              <w:right w:val="single" w:sz="4" w:space="0" w:color="auto"/>
            </w:tcBorders>
          </w:tcPr>
          <w:p w14:paraId="08DA4624" w14:textId="77777777" w:rsidR="00064FF0" w:rsidRPr="00C801A6" w:rsidRDefault="00064FF0" w:rsidP="00347FDB">
            <w:pPr>
              <w:spacing w:before="30" w:after="30"/>
              <w:jc w:val="left"/>
              <w:rPr>
                <w:rFonts w:cs="Times New Roman"/>
                <w:color w:val="auto"/>
                <w:sz w:val="20"/>
                <w:szCs w:val="20"/>
              </w:rPr>
            </w:pPr>
          </w:p>
        </w:tc>
        <w:tc>
          <w:tcPr>
            <w:tcW w:w="0" w:type="auto"/>
            <w:tcBorders>
              <w:left w:val="single" w:sz="4" w:space="0" w:color="auto"/>
              <w:bottom w:val="single" w:sz="4" w:space="0" w:color="auto"/>
            </w:tcBorders>
          </w:tcPr>
          <w:p w14:paraId="38C17758"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Plan de circulation affiché</w:t>
            </w:r>
          </w:p>
        </w:tc>
        <w:tc>
          <w:tcPr>
            <w:tcW w:w="0" w:type="auto"/>
            <w:tcBorders>
              <w:bottom w:val="single" w:sz="4" w:space="0" w:color="auto"/>
            </w:tcBorders>
          </w:tcPr>
          <w:p w14:paraId="710C4182"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Vérification</w:t>
            </w:r>
          </w:p>
        </w:tc>
        <w:tc>
          <w:tcPr>
            <w:tcW w:w="0" w:type="auto"/>
            <w:tcBorders>
              <w:bottom w:val="single" w:sz="4" w:space="0" w:color="auto"/>
            </w:tcBorders>
          </w:tcPr>
          <w:p w14:paraId="7E3A108F"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Entreprise MdC</w:t>
            </w:r>
          </w:p>
        </w:tc>
        <w:tc>
          <w:tcPr>
            <w:tcW w:w="0" w:type="auto"/>
            <w:tcBorders>
              <w:bottom w:val="single" w:sz="4" w:space="0" w:color="auto"/>
            </w:tcBorders>
          </w:tcPr>
          <w:p w14:paraId="149A335D"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Avant exploitation</w:t>
            </w:r>
          </w:p>
        </w:tc>
      </w:tr>
      <w:tr w:rsidR="004A432A" w:rsidRPr="00C801A6" w14:paraId="758C7A45" w14:textId="77777777" w:rsidTr="00646511">
        <w:tc>
          <w:tcPr>
            <w:tcW w:w="0" w:type="auto"/>
            <w:gridSpan w:val="2"/>
            <w:tcBorders>
              <w:top w:val="single" w:sz="4" w:space="0" w:color="auto"/>
              <w:left w:val="single" w:sz="4" w:space="0" w:color="auto"/>
              <w:bottom w:val="single" w:sz="4" w:space="0" w:color="auto"/>
              <w:right w:val="nil"/>
            </w:tcBorders>
            <w:shd w:val="clear" w:color="auto" w:fill="F4FC88"/>
            <w:vAlign w:val="center"/>
          </w:tcPr>
          <w:p w14:paraId="7D52741B" w14:textId="77777777" w:rsidR="00064FF0" w:rsidRPr="00C801A6" w:rsidRDefault="00064FF0" w:rsidP="00347FDB">
            <w:pPr>
              <w:spacing w:before="30" w:after="30"/>
              <w:jc w:val="left"/>
              <w:rPr>
                <w:rFonts w:cs="Times New Roman"/>
                <w:b/>
                <w:color w:val="auto"/>
                <w:sz w:val="20"/>
                <w:szCs w:val="20"/>
              </w:rPr>
            </w:pPr>
            <w:r w:rsidRPr="00C801A6">
              <w:rPr>
                <w:rFonts w:cs="Times New Roman"/>
                <w:b/>
                <w:color w:val="auto"/>
                <w:sz w:val="20"/>
                <w:szCs w:val="20"/>
              </w:rPr>
              <w:t>Phase d’exploitation</w:t>
            </w:r>
          </w:p>
        </w:tc>
        <w:tc>
          <w:tcPr>
            <w:tcW w:w="0" w:type="auto"/>
            <w:tcBorders>
              <w:top w:val="single" w:sz="4" w:space="0" w:color="auto"/>
              <w:left w:val="nil"/>
              <w:bottom w:val="single" w:sz="4" w:space="0" w:color="auto"/>
              <w:right w:val="nil"/>
            </w:tcBorders>
            <w:shd w:val="clear" w:color="auto" w:fill="F4FC88"/>
          </w:tcPr>
          <w:p w14:paraId="5F3D3734" w14:textId="77777777" w:rsidR="00064FF0" w:rsidRPr="00C801A6" w:rsidRDefault="00064FF0" w:rsidP="00347FDB">
            <w:pPr>
              <w:spacing w:before="30" w:after="30"/>
              <w:jc w:val="left"/>
              <w:rPr>
                <w:rFonts w:cs="Times New Roman"/>
                <w:b/>
                <w:color w:val="auto"/>
                <w:sz w:val="20"/>
                <w:szCs w:val="20"/>
              </w:rPr>
            </w:pPr>
          </w:p>
        </w:tc>
        <w:tc>
          <w:tcPr>
            <w:tcW w:w="0" w:type="auto"/>
            <w:tcBorders>
              <w:top w:val="single" w:sz="4" w:space="0" w:color="auto"/>
              <w:left w:val="nil"/>
              <w:bottom w:val="single" w:sz="4" w:space="0" w:color="auto"/>
              <w:right w:val="nil"/>
            </w:tcBorders>
            <w:shd w:val="clear" w:color="auto" w:fill="F4FC88"/>
          </w:tcPr>
          <w:p w14:paraId="4A7BA86C" w14:textId="77777777" w:rsidR="00064FF0" w:rsidRPr="00C801A6" w:rsidRDefault="00064FF0" w:rsidP="00347FDB">
            <w:pPr>
              <w:spacing w:before="30" w:after="30"/>
              <w:jc w:val="left"/>
              <w:rPr>
                <w:rFonts w:cs="Times New Roman"/>
                <w:b/>
                <w:color w:val="auto"/>
                <w:sz w:val="20"/>
                <w:szCs w:val="20"/>
              </w:rPr>
            </w:pPr>
          </w:p>
        </w:tc>
        <w:tc>
          <w:tcPr>
            <w:tcW w:w="0" w:type="auto"/>
            <w:tcBorders>
              <w:top w:val="single" w:sz="4" w:space="0" w:color="auto"/>
              <w:left w:val="nil"/>
              <w:bottom w:val="single" w:sz="4" w:space="0" w:color="auto"/>
              <w:right w:val="nil"/>
            </w:tcBorders>
            <w:shd w:val="clear" w:color="auto" w:fill="F4FC88"/>
          </w:tcPr>
          <w:p w14:paraId="04F90B9C" w14:textId="77777777" w:rsidR="00064FF0" w:rsidRPr="00C801A6" w:rsidRDefault="00064FF0" w:rsidP="00347FDB">
            <w:pPr>
              <w:spacing w:before="30" w:after="30"/>
              <w:jc w:val="left"/>
              <w:rPr>
                <w:rFonts w:cs="Times New Roman"/>
                <w:b/>
                <w:color w:val="auto"/>
                <w:sz w:val="20"/>
                <w:szCs w:val="20"/>
              </w:rPr>
            </w:pPr>
          </w:p>
        </w:tc>
        <w:tc>
          <w:tcPr>
            <w:tcW w:w="0" w:type="auto"/>
            <w:tcBorders>
              <w:top w:val="single" w:sz="4" w:space="0" w:color="auto"/>
              <w:left w:val="nil"/>
              <w:bottom w:val="single" w:sz="4" w:space="0" w:color="auto"/>
              <w:right w:val="nil"/>
            </w:tcBorders>
            <w:shd w:val="clear" w:color="auto" w:fill="F4FC88"/>
          </w:tcPr>
          <w:p w14:paraId="613F0103" w14:textId="77777777" w:rsidR="00064FF0" w:rsidRPr="00C801A6" w:rsidRDefault="00064FF0" w:rsidP="00347FDB">
            <w:pPr>
              <w:spacing w:before="30" w:after="30"/>
              <w:jc w:val="left"/>
              <w:rPr>
                <w:rFonts w:cs="Times New Roman"/>
                <w:b/>
                <w:color w:val="auto"/>
                <w:sz w:val="20"/>
                <w:szCs w:val="20"/>
              </w:rPr>
            </w:pPr>
          </w:p>
        </w:tc>
        <w:tc>
          <w:tcPr>
            <w:tcW w:w="0" w:type="auto"/>
            <w:tcBorders>
              <w:top w:val="single" w:sz="4" w:space="0" w:color="auto"/>
              <w:left w:val="nil"/>
              <w:bottom w:val="single" w:sz="4" w:space="0" w:color="auto"/>
              <w:right w:val="nil"/>
            </w:tcBorders>
            <w:shd w:val="clear" w:color="auto" w:fill="F4FC88"/>
          </w:tcPr>
          <w:p w14:paraId="4916C9C6" w14:textId="77777777" w:rsidR="00064FF0" w:rsidRPr="00C801A6" w:rsidRDefault="00064FF0" w:rsidP="00347FDB">
            <w:pPr>
              <w:spacing w:before="30" w:after="30"/>
              <w:jc w:val="left"/>
              <w:rPr>
                <w:rFonts w:cs="Times New Roman"/>
                <w:b/>
                <w:color w:val="auto"/>
                <w:sz w:val="20"/>
                <w:szCs w:val="20"/>
              </w:rPr>
            </w:pPr>
          </w:p>
        </w:tc>
        <w:tc>
          <w:tcPr>
            <w:tcW w:w="0" w:type="auto"/>
            <w:tcBorders>
              <w:top w:val="single" w:sz="4" w:space="0" w:color="auto"/>
              <w:left w:val="nil"/>
              <w:bottom w:val="single" w:sz="4" w:space="0" w:color="auto"/>
              <w:right w:val="single" w:sz="4" w:space="0" w:color="auto"/>
            </w:tcBorders>
            <w:shd w:val="clear" w:color="auto" w:fill="F4FC88"/>
          </w:tcPr>
          <w:p w14:paraId="0A478A2C" w14:textId="77777777" w:rsidR="00064FF0" w:rsidRPr="00C801A6" w:rsidRDefault="00064FF0" w:rsidP="00347FDB">
            <w:pPr>
              <w:spacing w:before="30" w:after="30"/>
              <w:jc w:val="left"/>
              <w:rPr>
                <w:rFonts w:cs="Times New Roman"/>
                <w:b/>
                <w:color w:val="auto"/>
                <w:sz w:val="20"/>
                <w:szCs w:val="20"/>
              </w:rPr>
            </w:pPr>
          </w:p>
        </w:tc>
      </w:tr>
      <w:tr w:rsidR="00C801A6" w:rsidRPr="00C801A6" w14:paraId="4CB9B9EB" w14:textId="77777777" w:rsidTr="00646511">
        <w:tc>
          <w:tcPr>
            <w:tcW w:w="0" w:type="auto"/>
            <w:vMerge w:val="restart"/>
            <w:tcBorders>
              <w:top w:val="single" w:sz="4" w:space="0" w:color="auto"/>
            </w:tcBorders>
            <w:vAlign w:val="center"/>
          </w:tcPr>
          <w:p w14:paraId="293BA36D"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lastRenderedPageBreak/>
              <w:t>Utilisation d’explosifs</w:t>
            </w:r>
          </w:p>
        </w:tc>
        <w:tc>
          <w:tcPr>
            <w:tcW w:w="0" w:type="auto"/>
            <w:tcBorders>
              <w:top w:val="single" w:sz="4" w:space="0" w:color="auto"/>
            </w:tcBorders>
          </w:tcPr>
          <w:p w14:paraId="6FF957E6"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Risques de fuites d’explosifs</w:t>
            </w:r>
          </w:p>
        </w:tc>
        <w:tc>
          <w:tcPr>
            <w:tcW w:w="0" w:type="auto"/>
            <w:tcBorders>
              <w:top w:val="single" w:sz="4" w:space="0" w:color="auto"/>
            </w:tcBorders>
          </w:tcPr>
          <w:p w14:paraId="4BAE0173"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Sécuriser les explosifs au niveau de la gendarmerie la plus proche</w:t>
            </w:r>
          </w:p>
        </w:tc>
        <w:tc>
          <w:tcPr>
            <w:tcW w:w="0" w:type="auto"/>
            <w:tcBorders>
              <w:top w:val="single" w:sz="4" w:space="0" w:color="auto"/>
              <w:bottom w:val="single" w:sz="4" w:space="0" w:color="auto"/>
            </w:tcBorders>
          </w:tcPr>
          <w:p w14:paraId="6D7A6C05" w14:textId="77777777" w:rsidR="00064FF0" w:rsidRPr="00C801A6" w:rsidRDefault="00064FF0" w:rsidP="00347FDB">
            <w:pPr>
              <w:spacing w:before="30" w:after="30"/>
              <w:jc w:val="left"/>
              <w:rPr>
                <w:rFonts w:cs="Times New Roman"/>
                <w:color w:val="auto"/>
                <w:sz w:val="20"/>
                <w:szCs w:val="20"/>
              </w:rPr>
            </w:pPr>
          </w:p>
        </w:tc>
        <w:tc>
          <w:tcPr>
            <w:tcW w:w="0" w:type="auto"/>
            <w:tcBorders>
              <w:top w:val="single" w:sz="4" w:space="0" w:color="auto"/>
            </w:tcBorders>
          </w:tcPr>
          <w:p w14:paraId="0C8EF474"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Convention avec la gendarmerie</w:t>
            </w:r>
          </w:p>
        </w:tc>
        <w:tc>
          <w:tcPr>
            <w:tcW w:w="0" w:type="auto"/>
            <w:tcBorders>
              <w:top w:val="single" w:sz="4" w:space="0" w:color="auto"/>
            </w:tcBorders>
          </w:tcPr>
          <w:p w14:paraId="6344CAB3"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Vérification</w:t>
            </w:r>
          </w:p>
        </w:tc>
        <w:tc>
          <w:tcPr>
            <w:tcW w:w="0" w:type="auto"/>
            <w:tcBorders>
              <w:top w:val="single" w:sz="4" w:space="0" w:color="auto"/>
            </w:tcBorders>
          </w:tcPr>
          <w:p w14:paraId="61211695"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Entreprise MdC</w:t>
            </w:r>
          </w:p>
        </w:tc>
        <w:tc>
          <w:tcPr>
            <w:tcW w:w="0" w:type="auto"/>
            <w:tcBorders>
              <w:top w:val="single" w:sz="4" w:space="0" w:color="auto"/>
            </w:tcBorders>
          </w:tcPr>
          <w:p w14:paraId="4D6C3F00"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Avant approvisionnement</w:t>
            </w:r>
          </w:p>
        </w:tc>
      </w:tr>
      <w:tr w:rsidR="00C801A6" w:rsidRPr="00C801A6" w14:paraId="5C564E05" w14:textId="77777777" w:rsidTr="00646511">
        <w:tc>
          <w:tcPr>
            <w:tcW w:w="0" w:type="auto"/>
            <w:vMerge/>
            <w:vAlign w:val="center"/>
          </w:tcPr>
          <w:p w14:paraId="0C1E3AD3" w14:textId="77777777" w:rsidR="00064FF0" w:rsidRPr="00C801A6" w:rsidRDefault="00064FF0" w:rsidP="00347FDB">
            <w:pPr>
              <w:spacing w:before="40" w:after="40"/>
              <w:jc w:val="left"/>
              <w:rPr>
                <w:rFonts w:cs="Times New Roman"/>
                <w:color w:val="auto"/>
                <w:sz w:val="22"/>
              </w:rPr>
            </w:pPr>
          </w:p>
        </w:tc>
        <w:tc>
          <w:tcPr>
            <w:tcW w:w="0" w:type="auto"/>
          </w:tcPr>
          <w:p w14:paraId="7EC36AF1"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Risques d’accidents liés aux tirs à l’explosif</w:t>
            </w:r>
          </w:p>
        </w:tc>
        <w:tc>
          <w:tcPr>
            <w:tcW w:w="0" w:type="auto"/>
            <w:tcBorders>
              <w:right w:val="single" w:sz="4" w:space="0" w:color="auto"/>
            </w:tcBorders>
          </w:tcPr>
          <w:p w14:paraId="29EAABE5"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Concevoir et mettre en œuvre un plan de tir</w:t>
            </w:r>
          </w:p>
        </w:tc>
        <w:tc>
          <w:tcPr>
            <w:tcW w:w="0" w:type="auto"/>
            <w:tcBorders>
              <w:top w:val="single" w:sz="4" w:space="0" w:color="auto"/>
              <w:left w:val="single" w:sz="4" w:space="0" w:color="auto"/>
              <w:bottom w:val="nil"/>
              <w:right w:val="single" w:sz="4" w:space="0" w:color="auto"/>
            </w:tcBorders>
          </w:tcPr>
          <w:p w14:paraId="2AD12BE9" w14:textId="77777777" w:rsidR="00064FF0" w:rsidRPr="00C801A6" w:rsidRDefault="00064FF0" w:rsidP="00347FDB">
            <w:pPr>
              <w:spacing w:before="30" w:after="30"/>
              <w:jc w:val="left"/>
              <w:rPr>
                <w:rFonts w:cs="Times New Roman"/>
                <w:color w:val="auto"/>
                <w:sz w:val="20"/>
                <w:szCs w:val="20"/>
              </w:rPr>
            </w:pPr>
          </w:p>
        </w:tc>
        <w:tc>
          <w:tcPr>
            <w:tcW w:w="0" w:type="auto"/>
            <w:tcBorders>
              <w:left w:val="single" w:sz="4" w:space="0" w:color="auto"/>
            </w:tcBorders>
          </w:tcPr>
          <w:p w14:paraId="358E5A91"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Plan de tir</w:t>
            </w:r>
          </w:p>
        </w:tc>
        <w:tc>
          <w:tcPr>
            <w:tcW w:w="0" w:type="auto"/>
          </w:tcPr>
          <w:p w14:paraId="31354D1C"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Vérification</w:t>
            </w:r>
          </w:p>
        </w:tc>
        <w:tc>
          <w:tcPr>
            <w:tcW w:w="0" w:type="auto"/>
          </w:tcPr>
          <w:p w14:paraId="64DBFC3E"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Entreprise MdC</w:t>
            </w:r>
          </w:p>
        </w:tc>
        <w:tc>
          <w:tcPr>
            <w:tcW w:w="0" w:type="auto"/>
          </w:tcPr>
          <w:p w14:paraId="6668C4E4"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Avant le premier abattage</w:t>
            </w:r>
          </w:p>
        </w:tc>
      </w:tr>
      <w:tr w:rsidR="00C801A6" w:rsidRPr="00C801A6" w14:paraId="1EE2B476" w14:textId="77777777" w:rsidTr="00646511">
        <w:tc>
          <w:tcPr>
            <w:tcW w:w="0" w:type="auto"/>
            <w:vMerge w:val="restart"/>
          </w:tcPr>
          <w:p w14:paraId="75FC04EF"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Abattage et concassage</w:t>
            </w:r>
          </w:p>
        </w:tc>
        <w:tc>
          <w:tcPr>
            <w:tcW w:w="0" w:type="auto"/>
            <w:vMerge w:val="restart"/>
          </w:tcPr>
          <w:p w14:paraId="60562CF9"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Nuisances (bruits et poussières)</w:t>
            </w:r>
          </w:p>
        </w:tc>
        <w:tc>
          <w:tcPr>
            <w:tcW w:w="0" w:type="auto"/>
            <w:tcBorders>
              <w:right w:val="single" w:sz="4" w:space="0" w:color="auto"/>
            </w:tcBorders>
          </w:tcPr>
          <w:p w14:paraId="650838E0"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 xml:space="preserve">Mener une brève analyse des risques et des dangers pour l’utilisation du concasseur et concevoir des mesures HSE </w:t>
            </w:r>
          </w:p>
        </w:tc>
        <w:tc>
          <w:tcPr>
            <w:tcW w:w="0" w:type="auto"/>
            <w:tcBorders>
              <w:top w:val="nil"/>
              <w:left w:val="single" w:sz="4" w:space="0" w:color="auto"/>
              <w:bottom w:val="nil"/>
              <w:right w:val="single" w:sz="4" w:space="0" w:color="auto"/>
            </w:tcBorders>
          </w:tcPr>
          <w:p w14:paraId="077AE336" w14:textId="77777777" w:rsidR="00064FF0" w:rsidRPr="00C801A6" w:rsidRDefault="00064FF0" w:rsidP="00347FDB">
            <w:pPr>
              <w:spacing w:before="30" w:after="30"/>
              <w:jc w:val="left"/>
              <w:rPr>
                <w:rFonts w:cs="Times New Roman"/>
                <w:color w:val="auto"/>
                <w:sz w:val="20"/>
                <w:szCs w:val="20"/>
              </w:rPr>
            </w:pPr>
          </w:p>
        </w:tc>
        <w:tc>
          <w:tcPr>
            <w:tcW w:w="0" w:type="auto"/>
            <w:tcBorders>
              <w:left w:val="single" w:sz="4" w:space="0" w:color="auto"/>
            </w:tcBorders>
          </w:tcPr>
          <w:p w14:paraId="106B4F6F"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Plan HSE/concasseur</w:t>
            </w:r>
          </w:p>
          <w:p w14:paraId="7FD30D5E" w14:textId="77777777" w:rsidR="00064FF0" w:rsidRPr="00C801A6" w:rsidRDefault="00064FF0" w:rsidP="00347FDB">
            <w:pPr>
              <w:spacing w:before="30" w:after="30"/>
              <w:jc w:val="left"/>
              <w:rPr>
                <w:rFonts w:cs="Times New Roman"/>
                <w:color w:val="auto"/>
                <w:sz w:val="20"/>
                <w:szCs w:val="20"/>
              </w:rPr>
            </w:pPr>
          </w:p>
        </w:tc>
        <w:tc>
          <w:tcPr>
            <w:tcW w:w="0" w:type="auto"/>
          </w:tcPr>
          <w:p w14:paraId="5EB4CA41"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Vérification</w:t>
            </w:r>
          </w:p>
        </w:tc>
        <w:tc>
          <w:tcPr>
            <w:tcW w:w="0" w:type="auto"/>
          </w:tcPr>
          <w:p w14:paraId="58C00A3C"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Entreprise MdC</w:t>
            </w:r>
          </w:p>
        </w:tc>
        <w:tc>
          <w:tcPr>
            <w:tcW w:w="0" w:type="auto"/>
          </w:tcPr>
          <w:p w14:paraId="5A558BD8"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Avant le concassage</w:t>
            </w:r>
          </w:p>
        </w:tc>
      </w:tr>
      <w:tr w:rsidR="00C801A6" w:rsidRPr="00C801A6" w14:paraId="7AC22456" w14:textId="77777777" w:rsidTr="00646511">
        <w:tc>
          <w:tcPr>
            <w:tcW w:w="0" w:type="auto"/>
            <w:vMerge/>
          </w:tcPr>
          <w:p w14:paraId="7A31E848" w14:textId="77777777" w:rsidR="00064FF0" w:rsidRPr="00C801A6" w:rsidRDefault="00064FF0" w:rsidP="00347FDB">
            <w:pPr>
              <w:spacing w:before="30" w:after="30"/>
              <w:jc w:val="left"/>
              <w:rPr>
                <w:rFonts w:cs="Times New Roman"/>
                <w:color w:val="auto"/>
                <w:sz w:val="22"/>
              </w:rPr>
            </w:pPr>
          </w:p>
        </w:tc>
        <w:tc>
          <w:tcPr>
            <w:tcW w:w="0" w:type="auto"/>
            <w:vMerge/>
          </w:tcPr>
          <w:p w14:paraId="67A9150E" w14:textId="77777777" w:rsidR="00064FF0" w:rsidRPr="00C801A6" w:rsidRDefault="00064FF0" w:rsidP="00347FDB">
            <w:pPr>
              <w:spacing w:before="30" w:after="30"/>
              <w:jc w:val="left"/>
              <w:rPr>
                <w:rFonts w:cs="Times New Roman"/>
                <w:color w:val="auto"/>
                <w:sz w:val="22"/>
              </w:rPr>
            </w:pPr>
          </w:p>
        </w:tc>
        <w:tc>
          <w:tcPr>
            <w:tcW w:w="0" w:type="auto"/>
            <w:tcBorders>
              <w:right w:val="single" w:sz="4" w:space="0" w:color="auto"/>
            </w:tcBorders>
          </w:tcPr>
          <w:p w14:paraId="5C99A083"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Doter les ouvriers d’EPI appropriés</w:t>
            </w:r>
          </w:p>
        </w:tc>
        <w:tc>
          <w:tcPr>
            <w:tcW w:w="0" w:type="auto"/>
            <w:tcBorders>
              <w:top w:val="nil"/>
              <w:left w:val="single" w:sz="4" w:space="0" w:color="auto"/>
              <w:bottom w:val="nil"/>
              <w:right w:val="single" w:sz="4" w:space="0" w:color="auto"/>
            </w:tcBorders>
          </w:tcPr>
          <w:p w14:paraId="0CAFA70C" w14:textId="77777777" w:rsidR="00064FF0" w:rsidRPr="00C801A6" w:rsidRDefault="00064FF0" w:rsidP="00347FDB">
            <w:pPr>
              <w:spacing w:before="30" w:after="30"/>
              <w:jc w:val="left"/>
              <w:rPr>
                <w:rFonts w:cs="Times New Roman"/>
                <w:color w:val="auto"/>
                <w:sz w:val="20"/>
                <w:szCs w:val="20"/>
              </w:rPr>
            </w:pPr>
          </w:p>
        </w:tc>
        <w:tc>
          <w:tcPr>
            <w:tcW w:w="0" w:type="auto"/>
            <w:tcBorders>
              <w:left w:val="single" w:sz="4" w:space="0" w:color="auto"/>
            </w:tcBorders>
          </w:tcPr>
          <w:p w14:paraId="49A82896"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Registre des EPI</w:t>
            </w:r>
          </w:p>
        </w:tc>
        <w:tc>
          <w:tcPr>
            <w:tcW w:w="0" w:type="auto"/>
          </w:tcPr>
          <w:p w14:paraId="5329E94B"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Vérification</w:t>
            </w:r>
          </w:p>
        </w:tc>
        <w:tc>
          <w:tcPr>
            <w:tcW w:w="0" w:type="auto"/>
          </w:tcPr>
          <w:p w14:paraId="09E7C42E"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Entreprise MdC</w:t>
            </w:r>
          </w:p>
        </w:tc>
        <w:tc>
          <w:tcPr>
            <w:tcW w:w="0" w:type="auto"/>
          </w:tcPr>
          <w:p w14:paraId="1B5DDBB3"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Avant le concassage</w:t>
            </w:r>
          </w:p>
        </w:tc>
      </w:tr>
      <w:tr w:rsidR="00C801A6" w:rsidRPr="00C801A6" w14:paraId="5DF292CB" w14:textId="77777777" w:rsidTr="00646511">
        <w:tc>
          <w:tcPr>
            <w:tcW w:w="0" w:type="auto"/>
            <w:vMerge w:val="restart"/>
            <w:vAlign w:val="center"/>
          </w:tcPr>
          <w:p w14:paraId="04F8EDEF"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Déchets de carrière</w:t>
            </w:r>
          </w:p>
        </w:tc>
        <w:tc>
          <w:tcPr>
            <w:tcW w:w="0" w:type="auto"/>
            <w:vMerge w:val="restart"/>
            <w:vAlign w:val="center"/>
          </w:tcPr>
          <w:p w14:paraId="5CCC9282"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Altération du paysage visuel</w:t>
            </w:r>
          </w:p>
        </w:tc>
        <w:tc>
          <w:tcPr>
            <w:tcW w:w="0" w:type="auto"/>
            <w:tcBorders>
              <w:right w:val="single" w:sz="4" w:space="0" w:color="auto"/>
            </w:tcBorders>
          </w:tcPr>
          <w:p w14:paraId="2F1D7745"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Concevoir et mettre en œuvre un Plan de gestion des déchets de carrière</w:t>
            </w:r>
          </w:p>
        </w:tc>
        <w:tc>
          <w:tcPr>
            <w:tcW w:w="0" w:type="auto"/>
            <w:tcBorders>
              <w:top w:val="nil"/>
              <w:left w:val="single" w:sz="4" w:space="0" w:color="auto"/>
              <w:bottom w:val="nil"/>
              <w:right w:val="single" w:sz="4" w:space="0" w:color="auto"/>
            </w:tcBorders>
          </w:tcPr>
          <w:p w14:paraId="18755714" w14:textId="77777777" w:rsidR="00064FF0" w:rsidRPr="00C801A6" w:rsidRDefault="00064FF0" w:rsidP="00347FDB">
            <w:pPr>
              <w:spacing w:before="30" w:after="30"/>
              <w:jc w:val="left"/>
              <w:rPr>
                <w:rFonts w:cs="Times New Roman"/>
                <w:color w:val="auto"/>
                <w:sz w:val="20"/>
                <w:szCs w:val="20"/>
              </w:rPr>
            </w:pPr>
          </w:p>
        </w:tc>
        <w:tc>
          <w:tcPr>
            <w:tcW w:w="0" w:type="auto"/>
            <w:tcBorders>
              <w:left w:val="single" w:sz="4" w:space="0" w:color="auto"/>
            </w:tcBorders>
          </w:tcPr>
          <w:p w14:paraId="689A58E7"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Plan de gestion des déchets de carrière</w:t>
            </w:r>
          </w:p>
        </w:tc>
        <w:tc>
          <w:tcPr>
            <w:tcW w:w="0" w:type="auto"/>
          </w:tcPr>
          <w:p w14:paraId="0451906E"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Vérification</w:t>
            </w:r>
          </w:p>
        </w:tc>
        <w:tc>
          <w:tcPr>
            <w:tcW w:w="0" w:type="auto"/>
          </w:tcPr>
          <w:p w14:paraId="481E7EC3"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Entreprise MdC</w:t>
            </w:r>
          </w:p>
        </w:tc>
        <w:tc>
          <w:tcPr>
            <w:tcW w:w="0" w:type="auto"/>
          </w:tcPr>
          <w:p w14:paraId="54F1DE86"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Avant exploitation</w:t>
            </w:r>
          </w:p>
        </w:tc>
      </w:tr>
      <w:tr w:rsidR="00C801A6" w:rsidRPr="00C801A6" w14:paraId="3F7772AF" w14:textId="77777777" w:rsidTr="00646511">
        <w:tc>
          <w:tcPr>
            <w:tcW w:w="0" w:type="auto"/>
            <w:vMerge/>
          </w:tcPr>
          <w:p w14:paraId="3DF666F7" w14:textId="77777777" w:rsidR="00064FF0" w:rsidRPr="00C801A6" w:rsidRDefault="00064FF0" w:rsidP="00347FDB">
            <w:pPr>
              <w:spacing w:before="30" w:after="30"/>
              <w:jc w:val="left"/>
              <w:rPr>
                <w:rFonts w:cs="Times New Roman"/>
                <w:color w:val="auto"/>
                <w:sz w:val="22"/>
              </w:rPr>
            </w:pPr>
          </w:p>
        </w:tc>
        <w:tc>
          <w:tcPr>
            <w:tcW w:w="0" w:type="auto"/>
            <w:vMerge/>
          </w:tcPr>
          <w:p w14:paraId="30D8D6D1" w14:textId="77777777" w:rsidR="00064FF0" w:rsidRPr="00C801A6" w:rsidRDefault="00064FF0" w:rsidP="00347FDB">
            <w:pPr>
              <w:spacing w:before="30" w:after="30"/>
              <w:jc w:val="left"/>
              <w:rPr>
                <w:rFonts w:cs="Times New Roman"/>
                <w:color w:val="auto"/>
                <w:sz w:val="22"/>
              </w:rPr>
            </w:pPr>
          </w:p>
        </w:tc>
        <w:tc>
          <w:tcPr>
            <w:tcW w:w="0" w:type="auto"/>
            <w:tcBorders>
              <w:right w:val="single" w:sz="4" w:space="0" w:color="auto"/>
            </w:tcBorders>
          </w:tcPr>
          <w:p w14:paraId="09B5D58A"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Utiliser les déchets de carrière pour l’entretien de la piste d’accès</w:t>
            </w:r>
          </w:p>
        </w:tc>
        <w:tc>
          <w:tcPr>
            <w:tcW w:w="0" w:type="auto"/>
            <w:tcBorders>
              <w:top w:val="nil"/>
              <w:left w:val="single" w:sz="4" w:space="0" w:color="auto"/>
              <w:bottom w:val="nil"/>
              <w:right w:val="single" w:sz="4" w:space="0" w:color="auto"/>
            </w:tcBorders>
          </w:tcPr>
          <w:p w14:paraId="1FCDB8CC" w14:textId="77777777" w:rsidR="00064FF0" w:rsidRPr="00C801A6" w:rsidRDefault="00064FF0" w:rsidP="00347FDB">
            <w:pPr>
              <w:spacing w:before="30" w:after="30"/>
              <w:jc w:val="left"/>
              <w:rPr>
                <w:rFonts w:cs="Times New Roman"/>
                <w:color w:val="auto"/>
                <w:sz w:val="20"/>
                <w:szCs w:val="20"/>
              </w:rPr>
            </w:pPr>
          </w:p>
        </w:tc>
        <w:tc>
          <w:tcPr>
            <w:tcW w:w="0" w:type="auto"/>
            <w:tcBorders>
              <w:left w:val="single" w:sz="4" w:space="0" w:color="auto"/>
            </w:tcBorders>
          </w:tcPr>
          <w:p w14:paraId="32371D49"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Plan de remise en état du site</w:t>
            </w:r>
          </w:p>
        </w:tc>
        <w:tc>
          <w:tcPr>
            <w:tcW w:w="0" w:type="auto"/>
          </w:tcPr>
          <w:p w14:paraId="076B55AF"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Vérification</w:t>
            </w:r>
          </w:p>
        </w:tc>
        <w:tc>
          <w:tcPr>
            <w:tcW w:w="0" w:type="auto"/>
          </w:tcPr>
          <w:p w14:paraId="3BC2DE16"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Entreprise MdC</w:t>
            </w:r>
          </w:p>
        </w:tc>
        <w:tc>
          <w:tcPr>
            <w:tcW w:w="0" w:type="auto"/>
          </w:tcPr>
          <w:p w14:paraId="3DCEBEB8"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Avant fermeture</w:t>
            </w:r>
          </w:p>
        </w:tc>
      </w:tr>
      <w:tr w:rsidR="00C801A6" w:rsidRPr="00C801A6" w14:paraId="7F4E3C1F" w14:textId="77777777" w:rsidTr="00646511">
        <w:tc>
          <w:tcPr>
            <w:tcW w:w="0" w:type="auto"/>
            <w:vMerge/>
          </w:tcPr>
          <w:p w14:paraId="6477753F" w14:textId="77777777" w:rsidR="00064FF0" w:rsidRPr="00C801A6" w:rsidRDefault="00064FF0" w:rsidP="00347FDB">
            <w:pPr>
              <w:spacing w:before="30" w:after="30"/>
              <w:jc w:val="left"/>
              <w:rPr>
                <w:rFonts w:cs="Times New Roman"/>
                <w:color w:val="auto"/>
                <w:sz w:val="22"/>
              </w:rPr>
            </w:pPr>
          </w:p>
        </w:tc>
        <w:tc>
          <w:tcPr>
            <w:tcW w:w="0" w:type="auto"/>
          </w:tcPr>
          <w:p w14:paraId="55D9CB46"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Risques de bouchage des ruisseaux avoisinants</w:t>
            </w:r>
          </w:p>
        </w:tc>
        <w:tc>
          <w:tcPr>
            <w:tcW w:w="0" w:type="auto"/>
            <w:tcBorders>
              <w:right w:val="single" w:sz="4" w:space="0" w:color="auto"/>
            </w:tcBorders>
          </w:tcPr>
          <w:p w14:paraId="1F583105"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Concevoir et mettre en œuvre un Plan de gestion des déchets de carrière</w:t>
            </w:r>
          </w:p>
        </w:tc>
        <w:tc>
          <w:tcPr>
            <w:tcW w:w="0" w:type="auto"/>
            <w:tcBorders>
              <w:top w:val="nil"/>
              <w:left w:val="single" w:sz="4" w:space="0" w:color="auto"/>
              <w:bottom w:val="nil"/>
              <w:right w:val="single" w:sz="4" w:space="0" w:color="auto"/>
            </w:tcBorders>
          </w:tcPr>
          <w:p w14:paraId="155D5892" w14:textId="77777777" w:rsidR="00064FF0" w:rsidRPr="00C801A6" w:rsidRDefault="00064FF0" w:rsidP="00347FDB">
            <w:pPr>
              <w:spacing w:before="30" w:after="30"/>
              <w:jc w:val="left"/>
              <w:rPr>
                <w:rFonts w:cs="Times New Roman"/>
                <w:color w:val="auto"/>
                <w:sz w:val="20"/>
                <w:szCs w:val="20"/>
              </w:rPr>
            </w:pPr>
          </w:p>
        </w:tc>
        <w:tc>
          <w:tcPr>
            <w:tcW w:w="0" w:type="auto"/>
            <w:tcBorders>
              <w:left w:val="single" w:sz="4" w:space="0" w:color="auto"/>
            </w:tcBorders>
          </w:tcPr>
          <w:p w14:paraId="391BA504"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Plan de gestion des déchets de carrière</w:t>
            </w:r>
          </w:p>
        </w:tc>
        <w:tc>
          <w:tcPr>
            <w:tcW w:w="0" w:type="auto"/>
          </w:tcPr>
          <w:p w14:paraId="74966B55"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Vérification</w:t>
            </w:r>
          </w:p>
        </w:tc>
        <w:tc>
          <w:tcPr>
            <w:tcW w:w="0" w:type="auto"/>
          </w:tcPr>
          <w:p w14:paraId="49A096C3"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Entreprise MdC</w:t>
            </w:r>
          </w:p>
        </w:tc>
        <w:tc>
          <w:tcPr>
            <w:tcW w:w="0" w:type="auto"/>
          </w:tcPr>
          <w:p w14:paraId="30C48C7C"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Avant exploitation</w:t>
            </w:r>
          </w:p>
        </w:tc>
      </w:tr>
      <w:tr w:rsidR="00C801A6" w:rsidRPr="00C801A6" w14:paraId="60637B07" w14:textId="77777777" w:rsidTr="00646511">
        <w:tc>
          <w:tcPr>
            <w:tcW w:w="0" w:type="auto"/>
          </w:tcPr>
          <w:p w14:paraId="7765719C"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 xml:space="preserve">Exploitation </w:t>
            </w:r>
          </w:p>
        </w:tc>
        <w:tc>
          <w:tcPr>
            <w:tcW w:w="0" w:type="auto"/>
          </w:tcPr>
          <w:p w14:paraId="09C473B9"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Modification du paysage actuel</w:t>
            </w:r>
          </w:p>
        </w:tc>
        <w:tc>
          <w:tcPr>
            <w:tcW w:w="0" w:type="auto"/>
            <w:tcBorders>
              <w:right w:val="single" w:sz="4" w:space="0" w:color="auto"/>
            </w:tcBorders>
          </w:tcPr>
          <w:p w14:paraId="50983209"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Concevoir et mettre en œuvre un Plan d’exploitation</w:t>
            </w:r>
          </w:p>
        </w:tc>
        <w:tc>
          <w:tcPr>
            <w:tcW w:w="0" w:type="auto"/>
            <w:tcBorders>
              <w:top w:val="nil"/>
              <w:left w:val="single" w:sz="4" w:space="0" w:color="auto"/>
              <w:bottom w:val="nil"/>
              <w:right w:val="single" w:sz="4" w:space="0" w:color="auto"/>
            </w:tcBorders>
          </w:tcPr>
          <w:p w14:paraId="79C45517" w14:textId="77777777" w:rsidR="00064FF0" w:rsidRPr="00C801A6" w:rsidRDefault="00064FF0" w:rsidP="00347FDB">
            <w:pPr>
              <w:spacing w:before="30" w:after="30"/>
              <w:jc w:val="left"/>
              <w:rPr>
                <w:rFonts w:cs="Times New Roman"/>
                <w:color w:val="auto"/>
                <w:sz w:val="20"/>
                <w:szCs w:val="20"/>
              </w:rPr>
            </w:pPr>
          </w:p>
        </w:tc>
        <w:tc>
          <w:tcPr>
            <w:tcW w:w="0" w:type="auto"/>
            <w:tcBorders>
              <w:left w:val="single" w:sz="4" w:space="0" w:color="auto"/>
            </w:tcBorders>
          </w:tcPr>
          <w:p w14:paraId="7C013AAE"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Plan d’exploitation</w:t>
            </w:r>
          </w:p>
        </w:tc>
        <w:tc>
          <w:tcPr>
            <w:tcW w:w="0" w:type="auto"/>
          </w:tcPr>
          <w:p w14:paraId="563511A2"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Vérification</w:t>
            </w:r>
          </w:p>
        </w:tc>
        <w:tc>
          <w:tcPr>
            <w:tcW w:w="0" w:type="auto"/>
          </w:tcPr>
          <w:p w14:paraId="4CF24765"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Entreprise MdC</w:t>
            </w:r>
          </w:p>
        </w:tc>
        <w:tc>
          <w:tcPr>
            <w:tcW w:w="0" w:type="auto"/>
          </w:tcPr>
          <w:p w14:paraId="05A9DBD7"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Avant exploitation</w:t>
            </w:r>
          </w:p>
        </w:tc>
      </w:tr>
      <w:tr w:rsidR="00C801A6" w:rsidRPr="00C801A6" w14:paraId="7D50F6D0" w14:textId="77777777" w:rsidTr="00646511">
        <w:tc>
          <w:tcPr>
            <w:tcW w:w="0" w:type="auto"/>
            <w:tcBorders>
              <w:top w:val="single" w:sz="4" w:space="0" w:color="auto"/>
              <w:left w:val="single" w:sz="4" w:space="0" w:color="auto"/>
              <w:bottom w:val="single" w:sz="4" w:space="0" w:color="auto"/>
              <w:right w:val="single" w:sz="4" w:space="0" w:color="auto"/>
            </w:tcBorders>
          </w:tcPr>
          <w:p w14:paraId="6373B706"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Transport et circulation</w:t>
            </w:r>
          </w:p>
        </w:tc>
        <w:tc>
          <w:tcPr>
            <w:tcW w:w="0" w:type="auto"/>
            <w:tcBorders>
              <w:top w:val="single" w:sz="4" w:space="0" w:color="auto"/>
              <w:left w:val="single" w:sz="4" w:space="0" w:color="auto"/>
              <w:bottom w:val="single" w:sz="4" w:space="0" w:color="auto"/>
              <w:right w:val="single" w:sz="4" w:space="0" w:color="auto"/>
            </w:tcBorders>
          </w:tcPr>
          <w:p w14:paraId="69414834"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Risques d’accidents</w:t>
            </w:r>
          </w:p>
        </w:tc>
        <w:tc>
          <w:tcPr>
            <w:tcW w:w="0" w:type="auto"/>
            <w:tcBorders>
              <w:top w:val="single" w:sz="4" w:space="0" w:color="auto"/>
              <w:left w:val="single" w:sz="4" w:space="0" w:color="auto"/>
              <w:bottom w:val="single" w:sz="4" w:space="0" w:color="auto"/>
              <w:right w:val="single" w:sz="4" w:space="0" w:color="auto"/>
            </w:tcBorders>
          </w:tcPr>
          <w:p w14:paraId="087BE9BB"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Sur route, limiter la vitesse des véhicules de transport de matériaux :</w:t>
            </w:r>
          </w:p>
          <w:p w14:paraId="14C2618F" w14:textId="77777777" w:rsidR="00064FF0" w:rsidRPr="00C801A6" w:rsidRDefault="00064FF0" w:rsidP="00844538">
            <w:pPr>
              <w:pStyle w:val="ListParagraph"/>
              <w:numPr>
                <w:ilvl w:val="0"/>
                <w:numId w:val="28"/>
              </w:numPr>
              <w:spacing w:before="60" w:after="0" w:line="276" w:lineRule="auto"/>
              <w:ind w:left="142" w:hanging="142"/>
              <w:contextualSpacing w:val="0"/>
              <w:jc w:val="left"/>
              <w:rPr>
                <w:color w:val="auto"/>
                <w:sz w:val="20"/>
                <w:szCs w:val="20"/>
              </w:rPr>
            </w:pPr>
            <w:r w:rsidRPr="00C801A6">
              <w:rPr>
                <w:rFonts w:cs="Times New Roman"/>
                <w:color w:val="auto"/>
                <w:sz w:val="20"/>
                <w:szCs w:val="20"/>
              </w:rPr>
              <w:t xml:space="preserve">20km/h en zone </w:t>
            </w:r>
            <w:r w:rsidRPr="00C801A6">
              <w:rPr>
                <w:color w:val="auto"/>
                <w:sz w:val="20"/>
                <w:szCs w:val="20"/>
              </w:rPr>
              <w:t>habitée</w:t>
            </w:r>
          </w:p>
          <w:p w14:paraId="00256E64" w14:textId="77777777" w:rsidR="00064FF0" w:rsidRPr="00C801A6" w:rsidRDefault="00064FF0" w:rsidP="00844538">
            <w:pPr>
              <w:pStyle w:val="ListParagraph"/>
              <w:numPr>
                <w:ilvl w:val="0"/>
                <w:numId w:val="28"/>
              </w:numPr>
              <w:spacing w:before="60" w:after="0" w:line="276" w:lineRule="auto"/>
              <w:ind w:left="142" w:hanging="142"/>
              <w:contextualSpacing w:val="0"/>
              <w:jc w:val="left"/>
              <w:rPr>
                <w:rFonts w:cs="Times New Roman"/>
                <w:color w:val="auto"/>
                <w:sz w:val="20"/>
                <w:szCs w:val="20"/>
              </w:rPr>
            </w:pPr>
            <w:r w:rsidRPr="00C801A6">
              <w:rPr>
                <w:color w:val="auto"/>
                <w:sz w:val="20"/>
                <w:szCs w:val="20"/>
              </w:rPr>
              <w:t>40</w:t>
            </w:r>
            <w:r w:rsidRPr="00C801A6">
              <w:rPr>
                <w:rFonts w:cs="Times New Roman"/>
                <w:color w:val="auto"/>
                <w:sz w:val="20"/>
                <w:szCs w:val="20"/>
              </w:rPr>
              <w:t>km/h en rase-campagne</w:t>
            </w:r>
          </w:p>
          <w:p w14:paraId="370891B9" w14:textId="77777777" w:rsidR="00064FF0" w:rsidRPr="00C801A6" w:rsidRDefault="00064FF0" w:rsidP="00347FDB">
            <w:pPr>
              <w:spacing w:before="60" w:after="0"/>
              <w:jc w:val="left"/>
              <w:rPr>
                <w:rFonts w:cs="Times New Roman"/>
                <w:color w:val="auto"/>
                <w:sz w:val="20"/>
                <w:szCs w:val="20"/>
              </w:rPr>
            </w:pPr>
            <w:r w:rsidRPr="00C801A6">
              <w:rPr>
                <w:rFonts w:cs="Times New Roman"/>
                <w:color w:val="auto"/>
                <w:sz w:val="20"/>
                <w:szCs w:val="20"/>
                <w:u w:val="single"/>
              </w:rPr>
              <w:t>Cas idéal</w:t>
            </w:r>
            <w:r w:rsidRPr="00C801A6">
              <w:rPr>
                <w:rFonts w:cs="Times New Roman"/>
                <w:color w:val="auto"/>
                <w:sz w:val="20"/>
                <w:szCs w:val="20"/>
              </w:rPr>
              <w:t> : installer un GPS dans les véhicules de transport</w:t>
            </w:r>
          </w:p>
        </w:tc>
        <w:tc>
          <w:tcPr>
            <w:tcW w:w="0" w:type="auto"/>
            <w:tcBorders>
              <w:top w:val="nil"/>
              <w:left w:val="single" w:sz="4" w:space="0" w:color="auto"/>
              <w:bottom w:val="nil"/>
              <w:right w:val="single" w:sz="4" w:space="0" w:color="auto"/>
            </w:tcBorders>
          </w:tcPr>
          <w:p w14:paraId="5ECB442B" w14:textId="77777777" w:rsidR="00064FF0" w:rsidRPr="00C801A6" w:rsidRDefault="00064FF0" w:rsidP="00347FDB">
            <w:pPr>
              <w:spacing w:before="30" w:after="30"/>
              <w:jc w:val="left"/>
              <w:rPr>
                <w:rFonts w:cs="Times New Roman"/>
                <w:color w:val="auto"/>
                <w:sz w:val="20"/>
                <w:szCs w:val="20"/>
              </w:rPr>
            </w:pPr>
          </w:p>
        </w:tc>
        <w:tc>
          <w:tcPr>
            <w:tcW w:w="0" w:type="auto"/>
            <w:tcBorders>
              <w:top w:val="single" w:sz="4" w:space="0" w:color="auto"/>
              <w:left w:val="single" w:sz="4" w:space="0" w:color="auto"/>
              <w:bottom w:val="single" w:sz="4" w:space="0" w:color="auto"/>
              <w:right w:val="single" w:sz="4" w:space="0" w:color="auto"/>
            </w:tcBorders>
          </w:tcPr>
          <w:p w14:paraId="3703054E"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Vitesses limites affichées dans la cabine des camions et à l’arrière</w:t>
            </w:r>
          </w:p>
        </w:tc>
        <w:tc>
          <w:tcPr>
            <w:tcW w:w="0" w:type="auto"/>
            <w:tcBorders>
              <w:top w:val="single" w:sz="4" w:space="0" w:color="auto"/>
              <w:left w:val="single" w:sz="4" w:space="0" w:color="auto"/>
              <w:bottom w:val="single" w:sz="4" w:space="0" w:color="auto"/>
              <w:right w:val="single" w:sz="4" w:space="0" w:color="auto"/>
            </w:tcBorders>
          </w:tcPr>
          <w:p w14:paraId="09EF5975"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Vérification</w:t>
            </w:r>
          </w:p>
        </w:tc>
        <w:tc>
          <w:tcPr>
            <w:tcW w:w="0" w:type="auto"/>
            <w:tcBorders>
              <w:top w:val="single" w:sz="4" w:space="0" w:color="auto"/>
              <w:left w:val="single" w:sz="4" w:space="0" w:color="auto"/>
              <w:bottom w:val="single" w:sz="4" w:space="0" w:color="auto"/>
              <w:right w:val="single" w:sz="4" w:space="0" w:color="auto"/>
            </w:tcBorders>
          </w:tcPr>
          <w:p w14:paraId="3E4781FF"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Entreprise MdC</w:t>
            </w:r>
          </w:p>
        </w:tc>
        <w:tc>
          <w:tcPr>
            <w:tcW w:w="0" w:type="auto"/>
            <w:tcBorders>
              <w:top w:val="single" w:sz="4" w:space="0" w:color="auto"/>
              <w:left w:val="single" w:sz="4" w:space="0" w:color="auto"/>
              <w:bottom w:val="single" w:sz="4" w:space="0" w:color="auto"/>
              <w:right w:val="single" w:sz="4" w:space="0" w:color="auto"/>
            </w:tcBorders>
          </w:tcPr>
          <w:p w14:paraId="5852D8B8"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Avant exploitation</w:t>
            </w:r>
          </w:p>
        </w:tc>
      </w:tr>
      <w:tr w:rsidR="00C801A6" w:rsidRPr="00C801A6" w14:paraId="19F23140" w14:textId="77777777" w:rsidTr="00646511">
        <w:tc>
          <w:tcPr>
            <w:tcW w:w="0" w:type="auto"/>
            <w:vMerge w:val="restart"/>
            <w:tcBorders>
              <w:top w:val="single" w:sz="4" w:space="0" w:color="auto"/>
              <w:left w:val="single" w:sz="4" w:space="0" w:color="auto"/>
              <w:right w:val="single" w:sz="4" w:space="0" w:color="auto"/>
            </w:tcBorders>
          </w:tcPr>
          <w:p w14:paraId="26197FF3"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lastRenderedPageBreak/>
              <w:t>Abattage par des tirs à l’explosif</w:t>
            </w:r>
          </w:p>
        </w:tc>
        <w:tc>
          <w:tcPr>
            <w:tcW w:w="0" w:type="auto"/>
            <w:vMerge w:val="restart"/>
            <w:tcBorders>
              <w:top w:val="single" w:sz="4" w:space="0" w:color="auto"/>
              <w:left w:val="single" w:sz="4" w:space="0" w:color="auto"/>
              <w:right w:val="single" w:sz="4" w:space="0" w:color="auto"/>
            </w:tcBorders>
          </w:tcPr>
          <w:p w14:paraId="3B4E66D1"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Risques d’accidents</w:t>
            </w:r>
          </w:p>
        </w:tc>
        <w:tc>
          <w:tcPr>
            <w:tcW w:w="0" w:type="auto"/>
            <w:tcBorders>
              <w:top w:val="single" w:sz="4" w:space="0" w:color="auto"/>
              <w:left w:val="single" w:sz="4" w:space="0" w:color="auto"/>
              <w:bottom w:val="single" w:sz="4" w:space="0" w:color="auto"/>
              <w:right w:val="single" w:sz="4" w:space="0" w:color="auto"/>
            </w:tcBorders>
          </w:tcPr>
          <w:p w14:paraId="49CB3C16" w14:textId="77777777" w:rsidR="00064FF0" w:rsidRPr="00C801A6" w:rsidRDefault="00064FF0" w:rsidP="00844538">
            <w:pPr>
              <w:pStyle w:val="ListParagraph"/>
              <w:numPr>
                <w:ilvl w:val="0"/>
                <w:numId w:val="28"/>
              </w:numPr>
              <w:spacing w:before="60" w:after="0" w:line="276" w:lineRule="auto"/>
              <w:ind w:left="142" w:hanging="142"/>
              <w:jc w:val="left"/>
              <w:rPr>
                <w:rFonts w:cs="Times New Roman"/>
                <w:color w:val="auto"/>
                <w:sz w:val="20"/>
                <w:szCs w:val="20"/>
              </w:rPr>
            </w:pPr>
            <w:r w:rsidRPr="00C801A6">
              <w:rPr>
                <w:rFonts w:cs="Times New Roman"/>
                <w:color w:val="auto"/>
                <w:sz w:val="20"/>
                <w:szCs w:val="20"/>
              </w:rPr>
              <w:t>Respecter la distance de sécurité d’au moins 80m</w:t>
            </w:r>
          </w:p>
        </w:tc>
        <w:tc>
          <w:tcPr>
            <w:tcW w:w="0" w:type="auto"/>
            <w:tcBorders>
              <w:top w:val="nil"/>
              <w:left w:val="single" w:sz="4" w:space="0" w:color="auto"/>
              <w:bottom w:val="nil"/>
              <w:right w:val="single" w:sz="4" w:space="0" w:color="auto"/>
            </w:tcBorders>
          </w:tcPr>
          <w:p w14:paraId="14CD01DE" w14:textId="77777777" w:rsidR="00064FF0" w:rsidRPr="00C801A6" w:rsidRDefault="00064FF0" w:rsidP="00347FDB">
            <w:pPr>
              <w:spacing w:before="30" w:after="30"/>
              <w:jc w:val="left"/>
              <w:rPr>
                <w:rFonts w:cs="Times New Roman"/>
                <w:color w:val="auto"/>
                <w:sz w:val="20"/>
                <w:szCs w:val="20"/>
              </w:rPr>
            </w:pPr>
          </w:p>
        </w:tc>
        <w:tc>
          <w:tcPr>
            <w:tcW w:w="0" w:type="auto"/>
            <w:tcBorders>
              <w:top w:val="single" w:sz="4" w:space="0" w:color="auto"/>
              <w:left w:val="single" w:sz="4" w:space="0" w:color="auto"/>
              <w:bottom w:val="single" w:sz="4" w:space="0" w:color="auto"/>
              <w:right w:val="single" w:sz="4" w:space="0" w:color="auto"/>
            </w:tcBorders>
          </w:tcPr>
          <w:p w14:paraId="17CD6E61"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Liste des biens immeubles les plus proches</w:t>
            </w:r>
          </w:p>
        </w:tc>
        <w:tc>
          <w:tcPr>
            <w:tcW w:w="0" w:type="auto"/>
            <w:tcBorders>
              <w:top w:val="single" w:sz="4" w:space="0" w:color="auto"/>
              <w:left w:val="single" w:sz="4" w:space="0" w:color="auto"/>
              <w:bottom w:val="single" w:sz="4" w:space="0" w:color="auto"/>
              <w:right w:val="single" w:sz="4" w:space="0" w:color="auto"/>
            </w:tcBorders>
          </w:tcPr>
          <w:p w14:paraId="3F1032B7"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Vérification</w:t>
            </w:r>
          </w:p>
        </w:tc>
        <w:tc>
          <w:tcPr>
            <w:tcW w:w="0" w:type="auto"/>
            <w:tcBorders>
              <w:top w:val="single" w:sz="4" w:space="0" w:color="auto"/>
              <w:left w:val="single" w:sz="4" w:space="0" w:color="auto"/>
              <w:bottom w:val="single" w:sz="4" w:space="0" w:color="auto"/>
              <w:right w:val="single" w:sz="4" w:space="0" w:color="auto"/>
            </w:tcBorders>
          </w:tcPr>
          <w:p w14:paraId="6B766826"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Entreprise MdC</w:t>
            </w:r>
          </w:p>
        </w:tc>
        <w:tc>
          <w:tcPr>
            <w:tcW w:w="0" w:type="auto"/>
            <w:tcBorders>
              <w:top w:val="single" w:sz="4" w:space="0" w:color="auto"/>
              <w:left w:val="single" w:sz="4" w:space="0" w:color="auto"/>
              <w:bottom w:val="single" w:sz="4" w:space="0" w:color="auto"/>
              <w:right w:val="single" w:sz="4" w:space="0" w:color="auto"/>
            </w:tcBorders>
          </w:tcPr>
          <w:p w14:paraId="3886798F"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Avant le 1</w:t>
            </w:r>
            <w:r w:rsidRPr="00C801A6">
              <w:rPr>
                <w:rFonts w:cs="Times New Roman"/>
                <w:color w:val="auto"/>
                <w:sz w:val="20"/>
                <w:szCs w:val="20"/>
                <w:vertAlign w:val="superscript"/>
              </w:rPr>
              <w:t>er</w:t>
            </w:r>
            <w:r w:rsidRPr="00C801A6">
              <w:rPr>
                <w:rFonts w:cs="Times New Roman"/>
                <w:color w:val="auto"/>
                <w:sz w:val="20"/>
                <w:szCs w:val="20"/>
              </w:rPr>
              <w:t xml:space="preserve"> tir</w:t>
            </w:r>
          </w:p>
        </w:tc>
      </w:tr>
      <w:tr w:rsidR="00C801A6" w:rsidRPr="00C801A6" w14:paraId="3769F888" w14:textId="77777777" w:rsidTr="00646511">
        <w:tc>
          <w:tcPr>
            <w:tcW w:w="0" w:type="auto"/>
            <w:vMerge/>
            <w:tcBorders>
              <w:left w:val="single" w:sz="4" w:space="0" w:color="auto"/>
              <w:bottom w:val="single" w:sz="4" w:space="0" w:color="auto"/>
              <w:right w:val="single" w:sz="4" w:space="0" w:color="auto"/>
            </w:tcBorders>
          </w:tcPr>
          <w:p w14:paraId="7B5836F8" w14:textId="77777777" w:rsidR="00064FF0" w:rsidRPr="00C801A6" w:rsidRDefault="00064FF0" w:rsidP="00347FDB">
            <w:pPr>
              <w:spacing w:before="30" w:after="30"/>
              <w:jc w:val="left"/>
              <w:rPr>
                <w:rFonts w:cs="Times New Roman"/>
                <w:color w:val="auto"/>
                <w:sz w:val="22"/>
              </w:rPr>
            </w:pPr>
          </w:p>
        </w:tc>
        <w:tc>
          <w:tcPr>
            <w:tcW w:w="0" w:type="auto"/>
            <w:vMerge/>
            <w:tcBorders>
              <w:left w:val="single" w:sz="4" w:space="0" w:color="auto"/>
              <w:bottom w:val="single" w:sz="4" w:space="0" w:color="auto"/>
              <w:right w:val="single" w:sz="4" w:space="0" w:color="auto"/>
            </w:tcBorders>
          </w:tcPr>
          <w:p w14:paraId="0241B651" w14:textId="77777777" w:rsidR="00064FF0" w:rsidRPr="00C801A6" w:rsidRDefault="00064FF0" w:rsidP="00347FDB">
            <w:pPr>
              <w:spacing w:before="30" w:after="30"/>
              <w:jc w:val="left"/>
              <w:rPr>
                <w:rFonts w:cs="Times New Roman"/>
                <w:color w:val="auto"/>
                <w:sz w:val="22"/>
              </w:rPr>
            </w:pPr>
          </w:p>
        </w:tc>
        <w:tc>
          <w:tcPr>
            <w:tcW w:w="0" w:type="auto"/>
            <w:tcBorders>
              <w:top w:val="single" w:sz="4" w:space="0" w:color="auto"/>
              <w:left w:val="single" w:sz="4" w:space="0" w:color="auto"/>
              <w:bottom w:val="single" w:sz="4" w:space="0" w:color="auto"/>
              <w:right w:val="single" w:sz="4" w:space="0" w:color="auto"/>
            </w:tcBorders>
          </w:tcPr>
          <w:p w14:paraId="2DFBFC65" w14:textId="77777777" w:rsidR="00064FF0" w:rsidRPr="00C801A6" w:rsidRDefault="00064FF0" w:rsidP="00844538">
            <w:pPr>
              <w:pStyle w:val="ListParagraph"/>
              <w:numPr>
                <w:ilvl w:val="0"/>
                <w:numId w:val="28"/>
              </w:numPr>
              <w:spacing w:before="60" w:after="0" w:line="276" w:lineRule="auto"/>
              <w:ind w:left="142" w:hanging="142"/>
              <w:jc w:val="left"/>
              <w:rPr>
                <w:rFonts w:cs="Times New Roman"/>
                <w:color w:val="auto"/>
                <w:sz w:val="20"/>
                <w:szCs w:val="20"/>
              </w:rPr>
            </w:pPr>
            <w:r w:rsidRPr="00C801A6">
              <w:rPr>
                <w:rFonts w:cs="Times New Roman"/>
                <w:color w:val="auto"/>
                <w:sz w:val="20"/>
                <w:szCs w:val="20"/>
              </w:rPr>
              <w:t>Mettre en place un système d’avertissement codé avec les riverains (coups de sifflet ou sirène)</w:t>
            </w:r>
          </w:p>
        </w:tc>
        <w:tc>
          <w:tcPr>
            <w:tcW w:w="0" w:type="auto"/>
            <w:tcBorders>
              <w:top w:val="nil"/>
              <w:left w:val="single" w:sz="4" w:space="0" w:color="auto"/>
              <w:bottom w:val="single" w:sz="4" w:space="0" w:color="auto"/>
              <w:right w:val="single" w:sz="4" w:space="0" w:color="auto"/>
            </w:tcBorders>
          </w:tcPr>
          <w:p w14:paraId="370E86A9" w14:textId="77777777" w:rsidR="00064FF0" w:rsidRPr="00C801A6" w:rsidRDefault="00064FF0" w:rsidP="00347FDB">
            <w:pPr>
              <w:spacing w:before="30" w:after="30"/>
              <w:jc w:val="left"/>
              <w:rPr>
                <w:rFonts w:cs="Times New Roman"/>
                <w:color w:val="auto"/>
                <w:sz w:val="20"/>
                <w:szCs w:val="20"/>
              </w:rPr>
            </w:pPr>
          </w:p>
        </w:tc>
        <w:tc>
          <w:tcPr>
            <w:tcW w:w="0" w:type="auto"/>
            <w:tcBorders>
              <w:top w:val="single" w:sz="4" w:space="0" w:color="auto"/>
              <w:left w:val="single" w:sz="4" w:space="0" w:color="auto"/>
              <w:bottom w:val="single" w:sz="4" w:space="0" w:color="auto"/>
              <w:right w:val="single" w:sz="4" w:space="0" w:color="auto"/>
            </w:tcBorders>
          </w:tcPr>
          <w:p w14:paraId="4350D550"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Système d’avertissement codé avec les riverains</w:t>
            </w:r>
          </w:p>
        </w:tc>
        <w:tc>
          <w:tcPr>
            <w:tcW w:w="0" w:type="auto"/>
            <w:tcBorders>
              <w:top w:val="single" w:sz="4" w:space="0" w:color="auto"/>
              <w:left w:val="single" w:sz="4" w:space="0" w:color="auto"/>
              <w:bottom w:val="single" w:sz="4" w:space="0" w:color="auto"/>
              <w:right w:val="single" w:sz="4" w:space="0" w:color="auto"/>
            </w:tcBorders>
          </w:tcPr>
          <w:p w14:paraId="0F1448B0"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Vérification</w:t>
            </w:r>
          </w:p>
        </w:tc>
        <w:tc>
          <w:tcPr>
            <w:tcW w:w="0" w:type="auto"/>
            <w:tcBorders>
              <w:top w:val="single" w:sz="4" w:space="0" w:color="auto"/>
              <w:left w:val="single" w:sz="4" w:space="0" w:color="auto"/>
              <w:bottom w:val="single" w:sz="4" w:space="0" w:color="auto"/>
              <w:right w:val="single" w:sz="4" w:space="0" w:color="auto"/>
            </w:tcBorders>
          </w:tcPr>
          <w:p w14:paraId="18354DA0"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Entreprise MdC</w:t>
            </w:r>
          </w:p>
        </w:tc>
        <w:tc>
          <w:tcPr>
            <w:tcW w:w="0" w:type="auto"/>
            <w:tcBorders>
              <w:top w:val="single" w:sz="4" w:space="0" w:color="auto"/>
              <w:left w:val="single" w:sz="4" w:space="0" w:color="auto"/>
              <w:bottom w:val="single" w:sz="4" w:space="0" w:color="auto"/>
              <w:right w:val="single" w:sz="4" w:space="0" w:color="auto"/>
            </w:tcBorders>
          </w:tcPr>
          <w:p w14:paraId="4FEFA3C1"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Avant le 1</w:t>
            </w:r>
            <w:r w:rsidRPr="00C801A6">
              <w:rPr>
                <w:rFonts w:cs="Times New Roman"/>
                <w:color w:val="auto"/>
                <w:sz w:val="20"/>
                <w:szCs w:val="20"/>
                <w:vertAlign w:val="superscript"/>
              </w:rPr>
              <w:t>er</w:t>
            </w:r>
            <w:r w:rsidRPr="00C801A6">
              <w:rPr>
                <w:rFonts w:cs="Times New Roman"/>
                <w:color w:val="auto"/>
                <w:sz w:val="20"/>
                <w:szCs w:val="20"/>
              </w:rPr>
              <w:t xml:space="preserve"> tir</w:t>
            </w:r>
          </w:p>
        </w:tc>
      </w:tr>
      <w:tr w:rsidR="004A432A" w:rsidRPr="00C801A6" w14:paraId="139EB383" w14:textId="77777777" w:rsidTr="00646511">
        <w:tc>
          <w:tcPr>
            <w:tcW w:w="0" w:type="auto"/>
            <w:gridSpan w:val="2"/>
            <w:tcBorders>
              <w:top w:val="single" w:sz="4" w:space="0" w:color="auto"/>
              <w:left w:val="single" w:sz="4" w:space="0" w:color="auto"/>
              <w:bottom w:val="single" w:sz="4" w:space="0" w:color="auto"/>
              <w:right w:val="nil"/>
            </w:tcBorders>
            <w:shd w:val="clear" w:color="auto" w:fill="F4FC88"/>
            <w:vAlign w:val="center"/>
          </w:tcPr>
          <w:p w14:paraId="777055F1" w14:textId="77777777" w:rsidR="00064FF0" w:rsidRPr="00C801A6" w:rsidRDefault="00064FF0" w:rsidP="00347FDB">
            <w:pPr>
              <w:spacing w:before="30" w:after="30"/>
              <w:jc w:val="left"/>
              <w:rPr>
                <w:rFonts w:cs="Times New Roman"/>
                <w:color w:val="auto"/>
                <w:sz w:val="20"/>
                <w:szCs w:val="20"/>
              </w:rPr>
            </w:pPr>
            <w:r w:rsidRPr="00C801A6">
              <w:rPr>
                <w:rFonts w:cs="Times New Roman"/>
                <w:b/>
                <w:caps/>
                <w:color w:val="auto"/>
                <w:sz w:val="20"/>
                <w:szCs w:val="20"/>
              </w:rPr>
              <w:t>P</w:t>
            </w:r>
            <w:r w:rsidRPr="00C801A6">
              <w:rPr>
                <w:rFonts w:cs="Times New Roman"/>
                <w:b/>
                <w:color w:val="auto"/>
                <w:sz w:val="20"/>
                <w:szCs w:val="20"/>
              </w:rPr>
              <w:t>hase de fermeture d’un site</w:t>
            </w:r>
          </w:p>
        </w:tc>
        <w:tc>
          <w:tcPr>
            <w:tcW w:w="0" w:type="auto"/>
            <w:tcBorders>
              <w:top w:val="single" w:sz="4" w:space="0" w:color="auto"/>
              <w:left w:val="nil"/>
              <w:bottom w:val="single" w:sz="4" w:space="0" w:color="auto"/>
              <w:right w:val="nil"/>
            </w:tcBorders>
            <w:shd w:val="clear" w:color="auto" w:fill="F4FC88"/>
          </w:tcPr>
          <w:p w14:paraId="2B9DE4E8" w14:textId="77777777" w:rsidR="00064FF0" w:rsidRPr="00C801A6" w:rsidRDefault="00064FF0" w:rsidP="00347FDB">
            <w:pPr>
              <w:spacing w:before="30" w:after="30"/>
              <w:jc w:val="left"/>
              <w:rPr>
                <w:rFonts w:cs="Times New Roman"/>
                <w:b/>
                <w:caps/>
                <w:color w:val="auto"/>
                <w:sz w:val="20"/>
                <w:szCs w:val="20"/>
              </w:rPr>
            </w:pPr>
          </w:p>
        </w:tc>
        <w:tc>
          <w:tcPr>
            <w:tcW w:w="0" w:type="auto"/>
            <w:tcBorders>
              <w:top w:val="single" w:sz="4" w:space="0" w:color="auto"/>
              <w:left w:val="nil"/>
              <w:bottom w:val="single" w:sz="4" w:space="0" w:color="auto"/>
              <w:right w:val="nil"/>
            </w:tcBorders>
            <w:shd w:val="clear" w:color="auto" w:fill="F4FC88"/>
          </w:tcPr>
          <w:p w14:paraId="6363508D" w14:textId="77777777" w:rsidR="00064FF0" w:rsidRPr="00C801A6" w:rsidRDefault="00064FF0" w:rsidP="00347FDB">
            <w:pPr>
              <w:spacing w:before="30" w:after="30"/>
              <w:jc w:val="left"/>
              <w:rPr>
                <w:rFonts w:cs="Times New Roman"/>
                <w:b/>
                <w:caps/>
                <w:color w:val="auto"/>
                <w:sz w:val="20"/>
                <w:szCs w:val="20"/>
              </w:rPr>
            </w:pPr>
          </w:p>
        </w:tc>
        <w:tc>
          <w:tcPr>
            <w:tcW w:w="0" w:type="auto"/>
            <w:tcBorders>
              <w:top w:val="single" w:sz="4" w:space="0" w:color="auto"/>
              <w:left w:val="nil"/>
              <w:bottom w:val="single" w:sz="4" w:space="0" w:color="auto"/>
              <w:right w:val="nil"/>
            </w:tcBorders>
            <w:shd w:val="clear" w:color="auto" w:fill="F4FC88"/>
          </w:tcPr>
          <w:p w14:paraId="74161ADE" w14:textId="77777777" w:rsidR="00064FF0" w:rsidRPr="00C801A6" w:rsidRDefault="00064FF0" w:rsidP="00347FDB">
            <w:pPr>
              <w:spacing w:before="30" w:after="30"/>
              <w:jc w:val="left"/>
              <w:rPr>
                <w:rFonts w:cs="Times New Roman"/>
                <w:b/>
                <w:caps/>
                <w:color w:val="auto"/>
                <w:sz w:val="20"/>
                <w:szCs w:val="20"/>
              </w:rPr>
            </w:pPr>
          </w:p>
        </w:tc>
        <w:tc>
          <w:tcPr>
            <w:tcW w:w="0" w:type="auto"/>
            <w:tcBorders>
              <w:top w:val="single" w:sz="4" w:space="0" w:color="auto"/>
              <w:left w:val="nil"/>
              <w:bottom w:val="single" w:sz="4" w:space="0" w:color="auto"/>
              <w:right w:val="nil"/>
            </w:tcBorders>
            <w:shd w:val="clear" w:color="auto" w:fill="F4FC88"/>
          </w:tcPr>
          <w:p w14:paraId="0F11BB33" w14:textId="77777777" w:rsidR="00064FF0" w:rsidRPr="00C801A6" w:rsidRDefault="00064FF0" w:rsidP="00347FDB">
            <w:pPr>
              <w:spacing w:before="30" w:after="30"/>
              <w:jc w:val="left"/>
              <w:rPr>
                <w:rFonts w:cs="Times New Roman"/>
                <w:b/>
                <w:caps/>
                <w:color w:val="auto"/>
                <w:sz w:val="20"/>
                <w:szCs w:val="20"/>
              </w:rPr>
            </w:pPr>
          </w:p>
        </w:tc>
        <w:tc>
          <w:tcPr>
            <w:tcW w:w="0" w:type="auto"/>
            <w:tcBorders>
              <w:top w:val="single" w:sz="4" w:space="0" w:color="auto"/>
              <w:left w:val="nil"/>
              <w:bottom w:val="single" w:sz="4" w:space="0" w:color="auto"/>
              <w:right w:val="nil"/>
            </w:tcBorders>
            <w:shd w:val="clear" w:color="auto" w:fill="F4FC88"/>
          </w:tcPr>
          <w:p w14:paraId="36475371" w14:textId="77777777" w:rsidR="00064FF0" w:rsidRPr="00C801A6" w:rsidRDefault="00064FF0" w:rsidP="00347FDB">
            <w:pPr>
              <w:spacing w:before="30" w:after="30"/>
              <w:jc w:val="left"/>
              <w:rPr>
                <w:rFonts w:cs="Times New Roman"/>
                <w:b/>
                <w:caps/>
                <w:color w:val="auto"/>
                <w:sz w:val="20"/>
                <w:szCs w:val="20"/>
              </w:rPr>
            </w:pPr>
          </w:p>
        </w:tc>
        <w:tc>
          <w:tcPr>
            <w:tcW w:w="0" w:type="auto"/>
            <w:tcBorders>
              <w:top w:val="single" w:sz="4" w:space="0" w:color="auto"/>
              <w:left w:val="nil"/>
              <w:bottom w:val="single" w:sz="4" w:space="0" w:color="auto"/>
              <w:right w:val="single" w:sz="4" w:space="0" w:color="auto"/>
            </w:tcBorders>
            <w:shd w:val="clear" w:color="auto" w:fill="F4FC88"/>
          </w:tcPr>
          <w:p w14:paraId="6958ED91" w14:textId="77777777" w:rsidR="00064FF0" w:rsidRPr="00C801A6" w:rsidRDefault="00064FF0" w:rsidP="00347FDB">
            <w:pPr>
              <w:spacing w:before="30" w:after="30"/>
              <w:jc w:val="left"/>
              <w:rPr>
                <w:rFonts w:cs="Times New Roman"/>
                <w:b/>
                <w:caps/>
                <w:color w:val="auto"/>
                <w:sz w:val="20"/>
                <w:szCs w:val="20"/>
              </w:rPr>
            </w:pPr>
          </w:p>
        </w:tc>
      </w:tr>
      <w:tr w:rsidR="00C801A6" w:rsidRPr="00C801A6" w14:paraId="309C2B88" w14:textId="77777777" w:rsidTr="00646511">
        <w:tc>
          <w:tcPr>
            <w:tcW w:w="0" w:type="auto"/>
            <w:vMerge w:val="restart"/>
            <w:tcBorders>
              <w:top w:val="single" w:sz="4" w:space="0" w:color="auto"/>
            </w:tcBorders>
            <w:vAlign w:val="center"/>
          </w:tcPr>
          <w:p w14:paraId="4A596847" w14:textId="77777777" w:rsidR="00064FF0" w:rsidRPr="00C801A6" w:rsidRDefault="00064FF0" w:rsidP="00347FDB">
            <w:pPr>
              <w:spacing w:before="30" w:after="0"/>
              <w:jc w:val="left"/>
              <w:rPr>
                <w:rFonts w:cs="Times New Roman"/>
                <w:color w:val="auto"/>
                <w:sz w:val="20"/>
                <w:szCs w:val="20"/>
              </w:rPr>
            </w:pPr>
            <w:r w:rsidRPr="00C801A6">
              <w:rPr>
                <w:rFonts w:cs="Times New Roman"/>
                <w:color w:val="auto"/>
                <w:sz w:val="20"/>
                <w:szCs w:val="20"/>
              </w:rPr>
              <w:t>Opérations de fermeture</w:t>
            </w:r>
          </w:p>
        </w:tc>
        <w:tc>
          <w:tcPr>
            <w:tcW w:w="0" w:type="auto"/>
            <w:tcBorders>
              <w:top w:val="single" w:sz="4" w:space="0" w:color="auto"/>
            </w:tcBorders>
            <w:vAlign w:val="center"/>
          </w:tcPr>
          <w:p w14:paraId="630254C4" w14:textId="77777777" w:rsidR="00064FF0" w:rsidRPr="00C801A6" w:rsidRDefault="00064FF0" w:rsidP="00347FDB">
            <w:pPr>
              <w:spacing w:before="30" w:after="0"/>
              <w:jc w:val="left"/>
              <w:rPr>
                <w:rFonts w:cs="Times New Roman"/>
                <w:color w:val="auto"/>
                <w:sz w:val="20"/>
                <w:szCs w:val="20"/>
              </w:rPr>
            </w:pPr>
            <w:r w:rsidRPr="00C801A6">
              <w:rPr>
                <w:rFonts w:cs="Times New Roman"/>
                <w:color w:val="auto"/>
                <w:sz w:val="20"/>
                <w:szCs w:val="20"/>
              </w:rPr>
              <w:t>Modification du paysage</w:t>
            </w:r>
          </w:p>
        </w:tc>
        <w:tc>
          <w:tcPr>
            <w:tcW w:w="0" w:type="auto"/>
            <w:tcBorders>
              <w:top w:val="single" w:sz="4" w:space="0" w:color="auto"/>
              <w:right w:val="single" w:sz="4" w:space="0" w:color="auto"/>
            </w:tcBorders>
          </w:tcPr>
          <w:p w14:paraId="6B7ACF66" w14:textId="77777777" w:rsidR="00064FF0" w:rsidRPr="00C801A6" w:rsidRDefault="00064FF0" w:rsidP="00347FDB">
            <w:pPr>
              <w:spacing w:before="30" w:after="0"/>
              <w:jc w:val="left"/>
              <w:rPr>
                <w:rFonts w:cs="Times New Roman"/>
                <w:color w:val="auto"/>
                <w:sz w:val="20"/>
                <w:szCs w:val="20"/>
              </w:rPr>
            </w:pPr>
            <w:r w:rsidRPr="00C801A6">
              <w:rPr>
                <w:rFonts w:cs="Times New Roman"/>
                <w:color w:val="auto"/>
                <w:sz w:val="20"/>
                <w:szCs w:val="20"/>
              </w:rPr>
              <w:t>Au besoin planter des arbres pour obtenir un effet d’écran</w:t>
            </w:r>
          </w:p>
        </w:tc>
        <w:tc>
          <w:tcPr>
            <w:tcW w:w="0" w:type="auto"/>
            <w:tcBorders>
              <w:top w:val="single" w:sz="4" w:space="0" w:color="auto"/>
              <w:left w:val="single" w:sz="4" w:space="0" w:color="auto"/>
              <w:bottom w:val="nil"/>
              <w:right w:val="single" w:sz="4" w:space="0" w:color="auto"/>
            </w:tcBorders>
          </w:tcPr>
          <w:p w14:paraId="617360FB" w14:textId="77777777" w:rsidR="00064FF0" w:rsidRPr="00C801A6" w:rsidRDefault="00064FF0" w:rsidP="00347FDB">
            <w:pPr>
              <w:spacing w:before="30" w:after="0"/>
              <w:jc w:val="left"/>
              <w:rPr>
                <w:rFonts w:cs="Times New Roman"/>
                <w:color w:val="auto"/>
                <w:sz w:val="20"/>
                <w:szCs w:val="20"/>
              </w:rPr>
            </w:pPr>
          </w:p>
        </w:tc>
        <w:tc>
          <w:tcPr>
            <w:tcW w:w="0" w:type="auto"/>
            <w:tcBorders>
              <w:top w:val="single" w:sz="4" w:space="0" w:color="auto"/>
              <w:left w:val="single" w:sz="4" w:space="0" w:color="auto"/>
            </w:tcBorders>
          </w:tcPr>
          <w:p w14:paraId="225C70CD" w14:textId="77777777" w:rsidR="00064FF0" w:rsidRPr="00C801A6" w:rsidRDefault="00064FF0" w:rsidP="00347FDB">
            <w:pPr>
              <w:spacing w:before="30" w:after="0"/>
              <w:jc w:val="left"/>
              <w:rPr>
                <w:rFonts w:cs="Times New Roman"/>
                <w:color w:val="auto"/>
                <w:sz w:val="20"/>
                <w:szCs w:val="20"/>
              </w:rPr>
            </w:pPr>
            <w:r w:rsidRPr="00C801A6">
              <w:rPr>
                <w:rFonts w:cs="Times New Roman"/>
                <w:color w:val="auto"/>
                <w:sz w:val="20"/>
                <w:szCs w:val="20"/>
              </w:rPr>
              <w:t>Plan de remise en état</w:t>
            </w:r>
          </w:p>
        </w:tc>
        <w:tc>
          <w:tcPr>
            <w:tcW w:w="0" w:type="auto"/>
            <w:tcBorders>
              <w:top w:val="single" w:sz="4" w:space="0" w:color="auto"/>
            </w:tcBorders>
          </w:tcPr>
          <w:p w14:paraId="4F60265D"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Vérification</w:t>
            </w:r>
          </w:p>
        </w:tc>
        <w:tc>
          <w:tcPr>
            <w:tcW w:w="0" w:type="auto"/>
            <w:tcBorders>
              <w:top w:val="single" w:sz="4" w:space="0" w:color="auto"/>
            </w:tcBorders>
          </w:tcPr>
          <w:p w14:paraId="36AC98F9"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Entreprise MdC</w:t>
            </w:r>
          </w:p>
        </w:tc>
        <w:tc>
          <w:tcPr>
            <w:tcW w:w="0" w:type="auto"/>
            <w:tcBorders>
              <w:top w:val="single" w:sz="4" w:space="0" w:color="auto"/>
            </w:tcBorders>
          </w:tcPr>
          <w:p w14:paraId="16756479"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Avant fermeture</w:t>
            </w:r>
          </w:p>
        </w:tc>
      </w:tr>
      <w:tr w:rsidR="00C801A6" w:rsidRPr="00C801A6" w14:paraId="55E82451" w14:textId="77777777" w:rsidTr="00646511">
        <w:tc>
          <w:tcPr>
            <w:tcW w:w="0" w:type="auto"/>
            <w:vMerge/>
          </w:tcPr>
          <w:p w14:paraId="723ED55F" w14:textId="77777777" w:rsidR="00064FF0" w:rsidRPr="00C801A6" w:rsidRDefault="00064FF0" w:rsidP="00347FDB">
            <w:pPr>
              <w:spacing w:before="30" w:after="0"/>
              <w:jc w:val="left"/>
              <w:rPr>
                <w:rFonts w:cs="Times New Roman"/>
                <w:color w:val="auto"/>
                <w:sz w:val="22"/>
              </w:rPr>
            </w:pPr>
          </w:p>
        </w:tc>
        <w:tc>
          <w:tcPr>
            <w:tcW w:w="0" w:type="auto"/>
            <w:vAlign w:val="center"/>
          </w:tcPr>
          <w:p w14:paraId="6F8C9CF6" w14:textId="77777777" w:rsidR="00064FF0" w:rsidRPr="00C801A6" w:rsidRDefault="00064FF0" w:rsidP="00347FDB">
            <w:pPr>
              <w:spacing w:after="0"/>
              <w:jc w:val="left"/>
              <w:rPr>
                <w:rFonts w:cs="Times New Roman"/>
                <w:color w:val="auto"/>
                <w:sz w:val="20"/>
                <w:szCs w:val="20"/>
              </w:rPr>
            </w:pPr>
            <w:r w:rsidRPr="00C801A6">
              <w:rPr>
                <w:rFonts w:cs="Times New Roman"/>
                <w:color w:val="auto"/>
                <w:sz w:val="20"/>
                <w:szCs w:val="20"/>
              </w:rPr>
              <w:t>Risques d’accidents liés au front de taille</w:t>
            </w:r>
          </w:p>
        </w:tc>
        <w:tc>
          <w:tcPr>
            <w:tcW w:w="0" w:type="auto"/>
            <w:tcBorders>
              <w:right w:val="single" w:sz="4" w:space="0" w:color="auto"/>
            </w:tcBorders>
          </w:tcPr>
          <w:p w14:paraId="006E8886" w14:textId="77777777" w:rsidR="00064FF0" w:rsidRPr="00C801A6" w:rsidRDefault="00064FF0" w:rsidP="00347FDB">
            <w:pPr>
              <w:spacing w:after="0"/>
              <w:jc w:val="left"/>
              <w:rPr>
                <w:rFonts w:cs="Times New Roman"/>
                <w:color w:val="auto"/>
                <w:sz w:val="20"/>
                <w:szCs w:val="20"/>
              </w:rPr>
            </w:pPr>
            <w:r w:rsidRPr="00C801A6">
              <w:rPr>
                <w:rFonts w:cs="Times New Roman"/>
                <w:color w:val="auto"/>
                <w:sz w:val="20"/>
                <w:szCs w:val="20"/>
              </w:rPr>
              <w:t xml:space="preserve">Respecter la hauteur des gradins de 5m </w:t>
            </w:r>
          </w:p>
        </w:tc>
        <w:tc>
          <w:tcPr>
            <w:tcW w:w="0" w:type="auto"/>
            <w:tcBorders>
              <w:top w:val="nil"/>
              <w:left w:val="single" w:sz="4" w:space="0" w:color="auto"/>
              <w:bottom w:val="nil"/>
              <w:right w:val="single" w:sz="4" w:space="0" w:color="auto"/>
            </w:tcBorders>
          </w:tcPr>
          <w:p w14:paraId="2B783999" w14:textId="77777777" w:rsidR="00064FF0" w:rsidRPr="00C801A6" w:rsidRDefault="00064FF0" w:rsidP="00347FDB">
            <w:pPr>
              <w:spacing w:after="0"/>
              <w:jc w:val="left"/>
              <w:rPr>
                <w:rFonts w:cs="Times New Roman"/>
                <w:color w:val="auto"/>
                <w:sz w:val="20"/>
                <w:szCs w:val="20"/>
              </w:rPr>
            </w:pPr>
          </w:p>
        </w:tc>
        <w:tc>
          <w:tcPr>
            <w:tcW w:w="0" w:type="auto"/>
            <w:tcBorders>
              <w:left w:val="single" w:sz="4" w:space="0" w:color="auto"/>
            </w:tcBorders>
          </w:tcPr>
          <w:p w14:paraId="3E466FE9" w14:textId="77777777" w:rsidR="00064FF0" w:rsidRPr="00C801A6" w:rsidRDefault="00064FF0" w:rsidP="00347FDB">
            <w:pPr>
              <w:spacing w:after="0"/>
              <w:jc w:val="left"/>
              <w:rPr>
                <w:rFonts w:cs="Times New Roman"/>
                <w:color w:val="auto"/>
                <w:sz w:val="20"/>
                <w:szCs w:val="20"/>
              </w:rPr>
            </w:pPr>
            <w:r w:rsidRPr="00C801A6">
              <w:rPr>
                <w:rFonts w:cs="Times New Roman"/>
                <w:color w:val="auto"/>
                <w:sz w:val="20"/>
                <w:szCs w:val="20"/>
              </w:rPr>
              <w:t>Plan d’exploitation du site</w:t>
            </w:r>
          </w:p>
        </w:tc>
        <w:tc>
          <w:tcPr>
            <w:tcW w:w="0" w:type="auto"/>
          </w:tcPr>
          <w:p w14:paraId="2F400E02"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Vérification</w:t>
            </w:r>
          </w:p>
        </w:tc>
        <w:tc>
          <w:tcPr>
            <w:tcW w:w="0" w:type="auto"/>
          </w:tcPr>
          <w:p w14:paraId="4766221E"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Entreprise MdC</w:t>
            </w:r>
          </w:p>
        </w:tc>
        <w:tc>
          <w:tcPr>
            <w:tcW w:w="0" w:type="auto"/>
          </w:tcPr>
          <w:p w14:paraId="3437A600"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Avant exploitation</w:t>
            </w:r>
          </w:p>
        </w:tc>
      </w:tr>
      <w:tr w:rsidR="00C801A6" w:rsidRPr="00C801A6" w14:paraId="17B4E2C0" w14:textId="77777777" w:rsidTr="00646511">
        <w:tc>
          <w:tcPr>
            <w:tcW w:w="0" w:type="auto"/>
            <w:vMerge/>
          </w:tcPr>
          <w:p w14:paraId="45C61ADB" w14:textId="77777777" w:rsidR="00064FF0" w:rsidRPr="00C801A6" w:rsidRDefault="00064FF0" w:rsidP="00347FDB">
            <w:pPr>
              <w:spacing w:before="30" w:after="0"/>
              <w:jc w:val="left"/>
              <w:rPr>
                <w:rFonts w:cs="Times New Roman"/>
                <w:color w:val="auto"/>
                <w:sz w:val="22"/>
              </w:rPr>
            </w:pPr>
          </w:p>
        </w:tc>
        <w:tc>
          <w:tcPr>
            <w:tcW w:w="0" w:type="auto"/>
            <w:vAlign w:val="center"/>
          </w:tcPr>
          <w:p w14:paraId="5C011ED2" w14:textId="77777777" w:rsidR="00064FF0" w:rsidRPr="00C801A6" w:rsidRDefault="00064FF0" w:rsidP="00347FDB">
            <w:pPr>
              <w:spacing w:after="0"/>
              <w:jc w:val="left"/>
              <w:rPr>
                <w:rFonts w:cs="Times New Roman"/>
                <w:color w:val="auto"/>
                <w:sz w:val="20"/>
                <w:szCs w:val="20"/>
              </w:rPr>
            </w:pPr>
            <w:r w:rsidRPr="00C801A6">
              <w:rPr>
                <w:rFonts w:cs="Times New Roman"/>
                <w:color w:val="auto"/>
                <w:sz w:val="20"/>
                <w:szCs w:val="20"/>
              </w:rPr>
              <w:t>Risques de pollution</w:t>
            </w:r>
          </w:p>
        </w:tc>
        <w:tc>
          <w:tcPr>
            <w:tcW w:w="0" w:type="auto"/>
            <w:tcBorders>
              <w:right w:val="single" w:sz="4" w:space="0" w:color="auto"/>
            </w:tcBorders>
          </w:tcPr>
          <w:p w14:paraId="32084145" w14:textId="77777777" w:rsidR="00064FF0" w:rsidRPr="00C801A6" w:rsidRDefault="00064FF0" w:rsidP="00347FDB">
            <w:pPr>
              <w:spacing w:after="0"/>
              <w:jc w:val="left"/>
              <w:rPr>
                <w:rFonts w:cs="Times New Roman"/>
                <w:color w:val="auto"/>
                <w:sz w:val="20"/>
                <w:szCs w:val="20"/>
              </w:rPr>
            </w:pPr>
            <w:r w:rsidRPr="00C801A6">
              <w:rPr>
                <w:rFonts w:cs="Times New Roman"/>
                <w:color w:val="auto"/>
                <w:sz w:val="20"/>
                <w:szCs w:val="20"/>
              </w:rPr>
              <w:t>Bien nettoyer le site avant la fermeture</w:t>
            </w:r>
          </w:p>
        </w:tc>
        <w:tc>
          <w:tcPr>
            <w:tcW w:w="0" w:type="auto"/>
            <w:tcBorders>
              <w:top w:val="nil"/>
              <w:left w:val="single" w:sz="4" w:space="0" w:color="auto"/>
              <w:bottom w:val="single" w:sz="4" w:space="0" w:color="auto"/>
              <w:right w:val="single" w:sz="4" w:space="0" w:color="auto"/>
            </w:tcBorders>
          </w:tcPr>
          <w:p w14:paraId="01BCCBE3" w14:textId="77777777" w:rsidR="00064FF0" w:rsidRPr="00C801A6" w:rsidRDefault="00064FF0" w:rsidP="00347FDB">
            <w:pPr>
              <w:spacing w:before="30" w:after="0"/>
              <w:jc w:val="left"/>
              <w:rPr>
                <w:rFonts w:cs="Times New Roman"/>
                <w:color w:val="auto"/>
                <w:sz w:val="20"/>
                <w:szCs w:val="20"/>
              </w:rPr>
            </w:pPr>
          </w:p>
        </w:tc>
        <w:tc>
          <w:tcPr>
            <w:tcW w:w="0" w:type="auto"/>
            <w:tcBorders>
              <w:left w:val="single" w:sz="4" w:space="0" w:color="auto"/>
            </w:tcBorders>
          </w:tcPr>
          <w:p w14:paraId="42E67272" w14:textId="77777777" w:rsidR="00064FF0" w:rsidRPr="00C801A6" w:rsidRDefault="00064FF0" w:rsidP="00347FDB">
            <w:pPr>
              <w:spacing w:before="30" w:after="0"/>
              <w:jc w:val="left"/>
              <w:rPr>
                <w:rFonts w:cs="Times New Roman"/>
                <w:color w:val="auto"/>
                <w:sz w:val="20"/>
                <w:szCs w:val="20"/>
              </w:rPr>
            </w:pPr>
            <w:r w:rsidRPr="00C801A6">
              <w:rPr>
                <w:rFonts w:cs="Times New Roman"/>
                <w:color w:val="auto"/>
                <w:sz w:val="20"/>
                <w:szCs w:val="20"/>
              </w:rPr>
              <w:t>Plan de remise en état</w:t>
            </w:r>
          </w:p>
        </w:tc>
        <w:tc>
          <w:tcPr>
            <w:tcW w:w="0" w:type="auto"/>
          </w:tcPr>
          <w:p w14:paraId="1DC154FD"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Vérification</w:t>
            </w:r>
          </w:p>
        </w:tc>
        <w:tc>
          <w:tcPr>
            <w:tcW w:w="0" w:type="auto"/>
          </w:tcPr>
          <w:p w14:paraId="1CE622AA"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Entreprise MdC</w:t>
            </w:r>
          </w:p>
        </w:tc>
        <w:tc>
          <w:tcPr>
            <w:tcW w:w="0" w:type="auto"/>
          </w:tcPr>
          <w:p w14:paraId="43CC8270" w14:textId="77777777" w:rsidR="00064FF0" w:rsidRPr="00C801A6" w:rsidRDefault="00064FF0" w:rsidP="00347FDB">
            <w:pPr>
              <w:spacing w:before="30" w:after="30"/>
              <w:jc w:val="left"/>
              <w:rPr>
                <w:rFonts w:cs="Times New Roman"/>
                <w:color w:val="auto"/>
                <w:sz w:val="20"/>
                <w:szCs w:val="20"/>
              </w:rPr>
            </w:pPr>
            <w:r w:rsidRPr="00C801A6">
              <w:rPr>
                <w:rFonts w:cs="Times New Roman"/>
                <w:color w:val="auto"/>
                <w:sz w:val="20"/>
                <w:szCs w:val="20"/>
              </w:rPr>
              <w:t>Avant fermeture</w:t>
            </w:r>
          </w:p>
        </w:tc>
      </w:tr>
    </w:tbl>
    <w:p w14:paraId="116B8DFC" w14:textId="77777777" w:rsidR="00064FF0" w:rsidRPr="00C801A6" w:rsidRDefault="00064FF0" w:rsidP="00064FF0">
      <w:pPr>
        <w:rPr>
          <w:color w:val="auto"/>
        </w:rPr>
      </w:pPr>
    </w:p>
    <w:p w14:paraId="6632B2CB" w14:textId="77777777" w:rsidR="00064FF0" w:rsidRPr="00C801A6" w:rsidRDefault="00064FF0" w:rsidP="00064FF0">
      <w:pPr>
        <w:spacing w:line="259" w:lineRule="auto"/>
        <w:jc w:val="left"/>
        <w:rPr>
          <w:color w:val="auto"/>
        </w:rPr>
      </w:pPr>
      <w:r w:rsidRPr="00C801A6">
        <w:rPr>
          <w:color w:val="auto"/>
        </w:rPr>
        <w:br w:type="page"/>
      </w:r>
    </w:p>
    <w:p w14:paraId="1261E1E0" w14:textId="77777777" w:rsidR="00064FF0" w:rsidRPr="00C801A6" w:rsidRDefault="00064FF0" w:rsidP="00C65572">
      <w:pPr>
        <w:pStyle w:val="Heading3"/>
      </w:pPr>
      <w:bookmarkStart w:id="832" w:name="_Toc71795004"/>
      <w:bookmarkStart w:id="833" w:name="_Toc101884492"/>
      <w:bookmarkStart w:id="834" w:name="_Toc102451189"/>
      <w:bookmarkStart w:id="835" w:name="_Toc106320444"/>
      <w:bookmarkStart w:id="836" w:name="_Toc230426097"/>
      <w:r w:rsidRPr="00C801A6">
        <w:lastRenderedPageBreak/>
        <w:t>Plan cadre de suivi environnemental et social</w:t>
      </w:r>
      <w:bookmarkEnd w:id="832"/>
      <w:bookmarkEnd w:id="833"/>
      <w:bookmarkEnd w:id="834"/>
      <w:bookmarkEnd w:id="835"/>
      <w:bookmarkEnd w:id="836"/>
    </w:p>
    <w:p w14:paraId="50230B5E" w14:textId="77777777" w:rsidR="00064FF0" w:rsidRPr="00C801A6" w:rsidRDefault="00064FF0" w:rsidP="00064FF0">
      <w:pPr>
        <w:rPr>
          <w:color w:val="auto"/>
        </w:rPr>
      </w:pPr>
      <w:r w:rsidRPr="00C801A6">
        <w:rPr>
          <w:color w:val="auto"/>
        </w:rPr>
        <w:t>Le suivi environnemental &amp; social vise à vérifier l’efficacité des mesures d’atténuation, à suivre les changements dans les composantes affectées et, en tant que de besoin, à adopter les mesures de correction requises. Contrairement au Plan de surveillance E&amp;S, les indicateurs sont quantitatifs et facilement mesurables.</w:t>
      </w:r>
    </w:p>
    <w:p w14:paraId="6B77E971" w14:textId="5FE49E66" w:rsidR="00064FF0" w:rsidRDefault="00064FF0" w:rsidP="00064FF0">
      <w:pPr>
        <w:rPr>
          <w:color w:val="auto"/>
        </w:rPr>
      </w:pPr>
      <w:r w:rsidRPr="00C801A6">
        <w:rPr>
          <w:color w:val="auto"/>
        </w:rPr>
        <w:t>Ainsi, en cas de détection d’un écart ou d’un incident, une fiche d’anomalie environnementale (ou Fiche de non-conformité) sera utilisée pour décrire l’anomalie observée et définir les mesures correctives envisagées.</w:t>
      </w:r>
    </w:p>
    <w:p w14:paraId="3836B0D9" w14:textId="6FD5FB3A" w:rsidR="00CB4938" w:rsidRPr="00C801A6" w:rsidRDefault="00CB4938" w:rsidP="00CB4938">
      <w:pPr>
        <w:pStyle w:val="Caption"/>
        <w:rPr>
          <w:color w:val="auto"/>
        </w:rPr>
      </w:pPr>
      <w:bookmarkStart w:id="837" w:name="_Toc230427757"/>
      <w:r>
        <w:t xml:space="preserve">Tableau </w:t>
      </w:r>
      <w:r w:rsidR="00E44887">
        <w:fldChar w:fldCharType="begin"/>
      </w:r>
      <w:r w:rsidR="00E44887">
        <w:instrText xml:space="preserve"> SEQ Tableau \* ARABIC </w:instrText>
      </w:r>
      <w:r w:rsidR="00E44887">
        <w:fldChar w:fldCharType="separate"/>
      </w:r>
      <w:r w:rsidR="00646511">
        <w:rPr>
          <w:noProof/>
        </w:rPr>
        <w:t>37</w:t>
      </w:r>
      <w:r w:rsidR="00E44887">
        <w:rPr>
          <w:noProof/>
        </w:rPr>
        <w:fldChar w:fldCharType="end"/>
      </w:r>
      <w:r>
        <w:t> : PLAN CADRE DE SUIVI E&amp;S – TRAVAUX DE GENIE CIVIL – PHASE PREPARATION</w:t>
      </w:r>
      <w:bookmarkEnd w:id="837"/>
    </w:p>
    <w:tbl>
      <w:tblPr>
        <w:tblStyle w:val="TableGrid"/>
        <w:tblW w:w="15026" w:type="dxa"/>
        <w:tblInd w:w="-5" w:type="dxa"/>
        <w:tblLook w:val="04A0" w:firstRow="1" w:lastRow="0" w:firstColumn="1" w:lastColumn="0" w:noHBand="0" w:noVBand="1"/>
      </w:tblPr>
      <w:tblGrid>
        <w:gridCol w:w="2655"/>
        <w:gridCol w:w="2337"/>
        <w:gridCol w:w="2756"/>
        <w:gridCol w:w="2346"/>
        <w:gridCol w:w="1375"/>
        <w:gridCol w:w="1649"/>
        <w:gridCol w:w="1908"/>
      </w:tblGrid>
      <w:tr w:rsidR="00C801A6" w:rsidRPr="00C801A6" w14:paraId="52BEE32F" w14:textId="77777777" w:rsidTr="00CB4938">
        <w:trPr>
          <w:tblHeader/>
        </w:trPr>
        <w:tc>
          <w:tcPr>
            <w:tcW w:w="2655" w:type="dxa"/>
            <w:tcBorders>
              <w:top w:val="single" w:sz="4" w:space="0" w:color="auto"/>
              <w:bottom w:val="single" w:sz="4" w:space="0" w:color="auto"/>
            </w:tcBorders>
            <w:shd w:val="clear" w:color="auto" w:fill="E2EFD9" w:themeFill="accent6" w:themeFillTint="33"/>
          </w:tcPr>
          <w:p w14:paraId="21D85E9D" w14:textId="77777777" w:rsidR="00064FF0" w:rsidRPr="00C801A6" w:rsidRDefault="00064FF0" w:rsidP="00347FDB">
            <w:pPr>
              <w:spacing w:before="20" w:after="20" w:line="264" w:lineRule="auto"/>
              <w:jc w:val="left"/>
              <w:rPr>
                <w:rFonts w:cs="Times New Roman"/>
                <w:b/>
                <w:color w:val="auto"/>
                <w:sz w:val="19"/>
                <w:szCs w:val="19"/>
              </w:rPr>
            </w:pPr>
            <w:r w:rsidRPr="00C801A6">
              <w:rPr>
                <w:rFonts w:cs="Times New Roman"/>
                <w:b/>
                <w:color w:val="auto"/>
                <w:sz w:val="19"/>
                <w:szCs w:val="19"/>
              </w:rPr>
              <w:t>Impacts types</w:t>
            </w:r>
          </w:p>
        </w:tc>
        <w:tc>
          <w:tcPr>
            <w:tcW w:w="2337" w:type="dxa"/>
            <w:tcBorders>
              <w:top w:val="single" w:sz="4" w:space="0" w:color="auto"/>
              <w:bottom w:val="single" w:sz="4" w:space="0" w:color="auto"/>
            </w:tcBorders>
            <w:shd w:val="clear" w:color="auto" w:fill="E2EFD9" w:themeFill="accent6" w:themeFillTint="33"/>
          </w:tcPr>
          <w:p w14:paraId="04B25F9E" w14:textId="77777777" w:rsidR="00064FF0" w:rsidRPr="00C801A6" w:rsidRDefault="00064FF0" w:rsidP="00347FDB">
            <w:pPr>
              <w:spacing w:before="20" w:after="20" w:line="264" w:lineRule="auto"/>
              <w:jc w:val="left"/>
              <w:rPr>
                <w:rFonts w:cs="Times New Roman"/>
                <w:b/>
                <w:color w:val="auto"/>
                <w:sz w:val="19"/>
                <w:szCs w:val="19"/>
              </w:rPr>
            </w:pPr>
            <w:r w:rsidRPr="00C801A6">
              <w:rPr>
                <w:rFonts w:cs="Times New Roman"/>
                <w:b/>
                <w:color w:val="auto"/>
                <w:sz w:val="19"/>
                <w:szCs w:val="19"/>
              </w:rPr>
              <w:t>Mesures d’évitement types</w:t>
            </w:r>
          </w:p>
        </w:tc>
        <w:tc>
          <w:tcPr>
            <w:tcW w:w="2756" w:type="dxa"/>
            <w:tcBorders>
              <w:top w:val="single" w:sz="4" w:space="0" w:color="auto"/>
              <w:bottom w:val="single" w:sz="4" w:space="0" w:color="auto"/>
            </w:tcBorders>
            <w:shd w:val="clear" w:color="auto" w:fill="E2EFD9" w:themeFill="accent6" w:themeFillTint="33"/>
          </w:tcPr>
          <w:p w14:paraId="4A0AD4D0" w14:textId="77777777" w:rsidR="00064FF0" w:rsidRPr="00C801A6" w:rsidRDefault="00064FF0" w:rsidP="00347FDB">
            <w:pPr>
              <w:spacing w:before="20" w:after="20" w:line="264" w:lineRule="auto"/>
              <w:jc w:val="left"/>
              <w:rPr>
                <w:rFonts w:cs="Times New Roman"/>
                <w:b/>
                <w:color w:val="auto"/>
                <w:sz w:val="19"/>
                <w:szCs w:val="19"/>
              </w:rPr>
            </w:pPr>
            <w:r w:rsidRPr="00C801A6">
              <w:rPr>
                <w:rFonts w:cs="Times New Roman"/>
                <w:b/>
                <w:color w:val="auto"/>
                <w:sz w:val="19"/>
                <w:szCs w:val="19"/>
              </w:rPr>
              <w:t>Mesures d’atténuation types</w:t>
            </w:r>
          </w:p>
        </w:tc>
        <w:tc>
          <w:tcPr>
            <w:tcW w:w="2346" w:type="dxa"/>
            <w:tcBorders>
              <w:top w:val="single" w:sz="4" w:space="0" w:color="auto"/>
              <w:bottom w:val="single" w:sz="4" w:space="0" w:color="auto"/>
            </w:tcBorders>
            <w:shd w:val="clear" w:color="auto" w:fill="E2EFD9" w:themeFill="accent6" w:themeFillTint="33"/>
          </w:tcPr>
          <w:p w14:paraId="1C93140B" w14:textId="77777777" w:rsidR="00064FF0" w:rsidRPr="00C801A6" w:rsidRDefault="00064FF0" w:rsidP="00347FDB">
            <w:pPr>
              <w:spacing w:before="20" w:after="20" w:line="264" w:lineRule="auto"/>
              <w:jc w:val="left"/>
              <w:rPr>
                <w:rFonts w:cs="Times New Roman"/>
                <w:b/>
                <w:color w:val="auto"/>
                <w:sz w:val="19"/>
                <w:szCs w:val="19"/>
              </w:rPr>
            </w:pPr>
            <w:r w:rsidRPr="00C801A6">
              <w:rPr>
                <w:rFonts w:cs="Times New Roman"/>
                <w:b/>
                <w:color w:val="auto"/>
                <w:sz w:val="19"/>
                <w:szCs w:val="19"/>
              </w:rPr>
              <w:t>Indicateurs de suivi</w:t>
            </w:r>
          </w:p>
        </w:tc>
        <w:tc>
          <w:tcPr>
            <w:tcW w:w="1375" w:type="dxa"/>
            <w:tcBorders>
              <w:top w:val="single" w:sz="4" w:space="0" w:color="auto"/>
              <w:bottom w:val="single" w:sz="4" w:space="0" w:color="auto"/>
            </w:tcBorders>
            <w:shd w:val="clear" w:color="auto" w:fill="E2EFD9" w:themeFill="accent6" w:themeFillTint="33"/>
          </w:tcPr>
          <w:p w14:paraId="5174B3BA" w14:textId="77777777" w:rsidR="00064FF0" w:rsidRPr="00C801A6" w:rsidRDefault="00064FF0" w:rsidP="00347FDB">
            <w:pPr>
              <w:spacing w:before="20" w:after="20" w:line="264" w:lineRule="auto"/>
              <w:jc w:val="left"/>
              <w:rPr>
                <w:rFonts w:cs="Times New Roman"/>
                <w:b/>
                <w:color w:val="auto"/>
                <w:sz w:val="19"/>
                <w:szCs w:val="19"/>
              </w:rPr>
            </w:pPr>
            <w:r w:rsidRPr="00C801A6">
              <w:rPr>
                <w:rFonts w:cs="Times New Roman"/>
                <w:b/>
                <w:color w:val="auto"/>
                <w:sz w:val="19"/>
                <w:szCs w:val="19"/>
              </w:rPr>
              <w:t>Méthode</w:t>
            </w:r>
          </w:p>
        </w:tc>
        <w:tc>
          <w:tcPr>
            <w:tcW w:w="1649" w:type="dxa"/>
            <w:tcBorders>
              <w:top w:val="single" w:sz="4" w:space="0" w:color="auto"/>
              <w:bottom w:val="single" w:sz="4" w:space="0" w:color="auto"/>
            </w:tcBorders>
            <w:shd w:val="clear" w:color="auto" w:fill="E2EFD9" w:themeFill="accent6" w:themeFillTint="33"/>
          </w:tcPr>
          <w:p w14:paraId="051FB639" w14:textId="77777777" w:rsidR="00064FF0" w:rsidRPr="00C801A6" w:rsidRDefault="00064FF0" w:rsidP="00347FDB">
            <w:pPr>
              <w:spacing w:before="20" w:after="20" w:line="264" w:lineRule="auto"/>
              <w:jc w:val="left"/>
              <w:rPr>
                <w:rFonts w:cs="Times New Roman"/>
                <w:b/>
                <w:color w:val="auto"/>
                <w:sz w:val="19"/>
                <w:szCs w:val="19"/>
              </w:rPr>
            </w:pPr>
            <w:r w:rsidRPr="00C801A6">
              <w:rPr>
                <w:rFonts w:cs="Times New Roman"/>
                <w:b/>
                <w:color w:val="auto"/>
                <w:sz w:val="19"/>
                <w:szCs w:val="19"/>
              </w:rPr>
              <w:t>Mise en œuvre</w:t>
            </w:r>
          </w:p>
        </w:tc>
        <w:tc>
          <w:tcPr>
            <w:tcW w:w="1908" w:type="dxa"/>
            <w:tcBorders>
              <w:top w:val="single" w:sz="4" w:space="0" w:color="auto"/>
              <w:bottom w:val="single" w:sz="4" w:space="0" w:color="auto"/>
            </w:tcBorders>
            <w:shd w:val="clear" w:color="auto" w:fill="E2EFD9" w:themeFill="accent6" w:themeFillTint="33"/>
          </w:tcPr>
          <w:p w14:paraId="2C9E5F68" w14:textId="77777777" w:rsidR="00064FF0" w:rsidRPr="00C801A6" w:rsidRDefault="00064FF0" w:rsidP="00347FDB">
            <w:pPr>
              <w:spacing w:before="20" w:after="20" w:line="264" w:lineRule="auto"/>
              <w:jc w:val="left"/>
              <w:rPr>
                <w:rFonts w:cs="Times New Roman"/>
                <w:b/>
                <w:color w:val="auto"/>
                <w:sz w:val="19"/>
                <w:szCs w:val="19"/>
              </w:rPr>
            </w:pPr>
            <w:r w:rsidRPr="00C801A6">
              <w:rPr>
                <w:rFonts w:cs="Times New Roman"/>
                <w:b/>
                <w:color w:val="auto"/>
                <w:sz w:val="19"/>
                <w:szCs w:val="19"/>
              </w:rPr>
              <w:t>Calendrier</w:t>
            </w:r>
          </w:p>
        </w:tc>
      </w:tr>
      <w:tr w:rsidR="00C801A6" w:rsidRPr="00C801A6" w14:paraId="0CFF1EEB" w14:textId="77777777" w:rsidTr="00CB4938">
        <w:tc>
          <w:tcPr>
            <w:tcW w:w="2655" w:type="dxa"/>
            <w:tcBorders>
              <w:top w:val="single" w:sz="4" w:space="0" w:color="auto"/>
              <w:left w:val="single" w:sz="4" w:space="0" w:color="auto"/>
              <w:bottom w:val="single" w:sz="4" w:space="0" w:color="auto"/>
              <w:right w:val="nil"/>
            </w:tcBorders>
            <w:shd w:val="clear" w:color="auto" w:fill="D0CECE" w:themeFill="background2" w:themeFillShade="E6"/>
          </w:tcPr>
          <w:p w14:paraId="001E6A14" w14:textId="77777777" w:rsidR="00064FF0" w:rsidRPr="00C801A6" w:rsidRDefault="00064FF0" w:rsidP="00347FDB">
            <w:pPr>
              <w:spacing w:before="20" w:after="20" w:line="264" w:lineRule="auto"/>
              <w:jc w:val="left"/>
              <w:rPr>
                <w:rFonts w:cs="Times New Roman"/>
                <w:b/>
                <w:color w:val="auto"/>
                <w:sz w:val="19"/>
                <w:szCs w:val="19"/>
                <w:lang w:eastAsia="fr-FR"/>
              </w:rPr>
            </w:pPr>
            <w:r w:rsidRPr="00C801A6">
              <w:rPr>
                <w:rFonts w:cs="Times New Roman"/>
                <w:b/>
                <w:color w:val="auto"/>
                <w:sz w:val="19"/>
                <w:szCs w:val="19"/>
                <w:lang w:eastAsia="fr-FR"/>
              </w:rPr>
              <w:t>Milieux biophysiques</w:t>
            </w:r>
          </w:p>
        </w:tc>
        <w:tc>
          <w:tcPr>
            <w:tcW w:w="2337" w:type="dxa"/>
            <w:tcBorders>
              <w:top w:val="single" w:sz="4" w:space="0" w:color="auto"/>
              <w:left w:val="nil"/>
              <w:bottom w:val="single" w:sz="4" w:space="0" w:color="auto"/>
              <w:right w:val="nil"/>
            </w:tcBorders>
            <w:shd w:val="clear" w:color="auto" w:fill="D0CECE" w:themeFill="background2" w:themeFillShade="E6"/>
          </w:tcPr>
          <w:p w14:paraId="29D8393D" w14:textId="77777777" w:rsidR="00064FF0" w:rsidRPr="00C801A6" w:rsidRDefault="00064FF0" w:rsidP="00347FDB">
            <w:pPr>
              <w:spacing w:before="20" w:after="20" w:line="264" w:lineRule="auto"/>
              <w:jc w:val="left"/>
              <w:rPr>
                <w:rFonts w:cs="Times New Roman"/>
                <w:b/>
                <w:color w:val="auto"/>
                <w:sz w:val="19"/>
                <w:szCs w:val="19"/>
                <w:lang w:eastAsia="fr-FR"/>
              </w:rPr>
            </w:pPr>
          </w:p>
        </w:tc>
        <w:tc>
          <w:tcPr>
            <w:tcW w:w="2756" w:type="dxa"/>
            <w:tcBorders>
              <w:top w:val="single" w:sz="4" w:space="0" w:color="auto"/>
              <w:left w:val="nil"/>
              <w:bottom w:val="single" w:sz="4" w:space="0" w:color="auto"/>
              <w:right w:val="nil"/>
            </w:tcBorders>
            <w:shd w:val="clear" w:color="auto" w:fill="D0CECE" w:themeFill="background2" w:themeFillShade="E6"/>
          </w:tcPr>
          <w:p w14:paraId="6718A6EF" w14:textId="77777777" w:rsidR="00064FF0" w:rsidRPr="00C801A6" w:rsidRDefault="00064FF0" w:rsidP="00347FDB">
            <w:pPr>
              <w:spacing w:before="20" w:after="20" w:line="264" w:lineRule="auto"/>
              <w:jc w:val="left"/>
              <w:rPr>
                <w:rFonts w:cs="Times New Roman"/>
                <w:b/>
                <w:color w:val="auto"/>
                <w:sz w:val="19"/>
                <w:szCs w:val="19"/>
                <w:lang w:eastAsia="fr-FR"/>
              </w:rPr>
            </w:pPr>
          </w:p>
        </w:tc>
        <w:tc>
          <w:tcPr>
            <w:tcW w:w="2346" w:type="dxa"/>
            <w:tcBorders>
              <w:top w:val="single" w:sz="4" w:space="0" w:color="auto"/>
              <w:left w:val="nil"/>
              <w:bottom w:val="single" w:sz="4" w:space="0" w:color="auto"/>
              <w:right w:val="nil"/>
            </w:tcBorders>
            <w:shd w:val="clear" w:color="auto" w:fill="D0CECE" w:themeFill="background2" w:themeFillShade="E6"/>
          </w:tcPr>
          <w:p w14:paraId="37C91BE1" w14:textId="77777777" w:rsidR="00064FF0" w:rsidRPr="00C801A6" w:rsidRDefault="00064FF0" w:rsidP="00347FDB">
            <w:pPr>
              <w:spacing w:before="20" w:after="20" w:line="264" w:lineRule="auto"/>
              <w:jc w:val="left"/>
              <w:rPr>
                <w:rFonts w:cs="Times New Roman"/>
                <w:b/>
                <w:color w:val="auto"/>
                <w:sz w:val="19"/>
                <w:szCs w:val="19"/>
                <w:lang w:eastAsia="fr-FR"/>
              </w:rPr>
            </w:pPr>
          </w:p>
        </w:tc>
        <w:tc>
          <w:tcPr>
            <w:tcW w:w="1375" w:type="dxa"/>
            <w:tcBorders>
              <w:top w:val="single" w:sz="4" w:space="0" w:color="auto"/>
              <w:left w:val="nil"/>
              <w:bottom w:val="single" w:sz="4" w:space="0" w:color="auto"/>
              <w:right w:val="nil"/>
            </w:tcBorders>
            <w:shd w:val="clear" w:color="auto" w:fill="D0CECE" w:themeFill="background2" w:themeFillShade="E6"/>
          </w:tcPr>
          <w:p w14:paraId="393F66A6" w14:textId="77777777" w:rsidR="00064FF0" w:rsidRPr="00C801A6" w:rsidRDefault="00064FF0" w:rsidP="00347FDB">
            <w:pPr>
              <w:spacing w:before="20" w:after="20" w:line="264" w:lineRule="auto"/>
              <w:jc w:val="left"/>
              <w:rPr>
                <w:rFonts w:cs="Times New Roman"/>
                <w:b/>
                <w:color w:val="auto"/>
                <w:sz w:val="19"/>
                <w:szCs w:val="19"/>
                <w:lang w:eastAsia="fr-FR"/>
              </w:rPr>
            </w:pPr>
          </w:p>
        </w:tc>
        <w:tc>
          <w:tcPr>
            <w:tcW w:w="1649" w:type="dxa"/>
            <w:tcBorders>
              <w:top w:val="single" w:sz="4" w:space="0" w:color="auto"/>
              <w:left w:val="nil"/>
              <w:bottom w:val="single" w:sz="4" w:space="0" w:color="auto"/>
              <w:right w:val="nil"/>
            </w:tcBorders>
            <w:shd w:val="clear" w:color="auto" w:fill="D0CECE" w:themeFill="background2" w:themeFillShade="E6"/>
          </w:tcPr>
          <w:p w14:paraId="5051B4F6" w14:textId="77777777" w:rsidR="00064FF0" w:rsidRPr="00C801A6" w:rsidRDefault="00064FF0" w:rsidP="00347FDB">
            <w:pPr>
              <w:spacing w:before="20" w:after="20" w:line="264" w:lineRule="auto"/>
              <w:jc w:val="left"/>
              <w:rPr>
                <w:rFonts w:cs="Times New Roman"/>
                <w:b/>
                <w:color w:val="auto"/>
                <w:sz w:val="19"/>
                <w:szCs w:val="19"/>
                <w:lang w:eastAsia="fr-FR"/>
              </w:rPr>
            </w:pPr>
          </w:p>
        </w:tc>
        <w:tc>
          <w:tcPr>
            <w:tcW w:w="1908" w:type="dxa"/>
            <w:tcBorders>
              <w:top w:val="single" w:sz="4" w:space="0" w:color="auto"/>
              <w:left w:val="nil"/>
              <w:bottom w:val="single" w:sz="4" w:space="0" w:color="auto"/>
              <w:right w:val="single" w:sz="4" w:space="0" w:color="auto"/>
            </w:tcBorders>
            <w:shd w:val="clear" w:color="auto" w:fill="D0CECE" w:themeFill="background2" w:themeFillShade="E6"/>
          </w:tcPr>
          <w:p w14:paraId="69982638" w14:textId="77777777" w:rsidR="00064FF0" w:rsidRPr="00C801A6" w:rsidRDefault="00064FF0" w:rsidP="00347FDB">
            <w:pPr>
              <w:spacing w:before="20" w:after="20" w:line="264" w:lineRule="auto"/>
              <w:jc w:val="left"/>
              <w:rPr>
                <w:rFonts w:cs="Times New Roman"/>
                <w:b/>
                <w:color w:val="auto"/>
                <w:sz w:val="19"/>
                <w:szCs w:val="19"/>
                <w:lang w:eastAsia="fr-FR"/>
              </w:rPr>
            </w:pPr>
          </w:p>
        </w:tc>
      </w:tr>
      <w:tr w:rsidR="00C801A6" w:rsidRPr="00C801A6" w14:paraId="0B0CE2C3" w14:textId="77777777" w:rsidTr="00CB4938">
        <w:tc>
          <w:tcPr>
            <w:tcW w:w="2655" w:type="dxa"/>
            <w:tcBorders>
              <w:top w:val="single" w:sz="4" w:space="0" w:color="auto"/>
            </w:tcBorders>
          </w:tcPr>
          <w:p w14:paraId="3251D86A" w14:textId="263CDCB8" w:rsidR="00064FF0" w:rsidRPr="00C801A6" w:rsidRDefault="00064FF0" w:rsidP="00347FDB">
            <w:pPr>
              <w:spacing w:before="20" w:after="20" w:line="264" w:lineRule="auto"/>
              <w:jc w:val="left"/>
              <w:rPr>
                <w:rFonts w:cs="Times New Roman"/>
                <w:color w:val="auto"/>
                <w:sz w:val="19"/>
                <w:szCs w:val="19"/>
                <w:lang w:eastAsia="fr-FR"/>
              </w:rPr>
            </w:pPr>
            <w:r w:rsidRPr="00C801A6">
              <w:rPr>
                <w:rFonts w:cs="Times New Roman"/>
                <w:color w:val="auto"/>
                <w:sz w:val="19"/>
                <w:szCs w:val="19"/>
                <w:lang w:eastAsia="fr-FR"/>
              </w:rPr>
              <w:t xml:space="preserve">Installation de la base-vie : risques de recrudescence d’actes </w:t>
            </w:r>
            <w:r w:rsidR="006F38A3">
              <w:rPr>
                <w:rFonts w:cs="Times New Roman"/>
                <w:color w:val="auto"/>
                <w:sz w:val="19"/>
                <w:szCs w:val="19"/>
                <w:lang w:eastAsia="fr-FR"/>
              </w:rPr>
              <w:t xml:space="preserve">EAS-HS </w:t>
            </w:r>
            <w:r w:rsidRPr="00C801A6">
              <w:rPr>
                <w:rFonts w:cs="Times New Roman"/>
                <w:color w:val="auto"/>
                <w:sz w:val="19"/>
                <w:szCs w:val="19"/>
                <w:lang w:eastAsia="fr-FR"/>
              </w:rPr>
              <w:t>, risques de pollution, autres</w:t>
            </w:r>
          </w:p>
        </w:tc>
        <w:tc>
          <w:tcPr>
            <w:tcW w:w="2337" w:type="dxa"/>
            <w:tcBorders>
              <w:top w:val="single" w:sz="4" w:space="0" w:color="auto"/>
            </w:tcBorders>
          </w:tcPr>
          <w:p w14:paraId="08E83972" w14:textId="77777777" w:rsidR="00064FF0" w:rsidRPr="00C801A6" w:rsidRDefault="00064FF0" w:rsidP="00844538">
            <w:pPr>
              <w:pStyle w:val="Default"/>
              <w:numPr>
                <w:ilvl w:val="0"/>
                <w:numId w:val="161"/>
              </w:numPr>
              <w:spacing w:before="60" w:after="60" w:line="264" w:lineRule="auto"/>
              <w:ind w:left="142" w:hanging="142"/>
              <w:jc w:val="both"/>
              <w:rPr>
                <w:rFonts w:ascii="Times New Roman" w:hAnsi="Times New Roman" w:cs="Times New Roman"/>
                <w:color w:val="auto"/>
                <w:sz w:val="20"/>
                <w:szCs w:val="18"/>
              </w:rPr>
            </w:pPr>
            <w:r w:rsidRPr="00C801A6">
              <w:rPr>
                <w:rFonts w:ascii="Times New Roman" w:hAnsi="Times New Roman" w:cs="Times New Roman"/>
                <w:color w:val="auto"/>
                <w:sz w:val="20"/>
                <w:szCs w:val="18"/>
              </w:rPr>
              <w:t>Aucune</w:t>
            </w:r>
          </w:p>
        </w:tc>
        <w:tc>
          <w:tcPr>
            <w:tcW w:w="2756" w:type="dxa"/>
            <w:tcBorders>
              <w:top w:val="single" w:sz="4" w:space="0" w:color="auto"/>
            </w:tcBorders>
            <w:shd w:val="clear" w:color="auto" w:fill="FFFFFF" w:themeFill="background1"/>
          </w:tcPr>
          <w:p w14:paraId="4FF08336" w14:textId="77777777" w:rsidR="00064FF0" w:rsidRPr="00C801A6" w:rsidRDefault="00064FF0" w:rsidP="00844538">
            <w:pPr>
              <w:pStyle w:val="Default"/>
              <w:numPr>
                <w:ilvl w:val="0"/>
                <w:numId w:val="161"/>
              </w:numPr>
              <w:spacing w:before="60" w:after="60" w:line="264" w:lineRule="auto"/>
              <w:ind w:left="142" w:hanging="142"/>
              <w:jc w:val="both"/>
              <w:rPr>
                <w:rFonts w:cs="Times New Roman"/>
                <w:color w:val="auto"/>
                <w:sz w:val="19"/>
                <w:szCs w:val="19"/>
              </w:rPr>
            </w:pPr>
            <w:r w:rsidRPr="00C801A6">
              <w:rPr>
                <w:rFonts w:ascii="Times New Roman" w:hAnsi="Times New Roman" w:cs="Times New Roman"/>
                <w:color w:val="auto"/>
                <w:sz w:val="20"/>
                <w:szCs w:val="18"/>
              </w:rPr>
              <w:t>Installer</w:t>
            </w:r>
            <w:r w:rsidRPr="00C801A6">
              <w:rPr>
                <w:rFonts w:cs="Times New Roman"/>
                <w:color w:val="auto"/>
                <w:sz w:val="19"/>
                <w:szCs w:val="19"/>
              </w:rPr>
              <w:t xml:space="preserve"> la base-vie à :</w:t>
            </w:r>
          </w:p>
          <w:p w14:paraId="58E67C51" w14:textId="103B6CF3" w:rsidR="00064FF0" w:rsidRPr="00C801A6" w:rsidRDefault="00064FF0" w:rsidP="00844538">
            <w:pPr>
              <w:pStyle w:val="ListParagraph"/>
              <w:numPr>
                <w:ilvl w:val="1"/>
                <w:numId w:val="28"/>
              </w:numPr>
              <w:spacing w:before="20" w:after="20" w:line="264" w:lineRule="auto"/>
              <w:ind w:left="284" w:hanging="142"/>
              <w:contextualSpacing w:val="0"/>
              <w:jc w:val="left"/>
              <w:rPr>
                <w:rFonts w:cs="Times New Roman"/>
                <w:color w:val="auto"/>
                <w:sz w:val="19"/>
                <w:szCs w:val="19"/>
              </w:rPr>
            </w:pPr>
            <w:r w:rsidRPr="00C801A6">
              <w:rPr>
                <w:rFonts w:cs="Times New Roman"/>
                <w:color w:val="auto"/>
                <w:sz w:val="19"/>
                <w:szCs w:val="19"/>
              </w:rPr>
              <w:t xml:space="preserve">au moins 200m de la zone habitée la plus proche afin de contribuer à la minimisation des risques d’actes </w:t>
            </w:r>
            <w:r w:rsidR="006F38A3">
              <w:rPr>
                <w:rFonts w:cs="Times New Roman"/>
                <w:color w:val="auto"/>
                <w:sz w:val="19"/>
                <w:szCs w:val="19"/>
              </w:rPr>
              <w:t xml:space="preserve">EAS-HS </w:t>
            </w:r>
          </w:p>
          <w:p w14:paraId="1D3C1721" w14:textId="77777777" w:rsidR="00064FF0" w:rsidRPr="00C801A6" w:rsidRDefault="00064FF0" w:rsidP="00844538">
            <w:pPr>
              <w:pStyle w:val="ListParagraph"/>
              <w:numPr>
                <w:ilvl w:val="1"/>
                <w:numId w:val="28"/>
              </w:numPr>
              <w:spacing w:before="20" w:after="20" w:line="264" w:lineRule="auto"/>
              <w:ind w:left="284" w:hanging="142"/>
              <w:contextualSpacing w:val="0"/>
              <w:jc w:val="left"/>
              <w:rPr>
                <w:rFonts w:cs="Times New Roman"/>
                <w:color w:val="auto"/>
                <w:sz w:val="19"/>
                <w:szCs w:val="19"/>
              </w:rPr>
            </w:pPr>
            <w:r w:rsidRPr="00C801A6">
              <w:rPr>
                <w:rFonts w:cs="Times New Roman"/>
                <w:color w:val="auto"/>
                <w:sz w:val="19"/>
                <w:szCs w:val="19"/>
              </w:rPr>
              <w:t>au moins 50m d’un plan d’eau</w:t>
            </w:r>
          </w:p>
          <w:p w14:paraId="25500F74" w14:textId="77777777" w:rsidR="00064FF0" w:rsidRPr="00C801A6" w:rsidRDefault="00064FF0" w:rsidP="00844538">
            <w:pPr>
              <w:pStyle w:val="Default"/>
              <w:numPr>
                <w:ilvl w:val="0"/>
                <w:numId w:val="161"/>
              </w:numPr>
              <w:spacing w:before="60" w:after="60" w:line="264" w:lineRule="auto"/>
              <w:ind w:left="142" w:hanging="142"/>
              <w:jc w:val="both"/>
              <w:rPr>
                <w:rFonts w:cs="Times New Roman"/>
                <w:color w:val="auto"/>
                <w:sz w:val="19"/>
                <w:szCs w:val="19"/>
              </w:rPr>
            </w:pPr>
            <w:r w:rsidRPr="00C801A6">
              <w:rPr>
                <w:rFonts w:ascii="Times New Roman" w:hAnsi="Times New Roman" w:cs="Times New Roman"/>
                <w:color w:val="auto"/>
                <w:sz w:val="20"/>
                <w:szCs w:val="18"/>
              </w:rPr>
              <w:t>Installer</w:t>
            </w:r>
            <w:r w:rsidRPr="00C801A6">
              <w:rPr>
                <w:rFonts w:cs="Times New Roman"/>
                <w:color w:val="auto"/>
                <w:sz w:val="19"/>
                <w:szCs w:val="19"/>
                <w:shd w:val="clear" w:color="auto" w:fill="FFFFFF" w:themeFill="background1"/>
              </w:rPr>
              <w:t xml:space="preserve"> des douches et des latrines</w:t>
            </w:r>
          </w:p>
        </w:tc>
        <w:tc>
          <w:tcPr>
            <w:tcW w:w="2346" w:type="dxa"/>
            <w:tcBorders>
              <w:top w:val="single" w:sz="4" w:space="0" w:color="auto"/>
            </w:tcBorders>
          </w:tcPr>
          <w:p w14:paraId="0B6D8D0A" w14:textId="77777777" w:rsidR="00064FF0" w:rsidRPr="00C801A6" w:rsidRDefault="00064FF0" w:rsidP="00844538">
            <w:pPr>
              <w:pStyle w:val="Default"/>
              <w:numPr>
                <w:ilvl w:val="0"/>
                <w:numId w:val="161"/>
              </w:numPr>
              <w:spacing w:before="60" w:after="60" w:line="264" w:lineRule="auto"/>
              <w:ind w:left="142" w:hanging="142"/>
              <w:jc w:val="both"/>
              <w:rPr>
                <w:rFonts w:ascii="Times New Roman" w:hAnsi="Times New Roman" w:cs="Times New Roman"/>
                <w:color w:val="auto"/>
                <w:sz w:val="20"/>
                <w:szCs w:val="18"/>
              </w:rPr>
            </w:pPr>
            <w:r w:rsidRPr="00C801A6">
              <w:rPr>
                <w:rFonts w:ascii="Times New Roman" w:hAnsi="Times New Roman" w:cs="Times New Roman"/>
                <w:color w:val="auto"/>
                <w:sz w:val="20"/>
                <w:szCs w:val="18"/>
              </w:rPr>
              <w:t>Distances approximatives entre l’habitation et le plan d’eau les plus proches</w:t>
            </w:r>
          </w:p>
        </w:tc>
        <w:tc>
          <w:tcPr>
            <w:tcW w:w="1375" w:type="dxa"/>
            <w:tcBorders>
              <w:top w:val="single" w:sz="4" w:space="0" w:color="auto"/>
            </w:tcBorders>
          </w:tcPr>
          <w:p w14:paraId="04C87F72" w14:textId="77777777" w:rsidR="00064FF0" w:rsidRPr="00C801A6" w:rsidRDefault="00064FF0" w:rsidP="00844538">
            <w:pPr>
              <w:pStyle w:val="Default"/>
              <w:numPr>
                <w:ilvl w:val="0"/>
                <w:numId w:val="161"/>
              </w:numPr>
              <w:spacing w:before="60" w:after="60" w:line="264" w:lineRule="auto"/>
              <w:ind w:left="142" w:hanging="142"/>
              <w:jc w:val="both"/>
              <w:rPr>
                <w:rFonts w:ascii="Times New Roman" w:hAnsi="Times New Roman" w:cs="Times New Roman"/>
                <w:color w:val="auto"/>
                <w:sz w:val="20"/>
                <w:szCs w:val="18"/>
              </w:rPr>
            </w:pPr>
            <w:r w:rsidRPr="00C801A6">
              <w:rPr>
                <w:rFonts w:ascii="Times New Roman" w:hAnsi="Times New Roman" w:cs="Times New Roman"/>
                <w:color w:val="auto"/>
                <w:sz w:val="20"/>
                <w:szCs w:val="18"/>
              </w:rPr>
              <w:t>Estimation</w:t>
            </w:r>
          </w:p>
        </w:tc>
        <w:tc>
          <w:tcPr>
            <w:tcW w:w="1649" w:type="dxa"/>
            <w:tcBorders>
              <w:top w:val="single" w:sz="4" w:space="0" w:color="auto"/>
            </w:tcBorders>
          </w:tcPr>
          <w:p w14:paraId="1ACDDE7B" w14:textId="77777777" w:rsidR="00064FF0" w:rsidRPr="00C801A6" w:rsidRDefault="00064FF0" w:rsidP="00844538">
            <w:pPr>
              <w:pStyle w:val="Default"/>
              <w:numPr>
                <w:ilvl w:val="0"/>
                <w:numId w:val="161"/>
              </w:numPr>
              <w:spacing w:before="60" w:after="60" w:line="264" w:lineRule="auto"/>
              <w:ind w:left="142" w:hanging="142"/>
              <w:jc w:val="both"/>
              <w:rPr>
                <w:rFonts w:ascii="Times New Roman" w:hAnsi="Times New Roman" w:cs="Times New Roman"/>
                <w:color w:val="auto"/>
                <w:sz w:val="20"/>
                <w:szCs w:val="18"/>
              </w:rPr>
            </w:pPr>
            <w:r w:rsidRPr="00C801A6">
              <w:rPr>
                <w:rFonts w:ascii="Times New Roman" w:hAnsi="Times New Roman" w:cs="Times New Roman"/>
                <w:color w:val="auto"/>
                <w:sz w:val="20"/>
                <w:szCs w:val="18"/>
              </w:rPr>
              <w:t>Entreprise</w:t>
            </w:r>
          </w:p>
          <w:p w14:paraId="66DCD2A6" w14:textId="77777777" w:rsidR="00064FF0" w:rsidRPr="00C801A6" w:rsidRDefault="00064FF0" w:rsidP="00844538">
            <w:pPr>
              <w:pStyle w:val="Default"/>
              <w:numPr>
                <w:ilvl w:val="0"/>
                <w:numId w:val="161"/>
              </w:numPr>
              <w:spacing w:before="60" w:after="60" w:line="264" w:lineRule="auto"/>
              <w:ind w:left="142" w:hanging="142"/>
              <w:jc w:val="both"/>
              <w:rPr>
                <w:rFonts w:ascii="Times New Roman" w:hAnsi="Times New Roman" w:cs="Times New Roman"/>
                <w:color w:val="auto"/>
                <w:sz w:val="20"/>
                <w:szCs w:val="18"/>
              </w:rPr>
            </w:pPr>
            <w:r w:rsidRPr="00C801A6">
              <w:rPr>
                <w:rFonts w:ascii="Times New Roman" w:hAnsi="Times New Roman" w:cs="Times New Roman"/>
                <w:color w:val="auto"/>
                <w:sz w:val="20"/>
                <w:szCs w:val="18"/>
              </w:rPr>
              <w:t>MdC</w:t>
            </w:r>
          </w:p>
        </w:tc>
        <w:tc>
          <w:tcPr>
            <w:tcW w:w="1908" w:type="dxa"/>
            <w:tcBorders>
              <w:top w:val="single" w:sz="4" w:space="0" w:color="auto"/>
            </w:tcBorders>
          </w:tcPr>
          <w:p w14:paraId="408A0C76" w14:textId="77777777" w:rsidR="00064FF0" w:rsidRPr="00C801A6" w:rsidRDefault="00064FF0" w:rsidP="00844538">
            <w:pPr>
              <w:pStyle w:val="Default"/>
              <w:numPr>
                <w:ilvl w:val="0"/>
                <w:numId w:val="161"/>
              </w:numPr>
              <w:spacing w:before="60" w:after="60" w:line="264" w:lineRule="auto"/>
              <w:ind w:left="142" w:hanging="142"/>
              <w:jc w:val="both"/>
              <w:rPr>
                <w:rFonts w:ascii="Times New Roman" w:hAnsi="Times New Roman" w:cs="Times New Roman"/>
                <w:color w:val="auto"/>
                <w:sz w:val="20"/>
                <w:szCs w:val="18"/>
              </w:rPr>
            </w:pPr>
            <w:r w:rsidRPr="00C801A6">
              <w:rPr>
                <w:rFonts w:ascii="Times New Roman" w:hAnsi="Times New Roman" w:cs="Times New Roman"/>
                <w:color w:val="auto"/>
                <w:sz w:val="20"/>
                <w:szCs w:val="18"/>
              </w:rPr>
              <w:t>Au moment de l’installation</w:t>
            </w:r>
          </w:p>
        </w:tc>
      </w:tr>
      <w:tr w:rsidR="00C801A6" w:rsidRPr="00C801A6" w14:paraId="6142C4C3" w14:textId="77777777" w:rsidTr="00CB4938">
        <w:tc>
          <w:tcPr>
            <w:tcW w:w="2655" w:type="dxa"/>
            <w:tcBorders>
              <w:bottom w:val="single" w:sz="4" w:space="0" w:color="auto"/>
            </w:tcBorders>
          </w:tcPr>
          <w:p w14:paraId="086408CB" w14:textId="77777777" w:rsidR="00064FF0" w:rsidRPr="00C801A6" w:rsidRDefault="00064FF0" w:rsidP="00347FDB">
            <w:pPr>
              <w:spacing w:before="20" w:after="20" w:line="264" w:lineRule="auto"/>
              <w:jc w:val="left"/>
              <w:rPr>
                <w:rFonts w:cs="Times New Roman"/>
                <w:color w:val="auto"/>
                <w:sz w:val="19"/>
                <w:szCs w:val="19"/>
                <w:lang w:eastAsia="fr-FR"/>
              </w:rPr>
            </w:pPr>
            <w:r w:rsidRPr="00C801A6">
              <w:rPr>
                <w:rFonts w:cs="Times New Roman"/>
                <w:color w:val="auto"/>
                <w:sz w:val="19"/>
                <w:szCs w:val="19"/>
                <w:lang w:eastAsia="fr-FR"/>
              </w:rPr>
              <w:t>Perte de couverture végétale / base-vie</w:t>
            </w:r>
          </w:p>
        </w:tc>
        <w:tc>
          <w:tcPr>
            <w:tcW w:w="2337" w:type="dxa"/>
            <w:tcBorders>
              <w:bottom w:val="single" w:sz="4" w:space="0" w:color="auto"/>
            </w:tcBorders>
          </w:tcPr>
          <w:p w14:paraId="00B1FED6" w14:textId="77777777" w:rsidR="00064FF0" w:rsidRPr="00C801A6" w:rsidRDefault="00064FF0" w:rsidP="00844538">
            <w:pPr>
              <w:pStyle w:val="Default"/>
              <w:numPr>
                <w:ilvl w:val="0"/>
                <w:numId w:val="161"/>
              </w:numPr>
              <w:spacing w:before="60" w:after="60" w:line="264" w:lineRule="auto"/>
              <w:ind w:left="142" w:hanging="142"/>
              <w:jc w:val="both"/>
              <w:rPr>
                <w:rFonts w:ascii="Times New Roman" w:hAnsi="Times New Roman" w:cs="Times New Roman"/>
                <w:color w:val="auto"/>
                <w:sz w:val="20"/>
                <w:szCs w:val="18"/>
              </w:rPr>
            </w:pPr>
            <w:r w:rsidRPr="00C801A6">
              <w:rPr>
                <w:rFonts w:ascii="Times New Roman" w:hAnsi="Times New Roman" w:cs="Times New Roman"/>
                <w:color w:val="auto"/>
                <w:sz w:val="20"/>
                <w:szCs w:val="18"/>
              </w:rPr>
              <w:t>Aucune</w:t>
            </w:r>
          </w:p>
        </w:tc>
        <w:tc>
          <w:tcPr>
            <w:tcW w:w="2756" w:type="dxa"/>
            <w:tcBorders>
              <w:bottom w:val="single" w:sz="4" w:space="0" w:color="auto"/>
            </w:tcBorders>
          </w:tcPr>
          <w:p w14:paraId="4789F5DD" w14:textId="77777777" w:rsidR="00064FF0" w:rsidRPr="00C801A6" w:rsidRDefault="00064FF0" w:rsidP="00844538">
            <w:pPr>
              <w:pStyle w:val="Default"/>
              <w:numPr>
                <w:ilvl w:val="0"/>
                <w:numId w:val="161"/>
              </w:numPr>
              <w:spacing w:before="60" w:after="60" w:line="264" w:lineRule="auto"/>
              <w:ind w:left="142" w:hanging="142"/>
              <w:jc w:val="both"/>
              <w:rPr>
                <w:rFonts w:ascii="Times New Roman" w:hAnsi="Times New Roman" w:cs="Times New Roman"/>
                <w:color w:val="auto"/>
                <w:sz w:val="20"/>
                <w:szCs w:val="18"/>
              </w:rPr>
            </w:pPr>
            <w:r w:rsidRPr="00C801A6">
              <w:rPr>
                <w:rFonts w:cs="Times New Roman"/>
                <w:color w:val="auto"/>
                <w:sz w:val="19"/>
                <w:szCs w:val="19"/>
              </w:rPr>
              <w:t xml:space="preserve">Limiter le débroussaillage au strict </w:t>
            </w:r>
            <w:r w:rsidRPr="00C801A6">
              <w:rPr>
                <w:rFonts w:ascii="Times New Roman" w:hAnsi="Times New Roman" w:cs="Times New Roman"/>
                <w:color w:val="auto"/>
                <w:sz w:val="20"/>
                <w:szCs w:val="18"/>
              </w:rPr>
              <w:t>nécessaire</w:t>
            </w:r>
          </w:p>
          <w:p w14:paraId="429F4994" w14:textId="77777777" w:rsidR="00064FF0" w:rsidRDefault="00064FF0" w:rsidP="00844538">
            <w:pPr>
              <w:pStyle w:val="Default"/>
              <w:numPr>
                <w:ilvl w:val="0"/>
                <w:numId w:val="161"/>
              </w:numPr>
              <w:spacing w:before="60" w:after="60" w:line="264" w:lineRule="auto"/>
              <w:ind w:left="142" w:hanging="142"/>
              <w:jc w:val="both"/>
              <w:rPr>
                <w:rFonts w:cs="Times New Roman"/>
                <w:color w:val="auto"/>
                <w:sz w:val="19"/>
                <w:szCs w:val="19"/>
              </w:rPr>
            </w:pPr>
            <w:r w:rsidRPr="00C801A6">
              <w:rPr>
                <w:rFonts w:ascii="Times New Roman" w:hAnsi="Times New Roman" w:cs="Times New Roman"/>
                <w:color w:val="auto"/>
                <w:sz w:val="20"/>
                <w:szCs w:val="18"/>
              </w:rPr>
              <w:t>Revégétalisation par embroussaillement</w:t>
            </w:r>
            <w:r w:rsidRPr="00C801A6">
              <w:rPr>
                <w:rFonts w:cs="Times New Roman"/>
                <w:color w:val="auto"/>
                <w:sz w:val="19"/>
                <w:szCs w:val="19"/>
              </w:rPr>
              <w:t xml:space="preserve"> et plantation d’arbres sur les limites de la base-vie</w:t>
            </w:r>
          </w:p>
          <w:p w14:paraId="2D50D1ED" w14:textId="77777777" w:rsidR="00CB4938" w:rsidRDefault="00CB4938" w:rsidP="00CB4938">
            <w:pPr>
              <w:pStyle w:val="Default"/>
              <w:spacing w:before="60" w:after="60" w:line="264" w:lineRule="auto"/>
              <w:jc w:val="both"/>
              <w:rPr>
                <w:rFonts w:cs="Times New Roman"/>
                <w:color w:val="auto"/>
                <w:sz w:val="19"/>
                <w:szCs w:val="19"/>
              </w:rPr>
            </w:pPr>
          </w:p>
          <w:p w14:paraId="57B92634" w14:textId="77777777" w:rsidR="00CB4938" w:rsidRDefault="00CB4938" w:rsidP="00CB4938">
            <w:pPr>
              <w:pStyle w:val="Default"/>
              <w:spacing w:before="60" w:after="60" w:line="264" w:lineRule="auto"/>
              <w:jc w:val="both"/>
              <w:rPr>
                <w:rFonts w:cs="Times New Roman"/>
                <w:color w:val="auto"/>
                <w:sz w:val="19"/>
                <w:szCs w:val="19"/>
              </w:rPr>
            </w:pPr>
          </w:p>
          <w:p w14:paraId="12A9F9E1" w14:textId="10924DA3" w:rsidR="00CB4938" w:rsidRPr="00C801A6" w:rsidRDefault="00CB4938" w:rsidP="00CB4938">
            <w:pPr>
              <w:pStyle w:val="Default"/>
              <w:spacing w:before="60" w:after="60" w:line="264" w:lineRule="auto"/>
              <w:jc w:val="both"/>
              <w:rPr>
                <w:rFonts w:cs="Times New Roman"/>
                <w:color w:val="auto"/>
                <w:sz w:val="19"/>
                <w:szCs w:val="19"/>
              </w:rPr>
            </w:pPr>
          </w:p>
        </w:tc>
        <w:tc>
          <w:tcPr>
            <w:tcW w:w="2346" w:type="dxa"/>
            <w:tcBorders>
              <w:bottom w:val="single" w:sz="4" w:space="0" w:color="auto"/>
            </w:tcBorders>
          </w:tcPr>
          <w:p w14:paraId="1DE3DC78" w14:textId="77777777" w:rsidR="00064FF0" w:rsidRPr="00C801A6" w:rsidRDefault="00064FF0" w:rsidP="00844538">
            <w:pPr>
              <w:pStyle w:val="Default"/>
              <w:numPr>
                <w:ilvl w:val="0"/>
                <w:numId w:val="161"/>
              </w:numPr>
              <w:spacing w:before="60" w:after="60" w:line="264" w:lineRule="auto"/>
              <w:ind w:left="142" w:hanging="142"/>
              <w:jc w:val="both"/>
              <w:rPr>
                <w:rFonts w:ascii="Times New Roman" w:hAnsi="Times New Roman" w:cs="Times New Roman"/>
                <w:color w:val="auto"/>
                <w:sz w:val="20"/>
                <w:szCs w:val="18"/>
              </w:rPr>
            </w:pPr>
            <w:r w:rsidRPr="00C801A6">
              <w:rPr>
                <w:rFonts w:ascii="Times New Roman" w:hAnsi="Times New Roman" w:cs="Times New Roman"/>
                <w:color w:val="auto"/>
                <w:sz w:val="20"/>
                <w:szCs w:val="18"/>
              </w:rPr>
              <w:t>Surfaces débroussaillées</w:t>
            </w:r>
          </w:p>
          <w:p w14:paraId="498DB61E" w14:textId="77777777" w:rsidR="00064FF0" w:rsidRPr="00C801A6" w:rsidRDefault="00064FF0" w:rsidP="00844538">
            <w:pPr>
              <w:pStyle w:val="Default"/>
              <w:numPr>
                <w:ilvl w:val="0"/>
                <w:numId w:val="161"/>
              </w:numPr>
              <w:spacing w:before="60" w:after="60" w:line="264" w:lineRule="auto"/>
              <w:ind w:left="142" w:hanging="142"/>
              <w:jc w:val="both"/>
              <w:rPr>
                <w:rFonts w:ascii="Times New Roman" w:hAnsi="Times New Roman" w:cs="Times New Roman"/>
                <w:color w:val="auto"/>
                <w:sz w:val="20"/>
                <w:szCs w:val="18"/>
              </w:rPr>
            </w:pPr>
            <w:r w:rsidRPr="00C801A6">
              <w:rPr>
                <w:rFonts w:ascii="Times New Roman" w:hAnsi="Times New Roman" w:cs="Times New Roman"/>
                <w:color w:val="auto"/>
                <w:sz w:val="20"/>
                <w:szCs w:val="18"/>
              </w:rPr>
              <w:t>Nombre d’arbres plantés autour de la base-vie</w:t>
            </w:r>
          </w:p>
        </w:tc>
        <w:tc>
          <w:tcPr>
            <w:tcW w:w="1375" w:type="dxa"/>
            <w:tcBorders>
              <w:bottom w:val="single" w:sz="4" w:space="0" w:color="auto"/>
            </w:tcBorders>
          </w:tcPr>
          <w:p w14:paraId="5C908486" w14:textId="77777777" w:rsidR="00064FF0" w:rsidRPr="00C801A6" w:rsidRDefault="00064FF0" w:rsidP="00844538">
            <w:pPr>
              <w:pStyle w:val="Default"/>
              <w:numPr>
                <w:ilvl w:val="0"/>
                <w:numId w:val="161"/>
              </w:numPr>
              <w:spacing w:before="60" w:after="60" w:line="264" w:lineRule="auto"/>
              <w:ind w:left="142" w:hanging="142"/>
              <w:jc w:val="both"/>
              <w:rPr>
                <w:rFonts w:ascii="Times New Roman" w:hAnsi="Times New Roman" w:cs="Times New Roman"/>
                <w:color w:val="auto"/>
                <w:sz w:val="20"/>
                <w:szCs w:val="18"/>
              </w:rPr>
            </w:pPr>
            <w:r w:rsidRPr="00C801A6">
              <w:rPr>
                <w:rFonts w:ascii="Times New Roman" w:hAnsi="Times New Roman" w:cs="Times New Roman"/>
                <w:color w:val="auto"/>
                <w:sz w:val="20"/>
                <w:szCs w:val="18"/>
              </w:rPr>
              <w:t>Estimation</w:t>
            </w:r>
          </w:p>
          <w:p w14:paraId="2F38EA8A" w14:textId="77777777" w:rsidR="00064FF0" w:rsidRPr="00C801A6" w:rsidRDefault="00064FF0" w:rsidP="00844538">
            <w:pPr>
              <w:pStyle w:val="Default"/>
              <w:numPr>
                <w:ilvl w:val="0"/>
                <w:numId w:val="161"/>
              </w:numPr>
              <w:spacing w:before="60" w:after="60" w:line="264" w:lineRule="auto"/>
              <w:ind w:left="142" w:hanging="142"/>
              <w:jc w:val="both"/>
              <w:rPr>
                <w:rFonts w:ascii="Times New Roman" w:hAnsi="Times New Roman" w:cs="Times New Roman"/>
                <w:color w:val="auto"/>
                <w:sz w:val="20"/>
                <w:szCs w:val="18"/>
              </w:rPr>
            </w:pPr>
            <w:r w:rsidRPr="00C801A6">
              <w:rPr>
                <w:rFonts w:ascii="Times New Roman" w:hAnsi="Times New Roman" w:cs="Times New Roman"/>
                <w:color w:val="auto"/>
                <w:sz w:val="20"/>
                <w:szCs w:val="18"/>
              </w:rPr>
              <w:t>Comptage</w:t>
            </w:r>
          </w:p>
        </w:tc>
        <w:tc>
          <w:tcPr>
            <w:tcW w:w="1649" w:type="dxa"/>
            <w:tcBorders>
              <w:bottom w:val="single" w:sz="4" w:space="0" w:color="auto"/>
            </w:tcBorders>
          </w:tcPr>
          <w:p w14:paraId="358A6C27" w14:textId="77777777" w:rsidR="00064FF0" w:rsidRPr="00C801A6" w:rsidRDefault="00064FF0" w:rsidP="00844538">
            <w:pPr>
              <w:pStyle w:val="Default"/>
              <w:numPr>
                <w:ilvl w:val="0"/>
                <w:numId w:val="161"/>
              </w:numPr>
              <w:spacing w:before="60" w:after="60" w:line="264" w:lineRule="auto"/>
              <w:ind w:left="142" w:hanging="142"/>
              <w:jc w:val="both"/>
              <w:rPr>
                <w:rFonts w:ascii="Times New Roman" w:hAnsi="Times New Roman" w:cs="Times New Roman"/>
                <w:color w:val="auto"/>
                <w:sz w:val="20"/>
                <w:szCs w:val="18"/>
              </w:rPr>
            </w:pPr>
            <w:r w:rsidRPr="00C801A6">
              <w:rPr>
                <w:rFonts w:ascii="Times New Roman" w:hAnsi="Times New Roman" w:cs="Times New Roman"/>
                <w:color w:val="auto"/>
                <w:sz w:val="20"/>
                <w:szCs w:val="18"/>
              </w:rPr>
              <w:t>Entreprise</w:t>
            </w:r>
          </w:p>
          <w:p w14:paraId="1A63DA9A" w14:textId="77777777" w:rsidR="00064FF0" w:rsidRPr="00C801A6" w:rsidRDefault="00064FF0" w:rsidP="00844538">
            <w:pPr>
              <w:pStyle w:val="Default"/>
              <w:numPr>
                <w:ilvl w:val="0"/>
                <w:numId w:val="161"/>
              </w:numPr>
              <w:spacing w:before="60" w:after="60" w:line="264" w:lineRule="auto"/>
              <w:ind w:left="142" w:hanging="142"/>
              <w:jc w:val="both"/>
              <w:rPr>
                <w:rFonts w:ascii="Times New Roman" w:hAnsi="Times New Roman" w:cs="Times New Roman"/>
                <w:color w:val="auto"/>
                <w:sz w:val="20"/>
                <w:szCs w:val="18"/>
              </w:rPr>
            </w:pPr>
            <w:r w:rsidRPr="00C801A6">
              <w:rPr>
                <w:rFonts w:ascii="Times New Roman" w:hAnsi="Times New Roman" w:cs="Times New Roman"/>
                <w:color w:val="auto"/>
                <w:sz w:val="20"/>
                <w:szCs w:val="18"/>
              </w:rPr>
              <w:t>MdC</w:t>
            </w:r>
          </w:p>
        </w:tc>
        <w:tc>
          <w:tcPr>
            <w:tcW w:w="1908" w:type="dxa"/>
            <w:tcBorders>
              <w:bottom w:val="single" w:sz="4" w:space="0" w:color="auto"/>
            </w:tcBorders>
          </w:tcPr>
          <w:p w14:paraId="03C615E6" w14:textId="77777777" w:rsidR="00064FF0" w:rsidRPr="00C801A6" w:rsidRDefault="00064FF0" w:rsidP="00844538">
            <w:pPr>
              <w:pStyle w:val="Default"/>
              <w:numPr>
                <w:ilvl w:val="0"/>
                <w:numId w:val="161"/>
              </w:numPr>
              <w:spacing w:before="60" w:after="60" w:line="264" w:lineRule="auto"/>
              <w:ind w:left="142" w:hanging="142"/>
              <w:jc w:val="both"/>
              <w:rPr>
                <w:rFonts w:ascii="Times New Roman" w:hAnsi="Times New Roman" w:cs="Times New Roman"/>
                <w:color w:val="auto"/>
                <w:sz w:val="20"/>
                <w:szCs w:val="18"/>
              </w:rPr>
            </w:pPr>
            <w:r w:rsidRPr="00C801A6">
              <w:rPr>
                <w:rFonts w:ascii="Times New Roman" w:hAnsi="Times New Roman" w:cs="Times New Roman"/>
                <w:color w:val="auto"/>
                <w:sz w:val="20"/>
                <w:szCs w:val="18"/>
              </w:rPr>
              <w:t>Au moment de l’installation</w:t>
            </w:r>
          </w:p>
        </w:tc>
      </w:tr>
      <w:tr w:rsidR="00C801A6" w:rsidRPr="00C801A6" w14:paraId="20C8C312" w14:textId="77777777" w:rsidTr="00CB4938">
        <w:tc>
          <w:tcPr>
            <w:tcW w:w="2655" w:type="dxa"/>
            <w:tcBorders>
              <w:top w:val="single" w:sz="4" w:space="0" w:color="auto"/>
              <w:left w:val="single" w:sz="4" w:space="0" w:color="auto"/>
              <w:bottom w:val="single" w:sz="4" w:space="0" w:color="auto"/>
              <w:right w:val="nil"/>
            </w:tcBorders>
            <w:shd w:val="clear" w:color="auto" w:fill="D0CECE" w:themeFill="background2" w:themeFillShade="E6"/>
          </w:tcPr>
          <w:p w14:paraId="59834D1F" w14:textId="77777777" w:rsidR="00064FF0" w:rsidRPr="00C801A6" w:rsidRDefault="00064FF0" w:rsidP="00347FDB">
            <w:pPr>
              <w:spacing w:before="20" w:after="20" w:line="264" w:lineRule="auto"/>
              <w:jc w:val="left"/>
              <w:rPr>
                <w:rFonts w:cs="Times New Roman"/>
                <w:b/>
                <w:color w:val="auto"/>
                <w:sz w:val="19"/>
                <w:szCs w:val="19"/>
                <w:lang w:eastAsia="fr-FR"/>
              </w:rPr>
            </w:pPr>
            <w:r w:rsidRPr="00C801A6">
              <w:rPr>
                <w:rFonts w:cs="Times New Roman"/>
                <w:b/>
                <w:color w:val="auto"/>
                <w:sz w:val="19"/>
                <w:szCs w:val="19"/>
                <w:lang w:eastAsia="fr-FR"/>
              </w:rPr>
              <w:t>Impacts socioéconomiques</w:t>
            </w:r>
          </w:p>
        </w:tc>
        <w:tc>
          <w:tcPr>
            <w:tcW w:w="2337" w:type="dxa"/>
            <w:tcBorders>
              <w:top w:val="single" w:sz="4" w:space="0" w:color="auto"/>
              <w:left w:val="nil"/>
              <w:bottom w:val="single" w:sz="4" w:space="0" w:color="auto"/>
              <w:right w:val="nil"/>
            </w:tcBorders>
            <w:shd w:val="clear" w:color="auto" w:fill="D0CECE" w:themeFill="background2" w:themeFillShade="E6"/>
          </w:tcPr>
          <w:p w14:paraId="1D3287C3" w14:textId="77777777" w:rsidR="00064FF0" w:rsidRPr="00C801A6" w:rsidRDefault="00064FF0" w:rsidP="00347FDB">
            <w:pPr>
              <w:spacing w:before="20" w:after="20" w:line="264" w:lineRule="auto"/>
              <w:jc w:val="left"/>
              <w:rPr>
                <w:rFonts w:cs="Times New Roman"/>
                <w:b/>
                <w:color w:val="auto"/>
                <w:sz w:val="19"/>
                <w:szCs w:val="19"/>
                <w:lang w:eastAsia="fr-FR"/>
              </w:rPr>
            </w:pPr>
          </w:p>
        </w:tc>
        <w:tc>
          <w:tcPr>
            <w:tcW w:w="2756" w:type="dxa"/>
            <w:tcBorders>
              <w:top w:val="single" w:sz="4" w:space="0" w:color="auto"/>
              <w:left w:val="nil"/>
              <w:bottom w:val="single" w:sz="4" w:space="0" w:color="auto"/>
              <w:right w:val="nil"/>
            </w:tcBorders>
            <w:shd w:val="clear" w:color="auto" w:fill="D0CECE" w:themeFill="background2" w:themeFillShade="E6"/>
          </w:tcPr>
          <w:p w14:paraId="368F1417" w14:textId="77777777" w:rsidR="00064FF0" w:rsidRPr="00C801A6" w:rsidRDefault="00064FF0" w:rsidP="00347FDB">
            <w:pPr>
              <w:spacing w:before="20" w:after="20" w:line="264" w:lineRule="auto"/>
              <w:jc w:val="left"/>
              <w:rPr>
                <w:rFonts w:cs="Times New Roman"/>
                <w:b/>
                <w:color w:val="auto"/>
                <w:sz w:val="19"/>
                <w:szCs w:val="19"/>
                <w:lang w:eastAsia="fr-FR"/>
              </w:rPr>
            </w:pPr>
          </w:p>
        </w:tc>
        <w:tc>
          <w:tcPr>
            <w:tcW w:w="2346" w:type="dxa"/>
            <w:tcBorders>
              <w:top w:val="single" w:sz="4" w:space="0" w:color="auto"/>
              <w:left w:val="nil"/>
              <w:bottom w:val="single" w:sz="4" w:space="0" w:color="auto"/>
              <w:right w:val="nil"/>
            </w:tcBorders>
            <w:shd w:val="clear" w:color="auto" w:fill="D0CECE" w:themeFill="background2" w:themeFillShade="E6"/>
          </w:tcPr>
          <w:p w14:paraId="2A027E70" w14:textId="77777777" w:rsidR="00064FF0" w:rsidRPr="00C801A6" w:rsidRDefault="00064FF0" w:rsidP="00347FDB">
            <w:pPr>
              <w:spacing w:before="20" w:after="20" w:line="264" w:lineRule="auto"/>
              <w:jc w:val="left"/>
              <w:rPr>
                <w:rFonts w:cs="Times New Roman"/>
                <w:b/>
                <w:color w:val="auto"/>
                <w:sz w:val="19"/>
                <w:szCs w:val="19"/>
                <w:lang w:eastAsia="fr-FR"/>
              </w:rPr>
            </w:pPr>
          </w:p>
        </w:tc>
        <w:tc>
          <w:tcPr>
            <w:tcW w:w="1375" w:type="dxa"/>
            <w:tcBorders>
              <w:top w:val="single" w:sz="4" w:space="0" w:color="auto"/>
              <w:left w:val="nil"/>
              <w:bottom w:val="single" w:sz="4" w:space="0" w:color="auto"/>
              <w:right w:val="nil"/>
            </w:tcBorders>
            <w:shd w:val="clear" w:color="auto" w:fill="D0CECE" w:themeFill="background2" w:themeFillShade="E6"/>
          </w:tcPr>
          <w:p w14:paraId="3CB95E7D" w14:textId="77777777" w:rsidR="00064FF0" w:rsidRPr="00C801A6" w:rsidRDefault="00064FF0" w:rsidP="00347FDB">
            <w:pPr>
              <w:spacing w:before="20" w:after="20" w:line="264" w:lineRule="auto"/>
              <w:jc w:val="left"/>
              <w:rPr>
                <w:rFonts w:cs="Times New Roman"/>
                <w:b/>
                <w:color w:val="auto"/>
                <w:sz w:val="19"/>
                <w:szCs w:val="19"/>
                <w:lang w:eastAsia="fr-FR"/>
              </w:rPr>
            </w:pPr>
          </w:p>
        </w:tc>
        <w:tc>
          <w:tcPr>
            <w:tcW w:w="1649" w:type="dxa"/>
            <w:tcBorders>
              <w:top w:val="single" w:sz="4" w:space="0" w:color="auto"/>
              <w:left w:val="nil"/>
              <w:bottom w:val="single" w:sz="4" w:space="0" w:color="auto"/>
              <w:right w:val="nil"/>
            </w:tcBorders>
            <w:shd w:val="clear" w:color="auto" w:fill="D0CECE" w:themeFill="background2" w:themeFillShade="E6"/>
          </w:tcPr>
          <w:p w14:paraId="2E6AA60C" w14:textId="77777777" w:rsidR="00064FF0" w:rsidRPr="00C801A6" w:rsidRDefault="00064FF0" w:rsidP="00347FDB">
            <w:pPr>
              <w:spacing w:before="20" w:after="20" w:line="264" w:lineRule="auto"/>
              <w:jc w:val="left"/>
              <w:rPr>
                <w:rFonts w:cs="Times New Roman"/>
                <w:b/>
                <w:color w:val="auto"/>
                <w:sz w:val="19"/>
                <w:szCs w:val="19"/>
                <w:lang w:eastAsia="fr-FR"/>
              </w:rPr>
            </w:pPr>
          </w:p>
        </w:tc>
        <w:tc>
          <w:tcPr>
            <w:tcW w:w="1908" w:type="dxa"/>
            <w:tcBorders>
              <w:top w:val="single" w:sz="4" w:space="0" w:color="auto"/>
              <w:left w:val="nil"/>
              <w:bottom w:val="single" w:sz="4" w:space="0" w:color="auto"/>
              <w:right w:val="single" w:sz="4" w:space="0" w:color="auto"/>
            </w:tcBorders>
            <w:shd w:val="clear" w:color="auto" w:fill="D0CECE" w:themeFill="background2" w:themeFillShade="E6"/>
          </w:tcPr>
          <w:p w14:paraId="4C70DC85" w14:textId="77777777" w:rsidR="00064FF0" w:rsidRPr="00C801A6" w:rsidRDefault="00064FF0" w:rsidP="00347FDB">
            <w:pPr>
              <w:spacing w:before="20" w:after="20" w:line="264" w:lineRule="auto"/>
              <w:jc w:val="left"/>
              <w:rPr>
                <w:rFonts w:cs="Times New Roman"/>
                <w:b/>
                <w:color w:val="auto"/>
                <w:sz w:val="19"/>
                <w:szCs w:val="19"/>
                <w:lang w:eastAsia="fr-FR"/>
              </w:rPr>
            </w:pPr>
          </w:p>
        </w:tc>
      </w:tr>
      <w:tr w:rsidR="00C801A6" w:rsidRPr="00C801A6" w14:paraId="5AA15777" w14:textId="77777777" w:rsidTr="00CB4938">
        <w:tc>
          <w:tcPr>
            <w:tcW w:w="2655" w:type="dxa"/>
            <w:tcBorders>
              <w:top w:val="single" w:sz="4" w:space="0" w:color="auto"/>
            </w:tcBorders>
          </w:tcPr>
          <w:p w14:paraId="50F03A77" w14:textId="77777777" w:rsidR="00064FF0" w:rsidRPr="00C801A6" w:rsidRDefault="00064FF0" w:rsidP="00347FDB">
            <w:pPr>
              <w:spacing w:before="20" w:after="20" w:line="264" w:lineRule="auto"/>
              <w:jc w:val="left"/>
              <w:rPr>
                <w:rFonts w:cs="Times New Roman"/>
                <w:color w:val="auto"/>
                <w:sz w:val="19"/>
                <w:szCs w:val="19"/>
                <w:lang w:eastAsia="fr-FR"/>
              </w:rPr>
            </w:pPr>
            <w:r w:rsidRPr="00C801A6">
              <w:rPr>
                <w:rFonts w:cs="Times New Roman"/>
                <w:color w:val="auto"/>
                <w:sz w:val="19"/>
                <w:szCs w:val="19"/>
                <w:lang w:eastAsia="fr-FR"/>
              </w:rPr>
              <w:lastRenderedPageBreak/>
              <w:t>Instauration d’un climat de méfiance entre l’Entreprise de travaux et les riverains</w:t>
            </w:r>
          </w:p>
        </w:tc>
        <w:tc>
          <w:tcPr>
            <w:tcW w:w="2337" w:type="dxa"/>
            <w:tcBorders>
              <w:top w:val="single" w:sz="4" w:space="0" w:color="auto"/>
            </w:tcBorders>
          </w:tcPr>
          <w:p w14:paraId="2AFFD886" w14:textId="77777777" w:rsidR="00064FF0" w:rsidRPr="00C801A6" w:rsidRDefault="00064FF0" w:rsidP="00844538">
            <w:pPr>
              <w:pStyle w:val="Default"/>
              <w:numPr>
                <w:ilvl w:val="0"/>
                <w:numId w:val="161"/>
              </w:numPr>
              <w:spacing w:before="60" w:after="60" w:line="264" w:lineRule="auto"/>
              <w:ind w:left="142" w:hanging="142"/>
              <w:jc w:val="both"/>
              <w:rPr>
                <w:rFonts w:cs="Times New Roman"/>
                <w:color w:val="auto"/>
                <w:sz w:val="19"/>
                <w:szCs w:val="19"/>
              </w:rPr>
            </w:pPr>
            <w:r w:rsidRPr="00C801A6">
              <w:rPr>
                <w:rFonts w:cs="Times New Roman"/>
                <w:color w:val="auto"/>
                <w:sz w:val="19"/>
                <w:szCs w:val="19"/>
              </w:rPr>
              <w:t xml:space="preserve">Organiser une réunion </w:t>
            </w:r>
            <w:r w:rsidRPr="00C801A6">
              <w:rPr>
                <w:rFonts w:ascii="Times New Roman" w:hAnsi="Times New Roman" w:cs="Times New Roman"/>
                <w:color w:val="auto"/>
                <w:sz w:val="20"/>
                <w:szCs w:val="18"/>
              </w:rPr>
              <w:t>d’information</w:t>
            </w:r>
            <w:r w:rsidRPr="00C801A6">
              <w:rPr>
                <w:rFonts w:cs="Times New Roman"/>
                <w:color w:val="auto"/>
                <w:sz w:val="19"/>
                <w:szCs w:val="19"/>
              </w:rPr>
              <w:t xml:space="preserve"> des riverains au démarrage du chantier</w:t>
            </w:r>
          </w:p>
        </w:tc>
        <w:tc>
          <w:tcPr>
            <w:tcW w:w="2756" w:type="dxa"/>
            <w:tcBorders>
              <w:top w:val="single" w:sz="4" w:space="0" w:color="auto"/>
            </w:tcBorders>
          </w:tcPr>
          <w:p w14:paraId="342258BC" w14:textId="77777777" w:rsidR="00064FF0" w:rsidRPr="00C801A6" w:rsidRDefault="00064FF0" w:rsidP="00844538">
            <w:pPr>
              <w:pStyle w:val="Default"/>
              <w:numPr>
                <w:ilvl w:val="0"/>
                <w:numId w:val="161"/>
              </w:numPr>
              <w:spacing w:before="60" w:after="60" w:line="264" w:lineRule="auto"/>
              <w:ind w:left="142" w:hanging="142"/>
              <w:jc w:val="both"/>
              <w:rPr>
                <w:rFonts w:ascii="Times New Roman" w:hAnsi="Times New Roman" w:cs="Times New Roman"/>
                <w:color w:val="auto"/>
                <w:sz w:val="20"/>
                <w:szCs w:val="18"/>
              </w:rPr>
            </w:pPr>
            <w:r w:rsidRPr="00C801A6">
              <w:rPr>
                <w:rFonts w:ascii="Times New Roman" w:hAnsi="Times New Roman" w:cs="Times New Roman"/>
                <w:color w:val="auto"/>
                <w:sz w:val="20"/>
                <w:szCs w:val="18"/>
              </w:rPr>
              <w:t xml:space="preserve">Traiter les éventuelles plaintes dans les plus brefs délais </w:t>
            </w:r>
          </w:p>
        </w:tc>
        <w:tc>
          <w:tcPr>
            <w:tcW w:w="2346" w:type="dxa"/>
            <w:tcBorders>
              <w:top w:val="single" w:sz="4" w:space="0" w:color="auto"/>
            </w:tcBorders>
          </w:tcPr>
          <w:p w14:paraId="24B2E5C9" w14:textId="77777777" w:rsidR="00064FF0" w:rsidRPr="00C801A6" w:rsidRDefault="00064FF0" w:rsidP="00844538">
            <w:pPr>
              <w:pStyle w:val="Default"/>
              <w:numPr>
                <w:ilvl w:val="0"/>
                <w:numId w:val="161"/>
              </w:numPr>
              <w:spacing w:before="60" w:after="60" w:line="264" w:lineRule="auto"/>
              <w:ind w:left="142" w:hanging="142"/>
              <w:jc w:val="both"/>
              <w:rPr>
                <w:rFonts w:ascii="Times New Roman" w:hAnsi="Times New Roman" w:cs="Times New Roman"/>
                <w:color w:val="auto"/>
                <w:sz w:val="20"/>
                <w:szCs w:val="18"/>
              </w:rPr>
            </w:pPr>
            <w:r w:rsidRPr="00C801A6">
              <w:rPr>
                <w:rFonts w:ascii="Times New Roman" w:hAnsi="Times New Roman" w:cs="Times New Roman"/>
                <w:color w:val="auto"/>
                <w:sz w:val="20"/>
                <w:szCs w:val="18"/>
              </w:rPr>
              <w:t>Nombre de plaintes de riverains sur la base-vie</w:t>
            </w:r>
          </w:p>
          <w:p w14:paraId="7E26206A" w14:textId="77777777" w:rsidR="00064FF0" w:rsidRPr="00C801A6" w:rsidRDefault="00064FF0" w:rsidP="00844538">
            <w:pPr>
              <w:pStyle w:val="Default"/>
              <w:numPr>
                <w:ilvl w:val="0"/>
                <w:numId w:val="161"/>
              </w:numPr>
              <w:spacing w:before="60" w:after="60" w:line="264" w:lineRule="auto"/>
              <w:ind w:left="142" w:hanging="142"/>
              <w:jc w:val="both"/>
              <w:rPr>
                <w:rFonts w:ascii="Times New Roman" w:hAnsi="Times New Roman" w:cs="Times New Roman"/>
                <w:color w:val="auto"/>
                <w:sz w:val="20"/>
                <w:szCs w:val="18"/>
              </w:rPr>
            </w:pPr>
            <w:r w:rsidRPr="00C801A6">
              <w:rPr>
                <w:rFonts w:ascii="Times New Roman" w:hAnsi="Times New Roman" w:cs="Times New Roman"/>
                <w:color w:val="auto"/>
                <w:sz w:val="20"/>
                <w:szCs w:val="18"/>
              </w:rPr>
              <w:t>Délai de traitement moyen</w:t>
            </w:r>
          </w:p>
        </w:tc>
        <w:tc>
          <w:tcPr>
            <w:tcW w:w="1375" w:type="dxa"/>
            <w:tcBorders>
              <w:top w:val="single" w:sz="4" w:space="0" w:color="auto"/>
            </w:tcBorders>
          </w:tcPr>
          <w:p w14:paraId="17B67EE4" w14:textId="77777777" w:rsidR="00064FF0" w:rsidRPr="00C801A6" w:rsidRDefault="00064FF0" w:rsidP="00844538">
            <w:pPr>
              <w:pStyle w:val="Default"/>
              <w:numPr>
                <w:ilvl w:val="0"/>
                <w:numId w:val="161"/>
              </w:numPr>
              <w:spacing w:before="60" w:after="60" w:line="264" w:lineRule="auto"/>
              <w:ind w:left="142" w:hanging="142"/>
              <w:jc w:val="both"/>
              <w:rPr>
                <w:rFonts w:ascii="Times New Roman" w:hAnsi="Times New Roman" w:cs="Times New Roman"/>
                <w:color w:val="auto"/>
                <w:sz w:val="20"/>
                <w:szCs w:val="18"/>
              </w:rPr>
            </w:pPr>
            <w:r w:rsidRPr="00C801A6">
              <w:rPr>
                <w:rFonts w:ascii="Times New Roman" w:hAnsi="Times New Roman" w:cs="Times New Roman"/>
                <w:color w:val="auto"/>
                <w:sz w:val="20"/>
                <w:szCs w:val="18"/>
              </w:rPr>
              <w:t>Calculs</w:t>
            </w:r>
          </w:p>
        </w:tc>
        <w:tc>
          <w:tcPr>
            <w:tcW w:w="1649" w:type="dxa"/>
            <w:tcBorders>
              <w:top w:val="single" w:sz="4" w:space="0" w:color="auto"/>
            </w:tcBorders>
          </w:tcPr>
          <w:p w14:paraId="4F2EB862" w14:textId="77777777" w:rsidR="00064FF0" w:rsidRPr="00C801A6" w:rsidRDefault="00064FF0" w:rsidP="00844538">
            <w:pPr>
              <w:pStyle w:val="Default"/>
              <w:numPr>
                <w:ilvl w:val="0"/>
                <w:numId w:val="161"/>
              </w:numPr>
              <w:spacing w:before="60" w:after="60" w:line="264" w:lineRule="auto"/>
              <w:ind w:left="142" w:hanging="142"/>
              <w:jc w:val="both"/>
              <w:rPr>
                <w:rFonts w:ascii="Times New Roman" w:hAnsi="Times New Roman" w:cs="Times New Roman"/>
                <w:color w:val="auto"/>
                <w:sz w:val="20"/>
                <w:szCs w:val="18"/>
              </w:rPr>
            </w:pPr>
            <w:r w:rsidRPr="00C801A6">
              <w:rPr>
                <w:rFonts w:ascii="Times New Roman" w:hAnsi="Times New Roman" w:cs="Times New Roman"/>
                <w:color w:val="auto"/>
                <w:sz w:val="20"/>
                <w:szCs w:val="18"/>
              </w:rPr>
              <w:t>Entreprise</w:t>
            </w:r>
          </w:p>
          <w:p w14:paraId="4E647359" w14:textId="77777777" w:rsidR="00064FF0" w:rsidRPr="00C801A6" w:rsidRDefault="00064FF0" w:rsidP="00844538">
            <w:pPr>
              <w:pStyle w:val="Default"/>
              <w:numPr>
                <w:ilvl w:val="0"/>
                <w:numId w:val="161"/>
              </w:numPr>
              <w:spacing w:before="60" w:after="60" w:line="264" w:lineRule="auto"/>
              <w:ind w:left="142" w:hanging="142"/>
              <w:jc w:val="both"/>
              <w:rPr>
                <w:rFonts w:ascii="Times New Roman" w:hAnsi="Times New Roman" w:cs="Times New Roman"/>
                <w:color w:val="auto"/>
                <w:sz w:val="20"/>
                <w:szCs w:val="18"/>
              </w:rPr>
            </w:pPr>
            <w:r w:rsidRPr="00C801A6">
              <w:rPr>
                <w:rFonts w:ascii="Times New Roman" w:hAnsi="Times New Roman" w:cs="Times New Roman"/>
                <w:color w:val="auto"/>
                <w:sz w:val="20"/>
                <w:szCs w:val="18"/>
              </w:rPr>
              <w:t>MdC</w:t>
            </w:r>
          </w:p>
        </w:tc>
        <w:tc>
          <w:tcPr>
            <w:tcW w:w="1908" w:type="dxa"/>
            <w:tcBorders>
              <w:top w:val="single" w:sz="4" w:space="0" w:color="auto"/>
            </w:tcBorders>
          </w:tcPr>
          <w:p w14:paraId="7EA9FECF" w14:textId="77777777" w:rsidR="00064FF0" w:rsidRPr="00C801A6" w:rsidRDefault="00064FF0" w:rsidP="00844538">
            <w:pPr>
              <w:pStyle w:val="Default"/>
              <w:numPr>
                <w:ilvl w:val="0"/>
                <w:numId w:val="161"/>
              </w:numPr>
              <w:spacing w:before="60" w:after="60" w:line="264" w:lineRule="auto"/>
              <w:ind w:left="142" w:hanging="142"/>
              <w:jc w:val="both"/>
              <w:rPr>
                <w:rFonts w:ascii="Times New Roman" w:hAnsi="Times New Roman" w:cs="Times New Roman"/>
                <w:color w:val="auto"/>
                <w:sz w:val="20"/>
                <w:szCs w:val="18"/>
              </w:rPr>
            </w:pPr>
            <w:r w:rsidRPr="00C801A6">
              <w:rPr>
                <w:rFonts w:ascii="Times New Roman" w:hAnsi="Times New Roman" w:cs="Times New Roman"/>
                <w:color w:val="auto"/>
                <w:sz w:val="20"/>
                <w:szCs w:val="18"/>
              </w:rPr>
              <w:t>Tous les mois</w:t>
            </w:r>
          </w:p>
        </w:tc>
      </w:tr>
      <w:tr w:rsidR="00C801A6" w:rsidRPr="00C801A6" w14:paraId="06688D5C" w14:textId="77777777" w:rsidTr="00CB4938">
        <w:tc>
          <w:tcPr>
            <w:tcW w:w="2655" w:type="dxa"/>
            <w:tcBorders>
              <w:top w:val="single" w:sz="4" w:space="0" w:color="auto"/>
            </w:tcBorders>
          </w:tcPr>
          <w:p w14:paraId="7AA54B44" w14:textId="77777777" w:rsidR="00064FF0" w:rsidRPr="00C801A6" w:rsidRDefault="00064FF0" w:rsidP="00347FDB">
            <w:pPr>
              <w:spacing w:before="20" w:after="20" w:line="264" w:lineRule="auto"/>
              <w:jc w:val="left"/>
              <w:rPr>
                <w:rFonts w:cs="Times New Roman"/>
                <w:color w:val="auto"/>
                <w:sz w:val="19"/>
                <w:szCs w:val="19"/>
              </w:rPr>
            </w:pPr>
            <w:r w:rsidRPr="00C801A6">
              <w:rPr>
                <w:rFonts w:cs="Times New Roman"/>
                <w:color w:val="auto"/>
                <w:sz w:val="19"/>
                <w:szCs w:val="19"/>
              </w:rPr>
              <w:t>Risques d’accidents de circulation durant l’a</w:t>
            </w:r>
            <w:r w:rsidRPr="00C801A6">
              <w:rPr>
                <w:rFonts w:cs="Times New Roman"/>
                <w:color w:val="auto"/>
                <w:sz w:val="19"/>
                <w:szCs w:val="19"/>
                <w:lang w:eastAsia="fr-FR"/>
              </w:rPr>
              <w:t>menée des matériels et équipements</w:t>
            </w:r>
          </w:p>
        </w:tc>
        <w:tc>
          <w:tcPr>
            <w:tcW w:w="2337" w:type="dxa"/>
            <w:tcBorders>
              <w:top w:val="single" w:sz="4" w:space="0" w:color="auto"/>
            </w:tcBorders>
          </w:tcPr>
          <w:p w14:paraId="32456425"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Sensibiliser les chauffeurs sur les accidents de la route</w:t>
            </w:r>
          </w:p>
        </w:tc>
        <w:tc>
          <w:tcPr>
            <w:tcW w:w="2756" w:type="dxa"/>
            <w:tcBorders>
              <w:top w:val="single" w:sz="4" w:space="0" w:color="auto"/>
            </w:tcBorders>
          </w:tcPr>
          <w:p w14:paraId="2B1F9D69"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Limiter la vitesse à 20km/h en zone habitée et à 40km/h en rase-campagne</w:t>
            </w:r>
          </w:p>
        </w:tc>
        <w:tc>
          <w:tcPr>
            <w:tcW w:w="2346" w:type="dxa"/>
            <w:tcBorders>
              <w:top w:val="single" w:sz="4" w:space="0" w:color="auto"/>
            </w:tcBorders>
          </w:tcPr>
          <w:p w14:paraId="76E680EF"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Nombre d’accidents liés à l’excès de vitesse</w:t>
            </w:r>
          </w:p>
        </w:tc>
        <w:tc>
          <w:tcPr>
            <w:tcW w:w="1375" w:type="dxa"/>
            <w:tcBorders>
              <w:top w:val="single" w:sz="4" w:space="0" w:color="auto"/>
            </w:tcBorders>
          </w:tcPr>
          <w:p w14:paraId="03ED4F15"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Comptage</w:t>
            </w:r>
          </w:p>
        </w:tc>
        <w:tc>
          <w:tcPr>
            <w:tcW w:w="1649" w:type="dxa"/>
            <w:tcBorders>
              <w:top w:val="single" w:sz="4" w:space="0" w:color="auto"/>
            </w:tcBorders>
          </w:tcPr>
          <w:p w14:paraId="41FF8EA7"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Entreprise</w:t>
            </w:r>
          </w:p>
        </w:tc>
        <w:tc>
          <w:tcPr>
            <w:tcW w:w="1908" w:type="dxa"/>
            <w:tcBorders>
              <w:top w:val="single" w:sz="4" w:space="0" w:color="auto"/>
            </w:tcBorders>
          </w:tcPr>
          <w:p w14:paraId="04107516"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Tous les mois</w:t>
            </w:r>
          </w:p>
        </w:tc>
      </w:tr>
      <w:tr w:rsidR="00C801A6" w:rsidRPr="00C801A6" w14:paraId="702F89B7" w14:textId="77777777" w:rsidTr="00CB4938">
        <w:tc>
          <w:tcPr>
            <w:tcW w:w="2655" w:type="dxa"/>
          </w:tcPr>
          <w:p w14:paraId="7403B705" w14:textId="77777777" w:rsidR="00064FF0" w:rsidRPr="00C801A6" w:rsidRDefault="00064FF0" w:rsidP="00347FDB">
            <w:pPr>
              <w:spacing w:before="20" w:after="20" w:line="264" w:lineRule="auto"/>
              <w:jc w:val="left"/>
              <w:rPr>
                <w:rFonts w:cs="Times New Roman"/>
                <w:color w:val="auto"/>
                <w:sz w:val="19"/>
                <w:szCs w:val="19"/>
                <w:lang w:eastAsia="fr-FR"/>
              </w:rPr>
            </w:pPr>
            <w:r w:rsidRPr="00C801A6">
              <w:rPr>
                <w:rFonts w:cs="Times New Roman"/>
                <w:color w:val="auto"/>
                <w:sz w:val="19"/>
                <w:szCs w:val="19"/>
              </w:rPr>
              <w:t>Risques de conflits sociaux liés au recrutement des ouvriers</w:t>
            </w:r>
            <w:r w:rsidRPr="00C801A6">
              <w:rPr>
                <w:rFonts w:cs="Times New Roman"/>
                <w:color w:val="auto"/>
                <w:sz w:val="19"/>
                <w:szCs w:val="19"/>
                <w:lang w:eastAsia="fr-FR"/>
              </w:rPr>
              <w:t xml:space="preserve"> durant le recrutement des ouvriers</w:t>
            </w:r>
          </w:p>
        </w:tc>
        <w:tc>
          <w:tcPr>
            <w:tcW w:w="2337" w:type="dxa"/>
          </w:tcPr>
          <w:p w14:paraId="4D912849"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Recommander à l’entreprise d’assurer la transparence quant aux recrutements locaux</w:t>
            </w:r>
          </w:p>
          <w:p w14:paraId="54C360E5"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Afficher les besoins en ressources humaines</w:t>
            </w:r>
          </w:p>
        </w:tc>
        <w:tc>
          <w:tcPr>
            <w:tcW w:w="2756" w:type="dxa"/>
          </w:tcPr>
          <w:p w14:paraId="66690C01"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 xml:space="preserve">Traiter les éventuelles plaintes sur le recrutement dans les plus brefs délais </w:t>
            </w:r>
          </w:p>
        </w:tc>
        <w:tc>
          <w:tcPr>
            <w:tcW w:w="2346" w:type="dxa"/>
          </w:tcPr>
          <w:p w14:paraId="66FE61E5"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Nombre de plaintes de riverains sur le recrutement</w:t>
            </w:r>
          </w:p>
          <w:p w14:paraId="47FE7EBC"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Délai de traitement moyen</w:t>
            </w:r>
          </w:p>
          <w:p w14:paraId="0950C565"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Nombre de plaintes clôturées et restituées</w:t>
            </w:r>
          </w:p>
        </w:tc>
        <w:tc>
          <w:tcPr>
            <w:tcW w:w="1375" w:type="dxa"/>
          </w:tcPr>
          <w:p w14:paraId="7AB17806"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Calculs</w:t>
            </w:r>
          </w:p>
        </w:tc>
        <w:tc>
          <w:tcPr>
            <w:tcW w:w="1649" w:type="dxa"/>
          </w:tcPr>
          <w:p w14:paraId="05567133"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Entreprise</w:t>
            </w:r>
          </w:p>
          <w:p w14:paraId="60415E1C"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MdC</w:t>
            </w:r>
          </w:p>
        </w:tc>
        <w:tc>
          <w:tcPr>
            <w:tcW w:w="1908" w:type="dxa"/>
          </w:tcPr>
          <w:p w14:paraId="46C434EF"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Tous les mois</w:t>
            </w:r>
          </w:p>
        </w:tc>
      </w:tr>
      <w:tr w:rsidR="00C801A6" w:rsidRPr="00C801A6" w14:paraId="24461A08" w14:textId="77777777" w:rsidTr="00CB4938">
        <w:tc>
          <w:tcPr>
            <w:tcW w:w="2655" w:type="dxa"/>
          </w:tcPr>
          <w:p w14:paraId="6AC329F6" w14:textId="77777777" w:rsidR="00064FF0" w:rsidRPr="00C801A6" w:rsidRDefault="00064FF0" w:rsidP="00347FDB">
            <w:pPr>
              <w:spacing w:before="20" w:after="20" w:line="264" w:lineRule="auto"/>
              <w:jc w:val="left"/>
              <w:rPr>
                <w:rFonts w:cs="Times New Roman"/>
                <w:color w:val="auto"/>
                <w:sz w:val="19"/>
                <w:szCs w:val="19"/>
                <w:lang w:eastAsia="fr-FR"/>
              </w:rPr>
            </w:pPr>
            <w:r w:rsidRPr="00C801A6">
              <w:rPr>
                <w:rFonts w:cs="Times New Roman"/>
                <w:color w:val="auto"/>
                <w:sz w:val="19"/>
                <w:szCs w:val="19"/>
              </w:rPr>
              <w:t>Libération d’emprise</w:t>
            </w:r>
          </w:p>
        </w:tc>
        <w:tc>
          <w:tcPr>
            <w:tcW w:w="2337" w:type="dxa"/>
          </w:tcPr>
          <w:p w14:paraId="5C2DC591"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Investiguer les options possibles pour ne pas impacter des biens privés ou perturber des sources de revenus</w:t>
            </w:r>
          </w:p>
        </w:tc>
        <w:tc>
          <w:tcPr>
            <w:tcW w:w="2756" w:type="dxa"/>
          </w:tcPr>
          <w:p w14:paraId="63012789"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Préparer et mettre en œuvre un Plan de réinstallation</w:t>
            </w:r>
          </w:p>
        </w:tc>
        <w:tc>
          <w:tcPr>
            <w:tcW w:w="2346" w:type="dxa"/>
          </w:tcPr>
          <w:p w14:paraId="3E56A722"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Nombre de ménages impactés</w:t>
            </w:r>
          </w:p>
          <w:p w14:paraId="1D56A091"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Nombre de ménages impactés par type d’impact</w:t>
            </w:r>
          </w:p>
          <w:p w14:paraId="1F5A8CA8"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 de ménages impactés qui ont été compensés</w:t>
            </w:r>
          </w:p>
        </w:tc>
        <w:tc>
          <w:tcPr>
            <w:tcW w:w="1375" w:type="dxa"/>
          </w:tcPr>
          <w:p w14:paraId="6FD2C26C"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Comptage et calculs</w:t>
            </w:r>
          </w:p>
        </w:tc>
        <w:tc>
          <w:tcPr>
            <w:tcW w:w="1649" w:type="dxa"/>
          </w:tcPr>
          <w:p w14:paraId="0379AEB0"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 xml:space="preserve">UGP </w:t>
            </w:r>
            <w:r w:rsidRPr="00C801A6">
              <w:rPr>
                <w:rFonts w:cs="Times New Roman"/>
                <w:i/>
                <w:color w:val="auto"/>
                <w:sz w:val="19"/>
                <w:szCs w:val="19"/>
              </w:rPr>
              <w:t>(éventuellement un sous-traitant)</w:t>
            </w:r>
          </w:p>
        </w:tc>
        <w:tc>
          <w:tcPr>
            <w:tcW w:w="1908" w:type="dxa"/>
          </w:tcPr>
          <w:p w14:paraId="6E2F3661"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Durant la phase de préparation, étant entendu que les travaux d’entretien ne pourront commencer les compensations effectives</w:t>
            </w:r>
          </w:p>
        </w:tc>
      </w:tr>
      <w:tr w:rsidR="00C801A6" w:rsidRPr="00C801A6" w14:paraId="1E0A7F16" w14:textId="77777777" w:rsidTr="00CB4938">
        <w:tc>
          <w:tcPr>
            <w:tcW w:w="2655" w:type="dxa"/>
          </w:tcPr>
          <w:p w14:paraId="306162E0" w14:textId="77777777" w:rsidR="00064FF0" w:rsidRPr="00C801A6" w:rsidRDefault="00064FF0" w:rsidP="00347FDB">
            <w:pPr>
              <w:spacing w:before="20" w:after="20" w:line="264" w:lineRule="auto"/>
              <w:jc w:val="left"/>
              <w:rPr>
                <w:rFonts w:cs="Times New Roman"/>
                <w:color w:val="auto"/>
                <w:sz w:val="19"/>
                <w:szCs w:val="19"/>
                <w:lang w:eastAsia="fr-FR"/>
              </w:rPr>
            </w:pPr>
            <w:r w:rsidRPr="00C801A6">
              <w:rPr>
                <w:rFonts w:cs="Times New Roman"/>
                <w:color w:val="auto"/>
                <w:sz w:val="19"/>
                <w:szCs w:val="19"/>
                <w:lang w:eastAsia="fr-FR"/>
              </w:rPr>
              <w:t>Afflux d’ouvriers immigrés</w:t>
            </w:r>
          </w:p>
        </w:tc>
        <w:tc>
          <w:tcPr>
            <w:tcW w:w="2337" w:type="dxa"/>
          </w:tcPr>
          <w:p w14:paraId="231AE72B"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A compétences égales, privilégier le recrutement local</w:t>
            </w:r>
          </w:p>
        </w:tc>
        <w:tc>
          <w:tcPr>
            <w:tcW w:w="2756" w:type="dxa"/>
          </w:tcPr>
          <w:p w14:paraId="5A233483"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Compléter les effectifs manquants avec des recrutements extérieurs</w:t>
            </w:r>
          </w:p>
        </w:tc>
        <w:tc>
          <w:tcPr>
            <w:tcW w:w="2346" w:type="dxa"/>
          </w:tcPr>
          <w:p w14:paraId="13A261E8"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Evolution du % d’ouvriers locaux</w:t>
            </w:r>
          </w:p>
          <w:p w14:paraId="5792AC5D"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Evolution du nombre d’ouvriers hébergés dans la base-vie</w:t>
            </w:r>
          </w:p>
        </w:tc>
        <w:tc>
          <w:tcPr>
            <w:tcW w:w="1375" w:type="dxa"/>
          </w:tcPr>
          <w:p w14:paraId="30EB56A2"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Calcul</w:t>
            </w:r>
          </w:p>
        </w:tc>
        <w:tc>
          <w:tcPr>
            <w:tcW w:w="1649" w:type="dxa"/>
          </w:tcPr>
          <w:p w14:paraId="4F675F70"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Entreprise</w:t>
            </w:r>
          </w:p>
          <w:p w14:paraId="4BC53CAE"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MdC</w:t>
            </w:r>
          </w:p>
        </w:tc>
        <w:tc>
          <w:tcPr>
            <w:tcW w:w="1908" w:type="dxa"/>
          </w:tcPr>
          <w:p w14:paraId="68B5B5C0"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Tous les mois</w:t>
            </w:r>
          </w:p>
        </w:tc>
      </w:tr>
      <w:tr w:rsidR="00C801A6" w:rsidRPr="00C801A6" w14:paraId="6959C254" w14:textId="77777777" w:rsidTr="00CB4938">
        <w:tc>
          <w:tcPr>
            <w:tcW w:w="2655" w:type="dxa"/>
          </w:tcPr>
          <w:p w14:paraId="13BA3DE5" w14:textId="77777777" w:rsidR="00064FF0" w:rsidRPr="00C801A6" w:rsidRDefault="00064FF0" w:rsidP="00347FDB">
            <w:pPr>
              <w:spacing w:before="20" w:after="20" w:line="264" w:lineRule="auto"/>
              <w:jc w:val="left"/>
              <w:rPr>
                <w:rFonts w:cs="Times New Roman"/>
                <w:color w:val="auto"/>
                <w:sz w:val="19"/>
                <w:szCs w:val="19"/>
                <w:lang w:eastAsia="fr-FR"/>
              </w:rPr>
            </w:pPr>
            <w:r w:rsidRPr="00C801A6">
              <w:rPr>
                <w:rFonts w:cs="Times New Roman"/>
                <w:color w:val="auto"/>
                <w:sz w:val="19"/>
                <w:szCs w:val="19"/>
                <w:lang w:eastAsia="fr-FR"/>
              </w:rPr>
              <w:t>Risques liés à la promiscuité sexuelle (risques de propagation de maladies sexuellement transmissibles, d’augmentation du taux de comportements illicites, etc.)</w:t>
            </w:r>
          </w:p>
        </w:tc>
        <w:tc>
          <w:tcPr>
            <w:tcW w:w="2337" w:type="dxa"/>
          </w:tcPr>
          <w:p w14:paraId="6AE537EE"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Organiser des séances de sensibilisation des ouvriers et des riverains</w:t>
            </w:r>
          </w:p>
          <w:p w14:paraId="769F9913"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Faire signer le Code de conduite à tous les employés</w:t>
            </w:r>
          </w:p>
        </w:tc>
        <w:tc>
          <w:tcPr>
            <w:tcW w:w="2756" w:type="dxa"/>
          </w:tcPr>
          <w:p w14:paraId="63C0523B"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Mettre des préservatifs à la disposition gratuite des employés</w:t>
            </w:r>
          </w:p>
        </w:tc>
        <w:tc>
          <w:tcPr>
            <w:tcW w:w="2346" w:type="dxa"/>
          </w:tcPr>
          <w:p w14:paraId="641F83AA"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Nombre de fois où il y a eu rupture de stock en préservatifs en 1 mois</w:t>
            </w:r>
          </w:p>
        </w:tc>
        <w:tc>
          <w:tcPr>
            <w:tcW w:w="1375" w:type="dxa"/>
          </w:tcPr>
          <w:p w14:paraId="280AEF9E"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Comptage</w:t>
            </w:r>
          </w:p>
        </w:tc>
        <w:tc>
          <w:tcPr>
            <w:tcW w:w="1649" w:type="dxa"/>
          </w:tcPr>
          <w:p w14:paraId="46975897"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Entreprise</w:t>
            </w:r>
          </w:p>
          <w:p w14:paraId="372E6AAE"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MdC</w:t>
            </w:r>
          </w:p>
        </w:tc>
        <w:tc>
          <w:tcPr>
            <w:tcW w:w="1908" w:type="dxa"/>
          </w:tcPr>
          <w:p w14:paraId="0ABF562D"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Tous les mois</w:t>
            </w:r>
          </w:p>
        </w:tc>
      </w:tr>
      <w:tr w:rsidR="00C801A6" w:rsidRPr="00C801A6" w14:paraId="2EB8E8CB" w14:textId="77777777" w:rsidTr="00CB4938">
        <w:tc>
          <w:tcPr>
            <w:tcW w:w="2655" w:type="dxa"/>
          </w:tcPr>
          <w:p w14:paraId="33810362" w14:textId="01CA7688" w:rsidR="00064FF0" w:rsidRPr="00C801A6" w:rsidRDefault="00064FF0" w:rsidP="00347FDB">
            <w:pPr>
              <w:spacing w:before="20" w:after="20" w:line="264" w:lineRule="auto"/>
              <w:jc w:val="left"/>
              <w:rPr>
                <w:rFonts w:cs="Times New Roman"/>
                <w:color w:val="auto"/>
                <w:sz w:val="19"/>
                <w:szCs w:val="19"/>
                <w:lang w:eastAsia="fr-FR"/>
              </w:rPr>
            </w:pPr>
            <w:r w:rsidRPr="00C801A6">
              <w:rPr>
                <w:rFonts w:cs="Times New Roman"/>
                <w:color w:val="auto"/>
                <w:sz w:val="19"/>
                <w:szCs w:val="19"/>
                <w:lang w:eastAsia="fr-FR"/>
              </w:rPr>
              <w:lastRenderedPageBreak/>
              <w:t>Risques de prolifération de maladies contagieuses comme le Covid-19</w:t>
            </w:r>
            <w:r w:rsidR="00EE3905">
              <w:rPr>
                <w:rFonts w:cs="Times New Roman"/>
                <w:color w:val="auto"/>
                <w:sz w:val="19"/>
                <w:szCs w:val="19"/>
                <w:lang w:eastAsia="fr-FR"/>
              </w:rPr>
              <w:t>, Mpox</w:t>
            </w:r>
          </w:p>
        </w:tc>
        <w:tc>
          <w:tcPr>
            <w:tcW w:w="2337" w:type="dxa"/>
          </w:tcPr>
          <w:p w14:paraId="776B8B88"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Sensibiliser les employer et les riverains sur le respect des gestes barrières</w:t>
            </w:r>
          </w:p>
        </w:tc>
        <w:tc>
          <w:tcPr>
            <w:tcW w:w="2756" w:type="dxa"/>
          </w:tcPr>
          <w:p w14:paraId="73D4E4CD"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Fournir des moyens de protection aux employés</w:t>
            </w:r>
          </w:p>
        </w:tc>
        <w:tc>
          <w:tcPr>
            <w:tcW w:w="2346" w:type="dxa"/>
          </w:tcPr>
          <w:p w14:paraId="495A8B2D"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 d’ouvriers d’EPI appropriés</w:t>
            </w:r>
          </w:p>
        </w:tc>
        <w:tc>
          <w:tcPr>
            <w:tcW w:w="1375" w:type="dxa"/>
          </w:tcPr>
          <w:p w14:paraId="319A1D2F"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Calcul</w:t>
            </w:r>
          </w:p>
        </w:tc>
        <w:tc>
          <w:tcPr>
            <w:tcW w:w="1649" w:type="dxa"/>
          </w:tcPr>
          <w:p w14:paraId="005E53C4"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Entreprise</w:t>
            </w:r>
          </w:p>
          <w:p w14:paraId="3DC048D1"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MdC</w:t>
            </w:r>
          </w:p>
        </w:tc>
        <w:tc>
          <w:tcPr>
            <w:tcW w:w="1908" w:type="dxa"/>
          </w:tcPr>
          <w:p w14:paraId="14B63FC3"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Tous les mois</w:t>
            </w:r>
          </w:p>
        </w:tc>
      </w:tr>
      <w:tr w:rsidR="00C801A6" w:rsidRPr="00C801A6" w14:paraId="05D0BC6E" w14:textId="77777777" w:rsidTr="00CB4938">
        <w:tc>
          <w:tcPr>
            <w:tcW w:w="2655" w:type="dxa"/>
          </w:tcPr>
          <w:p w14:paraId="06C77C21" w14:textId="77777777" w:rsidR="00064FF0" w:rsidRPr="00C801A6" w:rsidRDefault="00064FF0" w:rsidP="00347FDB">
            <w:pPr>
              <w:spacing w:before="20" w:after="20" w:line="264" w:lineRule="auto"/>
              <w:jc w:val="left"/>
              <w:rPr>
                <w:rFonts w:cs="Times New Roman"/>
                <w:color w:val="auto"/>
                <w:sz w:val="19"/>
                <w:szCs w:val="19"/>
                <w:lang w:eastAsia="fr-FR"/>
              </w:rPr>
            </w:pPr>
            <w:r w:rsidRPr="00C801A6">
              <w:rPr>
                <w:rFonts w:cs="Times New Roman"/>
                <w:color w:val="auto"/>
                <w:sz w:val="19"/>
                <w:szCs w:val="19"/>
                <w:lang w:eastAsia="fr-FR"/>
              </w:rPr>
              <w:t>Risques d’augmentation des pressions sur les services sociaux de base : Centres de santé, etc.</w:t>
            </w:r>
          </w:p>
        </w:tc>
        <w:tc>
          <w:tcPr>
            <w:tcW w:w="2337" w:type="dxa"/>
          </w:tcPr>
          <w:p w14:paraId="2DF1C34C"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Sensibiliser les employés sur la santé au travail</w:t>
            </w:r>
          </w:p>
        </w:tc>
        <w:tc>
          <w:tcPr>
            <w:tcW w:w="2756" w:type="dxa"/>
          </w:tcPr>
          <w:p w14:paraId="2EDE1520"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Signer une convention avec un médecin privé</w:t>
            </w:r>
          </w:p>
        </w:tc>
        <w:tc>
          <w:tcPr>
            <w:tcW w:w="2346" w:type="dxa"/>
          </w:tcPr>
          <w:p w14:paraId="18DD304A"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Nombre de consultations</w:t>
            </w:r>
          </w:p>
          <w:p w14:paraId="78923B2E"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Pathologies dominantes</w:t>
            </w:r>
          </w:p>
        </w:tc>
        <w:tc>
          <w:tcPr>
            <w:tcW w:w="1375" w:type="dxa"/>
          </w:tcPr>
          <w:p w14:paraId="1CF54BAC"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Comptage</w:t>
            </w:r>
          </w:p>
        </w:tc>
        <w:tc>
          <w:tcPr>
            <w:tcW w:w="1649" w:type="dxa"/>
          </w:tcPr>
          <w:p w14:paraId="0964D7FC"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Entreprise</w:t>
            </w:r>
          </w:p>
          <w:p w14:paraId="7CBE917F"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MdC</w:t>
            </w:r>
          </w:p>
        </w:tc>
        <w:tc>
          <w:tcPr>
            <w:tcW w:w="1908" w:type="dxa"/>
          </w:tcPr>
          <w:p w14:paraId="35E0A2C2"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Tous les mois</w:t>
            </w:r>
          </w:p>
        </w:tc>
      </w:tr>
      <w:tr w:rsidR="00C801A6" w:rsidRPr="00C801A6" w14:paraId="2872A866" w14:textId="77777777" w:rsidTr="00CB4938">
        <w:tc>
          <w:tcPr>
            <w:tcW w:w="2655" w:type="dxa"/>
          </w:tcPr>
          <w:p w14:paraId="33D9742B" w14:textId="77777777" w:rsidR="00064FF0" w:rsidRPr="00C801A6" w:rsidRDefault="00064FF0" w:rsidP="00347FDB">
            <w:pPr>
              <w:spacing w:before="20" w:after="20" w:line="264" w:lineRule="auto"/>
              <w:jc w:val="left"/>
              <w:rPr>
                <w:rFonts w:cs="Times New Roman"/>
                <w:color w:val="auto"/>
                <w:sz w:val="19"/>
                <w:szCs w:val="19"/>
                <w:lang w:eastAsia="fr-FR"/>
              </w:rPr>
            </w:pPr>
            <w:r w:rsidRPr="00C801A6">
              <w:rPr>
                <w:rFonts w:cs="Times New Roman"/>
                <w:color w:val="auto"/>
                <w:sz w:val="19"/>
                <w:szCs w:val="19"/>
                <w:lang w:eastAsia="fr-FR"/>
              </w:rPr>
              <w:t>Risques d’augmentation des pressions sur les ressources naturelles</w:t>
            </w:r>
          </w:p>
        </w:tc>
        <w:tc>
          <w:tcPr>
            <w:tcW w:w="2337" w:type="dxa"/>
          </w:tcPr>
          <w:p w14:paraId="384A75E8"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Sensibiliser les employés sur l’utilisation du bois de chauffe et encore moins sur l’utilisation du charbon de bois</w:t>
            </w:r>
          </w:p>
          <w:p w14:paraId="1B9A086B"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Les sensibiliser aussi sur le braconnage</w:t>
            </w:r>
          </w:p>
        </w:tc>
        <w:tc>
          <w:tcPr>
            <w:tcW w:w="2756" w:type="dxa"/>
          </w:tcPr>
          <w:p w14:paraId="7F41C11E"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Utiliser les chutes de bois provenant de la construction de la base-vie pour la préparation des repas</w:t>
            </w:r>
          </w:p>
          <w:p w14:paraId="189A8A58"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Utiliser des foyers améliorés</w:t>
            </w:r>
          </w:p>
        </w:tc>
        <w:tc>
          <w:tcPr>
            <w:tcW w:w="2346" w:type="dxa"/>
          </w:tcPr>
          <w:p w14:paraId="7BBA21EA"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Volume de bois de chauffe utilisé</w:t>
            </w:r>
          </w:p>
        </w:tc>
        <w:tc>
          <w:tcPr>
            <w:tcW w:w="1375" w:type="dxa"/>
          </w:tcPr>
          <w:p w14:paraId="2EB406F2"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Estimation</w:t>
            </w:r>
          </w:p>
        </w:tc>
        <w:tc>
          <w:tcPr>
            <w:tcW w:w="1649" w:type="dxa"/>
          </w:tcPr>
          <w:p w14:paraId="4B7B2BFC"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Entreprise</w:t>
            </w:r>
          </w:p>
          <w:p w14:paraId="4F53339E"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MdC</w:t>
            </w:r>
          </w:p>
        </w:tc>
        <w:tc>
          <w:tcPr>
            <w:tcW w:w="1908" w:type="dxa"/>
          </w:tcPr>
          <w:p w14:paraId="45F022C5"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Tous les mois</w:t>
            </w:r>
          </w:p>
        </w:tc>
      </w:tr>
      <w:tr w:rsidR="00064FF0" w:rsidRPr="00C801A6" w14:paraId="6DCA4C89" w14:textId="77777777" w:rsidTr="00CB4938">
        <w:tc>
          <w:tcPr>
            <w:tcW w:w="2655" w:type="dxa"/>
            <w:tcBorders>
              <w:bottom w:val="single" w:sz="4" w:space="0" w:color="auto"/>
            </w:tcBorders>
          </w:tcPr>
          <w:p w14:paraId="51B319CF" w14:textId="77F52FCF" w:rsidR="00064FF0" w:rsidRPr="00C801A6" w:rsidRDefault="00064FF0" w:rsidP="00347FDB">
            <w:pPr>
              <w:spacing w:before="20" w:after="20" w:line="264" w:lineRule="auto"/>
              <w:jc w:val="left"/>
              <w:rPr>
                <w:rFonts w:cs="Times New Roman"/>
                <w:color w:val="auto"/>
                <w:sz w:val="19"/>
                <w:szCs w:val="19"/>
                <w:lang w:eastAsia="fr-FR"/>
              </w:rPr>
            </w:pPr>
            <w:r w:rsidRPr="00C801A6">
              <w:rPr>
                <w:rFonts w:cs="Times New Roman"/>
                <w:color w:val="auto"/>
                <w:sz w:val="19"/>
                <w:szCs w:val="19"/>
                <w:lang w:eastAsia="fr-FR"/>
              </w:rPr>
              <w:t xml:space="preserve">Risques d’augmentation des cas d’actes </w:t>
            </w:r>
            <w:r w:rsidR="006F38A3">
              <w:rPr>
                <w:rFonts w:cs="Times New Roman"/>
                <w:color w:val="auto"/>
                <w:sz w:val="19"/>
                <w:szCs w:val="19"/>
                <w:lang w:eastAsia="fr-FR"/>
              </w:rPr>
              <w:t xml:space="preserve">EAS-HS </w:t>
            </w:r>
            <w:r w:rsidRPr="00C801A6">
              <w:rPr>
                <w:rFonts w:cs="Times New Roman"/>
                <w:color w:val="auto"/>
                <w:sz w:val="19"/>
                <w:szCs w:val="19"/>
                <w:lang w:eastAsia="fr-FR"/>
              </w:rPr>
              <w:t>.</w:t>
            </w:r>
          </w:p>
        </w:tc>
        <w:tc>
          <w:tcPr>
            <w:tcW w:w="2337" w:type="dxa"/>
            <w:tcBorders>
              <w:bottom w:val="single" w:sz="4" w:space="0" w:color="auto"/>
            </w:tcBorders>
          </w:tcPr>
          <w:p w14:paraId="5EF20259" w14:textId="4446F909"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 xml:space="preserve">Sensibiliser les ouvriers sur les sanctions légales liées aux actes </w:t>
            </w:r>
            <w:r w:rsidR="006F38A3">
              <w:rPr>
                <w:rFonts w:cs="Times New Roman"/>
                <w:color w:val="auto"/>
                <w:sz w:val="19"/>
                <w:szCs w:val="19"/>
              </w:rPr>
              <w:t xml:space="preserve">EAS-HS </w:t>
            </w:r>
          </w:p>
        </w:tc>
        <w:tc>
          <w:tcPr>
            <w:tcW w:w="2756" w:type="dxa"/>
            <w:tcBorders>
              <w:bottom w:val="single" w:sz="4" w:space="0" w:color="auto"/>
            </w:tcBorders>
          </w:tcPr>
          <w:p w14:paraId="0550FC9B"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Suspendre les contrevenants et leur faire prendre en charge les coûts de leurs actes, le cas échéant</w:t>
            </w:r>
          </w:p>
        </w:tc>
        <w:tc>
          <w:tcPr>
            <w:tcW w:w="2346" w:type="dxa"/>
            <w:tcBorders>
              <w:bottom w:val="single" w:sz="4" w:space="0" w:color="auto"/>
            </w:tcBorders>
          </w:tcPr>
          <w:p w14:paraId="0EF78BD8"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 xml:space="preserve">Nombre d’actes perpétrés par des agents de l’entreprise </w:t>
            </w:r>
          </w:p>
        </w:tc>
        <w:tc>
          <w:tcPr>
            <w:tcW w:w="1375" w:type="dxa"/>
            <w:tcBorders>
              <w:bottom w:val="single" w:sz="4" w:space="0" w:color="auto"/>
            </w:tcBorders>
          </w:tcPr>
          <w:p w14:paraId="49BCA686"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Comptage</w:t>
            </w:r>
          </w:p>
        </w:tc>
        <w:tc>
          <w:tcPr>
            <w:tcW w:w="1649" w:type="dxa"/>
            <w:tcBorders>
              <w:bottom w:val="single" w:sz="4" w:space="0" w:color="auto"/>
            </w:tcBorders>
          </w:tcPr>
          <w:p w14:paraId="654D4057"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Entreprise</w:t>
            </w:r>
          </w:p>
          <w:p w14:paraId="5FAA2564"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MdC</w:t>
            </w:r>
          </w:p>
        </w:tc>
        <w:tc>
          <w:tcPr>
            <w:tcW w:w="1908" w:type="dxa"/>
            <w:tcBorders>
              <w:bottom w:val="single" w:sz="4" w:space="0" w:color="auto"/>
            </w:tcBorders>
          </w:tcPr>
          <w:p w14:paraId="1D695ABA" w14:textId="77777777" w:rsidR="00064FF0" w:rsidRPr="00C801A6" w:rsidRDefault="00064FF0" w:rsidP="00844538">
            <w:pPr>
              <w:pStyle w:val="ListParagraph"/>
              <w:numPr>
                <w:ilvl w:val="0"/>
                <w:numId w:val="28"/>
              </w:numPr>
              <w:spacing w:before="20" w:after="20" w:line="264" w:lineRule="auto"/>
              <w:ind w:left="142" w:hanging="142"/>
              <w:contextualSpacing w:val="0"/>
              <w:jc w:val="left"/>
              <w:rPr>
                <w:rFonts w:cs="Times New Roman"/>
                <w:color w:val="auto"/>
                <w:sz w:val="19"/>
                <w:szCs w:val="19"/>
              </w:rPr>
            </w:pPr>
            <w:r w:rsidRPr="00C801A6">
              <w:rPr>
                <w:rFonts w:cs="Times New Roman"/>
                <w:color w:val="auto"/>
                <w:sz w:val="19"/>
                <w:szCs w:val="19"/>
              </w:rPr>
              <w:t>Tous les mois</w:t>
            </w:r>
          </w:p>
        </w:tc>
      </w:tr>
    </w:tbl>
    <w:p w14:paraId="04E7221A" w14:textId="77777777" w:rsidR="00064FF0" w:rsidRPr="00C801A6" w:rsidRDefault="00064FF0" w:rsidP="00064FF0">
      <w:pPr>
        <w:rPr>
          <w:color w:val="auto"/>
        </w:rPr>
      </w:pPr>
    </w:p>
    <w:p w14:paraId="3213FC83" w14:textId="716BC1EE" w:rsidR="00064FF0" w:rsidRDefault="00064FF0" w:rsidP="00064FF0">
      <w:pPr>
        <w:spacing w:line="259" w:lineRule="auto"/>
        <w:jc w:val="left"/>
        <w:rPr>
          <w:color w:val="auto"/>
        </w:rPr>
      </w:pPr>
      <w:r w:rsidRPr="00C801A6">
        <w:rPr>
          <w:color w:val="auto"/>
        </w:rPr>
        <w:br w:type="page"/>
      </w:r>
    </w:p>
    <w:p w14:paraId="4DFBB96D" w14:textId="36D4E472" w:rsidR="00CB4938" w:rsidRPr="00C801A6" w:rsidRDefault="00CB4938" w:rsidP="00CB4938">
      <w:pPr>
        <w:pStyle w:val="Caption"/>
        <w:rPr>
          <w:color w:val="auto"/>
        </w:rPr>
      </w:pPr>
      <w:bookmarkStart w:id="838" w:name="_Toc230427758"/>
      <w:r>
        <w:lastRenderedPageBreak/>
        <w:t xml:space="preserve">Tableau </w:t>
      </w:r>
      <w:r w:rsidR="00E44887">
        <w:fldChar w:fldCharType="begin"/>
      </w:r>
      <w:r w:rsidR="00E44887">
        <w:instrText xml:space="preserve"> SEQ Tableau \* ARABIC </w:instrText>
      </w:r>
      <w:r w:rsidR="00E44887">
        <w:fldChar w:fldCharType="separate"/>
      </w:r>
      <w:r w:rsidR="00646511">
        <w:rPr>
          <w:noProof/>
        </w:rPr>
        <w:t>38</w:t>
      </w:r>
      <w:r w:rsidR="00E44887">
        <w:rPr>
          <w:noProof/>
        </w:rPr>
        <w:fldChar w:fldCharType="end"/>
      </w:r>
      <w:r>
        <w:t> : PLAN CADRE DE SUIVI E&amp;S – TRAVAUX DE GENIE CIVIL – PHASE DE MISE EN OEUVRE</w:t>
      </w:r>
      <w:bookmarkEnd w:id="838"/>
    </w:p>
    <w:tbl>
      <w:tblPr>
        <w:tblStyle w:val="TableGrid"/>
        <w:tblW w:w="15276" w:type="dxa"/>
        <w:tblInd w:w="-5" w:type="dxa"/>
        <w:tblLook w:val="04A0" w:firstRow="1" w:lastRow="0" w:firstColumn="1" w:lastColumn="0" w:noHBand="0" w:noVBand="1"/>
      </w:tblPr>
      <w:tblGrid>
        <w:gridCol w:w="2660"/>
        <w:gridCol w:w="2410"/>
        <w:gridCol w:w="2834"/>
        <w:gridCol w:w="2408"/>
        <w:gridCol w:w="1421"/>
        <w:gridCol w:w="1700"/>
        <w:gridCol w:w="1843"/>
      </w:tblGrid>
      <w:tr w:rsidR="00C801A6" w:rsidRPr="00C801A6" w14:paraId="15224EC4" w14:textId="77777777" w:rsidTr="00CB4938">
        <w:trPr>
          <w:tblHeader/>
        </w:trPr>
        <w:tc>
          <w:tcPr>
            <w:tcW w:w="2660" w:type="dxa"/>
            <w:tcBorders>
              <w:top w:val="single" w:sz="4" w:space="0" w:color="auto"/>
              <w:bottom w:val="single" w:sz="4" w:space="0" w:color="auto"/>
            </w:tcBorders>
            <w:shd w:val="clear" w:color="auto" w:fill="E2EFD9" w:themeFill="accent6" w:themeFillTint="33"/>
          </w:tcPr>
          <w:p w14:paraId="5F1F762D" w14:textId="77777777" w:rsidR="00064FF0" w:rsidRPr="00C801A6" w:rsidRDefault="00064FF0" w:rsidP="00347FDB">
            <w:pPr>
              <w:spacing w:before="20" w:after="20" w:line="288" w:lineRule="auto"/>
              <w:jc w:val="left"/>
              <w:rPr>
                <w:rFonts w:cs="Times New Roman"/>
                <w:b/>
                <w:color w:val="auto"/>
                <w:sz w:val="20"/>
                <w:szCs w:val="20"/>
              </w:rPr>
            </w:pPr>
            <w:r w:rsidRPr="00C801A6">
              <w:rPr>
                <w:rFonts w:cs="Times New Roman"/>
                <w:b/>
                <w:color w:val="auto"/>
                <w:sz w:val="20"/>
                <w:szCs w:val="20"/>
              </w:rPr>
              <w:t>Impacts types</w:t>
            </w:r>
          </w:p>
        </w:tc>
        <w:tc>
          <w:tcPr>
            <w:tcW w:w="2410" w:type="dxa"/>
            <w:tcBorders>
              <w:top w:val="single" w:sz="4" w:space="0" w:color="auto"/>
              <w:bottom w:val="single" w:sz="4" w:space="0" w:color="auto"/>
            </w:tcBorders>
            <w:shd w:val="clear" w:color="auto" w:fill="E2EFD9" w:themeFill="accent6" w:themeFillTint="33"/>
          </w:tcPr>
          <w:p w14:paraId="5505742A" w14:textId="77777777" w:rsidR="00064FF0" w:rsidRPr="00C801A6" w:rsidRDefault="00064FF0" w:rsidP="00347FDB">
            <w:pPr>
              <w:spacing w:before="20" w:after="20" w:line="288" w:lineRule="auto"/>
              <w:jc w:val="left"/>
              <w:rPr>
                <w:rFonts w:cs="Times New Roman"/>
                <w:b/>
                <w:color w:val="auto"/>
                <w:sz w:val="20"/>
                <w:szCs w:val="20"/>
              </w:rPr>
            </w:pPr>
            <w:r w:rsidRPr="00C801A6">
              <w:rPr>
                <w:rFonts w:cs="Times New Roman"/>
                <w:b/>
                <w:color w:val="auto"/>
                <w:sz w:val="20"/>
                <w:szCs w:val="20"/>
              </w:rPr>
              <w:t>Mesures d’évitement types</w:t>
            </w:r>
          </w:p>
        </w:tc>
        <w:tc>
          <w:tcPr>
            <w:tcW w:w="2834" w:type="dxa"/>
            <w:tcBorders>
              <w:top w:val="single" w:sz="4" w:space="0" w:color="auto"/>
              <w:bottom w:val="single" w:sz="4" w:space="0" w:color="auto"/>
            </w:tcBorders>
            <w:shd w:val="clear" w:color="auto" w:fill="E2EFD9" w:themeFill="accent6" w:themeFillTint="33"/>
          </w:tcPr>
          <w:p w14:paraId="4D46449A" w14:textId="77777777" w:rsidR="00064FF0" w:rsidRPr="00C801A6" w:rsidRDefault="00064FF0" w:rsidP="00347FDB">
            <w:pPr>
              <w:spacing w:before="20" w:after="20" w:line="288" w:lineRule="auto"/>
              <w:jc w:val="left"/>
              <w:rPr>
                <w:rFonts w:cs="Times New Roman"/>
                <w:b/>
                <w:color w:val="auto"/>
                <w:sz w:val="20"/>
                <w:szCs w:val="20"/>
              </w:rPr>
            </w:pPr>
            <w:r w:rsidRPr="00C801A6">
              <w:rPr>
                <w:rFonts w:cs="Times New Roman"/>
                <w:b/>
                <w:color w:val="auto"/>
                <w:sz w:val="20"/>
                <w:szCs w:val="20"/>
              </w:rPr>
              <w:t>Mesures d’atténuation types</w:t>
            </w:r>
          </w:p>
        </w:tc>
        <w:tc>
          <w:tcPr>
            <w:tcW w:w="2408" w:type="dxa"/>
            <w:tcBorders>
              <w:top w:val="single" w:sz="4" w:space="0" w:color="auto"/>
              <w:bottom w:val="single" w:sz="4" w:space="0" w:color="auto"/>
            </w:tcBorders>
            <w:shd w:val="clear" w:color="auto" w:fill="E2EFD9" w:themeFill="accent6" w:themeFillTint="33"/>
          </w:tcPr>
          <w:p w14:paraId="1BC29D84" w14:textId="77777777" w:rsidR="00064FF0" w:rsidRPr="00C801A6" w:rsidRDefault="00064FF0" w:rsidP="00347FDB">
            <w:pPr>
              <w:spacing w:before="20" w:after="20" w:line="288" w:lineRule="auto"/>
              <w:jc w:val="left"/>
              <w:rPr>
                <w:rFonts w:cs="Times New Roman"/>
                <w:b/>
                <w:color w:val="auto"/>
                <w:sz w:val="20"/>
                <w:szCs w:val="20"/>
              </w:rPr>
            </w:pPr>
            <w:r w:rsidRPr="00C801A6">
              <w:rPr>
                <w:rFonts w:cs="Times New Roman"/>
                <w:b/>
                <w:color w:val="auto"/>
                <w:sz w:val="20"/>
                <w:szCs w:val="20"/>
              </w:rPr>
              <w:t>Indicateurs de suivi</w:t>
            </w:r>
          </w:p>
        </w:tc>
        <w:tc>
          <w:tcPr>
            <w:tcW w:w="1421" w:type="dxa"/>
            <w:tcBorders>
              <w:top w:val="single" w:sz="4" w:space="0" w:color="auto"/>
              <w:bottom w:val="single" w:sz="4" w:space="0" w:color="auto"/>
            </w:tcBorders>
            <w:shd w:val="clear" w:color="auto" w:fill="E2EFD9" w:themeFill="accent6" w:themeFillTint="33"/>
          </w:tcPr>
          <w:p w14:paraId="14219511" w14:textId="77777777" w:rsidR="00064FF0" w:rsidRPr="00C801A6" w:rsidRDefault="00064FF0" w:rsidP="00347FDB">
            <w:pPr>
              <w:spacing w:before="20" w:after="20" w:line="288" w:lineRule="auto"/>
              <w:jc w:val="left"/>
              <w:rPr>
                <w:rFonts w:cs="Times New Roman"/>
                <w:b/>
                <w:color w:val="auto"/>
                <w:sz w:val="20"/>
                <w:szCs w:val="20"/>
              </w:rPr>
            </w:pPr>
            <w:r w:rsidRPr="00C801A6">
              <w:rPr>
                <w:rFonts w:cs="Times New Roman"/>
                <w:b/>
                <w:color w:val="auto"/>
                <w:sz w:val="20"/>
                <w:szCs w:val="20"/>
              </w:rPr>
              <w:t>Méthode</w:t>
            </w:r>
          </w:p>
        </w:tc>
        <w:tc>
          <w:tcPr>
            <w:tcW w:w="1700" w:type="dxa"/>
            <w:tcBorders>
              <w:top w:val="single" w:sz="4" w:space="0" w:color="auto"/>
              <w:bottom w:val="single" w:sz="4" w:space="0" w:color="auto"/>
            </w:tcBorders>
            <w:shd w:val="clear" w:color="auto" w:fill="E2EFD9" w:themeFill="accent6" w:themeFillTint="33"/>
          </w:tcPr>
          <w:p w14:paraId="676064EC" w14:textId="77777777" w:rsidR="00064FF0" w:rsidRPr="00C801A6" w:rsidRDefault="00064FF0" w:rsidP="00347FDB">
            <w:pPr>
              <w:spacing w:before="20" w:after="20" w:line="288" w:lineRule="auto"/>
              <w:jc w:val="left"/>
              <w:rPr>
                <w:rFonts w:cs="Times New Roman"/>
                <w:b/>
                <w:color w:val="auto"/>
                <w:sz w:val="20"/>
                <w:szCs w:val="20"/>
              </w:rPr>
            </w:pPr>
            <w:r w:rsidRPr="00C801A6">
              <w:rPr>
                <w:rFonts w:cs="Times New Roman"/>
                <w:b/>
                <w:color w:val="auto"/>
                <w:sz w:val="20"/>
                <w:szCs w:val="20"/>
              </w:rPr>
              <w:t>Mise en œuvre</w:t>
            </w:r>
          </w:p>
        </w:tc>
        <w:tc>
          <w:tcPr>
            <w:tcW w:w="1843" w:type="dxa"/>
            <w:tcBorders>
              <w:top w:val="single" w:sz="4" w:space="0" w:color="auto"/>
              <w:bottom w:val="single" w:sz="4" w:space="0" w:color="auto"/>
            </w:tcBorders>
            <w:shd w:val="clear" w:color="auto" w:fill="E2EFD9" w:themeFill="accent6" w:themeFillTint="33"/>
          </w:tcPr>
          <w:p w14:paraId="780C90F7" w14:textId="77777777" w:rsidR="00064FF0" w:rsidRPr="00C801A6" w:rsidRDefault="00064FF0" w:rsidP="00347FDB">
            <w:pPr>
              <w:spacing w:before="20" w:after="20" w:line="288" w:lineRule="auto"/>
              <w:jc w:val="left"/>
              <w:rPr>
                <w:rFonts w:cs="Times New Roman"/>
                <w:b/>
                <w:color w:val="auto"/>
                <w:sz w:val="20"/>
                <w:szCs w:val="20"/>
              </w:rPr>
            </w:pPr>
            <w:r w:rsidRPr="00C801A6">
              <w:rPr>
                <w:rFonts w:cs="Times New Roman"/>
                <w:b/>
                <w:color w:val="auto"/>
                <w:sz w:val="20"/>
                <w:szCs w:val="20"/>
              </w:rPr>
              <w:t>Calendrier</w:t>
            </w:r>
          </w:p>
        </w:tc>
      </w:tr>
      <w:tr w:rsidR="00C801A6" w:rsidRPr="00C801A6" w14:paraId="539F9F87" w14:textId="77777777" w:rsidTr="00CB4938">
        <w:tc>
          <w:tcPr>
            <w:tcW w:w="2660" w:type="dxa"/>
            <w:tcBorders>
              <w:top w:val="single" w:sz="4" w:space="0" w:color="auto"/>
              <w:left w:val="single" w:sz="4" w:space="0" w:color="auto"/>
              <w:bottom w:val="single" w:sz="4" w:space="0" w:color="auto"/>
              <w:right w:val="nil"/>
            </w:tcBorders>
            <w:shd w:val="clear" w:color="auto" w:fill="D0CECE" w:themeFill="background2" w:themeFillShade="E6"/>
          </w:tcPr>
          <w:p w14:paraId="60347291" w14:textId="77777777" w:rsidR="00064FF0" w:rsidRPr="00C801A6" w:rsidRDefault="00064FF0" w:rsidP="00347FDB">
            <w:pPr>
              <w:spacing w:before="20" w:after="20" w:line="288" w:lineRule="auto"/>
              <w:jc w:val="left"/>
              <w:rPr>
                <w:rFonts w:cs="Times New Roman"/>
                <w:b/>
                <w:color w:val="auto"/>
                <w:sz w:val="20"/>
                <w:szCs w:val="20"/>
                <w:lang w:eastAsia="fr-FR"/>
              </w:rPr>
            </w:pPr>
            <w:r w:rsidRPr="00C801A6">
              <w:rPr>
                <w:rFonts w:cs="Times New Roman"/>
                <w:b/>
                <w:color w:val="auto"/>
                <w:sz w:val="20"/>
                <w:szCs w:val="20"/>
                <w:lang w:eastAsia="fr-FR"/>
              </w:rPr>
              <w:t>Milieux biophysiques</w:t>
            </w:r>
          </w:p>
        </w:tc>
        <w:tc>
          <w:tcPr>
            <w:tcW w:w="2410" w:type="dxa"/>
            <w:tcBorders>
              <w:top w:val="single" w:sz="4" w:space="0" w:color="auto"/>
              <w:left w:val="nil"/>
              <w:bottom w:val="single" w:sz="4" w:space="0" w:color="auto"/>
              <w:right w:val="nil"/>
            </w:tcBorders>
            <w:shd w:val="clear" w:color="auto" w:fill="D0CECE" w:themeFill="background2" w:themeFillShade="E6"/>
          </w:tcPr>
          <w:p w14:paraId="571C1BD0" w14:textId="77777777" w:rsidR="00064FF0" w:rsidRPr="00C801A6" w:rsidRDefault="00064FF0" w:rsidP="00347FDB">
            <w:pPr>
              <w:spacing w:before="20" w:after="20" w:line="288" w:lineRule="auto"/>
              <w:jc w:val="left"/>
              <w:rPr>
                <w:rFonts w:cs="Times New Roman"/>
                <w:b/>
                <w:color w:val="auto"/>
                <w:sz w:val="20"/>
                <w:szCs w:val="20"/>
                <w:lang w:eastAsia="fr-FR"/>
              </w:rPr>
            </w:pPr>
          </w:p>
        </w:tc>
        <w:tc>
          <w:tcPr>
            <w:tcW w:w="2834" w:type="dxa"/>
            <w:tcBorders>
              <w:top w:val="single" w:sz="4" w:space="0" w:color="auto"/>
              <w:left w:val="nil"/>
              <w:bottom w:val="single" w:sz="4" w:space="0" w:color="auto"/>
              <w:right w:val="nil"/>
            </w:tcBorders>
            <w:shd w:val="clear" w:color="auto" w:fill="D0CECE" w:themeFill="background2" w:themeFillShade="E6"/>
          </w:tcPr>
          <w:p w14:paraId="6C63CD0E" w14:textId="77777777" w:rsidR="00064FF0" w:rsidRPr="00C801A6" w:rsidRDefault="00064FF0" w:rsidP="00347FDB">
            <w:pPr>
              <w:spacing w:before="20" w:after="20" w:line="288" w:lineRule="auto"/>
              <w:jc w:val="left"/>
              <w:rPr>
                <w:rFonts w:cs="Times New Roman"/>
                <w:b/>
                <w:color w:val="auto"/>
                <w:sz w:val="20"/>
                <w:szCs w:val="20"/>
                <w:lang w:eastAsia="fr-FR"/>
              </w:rPr>
            </w:pPr>
          </w:p>
        </w:tc>
        <w:tc>
          <w:tcPr>
            <w:tcW w:w="2408" w:type="dxa"/>
            <w:tcBorders>
              <w:top w:val="single" w:sz="4" w:space="0" w:color="auto"/>
              <w:left w:val="nil"/>
              <w:bottom w:val="single" w:sz="4" w:space="0" w:color="auto"/>
              <w:right w:val="nil"/>
            </w:tcBorders>
            <w:shd w:val="clear" w:color="auto" w:fill="D0CECE" w:themeFill="background2" w:themeFillShade="E6"/>
          </w:tcPr>
          <w:p w14:paraId="4BBE91C3" w14:textId="77777777" w:rsidR="00064FF0" w:rsidRPr="00C801A6" w:rsidRDefault="00064FF0" w:rsidP="00347FDB">
            <w:pPr>
              <w:spacing w:before="20" w:after="20" w:line="288" w:lineRule="auto"/>
              <w:jc w:val="left"/>
              <w:rPr>
                <w:rFonts w:cs="Times New Roman"/>
                <w:b/>
                <w:color w:val="auto"/>
                <w:sz w:val="20"/>
                <w:szCs w:val="20"/>
                <w:lang w:eastAsia="fr-FR"/>
              </w:rPr>
            </w:pPr>
          </w:p>
        </w:tc>
        <w:tc>
          <w:tcPr>
            <w:tcW w:w="1421" w:type="dxa"/>
            <w:tcBorders>
              <w:top w:val="single" w:sz="4" w:space="0" w:color="auto"/>
              <w:left w:val="nil"/>
              <w:bottom w:val="single" w:sz="4" w:space="0" w:color="auto"/>
              <w:right w:val="nil"/>
            </w:tcBorders>
            <w:shd w:val="clear" w:color="auto" w:fill="D0CECE" w:themeFill="background2" w:themeFillShade="E6"/>
          </w:tcPr>
          <w:p w14:paraId="68EAD375" w14:textId="77777777" w:rsidR="00064FF0" w:rsidRPr="00C801A6" w:rsidRDefault="00064FF0" w:rsidP="00347FDB">
            <w:pPr>
              <w:spacing w:before="20" w:after="20" w:line="288" w:lineRule="auto"/>
              <w:jc w:val="left"/>
              <w:rPr>
                <w:rFonts w:cs="Times New Roman"/>
                <w:b/>
                <w:color w:val="auto"/>
                <w:sz w:val="20"/>
                <w:szCs w:val="20"/>
                <w:lang w:eastAsia="fr-FR"/>
              </w:rPr>
            </w:pPr>
          </w:p>
        </w:tc>
        <w:tc>
          <w:tcPr>
            <w:tcW w:w="1700" w:type="dxa"/>
            <w:tcBorders>
              <w:top w:val="single" w:sz="4" w:space="0" w:color="auto"/>
              <w:left w:val="nil"/>
              <w:bottom w:val="single" w:sz="4" w:space="0" w:color="auto"/>
              <w:right w:val="nil"/>
            </w:tcBorders>
            <w:shd w:val="clear" w:color="auto" w:fill="D0CECE" w:themeFill="background2" w:themeFillShade="E6"/>
          </w:tcPr>
          <w:p w14:paraId="13BF25BE" w14:textId="77777777" w:rsidR="00064FF0" w:rsidRPr="00C801A6" w:rsidRDefault="00064FF0" w:rsidP="00347FDB">
            <w:pPr>
              <w:spacing w:before="20" w:after="20" w:line="288" w:lineRule="auto"/>
              <w:jc w:val="left"/>
              <w:rPr>
                <w:rFonts w:cs="Times New Roman"/>
                <w:b/>
                <w:color w:val="auto"/>
                <w:sz w:val="20"/>
                <w:szCs w:val="20"/>
                <w:lang w:eastAsia="fr-FR"/>
              </w:rPr>
            </w:pPr>
          </w:p>
        </w:tc>
        <w:tc>
          <w:tcPr>
            <w:tcW w:w="1843" w:type="dxa"/>
            <w:tcBorders>
              <w:top w:val="single" w:sz="4" w:space="0" w:color="auto"/>
              <w:left w:val="nil"/>
              <w:bottom w:val="single" w:sz="4" w:space="0" w:color="auto"/>
              <w:right w:val="single" w:sz="4" w:space="0" w:color="auto"/>
            </w:tcBorders>
            <w:shd w:val="clear" w:color="auto" w:fill="D0CECE" w:themeFill="background2" w:themeFillShade="E6"/>
          </w:tcPr>
          <w:p w14:paraId="2717B5A1" w14:textId="77777777" w:rsidR="00064FF0" w:rsidRPr="00C801A6" w:rsidRDefault="00064FF0" w:rsidP="00347FDB">
            <w:pPr>
              <w:spacing w:before="20" w:after="20" w:line="288" w:lineRule="auto"/>
              <w:jc w:val="left"/>
              <w:rPr>
                <w:rFonts w:cs="Times New Roman"/>
                <w:b/>
                <w:color w:val="auto"/>
                <w:sz w:val="20"/>
                <w:szCs w:val="20"/>
                <w:lang w:eastAsia="fr-FR"/>
              </w:rPr>
            </w:pPr>
          </w:p>
        </w:tc>
      </w:tr>
      <w:tr w:rsidR="00C801A6" w:rsidRPr="00C801A6" w14:paraId="154B9E99" w14:textId="77777777" w:rsidTr="00CB4938">
        <w:tc>
          <w:tcPr>
            <w:tcW w:w="2660" w:type="dxa"/>
          </w:tcPr>
          <w:p w14:paraId="2DB7E72B" w14:textId="77777777" w:rsidR="00064FF0" w:rsidRPr="00C801A6" w:rsidRDefault="00064FF0" w:rsidP="00347FDB">
            <w:pPr>
              <w:spacing w:before="20" w:after="20" w:line="288" w:lineRule="auto"/>
              <w:jc w:val="left"/>
              <w:rPr>
                <w:rFonts w:cs="Times New Roman"/>
                <w:color w:val="auto"/>
                <w:sz w:val="20"/>
                <w:szCs w:val="20"/>
                <w:lang w:eastAsia="fr-FR"/>
              </w:rPr>
            </w:pPr>
            <w:r w:rsidRPr="00C801A6">
              <w:rPr>
                <w:rFonts w:cs="Times New Roman"/>
                <w:color w:val="auto"/>
                <w:sz w:val="20"/>
                <w:szCs w:val="20"/>
                <w:lang w:eastAsia="fr-FR"/>
              </w:rPr>
              <w:t>Altération de la qualité de l’air/Emission de poussières</w:t>
            </w:r>
          </w:p>
        </w:tc>
        <w:tc>
          <w:tcPr>
            <w:tcW w:w="2410" w:type="dxa"/>
          </w:tcPr>
          <w:p w14:paraId="032C3065"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Aucune</w:t>
            </w:r>
          </w:p>
        </w:tc>
        <w:tc>
          <w:tcPr>
            <w:tcW w:w="2834" w:type="dxa"/>
          </w:tcPr>
          <w:p w14:paraId="51494904"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Arroser les surfaces à remédier</w:t>
            </w:r>
          </w:p>
        </w:tc>
        <w:tc>
          <w:tcPr>
            <w:tcW w:w="2408" w:type="dxa"/>
          </w:tcPr>
          <w:p w14:paraId="0382EC63"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Surfaces remédiées avec arrosage</w:t>
            </w:r>
          </w:p>
        </w:tc>
        <w:tc>
          <w:tcPr>
            <w:tcW w:w="1421" w:type="dxa"/>
          </w:tcPr>
          <w:p w14:paraId="50B3327C"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Estimation</w:t>
            </w:r>
          </w:p>
        </w:tc>
        <w:tc>
          <w:tcPr>
            <w:tcW w:w="1700" w:type="dxa"/>
          </w:tcPr>
          <w:p w14:paraId="05A49272"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Entreprise</w:t>
            </w:r>
          </w:p>
          <w:p w14:paraId="1592D943"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MdC</w:t>
            </w:r>
          </w:p>
        </w:tc>
        <w:tc>
          <w:tcPr>
            <w:tcW w:w="1843" w:type="dxa"/>
          </w:tcPr>
          <w:p w14:paraId="3DA59B82"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Tous les mois</w:t>
            </w:r>
          </w:p>
        </w:tc>
      </w:tr>
      <w:tr w:rsidR="00C801A6" w:rsidRPr="00C801A6" w14:paraId="4B22CCF5" w14:textId="77777777" w:rsidTr="00CB4938">
        <w:tc>
          <w:tcPr>
            <w:tcW w:w="2660" w:type="dxa"/>
            <w:tcBorders>
              <w:bottom w:val="single" w:sz="4" w:space="0" w:color="auto"/>
            </w:tcBorders>
          </w:tcPr>
          <w:p w14:paraId="11101B4B" w14:textId="77777777" w:rsidR="00064FF0" w:rsidRPr="00C801A6" w:rsidRDefault="00064FF0" w:rsidP="00347FDB">
            <w:pPr>
              <w:spacing w:before="20" w:after="20" w:line="288" w:lineRule="auto"/>
              <w:jc w:val="left"/>
              <w:rPr>
                <w:rFonts w:cs="Times New Roman"/>
                <w:color w:val="auto"/>
                <w:sz w:val="20"/>
                <w:szCs w:val="20"/>
                <w:lang w:eastAsia="fr-FR"/>
              </w:rPr>
            </w:pPr>
            <w:r w:rsidRPr="00C801A6">
              <w:rPr>
                <w:rFonts w:cs="Times New Roman"/>
                <w:color w:val="auto"/>
                <w:sz w:val="20"/>
                <w:szCs w:val="20"/>
                <w:lang w:eastAsia="fr-FR"/>
              </w:rPr>
              <w:t>Altération de l’ambiance sonore / Emission de bruit</w:t>
            </w:r>
          </w:p>
        </w:tc>
        <w:tc>
          <w:tcPr>
            <w:tcW w:w="2410" w:type="dxa"/>
            <w:tcBorders>
              <w:bottom w:val="single" w:sz="4" w:space="0" w:color="auto"/>
            </w:tcBorders>
          </w:tcPr>
          <w:p w14:paraId="31F3B934"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Aucune</w:t>
            </w:r>
          </w:p>
        </w:tc>
        <w:tc>
          <w:tcPr>
            <w:tcW w:w="2834" w:type="dxa"/>
            <w:tcBorders>
              <w:bottom w:val="single" w:sz="4" w:space="0" w:color="auto"/>
            </w:tcBorders>
          </w:tcPr>
          <w:p w14:paraId="6E14D921"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Planifier les heures de travail en zone habitée à des tranches horaires où les riverains sont dans leurs lieux de travail.</w:t>
            </w:r>
          </w:p>
          <w:p w14:paraId="30DAADA4"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Faire attention pour les travaux proches d’une école ou d’un hôpital</w:t>
            </w:r>
          </w:p>
        </w:tc>
        <w:tc>
          <w:tcPr>
            <w:tcW w:w="2408" w:type="dxa"/>
            <w:tcBorders>
              <w:bottom w:val="single" w:sz="4" w:space="0" w:color="auto"/>
            </w:tcBorders>
          </w:tcPr>
          <w:p w14:paraId="504440B9"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Nombre de plaintes de riverains sur le bruit de chantier</w:t>
            </w:r>
          </w:p>
          <w:p w14:paraId="6573D25F"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Nombre de jours de travaux à moins de 50m d’un hôpital ou d’une école</w:t>
            </w:r>
          </w:p>
        </w:tc>
        <w:tc>
          <w:tcPr>
            <w:tcW w:w="1421" w:type="dxa"/>
            <w:tcBorders>
              <w:bottom w:val="single" w:sz="4" w:space="0" w:color="auto"/>
            </w:tcBorders>
          </w:tcPr>
          <w:p w14:paraId="275A6632"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Comptage</w:t>
            </w:r>
          </w:p>
        </w:tc>
        <w:tc>
          <w:tcPr>
            <w:tcW w:w="1700" w:type="dxa"/>
            <w:tcBorders>
              <w:bottom w:val="single" w:sz="4" w:space="0" w:color="auto"/>
            </w:tcBorders>
          </w:tcPr>
          <w:p w14:paraId="520F6447"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Entreprise</w:t>
            </w:r>
          </w:p>
          <w:p w14:paraId="3386E903"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MdC</w:t>
            </w:r>
          </w:p>
        </w:tc>
        <w:tc>
          <w:tcPr>
            <w:tcW w:w="1843" w:type="dxa"/>
            <w:tcBorders>
              <w:bottom w:val="single" w:sz="4" w:space="0" w:color="auto"/>
            </w:tcBorders>
          </w:tcPr>
          <w:p w14:paraId="59A5DD2C"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Tous les mois</w:t>
            </w:r>
          </w:p>
        </w:tc>
      </w:tr>
      <w:tr w:rsidR="00C801A6" w:rsidRPr="00C801A6" w14:paraId="53087EFF" w14:textId="77777777" w:rsidTr="00CB4938">
        <w:tc>
          <w:tcPr>
            <w:tcW w:w="5070" w:type="dxa"/>
            <w:gridSpan w:val="2"/>
            <w:tcBorders>
              <w:top w:val="single" w:sz="4" w:space="0" w:color="auto"/>
              <w:left w:val="single" w:sz="4" w:space="0" w:color="auto"/>
              <w:bottom w:val="single" w:sz="4" w:space="0" w:color="auto"/>
              <w:right w:val="nil"/>
            </w:tcBorders>
            <w:shd w:val="clear" w:color="auto" w:fill="D0CECE" w:themeFill="background2" w:themeFillShade="E6"/>
          </w:tcPr>
          <w:p w14:paraId="111DA308" w14:textId="77777777" w:rsidR="00064FF0" w:rsidRPr="00C801A6" w:rsidRDefault="00064FF0" w:rsidP="00347FDB">
            <w:pPr>
              <w:spacing w:before="20" w:after="20" w:line="288" w:lineRule="auto"/>
              <w:jc w:val="left"/>
              <w:rPr>
                <w:rFonts w:cs="Times New Roman"/>
                <w:b/>
                <w:color w:val="auto"/>
                <w:sz w:val="20"/>
                <w:szCs w:val="20"/>
                <w:lang w:eastAsia="fr-FR"/>
              </w:rPr>
            </w:pPr>
            <w:r w:rsidRPr="00C801A6">
              <w:rPr>
                <w:rFonts w:cs="Times New Roman"/>
                <w:b/>
                <w:color w:val="auto"/>
                <w:sz w:val="20"/>
                <w:szCs w:val="20"/>
                <w:lang w:eastAsia="fr-FR"/>
              </w:rPr>
              <w:t>Impacts socioéconomiques</w:t>
            </w:r>
          </w:p>
        </w:tc>
        <w:tc>
          <w:tcPr>
            <w:tcW w:w="2834" w:type="dxa"/>
            <w:tcBorders>
              <w:top w:val="single" w:sz="4" w:space="0" w:color="auto"/>
              <w:left w:val="nil"/>
              <w:bottom w:val="single" w:sz="4" w:space="0" w:color="auto"/>
              <w:right w:val="nil"/>
            </w:tcBorders>
            <w:shd w:val="clear" w:color="auto" w:fill="D0CECE" w:themeFill="background2" w:themeFillShade="E6"/>
          </w:tcPr>
          <w:p w14:paraId="39041D15" w14:textId="77777777" w:rsidR="00064FF0" w:rsidRPr="00C801A6" w:rsidRDefault="00064FF0" w:rsidP="00347FDB">
            <w:pPr>
              <w:spacing w:before="20" w:after="20" w:line="288" w:lineRule="auto"/>
              <w:jc w:val="left"/>
              <w:rPr>
                <w:rFonts w:cs="Times New Roman"/>
                <w:b/>
                <w:color w:val="auto"/>
                <w:sz w:val="20"/>
                <w:szCs w:val="20"/>
                <w:lang w:eastAsia="fr-FR"/>
              </w:rPr>
            </w:pPr>
          </w:p>
        </w:tc>
        <w:tc>
          <w:tcPr>
            <w:tcW w:w="2408" w:type="dxa"/>
            <w:tcBorders>
              <w:top w:val="single" w:sz="4" w:space="0" w:color="auto"/>
              <w:left w:val="nil"/>
              <w:bottom w:val="single" w:sz="4" w:space="0" w:color="auto"/>
              <w:right w:val="nil"/>
            </w:tcBorders>
            <w:shd w:val="clear" w:color="auto" w:fill="D0CECE" w:themeFill="background2" w:themeFillShade="E6"/>
          </w:tcPr>
          <w:p w14:paraId="6DDC8ACA" w14:textId="77777777" w:rsidR="00064FF0" w:rsidRPr="00C801A6" w:rsidRDefault="00064FF0" w:rsidP="00347FDB">
            <w:pPr>
              <w:spacing w:before="20" w:after="20" w:line="288" w:lineRule="auto"/>
              <w:jc w:val="left"/>
              <w:rPr>
                <w:rFonts w:cs="Times New Roman"/>
                <w:b/>
                <w:color w:val="auto"/>
                <w:sz w:val="20"/>
                <w:szCs w:val="20"/>
                <w:lang w:eastAsia="fr-FR"/>
              </w:rPr>
            </w:pPr>
          </w:p>
        </w:tc>
        <w:tc>
          <w:tcPr>
            <w:tcW w:w="1421" w:type="dxa"/>
            <w:tcBorders>
              <w:top w:val="single" w:sz="4" w:space="0" w:color="auto"/>
              <w:left w:val="nil"/>
              <w:bottom w:val="single" w:sz="4" w:space="0" w:color="auto"/>
              <w:right w:val="nil"/>
            </w:tcBorders>
            <w:shd w:val="clear" w:color="auto" w:fill="D0CECE" w:themeFill="background2" w:themeFillShade="E6"/>
          </w:tcPr>
          <w:p w14:paraId="40C55142" w14:textId="77777777" w:rsidR="00064FF0" w:rsidRPr="00C801A6" w:rsidRDefault="00064FF0" w:rsidP="00347FDB">
            <w:pPr>
              <w:spacing w:before="20" w:after="20" w:line="288" w:lineRule="auto"/>
              <w:jc w:val="left"/>
              <w:rPr>
                <w:rFonts w:cs="Times New Roman"/>
                <w:b/>
                <w:color w:val="auto"/>
                <w:sz w:val="20"/>
                <w:szCs w:val="20"/>
                <w:lang w:eastAsia="fr-FR"/>
              </w:rPr>
            </w:pPr>
          </w:p>
        </w:tc>
        <w:tc>
          <w:tcPr>
            <w:tcW w:w="1700" w:type="dxa"/>
            <w:tcBorders>
              <w:top w:val="single" w:sz="4" w:space="0" w:color="auto"/>
              <w:left w:val="nil"/>
              <w:bottom w:val="single" w:sz="4" w:space="0" w:color="auto"/>
              <w:right w:val="nil"/>
            </w:tcBorders>
            <w:shd w:val="clear" w:color="auto" w:fill="D0CECE" w:themeFill="background2" w:themeFillShade="E6"/>
          </w:tcPr>
          <w:p w14:paraId="6CCB1DC7" w14:textId="77777777" w:rsidR="00064FF0" w:rsidRPr="00C801A6" w:rsidRDefault="00064FF0" w:rsidP="00347FDB">
            <w:pPr>
              <w:spacing w:before="20" w:after="20" w:line="288" w:lineRule="auto"/>
              <w:jc w:val="left"/>
              <w:rPr>
                <w:rFonts w:cs="Times New Roman"/>
                <w:b/>
                <w:color w:val="auto"/>
                <w:sz w:val="20"/>
                <w:szCs w:val="20"/>
                <w:lang w:eastAsia="fr-FR"/>
              </w:rPr>
            </w:pPr>
          </w:p>
        </w:tc>
        <w:tc>
          <w:tcPr>
            <w:tcW w:w="1843" w:type="dxa"/>
            <w:tcBorders>
              <w:top w:val="single" w:sz="4" w:space="0" w:color="auto"/>
              <w:left w:val="nil"/>
              <w:bottom w:val="single" w:sz="4" w:space="0" w:color="auto"/>
              <w:right w:val="single" w:sz="4" w:space="0" w:color="auto"/>
            </w:tcBorders>
            <w:shd w:val="clear" w:color="auto" w:fill="D0CECE" w:themeFill="background2" w:themeFillShade="E6"/>
          </w:tcPr>
          <w:p w14:paraId="47423C1A" w14:textId="77777777" w:rsidR="00064FF0" w:rsidRPr="00C801A6" w:rsidRDefault="00064FF0" w:rsidP="00347FDB">
            <w:pPr>
              <w:spacing w:before="20" w:after="20" w:line="288" w:lineRule="auto"/>
              <w:jc w:val="left"/>
              <w:rPr>
                <w:rFonts w:cs="Times New Roman"/>
                <w:b/>
                <w:color w:val="auto"/>
                <w:sz w:val="20"/>
                <w:szCs w:val="20"/>
                <w:lang w:eastAsia="fr-FR"/>
              </w:rPr>
            </w:pPr>
          </w:p>
        </w:tc>
      </w:tr>
      <w:tr w:rsidR="00C801A6" w:rsidRPr="00C801A6" w14:paraId="6F26FA9F" w14:textId="77777777" w:rsidTr="00CB4938">
        <w:tc>
          <w:tcPr>
            <w:tcW w:w="2660" w:type="dxa"/>
            <w:tcBorders>
              <w:top w:val="single" w:sz="4" w:space="0" w:color="auto"/>
              <w:bottom w:val="single" w:sz="4" w:space="0" w:color="auto"/>
            </w:tcBorders>
          </w:tcPr>
          <w:p w14:paraId="07FCD668" w14:textId="77777777" w:rsidR="00064FF0" w:rsidRPr="00C801A6" w:rsidRDefault="00064FF0" w:rsidP="00347FDB">
            <w:pPr>
              <w:spacing w:before="20" w:after="20" w:line="288" w:lineRule="auto"/>
              <w:jc w:val="left"/>
              <w:rPr>
                <w:rFonts w:cs="Times New Roman"/>
                <w:color w:val="auto"/>
                <w:sz w:val="20"/>
                <w:szCs w:val="20"/>
                <w:lang w:eastAsia="fr-FR"/>
              </w:rPr>
            </w:pPr>
            <w:r w:rsidRPr="00C801A6">
              <w:rPr>
                <w:rFonts w:cs="Times New Roman"/>
                <w:color w:val="auto"/>
                <w:sz w:val="20"/>
                <w:szCs w:val="20"/>
                <w:lang w:eastAsia="fr-FR"/>
              </w:rPr>
              <w:t>Risques d’inflation locale</w:t>
            </w:r>
          </w:p>
        </w:tc>
        <w:tc>
          <w:tcPr>
            <w:tcW w:w="2410" w:type="dxa"/>
            <w:tcBorders>
              <w:top w:val="single" w:sz="4" w:space="0" w:color="auto"/>
              <w:bottom w:val="single" w:sz="4" w:space="0" w:color="auto"/>
            </w:tcBorders>
          </w:tcPr>
          <w:p w14:paraId="09B9F820"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Négocier des contrats d’approvisionnement avec des fournisseurs locaux pour aboutir un schéma gagnant-gagnant</w:t>
            </w:r>
          </w:p>
        </w:tc>
        <w:tc>
          <w:tcPr>
            <w:tcW w:w="2834" w:type="dxa"/>
            <w:tcBorders>
              <w:top w:val="single" w:sz="4" w:space="0" w:color="auto"/>
              <w:bottom w:val="single" w:sz="4" w:space="0" w:color="auto"/>
            </w:tcBorders>
          </w:tcPr>
          <w:p w14:paraId="3E709AC6"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S’approvisionner ailleurs qu’au village (auquel cas les fournisseurs ne vont pas bénéficier des opportunités offertes par l’existence de la base-vie)</w:t>
            </w:r>
          </w:p>
        </w:tc>
        <w:tc>
          <w:tcPr>
            <w:tcW w:w="2408" w:type="dxa"/>
            <w:tcBorders>
              <w:top w:val="single" w:sz="4" w:space="0" w:color="auto"/>
              <w:bottom w:val="single" w:sz="4" w:space="0" w:color="auto"/>
            </w:tcBorders>
          </w:tcPr>
          <w:p w14:paraId="00EE6BC9"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Volumes de biens approvisionnés auprès de fournisseurs locaux</w:t>
            </w:r>
          </w:p>
        </w:tc>
        <w:tc>
          <w:tcPr>
            <w:tcW w:w="1421" w:type="dxa"/>
            <w:tcBorders>
              <w:top w:val="single" w:sz="4" w:space="0" w:color="auto"/>
              <w:bottom w:val="single" w:sz="4" w:space="0" w:color="auto"/>
            </w:tcBorders>
          </w:tcPr>
          <w:p w14:paraId="55A9A6EE"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Estimation</w:t>
            </w:r>
          </w:p>
        </w:tc>
        <w:tc>
          <w:tcPr>
            <w:tcW w:w="1700" w:type="dxa"/>
            <w:tcBorders>
              <w:top w:val="single" w:sz="4" w:space="0" w:color="auto"/>
              <w:bottom w:val="single" w:sz="4" w:space="0" w:color="auto"/>
            </w:tcBorders>
          </w:tcPr>
          <w:p w14:paraId="6875D90B"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Entreprise</w:t>
            </w:r>
          </w:p>
          <w:p w14:paraId="0C146579"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MdC</w:t>
            </w:r>
          </w:p>
        </w:tc>
        <w:tc>
          <w:tcPr>
            <w:tcW w:w="1843" w:type="dxa"/>
            <w:tcBorders>
              <w:top w:val="single" w:sz="4" w:space="0" w:color="auto"/>
              <w:bottom w:val="single" w:sz="4" w:space="0" w:color="auto"/>
            </w:tcBorders>
          </w:tcPr>
          <w:p w14:paraId="05858AB5"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Tous les mois</w:t>
            </w:r>
          </w:p>
        </w:tc>
      </w:tr>
      <w:tr w:rsidR="00C801A6" w:rsidRPr="00C801A6" w14:paraId="6480EF15" w14:textId="77777777" w:rsidTr="00CB4938">
        <w:tc>
          <w:tcPr>
            <w:tcW w:w="2660" w:type="dxa"/>
            <w:tcBorders>
              <w:top w:val="single" w:sz="4" w:space="0" w:color="auto"/>
              <w:left w:val="single" w:sz="4" w:space="0" w:color="auto"/>
              <w:bottom w:val="single" w:sz="4" w:space="0" w:color="auto"/>
              <w:right w:val="nil"/>
            </w:tcBorders>
            <w:shd w:val="clear" w:color="auto" w:fill="D0CECE" w:themeFill="background2" w:themeFillShade="E6"/>
          </w:tcPr>
          <w:p w14:paraId="4569A0CB" w14:textId="77777777" w:rsidR="00064FF0" w:rsidRPr="00C801A6" w:rsidRDefault="00064FF0" w:rsidP="00347FDB">
            <w:pPr>
              <w:spacing w:before="20" w:after="20" w:line="288" w:lineRule="auto"/>
              <w:jc w:val="left"/>
              <w:rPr>
                <w:rFonts w:cs="Times New Roman"/>
                <w:b/>
                <w:color w:val="auto"/>
                <w:sz w:val="20"/>
                <w:szCs w:val="20"/>
                <w:lang w:eastAsia="fr-FR"/>
              </w:rPr>
            </w:pPr>
            <w:r w:rsidRPr="00C801A6">
              <w:rPr>
                <w:rFonts w:cs="Times New Roman"/>
                <w:b/>
                <w:color w:val="auto"/>
                <w:sz w:val="20"/>
                <w:szCs w:val="20"/>
                <w:lang w:eastAsia="fr-FR"/>
              </w:rPr>
              <w:t>Risques d’accident</w:t>
            </w:r>
          </w:p>
        </w:tc>
        <w:tc>
          <w:tcPr>
            <w:tcW w:w="2410" w:type="dxa"/>
            <w:tcBorders>
              <w:top w:val="single" w:sz="4" w:space="0" w:color="auto"/>
              <w:left w:val="nil"/>
              <w:bottom w:val="single" w:sz="4" w:space="0" w:color="auto"/>
              <w:right w:val="nil"/>
            </w:tcBorders>
            <w:shd w:val="clear" w:color="auto" w:fill="D0CECE" w:themeFill="background2" w:themeFillShade="E6"/>
          </w:tcPr>
          <w:p w14:paraId="004A6F7B" w14:textId="77777777" w:rsidR="00064FF0" w:rsidRPr="00C801A6" w:rsidRDefault="00064FF0" w:rsidP="00347FDB">
            <w:pPr>
              <w:spacing w:before="20" w:after="20" w:line="288" w:lineRule="auto"/>
              <w:jc w:val="left"/>
              <w:rPr>
                <w:rFonts w:cs="Times New Roman"/>
                <w:b/>
                <w:color w:val="auto"/>
                <w:sz w:val="20"/>
                <w:szCs w:val="20"/>
                <w:lang w:eastAsia="fr-FR"/>
              </w:rPr>
            </w:pPr>
          </w:p>
        </w:tc>
        <w:tc>
          <w:tcPr>
            <w:tcW w:w="2834" w:type="dxa"/>
            <w:tcBorders>
              <w:top w:val="single" w:sz="4" w:space="0" w:color="auto"/>
              <w:left w:val="nil"/>
              <w:bottom w:val="single" w:sz="4" w:space="0" w:color="auto"/>
              <w:right w:val="nil"/>
            </w:tcBorders>
            <w:shd w:val="clear" w:color="auto" w:fill="D0CECE" w:themeFill="background2" w:themeFillShade="E6"/>
          </w:tcPr>
          <w:p w14:paraId="42A36C18" w14:textId="77777777" w:rsidR="00064FF0" w:rsidRPr="00C801A6" w:rsidRDefault="00064FF0" w:rsidP="00347FDB">
            <w:pPr>
              <w:spacing w:before="20" w:after="20" w:line="288" w:lineRule="auto"/>
              <w:jc w:val="left"/>
              <w:rPr>
                <w:rFonts w:cs="Times New Roman"/>
                <w:b/>
                <w:color w:val="auto"/>
                <w:sz w:val="20"/>
                <w:szCs w:val="20"/>
                <w:lang w:eastAsia="fr-FR"/>
              </w:rPr>
            </w:pPr>
          </w:p>
        </w:tc>
        <w:tc>
          <w:tcPr>
            <w:tcW w:w="2408" w:type="dxa"/>
            <w:tcBorders>
              <w:top w:val="single" w:sz="4" w:space="0" w:color="auto"/>
              <w:left w:val="nil"/>
              <w:bottom w:val="single" w:sz="4" w:space="0" w:color="auto"/>
              <w:right w:val="nil"/>
            </w:tcBorders>
            <w:shd w:val="clear" w:color="auto" w:fill="D0CECE" w:themeFill="background2" w:themeFillShade="E6"/>
          </w:tcPr>
          <w:p w14:paraId="1276A738" w14:textId="77777777" w:rsidR="00064FF0" w:rsidRPr="00C801A6" w:rsidRDefault="00064FF0" w:rsidP="00347FDB">
            <w:pPr>
              <w:spacing w:before="20" w:after="20" w:line="288" w:lineRule="auto"/>
              <w:jc w:val="left"/>
              <w:rPr>
                <w:rFonts w:cs="Times New Roman"/>
                <w:b/>
                <w:color w:val="auto"/>
                <w:sz w:val="20"/>
                <w:szCs w:val="20"/>
                <w:lang w:eastAsia="fr-FR"/>
              </w:rPr>
            </w:pPr>
          </w:p>
        </w:tc>
        <w:tc>
          <w:tcPr>
            <w:tcW w:w="1421" w:type="dxa"/>
            <w:tcBorders>
              <w:top w:val="single" w:sz="4" w:space="0" w:color="auto"/>
              <w:left w:val="nil"/>
              <w:bottom w:val="single" w:sz="4" w:space="0" w:color="auto"/>
              <w:right w:val="nil"/>
            </w:tcBorders>
            <w:shd w:val="clear" w:color="auto" w:fill="D0CECE" w:themeFill="background2" w:themeFillShade="E6"/>
          </w:tcPr>
          <w:p w14:paraId="6CF9D0AE" w14:textId="77777777" w:rsidR="00064FF0" w:rsidRPr="00C801A6" w:rsidRDefault="00064FF0" w:rsidP="00347FDB">
            <w:pPr>
              <w:spacing w:before="20" w:after="20" w:line="288" w:lineRule="auto"/>
              <w:jc w:val="left"/>
              <w:rPr>
                <w:rFonts w:cs="Times New Roman"/>
                <w:b/>
                <w:color w:val="auto"/>
                <w:sz w:val="20"/>
                <w:szCs w:val="20"/>
                <w:lang w:eastAsia="fr-FR"/>
              </w:rPr>
            </w:pPr>
          </w:p>
        </w:tc>
        <w:tc>
          <w:tcPr>
            <w:tcW w:w="1700" w:type="dxa"/>
            <w:tcBorders>
              <w:top w:val="single" w:sz="4" w:space="0" w:color="auto"/>
              <w:left w:val="nil"/>
              <w:bottom w:val="single" w:sz="4" w:space="0" w:color="auto"/>
              <w:right w:val="nil"/>
            </w:tcBorders>
            <w:shd w:val="clear" w:color="auto" w:fill="D0CECE" w:themeFill="background2" w:themeFillShade="E6"/>
          </w:tcPr>
          <w:p w14:paraId="46C78C09" w14:textId="77777777" w:rsidR="00064FF0" w:rsidRPr="00C801A6" w:rsidRDefault="00064FF0" w:rsidP="00347FDB">
            <w:pPr>
              <w:spacing w:before="20" w:after="20" w:line="288" w:lineRule="auto"/>
              <w:jc w:val="left"/>
              <w:rPr>
                <w:rFonts w:cs="Times New Roman"/>
                <w:b/>
                <w:color w:val="auto"/>
                <w:sz w:val="20"/>
                <w:szCs w:val="20"/>
                <w:lang w:eastAsia="fr-FR"/>
              </w:rPr>
            </w:pPr>
          </w:p>
        </w:tc>
        <w:tc>
          <w:tcPr>
            <w:tcW w:w="1843" w:type="dxa"/>
            <w:tcBorders>
              <w:top w:val="single" w:sz="4" w:space="0" w:color="auto"/>
              <w:left w:val="nil"/>
              <w:bottom w:val="single" w:sz="4" w:space="0" w:color="auto"/>
              <w:right w:val="single" w:sz="4" w:space="0" w:color="auto"/>
            </w:tcBorders>
            <w:shd w:val="clear" w:color="auto" w:fill="D0CECE" w:themeFill="background2" w:themeFillShade="E6"/>
          </w:tcPr>
          <w:p w14:paraId="7054139A" w14:textId="77777777" w:rsidR="00064FF0" w:rsidRPr="00C801A6" w:rsidRDefault="00064FF0" w:rsidP="00347FDB">
            <w:pPr>
              <w:spacing w:before="20" w:after="20" w:line="288" w:lineRule="auto"/>
              <w:jc w:val="left"/>
              <w:rPr>
                <w:rFonts w:cs="Times New Roman"/>
                <w:b/>
                <w:color w:val="auto"/>
                <w:sz w:val="20"/>
                <w:szCs w:val="20"/>
                <w:lang w:eastAsia="fr-FR"/>
              </w:rPr>
            </w:pPr>
          </w:p>
        </w:tc>
      </w:tr>
      <w:tr w:rsidR="00C801A6" w:rsidRPr="00C801A6" w14:paraId="086A7362" w14:textId="77777777" w:rsidTr="00CB4938">
        <w:trPr>
          <w:trHeight w:val="526"/>
        </w:trPr>
        <w:tc>
          <w:tcPr>
            <w:tcW w:w="2660" w:type="dxa"/>
            <w:vMerge w:val="restart"/>
            <w:tcBorders>
              <w:top w:val="single" w:sz="4" w:space="0" w:color="auto"/>
            </w:tcBorders>
          </w:tcPr>
          <w:p w14:paraId="4160E773" w14:textId="77777777" w:rsidR="00064FF0" w:rsidRPr="00C801A6" w:rsidRDefault="00064FF0" w:rsidP="00347FDB">
            <w:pPr>
              <w:spacing w:before="20" w:after="20" w:line="288" w:lineRule="auto"/>
              <w:jc w:val="left"/>
              <w:rPr>
                <w:rFonts w:cs="Times New Roman"/>
                <w:color w:val="auto"/>
                <w:sz w:val="20"/>
                <w:szCs w:val="20"/>
                <w:lang w:eastAsia="fr-FR"/>
              </w:rPr>
            </w:pPr>
            <w:r w:rsidRPr="00C801A6">
              <w:rPr>
                <w:rFonts w:cs="Times New Roman"/>
                <w:color w:val="auto"/>
                <w:sz w:val="20"/>
                <w:szCs w:val="20"/>
                <w:lang w:eastAsia="fr-FR"/>
              </w:rPr>
              <w:t>Risques d’accident de chantier</w:t>
            </w:r>
          </w:p>
        </w:tc>
        <w:tc>
          <w:tcPr>
            <w:tcW w:w="2410" w:type="dxa"/>
            <w:vMerge w:val="restart"/>
            <w:tcBorders>
              <w:top w:val="single" w:sz="4" w:space="0" w:color="auto"/>
            </w:tcBorders>
          </w:tcPr>
          <w:p w14:paraId="3D9BF30E"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Sensibiliser les ouvriers et les riverains (notamment les badauds) sur les risques d’accident de chantier</w:t>
            </w:r>
          </w:p>
        </w:tc>
        <w:tc>
          <w:tcPr>
            <w:tcW w:w="2834" w:type="dxa"/>
            <w:tcBorders>
              <w:top w:val="single" w:sz="4" w:space="0" w:color="auto"/>
              <w:bottom w:val="single" w:sz="4" w:space="0" w:color="auto"/>
            </w:tcBorders>
          </w:tcPr>
          <w:p w14:paraId="22C8367B"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 xml:space="preserve">Lorsqu’il n’est pas possible d’isoler totalement les travailleurs de la circulation, utiliser des barrières protectrices pour les protéger des véhicules ou installer des repères visuels (tels que cônes et balises de travaux) pour délimiter l’aire de travail </w:t>
            </w:r>
          </w:p>
        </w:tc>
        <w:tc>
          <w:tcPr>
            <w:tcW w:w="2408" w:type="dxa"/>
            <w:tcBorders>
              <w:top w:val="single" w:sz="4" w:space="0" w:color="auto"/>
              <w:bottom w:val="single" w:sz="4" w:space="0" w:color="auto"/>
            </w:tcBorders>
          </w:tcPr>
          <w:p w14:paraId="75DED0B7"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Nombre d’accidents de chantier</w:t>
            </w:r>
          </w:p>
        </w:tc>
        <w:tc>
          <w:tcPr>
            <w:tcW w:w="1421" w:type="dxa"/>
            <w:tcBorders>
              <w:top w:val="single" w:sz="4" w:space="0" w:color="auto"/>
              <w:bottom w:val="single" w:sz="4" w:space="0" w:color="auto"/>
            </w:tcBorders>
          </w:tcPr>
          <w:p w14:paraId="7FF9F9FB"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Comptage</w:t>
            </w:r>
          </w:p>
        </w:tc>
        <w:tc>
          <w:tcPr>
            <w:tcW w:w="1700" w:type="dxa"/>
            <w:tcBorders>
              <w:top w:val="single" w:sz="4" w:space="0" w:color="auto"/>
              <w:bottom w:val="single" w:sz="4" w:space="0" w:color="auto"/>
            </w:tcBorders>
          </w:tcPr>
          <w:p w14:paraId="33F81BFA"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Entreprise</w:t>
            </w:r>
          </w:p>
          <w:p w14:paraId="50562128"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MdC</w:t>
            </w:r>
          </w:p>
        </w:tc>
        <w:tc>
          <w:tcPr>
            <w:tcW w:w="1843" w:type="dxa"/>
            <w:tcBorders>
              <w:top w:val="single" w:sz="4" w:space="0" w:color="auto"/>
              <w:bottom w:val="single" w:sz="4" w:space="0" w:color="auto"/>
            </w:tcBorders>
          </w:tcPr>
          <w:p w14:paraId="1342E57C"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Tous les mois</w:t>
            </w:r>
          </w:p>
        </w:tc>
      </w:tr>
      <w:tr w:rsidR="00C801A6" w:rsidRPr="00C801A6" w14:paraId="34329348" w14:textId="77777777" w:rsidTr="00CB4938">
        <w:trPr>
          <w:trHeight w:val="1653"/>
        </w:trPr>
        <w:tc>
          <w:tcPr>
            <w:tcW w:w="2660" w:type="dxa"/>
            <w:vMerge/>
          </w:tcPr>
          <w:p w14:paraId="76D925F4" w14:textId="77777777" w:rsidR="00064FF0" w:rsidRPr="00C801A6" w:rsidRDefault="00064FF0" w:rsidP="00347FDB">
            <w:pPr>
              <w:spacing w:before="20" w:after="20" w:line="288" w:lineRule="auto"/>
              <w:jc w:val="left"/>
              <w:rPr>
                <w:rFonts w:cs="Times New Roman"/>
                <w:color w:val="auto"/>
                <w:sz w:val="20"/>
                <w:szCs w:val="20"/>
                <w:lang w:eastAsia="fr-FR"/>
              </w:rPr>
            </w:pPr>
          </w:p>
        </w:tc>
        <w:tc>
          <w:tcPr>
            <w:tcW w:w="2410" w:type="dxa"/>
            <w:vMerge/>
          </w:tcPr>
          <w:p w14:paraId="0391FA0E"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p>
        </w:tc>
        <w:tc>
          <w:tcPr>
            <w:tcW w:w="2834" w:type="dxa"/>
            <w:tcBorders>
              <w:top w:val="single" w:sz="4" w:space="0" w:color="auto"/>
              <w:bottom w:val="single" w:sz="4" w:space="0" w:color="auto"/>
            </w:tcBorders>
          </w:tcPr>
          <w:p w14:paraId="12329AAB"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 xml:space="preserve">Régler la circulation en installant des feux de circulation pour travaux au lieu, dans la mesure du possible, de signaleurs munis de drapeaux pour donner des signaux manuels </w:t>
            </w:r>
          </w:p>
        </w:tc>
        <w:tc>
          <w:tcPr>
            <w:tcW w:w="2408" w:type="dxa"/>
            <w:tcBorders>
              <w:top w:val="single" w:sz="4" w:space="0" w:color="auto"/>
              <w:bottom w:val="single" w:sz="4" w:space="0" w:color="auto"/>
            </w:tcBorders>
          </w:tcPr>
          <w:p w14:paraId="3A6452B6"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Nombre d’accidents de chantier</w:t>
            </w:r>
          </w:p>
        </w:tc>
        <w:tc>
          <w:tcPr>
            <w:tcW w:w="1421" w:type="dxa"/>
            <w:tcBorders>
              <w:top w:val="single" w:sz="4" w:space="0" w:color="auto"/>
              <w:bottom w:val="single" w:sz="4" w:space="0" w:color="auto"/>
            </w:tcBorders>
          </w:tcPr>
          <w:p w14:paraId="35C5D99F"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Comptage</w:t>
            </w:r>
          </w:p>
        </w:tc>
        <w:tc>
          <w:tcPr>
            <w:tcW w:w="1700" w:type="dxa"/>
            <w:tcBorders>
              <w:top w:val="single" w:sz="4" w:space="0" w:color="auto"/>
              <w:bottom w:val="single" w:sz="4" w:space="0" w:color="auto"/>
            </w:tcBorders>
          </w:tcPr>
          <w:p w14:paraId="023A89DF"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Entreprise</w:t>
            </w:r>
          </w:p>
          <w:p w14:paraId="1AC7F313"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MdC</w:t>
            </w:r>
          </w:p>
        </w:tc>
        <w:tc>
          <w:tcPr>
            <w:tcW w:w="1843" w:type="dxa"/>
            <w:tcBorders>
              <w:top w:val="single" w:sz="4" w:space="0" w:color="auto"/>
              <w:bottom w:val="single" w:sz="4" w:space="0" w:color="auto"/>
            </w:tcBorders>
          </w:tcPr>
          <w:p w14:paraId="03C4E930"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Tous les mois</w:t>
            </w:r>
          </w:p>
        </w:tc>
      </w:tr>
      <w:tr w:rsidR="00C801A6" w:rsidRPr="00C801A6" w14:paraId="6DFB7601" w14:textId="77777777" w:rsidTr="00CB4938">
        <w:trPr>
          <w:trHeight w:val="1026"/>
        </w:trPr>
        <w:tc>
          <w:tcPr>
            <w:tcW w:w="2660" w:type="dxa"/>
            <w:vMerge/>
          </w:tcPr>
          <w:p w14:paraId="1348F784" w14:textId="77777777" w:rsidR="00064FF0" w:rsidRPr="00C801A6" w:rsidRDefault="00064FF0" w:rsidP="00347FDB">
            <w:pPr>
              <w:spacing w:before="20" w:after="20" w:line="288" w:lineRule="auto"/>
              <w:jc w:val="left"/>
              <w:rPr>
                <w:rFonts w:cs="Times New Roman"/>
                <w:color w:val="auto"/>
                <w:sz w:val="20"/>
                <w:szCs w:val="20"/>
                <w:lang w:eastAsia="fr-FR"/>
              </w:rPr>
            </w:pPr>
          </w:p>
        </w:tc>
        <w:tc>
          <w:tcPr>
            <w:tcW w:w="2410" w:type="dxa"/>
            <w:vMerge/>
          </w:tcPr>
          <w:p w14:paraId="714C4BEE"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p>
        </w:tc>
        <w:tc>
          <w:tcPr>
            <w:tcW w:w="2834" w:type="dxa"/>
            <w:tcBorders>
              <w:top w:val="single" w:sz="4" w:space="0" w:color="auto"/>
              <w:bottom w:val="single" w:sz="4" w:space="0" w:color="auto"/>
            </w:tcBorders>
          </w:tcPr>
          <w:p w14:paraId="1709E685"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Concevoir l’aire de travail de manière à éliminer ou à réduire les points sans visibilité</w:t>
            </w:r>
          </w:p>
        </w:tc>
        <w:tc>
          <w:tcPr>
            <w:tcW w:w="2408" w:type="dxa"/>
            <w:tcBorders>
              <w:top w:val="single" w:sz="4" w:space="0" w:color="auto"/>
              <w:bottom w:val="single" w:sz="4" w:space="0" w:color="auto"/>
            </w:tcBorders>
          </w:tcPr>
          <w:p w14:paraId="71DD35EF"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Nombre de points sans visibilité</w:t>
            </w:r>
          </w:p>
        </w:tc>
        <w:tc>
          <w:tcPr>
            <w:tcW w:w="1421" w:type="dxa"/>
            <w:tcBorders>
              <w:top w:val="single" w:sz="4" w:space="0" w:color="auto"/>
              <w:bottom w:val="single" w:sz="4" w:space="0" w:color="auto"/>
            </w:tcBorders>
          </w:tcPr>
          <w:p w14:paraId="4E6B05D0"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Comptage</w:t>
            </w:r>
          </w:p>
        </w:tc>
        <w:tc>
          <w:tcPr>
            <w:tcW w:w="1700" w:type="dxa"/>
            <w:tcBorders>
              <w:top w:val="single" w:sz="4" w:space="0" w:color="auto"/>
              <w:bottom w:val="single" w:sz="4" w:space="0" w:color="auto"/>
            </w:tcBorders>
          </w:tcPr>
          <w:p w14:paraId="7ACADD4B"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Entreprise</w:t>
            </w:r>
          </w:p>
          <w:p w14:paraId="53987331"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MdC</w:t>
            </w:r>
          </w:p>
        </w:tc>
        <w:tc>
          <w:tcPr>
            <w:tcW w:w="1843" w:type="dxa"/>
            <w:tcBorders>
              <w:top w:val="single" w:sz="4" w:space="0" w:color="auto"/>
              <w:bottom w:val="single" w:sz="4" w:space="0" w:color="auto"/>
            </w:tcBorders>
          </w:tcPr>
          <w:p w14:paraId="1A87FCD7"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Tous les mois</w:t>
            </w:r>
          </w:p>
        </w:tc>
      </w:tr>
      <w:tr w:rsidR="00C801A6" w:rsidRPr="00C801A6" w14:paraId="0B17175F" w14:textId="77777777" w:rsidTr="00CB4938">
        <w:trPr>
          <w:trHeight w:val="1640"/>
        </w:trPr>
        <w:tc>
          <w:tcPr>
            <w:tcW w:w="2660" w:type="dxa"/>
            <w:vMerge w:val="restart"/>
            <w:tcBorders>
              <w:top w:val="single" w:sz="4" w:space="0" w:color="auto"/>
            </w:tcBorders>
          </w:tcPr>
          <w:p w14:paraId="62EB0384" w14:textId="77777777" w:rsidR="00064FF0" w:rsidRPr="00C801A6" w:rsidRDefault="00064FF0" w:rsidP="00347FDB">
            <w:pPr>
              <w:spacing w:before="20" w:after="20" w:line="288" w:lineRule="auto"/>
              <w:jc w:val="left"/>
              <w:rPr>
                <w:rFonts w:cs="Times New Roman"/>
                <w:color w:val="auto"/>
                <w:sz w:val="20"/>
                <w:szCs w:val="20"/>
                <w:lang w:eastAsia="fr-FR"/>
              </w:rPr>
            </w:pPr>
            <w:r w:rsidRPr="00C801A6">
              <w:rPr>
                <w:rFonts w:cs="Times New Roman"/>
                <w:color w:val="auto"/>
                <w:sz w:val="20"/>
                <w:szCs w:val="20"/>
                <w:lang w:eastAsia="fr-FR"/>
              </w:rPr>
              <w:t>Risques de pollution liés à des fuites / déversements de carburant ou à des ruissellements de matières bitumeuses</w:t>
            </w:r>
          </w:p>
        </w:tc>
        <w:tc>
          <w:tcPr>
            <w:tcW w:w="2410" w:type="dxa"/>
            <w:vMerge w:val="restart"/>
            <w:tcBorders>
              <w:top w:val="single" w:sz="4" w:space="0" w:color="auto"/>
            </w:tcBorders>
          </w:tcPr>
          <w:p w14:paraId="6CF2C23B"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Aucune</w:t>
            </w:r>
          </w:p>
        </w:tc>
        <w:tc>
          <w:tcPr>
            <w:tcW w:w="2834" w:type="dxa"/>
            <w:tcBorders>
              <w:top w:val="single" w:sz="4" w:space="0" w:color="auto"/>
              <w:bottom w:val="single" w:sz="4" w:space="0" w:color="auto"/>
            </w:tcBorders>
          </w:tcPr>
          <w:p w14:paraId="38124520"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 xml:space="preserve">Procéder aux travaux de revêtement des routes par temps sec, pour prévenir le ruissellement de matières contenant de l’asphalte ou du ciment ; </w:t>
            </w:r>
          </w:p>
        </w:tc>
        <w:tc>
          <w:tcPr>
            <w:tcW w:w="2408" w:type="dxa"/>
            <w:tcBorders>
              <w:top w:val="single" w:sz="4" w:space="0" w:color="auto"/>
              <w:bottom w:val="single" w:sz="4" w:space="0" w:color="auto"/>
            </w:tcBorders>
          </w:tcPr>
          <w:p w14:paraId="2FF2A17C"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Nombre de ruissellements d’asphalte</w:t>
            </w:r>
          </w:p>
        </w:tc>
        <w:tc>
          <w:tcPr>
            <w:tcW w:w="1421" w:type="dxa"/>
            <w:tcBorders>
              <w:top w:val="single" w:sz="4" w:space="0" w:color="auto"/>
              <w:bottom w:val="single" w:sz="4" w:space="0" w:color="auto"/>
            </w:tcBorders>
          </w:tcPr>
          <w:p w14:paraId="0A29E91E"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Comptage</w:t>
            </w:r>
          </w:p>
        </w:tc>
        <w:tc>
          <w:tcPr>
            <w:tcW w:w="1700" w:type="dxa"/>
            <w:tcBorders>
              <w:top w:val="single" w:sz="4" w:space="0" w:color="auto"/>
              <w:bottom w:val="single" w:sz="4" w:space="0" w:color="auto"/>
            </w:tcBorders>
          </w:tcPr>
          <w:p w14:paraId="04E0D9ED"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Entreprise</w:t>
            </w:r>
          </w:p>
          <w:p w14:paraId="41150B26"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MdC</w:t>
            </w:r>
          </w:p>
        </w:tc>
        <w:tc>
          <w:tcPr>
            <w:tcW w:w="1843" w:type="dxa"/>
            <w:tcBorders>
              <w:top w:val="single" w:sz="4" w:space="0" w:color="auto"/>
              <w:bottom w:val="single" w:sz="4" w:space="0" w:color="auto"/>
            </w:tcBorders>
          </w:tcPr>
          <w:p w14:paraId="5F599788"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Tous les mois</w:t>
            </w:r>
          </w:p>
        </w:tc>
      </w:tr>
      <w:tr w:rsidR="00C801A6" w:rsidRPr="00C801A6" w14:paraId="4BECB888" w14:textId="77777777" w:rsidTr="00CB4938">
        <w:trPr>
          <w:trHeight w:val="550"/>
        </w:trPr>
        <w:tc>
          <w:tcPr>
            <w:tcW w:w="2660" w:type="dxa"/>
            <w:vMerge/>
          </w:tcPr>
          <w:p w14:paraId="0FE85E9F" w14:textId="77777777" w:rsidR="00064FF0" w:rsidRPr="00C801A6" w:rsidRDefault="00064FF0" w:rsidP="00347FDB">
            <w:pPr>
              <w:spacing w:before="20" w:after="20" w:line="288" w:lineRule="auto"/>
              <w:jc w:val="left"/>
              <w:rPr>
                <w:rFonts w:cs="Times New Roman"/>
                <w:color w:val="auto"/>
                <w:sz w:val="20"/>
                <w:szCs w:val="20"/>
                <w:lang w:eastAsia="fr-FR"/>
              </w:rPr>
            </w:pPr>
          </w:p>
        </w:tc>
        <w:tc>
          <w:tcPr>
            <w:tcW w:w="2410" w:type="dxa"/>
            <w:vMerge/>
          </w:tcPr>
          <w:p w14:paraId="6082BBB2"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p>
        </w:tc>
        <w:tc>
          <w:tcPr>
            <w:tcW w:w="2834" w:type="dxa"/>
            <w:tcBorders>
              <w:top w:val="single" w:sz="4" w:space="0" w:color="auto"/>
              <w:bottom w:val="single" w:sz="4" w:space="0" w:color="auto"/>
            </w:tcBorders>
          </w:tcPr>
          <w:p w14:paraId="126795E0"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 xml:space="preserve">Adopter des procédures de chantier adaptées pour réduire le déversement accidentel de matériaux de revêtement pendant les travaux de réparation des nids de poule et des chaussées endommagées. Ces procédures peuvent consister à couvrir les orifices des puisards d’eau de pluie et les regards pendant les travaux de revêtement ; </w:t>
            </w:r>
          </w:p>
        </w:tc>
        <w:tc>
          <w:tcPr>
            <w:tcW w:w="2408" w:type="dxa"/>
            <w:tcBorders>
              <w:top w:val="single" w:sz="4" w:space="0" w:color="auto"/>
              <w:bottom w:val="single" w:sz="4" w:space="0" w:color="auto"/>
            </w:tcBorders>
          </w:tcPr>
          <w:p w14:paraId="2AED6FAB"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Nombre de déversements de matériau de revêtement</w:t>
            </w:r>
          </w:p>
          <w:p w14:paraId="71E1BCEC"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Volume de matériau de revêtement stocké</w:t>
            </w:r>
          </w:p>
        </w:tc>
        <w:tc>
          <w:tcPr>
            <w:tcW w:w="1421" w:type="dxa"/>
            <w:tcBorders>
              <w:top w:val="single" w:sz="4" w:space="0" w:color="auto"/>
              <w:bottom w:val="single" w:sz="4" w:space="0" w:color="auto"/>
            </w:tcBorders>
          </w:tcPr>
          <w:p w14:paraId="7C19A6B6"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Comptage</w:t>
            </w:r>
          </w:p>
        </w:tc>
        <w:tc>
          <w:tcPr>
            <w:tcW w:w="1700" w:type="dxa"/>
            <w:tcBorders>
              <w:top w:val="single" w:sz="4" w:space="0" w:color="auto"/>
              <w:bottom w:val="single" w:sz="4" w:space="0" w:color="auto"/>
            </w:tcBorders>
          </w:tcPr>
          <w:p w14:paraId="7F1D936B"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Entreprise</w:t>
            </w:r>
          </w:p>
          <w:p w14:paraId="2CAD6117"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MdC</w:t>
            </w:r>
          </w:p>
        </w:tc>
        <w:tc>
          <w:tcPr>
            <w:tcW w:w="1843" w:type="dxa"/>
            <w:tcBorders>
              <w:top w:val="single" w:sz="4" w:space="0" w:color="auto"/>
              <w:bottom w:val="single" w:sz="4" w:space="0" w:color="auto"/>
            </w:tcBorders>
          </w:tcPr>
          <w:p w14:paraId="12727484"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Tous les mois</w:t>
            </w:r>
          </w:p>
        </w:tc>
      </w:tr>
      <w:tr w:rsidR="00C801A6" w:rsidRPr="00C801A6" w14:paraId="07BECABF" w14:textId="77777777" w:rsidTr="00CB4938">
        <w:trPr>
          <w:trHeight w:val="3355"/>
        </w:trPr>
        <w:tc>
          <w:tcPr>
            <w:tcW w:w="2660" w:type="dxa"/>
            <w:vMerge/>
          </w:tcPr>
          <w:p w14:paraId="5370054F" w14:textId="77777777" w:rsidR="00064FF0" w:rsidRPr="00C801A6" w:rsidRDefault="00064FF0" w:rsidP="00347FDB">
            <w:pPr>
              <w:spacing w:before="20" w:after="20" w:line="288" w:lineRule="auto"/>
              <w:jc w:val="left"/>
              <w:rPr>
                <w:rFonts w:cs="Times New Roman"/>
                <w:color w:val="auto"/>
                <w:sz w:val="20"/>
                <w:szCs w:val="20"/>
                <w:lang w:eastAsia="fr-FR"/>
              </w:rPr>
            </w:pPr>
          </w:p>
        </w:tc>
        <w:tc>
          <w:tcPr>
            <w:tcW w:w="2410" w:type="dxa"/>
            <w:vMerge/>
          </w:tcPr>
          <w:p w14:paraId="0B88819E"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p>
        </w:tc>
        <w:tc>
          <w:tcPr>
            <w:tcW w:w="2834" w:type="dxa"/>
            <w:tcBorders>
              <w:top w:val="single" w:sz="4" w:space="0" w:color="auto"/>
              <w:bottom w:val="single" w:sz="4" w:space="0" w:color="auto"/>
            </w:tcBorders>
          </w:tcPr>
          <w:p w14:paraId="0EE13CAE"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Prendre des mesures pour lutter contre l’érosion et la sédimentation afin de réduire le volume des ruissellements en provenance des sites en travaux ; et employer des matériaux de dépollution (tels que des matières absorbantes sur le matériel d’asphaltage routier) pour limiter les fuites et les déversements des matières employées pour les revêtements</w:t>
            </w:r>
          </w:p>
        </w:tc>
        <w:tc>
          <w:tcPr>
            <w:tcW w:w="2408" w:type="dxa"/>
            <w:tcBorders>
              <w:top w:val="single" w:sz="4" w:space="0" w:color="auto"/>
              <w:bottom w:val="single" w:sz="4" w:space="0" w:color="auto"/>
            </w:tcBorders>
          </w:tcPr>
          <w:p w14:paraId="71E18E1D"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Nombre de ruissellements en provenance des sites en travaux</w:t>
            </w:r>
          </w:p>
        </w:tc>
        <w:tc>
          <w:tcPr>
            <w:tcW w:w="1421" w:type="dxa"/>
            <w:tcBorders>
              <w:top w:val="single" w:sz="4" w:space="0" w:color="auto"/>
              <w:bottom w:val="single" w:sz="4" w:space="0" w:color="auto"/>
            </w:tcBorders>
          </w:tcPr>
          <w:p w14:paraId="7515E37F"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Comptage</w:t>
            </w:r>
          </w:p>
        </w:tc>
        <w:tc>
          <w:tcPr>
            <w:tcW w:w="1700" w:type="dxa"/>
            <w:tcBorders>
              <w:top w:val="single" w:sz="4" w:space="0" w:color="auto"/>
              <w:bottom w:val="single" w:sz="4" w:space="0" w:color="auto"/>
            </w:tcBorders>
          </w:tcPr>
          <w:p w14:paraId="63C56DCE"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Entreprise</w:t>
            </w:r>
          </w:p>
          <w:p w14:paraId="28125C9E"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MdC</w:t>
            </w:r>
          </w:p>
        </w:tc>
        <w:tc>
          <w:tcPr>
            <w:tcW w:w="1843" w:type="dxa"/>
            <w:tcBorders>
              <w:top w:val="single" w:sz="4" w:space="0" w:color="auto"/>
              <w:bottom w:val="single" w:sz="4" w:space="0" w:color="auto"/>
            </w:tcBorders>
          </w:tcPr>
          <w:p w14:paraId="6377D8A3"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Tous les mois</w:t>
            </w:r>
          </w:p>
        </w:tc>
      </w:tr>
      <w:tr w:rsidR="00C801A6" w:rsidRPr="00C801A6" w14:paraId="7C15DD45" w14:textId="77777777" w:rsidTr="00CB4938">
        <w:trPr>
          <w:trHeight w:val="64"/>
        </w:trPr>
        <w:tc>
          <w:tcPr>
            <w:tcW w:w="2660" w:type="dxa"/>
            <w:vMerge/>
          </w:tcPr>
          <w:p w14:paraId="3D74B995" w14:textId="77777777" w:rsidR="00064FF0" w:rsidRPr="00C801A6" w:rsidRDefault="00064FF0" w:rsidP="00347FDB">
            <w:pPr>
              <w:spacing w:before="20" w:after="20" w:line="288" w:lineRule="auto"/>
              <w:jc w:val="left"/>
              <w:rPr>
                <w:rFonts w:cs="Times New Roman"/>
                <w:color w:val="auto"/>
                <w:sz w:val="20"/>
                <w:szCs w:val="20"/>
                <w:lang w:eastAsia="fr-FR"/>
              </w:rPr>
            </w:pPr>
          </w:p>
        </w:tc>
        <w:tc>
          <w:tcPr>
            <w:tcW w:w="2410" w:type="dxa"/>
            <w:vMerge/>
          </w:tcPr>
          <w:p w14:paraId="42006BCF"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p>
        </w:tc>
        <w:tc>
          <w:tcPr>
            <w:tcW w:w="2834" w:type="dxa"/>
            <w:tcBorders>
              <w:top w:val="single" w:sz="4" w:space="0" w:color="auto"/>
              <w:bottom w:val="single" w:sz="4" w:space="0" w:color="auto"/>
            </w:tcBorders>
          </w:tcPr>
          <w:p w14:paraId="2534C682"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 xml:space="preserve">Réduire la quantité d’eau utilisée pour limiter les émissions de poussières et privilégier le balayage plutôt que le lavage. </w:t>
            </w:r>
          </w:p>
          <w:p w14:paraId="74B028B0"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color w:val="auto"/>
                <w:sz w:val="20"/>
                <w:szCs w:val="20"/>
              </w:rPr>
            </w:pPr>
            <w:r w:rsidRPr="00C801A6">
              <w:rPr>
                <w:rFonts w:cs="Times New Roman"/>
                <w:color w:val="auto"/>
                <w:sz w:val="20"/>
                <w:szCs w:val="20"/>
              </w:rPr>
              <w:t>Récupérer les matières balayées pour les intégrer dans les matériaux employés pour constituer des agrégats ou les éliminer en tant que déchets solides, conformément aux recommandations formulées dans les directives EHS générales</w:t>
            </w:r>
          </w:p>
        </w:tc>
        <w:tc>
          <w:tcPr>
            <w:tcW w:w="2408" w:type="dxa"/>
            <w:tcBorders>
              <w:top w:val="single" w:sz="4" w:space="0" w:color="auto"/>
              <w:bottom w:val="single" w:sz="4" w:space="0" w:color="auto"/>
            </w:tcBorders>
          </w:tcPr>
          <w:p w14:paraId="2515E25F"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Balayures récupérées et utilisées dans les agrégats</w:t>
            </w:r>
          </w:p>
        </w:tc>
        <w:tc>
          <w:tcPr>
            <w:tcW w:w="1421" w:type="dxa"/>
            <w:tcBorders>
              <w:top w:val="single" w:sz="4" w:space="0" w:color="auto"/>
              <w:bottom w:val="single" w:sz="4" w:space="0" w:color="auto"/>
            </w:tcBorders>
          </w:tcPr>
          <w:p w14:paraId="539A28DB"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Estimations</w:t>
            </w:r>
          </w:p>
        </w:tc>
        <w:tc>
          <w:tcPr>
            <w:tcW w:w="1700" w:type="dxa"/>
            <w:tcBorders>
              <w:top w:val="single" w:sz="4" w:space="0" w:color="auto"/>
              <w:bottom w:val="single" w:sz="4" w:space="0" w:color="auto"/>
            </w:tcBorders>
          </w:tcPr>
          <w:p w14:paraId="5C1E4B4C"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Entreprise</w:t>
            </w:r>
          </w:p>
          <w:p w14:paraId="113B987A"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MdC</w:t>
            </w:r>
          </w:p>
        </w:tc>
        <w:tc>
          <w:tcPr>
            <w:tcW w:w="1843" w:type="dxa"/>
            <w:tcBorders>
              <w:top w:val="single" w:sz="4" w:space="0" w:color="auto"/>
              <w:bottom w:val="single" w:sz="4" w:space="0" w:color="auto"/>
            </w:tcBorders>
          </w:tcPr>
          <w:p w14:paraId="36552915"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Tous les mois</w:t>
            </w:r>
          </w:p>
        </w:tc>
      </w:tr>
      <w:tr w:rsidR="00064FF0" w:rsidRPr="00C801A6" w14:paraId="46658FA1" w14:textId="77777777" w:rsidTr="00CB4938">
        <w:trPr>
          <w:trHeight w:val="569"/>
        </w:trPr>
        <w:tc>
          <w:tcPr>
            <w:tcW w:w="2660" w:type="dxa"/>
            <w:vMerge/>
          </w:tcPr>
          <w:p w14:paraId="6DD6ADAE" w14:textId="77777777" w:rsidR="00064FF0" w:rsidRPr="00C801A6" w:rsidRDefault="00064FF0" w:rsidP="00347FDB">
            <w:pPr>
              <w:spacing w:before="20" w:after="20" w:line="288" w:lineRule="auto"/>
              <w:jc w:val="left"/>
              <w:rPr>
                <w:rFonts w:cs="Times New Roman"/>
                <w:color w:val="auto"/>
                <w:sz w:val="20"/>
                <w:szCs w:val="20"/>
                <w:lang w:eastAsia="fr-FR"/>
              </w:rPr>
            </w:pPr>
          </w:p>
        </w:tc>
        <w:tc>
          <w:tcPr>
            <w:tcW w:w="2410" w:type="dxa"/>
            <w:vMerge/>
          </w:tcPr>
          <w:p w14:paraId="5FD1D1BD"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p>
        </w:tc>
        <w:tc>
          <w:tcPr>
            <w:tcW w:w="2834" w:type="dxa"/>
            <w:tcBorders>
              <w:top w:val="single" w:sz="4" w:space="0" w:color="auto"/>
              <w:bottom w:val="single" w:sz="4" w:space="0" w:color="auto"/>
            </w:tcBorders>
          </w:tcPr>
          <w:p w14:paraId="0F681E4C"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 xml:space="preserve">Eviter de faire ruisseler les eaux contaminées durant le nettoyage du matériel </w:t>
            </w:r>
            <w:r w:rsidRPr="00C801A6">
              <w:rPr>
                <w:rFonts w:cs="Times New Roman"/>
                <w:color w:val="auto"/>
                <w:sz w:val="20"/>
                <w:szCs w:val="20"/>
              </w:rPr>
              <w:lastRenderedPageBreak/>
              <w:t>d’asphaltage routier en utilisant de l’huile végétale plutôt que du diesel comme agent anti-adhérent et de nettoyage ; assurer le confinement des produits de nettoyage et des résidus d’asphalte contaminés ; racler avant de nettoyer ; et procéder aux activités de nettoyage loin des sites d’eaux de surface ou de structures de drainage.</w:t>
            </w:r>
          </w:p>
        </w:tc>
        <w:tc>
          <w:tcPr>
            <w:tcW w:w="2408" w:type="dxa"/>
            <w:tcBorders>
              <w:top w:val="single" w:sz="4" w:space="0" w:color="auto"/>
              <w:bottom w:val="single" w:sz="4" w:space="0" w:color="auto"/>
            </w:tcBorders>
          </w:tcPr>
          <w:p w14:paraId="285F0CE6"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lastRenderedPageBreak/>
              <w:t xml:space="preserve">Nombre de fois où de l’eau contaminée durant le lavage du matériel </w:t>
            </w:r>
            <w:r w:rsidRPr="00C801A6">
              <w:rPr>
                <w:rFonts w:cs="Times New Roman"/>
                <w:color w:val="auto"/>
                <w:sz w:val="20"/>
                <w:szCs w:val="20"/>
              </w:rPr>
              <w:lastRenderedPageBreak/>
              <w:t>d’asphaltage a été déversée dans un plan d’eau</w:t>
            </w:r>
          </w:p>
        </w:tc>
        <w:tc>
          <w:tcPr>
            <w:tcW w:w="1421" w:type="dxa"/>
            <w:tcBorders>
              <w:top w:val="single" w:sz="4" w:space="0" w:color="auto"/>
              <w:bottom w:val="single" w:sz="4" w:space="0" w:color="auto"/>
            </w:tcBorders>
          </w:tcPr>
          <w:p w14:paraId="617E8B60"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lastRenderedPageBreak/>
              <w:t>Comptage</w:t>
            </w:r>
          </w:p>
        </w:tc>
        <w:tc>
          <w:tcPr>
            <w:tcW w:w="1700" w:type="dxa"/>
            <w:tcBorders>
              <w:top w:val="single" w:sz="4" w:space="0" w:color="auto"/>
              <w:bottom w:val="single" w:sz="4" w:space="0" w:color="auto"/>
            </w:tcBorders>
          </w:tcPr>
          <w:p w14:paraId="4EB5C814"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Entreprise</w:t>
            </w:r>
          </w:p>
          <w:p w14:paraId="2EC977D1"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MdC</w:t>
            </w:r>
          </w:p>
        </w:tc>
        <w:tc>
          <w:tcPr>
            <w:tcW w:w="1843" w:type="dxa"/>
            <w:tcBorders>
              <w:top w:val="single" w:sz="4" w:space="0" w:color="auto"/>
              <w:bottom w:val="single" w:sz="4" w:space="0" w:color="auto"/>
            </w:tcBorders>
          </w:tcPr>
          <w:p w14:paraId="02064A85" w14:textId="77777777" w:rsidR="00064FF0" w:rsidRPr="00C801A6" w:rsidRDefault="00064FF0" w:rsidP="00844538">
            <w:pPr>
              <w:pStyle w:val="ListParagraph"/>
              <w:numPr>
                <w:ilvl w:val="0"/>
                <w:numId w:val="28"/>
              </w:numPr>
              <w:spacing w:before="20" w:after="20" w:line="288" w:lineRule="auto"/>
              <w:ind w:left="142" w:hanging="142"/>
              <w:contextualSpacing w:val="0"/>
              <w:jc w:val="left"/>
              <w:rPr>
                <w:rFonts w:cs="Times New Roman"/>
                <w:color w:val="auto"/>
                <w:sz w:val="20"/>
                <w:szCs w:val="20"/>
              </w:rPr>
            </w:pPr>
            <w:r w:rsidRPr="00C801A6">
              <w:rPr>
                <w:rFonts w:cs="Times New Roman"/>
                <w:color w:val="auto"/>
                <w:sz w:val="20"/>
                <w:szCs w:val="20"/>
              </w:rPr>
              <w:t>Tous les mois</w:t>
            </w:r>
          </w:p>
        </w:tc>
      </w:tr>
    </w:tbl>
    <w:p w14:paraId="4143FFFD" w14:textId="77777777" w:rsidR="00064FF0" w:rsidRPr="00C801A6" w:rsidRDefault="00064FF0" w:rsidP="00064FF0">
      <w:pPr>
        <w:rPr>
          <w:color w:val="auto"/>
        </w:rPr>
      </w:pPr>
    </w:p>
    <w:p w14:paraId="68C057FC" w14:textId="1E67205B" w:rsidR="00064FF0" w:rsidRDefault="00064FF0" w:rsidP="00064FF0">
      <w:pPr>
        <w:spacing w:line="259" w:lineRule="auto"/>
        <w:jc w:val="left"/>
        <w:rPr>
          <w:color w:val="auto"/>
        </w:rPr>
      </w:pPr>
      <w:r w:rsidRPr="00C801A6">
        <w:rPr>
          <w:color w:val="auto"/>
        </w:rPr>
        <w:br w:type="page"/>
      </w:r>
    </w:p>
    <w:p w14:paraId="35FC5EE6" w14:textId="4E12AB47" w:rsidR="00064FF0" w:rsidRPr="00C801A6" w:rsidRDefault="00CB4938" w:rsidP="00CB4938">
      <w:pPr>
        <w:pStyle w:val="Caption"/>
        <w:rPr>
          <w:color w:val="auto"/>
        </w:rPr>
      </w:pPr>
      <w:bookmarkStart w:id="839" w:name="_Toc230427759"/>
      <w:r>
        <w:lastRenderedPageBreak/>
        <w:t xml:space="preserve">Tableau </w:t>
      </w:r>
      <w:r w:rsidR="00E44887">
        <w:fldChar w:fldCharType="begin"/>
      </w:r>
      <w:r w:rsidR="00E44887">
        <w:instrText xml:space="preserve"> SEQ Tableau \* ARABIC </w:instrText>
      </w:r>
      <w:r w:rsidR="00E44887">
        <w:fldChar w:fldCharType="separate"/>
      </w:r>
      <w:r w:rsidR="00646511">
        <w:rPr>
          <w:noProof/>
        </w:rPr>
        <w:t>39</w:t>
      </w:r>
      <w:r w:rsidR="00E44887">
        <w:rPr>
          <w:noProof/>
        </w:rPr>
        <w:fldChar w:fldCharType="end"/>
      </w:r>
      <w:r>
        <w:t> : PLAN CADRE DE SUIVI E&amp;S – TRAVAUX DE GENIE CIVIL – PHASE DE REPLI DE CHANTIER</w:t>
      </w:r>
      <w:bookmarkEnd w:id="839"/>
    </w:p>
    <w:tbl>
      <w:tblPr>
        <w:tblStyle w:val="TableGrid"/>
        <w:tblW w:w="0" w:type="auto"/>
        <w:tblLook w:val="04A0" w:firstRow="1" w:lastRow="0" w:firstColumn="1" w:lastColumn="0" w:noHBand="0" w:noVBand="1"/>
      </w:tblPr>
      <w:tblGrid>
        <w:gridCol w:w="2613"/>
        <w:gridCol w:w="2369"/>
        <w:gridCol w:w="2782"/>
        <w:gridCol w:w="2371"/>
        <w:gridCol w:w="1414"/>
        <w:gridCol w:w="1682"/>
        <w:gridCol w:w="1785"/>
      </w:tblGrid>
      <w:tr w:rsidR="00C801A6" w:rsidRPr="00C801A6" w14:paraId="36A09F11" w14:textId="77777777" w:rsidTr="00347FDB">
        <w:trPr>
          <w:tblHeader/>
        </w:trPr>
        <w:tc>
          <w:tcPr>
            <w:tcW w:w="2660" w:type="dxa"/>
            <w:tcBorders>
              <w:bottom w:val="single" w:sz="4" w:space="0" w:color="auto"/>
            </w:tcBorders>
            <w:shd w:val="clear" w:color="auto" w:fill="E2EFD9" w:themeFill="accent6" w:themeFillTint="33"/>
          </w:tcPr>
          <w:p w14:paraId="2DD17D2A" w14:textId="77777777" w:rsidR="00064FF0" w:rsidRPr="00C801A6" w:rsidRDefault="00064FF0" w:rsidP="00347FDB">
            <w:pPr>
              <w:spacing w:before="80" w:after="80" w:line="240" w:lineRule="auto"/>
              <w:jc w:val="left"/>
              <w:rPr>
                <w:b/>
                <w:color w:val="auto"/>
                <w:sz w:val="20"/>
                <w:szCs w:val="20"/>
              </w:rPr>
            </w:pPr>
            <w:r w:rsidRPr="00C801A6">
              <w:rPr>
                <w:b/>
                <w:color w:val="auto"/>
                <w:sz w:val="20"/>
                <w:szCs w:val="20"/>
              </w:rPr>
              <w:t>Impacts types</w:t>
            </w:r>
          </w:p>
        </w:tc>
        <w:tc>
          <w:tcPr>
            <w:tcW w:w="2409" w:type="dxa"/>
            <w:tcBorders>
              <w:bottom w:val="single" w:sz="4" w:space="0" w:color="auto"/>
            </w:tcBorders>
            <w:shd w:val="clear" w:color="auto" w:fill="E2EFD9" w:themeFill="accent6" w:themeFillTint="33"/>
          </w:tcPr>
          <w:p w14:paraId="58BB8567" w14:textId="77777777" w:rsidR="00064FF0" w:rsidRPr="00C801A6" w:rsidRDefault="00064FF0" w:rsidP="00347FDB">
            <w:pPr>
              <w:spacing w:before="80" w:after="80" w:line="240" w:lineRule="auto"/>
              <w:jc w:val="left"/>
              <w:rPr>
                <w:b/>
                <w:color w:val="auto"/>
                <w:sz w:val="20"/>
                <w:szCs w:val="20"/>
              </w:rPr>
            </w:pPr>
            <w:r w:rsidRPr="00C801A6">
              <w:rPr>
                <w:b/>
                <w:color w:val="auto"/>
                <w:sz w:val="20"/>
                <w:szCs w:val="20"/>
              </w:rPr>
              <w:t>Mesures d’évitement types</w:t>
            </w:r>
          </w:p>
        </w:tc>
        <w:tc>
          <w:tcPr>
            <w:tcW w:w="2834" w:type="dxa"/>
            <w:tcBorders>
              <w:bottom w:val="single" w:sz="4" w:space="0" w:color="auto"/>
            </w:tcBorders>
            <w:shd w:val="clear" w:color="auto" w:fill="E2EFD9" w:themeFill="accent6" w:themeFillTint="33"/>
          </w:tcPr>
          <w:p w14:paraId="2CF9B5C2" w14:textId="77777777" w:rsidR="00064FF0" w:rsidRPr="00C801A6" w:rsidRDefault="00064FF0" w:rsidP="00347FDB">
            <w:pPr>
              <w:spacing w:before="80" w:after="80" w:line="240" w:lineRule="auto"/>
              <w:jc w:val="left"/>
              <w:rPr>
                <w:b/>
                <w:color w:val="auto"/>
                <w:sz w:val="20"/>
                <w:szCs w:val="20"/>
              </w:rPr>
            </w:pPr>
            <w:r w:rsidRPr="00C801A6">
              <w:rPr>
                <w:b/>
                <w:color w:val="auto"/>
                <w:sz w:val="20"/>
                <w:szCs w:val="20"/>
              </w:rPr>
              <w:t>Mesures d’atténuation types</w:t>
            </w:r>
          </w:p>
        </w:tc>
        <w:tc>
          <w:tcPr>
            <w:tcW w:w="2408" w:type="dxa"/>
            <w:tcBorders>
              <w:bottom w:val="single" w:sz="4" w:space="0" w:color="auto"/>
            </w:tcBorders>
            <w:shd w:val="clear" w:color="auto" w:fill="E2EFD9" w:themeFill="accent6" w:themeFillTint="33"/>
          </w:tcPr>
          <w:p w14:paraId="02BE9831" w14:textId="77777777" w:rsidR="00064FF0" w:rsidRPr="00C801A6" w:rsidRDefault="00064FF0" w:rsidP="00347FDB">
            <w:pPr>
              <w:spacing w:before="80" w:after="80" w:line="240" w:lineRule="auto"/>
              <w:jc w:val="left"/>
              <w:rPr>
                <w:b/>
                <w:color w:val="auto"/>
                <w:sz w:val="20"/>
                <w:szCs w:val="20"/>
              </w:rPr>
            </w:pPr>
            <w:r w:rsidRPr="00C801A6">
              <w:rPr>
                <w:b/>
                <w:color w:val="auto"/>
                <w:sz w:val="20"/>
                <w:szCs w:val="20"/>
              </w:rPr>
              <w:t>Indicateurs de suivi</w:t>
            </w:r>
          </w:p>
        </w:tc>
        <w:tc>
          <w:tcPr>
            <w:tcW w:w="1421" w:type="dxa"/>
            <w:tcBorders>
              <w:bottom w:val="single" w:sz="4" w:space="0" w:color="auto"/>
            </w:tcBorders>
            <w:shd w:val="clear" w:color="auto" w:fill="E2EFD9" w:themeFill="accent6" w:themeFillTint="33"/>
          </w:tcPr>
          <w:p w14:paraId="64E13291" w14:textId="77777777" w:rsidR="00064FF0" w:rsidRPr="00C801A6" w:rsidRDefault="00064FF0" w:rsidP="00347FDB">
            <w:pPr>
              <w:spacing w:before="80" w:after="80" w:line="240" w:lineRule="auto"/>
              <w:jc w:val="left"/>
              <w:rPr>
                <w:b/>
                <w:color w:val="auto"/>
                <w:sz w:val="20"/>
                <w:szCs w:val="20"/>
              </w:rPr>
            </w:pPr>
            <w:r w:rsidRPr="00C801A6">
              <w:rPr>
                <w:b/>
                <w:color w:val="auto"/>
                <w:sz w:val="20"/>
                <w:szCs w:val="20"/>
              </w:rPr>
              <w:t>Méthode</w:t>
            </w:r>
          </w:p>
        </w:tc>
        <w:tc>
          <w:tcPr>
            <w:tcW w:w="1701" w:type="dxa"/>
            <w:tcBorders>
              <w:bottom w:val="single" w:sz="4" w:space="0" w:color="auto"/>
            </w:tcBorders>
            <w:shd w:val="clear" w:color="auto" w:fill="E2EFD9" w:themeFill="accent6" w:themeFillTint="33"/>
          </w:tcPr>
          <w:p w14:paraId="2E5DC94F" w14:textId="77777777" w:rsidR="00064FF0" w:rsidRPr="00C801A6" w:rsidRDefault="00064FF0" w:rsidP="00347FDB">
            <w:pPr>
              <w:spacing w:before="80" w:after="80" w:line="240" w:lineRule="auto"/>
              <w:jc w:val="left"/>
              <w:rPr>
                <w:b/>
                <w:color w:val="auto"/>
                <w:sz w:val="20"/>
                <w:szCs w:val="20"/>
              </w:rPr>
            </w:pPr>
            <w:r w:rsidRPr="00C801A6">
              <w:rPr>
                <w:b/>
                <w:color w:val="auto"/>
                <w:sz w:val="20"/>
                <w:szCs w:val="20"/>
              </w:rPr>
              <w:t>Mise en œuvre</w:t>
            </w:r>
          </w:p>
        </w:tc>
        <w:tc>
          <w:tcPr>
            <w:tcW w:w="1808" w:type="dxa"/>
            <w:tcBorders>
              <w:bottom w:val="single" w:sz="4" w:space="0" w:color="auto"/>
            </w:tcBorders>
            <w:shd w:val="clear" w:color="auto" w:fill="E2EFD9" w:themeFill="accent6" w:themeFillTint="33"/>
          </w:tcPr>
          <w:p w14:paraId="5F00A401" w14:textId="77777777" w:rsidR="00064FF0" w:rsidRPr="00C801A6" w:rsidRDefault="00064FF0" w:rsidP="00347FDB">
            <w:pPr>
              <w:spacing w:before="80" w:after="80" w:line="240" w:lineRule="auto"/>
              <w:jc w:val="left"/>
              <w:rPr>
                <w:b/>
                <w:color w:val="auto"/>
                <w:sz w:val="20"/>
                <w:szCs w:val="20"/>
              </w:rPr>
            </w:pPr>
            <w:r w:rsidRPr="00C801A6">
              <w:rPr>
                <w:b/>
                <w:color w:val="auto"/>
                <w:sz w:val="20"/>
                <w:szCs w:val="20"/>
              </w:rPr>
              <w:t>Calendrier</w:t>
            </w:r>
          </w:p>
        </w:tc>
      </w:tr>
      <w:tr w:rsidR="00C801A6" w:rsidRPr="00C801A6" w14:paraId="64C601D0" w14:textId="77777777" w:rsidTr="00347FDB">
        <w:tc>
          <w:tcPr>
            <w:tcW w:w="2660" w:type="dxa"/>
            <w:tcBorders>
              <w:top w:val="single" w:sz="4" w:space="0" w:color="auto"/>
              <w:left w:val="single" w:sz="4" w:space="0" w:color="auto"/>
              <w:bottom w:val="single" w:sz="4" w:space="0" w:color="auto"/>
              <w:right w:val="nil"/>
            </w:tcBorders>
            <w:shd w:val="clear" w:color="auto" w:fill="D0CECE" w:themeFill="background2" w:themeFillShade="E6"/>
          </w:tcPr>
          <w:p w14:paraId="4B032DCF" w14:textId="77777777" w:rsidR="00064FF0" w:rsidRPr="00C801A6" w:rsidRDefault="00064FF0" w:rsidP="00347FDB">
            <w:pPr>
              <w:spacing w:before="60" w:after="60"/>
              <w:jc w:val="left"/>
              <w:rPr>
                <w:b/>
                <w:color w:val="auto"/>
                <w:sz w:val="20"/>
                <w:szCs w:val="20"/>
                <w:lang w:eastAsia="fr-FR"/>
              </w:rPr>
            </w:pPr>
            <w:r w:rsidRPr="00C801A6">
              <w:rPr>
                <w:b/>
                <w:color w:val="auto"/>
                <w:sz w:val="20"/>
                <w:szCs w:val="20"/>
                <w:lang w:eastAsia="fr-FR"/>
              </w:rPr>
              <w:t>Milieux biophysiques</w:t>
            </w:r>
          </w:p>
        </w:tc>
        <w:tc>
          <w:tcPr>
            <w:tcW w:w="2409" w:type="dxa"/>
            <w:tcBorders>
              <w:top w:val="single" w:sz="4" w:space="0" w:color="auto"/>
              <w:left w:val="nil"/>
              <w:bottom w:val="single" w:sz="4" w:space="0" w:color="auto"/>
              <w:right w:val="nil"/>
            </w:tcBorders>
            <w:shd w:val="clear" w:color="auto" w:fill="D0CECE" w:themeFill="background2" w:themeFillShade="E6"/>
          </w:tcPr>
          <w:p w14:paraId="540147D9" w14:textId="77777777" w:rsidR="00064FF0" w:rsidRPr="00C801A6" w:rsidRDefault="00064FF0" w:rsidP="00347FDB">
            <w:pPr>
              <w:spacing w:before="60" w:after="60"/>
              <w:jc w:val="left"/>
              <w:rPr>
                <w:b/>
                <w:color w:val="auto"/>
                <w:sz w:val="20"/>
                <w:szCs w:val="20"/>
                <w:lang w:eastAsia="fr-FR"/>
              </w:rPr>
            </w:pPr>
          </w:p>
        </w:tc>
        <w:tc>
          <w:tcPr>
            <w:tcW w:w="2834" w:type="dxa"/>
            <w:tcBorders>
              <w:top w:val="single" w:sz="4" w:space="0" w:color="auto"/>
              <w:left w:val="nil"/>
              <w:bottom w:val="single" w:sz="4" w:space="0" w:color="auto"/>
              <w:right w:val="nil"/>
            </w:tcBorders>
            <w:shd w:val="clear" w:color="auto" w:fill="D0CECE" w:themeFill="background2" w:themeFillShade="E6"/>
          </w:tcPr>
          <w:p w14:paraId="502E2E04" w14:textId="77777777" w:rsidR="00064FF0" w:rsidRPr="00C801A6" w:rsidRDefault="00064FF0" w:rsidP="00347FDB">
            <w:pPr>
              <w:spacing w:before="60" w:after="60"/>
              <w:jc w:val="left"/>
              <w:rPr>
                <w:b/>
                <w:color w:val="auto"/>
                <w:sz w:val="20"/>
                <w:szCs w:val="20"/>
                <w:lang w:eastAsia="fr-FR"/>
              </w:rPr>
            </w:pPr>
          </w:p>
        </w:tc>
        <w:tc>
          <w:tcPr>
            <w:tcW w:w="2408" w:type="dxa"/>
            <w:tcBorders>
              <w:top w:val="single" w:sz="4" w:space="0" w:color="auto"/>
              <w:left w:val="nil"/>
              <w:bottom w:val="single" w:sz="4" w:space="0" w:color="auto"/>
              <w:right w:val="nil"/>
            </w:tcBorders>
            <w:shd w:val="clear" w:color="auto" w:fill="D0CECE" w:themeFill="background2" w:themeFillShade="E6"/>
          </w:tcPr>
          <w:p w14:paraId="16A835A8" w14:textId="77777777" w:rsidR="00064FF0" w:rsidRPr="00C801A6" w:rsidRDefault="00064FF0" w:rsidP="00347FDB">
            <w:pPr>
              <w:spacing w:before="60" w:after="60"/>
              <w:jc w:val="left"/>
              <w:rPr>
                <w:b/>
                <w:color w:val="auto"/>
                <w:sz w:val="20"/>
                <w:szCs w:val="20"/>
                <w:lang w:eastAsia="fr-FR"/>
              </w:rPr>
            </w:pPr>
          </w:p>
        </w:tc>
        <w:tc>
          <w:tcPr>
            <w:tcW w:w="1421" w:type="dxa"/>
            <w:tcBorders>
              <w:top w:val="single" w:sz="4" w:space="0" w:color="auto"/>
              <w:left w:val="nil"/>
              <w:bottom w:val="single" w:sz="4" w:space="0" w:color="auto"/>
              <w:right w:val="nil"/>
            </w:tcBorders>
            <w:shd w:val="clear" w:color="auto" w:fill="D0CECE" w:themeFill="background2" w:themeFillShade="E6"/>
          </w:tcPr>
          <w:p w14:paraId="4E1F3E94" w14:textId="77777777" w:rsidR="00064FF0" w:rsidRPr="00C801A6" w:rsidRDefault="00064FF0" w:rsidP="00347FDB">
            <w:pPr>
              <w:spacing w:before="60" w:after="60"/>
              <w:jc w:val="left"/>
              <w:rPr>
                <w:b/>
                <w:color w:val="auto"/>
                <w:sz w:val="20"/>
                <w:szCs w:val="20"/>
                <w:lang w:eastAsia="fr-FR"/>
              </w:rPr>
            </w:pPr>
          </w:p>
        </w:tc>
        <w:tc>
          <w:tcPr>
            <w:tcW w:w="1701" w:type="dxa"/>
            <w:tcBorders>
              <w:top w:val="single" w:sz="4" w:space="0" w:color="auto"/>
              <w:left w:val="nil"/>
              <w:bottom w:val="single" w:sz="4" w:space="0" w:color="auto"/>
              <w:right w:val="nil"/>
            </w:tcBorders>
            <w:shd w:val="clear" w:color="auto" w:fill="D0CECE" w:themeFill="background2" w:themeFillShade="E6"/>
          </w:tcPr>
          <w:p w14:paraId="1FB097B9" w14:textId="77777777" w:rsidR="00064FF0" w:rsidRPr="00C801A6" w:rsidRDefault="00064FF0" w:rsidP="00347FDB">
            <w:pPr>
              <w:spacing w:before="60" w:after="60"/>
              <w:jc w:val="left"/>
              <w:rPr>
                <w:b/>
                <w:color w:val="auto"/>
                <w:sz w:val="20"/>
                <w:szCs w:val="20"/>
                <w:lang w:eastAsia="fr-FR"/>
              </w:rPr>
            </w:pPr>
          </w:p>
        </w:tc>
        <w:tc>
          <w:tcPr>
            <w:tcW w:w="1808" w:type="dxa"/>
            <w:tcBorders>
              <w:top w:val="single" w:sz="4" w:space="0" w:color="auto"/>
              <w:left w:val="nil"/>
              <w:bottom w:val="single" w:sz="4" w:space="0" w:color="auto"/>
              <w:right w:val="single" w:sz="4" w:space="0" w:color="auto"/>
            </w:tcBorders>
            <w:shd w:val="clear" w:color="auto" w:fill="D0CECE" w:themeFill="background2" w:themeFillShade="E6"/>
          </w:tcPr>
          <w:p w14:paraId="54B95385" w14:textId="77777777" w:rsidR="00064FF0" w:rsidRPr="00C801A6" w:rsidRDefault="00064FF0" w:rsidP="00347FDB">
            <w:pPr>
              <w:spacing w:before="60" w:after="60"/>
              <w:jc w:val="left"/>
              <w:rPr>
                <w:b/>
                <w:color w:val="auto"/>
                <w:sz w:val="20"/>
                <w:szCs w:val="20"/>
                <w:lang w:eastAsia="fr-FR"/>
              </w:rPr>
            </w:pPr>
          </w:p>
        </w:tc>
      </w:tr>
      <w:tr w:rsidR="00C801A6" w:rsidRPr="00C801A6" w14:paraId="5645BD95" w14:textId="77777777" w:rsidTr="00347FDB">
        <w:tc>
          <w:tcPr>
            <w:tcW w:w="2660" w:type="dxa"/>
            <w:tcBorders>
              <w:top w:val="single" w:sz="4" w:space="0" w:color="auto"/>
              <w:bottom w:val="single" w:sz="4" w:space="0" w:color="auto"/>
            </w:tcBorders>
          </w:tcPr>
          <w:p w14:paraId="1B406301" w14:textId="77777777" w:rsidR="00064FF0" w:rsidRPr="00C801A6" w:rsidRDefault="00064FF0" w:rsidP="00347FDB">
            <w:pPr>
              <w:spacing w:before="60"/>
              <w:jc w:val="left"/>
              <w:rPr>
                <w:color w:val="auto"/>
                <w:sz w:val="20"/>
                <w:szCs w:val="20"/>
                <w:lang w:eastAsia="fr-FR"/>
              </w:rPr>
            </w:pPr>
            <w:r w:rsidRPr="00C801A6">
              <w:rPr>
                <w:color w:val="auto"/>
                <w:sz w:val="20"/>
                <w:szCs w:val="20"/>
                <w:lang w:eastAsia="fr-FR"/>
              </w:rPr>
              <w:t>Risques de pollution de diverses natures au niveau du chantier : abandon de déchets de chantier sur les bords des routes, matières résiduelles diverses au niveau de la base-vie, autres</w:t>
            </w:r>
          </w:p>
        </w:tc>
        <w:tc>
          <w:tcPr>
            <w:tcW w:w="2409" w:type="dxa"/>
            <w:tcBorders>
              <w:top w:val="single" w:sz="4" w:space="0" w:color="auto"/>
              <w:bottom w:val="single" w:sz="4" w:space="0" w:color="auto"/>
            </w:tcBorders>
          </w:tcPr>
          <w:p w14:paraId="1022DA0F" w14:textId="77777777" w:rsidR="00064FF0" w:rsidRPr="00C801A6" w:rsidRDefault="00064FF0" w:rsidP="00844538">
            <w:pPr>
              <w:pStyle w:val="ListParagraph"/>
              <w:numPr>
                <w:ilvl w:val="0"/>
                <w:numId w:val="28"/>
              </w:numPr>
              <w:spacing w:before="60" w:line="276" w:lineRule="auto"/>
              <w:ind w:left="142" w:hanging="142"/>
              <w:contextualSpacing w:val="0"/>
              <w:jc w:val="left"/>
              <w:rPr>
                <w:color w:val="auto"/>
                <w:sz w:val="20"/>
                <w:szCs w:val="20"/>
              </w:rPr>
            </w:pPr>
            <w:r w:rsidRPr="00C801A6">
              <w:rPr>
                <w:color w:val="auto"/>
                <w:sz w:val="20"/>
                <w:szCs w:val="20"/>
              </w:rPr>
              <w:t>Aucune</w:t>
            </w:r>
          </w:p>
        </w:tc>
        <w:tc>
          <w:tcPr>
            <w:tcW w:w="2834" w:type="dxa"/>
            <w:tcBorders>
              <w:top w:val="single" w:sz="4" w:space="0" w:color="auto"/>
              <w:bottom w:val="single" w:sz="4" w:space="0" w:color="auto"/>
            </w:tcBorders>
          </w:tcPr>
          <w:p w14:paraId="241429DF" w14:textId="77777777" w:rsidR="00064FF0" w:rsidRPr="00C801A6" w:rsidRDefault="00064FF0" w:rsidP="00844538">
            <w:pPr>
              <w:pStyle w:val="ListParagraph"/>
              <w:numPr>
                <w:ilvl w:val="0"/>
                <w:numId w:val="28"/>
              </w:numPr>
              <w:spacing w:before="60" w:line="276" w:lineRule="auto"/>
              <w:ind w:left="142" w:hanging="142"/>
              <w:contextualSpacing w:val="0"/>
              <w:jc w:val="left"/>
              <w:rPr>
                <w:color w:val="auto"/>
                <w:sz w:val="20"/>
                <w:szCs w:val="20"/>
              </w:rPr>
            </w:pPr>
            <w:r w:rsidRPr="00C801A6">
              <w:rPr>
                <w:color w:val="auto"/>
                <w:sz w:val="20"/>
                <w:szCs w:val="20"/>
              </w:rPr>
              <w:t>Tout nettoyer avant le repli : le dernier attachement ne devrait pas être validé sans ce constat</w:t>
            </w:r>
          </w:p>
        </w:tc>
        <w:tc>
          <w:tcPr>
            <w:tcW w:w="2408" w:type="dxa"/>
            <w:tcBorders>
              <w:top w:val="single" w:sz="4" w:space="0" w:color="auto"/>
              <w:bottom w:val="single" w:sz="4" w:space="0" w:color="auto"/>
            </w:tcBorders>
          </w:tcPr>
          <w:p w14:paraId="3497213C" w14:textId="77777777" w:rsidR="00064FF0" w:rsidRPr="00C801A6" w:rsidRDefault="00064FF0" w:rsidP="00844538">
            <w:pPr>
              <w:pStyle w:val="ListParagraph"/>
              <w:numPr>
                <w:ilvl w:val="0"/>
                <w:numId w:val="28"/>
              </w:numPr>
              <w:spacing w:before="60" w:line="276" w:lineRule="auto"/>
              <w:ind w:left="142" w:hanging="142"/>
              <w:contextualSpacing w:val="0"/>
              <w:jc w:val="left"/>
              <w:rPr>
                <w:color w:val="auto"/>
                <w:sz w:val="20"/>
                <w:szCs w:val="20"/>
              </w:rPr>
            </w:pPr>
            <w:r w:rsidRPr="00C801A6">
              <w:rPr>
                <w:color w:val="auto"/>
                <w:sz w:val="20"/>
                <w:szCs w:val="20"/>
              </w:rPr>
              <w:t>Volume de matières résiduelles non collectées et évacuées avant repli</w:t>
            </w:r>
          </w:p>
        </w:tc>
        <w:tc>
          <w:tcPr>
            <w:tcW w:w="1421" w:type="dxa"/>
            <w:tcBorders>
              <w:top w:val="single" w:sz="4" w:space="0" w:color="auto"/>
              <w:bottom w:val="single" w:sz="4" w:space="0" w:color="auto"/>
            </w:tcBorders>
          </w:tcPr>
          <w:p w14:paraId="24E2D0BE" w14:textId="77777777" w:rsidR="00064FF0" w:rsidRPr="00C801A6" w:rsidRDefault="00064FF0" w:rsidP="00844538">
            <w:pPr>
              <w:pStyle w:val="ListParagraph"/>
              <w:numPr>
                <w:ilvl w:val="0"/>
                <w:numId w:val="28"/>
              </w:numPr>
              <w:spacing w:before="60" w:line="276" w:lineRule="auto"/>
              <w:ind w:left="142" w:hanging="142"/>
              <w:contextualSpacing w:val="0"/>
              <w:jc w:val="left"/>
              <w:rPr>
                <w:color w:val="auto"/>
                <w:sz w:val="20"/>
                <w:szCs w:val="20"/>
              </w:rPr>
            </w:pPr>
            <w:r w:rsidRPr="00C801A6">
              <w:rPr>
                <w:color w:val="auto"/>
                <w:sz w:val="20"/>
                <w:szCs w:val="20"/>
              </w:rPr>
              <w:t>Estimation</w:t>
            </w:r>
          </w:p>
        </w:tc>
        <w:tc>
          <w:tcPr>
            <w:tcW w:w="1701" w:type="dxa"/>
            <w:tcBorders>
              <w:top w:val="single" w:sz="4" w:space="0" w:color="auto"/>
              <w:bottom w:val="single" w:sz="4" w:space="0" w:color="auto"/>
            </w:tcBorders>
          </w:tcPr>
          <w:p w14:paraId="2C6EC99D" w14:textId="77777777" w:rsidR="00064FF0" w:rsidRPr="00C801A6" w:rsidRDefault="00064FF0" w:rsidP="00844538">
            <w:pPr>
              <w:pStyle w:val="ListParagraph"/>
              <w:numPr>
                <w:ilvl w:val="0"/>
                <w:numId w:val="28"/>
              </w:numPr>
              <w:spacing w:before="60" w:line="276" w:lineRule="auto"/>
              <w:ind w:left="142" w:hanging="142"/>
              <w:contextualSpacing w:val="0"/>
              <w:jc w:val="left"/>
              <w:rPr>
                <w:color w:val="auto"/>
                <w:sz w:val="20"/>
                <w:szCs w:val="20"/>
              </w:rPr>
            </w:pPr>
            <w:r w:rsidRPr="00C801A6">
              <w:rPr>
                <w:color w:val="auto"/>
                <w:sz w:val="20"/>
                <w:szCs w:val="20"/>
              </w:rPr>
              <w:t>Entreprise</w:t>
            </w:r>
          </w:p>
          <w:p w14:paraId="3139558B" w14:textId="77777777" w:rsidR="00064FF0" w:rsidRPr="00C801A6" w:rsidRDefault="00064FF0" w:rsidP="00844538">
            <w:pPr>
              <w:pStyle w:val="ListParagraph"/>
              <w:numPr>
                <w:ilvl w:val="0"/>
                <w:numId w:val="28"/>
              </w:numPr>
              <w:spacing w:before="60" w:line="276" w:lineRule="auto"/>
              <w:ind w:left="142" w:hanging="142"/>
              <w:contextualSpacing w:val="0"/>
              <w:jc w:val="left"/>
              <w:rPr>
                <w:color w:val="auto"/>
                <w:sz w:val="20"/>
                <w:szCs w:val="20"/>
              </w:rPr>
            </w:pPr>
            <w:r w:rsidRPr="00C801A6">
              <w:rPr>
                <w:color w:val="auto"/>
                <w:sz w:val="20"/>
                <w:szCs w:val="20"/>
              </w:rPr>
              <w:t>MdC</w:t>
            </w:r>
          </w:p>
        </w:tc>
        <w:tc>
          <w:tcPr>
            <w:tcW w:w="1808" w:type="dxa"/>
            <w:tcBorders>
              <w:top w:val="single" w:sz="4" w:space="0" w:color="auto"/>
              <w:bottom w:val="single" w:sz="4" w:space="0" w:color="auto"/>
            </w:tcBorders>
          </w:tcPr>
          <w:p w14:paraId="7F93703C" w14:textId="77777777" w:rsidR="00064FF0" w:rsidRPr="00C801A6" w:rsidRDefault="00064FF0" w:rsidP="00844538">
            <w:pPr>
              <w:pStyle w:val="ListParagraph"/>
              <w:numPr>
                <w:ilvl w:val="0"/>
                <w:numId w:val="28"/>
              </w:numPr>
              <w:spacing w:before="60" w:line="276" w:lineRule="auto"/>
              <w:ind w:left="142" w:hanging="142"/>
              <w:contextualSpacing w:val="0"/>
              <w:jc w:val="left"/>
              <w:rPr>
                <w:color w:val="auto"/>
                <w:sz w:val="20"/>
                <w:szCs w:val="20"/>
              </w:rPr>
            </w:pPr>
            <w:r w:rsidRPr="00C801A6">
              <w:rPr>
                <w:color w:val="auto"/>
                <w:sz w:val="20"/>
                <w:szCs w:val="20"/>
              </w:rPr>
              <w:t>Avant repli</w:t>
            </w:r>
          </w:p>
        </w:tc>
      </w:tr>
      <w:tr w:rsidR="00C801A6" w:rsidRPr="00C801A6" w14:paraId="57BD6DA8" w14:textId="77777777" w:rsidTr="00347FDB">
        <w:tc>
          <w:tcPr>
            <w:tcW w:w="5069" w:type="dxa"/>
            <w:gridSpan w:val="2"/>
            <w:tcBorders>
              <w:top w:val="single" w:sz="4" w:space="0" w:color="auto"/>
              <w:left w:val="single" w:sz="4" w:space="0" w:color="auto"/>
              <w:bottom w:val="single" w:sz="4" w:space="0" w:color="auto"/>
              <w:right w:val="nil"/>
            </w:tcBorders>
            <w:shd w:val="clear" w:color="auto" w:fill="D0CECE" w:themeFill="background2" w:themeFillShade="E6"/>
          </w:tcPr>
          <w:p w14:paraId="4C86ECD9" w14:textId="77777777" w:rsidR="00064FF0" w:rsidRPr="00C801A6" w:rsidRDefault="00064FF0" w:rsidP="00347FDB">
            <w:pPr>
              <w:spacing w:before="60" w:after="60"/>
              <w:jc w:val="left"/>
              <w:rPr>
                <w:b/>
                <w:color w:val="auto"/>
                <w:sz w:val="20"/>
                <w:szCs w:val="20"/>
                <w:lang w:eastAsia="fr-FR"/>
              </w:rPr>
            </w:pPr>
            <w:r w:rsidRPr="00C801A6">
              <w:rPr>
                <w:b/>
                <w:color w:val="auto"/>
                <w:sz w:val="20"/>
                <w:szCs w:val="20"/>
                <w:lang w:eastAsia="fr-FR"/>
              </w:rPr>
              <w:t>Impacts socioéconomiques</w:t>
            </w:r>
          </w:p>
        </w:tc>
        <w:tc>
          <w:tcPr>
            <w:tcW w:w="2834" w:type="dxa"/>
            <w:tcBorders>
              <w:top w:val="single" w:sz="4" w:space="0" w:color="auto"/>
              <w:left w:val="nil"/>
              <w:bottom w:val="single" w:sz="4" w:space="0" w:color="auto"/>
              <w:right w:val="nil"/>
            </w:tcBorders>
            <w:shd w:val="clear" w:color="auto" w:fill="D0CECE" w:themeFill="background2" w:themeFillShade="E6"/>
          </w:tcPr>
          <w:p w14:paraId="6F391400" w14:textId="77777777" w:rsidR="00064FF0" w:rsidRPr="00C801A6" w:rsidRDefault="00064FF0" w:rsidP="00347FDB">
            <w:pPr>
              <w:spacing w:before="60" w:after="60"/>
              <w:jc w:val="left"/>
              <w:rPr>
                <w:b/>
                <w:color w:val="auto"/>
                <w:sz w:val="20"/>
                <w:szCs w:val="20"/>
                <w:lang w:eastAsia="fr-FR"/>
              </w:rPr>
            </w:pPr>
          </w:p>
        </w:tc>
        <w:tc>
          <w:tcPr>
            <w:tcW w:w="2408" w:type="dxa"/>
            <w:tcBorders>
              <w:top w:val="single" w:sz="4" w:space="0" w:color="auto"/>
              <w:left w:val="nil"/>
              <w:bottom w:val="single" w:sz="4" w:space="0" w:color="auto"/>
              <w:right w:val="nil"/>
            </w:tcBorders>
            <w:shd w:val="clear" w:color="auto" w:fill="D0CECE" w:themeFill="background2" w:themeFillShade="E6"/>
          </w:tcPr>
          <w:p w14:paraId="7BC135AA" w14:textId="77777777" w:rsidR="00064FF0" w:rsidRPr="00C801A6" w:rsidRDefault="00064FF0" w:rsidP="00347FDB">
            <w:pPr>
              <w:spacing w:before="60" w:after="60"/>
              <w:jc w:val="left"/>
              <w:rPr>
                <w:b/>
                <w:color w:val="auto"/>
                <w:sz w:val="20"/>
                <w:szCs w:val="20"/>
                <w:lang w:eastAsia="fr-FR"/>
              </w:rPr>
            </w:pPr>
          </w:p>
        </w:tc>
        <w:tc>
          <w:tcPr>
            <w:tcW w:w="1421" w:type="dxa"/>
            <w:tcBorders>
              <w:top w:val="single" w:sz="4" w:space="0" w:color="auto"/>
              <w:left w:val="nil"/>
              <w:bottom w:val="single" w:sz="4" w:space="0" w:color="auto"/>
              <w:right w:val="nil"/>
            </w:tcBorders>
            <w:shd w:val="clear" w:color="auto" w:fill="D0CECE" w:themeFill="background2" w:themeFillShade="E6"/>
          </w:tcPr>
          <w:p w14:paraId="3E34A9BA" w14:textId="77777777" w:rsidR="00064FF0" w:rsidRPr="00C801A6" w:rsidRDefault="00064FF0" w:rsidP="00347FDB">
            <w:pPr>
              <w:spacing w:before="60" w:after="60"/>
              <w:jc w:val="left"/>
              <w:rPr>
                <w:b/>
                <w:color w:val="auto"/>
                <w:sz w:val="20"/>
                <w:szCs w:val="20"/>
                <w:lang w:eastAsia="fr-FR"/>
              </w:rPr>
            </w:pPr>
          </w:p>
        </w:tc>
        <w:tc>
          <w:tcPr>
            <w:tcW w:w="1701" w:type="dxa"/>
            <w:tcBorders>
              <w:top w:val="single" w:sz="4" w:space="0" w:color="auto"/>
              <w:left w:val="nil"/>
              <w:bottom w:val="single" w:sz="4" w:space="0" w:color="auto"/>
              <w:right w:val="nil"/>
            </w:tcBorders>
            <w:shd w:val="clear" w:color="auto" w:fill="D0CECE" w:themeFill="background2" w:themeFillShade="E6"/>
          </w:tcPr>
          <w:p w14:paraId="05601EDD" w14:textId="77777777" w:rsidR="00064FF0" w:rsidRPr="00C801A6" w:rsidRDefault="00064FF0" w:rsidP="00347FDB">
            <w:pPr>
              <w:spacing w:before="60" w:after="60"/>
              <w:jc w:val="left"/>
              <w:rPr>
                <w:b/>
                <w:color w:val="auto"/>
                <w:sz w:val="20"/>
                <w:szCs w:val="20"/>
                <w:lang w:eastAsia="fr-FR"/>
              </w:rPr>
            </w:pPr>
          </w:p>
        </w:tc>
        <w:tc>
          <w:tcPr>
            <w:tcW w:w="1808" w:type="dxa"/>
            <w:tcBorders>
              <w:top w:val="single" w:sz="4" w:space="0" w:color="auto"/>
              <w:left w:val="nil"/>
              <w:bottom w:val="single" w:sz="4" w:space="0" w:color="auto"/>
              <w:right w:val="single" w:sz="4" w:space="0" w:color="auto"/>
            </w:tcBorders>
            <w:shd w:val="clear" w:color="auto" w:fill="D0CECE" w:themeFill="background2" w:themeFillShade="E6"/>
          </w:tcPr>
          <w:p w14:paraId="538CB30A" w14:textId="77777777" w:rsidR="00064FF0" w:rsidRPr="00C801A6" w:rsidRDefault="00064FF0" w:rsidP="00347FDB">
            <w:pPr>
              <w:spacing w:before="60" w:after="60"/>
              <w:jc w:val="left"/>
              <w:rPr>
                <w:b/>
                <w:color w:val="auto"/>
                <w:sz w:val="20"/>
                <w:szCs w:val="20"/>
                <w:lang w:eastAsia="fr-FR"/>
              </w:rPr>
            </w:pPr>
          </w:p>
        </w:tc>
      </w:tr>
      <w:tr w:rsidR="00C801A6" w:rsidRPr="00C801A6" w14:paraId="158EB2CD" w14:textId="77777777" w:rsidTr="00347FDB">
        <w:tc>
          <w:tcPr>
            <w:tcW w:w="2660" w:type="dxa"/>
            <w:tcBorders>
              <w:top w:val="single" w:sz="4" w:space="0" w:color="auto"/>
            </w:tcBorders>
          </w:tcPr>
          <w:p w14:paraId="1924BCDF" w14:textId="77777777" w:rsidR="00064FF0" w:rsidRPr="00C801A6" w:rsidRDefault="00064FF0" w:rsidP="00347FDB">
            <w:pPr>
              <w:spacing w:before="60"/>
              <w:jc w:val="left"/>
              <w:rPr>
                <w:color w:val="auto"/>
                <w:sz w:val="20"/>
                <w:szCs w:val="20"/>
                <w:lang w:eastAsia="fr-FR"/>
              </w:rPr>
            </w:pPr>
            <w:r w:rsidRPr="00C801A6">
              <w:rPr>
                <w:color w:val="auto"/>
                <w:sz w:val="20"/>
                <w:szCs w:val="20"/>
                <w:lang w:eastAsia="fr-FR"/>
              </w:rPr>
              <w:t>Risques accident au moment du repli</w:t>
            </w:r>
          </w:p>
        </w:tc>
        <w:tc>
          <w:tcPr>
            <w:tcW w:w="2409" w:type="dxa"/>
            <w:tcBorders>
              <w:top w:val="single" w:sz="4" w:space="0" w:color="auto"/>
            </w:tcBorders>
          </w:tcPr>
          <w:p w14:paraId="316E6DA3" w14:textId="77777777" w:rsidR="00064FF0" w:rsidRPr="00C801A6" w:rsidRDefault="00064FF0" w:rsidP="00844538">
            <w:pPr>
              <w:pStyle w:val="ListParagraph"/>
              <w:numPr>
                <w:ilvl w:val="0"/>
                <w:numId w:val="28"/>
              </w:numPr>
              <w:spacing w:before="60" w:line="276" w:lineRule="auto"/>
              <w:ind w:left="142" w:hanging="142"/>
              <w:contextualSpacing w:val="0"/>
              <w:jc w:val="left"/>
              <w:rPr>
                <w:color w:val="auto"/>
                <w:sz w:val="20"/>
                <w:szCs w:val="20"/>
              </w:rPr>
            </w:pPr>
            <w:r w:rsidRPr="00C801A6">
              <w:rPr>
                <w:color w:val="auto"/>
                <w:sz w:val="20"/>
                <w:szCs w:val="20"/>
              </w:rPr>
              <w:t>Sensibiliser les chauffeurs sur les accidents de la route</w:t>
            </w:r>
          </w:p>
        </w:tc>
        <w:tc>
          <w:tcPr>
            <w:tcW w:w="2834" w:type="dxa"/>
            <w:tcBorders>
              <w:top w:val="single" w:sz="4" w:space="0" w:color="auto"/>
            </w:tcBorders>
          </w:tcPr>
          <w:p w14:paraId="7470C9A6" w14:textId="77777777" w:rsidR="00064FF0" w:rsidRPr="00C801A6" w:rsidRDefault="00064FF0" w:rsidP="00844538">
            <w:pPr>
              <w:pStyle w:val="ListParagraph"/>
              <w:numPr>
                <w:ilvl w:val="0"/>
                <w:numId w:val="28"/>
              </w:numPr>
              <w:spacing w:before="60" w:line="276" w:lineRule="auto"/>
              <w:ind w:left="142" w:hanging="142"/>
              <w:contextualSpacing w:val="0"/>
              <w:jc w:val="left"/>
              <w:rPr>
                <w:color w:val="auto"/>
                <w:sz w:val="20"/>
                <w:szCs w:val="20"/>
              </w:rPr>
            </w:pPr>
            <w:r w:rsidRPr="00C801A6">
              <w:rPr>
                <w:color w:val="auto"/>
                <w:sz w:val="20"/>
                <w:szCs w:val="20"/>
              </w:rPr>
              <w:t>Limiter la vitesse à 20km/h en zone habitée et à 40km/h en rase-campagne</w:t>
            </w:r>
          </w:p>
        </w:tc>
        <w:tc>
          <w:tcPr>
            <w:tcW w:w="2408" w:type="dxa"/>
            <w:tcBorders>
              <w:top w:val="single" w:sz="4" w:space="0" w:color="auto"/>
            </w:tcBorders>
          </w:tcPr>
          <w:p w14:paraId="25F4D16E" w14:textId="77777777" w:rsidR="00064FF0" w:rsidRPr="00C801A6" w:rsidRDefault="00064FF0" w:rsidP="00844538">
            <w:pPr>
              <w:pStyle w:val="ListParagraph"/>
              <w:numPr>
                <w:ilvl w:val="0"/>
                <w:numId w:val="28"/>
              </w:numPr>
              <w:spacing w:before="60" w:line="276" w:lineRule="auto"/>
              <w:ind w:left="142" w:hanging="142"/>
              <w:contextualSpacing w:val="0"/>
              <w:jc w:val="left"/>
              <w:rPr>
                <w:color w:val="auto"/>
                <w:sz w:val="20"/>
                <w:szCs w:val="20"/>
              </w:rPr>
            </w:pPr>
            <w:r w:rsidRPr="00C801A6">
              <w:rPr>
                <w:color w:val="auto"/>
                <w:sz w:val="20"/>
                <w:szCs w:val="20"/>
              </w:rPr>
              <w:t>Nombre d’accident de la route liés au repli des matériels et équipements</w:t>
            </w:r>
          </w:p>
        </w:tc>
        <w:tc>
          <w:tcPr>
            <w:tcW w:w="1421" w:type="dxa"/>
            <w:tcBorders>
              <w:top w:val="single" w:sz="4" w:space="0" w:color="auto"/>
            </w:tcBorders>
          </w:tcPr>
          <w:p w14:paraId="3C1320A2" w14:textId="77777777" w:rsidR="00064FF0" w:rsidRPr="00C801A6" w:rsidRDefault="00064FF0" w:rsidP="00844538">
            <w:pPr>
              <w:pStyle w:val="ListParagraph"/>
              <w:numPr>
                <w:ilvl w:val="0"/>
                <w:numId w:val="28"/>
              </w:numPr>
              <w:spacing w:before="60" w:line="276" w:lineRule="auto"/>
              <w:ind w:left="142" w:hanging="142"/>
              <w:contextualSpacing w:val="0"/>
              <w:jc w:val="left"/>
              <w:rPr>
                <w:color w:val="auto"/>
                <w:sz w:val="20"/>
                <w:szCs w:val="20"/>
              </w:rPr>
            </w:pPr>
            <w:r w:rsidRPr="00C801A6">
              <w:rPr>
                <w:color w:val="auto"/>
                <w:sz w:val="20"/>
                <w:szCs w:val="20"/>
              </w:rPr>
              <w:t>Comptage</w:t>
            </w:r>
          </w:p>
        </w:tc>
        <w:tc>
          <w:tcPr>
            <w:tcW w:w="1701" w:type="dxa"/>
            <w:tcBorders>
              <w:top w:val="single" w:sz="4" w:space="0" w:color="auto"/>
            </w:tcBorders>
          </w:tcPr>
          <w:p w14:paraId="44D7BF1E" w14:textId="77777777" w:rsidR="00064FF0" w:rsidRPr="00C801A6" w:rsidRDefault="00064FF0" w:rsidP="00844538">
            <w:pPr>
              <w:pStyle w:val="ListParagraph"/>
              <w:numPr>
                <w:ilvl w:val="0"/>
                <w:numId w:val="28"/>
              </w:numPr>
              <w:spacing w:before="60" w:line="276" w:lineRule="auto"/>
              <w:ind w:left="142" w:hanging="142"/>
              <w:contextualSpacing w:val="0"/>
              <w:jc w:val="left"/>
              <w:rPr>
                <w:color w:val="auto"/>
                <w:sz w:val="20"/>
                <w:szCs w:val="20"/>
              </w:rPr>
            </w:pPr>
            <w:r w:rsidRPr="00C801A6">
              <w:rPr>
                <w:color w:val="auto"/>
                <w:sz w:val="20"/>
                <w:szCs w:val="20"/>
              </w:rPr>
              <w:t>Entreprise</w:t>
            </w:r>
          </w:p>
          <w:p w14:paraId="23CBBAB1" w14:textId="77777777" w:rsidR="00064FF0" w:rsidRPr="00C801A6" w:rsidRDefault="00064FF0" w:rsidP="00844538">
            <w:pPr>
              <w:pStyle w:val="ListParagraph"/>
              <w:numPr>
                <w:ilvl w:val="0"/>
                <w:numId w:val="28"/>
              </w:numPr>
              <w:spacing w:before="60" w:line="276" w:lineRule="auto"/>
              <w:ind w:left="142" w:hanging="142"/>
              <w:contextualSpacing w:val="0"/>
              <w:jc w:val="left"/>
              <w:rPr>
                <w:color w:val="auto"/>
                <w:sz w:val="20"/>
                <w:szCs w:val="20"/>
              </w:rPr>
            </w:pPr>
            <w:r w:rsidRPr="00C801A6">
              <w:rPr>
                <w:color w:val="auto"/>
                <w:sz w:val="20"/>
                <w:szCs w:val="20"/>
              </w:rPr>
              <w:t>MdC</w:t>
            </w:r>
          </w:p>
        </w:tc>
        <w:tc>
          <w:tcPr>
            <w:tcW w:w="1808" w:type="dxa"/>
            <w:tcBorders>
              <w:top w:val="single" w:sz="4" w:space="0" w:color="auto"/>
            </w:tcBorders>
          </w:tcPr>
          <w:p w14:paraId="59C5D524" w14:textId="77777777" w:rsidR="00064FF0" w:rsidRPr="00C801A6" w:rsidRDefault="00064FF0" w:rsidP="00844538">
            <w:pPr>
              <w:pStyle w:val="ListParagraph"/>
              <w:numPr>
                <w:ilvl w:val="0"/>
                <w:numId w:val="28"/>
              </w:numPr>
              <w:spacing w:before="60" w:line="276" w:lineRule="auto"/>
              <w:ind w:left="142" w:hanging="142"/>
              <w:contextualSpacing w:val="0"/>
              <w:jc w:val="left"/>
              <w:rPr>
                <w:color w:val="auto"/>
                <w:sz w:val="20"/>
                <w:szCs w:val="20"/>
              </w:rPr>
            </w:pPr>
            <w:r w:rsidRPr="00C801A6">
              <w:rPr>
                <w:color w:val="auto"/>
                <w:sz w:val="20"/>
                <w:szCs w:val="20"/>
              </w:rPr>
              <w:t>Au moment du repli</w:t>
            </w:r>
          </w:p>
        </w:tc>
      </w:tr>
    </w:tbl>
    <w:p w14:paraId="1E6E2B75" w14:textId="3CD419F6" w:rsidR="00064FF0" w:rsidRDefault="00064FF0" w:rsidP="00064FF0">
      <w:pPr>
        <w:rPr>
          <w:color w:val="auto"/>
        </w:rPr>
      </w:pPr>
      <w:r w:rsidRPr="00C801A6">
        <w:rPr>
          <w:color w:val="auto"/>
        </w:rPr>
        <w:br w:type="page"/>
      </w:r>
    </w:p>
    <w:p w14:paraId="2FF4B8F3" w14:textId="42116E44" w:rsidR="00CB4938" w:rsidRPr="00C801A6" w:rsidRDefault="00CB4938" w:rsidP="00CB4938">
      <w:pPr>
        <w:pStyle w:val="Caption"/>
        <w:rPr>
          <w:color w:val="auto"/>
        </w:rPr>
      </w:pPr>
      <w:bookmarkStart w:id="840" w:name="_Toc230427760"/>
      <w:r>
        <w:lastRenderedPageBreak/>
        <w:t xml:space="preserve">Tableau </w:t>
      </w:r>
      <w:r w:rsidR="00E44887">
        <w:fldChar w:fldCharType="begin"/>
      </w:r>
      <w:r w:rsidR="00E44887">
        <w:instrText xml:space="preserve"> SEQ Tableau \* ARABIC </w:instrText>
      </w:r>
      <w:r w:rsidR="00E44887">
        <w:fldChar w:fldCharType="separate"/>
      </w:r>
      <w:r w:rsidR="00646511">
        <w:rPr>
          <w:noProof/>
        </w:rPr>
        <w:t>40</w:t>
      </w:r>
      <w:r w:rsidR="00E44887">
        <w:rPr>
          <w:noProof/>
        </w:rPr>
        <w:fldChar w:fldCharType="end"/>
      </w:r>
      <w:r>
        <w:t xml:space="preserve"> : PLAN </w:t>
      </w:r>
      <w:r w:rsidRPr="00C801A6">
        <w:rPr>
          <w:color w:val="auto"/>
        </w:rPr>
        <w:t>cadre de suivi E&amp;S. Cas des sites d’extraction</w:t>
      </w:r>
      <w:bookmarkEnd w:id="840"/>
    </w:p>
    <w:tbl>
      <w:tblPr>
        <w:tblW w:w="15275" w:type="dxa"/>
        <w:tblInd w:w="-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92"/>
        <w:gridCol w:w="2521"/>
        <w:gridCol w:w="2777"/>
        <w:gridCol w:w="2364"/>
        <w:gridCol w:w="1546"/>
        <w:gridCol w:w="1672"/>
        <w:gridCol w:w="1903"/>
      </w:tblGrid>
      <w:tr w:rsidR="00C801A6" w:rsidRPr="00C801A6" w14:paraId="1D0290C6" w14:textId="77777777" w:rsidTr="00CB4938">
        <w:trPr>
          <w:trHeight w:val="351"/>
          <w:tblHeader/>
        </w:trPr>
        <w:tc>
          <w:tcPr>
            <w:tcW w:w="2492" w:type="dxa"/>
            <w:tcBorders>
              <w:top w:val="single" w:sz="4" w:space="0" w:color="auto"/>
              <w:bottom w:val="single" w:sz="4" w:space="0" w:color="auto"/>
            </w:tcBorders>
            <w:shd w:val="clear" w:color="auto" w:fill="E2EFD9" w:themeFill="accent6" w:themeFillTint="33"/>
          </w:tcPr>
          <w:p w14:paraId="40B5E64A" w14:textId="77777777" w:rsidR="00064FF0" w:rsidRPr="00C801A6" w:rsidRDefault="00064FF0" w:rsidP="00347FDB">
            <w:pPr>
              <w:spacing w:before="40" w:after="40"/>
              <w:jc w:val="left"/>
              <w:rPr>
                <w:rFonts w:cs="Times New Roman"/>
                <w:b/>
                <w:bCs/>
                <w:color w:val="auto"/>
                <w:sz w:val="20"/>
                <w:szCs w:val="20"/>
              </w:rPr>
            </w:pPr>
            <w:r w:rsidRPr="00C801A6">
              <w:rPr>
                <w:rFonts w:cs="Times New Roman"/>
                <w:b/>
                <w:bCs/>
                <w:color w:val="auto"/>
                <w:sz w:val="20"/>
                <w:szCs w:val="20"/>
              </w:rPr>
              <w:t>Sources d’impact</w:t>
            </w:r>
          </w:p>
        </w:tc>
        <w:tc>
          <w:tcPr>
            <w:tcW w:w="2521" w:type="dxa"/>
            <w:tcBorders>
              <w:top w:val="single" w:sz="4" w:space="0" w:color="auto"/>
              <w:bottom w:val="single" w:sz="4" w:space="0" w:color="auto"/>
            </w:tcBorders>
            <w:shd w:val="clear" w:color="auto" w:fill="E2EFD9" w:themeFill="accent6" w:themeFillTint="33"/>
          </w:tcPr>
          <w:p w14:paraId="1D506B8B" w14:textId="77777777" w:rsidR="00064FF0" w:rsidRPr="00C801A6" w:rsidRDefault="00064FF0" w:rsidP="00347FDB">
            <w:pPr>
              <w:spacing w:before="40" w:after="40"/>
              <w:jc w:val="left"/>
              <w:rPr>
                <w:rFonts w:cs="Times New Roman"/>
                <w:b/>
                <w:bCs/>
                <w:color w:val="auto"/>
                <w:sz w:val="20"/>
                <w:szCs w:val="20"/>
              </w:rPr>
            </w:pPr>
            <w:r w:rsidRPr="00C801A6">
              <w:rPr>
                <w:rFonts w:cs="Times New Roman"/>
                <w:b/>
                <w:bCs/>
                <w:color w:val="auto"/>
                <w:sz w:val="20"/>
                <w:szCs w:val="20"/>
              </w:rPr>
              <w:t>Impacts types</w:t>
            </w:r>
          </w:p>
        </w:tc>
        <w:tc>
          <w:tcPr>
            <w:tcW w:w="2777" w:type="dxa"/>
            <w:tcBorders>
              <w:top w:val="single" w:sz="4" w:space="0" w:color="auto"/>
              <w:bottom w:val="single" w:sz="4" w:space="0" w:color="auto"/>
            </w:tcBorders>
            <w:shd w:val="clear" w:color="auto" w:fill="E2EFD9" w:themeFill="accent6" w:themeFillTint="33"/>
          </w:tcPr>
          <w:p w14:paraId="313A71FD" w14:textId="77777777" w:rsidR="00064FF0" w:rsidRPr="00C801A6" w:rsidRDefault="00064FF0" w:rsidP="00347FDB">
            <w:pPr>
              <w:spacing w:before="40" w:after="40"/>
              <w:jc w:val="left"/>
              <w:rPr>
                <w:rFonts w:cs="Times New Roman"/>
                <w:b/>
                <w:color w:val="auto"/>
                <w:sz w:val="20"/>
                <w:szCs w:val="20"/>
              </w:rPr>
            </w:pPr>
            <w:r w:rsidRPr="00C801A6">
              <w:rPr>
                <w:rFonts w:cs="Times New Roman"/>
                <w:b/>
                <w:color w:val="auto"/>
                <w:sz w:val="20"/>
                <w:szCs w:val="20"/>
              </w:rPr>
              <w:t>Mesures d’atténuation types</w:t>
            </w:r>
          </w:p>
        </w:tc>
        <w:tc>
          <w:tcPr>
            <w:tcW w:w="2364" w:type="dxa"/>
            <w:tcBorders>
              <w:top w:val="single" w:sz="4" w:space="0" w:color="auto"/>
              <w:bottom w:val="single" w:sz="4" w:space="0" w:color="auto"/>
            </w:tcBorders>
            <w:shd w:val="clear" w:color="auto" w:fill="E2EFD9" w:themeFill="accent6" w:themeFillTint="33"/>
          </w:tcPr>
          <w:p w14:paraId="2A33BD1F" w14:textId="77777777" w:rsidR="00064FF0" w:rsidRPr="00C801A6" w:rsidRDefault="00064FF0" w:rsidP="00347FDB">
            <w:pPr>
              <w:spacing w:before="40" w:after="40"/>
              <w:jc w:val="left"/>
              <w:rPr>
                <w:rFonts w:cs="Times New Roman"/>
                <w:b/>
                <w:color w:val="auto"/>
                <w:sz w:val="20"/>
                <w:szCs w:val="20"/>
              </w:rPr>
            </w:pPr>
            <w:r w:rsidRPr="00C801A6">
              <w:rPr>
                <w:rFonts w:cs="Times New Roman"/>
                <w:b/>
                <w:color w:val="auto"/>
                <w:sz w:val="20"/>
                <w:szCs w:val="20"/>
              </w:rPr>
              <w:t>Indicateurs de suivi</w:t>
            </w:r>
          </w:p>
        </w:tc>
        <w:tc>
          <w:tcPr>
            <w:tcW w:w="1546" w:type="dxa"/>
            <w:tcBorders>
              <w:top w:val="single" w:sz="4" w:space="0" w:color="auto"/>
              <w:bottom w:val="single" w:sz="4" w:space="0" w:color="auto"/>
            </w:tcBorders>
            <w:shd w:val="clear" w:color="auto" w:fill="E2EFD9" w:themeFill="accent6" w:themeFillTint="33"/>
          </w:tcPr>
          <w:p w14:paraId="1DEB094F" w14:textId="77777777" w:rsidR="00064FF0" w:rsidRPr="00C801A6" w:rsidRDefault="00064FF0" w:rsidP="00347FDB">
            <w:pPr>
              <w:spacing w:before="40" w:after="40"/>
              <w:jc w:val="left"/>
              <w:rPr>
                <w:rFonts w:cs="Times New Roman"/>
                <w:b/>
                <w:color w:val="auto"/>
                <w:sz w:val="20"/>
                <w:szCs w:val="20"/>
              </w:rPr>
            </w:pPr>
            <w:r w:rsidRPr="00C801A6">
              <w:rPr>
                <w:rFonts w:cs="Times New Roman"/>
                <w:b/>
                <w:color w:val="auto"/>
                <w:sz w:val="20"/>
                <w:szCs w:val="20"/>
              </w:rPr>
              <w:t>Méthode</w:t>
            </w:r>
          </w:p>
        </w:tc>
        <w:tc>
          <w:tcPr>
            <w:tcW w:w="1672" w:type="dxa"/>
            <w:tcBorders>
              <w:top w:val="single" w:sz="4" w:space="0" w:color="auto"/>
              <w:bottom w:val="single" w:sz="4" w:space="0" w:color="auto"/>
            </w:tcBorders>
            <w:shd w:val="clear" w:color="auto" w:fill="E2EFD9" w:themeFill="accent6" w:themeFillTint="33"/>
          </w:tcPr>
          <w:p w14:paraId="5CD0D445" w14:textId="77777777" w:rsidR="00064FF0" w:rsidRPr="00C801A6" w:rsidRDefault="00064FF0" w:rsidP="00347FDB">
            <w:pPr>
              <w:spacing w:before="40" w:after="40"/>
              <w:jc w:val="left"/>
              <w:rPr>
                <w:rFonts w:cs="Times New Roman"/>
                <w:b/>
                <w:color w:val="auto"/>
                <w:sz w:val="20"/>
                <w:szCs w:val="20"/>
              </w:rPr>
            </w:pPr>
            <w:r w:rsidRPr="00C801A6">
              <w:rPr>
                <w:rFonts w:cs="Times New Roman"/>
                <w:b/>
                <w:color w:val="auto"/>
                <w:sz w:val="20"/>
                <w:szCs w:val="20"/>
              </w:rPr>
              <w:t>Mise en œuvre</w:t>
            </w:r>
          </w:p>
        </w:tc>
        <w:tc>
          <w:tcPr>
            <w:tcW w:w="1903" w:type="dxa"/>
            <w:tcBorders>
              <w:top w:val="single" w:sz="4" w:space="0" w:color="auto"/>
              <w:bottom w:val="single" w:sz="4" w:space="0" w:color="auto"/>
            </w:tcBorders>
            <w:shd w:val="clear" w:color="auto" w:fill="E2EFD9" w:themeFill="accent6" w:themeFillTint="33"/>
          </w:tcPr>
          <w:p w14:paraId="526C3A39" w14:textId="77777777" w:rsidR="00064FF0" w:rsidRPr="00C801A6" w:rsidRDefault="00064FF0" w:rsidP="00347FDB">
            <w:pPr>
              <w:spacing w:before="40" w:after="40"/>
              <w:jc w:val="left"/>
              <w:rPr>
                <w:rFonts w:cs="Times New Roman"/>
                <w:b/>
                <w:color w:val="auto"/>
                <w:sz w:val="20"/>
                <w:szCs w:val="20"/>
              </w:rPr>
            </w:pPr>
            <w:r w:rsidRPr="00C801A6">
              <w:rPr>
                <w:rFonts w:cs="Times New Roman"/>
                <w:b/>
                <w:color w:val="auto"/>
                <w:sz w:val="20"/>
                <w:szCs w:val="20"/>
              </w:rPr>
              <w:t>Calendrier</w:t>
            </w:r>
          </w:p>
        </w:tc>
      </w:tr>
      <w:tr w:rsidR="00C801A6" w:rsidRPr="00C801A6" w14:paraId="6E7D11FA" w14:textId="77777777" w:rsidTr="00CB4938">
        <w:trPr>
          <w:trHeight w:val="406"/>
        </w:trPr>
        <w:tc>
          <w:tcPr>
            <w:tcW w:w="7790" w:type="dxa"/>
            <w:gridSpan w:val="3"/>
            <w:tcBorders>
              <w:top w:val="single" w:sz="4" w:space="0" w:color="auto"/>
              <w:left w:val="single" w:sz="4" w:space="0" w:color="auto"/>
              <w:bottom w:val="single" w:sz="4" w:space="0" w:color="auto"/>
              <w:right w:val="nil"/>
            </w:tcBorders>
            <w:shd w:val="clear" w:color="auto" w:fill="F4FC88"/>
            <w:vAlign w:val="center"/>
          </w:tcPr>
          <w:p w14:paraId="0678BD45" w14:textId="77777777" w:rsidR="00064FF0" w:rsidRPr="00C801A6" w:rsidRDefault="00064FF0" w:rsidP="00347FDB">
            <w:pPr>
              <w:spacing w:before="40" w:after="40"/>
              <w:jc w:val="left"/>
              <w:rPr>
                <w:rFonts w:cs="Times New Roman"/>
                <w:b/>
                <w:bCs/>
                <w:color w:val="auto"/>
                <w:sz w:val="20"/>
                <w:szCs w:val="20"/>
              </w:rPr>
            </w:pPr>
            <w:r w:rsidRPr="00C801A6">
              <w:rPr>
                <w:rFonts w:cs="Times New Roman"/>
                <w:b/>
                <w:bCs/>
                <w:color w:val="auto"/>
                <w:sz w:val="20"/>
                <w:szCs w:val="20"/>
              </w:rPr>
              <w:t>Phase préparatoire et de mise en place des installations</w:t>
            </w:r>
          </w:p>
        </w:tc>
        <w:tc>
          <w:tcPr>
            <w:tcW w:w="2364" w:type="dxa"/>
            <w:tcBorders>
              <w:top w:val="single" w:sz="4" w:space="0" w:color="auto"/>
              <w:left w:val="nil"/>
              <w:bottom w:val="single" w:sz="4" w:space="0" w:color="auto"/>
              <w:right w:val="nil"/>
            </w:tcBorders>
            <w:shd w:val="clear" w:color="auto" w:fill="F4FC88"/>
          </w:tcPr>
          <w:p w14:paraId="6101C287" w14:textId="77777777" w:rsidR="00064FF0" w:rsidRPr="00C801A6" w:rsidRDefault="00064FF0" w:rsidP="00347FDB">
            <w:pPr>
              <w:spacing w:before="40" w:after="40"/>
              <w:jc w:val="left"/>
              <w:rPr>
                <w:rFonts w:cs="Times New Roman"/>
                <w:b/>
                <w:bCs/>
                <w:color w:val="auto"/>
                <w:sz w:val="20"/>
                <w:szCs w:val="20"/>
              </w:rPr>
            </w:pPr>
          </w:p>
        </w:tc>
        <w:tc>
          <w:tcPr>
            <w:tcW w:w="1546" w:type="dxa"/>
            <w:tcBorders>
              <w:top w:val="single" w:sz="4" w:space="0" w:color="auto"/>
              <w:left w:val="nil"/>
              <w:bottom w:val="single" w:sz="4" w:space="0" w:color="auto"/>
              <w:right w:val="nil"/>
            </w:tcBorders>
            <w:shd w:val="clear" w:color="auto" w:fill="F4FC88"/>
          </w:tcPr>
          <w:p w14:paraId="1B90934E" w14:textId="77777777" w:rsidR="00064FF0" w:rsidRPr="00C801A6" w:rsidRDefault="00064FF0" w:rsidP="00347FDB">
            <w:pPr>
              <w:spacing w:before="40" w:after="40"/>
              <w:jc w:val="left"/>
              <w:rPr>
                <w:rFonts w:cs="Times New Roman"/>
                <w:b/>
                <w:bCs/>
                <w:color w:val="auto"/>
                <w:sz w:val="20"/>
                <w:szCs w:val="20"/>
              </w:rPr>
            </w:pPr>
          </w:p>
        </w:tc>
        <w:tc>
          <w:tcPr>
            <w:tcW w:w="1672" w:type="dxa"/>
            <w:tcBorders>
              <w:top w:val="single" w:sz="4" w:space="0" w:color="auto"/>
              <w:left w:val="nil"/>
              <w:bottom w:val="single" w:sz="4" w:space="0" w:color="auto"/>
              <w:right w:val="nil"/>
            </w:tcBorders>
            <w:shd w:val="clear" w:color="auto" w:fill="F4FC88"/>
          </w:tcPr>
          <w:p w14:paraId="146FDE25" w14:textId="77777777" w:rsidR="00064FF0" w:rsidRPr="00C801A6" w:rsidRDefault="00064FF0" w:rsidP="00347FDB">
            <w:pPr>
              <w:spacing w:before="40" w:after="40"/>
              <w:jc w:val="left"/>
              <w:rPr>
                <w:rFonts w:cs="Times New Roman"/>
                <w:b/>
                <w:bCs/>
                <w:color w:val="auto"/>
                <w:sz w:val="20"/>
                <w:szCs w:val="20"/>
              </w:rPr>
            </w:pPr>
          </w:p>
        </w:tc>
        <w:tc>
          <w:tcPr>
            <w:tcW w:w="1903" w:type="dxa"/>
            <w:tcBorders>
              <w:top w:val="single" w:sz="4" w:space="0" w:color="auto"/>
              <w:left w:val="nil"/>
              <w:bottom w:val="single" w:sz="4" w:space="0" w:color="auto"/>
              <w:right w:val="single" w:sz="4" w:space="0" w:color="auto"/>
            </w:tcBorders>
            <w:shd w:val="clear" w:color="auto" w:fill="F4FC88"/>
          </w:tcPr>
          <w:p w14:paraId="22A9FDDF" w14:textId="77777777" w:rsidR="00064FF0" w:rsidRPr="00C801A6" w:rsidRDefault="00064FF0" w:rsidP="00347FDB">
            <w:pPr>
              <w:spacing w:before="40" w:after="40"/>
              <w:jc w:val="left"/>
              <w:rPr>
                <w:rFonts w:cs="Times New Roman"/>
                <w:b/>
                <w:bCs/>
                <w:color w:val="auto"/>
                <w:sz w:val="20"/>
                <w:szCs w:val="20"/>
              </w:rPr>
            </w:pPr>
          </w:p>
        </w:tc>
      </w:tr>
      <w:tr w:rsidR="00C801A6" w:rsidRPr="00C801A6" w14:paraId="2C5C716A" w14:textId="77777777" w:rsidTr="00CB4938">
        <w:trPr>
          <w:trHeight w:val="526"/>
        </w:trPr>
        <w:tc>
          <w:tcPr>
            <w:tcW w:w="2492" w:type="dxa"/>
            <w:vMerge w:val="restart"/>
            <w:tcBorders>
              <w:top w:val="single" w:sz="4" w:space="0" w:color="auto"/>
            </w:tcBorders>
          </w:tcPr>
          <w:p w14:paraId="4F2785FA"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Débroussaillage / Décapage</w:t>
            </w:r>
          </w:p>
        </w:tc>
        <w:tc>
          <w:tcPr>
            <w:tcW w:w="2521" w:type="dxa"/>
            <w:tcBorders>
              <w:top w:val="single" w:sz="4" w:space="0" w:color="auto"/>
            </w:tcBorders>
          </w:tcPr>
          <w:p w14:paraId="3A4B9FDD"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Disparition d’une partie de la couverture végétale</w:t>
            </w:r>
          </w:p>
        </w:tc>
        <w:tc>
          <w:tcPr>
            <w:tcW w:w="2777" w:type="dxa"/>
            <w:tcBorders>
              <w:top w:val="single" w:sz="4" w:space="0" w:color="auto"/>
            </w:tcBorders>
          </w:tcPr>
          <w:p w14:paraId="0240A52D"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Limiter le débroussaillage au strict nécessaire</w:t>
            </w:r>
          </w:p>
        </w:tc>
        <w:tc>
          <w:tcPr>
            <w:tcW w:w="2364" w:type="dxa"/>
            <w:tcBorders>
              <w:top w:val="single" w:sz="4" w:space="0" w:color="auto"/>
            </w:tcBorders>
          </w:tcPr>
          <w:p w14:paraId="050D5231" w14:textId="77777777" w:rsidR="00064FF0" w:rsidRPr="00C801A6" w:rsidRDefault="00064FF0" w:rsidP="00844538">
            <w:pPr>
              <w:pStyle w:val="ListParagraph"/>
              <w:numPr>
                <w:ilvl w:val="0"/>
                <w:numId w:val="28"/>
              </w:numPr>
              <w:spacing w:before="40" w:after="40" w:line="276" w:lineRule="auto"/>
              <w:ind w:left="142" w:hanging="142"/>
              <w:contextualSpacing w:val="0"/>
              <w:jc w:val="left"/>
              <w:rPr>
                <w:rFonts w:cs="Times New Roman"/>
                <w:color w:val="auto"/>
                <w:sz w:val="20"/>
                <w:szCs w:val="20"/>
              </w:rPr>
            </w:pPr>
            <w:r w:rsidRPr="00C801A6">
              <w:rPr>
                <w:rFonts w:cs="Times New Roman"/>
                <w:color w:val="auto"/>
                <w:sz w:val="20"/>
                <w:szCs w:val="20"/>
              </w:rPr>
              <w:t>Surfaces débroussaillées</w:t>
            </w:r>
          </w:p>
        </w:tc>
        <w:tc>
          <w:tcPr>
            <w:tcW w:w="1546" w:type="dxa"/>
            <w:tcBorders>
              <w:top w:val="single" w:sz="4" w:space="0" w:color="auto"/>
            </w:tcBorders>
          </w:tcPr>
          <w:p w14:paraId="6B16E709"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Estimations</w:t>
            </w:r>
          </w:p>
        </w:tc>
        <w:tc>
          <w:tcPr>
            <w:tcW w:w="1672" w:type="dxa"/>
            <w:tcBorders>
              <w:top w:val="single" w:sz="4" w:space="0" w:color="auto"/>
            </w:tcBorders>
          </w:tcPr>
          <w:p w14:paraId="68AA2ECE"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 xml:space="preserve">Entreprise </w:t>
            </w:r>
          </w:p>
          <w:p w14:paraId="63D29124"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MdC</w:t>
            </w:r>
          </w:p>
        </w:tc>
        <w:tc>
          <w:tcPr>
            <w:tcW w:w="1903" w:type="dxa"/>
            <w:tcBorders>
              <w:top w:val="single" w:sz="4" w:space="0" w:color="auto"/>
            </w:tcBorders>
          </w:tcPr>
          <w:p w14:paraId="2016F908"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Avant exploitation</w:t>
            </w:r>
          </w:p>
        </w:tc>
      </w:tr>
      <w:tr w:rsidR="00C801A6" w:rsidRPr="00C801A6" w14:paraId="1FB39753" w14:textId="77777777" w:rsidTr="00CB4938">
        <w:trPr>
          <w:trHeight w:val="351"/>
        </w:trPr>
        <w:tc>
          <w:tcPr>
            <w:tcW w:w="2492" w:type="dxa"/>
            <w:vMerge/>
          </w:tcPr>
          <w:p w14:paraId="7177AA40" w14:textId="77777777" w:rsidR="00064FF0" w:rsidRPr="00C801A6" w:rsidRDefault="00064FF0" w:rsidP="00347FDB">
            <w:pPr>
              <w:spacing w:before="40" w:after="40"/>
              <w:jc w:val="left"/>
              <w:rPr>
                <w:rFonts w:cs="Times New Roman"/>
                <w:color w:val="auto"/>
                <w:sz w:val="20"/>
                <w:szCs w:val="20"/>
              </w:rPr>
            </w:pPr>
          </w:p>
        </w:tc>
        <w:tc>
          <w:tcPr>
            <w:tcW w:w="2521" w:type="dxa"/>
          </w:tcPr>
          <w:p w14:paraId="16CB42AD"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Risques d’amorce d’érosion</w:t>
            </w:r>
          </w:p>
        </w:tc>
        <w:tc>
          <w:tcPr>
            <w:tcW w:w="2777" w:type="dxa"/>
          </w:tcPr>
          <w:p w14:paraId="0EC9B035"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Rétablir la circulation naturelle des eaux de pluie</w:t>
            </w:r>
          </w:p>
        </w:tc>
        <w:tc>
          <w:tcPr>
            <w:tcW w:w="2364" w:type="dxa"/>
          </w:tcPr>
          <w:p w14:paraId="6A798E0F" w14:textId="77777777" w:rsidR="00064FF0" w:rsidRPr="00C801A6" w:rsidRDefault="00064FF0" w:rsidP="00844538">
            <w:pPr>
              <w:pStyle w:val="ListParagraph"/>
              <w:numPr>
                <w:ilvl w:val="0"/>
                <w:numId w:val="28"/>
              </w:numPr>
              <w:spacing w:before="40" w:after="40" w:line="276" w:lineRule="auto"/>
              <w:ind w:left="142" w:hanging="142"/>
              <w:contextualSpacing w:val="0"/>
              <w:jc w:val="left"/>
              <w:rPr>
                <w:rFonts w:cs="Times New Roman"/>
                <w:color w:val="auto"/>
                <w:sz w:val="20"/>
                <w:szCs w:val="20"/>
              </w:rPr>
            </w:pPr>
            <w:r w:rsidRPr="00C801A6">
              <w:rPr>
                <w:rFonts w:cs="Times New Roman"/>
                <w:color w:val="auto"/>
                <w:sz w:val="20"/>
                <w:szCs w:val="20"/>
              </w:rPr>
              <w:t>Nombre d’amorces d’érosion</w:t>
            </w:r>
          </w:p>
        </w:tc>
        <w:tc>
          <w:tcPr>
            <w:tcW w:w="1546" w:type="dxa"/>
          </w:tcPr>
          <w:p w14:paraId="544BC71D"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Comptage</w:t>
            </w:r>
          </w:p>
        </w:tc>
        <w:tc>
          <w:tcPr>
            <w:tcW w:w="1672" w:type="dxa"/>
          </w:tcPr>
          <w:p w14:paraId="7A22926D"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 xml:space="preserve">Entreprise </w:t>
            </w:r>
          </w:p>
          <w:p w14:paraId="1B585935"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MdC</w:t>
            </w:r>
          </w:p>
        </w:tc>
        <w:tc>
          <w:tcPr>
            <w:tcW w:w="1903" w:type="dxa"/>
          </w:tcPr>
          <w:p w14:paraId="2763189A"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Avant exploitation</w:t>
            </w:r>
          </w:p>
        </w:tc>
      </w:tr>
      <w:tr w:rsidR="00C801A6" w:rsidRPr="00C801A6" w14:paraId="01F37812" w14:textId="77777777" w:rsidTr="00CB4938">
        <w:tc>
          <w:tcPr>
            <w:tcW w:w="2492" w:type="dxa"/>
          </w:tcPr>
          <w:p w14:paraId="47C11AA7"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Travaux préparatoires et de construction</w:t>
            </w:r>
          </w:p>
        </w:tc>
        <w:tc>
          <w:tcPr>
            <w:tcW w:w="2521" w:type="dxa"/>
          </w:tcPr>
          <w:p w14:paraId="562847CB"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Emissions de bruits et de poussières</w:t>
            </w:r>
          </w:p>
        </w:tc>
        <w:tc>
          <w:tcPr>
            <w:tcW w:w="2777" w:type="dxa"/>
          </w:tcPr>
          <w:p w14:paraId="62570964"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Doter les ouvriers d’EPI appropriés</w:t>
            </w:r>
          </w:p>
        </w:tc>
        <w:tc>
          <w:tcPr>
            <w:tcW w:w="2364" w:type="dxa"/>
          </w:tcPr>
          <w:p w14:paraId="40102894" w14:textId="77777777" w:rsidR="00064FF0" w:rsidRPr="00C801A6" w:rsidRDefault="00064FF0" w:rsidP="00844538">
            <w:pPr>
              <w:pStyle w:val="ListParagraph"/>
              <w:numPr>
                <w:ilvl w:val="0"/>
                <w:numId w:val="28"/>
              </w:numPr>
              <w:spacing w:before="40" w:after="40" w:line="276" w:lineRule="auto"/>
              <w:ind w:left="142" w:hanging="142"/>
              <w:contextualSpacing w:val="0"/>
              <w:jc w:val="left"/>
              <w:rPr>
                <w:rFonts w:cs="Times New Roman"/>
                <w:color w:val="auto"/>
                <w:sz w:val="20"/>
                <w:szCs w:val="20"/>
              </w:rPr>
            </w:pPr>
            <w:r w:rsidRPr="00C801A6">
              <w:rPr>
                <w:rFonts w:cs="Times New Roman"/>
                <w:color w:val="auto"/>
                <w:sz w:val="20"/>
                <w:szCs w:val="20"/>
              </w:rPr>
              <w:t>% d’ouvriers dotés d’EPI appropriés</w:t>
            </w:r>
          </w:p>
        </w:tc>
        <w:tc>
          <w:tcPr>
            <w:tcW w:w="1546" w:type="dxa"/>
          </w:tcPr>
          <w:p w14:paraId="46F19B25"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Calcul</w:t>
            </w:r>
          </w:p>
        </w:tc>
        <w:tc>
          <w:tcPr>
            <w:tcW w:w="1672" w:type="dxa"/>
          </w:tcPr>
          <w:p w14:paraId="3DD9AB11"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 xml:space="preserve">Entreprise </w:t>
            </w:r>
          </w:p>
          <w:p w14:paraId="62846FBC"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MdC</w:t>
            </w:r>
          </w:p>
        </w:tc>
        <w:tc>
          <w:tcPr>
            <w:tcW w:w="1903" w:type="dxa"/>
          </w:tcPr>
          <w:p w14:paraId="0DBF60DB"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Avant exploitation</w:t>
            </w:r>
          </w:p>
        </w:tc>
      </w:tr>
      <w:tr w:rsidR="00C801A6" w:rsidRPr="00C801A6" w14:paraId="4F9B2606" w14:textId="77777777" w:rsidTr="00CB4938">
        <w:tc>
          <w:tcPr>
            <w:tcW w:w="2492" w:type="dxa"/>
          </w:tcPr>
          <w:p w14:paraId="7451FB17"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Terrassements</w:t>
            </w:r>
          </w:p>
        </w:tc>
        <w:tc>
          <w:tcPr>
            <w:tcW w:w="2521" w:type="dxa"/>
          </w:tcPr>
          <w:p w14:paraId="081A962D"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Augmentation de la compacité du sol et réduction subséquente de l’infiltration de l’eau</w:t>
            </w:r>
          </w:p>
        </w:tc>
        <w:tc>
          <w:tcPr>
            <w:tcW w:w="2777" w:type="dxa"/>
          </w:tcPr>
          <w:p w14:paraId="7EFFE747"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Embroussailler la plateforme après exploitation pour augmenter progressivement la capacité d’infiltration</w:t>
            </w:r>
          </w:p>
        </w:tc>
        <w:tc>
          <w:tcPr>
            <w:tcW w:w="2364" w:type="dxa"/>
          </w:tcPr>
          <w:p w14:paraId="3A589211" w14:textId="77777777" w:rsidR="00064FF0" w:rsidRPr="00C801A6" w:rsidRDefault="00064FF0" w:rsidP="00844538">
            <w:pPr>
              <w:pStyle w:val="ListParagraph"/>
              <w:numPr>
                <w:ilvl w:val="0"/>
                <w:numId w:val="28"/>
              </w:numPr>
              <w:spacing w:before="40" w:after="40" w:line="276" w:lineRule="auto"/>
              <w:ind w:left="142" w:hanging="142"/>
              <w:contextualSpacing w:val="0"/>
              <w:jc w:val="left"/>
              <w:rPr>
                <w:rFonts w:cs="Times New Roman"/>
                <w:color w:val="auto"/>
                <w:sz w:val="20"/>
                <w:szCs w:val="20"/>
              </w:rPr>
            </w:pPr>
            <w:r w:rsidRPr="00C801A6">
              <w:rPr>
                <w:rFonts w:cs="Times New Roman"/>
                <w:color w:val="auto"/>
                <w:sz w:val="20"/>
                <w:szCs w:val="20"/>
              </w:rPr>
              <w:t>Surfaces embroussaillées</w:t>
            </w:r>
          </w:p>
        </w:tc>
        <w:tc>
          <w:tcPr>
            <w:tcW w:w="1546" w:type="dxa"/>
          </w:tcPr>
          <w:p w14:paraId="72E87901"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Estimation</w:t>
            </w:r>
          </w:p>
        </w:tc>
        <w:tc>
          <w:tcPr>
            <w:tcW w:w="1672" w:type="dxa"/>
          </w:tcPr>
          <w:p w14:paraId="5B770B9B"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 xml:space="preserve">Entreprise </w:t>
            </w:r>
          </w:p>
          <w:p w14:paraId="0105170C"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MdC</w:t>
            </w:r>
          </w:p>
        </w:tc>
        <w:tc>
          <w:tcPr>
            <w:tcW w:w="1903" w:type="dxa"/>
          </w:tcPr>
          <w:p w14:paraId="3B51E3C1"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Avant fermeture</w:t>
            </w:r>
          </w:p>
        </w:tc>
      </w:tr>
      <w:tr w:rsidR="00C801A6" w:rsidRPr="00C801A6" w14:paraId="1562E569" w14:textId="77777777" w:rsidTr="00CB4938">
        <w:trPr>
          <w:trHeight w:val="589"/>
        </w:trPr>
        <w:tc>
          <w:tcPr>
            <w:tcW w:w="2492" w:type="dxa"/>
            <w:vMerge w:val="restart"/>
          </w:tcPr>
          <w:p w14:paraId="0E0EA15B"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Amélioration des voies d’accès : déblais (purge des bourbiers) et remblais / déblais</w:t>
            </w:r>
          </w:p>
        </w:tc>
        <w:tc>
          <w:tcPr>
            <w:tcW w:w="2521" w:type="dxa"/>
          </w:tcPr>
          <w:p w14:paraId="6250C61F"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Risques de modification de l’écoulement naturel des eaux</w:t>
            </w:r>
          </w:p>
        </w:tc>
        <w:tc>
          <w:tcPr>
            <w:tcW w:w="2777" w:type="dxa"/>
          </w:tcPr>
          <w:p w14:paraId="4FCD7797"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Aménager des fossés pour l’évacuation des eaux de pluie</w:t>
            </w:r>
          </w:p>
        </w:tc>
        <w:tc>
          <w:tcPr>
            <w:tcW w:w="2364" w:type="dxa"/>
          </w:tcPr>
          <w:p w14:paraId="1871BE04" w14:textId="77777777" w:rsidR="00064FF0" w:rsidRPr="00C801A6" w:rsidRDefault="00064FF0" w:rsidP="00844538">
            <w:pPr>
              <w:pStyle w:val="ListParagraph"/>
              <w:numPr>
                <w:ilvl w:val="0"/>
                <w:numId w:val="28"/>
              </w:numPr>
              <w:spacing w:before="40" w:after="40" w:line="276" w:lineRule="auto"/>
              <w:ind w:left="142" w:hanging="142"/>
              <w:contextualSpacing w:val="0"/>
              <w:jc w:val="left"/>
              <w:rPr>
                <w:rFonts w:cs="Times New Roman"/>
                <w:color w:val="auto"/>
                <w:sz w:val="20"/>
                <w:szCs w:val="20"/>
              </w:rPr>
            </w:pPr>
            <w:r w:rsidRPr="00C801A6">
              <w:rPr>
                <w:rFonts w:cs="Times New Roman"/>
                <w:color w:val="auto"/>
                <w:sz w:val="20"/>
                <w:szCs w:val="20"/>
              </w:rPr>
              <w:t>Longueur de caniveaux créés</w:t>
            </w:r>
          </w:p>
        </w:tc>
        <w:tc>
          <w:tcPr>
            <w:tcW w:w="1546" w:type="dxa"/>
          </w:tcPr>
          <w:p w14:paraId="5E9350FB"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Estimation</w:t>
            </w:r>
          </w:p>
        </w:tc>
        <w:tc>
          <w:tcPr>
            <w:tcW w:w="1672" w:type="dxa"/>
          </w:tcPr>
          <w:p w14:paraId="5496897F"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 xml:space="preserve">Entreprise </w:t>
            </w:r>
          </w:p>
          <w:p w14:paraId="2E259E96"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MdC</w:t>
            </w:r>
          </w:p>
        </w:tc>
        <w:tc>
          <w:tcPr>
            <w:tcW w:w="1903" w:type="dxa"/>
          </w:tcPr>
          <w:p w14:paraId="7441A4F9"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Au fur et à mesure de l’exploitation</w:t>
            </w:r>
          </w:p>
        </w:tc>
      </w:tr>
      <w:tr w:rsidR="00C801A6" w:rsidRPr="00C801A6" w14:paraId="32F0B845" w14:textId="77777777" w:rsidTr="00CB4938">
        <w:trPr>
          <w:trHeight w:val="288"/>
        </w:trPr>
        <w:tc>
          <w:tcPr>
            <w:tcW w:w="2492" w:type="dxa"/>
            <w:vMerge/>
          </w:tcPr>
          <w:p w14:paraId="0E07B7DA" w14:textId="77777777" w:rsidR="00064FF0" w:rsidRPr="00C801A6" w:rsidRDefault="00064FF0" w:rsidP="00347FDB">
            <w:pPr>
              <w:spacing w:before="40" w:after="40"/>
              <w:jc w:val="left"/>
              <w:rPr>
                <w:rFonts w:cs="Times New Roman"/>
                <w:color w:val="auto"/>
                <w:sz w:val="20"/>
                <w:szCs w:val="20"/>
              </w:rPr>
            </w:pPr>
          </w:p>
        </w:tc>
        <w:tc>
          <w:tcPr>
            <w:tcW w:w="2521" w:type="dxa"/>
          </w:tcPr>
          <w:p w14:paraId="5924DD57"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Stabilité des talus</w:t>
            </w:r>
          </w:p>
        </w:tc>
        <w:tc>
          <w:tcPr>
            <w:tcW w:w="2777" w:type="dxa"/>
          </w:tcPr>
          <w:p w14:paraId="764C46D1"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Stabiliser mécaniquement ou biologiquement les talus</w:t>
            </w:r>
          </w:p>
        </w:tc>
        <w:tc>
          <w:tcPr>
            <w:tcW w:w="2364" w:type="dxa"/>
          </w:tcPr>
          <w:p w14:paraId="6745B590" w14:textId="77777777" w:rsidR="00064FF0" w:rsidRPr="00C801A6" w:rsidRDefault="00064FF0" w:rsidP="00844538">
            <w:pPr>
              <w:pStyle w:val="ListParagraph"/>
              <w:numPr>
                <w:ilvl w:val="0"/>
                <w:numId w:val="28"/>
              </w:numPr>
              <w:spacing w:before="40" w:after="40" w:line="276" w:lineRule="auto"/>
              <w:ind w:left="142" w:hanging="142"/>
              <w:contextualSpacing w:val="0"/>
              <w:jc w:val="left"/>
              <w:rPr>
                <w:rFonts w:cs="Times New Roman"/>
                <w:color w:val="auto"/>
                <w:sz w:val="20"/>
                <w:szCs w:val="20"/>
              </w:rPr>
            </w:pPr>
            <w:r w:rsidRPr="00C801A6">
              <w:rPr>
                <w:rFonts w:cs="Times New Roman"/>
                <w:color w:val="auto"/>
                <w:sz w:val="20"/>
                <w:szCs w:val="20"/>
              </w:rPr>
              <w:t xml:space="preserve">Ratio </w:t>
            </w:r>
            <m:oMath>
              <m:f>
                <m:fPr>
                  <m:ctrlPr>
                    <w:rPr>
                      <w:rFonts w:ascii="Cambria Math" w:hAnsi="Cambria Math" w:cs="Times New Roman"/>
                      <w:color w:val="auto"/>
                      <w:sz w:val="20"/>
                      <w:szCs w:val="20"/>
                    </w:rPr>
                  </m:ctrlPr>
                </m:fPr>
                <m:num>
                  <m:r>
                    <m:rPr>
                      <m:sty m:val="p"/>
                    </m:rPr>
                    <w:rPr>
                      <w:rFonts w:ascii="Cambria Math" w:hAnsi="Cambria Math" w:cs="Times New Roman"/>
                      <w:color w:val="auto"/>
                      <w:sz w:val="20"/>
                      <w:szCs w:val="20"/>
                    </w:rPr>
                    <m:t>Surface talus stabilisés</m:t>
                  </m:r>
                </m:num>
                <m:den>
                  <m:r>
                    <m:rPr>
                      <m:sty m:val="p"/>
                    </m:rPr>
                    <w:rPr>
                      <w:rFonts w:ascii="Cambria Math" w:hAnsi="Cambria Math" w:cs="Times New Roman"/>
                      <w:color w:val="auto"/>
                      <w:sz w:val="20"/>
                      <w:szCs w:val="20"/>
                    </w:rPr>
                    <m:t>Surface talus créés</m:t>
                  </m:r>
                </m:den>
              </m:f>
            </m:oMath>
          </w:p>
        </w:tc>
        <w:tc>
          <w:tcPr>
            <w:tcW w:w="1546" w:type="dxa"/>
          </w:tcPr>
          <w:p w14:paraId="7853360B" w14:textId="77777777" w:rsidR="00064FF0" w:rsidRPr="00C801A6" w:rsidRDefault="00064FF0" w:rsidP="00347FDB">
            <w:pPr>
              <w:spacing w:before="40" w:after="40"/>
              <w:jc w:val="left"/>
              <w:rPr>
                <w:rFonts w:cs="Times New Roman"/>
                <w:color w:val="auto"/>
                <w:sz w:val="20"/>
                <w:szCs w:val="20"/>
              </w:rPr>
            </w:pPr>
          </w:p>
        </w:tc>
        <w:tc>
          <w:tcPr>
            <w:tcW w:w="1672" w:type="dxa"/>
          </w:tcPr>
          <w:p w14:paraId="2B4D30F2"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 xml:space="preserve">Entreprise </w:t>
            </w:r>
          </w:p>
          <w:p w14:paraId="4B5B6B96"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MdC</w:t>
            </w:r>
          </w:p>
        </w:tc>
        <w:tc>
          <w:tcPr>
            <w:tcW w:w="1903" w:type="dxa"/>
          </w:tcPr>
          <w:p w14:paraId="0D3B31C3"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Au fur et à mesure de l’exploitation</w:t>
            </w:r>
          </w:p>
        </w:tc>
      </w:tr>
      <w:tr w:rsidR="00C801A6" w:rsidRPr="00C801A6" w14:paraId="0B9051FA" w14:textId="77777777" w:rsidTr="00CB4938">
        <w:trPr>
          <w:trHeight w:val="776"/>
        </w:trPr>
        <w:tc>
          <w:tcPr>
            <w:tcW w:w="2492" w:type="dxa"/>
            <w:vMerge w:val="restart"/>
          </w:tcPr>
          <w:p w14:paraId="57D9EBE8"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Stockage de gazole</w:t>
            </w:r>
          </w:p>
        </w:tc>
        <w:tc>
          <w:tcPr>
            <w:tcW w:w="2521" w:type="dxa"/>
          </w:tcPr>
          <w:p w14:paraId="5E3C1000"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Risques de fuites ou de déversements accidentels d’hydrocarbures et pollution subséquente</w:t>
            </w:r>
          </w:p>
        </w:tc>
        <w:tc>
          <w:tcPr>
            <w:tcW w:w="2777" w:type="dxa"/>
          </w:tcPr>
          <w:p w14:paraId="413EBF58"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Stocker le gazole sur une aire imperméabilisée ou sur bâche</w:t>
            </w:r>
          </w:p>
        </w:tc>
        <w:tc>
          <w:tcPr>
            <w:tcW w:w="2364" w:type="dxa"/>
          </w:tcPr>
          <w:p w14:paraId="1F3F69AA" w14:textId="77777777" w:rsidR="00064FF0" w:rsidRPr="00C801A6" w:rsidRDefault="00064FF0" w:rsidP="00844538">
            <w:pPr>
              <w:pStyle w:val="ListParagraph"/>
              <w:numPr>
                <w:ilvl w:val="0"/>
                <w:numId w:val="28"/>
              </w:numPr>
              <w:spacing w:before="40" w:after="40" w:line="276" w:lineRule="auto"/>
              <w:ind w:left="142" w:hanging="142"/>
              <w:contextualSpacing w:val="0"/>
              <w:jc w:val="left"/>
              <w:rPr>
                <w:rFonts w:cs="Times New Roman"/>
                <w:color w:val="auto"/>
                <w:sz w:val="20"/>
                <w:szCs w:val="20"/>
              </w:rPr>
            </w:pPr>
            <w:r w:rsidRPr="00C801A6">
              <w:rPr>
                <w:rFonts w:cs="Times New Roman"/>
                <w:color w:val="auto"/>
                <w:sz w:val="20"/>
                <w:szCs w:val="20"/>
              </w:rPr>
              <w:t>Nombre de fuites d’hydrocarbures</w:t>
            </w:r>
          </w:p>
          <w:p w14:paraId="5EC5584D" w14:textId="77777777" w:rsidR="00064FF0" w:rsidRPr="00C801A6" w:rsidRDefault="00064FF0" w:rsidP="00844538">
            <w:pPr>
              <w:pStyle w:val="ListParagraph"/>
              <w:numPr>
                <w:ilvl w:val="0"/>
                <w:numId w:val="28"/>
              </w:numPr>
              <w:spacing w:before="40" w:after="40" w:line="276" w:lineRule="auto"/>
              <w:ind w:left="142" w:hanging="142"/>
              <w:contextualSpacing w:val="0"/>
              <w:jc w:val="left"/>
              <w:rPr>
                <w:rFonts w:cs="Times New Roman"/>
                <w:color w:val="auto"/>
                <w:sz w:val="20"/>
                <w:szCs w:val="20"/>
              </w:rPr>
            </w:pPr>
            <w:r w:rsidRPr="00C801A6">
              <w:rPr>
                <w:rFonts w:cs="Times New Roman"/>
                <w:color w:val="auto"/>
                <w:sz w:val="20"/>
                <w:szCs w:val="20"/>
              </w:rPr>
              <w:t>Surface polluées</w:t>
            </w:r>
          </w:p>
        </w:tc>
        <w:tc>
          <w:tcPr>
            <w:tcW w:w="1546" w:type="dxa"/>
          </w:tcPr>
          <w:p w14:paraId="53D96EFE"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Estimation</w:t>
            </w:r>
          </w:p>
        </w:tc>
        <w:tc>
          <w:tcPr>
            <w:tcW w:w="1672" w:type="dxa"/>
          </w:tcPr>
          <w:p w14:paraId="5783EB20"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 xml:space="preserve">Entreprise </w:t>
            </w:r>
          </w:p>
          <w:p w14:paraId="7AE01731"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MdC</w:t>
            </w:r>
          </w:p>
        </w:tc>
        <w:tc>
          <w:tcPr>
            <w:tcW w:w="1903" w:type="dxa"/>
          </w:tcPr>
          <w:p w14:paraId="01E6BA93"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Au moment de l’exploitation</w:t>
            </w:r>
          </w:p>
        </w:tc>
      </w:tr>
      <w:tr w:rsidR="00C801A6" w:rsidRPr="00C801A6" w14:paraId="1D52E10F" w14:textId="77777777" w:rsidTr="00CB4938">
        <w:trPr>
          <w:trHeight w:val="376"/>
        </w:trPr>
        <w:tc>
          <w:tcPr>
            <w:tcW w:w="2492" w:type="dxa"/>
            <w:vMerge/>
          </w:tcPr>
          <w:p w14:paraId="3AA59C9E" w14:textId="77777777" w:rsidR="00064FF0" w:rsidRPr="00C801A6" w:rsidRDefault="00064FF0" w:rsidP="00347FDB">
            <w:pPr>
              <w:spacing w:before="40" w:after="40"/>
              <w:jc w:val="left"/>
              <w:rPr>
                <w:rFonts w:cs="Times New Roman"/>
                <w:color w:val="auto"/>
                <w:sz w:val="20"/>
                <w:szCs w:val="20"/>
              </w:rPr>
            </w:pPr>
          </w:p>
        </w:tc>
        <w:tc>
          <w:tcPr>
            <w:tcW w:w="2521" w:type="dxa"/>
          </w:tcPr>
          <w:p w14:paraId="7E763E17"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Risques d’incendie</w:t>
            </w:r>
          </w:p>
        </w:tc>
        <w:tc>
          <w:tcPr>
            <w:tcW w:w="2777" w:type="dxa"/>
          </w:tcPr>
          <w:p w14:paraId="1938EE12"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Sécuriser le site de stockage</w:t>
            </w:r>
          </w:p>
          <w:p w14:paraId="3811E9CD"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Pas de feu dans un rayon de 10m</w:t>
            </w:r>
          </w:p>
        </w:tc>
        <w:tc>
          <w:tcPr>
            <w:tcW w:w="2364" w:type="dxa"/>
          </w:tcPr>
          <w:p w14:paraId="22433F55" w14:textId="77777777" w:rsidR="00064FF0" w:rsidRPr="00C801A6" w:rsidRDefault="00064FF0" w:rsidP="00844538">
            <w:pPr>
              <w:pStyle w:val="ListParagraph"/>
              <w:numPr>
                <w:ilvl w:val="0"/>
                <w:numId w:val="28"/>
              </w:numPr>
              <w:spacing w:before="40" w:after="40" w:line="276" w:lineRule="auto"/>
              <w:ind w:left="142" w:hanging="142"/>
              <w:contextualSpacing w:val="0"/>
              <w:jc w:val="left"/>
              <w:rPr>
                <w:rFonts w:cs="Times New Roman"/>
                <w:color w:val="auto"/>
                <w:sz w:val="20"/>
                <w:szCs w:val="20"/>
              </w:rPr>
            </w:pPr>
            <w:r w:rsidRPr="00C801A6">
              <w:rPr>
                <w:rFonts w:cs="Times New Roman"/>
                <w:color w:val="auto"/>
                <w:sz w:val="20"/>
                <w:szCs w:val="20"/>
              </w:rPr>
              <w:t>Nombre de départs d’incendie</w:t>
            </w:r>
          </w:p>
        </w:tc>
        <w:tc>
          <w:tcPr>
            <w:tcW w:w="1546" w:type="dxa"/>
          </w:tcPr>
          <w:p w14:paraId="08E15BE6"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Comptage</w:t>
            </w:r>
          </w:p>
        </w:tc>
        <w:tc>
          <w:tcPr>
            <w:tcW w:w="1672" w:type="dxa"/>
          </w:tcPr>
          <w:p w14:paraId="488F4CFD"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 xml:space="preserve">Entreprise </w:t>
            </w:r>
          </w:p>
          <w:p w14:paraId="3C8955DC"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MdC</w:t>
            </w:r>
          </w:p>
        </w:tc>
        <w:tc>
          <w:tcPr>
            <w:tcW w:w="1903" w:type="dxa"/>
          </w:tcPr>
          <w:p w14:paraId="7BAFAB7D"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Au moment de l’exploitation</w:t>
            </w:r>
          </w:p>
        </w:tc>
      </w:tr>
      <w:tr w:rsidR="00C801A6" w:rsidRPr="00C801A6" w14:paraId="285F324C" w14:textId="77777777" w:rsidTr="00CB4938">
        <w:tc>
          <w:tcPr>
            <w:tcW w:w="2492" w:type="dxa"/>
            <w:tcBorders>
              <w:bottom w:val="single" w:sz="4" w:space="0" w:color="auto"/>
            </w:tcBorders>
          </w:tcPr>
          <w:p w14:paraId="0F90BFAA"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Transport et circulation</w:t>
            </w:r>
          </w:p>
        </w:tc>
        <w:tc>
          <w:tcPr>
            <w:tcW w:w="2521" w:type="dxa"/>
            <w:tcBorders>
              <w:bottom w:val="single" w:sz="4" w:space="0" w:color="auto"/>
            </w:tcBorders>
          </w:tcPr>
          <w:p w14:paraId="3F158D9D"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Risques d’accidents</w:t>
            </w:r>
          </w:p>
        </w:tc>
        <w:tc>
          <w:tcPr>
            <w:tcW w:w="2777" w:type="dxa"/>
            <w:tcBorders>
              <w:bottom w:val="single" w:sz="4" w:space="0" w:color="auto"/>
            </w:tcBorders>
          </w:tcPr>
          <w:p w14:paraId="38E683FF"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Concevoir et mettre en œuvre un Plan de circulation des véhicules</w:t>
            </w:r>
          </w:p>
        </w:tc>
        <w:tc>
          <w:tcPr>
            <w:tcW w:w="2364" w:type="dxa"/>
            <w:tcBorders>
              <w:bottom w:val="single" w:sz="4" w:space="0" w:color="auto"/>
            </w:tcBorders>
          </w:tcPr>
          <w:p w14:paraId="7E629DCE" w14:textId="77777777" w:rsidR="00064FF0" w:rsidRPr="00C801A6" w:rsidRDefault="00064FF0" w:rsidP="00844538">
            <w:pPr>
              <w:pStyle w:val="ListParagraph"/>
              <w:numPr>
                <w:ilvl w:val="0"/>
                <w:numId w:val="28"/>
              </w:numPr>
              <w:spacing w:before="40" w:after="40" w:line="276" w:lineRule="auto"/>
              <w:ind w:left="142" w:hanging="142"/>
              <w:contextualSpacing w:val="0"/>
              <w:jc w:val="left"/>
              <w:rPr>
                <w:rFonts w:cs="Times New Roman"/>
                <w:color w:val="auto"/>
                <w:sz w:val="20"/>
                <w:szCs w:val="20"/>
              </w:rPr>
            </w:pPr>
            <w:r w:rsidRPr="00C801A6">
              <w:rPr>
                <w:rFonts w:cs="Times New Roman"/>
                <w:color w:val="auto"/>
                <w:sz w:val="20"/>
                <w:szCs w:val="20"/>
              </w:rPr>
              <w:t>Nombre d’accidents de circulation au sein du site</w:t>
            </w:r>
          </w:p>
        </w:tc>
        <w:tc>
          <w:tcPr>
            <w:tcW w:w="1546" w:type="dxa"/>
            <w:tcBorders>
              <w:bottom w:val="single" w:sz="4" w:space="0" w:color="auto"/>
            </w:tcBorders>
          </w:tcPr>
          <w:p w14:paraId="284CF5AD"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Comptage</w:t>
            </w:r>
          </w:p>
        </w:tc>
        <w:tc>
          <w:tcPr>
            <w:tcW w:w="1672" w:type="dxa"/>
            <w:tcBorders>
              <w:bottom w:val="single" w:sz="4" w:space="0" w:color="auto"/>
            </w:tcBorders>
          </w:tcPr>
          <w:p w14:paraId="2B79C1D8"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 xml:space="preserve">Entreprise </w:t>
            </w:r>
          </w:p>
          <w:p w14:paraId="790E46B2"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MdC</w:t>
            </w:r>
          </w:p>
        </w:tc>
        <w:tc>
          <w:tcPr>
            <w:tcW w:w="1903" w:type="dxa"/>
            <w:tcBorders>
              <w:bottom w:val="single" w:sz="4" w:space="0" w:color="auto"/>
            </w:tcBorders>
          </w:tcPr>
          <w:p w14:paraId="33BB0297"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Au moment de l’exploitation</w:t>
            </w:r>
          </w:p>
        </w:tc>
      </w:tr>
      <w:tr w:rsidR="00C801A6" w:rsidRPr="00C801A6" w14:paraId="040CD079" w14:textId="77777777" w:rsidTr="00CB4938">
        <w:trPr>
          <w:trHeight w:val="379"/>
        </w:trPr>
        <w:tc>
          <w:tcPr>
            <w:tcW w:w="5013" w:type="dxa"/>
            <w:gridSpan w:val="2"/>
            <w:tcBorders>
              <w:top w:val="single" w:sz="4" w:space="0" w:color="auto"/>
              <w:left w:val="single" w:sz="4" w:space="0" w:color="auto"/>
              <w:bottom w:val="single" w:sz="4" w:space="0" w:color="auto"/>
              <w:right w:val="nil"/>
            </w:tcBorders>
            <w:shd w:val="clear" w:color="auto" w:fill="F4FC88"/>
            <w:vAlign w:val="center"/>
          </w:tcPr>
          <w:p w14:paraId="67196679" w14:textId="77777777" w:rsidR="00064FF0" w:rsidRPr="00C801A6" w:rsidRDefault="00064FF0" w:rsidP="00347FDB">
            <w:pPr>
              <w:spacing w:before="40" w:after="40"/>
              <w:jc w:val="left"/>
              <w:rPr>
                <w:rFonts w:cs="Times New Roman"/>
                <w:b/>
                <w:bCs/>
                <w:color w:val="auto"/>
                <w:sz w:val="20"/>
                <w:szCs w:val="20"/>
              </w:rPr>
            </w:pPr>
            <w:r w:rsidRPr="00C801A6">
              <w:rPr>
                <w:rFonts w:cs="Times New Roman"/>
                <w:b/>
                <w:bCs/>
                <w:color w:val="auto"/>
                <w:sz w:val="20"/>
                <w:szCs w:val="20"/>
              </w:rPr>
              <w:lastRenderedPageBreak/>
              <w:t>Phase d’exploitation</w:t>
            </w:r>
          </w:p>
        </w:tc>
        <w:tc>
          <w:tcPr>
            <w:tcW w:w="2777" w:type="dxa"/>
            <w:tcBorders>
              <w:top w:val="single" w:sz="4" w:space="0" w:color="auto"/>
              <w:left w:val="nil"/>
              <w:bottom w:val="single" w:sz="4" w:space="0" w:color="auto"/>
              <w:right w:val="nil"/>
            </w:tcBorders>
            <w:shd w:val="clear" w:color="auto" w:fill="F4FC88"/>
          </w:tcPr>
          <w:p w14:paraId="547D1A21" w14:textId="77777777" w:rsidR="00064FF0" w:rsidRPr="00C801A6" w:rsidRDefault="00064FF0" w:rsidP="00347FDB">
            <w:pPr>
              <w:spacing w:before="40" w:after="40"/>
              <w:jc w:val="left"/>
              <w:rPr>
                <w:rFonts w:cs="Times New Roman"/>
                <w:b/>
                <w:bCs/>
                <w:color w:val="auto"/>
                <w:sz w:val="20"/>
                <w:szCs w:val="20"/>
              </w:rPr>
            </w:pPr>
          </w:p>
        </w:tc>
        <w:tc>
          <w:tcPr>
            <w:tcW w:w="2364" w:type="dxa"/>
            <w:tcBorders>
              <w:top w:val="single" w:sz="4" w:space="0" w:color="auto"/>
              <w:left w:val="nil"/>
              <w:bottom w:val="single" w:sz="4" w:space="0" w:color="auto"/>
              <w:right w:val="nil"/>
            </w:tcBorders>
            <w:shd w:val="clear" w:color="auto" w:fill="F4FC88"/>
          </w:tcPr>
          <w:p w14:paraId="5E604C96" w14:textId="77777777" w:rsidR="00064FF0" w:rsidRPr="00C801A6" w:rsidRDefault="00064FF0" w:rsidP="00347FDB">
            <w:pPr>
              <w:spacing w:before="40" w:after="40"/>
              <w:jc w:val="left"/>
              <w:rPr>
                <w:rFonts w:cs="Times New Roman"/>
                <w:b/>
                <w:bCs/>
                <w:color w:val="auto"/>
                <w:sz w:val="20"/>
                <w:szCs w:val="20"/>
              </w:rPr>
            </w:pPr>
          </w:p>
        </w:tc>
        <w:tc>
          <w:tcPr>
            <w:tcW w:w="1546" w:type="dxa"/>
            <w:tcBorders>
              <w:top w:val="single" w:sz="4" w:space="0" w:color="auto"/>
              <w:left w:val="nil"/>
              <w:bottom w:val="single" w:sz="4" w:space="0" w:color="auto"/>
              <w:right w:val="nil"/>
            </w:tcBorders>
            <w:shd w:val="clear" w:color="auto" w:fill="F4FC88"/>
          </w:tcPr>
          <w:p w14:paraId="2F670636" w14:textId="77777777" w:rsidR="00064FF0" w:rsidRPr="00C801A6" w:rsidRDefault="00064FF0" w:rsidP="00347FDB">
            <w:pPr>
              <w:spacing w:before="40" w:after="40"/>
              <w:jc w:val="left"/>
              <w:rPr>
                <w:rFonts w:cs="Times New Roman"/>
                <w:b/>
                <w:bCs/>
                <w:color w:val="auto"/>
                <w:sz w:val="20"/>
                <w:szCs w:val="20"/>
              </w:rPr>
            </w:pPr>
          </w:p>
        </w:tc>
        <w:tc>
          <w:tcPr>
            <w:tcW w:w="1672" w:type="dxa"/>
            <w:tcBorders>
              <w:top w:val="single" w:sz="4" w:space="0" w:color="auto"/>
              <w:left w:val="nil"/>
              <w:bottom w:val="single" w:sz="4" w:space="0" w:color="auto"/>
              <w:right w:val="nil"/>
            </w:tcBorders>
            <w:shd w:val="clear" w:color="auto" w:fill="F4FC88"/>
          </w:tcPr>
          <w:p w14:paraId="1E6618CA" w14:textId="77777777" w:rsidR="00064FF0" w:rsidRPr="00C801A6" w:rsidRDefault="00064FF0" w:rsidP="00347FDB">
            <w:pPr>
              <w:spacing w:before="40" w:after="40"/>
              <w:jc w:val="left"/>
              <w:rPr>
                <w:rFonts w:cs="Times New Roman"/>
                <w:b/>
                <w:bCs/>
                <w:color w:val="auto"/>
                <w:sz w:val="20"/>
                <w:szCs w:val="20"/>
              </w:rPr>
            </w:pPr>
          </w:p>
        </w:tc>
        <w:tc>
          <w:tcPr>
            <w:tcW w:w="1903" w:type="dxa"/>
            <w:tcBorders>
              <w:top w:val="single" w:sz="4" w:space="0" w:color="auto"/>
              <w:left w:val="nil"/>
              <w:bottom w:val="single" w:sz="4" w:space="0" w:color="auto"/>
              <w:right w:val="single" w:sz="4" w:space="0" w:color="auto"/>
            </w:tcBorders>
            <w:shd w:val="clear" w:color="auto" w:fill="F4FC88"/>
          </w:tcPr>
          <w:p w14:paraId="4DD1C8AF" w14:textId="77777777" w:rsidR="00064FF0" w:rsidRPr="00C801A6" w:rsidRDefault="00064FF0" w:rsidP="00347FDB">
            <w:pPr>
              <w:spacing w:before="40" w:after="40"/>
              <w:jc w:val="left"/>
              <w:rPr>
                <w:rFonts w:cs="Times New Roman"/>
                <w:b/>
                <w:bCs/>
                <w:color w:val="auto"/>
                <w:sz w:val="20"/>
                <w:szCs w:val="20"/>
              </w:rPr>
            </w:pPr>
          </w:p>
        </w:tc>
      </w:tr>
      <w:tr w:rsidR="00C801A6" w:rsidRPr="00C801A6" w14:paraId="4E596812" w14:textId="77777777" w:rsidTr="00CB4938">
        <w:trPr>
          <w:trHeight w:val="151"/>
        </w:trPr>
        <w:tc>
          <w:tcPr>
            <w:tcW w:w="2492" w:type="dxa"/>
            <w:vMerge w:val="restart"/>
            <w:tcBorders>
              <w:top w:val="single" w:sz="4" w:space="0" w:color="auto"/>
            </w:tcBorders>
            <w:vAlign w:val="center"/>
          </w:tcPr>
          <w:p w14:paraId="7AA65ED6"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Utilisation d’explosifs</w:t>
            </w:r>
          </w:p>
        </w:tc>
        <w:tc>
          <w:tcPr>
            <w:tcW w:w="2521" w:type="dxa"/>
            <w:tcBorders>
              <w:top w:val="single" w:sz="4" w:space="0" w:color="auto"/>
            </w:tcBorders>
          </w:tcPr>
          <w:p w14:paraId="5B913060"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Risques de fuites d’explosifs</w:t>
            </w:r>
          </w:p>
        </w:tc>
        <w:tc>
          <w:tcPr>
            <w:tcW w:w="2777" w:type="dxa"/>
            <w:tcBorders>
              <w:top w:val="single" w:sz="4" w:space="0" w:color="auto"/>
            </w:tcBorders>
          </w:tcPr>
          <w:p w14:paraId="6BF9BDCC"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Sécuriser les explosifs en les stockant au niveau de la gendarmerie la plus proche</w:t>
            </w:r>
          </w:p>
        </w:tc>
        <w:tc>
          <w:tcPr>
            <w:tcW w:w="2364" w:type="dxa"/>
            <w:tcBorders>
              <w:top w:val="single" w:sz="4" w:space="0" w:color="auto"/>
            </w:tcBorders>
          </w:tcPr>
          <w:p w14:paraId="66F31CAA" w14:textId="77777777" w:rsidR="00064FF0" w:rsidRPr="00C801A6" w:rsidRDefault="00064FF0" w:rsidP="00844538">
            <w:pPr>
              <w:pStyle w:val="ListParagraph"/>
              <w:numPr>
                <w:ilvl w:val="0"/>
                <w:numId w:val="28"/>
              </w:numPr>
              <w:spacing w:before="40" w:after="40" w:line="276" w:lineRule="auto"/>
              <w:ind w:left="142" w:hanging="142"/>
              <w:contextualSpacing w:val="0"/>
              <w:jc w:val="left"/>
              <w:rPr>
                <w:rFonts w:cs="Times New Roman"/>
                <w:color w:val="auto"/>
                <w:sz w:val="20"/>
                <w:szCs w:val="20"/>
              </w:rPr>
            </w:pPr>
            <w:r w:rsidRPr="00C801A6">
              <w:rPr>
                <w:rFonts w:cs="Times New Roman"/>
                <w:color w:val="auto"/>
                <w:sz w:val="20"/>
                <w:szCs w:val="20"/>
              </w:rPr>
              <w:t>Evolution des consommations d’explosifs</w:t>
            </w:r>
          </w:p>
        </w:tc>
        <w:tc>
          <w:tcPr>
            <w:tcW w:w="1546" w:type="dxa"/>
            <w:tcBorders>
              <w:top w:val="single" w:sz="4" w:space="0" w:color="auto"/>
            </w:tcBorders>
          </w:tcPr>
          <w:p w14:paraId="179F92C8"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Calculs</w:t>
            </w:r>
          </w:p>
        </w:tc>
        <w:tc>
          <w:tcPr>
            <w:tcW w:w="1672" w:type="dxa"/>
            <w:tcBorders>
              <w:top w:val="single" w:sz="4" w:space="0" w:color="auto"/>
            </w:tcBorders>
          </w:tcPr>
          <w:p w14:paraId="5FCEC125"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 xml:space="preserve">Entreprise </w:t>
            </w:r>
          </w:p>
          <w:p w14:paraId="19D49504"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MdC</w:t>
            </w:r>
          </w:p>
        </w:tc>
        <w:tc>
          <w:tcPr>
            <w:tcW w:w="1903" w:type="dxa"/>
            <w:tcBorders>
              <w:top w:val="single" w:sz="4" w:space="0" w:color="auto"/>
            </w:tcBorders>
          </w:tcPr>
          <w:p w14:paraId="0B657580"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Tous les mois</w:t>
            </w:r>
          </w:p>
        </w:tc>
      </w:tr>
      <w:tr w:rsidR="00C801A6" w:rsidRPr="00C801A6" w14:paraId="2F286913" w14:textId="77777777" w:rsidTr="00CB4938">
        <w:trPr>
          <w:trHeight w:val="200"/>
        </w:trPr>
        <w:tc>
          <w:tcPr>
            <w:tcW w:w="2492" w:type="dxa"/>
            <w:vMerge/>
            <w:vAlign w:val="center"/>
          </w:tcPr>
          <w:p w14:paraId="56FA59B2" w14:textId="77777777" w:rsidR="00064FF0" w:rsidRPr="00C801A6" w:rsidRDefault="00064FF0" w:rsidP="00347FDB">
            <w:pPr>
              <w:spacing w:before="40" w:after="40"/>
              <w:jc w:val="left"/>
              <w:rPr>
                <w:rFonts w:cs="Times New Roman"/>
                <w:color w:val="auto"/>
                <w:sz w:val="20"/>
                <w:szCs w:val="20"/>
              </w:rPr>
            </w:pPr>
          </w:p>
        </w:tc>
        <w:tc>
          <w:tcPr>
            <w:tcW w:w="2521" w:type="dxa"/>
          </w:tcPr>
          <w:p w14:paraId="5D4FF5BA"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Risques d’accidents liés aux tirs à l’explosif</w:t>
            </w:r>
          </w:p>
        </w:tc>
        <w:tc>
          <w:tcPr>
            <w:tcW w:w="2777" w:type="dxa"/>
          </w:tcPr>
          <w:p w14:paraId="5F92C845"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Concevoir et mettre en œuvre un plan de tir</w:t>
            </w:r>
          </w:p>
        </w:tc>
        <w:tc>
          <w:tcPr>
            <w:tcW w:w="2364" w:type="dxa"/>
          </w:tcPr>
          <w:p w14:paraId="1D19E7E5" w14:textId="77777777" w:rsidR="00064FF0" w:rsidRPr="00C801A6" w:rsidRDefault="00064FF0" w:rsidP="00844538">
            <w:pPr>
              <w:pStyle w:val="ListParagraph"/>
              <w:numPr>
                <w:ilvl w:val="0"/>
                <w:numId w:val="28"/>
              </w:numPr>
              <w:spacing w:before="40" w:after="40" w:line="276" w:lineRule="auto"/>
              <w:ind w:left="142" w:hanging="142"/>
              <w:contextualSpacing w:val="0"/>
              <w:jc w:val="left"/>
              <w:rPr>
                <w:rFonts w:cs="Times New Roman"/>
                <w:color w:val="auto"/>
                <w:sz w:val="20"/>
                <w:szCs w:val="20"/>
              </w:rPr>
            </w:pPr>
            <w:r w:rsidRPr="00C801A6">
              <w:rPr>
                <w:rFonts w:cs="Times New Roman"/>
                <w:color w:val="auto"/>
                <w:sz w:val="20"/>
                <w:szCs w:val="20"/>
              </w:rPr>
              <w:t>Nombre d’accidents liés aux tirs</w:t>
            </w:r>
          </w:p>
        </w:tc>
        <w:tc>
          <w:tcPr>
            <w:tcW w:w="1546" w:type="dxa"/>
          </w:tcPr>
          <w:p w14:paraId="05E1F417"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Comptage</w:t>
            </w:r>
          </w:p>
        </w:tc>
        <w:tc>
          <w:tcPr>
            <w:tcW w:w="1672" w:type="dxa"/>
          </w:tcPr>
          <w:p w14:paraId="485DDD2A"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 xml:space="preserve">Entreprise </w:t>
            </w:r>
          </w:p>
          <w:p w14:paraId="53FA60AF"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MdC</w:t>
            </w:r>
          </w:p>
        </w:tc>
        <w:tc>
          <w:tcPr>
            <w:tcW w:w="1903" w:type="dxa"/>
          </w:tcPr>
          <w:p w14:paraId="475BFDE7"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Tous les mois</w:t>
            </w:r>
          </w:p>
        </w:tc>
      </w:tr>
      <w:tr w:rsidR="00C801A6" w:rsidRPr="00C801A6" w14:paraId="6ED2AF14" w14:textId="77777777" w:rsidTr="00CB4938">
        <w:trPr>
          <w:trHeight w:val="1189"/>
        </w:trPr>
        <w:tc>
          <w:tcPr>
            <w:tcW w:w="2492" w:type="dxa"/>
            <w:vMerge w:val="restart"/>
          </w:tcPr>
          <w:p w14:paraId="3C53D5CB"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Abattage et concassage</w:t>
            </w:r>
          </w:p>
        </w:tc>
        <w:tc>
          <w:tcPr>
            <w:tcW w:w="2521" w:type="dxa"/>
            <w:vMerge w:val="restart"/>
          </w:tcPr>
          <w:p w14:paraId="773DA90E"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Nuisances (bruits et poussières)</w:t>
            </w:r>
          </w:p>
        </w:tc>
        <w:tc>
          <w:tcPr>
            <w:tcW w:w="2777" w:type="dxa"/>
          </w:tcPr>
          <w:p w14:paraId="138B75E6"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 xml:space="preserve">Mener une brève analyse des risques et des dangers pour l’utilisation du concasseur et concevoir des mesures HSE </w:t>
            </w:r>
          </w:p>
        </w:tc>
        <w:tc>
          <w:tcPr>
            <w:tcW w:w="2364" w:type="dxa"/>
          </w:tcPr>
          <w:p w14:paraId="6836BD1D" w14:textId="77777777" w:rsidR="00064FF0" w:rsidRPr="00C801A6" w:rsidRDefault="00064FF0" w:rsidP="00844538">
            <w:pPr>
              <w:pStyle w:val="ListParagraph"/>
              <w:numPr>
                <w:ilvl w:val="0"/>
                <w:numId w:val="28"/>
              </w:numPr>
              <w:spacing w:before="40" w:after="40" w:line="276" w:lineRule="auto"/>
              <w:ind w:left="142" w:hanging="142"/>
              <w:contextualSpacing w:val="0"/>
              <w:jc w:val="left"/>
              <w:rPr>
                <w:rFonts w:cs="Times New Roman"/>
                <w:color w:val="auto"/>
                <w:sz w:val="20"/>
                <w:szCs w:val="20"/>
              </w:rPr>
            </w:pPr>
            <w:r w:rsidRPr="00C801A6">
              <w:rPr>
                <w:rFonts w:cs="Times New Roman"/>
                <w:color w:val="auto"/>
                <w:sz w:val="20"/>
                <w:szCs w:val="20"/>
              </w:rPr>
              <w:t>Nombre d’accidents liés à l’utilisation du concasseur</w:t>
            </w:r>
          </w:p>
        </w:tc>
        <w:tc>
          <w:tcPr>
            <w:tcW w:w="1546" w:type="dxa"/>
          </w:tcPr>
          <w:p w14:paraId="1701E318"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Comptage</w:t>
            </w:r>
          </w:p>
        </w:tc>
        <w:tc>
          <w:tcPr>
            <w:tcW w:w="1672" w:type="dxa"/>
          </w:tcPr>
          <w:p w14:paraId="3E71D63A"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 xml:space="preserve">Entreprise </w:t>
            </w:r>
          </w:p>
          <w:p w14:paraId="303445FD"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MdC</w:t>
            </w:r>
          </w:p>
        </w:tc>
        <w:tc>
          <w:tcPr>
            <w:tcW w:w="1903" w:type="dxa"/>
          </w:tcPr>
          <w:p w14:paraId="606DC95C"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Tous les mois</w:t>
            </w:r>
          </w:p>
        </w:tc>
      </w:tr>
      <w:tr w:rsidR="00C801A6" w:rsidRPr="00C801A6" w14:paraId="4134A194" w14:textId="77777777" w:rsidTr="00CB4938">
        <w:trPr>
          <w:trHeight w:val="639"/>
        </w:trPr>
        <w:tc>
          <w:tcPr>
            <w:tcW w:w="2492" w:type="dxa"/>
            <w:vMerge/>
          </w:tcPr>
          <w:p w14:paraId="2393783F" w14:textId="77777777" w:rsidR="00064FF0" w:rsidRPr="00C801A6" w:rsidRDefault="00064FF0" w:rsidP="00347FDB">
            <w:pPr>
              <w:spacing w:before="40" w:after="40"/>
              <w:jc w:val="left"/>
              <w:rPr>
                <w:rFonts w:cs="Times New Roman"/>
                <w:color w:val="auto"/>
                <w:sz w:val="20"/>
                <w:szCs w:val="20"/>
              </w:rPr>
            </w:pPr>
          </w:p>
        </w:tc>
        <w:tc>
          <w:tcPr>
            <w:tcW w:w="2521" w:type="dxa"/>
            <w:vMerge/>
          </w:tcPr>
          <w:p w14:paraId="6B78C49A" w14:textId="77777777" w:rsidR="00064FF0" w:rsidRPr="00C801A6" w:rsidRDefault="00064FF0" w:rsidP="00347FDB">
            <w:pPr>
              <w:spacing w:before="40" w:after="40"/>
              <w:jc w:val="left"/>
              <w:rPr>
                <w:rFonts w:cs="Times New Roman"/>
                <w:color w:val="auto"/>
                <w:sz w:val="20"/>
                <w:szCs w:val="20"/>
              </w:rPr>
            </w:pPr>
          </w:p>
        </w:tc>
        <w:tc>
          <w:tcPr>
            <w:tcW w:w="2777" w:type="dxa"/>
          </w:tcPr>
          <w:p w14:paraId="131B3F3C"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Doter les ouvriers d’EPI appropriés</w:t>
            </w:r>
          </w:p>
        </w:tc>
        <w:tc>
          <w:tcPr>
            <w:tcW w:w="2364" w:type="dxa"/>
          </w:tcPr>
          <w:p w14:paraId="17559ADE" w14:textId="77777777" w:rsidR="00064FF0" w:rsidRPr="00C801A6" w:rsidRDefault="00064FF0" w:rsidP="00844538">
            <w:pPr>
              <w:pStyle w:val="ListParagraph"/>
              <w:numPr>
                <w:ilvl w:val="0"/>
                <w:numId w:val="28"/>
              </w:numPr>
              <w:spacing w:before="40" w:after="40" w:line="276" w:lineRule="auto"/>
              <w:ind w:left="142" w:hanging="142"/>
              <w:contextualSpacing w:val="0"/>
              <w:jc w:val="left"/>
              <w:rPr>
                <w:rFonts w:cs="Times New Roman"/>
                <w:color w:val="auto"/>
                <w:sz w:val="20"/>
                <w:szCs w:val="20"/>
              </w:rPr>
            </w:pPr>
            <w:r w:rsidRPr="00C801A6">
              <w:rPr>
                <w:rFonts w:cs="Times New Roman"/>
                <w:color w:val="auto"/>
                <w:sz w:val="20"/>
                <w:szCs w:val="20"/>
              </w:rPr>
              <w:t>% d’ouvriers dotés d’EPI appropriés</w:t>
            </w:r>
          </w:p>
        </w:tc>
        <w:tc>
          <w:tcPr>
            <w:tcW w:w="1546" w:type="dxa"/>
          </w:tcPr>
          <w:p w14:paraId="4A2307B8"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Calculs</w:t>
            </w:r>
          </w:p>
        </w:tc>
        <w:tc>
          <w:tcPr>
            <w:tcW w:w="1672" w:type="dxa"/>
          </w:tcPr>
          <w:p w14:paraId="3CEC0C37"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 xml:space="preserve">Entreprise </w:t>
            </w:r>
          </w:p>
          <w:p w14:paraId="469D62D0"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MdC</w:t>
            </w:r>
          </w:p>
        </w:tc>
        <w:tc>
          <w:tcPr>
            <w:tcW w:w="1903" w:type="dxa"/>
          </w:tcPr>
          <w:p w14:paraId="1EE48E52"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Tous les mois</w:t>
            </w:r>
          </w:p>
        </w:tc>
      </w:tr>
      <w:tr w:rsidR="00C801A6" w:rsidRPr="00C801A6" w14:paraId="68242BD4" w14:textId="77777777" w:rsidTr="00CB4938">
        <w:trPr>
          <w:trHeight w:val="884"/>
        </w:trPr>
        <w:tc>
          <w:tcPr>
            <w:tcW w:w="2492" w:type="dxa"/>
            <w:vMerge w:val="restart"/>
            <w:vAlign w:val="center"/>
          </w:tcPr>
          <w:p w14:paraId="1B2770AD"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Déchets de carrière</w:t>
            </w:r>
          </w:p>
        </w:tc>
        <w:tc>
          <w:tcPr>
            <w:tcW w:w="2521" w:type="dxa"/>
            <w:vMerge w:val="restart"/>
            <w:vAlign w:val="center"/>
          </w:tcPr>
          <w:p w14:paraId="531A6261"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Altération du paysage visuel</w:t>
            </w:r>
          </w:p>
        </w:tc>
        <w:tc>
          <w:tcPr>
            <w:tcW w:w="2777" w:type="dxa"/>
          </w:tcPr>
          <w:p w14:paraId="363D12A8"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Concevoir et mettre en œuvre un Plan de gestion des déchets de carrière</w:t>
            </w:r>
          </w:p>
        </w:tc>
        <w:tc>
          <w:tcPr>
            <w:tcW w:w="2364" w:type="dxa"/>
          </w:tcPr>
          <w:p w14:paraId="600194B1" w14:textId="77777777" w:rsidR="00064FF0" w:rsidRPr="00C801A6" w:rsidRDefault="00064FF0" w:rsidP="00844538">
            <w:pPr>
              <w:pStyle w:val="ListParagraph"/>
              <w:numPr>
                <w:ilvl w:val="0"/>
                <w:numId w:val="28"/>
              </w:numPr>
              <w:spacing w:before="40" w:after="40" w:line="276" w:lineRule="auto"/>
              <w:ind w:left="142" w:hanging="142"/>
              <w:contextualSpacing w:val="0"/>
              <w:jc w:val="left"/>
              <w:rPr>
                <w:rFonts w:cs="Times New Roman"/>
                <w:color w:val="auto"/>
                <w:sz w:val="20"/>
                <w:szCs w:val="20"/>
              </w:rPr>
            </w:pPr>
            <w:r w:rsidRPr="00C801A6">
              <w:rPr>
                <w:rFonts w:cs="Times New Roman"/>
                <w:color w:val="auto"/>
                <w:sz w:val="20"/>
                <w:szCs w:val="20"/>
              </w:rPr>
              <w:t>Volume de déchets non collectés</w:t>
            </w:r>
          </w:p>
        </w:tc>
        <w:tc>
          <w:tcPr>
            <w:tcW w:w="1546" w:type="dxa"/>
          </w:tcPr>
          <w:p w14:paraId="37B22617"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Estimation</w:t>
            </w:r>
          </w:p>
        </w:tc>
        <w:tc>
          <w:tcPr>
            <w:tcW w:w="1672" w:type="dxa"/>
          </w:tcPr>
          <w:p w14:paraId="486C0763"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 xml:space="preserve">Entreprise </w:t>
            </w:r>
          </w:p>
          <w:p w14:paraId="7364424B"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MdC</w:t>
            </w:r>
          </w:p>
        </w:tc>
        <w:tc>
          <w:tcPr>
            <w:tcW w:w="1903" w:type="dxa"/>
          </w:tcPr>
          <w:p w14:paraId="68503593"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Tous les mois</w:t>
            </w:r>
          </w:p>
        </w:tc>
      </w:tr>
      <w:tr w:rsidR="00C801A6" w:rsidRPr="00C801A6" w14:paraId="5F2819CD" w14:textId="77777777" w:rsidTr="00CB4938">
        <w:trPr>
          <w:trHeight w:val="939"/>
        </w:trPr>
        <w:tc>
          <w:tcPr>
            <w:tcW w:w="2492" w:type="dxa"/>
            <w:vMerge/>
          </w:tcPr>
          <w:p w14:paraId="4EB265A4" w14:textId="77777777" w:rsidR="00064FF0" w:rsidRPr="00C801A6" w:rsidRDefault="00064FF0" w:rsidP="00347FDB">
            <w:pPr>
              <w:spacing w:before="40" w:after="40"/>
              <w:jc w:val="left"/>
              <w:rPr>
                <w:rFonts w:cs="Times New Roman"/>
                <w:color w:val="auto"/>
                <w:sz w:val="20"/>
                <w:szCs w:val="20"/>
              </w:rPr>
            </w:pPr>
          </w:p>
        </w:tc>
        <w:tc>
          <w:tcPr>
            <w:tcW w:w="2521" w:type="dxa"/>
            <w:vMerge/>
          </w:tcPr>
          <w:p w14:paraId="2CF2278F" w14:textId="77777777" w:rsidR="00064FF0" w:rsidRPr="00C801A6" w:rsidRDefault="00064FF0" w:rsidP="00347FDB">
            <w:pPr>
              <w:spacing w:before="40" w:after="40"/>
              <w:jc w:val="left"/>
              <w:rPr>
                <w:rFonts w:cs="Times New Roman"/>
                <w:color w:val="auto"/>
                <w:sz w:val="20"/>
                <w:szCs w:val="20"/>
              </w:rPr>
            </w:pPr>
          </w:p>
        </w:tc>
        <w:tc>
          <w:tcPr>
            <w:tcW w:w="2777" w:type="dxa"/>
          </w:tcPr>
          <w:p w14:paraId="60E470C3"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Utiliser les déchets de carrière pour l’entretien de la piste d’accès</w:t>
            </w:r>
          </w:p>
        </w:tc>
        <w:tc>
          <w:tcPr>
            <w:tcW w:w="2364" w:type="dxa"/>
          </w:tcPr>
          <w:p w14:paraId="36C6E48C" w14:textId="77777777" w:rsidR="00064FF0" w:rsidRPr="00C801A6" w:rsidRDefault="00064FF0" w:rsidP="00844538">
            <w:pPr>
              <w:pStyle w:val="ListParagraph"/>
              <w:numPr>
                <w:ilvl w:val="0"/>
                <w:numId w:val="28"/>
              </w:numPr>
              <w:spacing w:before="40" w:after="40" w:line="276" w:lineRule="auto"/>
              <w:ind w:left="142" w:hanging="142"/>
              <w:contextualSpacing w:val="0"/>
              <w:jc w:val="left"/>
              <w:rPr>
                <w:rFonts w:cs="Times New Roman"/>
                <w:color w:val="auto"/>
                <w:sz w:val="20"/>
                <w:szCs w:val="20"/>
              </w:rPr>
            </w:pPr>
            <w:r w:rsidRPr="00C801A6">
              <w:rPr>
                <w:rFonts w:cs="Times New Roman"/>
                <w:color w:val="auto"/>
                <w:sz w:val="20"/>
                <w:szCs w:val="20"/>
              </w:rPr>
              <w:t>Volume de déchets de carrière non-utilisés</w:t>
            </w:r>
          </w:p>
        </w:tc>
        <w:tc>
          <w:tcPr>
            <w:tcW w:w="1546" w:type="dxa"/>
          </w:tcPr>
          <w:p w14:paraId="073AA46E"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Estimation</w:t>
            </w:r>
          </w:p>
        </w:tc>
        <w:tc>
          <w:tcPr>
            <w:tcW w:w="1672" w:type="dxa"/>
          </w:tcPr>
          <w:p w14:paraId="6FC2D411"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 xml:space="preserve">Entreprise </w:t>
            </w:r>
          </w:p>
          <w:p w14:paraId="204E94A7"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MdC</w:t>
            </w:r>
          </w:p>
        </w:tc>
        <w:tc>
          <w:tcPr>
            <w:tcW w:w="1903" w:type="dxa"/>
          </w:tcPr>
          <w:p w14:paraId="01A9838B"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Tous les mois</w:t>
            </w:r>
          </w:p>
        </w:tc>
      </w:tr>
      <w:tr w:rsidR="00C801A6" w:rsidRPr="00C801A6" w14:paraId="29AC88C4" w14:textId="77777777" w:rsidTr="00CB4938">
        <w:trPr>
          <w:trHeight w:val="288"/>
        </w:trPr>
        <w:tc>
          <w:tcPr>
            <w:tcW w:w="2492" w:type="dxa"/>
            <w:vMerge/>
          </w:tcPr>
          <w:p w14:paraId="2072B10E" w14:textId="77777777" w:rsidR="00064FF0" w:rsidRPr="00C801A6" w:rsidRDefault="00064FF0" w:rsidP="00347FDB">
            <w:pPr>
              <w:spacing w:before="40" w:after="40"/>
              <w:jc w:val="left"/>
              <w:rPr>
                <w:rFonts w:cs="Times New Roman"/>
                <w:color w:val="auto"/>
                <w:sz w:val="20"/>
                <w:szCs w:val="20"/>
              </w:rPr>
            </w:pPr>
          </w:p>
        </w:tc>
        <w:tc>
          <w:tcPr>
            <w:tcW w:w="2521" w:type="dxa"/>
          </w:tcPr>
          <w:p w14:paraId="6AFF3462"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 xml:space="preserve">Risques de bouchage des ruisseaux avoisinants </w:t>
            </w:r>
          </w:p>
        </w:tc>
        <w:tc>
          <w:tcPr>
            <w:tcW w:w="2777" w:type="dxa"/>
          </w:tcPr>
          <w:p w14:paraId="5B898CAF"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Concevoir et mettre en œuvre un Plan de gestion des déchets de carrière</w:t>
            </w:r>
          </w:p>
        </w:tc>
        <w:tc>
          <w:tcPr>
            <w:tcW w:w="2364" w:type="dxa"/>
          </w:tcPr>
          <w:p w14:paraId="46E703CB" w14:textId="77777777" w:rsidR="00064FF0" w:rsidRPr="00C801A6" w:rsidRDefault="00064FF0" w:rsidP="00844538">
            <w:pPr>
              <w:pStyle w:val="ListParagraph"/>
              <w:numPr>
                <w:ilvl w:val="0"/>
                <w:numId w:val="28"/>
              </w:numPr>
              <w:spacing w:before="40" w:after="40" w:line="276" w:lineRule="auto"/>
              <w:ind w:left="142" w:hanging="142"/>
              <w:contextualSpacing w:val="0"/>
              <w:jc w:val="left"/>
              <w:rPr>
                <w:rFonts w:cs="Times New Roman"/>
                <w:color w:val="auto"/>
                <w:sz w:val="20"/>
                <w:szCs w:val="20"/>
              </w:rPr>
            </w:pPr>
            <w:r w:rsidRPr="00C801A6">
              <w:rPr>
                <w:rFonts w:cs="Times New Roman"/>
                <w:color w:val="auto"/>
                <w:sz w:val="20"/>
                <w:szCs w:val="20"/>
              </w:rPr>
              <w:t>Volume de déchets de carrière ayant atteint un plan d’eau avoisinant</w:t>
            </w:r>
          </w:p>
        </w:tc>
        <w:tc>
          <w:tcPr>
            <w:tcW w:w="1546" w:type="dxa"/>
          </w:tcPr>
          <w:p w14:paraId="27896401"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Estimation</w:t>
            </w:r>
          </w:p>
        </w:tc>
        <w:tc>
          <w:tcPr>
            <w:tcW w:w="1672" w:type="dxa"/>
          </w:tcPr>
          <w:p w14:paraId="5CCE4B5C"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 xml:space="preserve">Entreprise </w:t>
            </w:r>
          </w:p>
          <w:p w14:paraId="712DEFD2"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MdC</w:t>
            </w:r>
          </w:p>
        </w:tc>
        <w:tc>
          <w:tcPr>
            <w:tcW w:w="1903" w:type="dxa"/>
          </w:tcPr>
          <w:p w14:paraId="0A563E9B"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Tous les mois</w:t>
            </w:r>
          </w:p>
        </w:tc>
      </w:tr>
      <w:tr w:rsidR="00C801A6" w:rsidRPr="00C801A6" w14:paraId="3FE7F3A3" w14:textId="77777777" w:rsidTr="00CB4938">
        <w:tc>
          <w:tcPr>
            <w:tcW w:w="2492" w:type="dxa"/>
          </w:tcPr>
          <w:p w14:paraId="5B07937B"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 xml:space="preserve">Exploitation </w:t>
            </w:r>
          </w:p>
        </w:tc>
        <w:tc>
          <w:tcPr>
            <w:tcW w:w="2521" w:type="dxa"/>
          </w:tcPr>
          <w:p w14:paraId="4CB1AC13"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Modification du paysage actuel</w:t>
            </w:r>
          </w:p>
        </w:tc>
        <w:tc>
          <w:tcPr>
            <w:tcW w:w="2777" w:type="dxa"/>
          </w:tcPr>
          <w:p w14:paraId="57233F4D"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Concevoir et mettre en œuvre un Plan d’exploitation</w:t>
            </w:r>
          </w:p>
        </w:tc>
        <w:tc>
          <w:tcPr>
            <w:tcW w:w="2364" w:type="dxa"/>
          </w:tcPr>
          <w:p w14:paraId="7E40441C" w14:textId="77777777" w:rsidR="00064FF0" w:rsidRPr="00C801A6" w:rsidRDefault="00064FF0" w:rsidP="00844538">
            <w:pPr>
              <w:pStyle w:val="ListParagraph"/>
              <w:numPr>
                <w:ilvl w:val="0"/>
                <w:numId w:val="28"/>
              </w:numPr>
              <w:spacing w:before="40" w:after="40" w:line="276" w:lineRule="auto"/>
              <w:ind w:left="142" w:hanging="142"/>
              <w:contextualSpacing w:val="0"/>
              <w:jc w:val="left"/>
              <w:rPr>
                <w:rFonts w:cs="Times New Roman"/>
                <w:color w:val="auto"/>
                <w:sz w:val="20"/>
                <w:szCs w:val="20"/>
              </w:rPr>
            </w:pPr>
            <w:r w:rsidRPr="00C801A6">
              <w:rPr>
                <w:rFonts w:cs="Times New Roman"/>
                <w:color w:val="auto"/>
                <w:sz w:val="20"/>
                <w:szCs w:val="20"/>
              </w:rPr>
              <w:t>Envergure de la plateforme</w:t>
            </w:r>
          </w:p>
        </w:tc>
        <w:tc>
          <w:tcPr>
            <w:tcW w:w="1546" w:type="dxa"/>
          </w:tcPr>
          <w:p w14:paraId="0281EFE5"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Estimation</w:t>
            </w:r>
          </w:p>
        </w:tc>
        <w:tc>
          <w:tcPr>
            <w:tcW w:w="1672" w:type="dxa"/>
          </w:tcPr>
          <w:p w14:paraId="4DDCD246"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 xml:space="preserve">Entreprise </w:t>
            </w:r>
          </w:p>
          <w:p w14:paraId="2B7B961C"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MdC</w:t>
            </w:r>
          </w:p>
        </w:tc>
        <w:tc>
          <w:tcPr>
            <w:tcW w:w="1903" w:type="dxa"/>
          </w:tcPr>
          <w:p w14:paraId="3F3A7003"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Avant exploitation</w:t>
            </w:r>
          </w:p>
        </w:tc>
      </w:tr>
      <w:tr w:rsidR="00C801A6" w:rsidRPr="00C801A6" w14:paraId="136F2735" w14:textId="77777777" w:rsidTr="00CB4938">
        <w:tc>
          <w:tcPr>
            <w:tcW w:w="2492" w:type="dxa"/>
            <w:tcBorders>
              <w:top w:val="single" w:sz="4" w:space="0" w:color="auto"/>
              <w:left w:val="single" w:sz="4" w:space="0" w:color="auto"/>
              <w:bottom w:val="single" w:sz="4" w:space="0" w:color="auto"/>
              <w:right w:val="single" w:sz="4" w:space="0" w:color="auto"/>
            </w:tcBorders>
          </w:tcPr>
          <w:p w14:paraId="407A982B"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Transport et circulation</w:t>
            </w:r>
          </w:p>
        </w:tc>
        <w:tc>
          <w:tcPr>
            <w:tcW w:w="2521" w:type="dxa"/>
            <w:tcBorders>
              <w:top w:val="single" w:sz="4" w:space="0" w:color="auto"/>
              <w:left w:val="single" w:sz="4" w:space="0" w:color="auto"/>
              <w:bottom w:val="single" w:sz="4" w:space="0" w:color="auto"/>
              <w:right w:val="single" w:sz="4" w:space="0" w:color="auto"/>
            </w:tcBorders>
          </w:tcPr>
          <w:p w14:paraId="3A2C8F4D"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Risques d’accidents</w:t>
            </w:r>
          </w:p>
        </w:tc>
        <w:tc>
          <w:tcPr>
            <w:tcW w:w="2777" w:type="dxa"/>
            <w:tcBorders>
              <w:top w:val="single" w:sz="4" w:space="0" w:color="auto"/>
              <w:left w:val="single" w:sz="4" w:space="0" w:color="auto"/>
              <w:bottom w:val="single" w:sz="4" w:space="0" w:color="auto"/>
              <w:right w:val="single" w:sz="4" w:space="0" w:color="auto"/>
            </w:tcBorders>
          </w:tcPr>
          <w:p w14:paraId="5A82431B"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Sur route, limiter la vitesse des véhicules de transport de matériaux :</w:t>
            </w:r>
          </w:p>
          <w:p w14:paraId="52553D3F" w14:textId="77777777" w:rsidR="00064FF0" w:rsidRPr="00C801A6" w:rsidRDefault="00064FF0" w:rsidP="00844538">
            <w:pPr>
              <w:pStyle w:val="ListParagraph"/>
              <w:numPr>
                <w:ilvl w:val="0"/>
                <w:numId w:val="28"/>
              </w:numPr>
              <w:spacing w:before="40" w:after="40" w:line="276" w:lineRule="auto"/>
              <w:ind w:left="142" w:hanging="142"/>
              <w:contextualSpacing w:val="0"/>
              <w:jc w:val="left"/>
              <w:rPr>
                <w:rFonts w:cs="Times New Roman"/>
                <w:color w:val="auto"/>
                <w:sz w:val="20"/>
                <w:szCs w:val="20"/>
              </w:rPr>
            </w:pPr>
            <w:r w:rsidRPr="00C801A6">
              <w:rPr>
                <w:rFonts w:cs="Times New Roman"/>
                <w:color w:val="auto"/>
                <w:sz w:val="20"/>
                <w:szCs w:val="20"/>
              </w:rPr>
              <w:t>20km/h en zone habitée</w:t>
            </w:r>
          </w:p>
          <w:p w14:paraId="2B1B7CF2" w14:textId="77777777" w:rsidR="00064FF0" w:rsidRPr="00C801A6" w:rsidRDefault="00064FF0" w:rsidP="00844538">
            <w:pPr>
              <w:pStyle w:val="ListParagraph"/>
              <w:numPr>
                <w:ilvl w:val="0"/>
                <w:numId w:val="28"/>
              </w:numPr>
              <w:spacing w:before="40" w:after="40" w:line="276" w:lineRule="auto"/>
              <w:ind w:left="142" w:hanging="142"/>
              <w:contextualSpacing w:val="0"/>
              <w:jc w:val="left"/>
              <w:rPr>
                <w:rFonts w:cs="Times New Roman"/>
                <w:color w:val="auto"/>
                <w:sz w:val="20"/>
                <w:szCs w:val="20"/>
              </w:rPr>
            </w:pPr>
            <w:r w:rsidRPr="00C801A6">
              <w:rPr>
                <w:rFonts w:cs="Times New Roman"/>
                <w:color w:val="auto"/>
                <w:sz w:val="20"/>
                <w:szCs w:val="20"/>
              </w:rPr>
              <w:t>40km/h en rase-campagne</w:t>
            </w:r>
          </w:p>
          <w:p w14:paraId="58950855"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u w:val="single"/>
              </w:rPr>
              <w:lastRenderedPageBreak/>
              <w:t>Cas idéal</w:t>
            </w:r>
            <w:r w:rsidRPr="00C801A6">
              <w:rPr>
                <w:rFonts w:cs="Times New Roman"/>
                <w:color w:val="auto"/>
                <w:sz w:val="20"/>
                <w:szCs w:val="20"/>
              </w:rPr>
              <w:t> : installer un GPS dans les véhicules de transport</w:t>
            </w:r>
          </w:p>
        </w:tc>
        <w:tc>
          <w:tcPr>
            <w:tcW w:w="2364" w:type="dxa"/>
            <w:tcBorders>
              <w:top w:val="single" w:sz="4" w:space="0" w:color="auto"/>
              <w:left w:val="single" w:sz="4" w:space="0" w:color="auto"/>
              <w:bottom w:val="single" w:sz="4" w:space="0" w:color="auto"/>
              <w:right w:val="single" w:sz="4" w:space="0" w:color="auto"/>
            </w:tcBorders>
          </w:tcPr>
          <w:p w14:paraId="686D9C76" w14:textId="77777777" w:rsidR="00064FF0" w:rsidRPr="00C801A6" w:rsidRDefault="00064FF0" w:rsidP="00844538">
            <w:pPr>
              <w:pStyle w:val="ListParagraph"/>
              <w:numPr>
                <w:ilvl w:val="0"/>
                <w:numId w:val="28"/>
              </w:numPr>
              <w:spacing w:before="40" w:after="40" w:line="276" w:lineRule="auto"/>
              <w:ind w:left="142" w:hanging="142"/>
              <w:contextualSpacing w:val="0"/>
              <w:jc w:val="left"/>
              <w:rPr>
                <w:rFonts w:cs="Times New Roman"/>
                <w:color w:val="auto"/>
                <w:sz w:val="20"/>
                <w:szCs w:val="20"/>
              </w:rPr>
            </w:pPr>
            <w:r w:rsidRPr="00C801A6">
              <w:rPr>
                <w:rFonts w:cs="Times New Roman"/>
                <w:color w:val="auto"/>
                <w:sz w:val="20"/>
                <w:szCs w:val="20"/>
              </w:rPr>
              <w:lastRenderedPageBreak/>
              <w:t>Nombre d’accidents liés au transport de matériau</w:t>
            </w:r>
          </w:p>
        </w:tc>
        <w:tc>
          <w:tcPr>
            <w:tcW w:w="1546" w:type="dxa"/>
            <w:tcBorders>
              <w:top w:val="single" w:sz="4" w:space="0" w:color="auto"/>
              <w:left w:val="single" w:sz="4" w:space="0" w:color="auto"/>
              <w:bottom w:val="single" w:sz="4" w:space="0" w:color="auto"/>
              <w:right w:val="single" w:sz="4" w:space="0" w:color="auto"/>
            </w:tcBorders>
          </w:tcPr>
          <w:p w14:paraId="5018572C"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Comptage</w:t>
            </w:r>
          </w:p>
        </w:tc>
        <w:tc>
          <w:tcPr>
            <w:tcW w:w="1672" w:type="dxa"/>
            <w:tcBorders>
              <w:top w:val="single" w:sz="4" w:space="0" w:color="auto"/>
              <w:left w:val="single" w:sz="4" w:space="0" w:color="auto"/>
              <w:bottom w:val="single" w:sz="4" w:space="0" w:color="auto"/>
              <w:right w:val="single" w:sz="4" w:space="0" w:color="auto"/>
            </w:tcBorders>
          </w:tcPr>
          <w:p w14:paraId="50D519EF"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 xml:space="preserve">Entreprise </w:t>
            </w:r>
          </w:p>
          <w:p w14:paraId="1A50D5B2"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MdC</w:t>
            </w:r>
          </w:p>
        </w:tc>
        <w:tc>
          <w:tcPr>
            <w:tcW w:w="1903" w:type="dxa"/>
            <w:tcBorders>
              <w:top w:val="single" w:sz="4" w:space="0" w:color="auto"/>
              <w:left w:val="single" w:sz="4" w:space="0" w:color="auto"/>
              <w:bottom w:val="single" w:sz="4" w:space="0" w:color="auto"/>
              <w:right w:val="single" w:sz="4" w:space="0" w:color="auto"/>
            </w:tcBorders>
          </w:tcPr>
          <w:p w14:paraId="2A22C869"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Durant l’exploitation du site</w:t>
            </w:r>
          </w:p>
        </w:tc>
      </w:tr>
      <w:tr w:rsidR="00C801A6" w:rsidRPr="00C801A6" w14:paraId="660E6845" w14:textId="77777777" w:rsidTr="00CB4938">
        <w:trPr>
          <w:trHeight w:val="864"/>
        </w:trPr>
        <w:tc>
          <w:tcPr>
            <w:tcW w:w="2492" w:type="dxa"/>
            <w:vMerge w:val="restart"/>
            <w:tcBorders>
              <w:top w:val="single" w:sz="4" w:space="0" w:color="auto"/>
              <w:left w:val="single" w:sz="4" w:space="0" w:color="auto"/>
              <w:right w:val="single" w:sz="4" w:space="0" w:color="auto"/>
            </w:tcBorders>
          </w:tcPr>
          <w:p w14:paraId="2A3FE589"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Abattage par des tirs à l’explosif</w:t>
            </w:r>
          </w:p>
        </w:tc>
        <w:tc>
          <w:tcPr>
            <w:tcW w:w="2521" w:type="dxa"/>
            <w:vMerge w:val="restart"/>
            <w:tcBorders>
              <w:top w:val="single" w:sz="4" w:space="0" w:color="auto"/>
              <w:left w:val="single" w:sz="4" w:space="0" w:color="auto"/>
              <w:right w:val="single" w:sz="4" w:space="0" w:color="auto"/>
            </w:tcBorders>
          </w:tcPr>
          <w:p w14:paraId="705584F8"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Risques d’accidents</w:t>
            </w:r>
          </w:p>
        </w:tc>
        <w:tc>
          <w:tcPr>
            <w:tcW w:w="2777" w:type="dxa"/>
            <w:tcBorders>
              <w:top w:val="single" w:sz="4" w:space="0" w:color="auto"/>
              <w:left w:val="single" w:sz="4" w:space="0" w:color="auto"/>
              <w:bottom w:val="single" w:sz="4" w:space="0" w:color="auto"/>
              <w:right w:val="single" w:sz="4" w:space="0" w:color="auto"/>
            </w:tcBorders>
          </w:tcPr>
          <w:p w14:paraId="1BDB13E2" w14:textId="77777777" w:rsidR="00064FF0" w:rsidRPr="00C801A6" w:rsidRDefault="00064FF0" w:rsidP="00844538">
            <w:pPr>
              <w:pStyle w:val="ListParagraph"/>
              <w:numPr>
                <w:ilvl w:val="0"/>
                <w:numId w:val="28"/>
              </w:numPr>
              <w:spacing w:before="40" w:after="40" w:line="276" w:lineRule="auto"/>
              <w:ind w:left="142" w:hanging="142"/>
              <w:contextualSpacing w:val="0"/>
              <w:jc w:val="left"/>
              <w:rPr>
                <w:rFonts w:cs="Times New Roman"/>
                <w:color w:val="auto"/>
                <w:sz w:val="20"/>
                <w:szCs w:val="20"/>
              </w:rPr>
            </w:pPr>
            <w:r w:rsidRPr="00C801A6">
              <w:rPr>
                <w:rFonts w:cs="Times New Roman"/>
                <w:color w:val="auto"/>
                <w:sz w:val="20"/>
                <w:szCs w:val="20"/>
              </w:rPr>
              <w:t>Respecter la distance de sécurité d’au moins d’au moins 80m</w:t>
            </w:r>
          </w:p>
        </w:tc>
        <w:tc>
          <w:tcPr>
            <w:tcW w:w="2364" w:type="dxa"/>
            <w:tcBorders>
              <w:top w:val="single" w:sz="4" w:space="0" w:color="auto"/>
              <w:left w:val="single" w:sz="4" w:space="0" w:color="auto"/>
              <w:bottom w:val="single" w:sz="4" w:space="0" w:color="auto"/>
              <w:right w:val="single" w:sz="4" w:space="0" w:color="auto"/>
            </w:tcBorders>
          </w:tcPr>
          <w:p w14:paraId="3E968D42" w14:textId="77777777" w:rsidR="00064FF0" w:rsidRPr="00C801A6" w:rsidRDefault="00064FF0" w:rsidP="00844538">
            <w:pPr>
              <w:pStyle w:val="ListParagraph"/>
              <w:numPr>
                <w:ilvl w:val="0"/>
                <w:numId w:val="28"/>
              </w:numPr>
              <w:spacing w:before="40" w:after="40" w:line="276" w:lineRule="auto"/>
              <w:ind w:left="142" w:hanging="142"/>
              <w:contextualSpacing w:val="0"/>
              <w:jc w:val="left"/>
              <w:rPr>
                <w:rFonts w:cs="Times New Roman"/>
                <w:color w:val="auto"/>
                <w:sz w:val="20"/>
                <w:szCs w:val="20"/>
              </w:rPr>
            </w:pPr>
            <w:r w:rsidRPr="00C801A6">
              <w:rPr>
                <w:rFonts w:cs="Times New Roman"/>
                <w:color w:val="auto"/>
                <w:sz w:val="20"/>
                <w:szCs w:val="20"/>
              </w:rPr>
              <w:t>Nombre d’accidents liés aux tirs</w:t>
            </w:r>
          </w:p>
        </w:tc>
        <w:tc>
          <w:tcPr>
            <w:tcW w:w="1546" w:type="dxa"/>
            <w:tcBorders>
              <w:top w:val="single" w:sz="4" w:space="0" w:color="auto"/>
              <w:left w:val="single" w:sz="4" w:space="0" w:color="auto"/>
              <w:bottom w:val="single" w:sz="4" w:space="0" w:color="auto"/>
              <w:right w:val="single" w:sz="4" w:space="0" w:color="auto"/>
            </w:tcBorders>
          </w:tcPr>
          <w:p w14:paraId="30B5F3BF"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Comptage</w:t>
            </w:r>
          </w:p>
        </w:tc>
        <w:tc>
          <w:tcPr>
            <w:tcW w:w="1672" w:type="dxa"/>
            <w:tcBorders>
              <w:top w:val="single" w:sz="4" w:space="0" w:color="auto"/>
              <w:left w:val="single" w:sz="4" w:space="0" w:color="auto"/>
              <w:bottom w:val="single" w:sz="4" w:space="0" w:color="auto"/>
              <w:right w:val="single" w:sz="4" w:space="0" w:color="auto"/>
            </w:tcBorders>
          </w:tcPr>
          <w:p w14:paraId="4F54A6E6"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 xml:space="preserve">Entreprise </w:t>
            </w:r>
          </w:p>
          <w:p w14:paraId="7D93AE73"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MdC</w:t>
            </w:r>
          </w:p>
        </w:tc>
        <w:tc>
          <w:tcPr>
            <w:tcW w:w="1903" w:type="dxa"/>
            <w:tcBorders>
              <w:top w:val="single" w:sz="4" w:space="0" w:color="auto"/>
              <w:left w:val="single" w:sz="4" w:space="0" w:color="auto"/>
              <w:bottom w:val="single" w:sz="4" w:space="0" w:color="auto"/>
              <w:right w:val="single" w:sz="4" w:space="0" w:color="auto"/>
            </w:tcBorders>
          </w:tcPr>
          <w:p w14:paraId="25987D5F"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Tous les mois</w:t>
            </w:r>
          </w:p>
        </w:tc>
      </w:tr>
      <w:tr w:rsidR="00C801A6" w:rsidRPr="00C801A6" w14:paraId="00BBF146" w14:textId="77777777" w:rsidTr="00CB4938">
        <w:trPr>
          <w:trHeight w:val="1027"/>
        </w:trPr>
        <w:tc>
          <w:tcPr>
            <w:tcW w:w="2492" w:type="dxa"/>
            <w:vMerge/>
            <w:tcBorders>
              <w:left w:val="single" w:sz="4" w:space="0" w:color="auto"/>
              <w:bottom w:val="single" w:sz="4" w:space="0" w:color="auto"/>
              <w:right w:val="single" w:sz="4" w:space="0" w:color="auto"/>
            </w:tcBorders>
          </w:tcPr>
          <w:p w14:paraId="51C31933" w14:textId="77777777" w:rsidR="00064FF0" w:rsidRPr="00C801A6" w:rsidRDefault="00064FF0" w:rsidP="00347FDB">
            <w:pPr>
              <w:spacing w:before="40" w:after="40"/>
              <w:jc w:val="left"/>
              <w:rPr>
                <w:rFonts w:cs="Times New Roman"/>
                <w:color w:val="auto"/>
                <w:sz w:val="20"/>
                <w:szCs w:val="20"/>
              </w:rPr>
            </w:pPr>
          </w:p>
        </w:tc>
        <w:tc>
          <w:tcPr>
            <w:tcW w:w="2521" w:type="dxa"/>
            <w:vMerge/>
            <w:tcBorders>
              <w:left w:val="single" w:sz="4" w:space="0" w:color="auto"/>
              <w:bottom w:val="single" w:sz="4" w:space="0" w:color="auto"/>
              <w:right w:val="single" w:sz="4" w:space="0" w:color="auto"/>
            </w:tcBorders>
          </w:tcPr>
          <w:p w14:paraId="44AA9637" w14:textId="77777777" w:rsidR="00064FF0" w:rsidRPr="00C801A6" w:rsidRDefault="00064FF0" w:rsidP="00347FDB">
            <w:pPr>
              <w:spacing w:before="40" w:after="40"/>
              <w:jc w:val="left"/>
              <w:rPr>
                <w:rFonts w:cs="Times New Roman"/>
                <w:color w:val="auto"/>
                <w:sz w:val="20"/>
                <w:szCs w:val="20"/>
              </w:rPr>
            </w:pPr>
          </w:p>
        </w:tc>
        <w:tc>
          <w:tcPr>
            <w:tcW w:w="2777" w:type="dxa"/>
            <w:tcBorders>
              <w:top w:val="single" w:sz="4" w:space="0" w:color="auto"/>
              <w:left w:val="single" w:sz="4" w:space="0" w:color="auto"/>
              <w:bottom w:val="single" w:sz="4" w:space="0" w:color="auto"/>
              <w:right w:val="single" w:sz="4" w:space="0" w:color="auto"/>
            </w:tcBorders>
          </w:tcPr>
          <w:p w14:paraId="5F5189E8" w14:textId="77777777" w:rsidR="00064FF0" w:rsidRPr="00C801A6" w:rsidRDefault="00064FF0" w:rsidP="00844538">
            <w:pPr>
              <w:pStyle w:val="ListParagraph"/>
              <w:numPr>
                <w:ilvl w:val="0"/>
                <w:numId w:val="28"/>
              </w:numPr>
              <w:spacing w:before="40" w:after="40" w:line="276" w:lineRule="auto"/>
              <w:ind w:left="142" w:hanging="142"/>
              <w:contextualSpacing w:val="0"/>
              <w:jc w:val="left"/>
              <w:rPr>
                <w:rFonts w:cs="Times New Roman"/>
                <w:color w:val="auto"/>
                <w:sz w:val="20"/>
                <w:szCs w:val="20"/>
              </w:rPr>
            </w:pPr>
            <w:r w:rsidRPr="00C801A6">
              <w:rPr>
                <w:rFonts w:cs="Times New Roman"/>
                <w:color w:val="auto"/>
                <w:sz w:val="20"/>
                <w:szCs w:val="20"/>
              </w:rPr>
              <w:t>Mettre en place d’un système d’avertissement codé avec les riverains (coups de sifflet ou sirène)</w:t>
            </w:r>
          </w:p>
        </w:tc>
        <w:tc>
          <w:tcPr>
            <w:tcW w:w="2364" w:type="dxa"/>
            <w:tcBorders>
              <w:top w:val="single" w:sz="4" w:space="0" w:color="auto"/>
              <w:left w:val="single" w:sz="4" w:space="0" w:color="auto"/>
              <w:bottom w:val="single" w:sz="4" w:space="0" w:color="auto"/>
              <w:right w:val="single" w:sz="4" w:space="0" w:color="auto"/>
            </w:tcBorders>
          </w:tcPr>
          <w:p w14:paraId="56245F86" w14:textId="77777777" w:rsidR="00064FF0" w:rsidRPr="00C801A6" w:rsidRDefault="00064FF0" w:rsidP="00844538">
            <w:pPr>
              <w:pStyle w:val="ListParagraph"/>
              <w:numPr>
                <w:ilvl w:val="0"/>
                <w:numId w:val="28"/>
              </w:numPr>
              <w:spacing w:before="40" w:after="40" w:line="276" w:lineRule="auto"/>
              <w:ind w:left="142" w:hanging="142"/>
              <w:contextualSpacing w:val="0"/>
              <w:jc w:val="left"/>
              <w:rPr>
                <w:rFonts w:cs="Times New Roman"/>
                <w:color w:val="auto"/>
                <w:sz w:val="20"/>
                <w:szCs w:val="20"/>
              </w:rPr>
            </w:pPr>
            <w:r w:rsidRPr="00C801A6">
              <w:rPr>
                <w:rFonts w:cs="Times New Roman"/>
                <w:color w:val="auto"/>
                <w:sz w:val="20"/>
                <w:szCs w:val="20"/>
              </w:rPr>
              <w:t>Nombre de non-conformités sur l’avertissement des riverains avant un tir</w:t>
            </w:r>
          </w:p>
        </w:tc>
        <w:tc>
          <w:tcPr>
            <w:tcW w:w="1546" w:type="dxa"/>
            <w:tcBorders>
              <w:top w:val="single" w:sz="4" w:space="0" w:color="auto"/>
              <w:left w:val="single" w:sz="4" w:space="0" w:color="auto"/>
              <w:bottom w:val="single" w:sz="4" w:space="0" w:color="auto"/>
              <w:right w:val="single" w:sz="4" w:space="0" w:color="auto"/>
            </w:tcBorders>
          </w:tcPr>
          <w:p w14:paraId="4C717424"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Comptage</w:t>
            </w:r>
          </w:p>
        </w:tc>
        <w:tc>
          <w:tcPr>
            <w:tcW w:w="1672" w:type="dxa"/>
            <w:tcBorders>
              <w:top w:val="single" w:sz="4" w:space="0" w:color="auto"/>
              <w:left w:val="single" w:sz="4" w:space="0" w:color="auto"/>
              <w:bottom w:val="single" w:sz="4" w:space="0" w:color="auto"/>
              <w:right w:val="single" w:sz="4" w:space="0" w:color="auto"/>
            </w:tcBorders>
          </w:tcPr>
          <w:p w14:paraId="37816876"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 xml:space="preserve">Entreprise </w:t>
            </w:r>
          </w:p>
          <w:p w14:paraId="7A915978"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MdC</w:t>
            </w:r>
          </w:p>
        </w:tc>
        <w:tc>
          <w:tcPr>
            <w:tcW w:w="1903" w:type="dxa"/>
            <w:tcBorders>
              <w:top w:val="single" w:sz="4" w:space="0" w:color="auto"/>
              <w:left w:val="single" w:sz="4" w:space="0" w:color="auto"/>
              <w:bottom w:val="single" w:sz="4" w:space="0" w:color="auto"/>
              <w:right w:val="single" w:sz="4" w:space="0" w:color="auto"/>
            </w:tcBorders>
          </w:tcPr>
          <w:p w14:paraId="3522524C"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Tous les mois</w:t>
            </w:r>
          </w:p>
        </w:tc>
      </w:tr>
      <w:tr w:rsidR="00C801A6" w:rsidRPr="00C801A6" w14:paraId="402A0D0F" w14:textId="77777777" w:rsidTr="00CB4938">
        <w:trPr>
          <w:trHeight w:val="324"/>
        </w:trPr>
        <w:tc>
          <w:tcPr>
            <w:tcW w:w="5013" w:type="dxa"/>
            <w:gridSpan w:val="2"/>
            <w:tcBorders>
              <w:top w:val="single" w:sz="4" w:space="0" w:color="auto"/>
              <w:left w:val="single" w:sz="4" w:space="0" w:color="auto"/>
              <w:bottom w:val="single" w:sz="4" w:space="0" w:color="auto"/>
              <w:right w:val="nil"/>
            </w:tcBorders>
            <w:shd w:val="clear" w:color="auto" w:fill="F4FC88"/>
            <w:vAlign w:val="center"/>
          </w:tcPr>
          <w:p w14:paraId="4523BEBB" w14:textId="77777777" w:rsidR="00064FF0" w:rsidRPr="00C801A6" w:rsidRDefault="00064FF0" w:rsidP="00347FDB">
            <w:pPr>
              <w:spacing w:before="40" w:after="40"/>
              <w:jc w:val="left"/>
              <w:rPr>
                <w:rFonts w:cs="Times New Roman"/>
                <w:color w:val="auto"/>
                <w:sz w:val="20"/>
                <w:szCs w:val="20"/>
              </w:rPr>
            </w:pPr>
            <w:r w:rsidRPr="00C801A6">
              <w:rPr>
                <w:rFonts w:cs="Times New Roman"/>
                <w:b/>
                <w:bCs/>
                <w:caps/>
                <w:color w:val="auto"/>
                <w:sz w:val="20"/>
                <w:szCs w:val="20"/>
              </w:rPr>
              <w:t>P</w:t>
            </w:r>
            <w:r w:rsidRPr="00C801A6">
              <w:rPr>
                <w:rFonts w:cs="Times New Roman"/>
                <w:b/>
                <w:bCs/>
                <w:color w:val="auto"/>
                <w:sz w:val="20"/>
                <w:szCs w:val="20"/>
              </w:rPr>
              <w:t>hase de fermeture d’un site</w:t>
            </w:r>
          </w:p>
        </w:tc>
        <w:tc>
          <w:tcPr>
            <w:tcW w:w="2777" w:type="dxa"/>
            <w:tcBorders>
              <w:top w:val="single" w:sz="4" w:space="0" w:color="auto"/>
              <w:left w:val="nil"/>
              <w:bottom w:val="single" w:sz="4" w:space="0" w:color="auto"/>
              <w:right w:val="nil"/>
            </w:tcBorders>
            <w:shd w:val="clear" w:color="auto" w:fill="F4FC88"/>
          </w:tcPr>
          <w:p w14:paraId="0758DD89" w14:textId="77777777" w:rsidR="00064FF0" w:rsidRPr="00C801A6" w:rsidRDefault="00064FF0" w:rsidP="00347FDB">
            <w:pPr>
              <w:spacing w:before="40" w:after="40"/>
              <w:jc w:val="left"/>
              <w:rPr>
                <w:rFonts w:cs="Times New Roman"/>
                <w:b/>
                <w:bCs/>
                <w:caps/>
                <w:color w:val="auto"/>
                <w:sz w:val="20"/>
                <w:szCs w:val="20"/>
              </w:rPr>
            </w:pPr>
          </w:p>
        </w:tc>
        <w:tc>
          <w:tcPr>
            <w:tcW w:w="2364" w:type="dxa"/>
            <w:tcBorders>
              <w:top w:val="single" w:sz="4" w:space="0" w:color="auto"/>
              <w:left w:val="nil"/>
              <w:bottom w:val="single" w:sz="4" w:space="0" w:color="auto"/>
              <w:right w:val="nil"/>
            </w:tcBorders>
            <w:shd w:val="clear" w:color="auto" w:fill="F4FC88"/>
          </w:tcPr>
          <w:p w14:paraId="7737884A" w14:textId="77777777" w:rsidR="00064FF0" w:rsidRPr="00C801A6" w:rsidRDefault="00064FF0" w:rsidP="00347FDB">
            <w:pPr>
              <w:spacing w:before="40" w:after="40"/>
              <w:jc w:val="left"/>
              <w:rPr>
                <w:rFonts w:cs="Times New Roman"/>
                <w:b/>
                <w:bCs/>
                <w:caps/>
                <w:color w:val="auto"/>
                <w:sz w:val="20"/>
                <w:szCs w:val="20"/>
              </w:rPr>
            </w:pPr>
          </w:p>
        </w:tc>
        <w:tc>
          <w:tcPr>
            <w:tcW w:w="1546" w:type="dxa"/>
            <w:tcBorders>
              <w:top w:val="single" w:sz="4" w:space="0" w:color="auto"/>
              <w:left w:val="nil"/>
              <w:bottom w:val="single" w:sz="4" w:space="0" w:color="auto"/>
              <w:right w:val="nil"/>
            </w:tcBorders>
            <w:shd w:val="clear" w:color="auto" w:fill="F4FC88"/>
          </w:tcPr>
          <w:p w14:paraId="28746F94" w14:textId="77777777" w:rsidR="00064FF0" w:rsidRPr="00C801A6" w:rsidRDefault="00064FF0" w:rsidP="00347FDB">
            <w:pPr>
              <w:spacing w:before="40" w:after="40"/>
              <w:jc w:val="left"/>
              <w:rPr>
                <w:rFonts w:cs="Times New Roman"/>
                <w:b/>
                <w:bCs/>
                <w:caps/>
                <w:color w:val="auto"/>
                <w:sz w:val="20"/>
                <w:szCs w:val="20"/>
              </w:rPr>
            </w:pPr>
          </w:p>
        </w:tc>
        <w:tc>
          <w:tcPr>
            <w:tcW w:w="1672" w:type="dxa"/>
            <w:tcBorders>
              <w:top w:val="single" w:sz="4" w:space="0" w:color="auto"/>
              <w:left w:val="nil"/>
              <w:bottom w:val="single" w:sz="4" w:space="0" w:color="auto"/>
              <w:right w:val="nil"/>
            </w:tcBorders>
            <w:shd w:val="clear" w:color="auto" w:fill="F4FC88"/>
          </w:tcPr>
          <w:p w14:paraId="15E93B70" w14:textId="77777777" w:rsidR="00064FF0" w:rsidRPr="00C801A6" w:rsidRDefault="00064FF0" w:rsidP="00347FDB">
            <w:pPr>
              <w:spacing w:before="40" w:after="40"/>
              <w:jc w:val="left"/>
              <w:rPr>
                <w:rFonts w:cs="Times New Roman"/>
                <w:b/>
                <w:bCs/>
                <w:caps/>
                <w:color w:val="auto"/>
                <w:sz w:val="20"/>
                <w:szCs w:val="20"/>
              </w:rPr>
            </w:pPr>
          </w:p>
        </w:tc>
        <w:tc>
          <w:tcPr>
            <w:tcW w:w="1903" w:type="dxa"/>
            <w:tcBorders>
              <w:top w:val="single" w:sz="4" w:space="0" w:color="auto"/>
              <w:left w:val="nil"/>
              <w:bottom w:val="single" w:sz="4" w:space="0" w:color="auto"/>
              <w:right w:val="single" w:sz="4" w:space="0" w:color="auto"/>
            </w:tcBorders>
            <w:shd w:val="clear" w:color="auto" w:fill="F4FC88"/>
          </w:tcPr>
          <w:p w14:paraId="2F99F3C8" w14:textId="77777777" w:rsidR="00064FF0" w:rsidRPr="00C801A6" w:rsidRDefault="00064FF0" w:rsidP="00347FDB">
            <w:pPr>
              <w:spacing w:before="40" w:after="40"/>
              <w:jc w:val="left"/>
              <w:rPr>
                <w:rFonts w:cs="Times New Roman"/>
                <w:b/>
                <w:bCs/>
                <w:caps/>
                <w:color w:val="auto"/>
                <w:sz w:val="20"/>
                <w:szCs w:val="20"/>
              </w:rPr>
            </w:pPr>
          </w:p>
        </w:tc>
      </w:tr>
      <w:tr w:rsidR="00C801A6" w:rsidRPr="00C801A6" w14:paraId="3FFE98C5" w14:textId="77777777" w:rsidTr="00CB4938">
        <w:trPr>
          <w:trHeight w:val="359"/>
        </w:trPr>
        <w:tc>
          <w:tcPr>
            <w:tcW w:w="2492" w:type="dxa"/>
            <w:vMerge w:val="restart"/>
            <w:tcBorders>
              <w:top w:val="single" w:sz="4" w:space="0" w:color="auto"/>
            </w:tcBorders>
            <w:vAlign w:val="center"/>
          </w:tcPr>
          <w:p w14:paraId="2843C447"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Opérations de fermeture</w:t>
            </w:r>
          </w:p>
        </w:tc>
        <w:tc>
          <w:tcPr>
            <w:tcW w:w="2521" w:type="dxa"/>
            <w:tcBorders>
              <w:top w:val="single" w:sz="4" w:space="0" w:color="auto"/>
            </w:tcBorders>
            <w:vAlign w:val="center"/>
          </w:tcPr>
          <w:p w14:paraId="4ACDAABD"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Modification du paysage</w:t>
            </w:r>
          </w:p>
        </w:tc>
        <w:tc>
          <w:tcPr>
            <w:tcW w:w="2777" w:type="dxa"/>
            <w:tcBorders>
              <w:top w:val="single" w:sz="4" w:space="0" w:color="auto"/>
            </w:tcBorders>
          </w:tcPr>
          <w:p w14:paraId="4F1BF16C"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Au besoin planter des arbres pour obtenir un effet d’écran</w:t>
            </w:r>
          </w:p>
        </w:tc>
        <w:tc>
          <w:tcPr>
            <w:tcW w:w="2364" w:type="dxa"/>
            <w:tcBorders>
              <w:top w:val="single" w:sz="4" w:space="0" w:color="auto"/>
            </w:tcBorders>
          </w:tcPr>
          <w:p w14:paraId="7E099120" w14:textId="77777777" w:rsidR="00064FF0" w:rsidRPr="00C801A6" w:rsidRDefault="00064FF0" w:rsidP="00844538">
            <w:pPr>
              <w:pStyle w:val="ListParagraph"/>
              <w:numPr>
                <w:ilvl w:val="0"/>
                <w:numId w:val="28"/>
              </w:numPr>
              <w:spacing w:before="40" w:after="40" w:line="276" w:lineRule="auto"/>
              <w:ind w:left="142" w:hanging="142"/>
              <w:contextualSpacing w:val="0"/>
              <w:jc w:val="left"/>
              <w:rPr>
                <w:rFonts w:cs="Times New Roman"/>
                <w:color w:val="auto"/>
                <w:sz w:val="20"/>
                <w:szCs w:val="20"/>
              </w:rPr>
            </w:pPr>
            <w:r w:rsidRPr="00C801A6">
              <w:rPr>
                <w:rFonts w:cs="Times New Roman"/>
                <w:color w:val="auto"/>
                <w:sz w:val="20"/>
                <w:szCs w:val="20"/>
              </w:rPr>
              <w:t>Efficacité de l’effet d’écran</w:t>
            </w:r>
          </w:p>
        </w:tc>
        <w:tc>
          <w:tcPr>
            <w:tcW w:w="1546" w:type="dxa"/>
            <w:tcBorders>
              <w:top w:val="single" w:sz="4" w:space="0" w:color="auto"/>
            </w:tcBorders>
          </w:tcPr>
          <w:p w14:paraId="5011711C"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Estimation</w:t>
            </w:r>
          </w:p>
        </w:tc>
        <w:tc>
          <w:tcPr>
            <w:tcW w:w="1672" w:type="dxa"/>
            <w:tcBorders>
              <w:top w:val="single" w:sz="4" w:space="0" w:color="auto"/>
            </w:tcBorders>
          </w:tcPr>
          <w:p w14:paraId="482D1C02"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 xml:space="preserve">Entreprise </w:t>
            </w:r>
          </w:p>
          <w:p w14:paraId="05985498"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MdC, UGP</w:t>
            </w:r>
          </w:p>
        </w:tc>
        <w:tc>
          <w:tcPr>
            <w:tcW w:w="1903" w:type="dxa"/>
            <w:tcBorders>
              <w:top w:val="single" w:sz="4" w:space="0" w:color="auto"/>
            </w:tcBorders>
          </w:tcPr>
          <w:p w14:paraId="3FF1F2DB"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Avant fermeture</w:t>
            </w:r>
          </w:p>
        </w:tc>
      </w:tr>
      <w:tr w:rsidR="00C801A6" w:rsidRPr="00C801A6" w14:paraId="11A6C8E1" w14:textId="77777777" w:rsidTr="00CB4938">
        <w:trPr>
          <w:trHeight w:val="359"/>
        </w:trPr>
        <w:tc>
          <w:tcPr>
            <w:tcW w:w="2492" w:type="dxa"/>
            <w:vMerge/>
          </w:tcPr>
          <w:p w14:paraId="253795E9" w14:textId="77777777" w:rsidR="00064FF0" w:rsidRPr="00C801A6" w:rsidRDefault="00064FF0" w:rsidP="00347FDB">
            <w:pPr>
              <w:spacing w:before="40" w:after="40"/>
              <w:jc w:val="left"/>
              <w:rPr>
                <w:rFonts w:cs="Times New Roman"/>
                <w:color w:val="auto"/>
                <w:sz w:val="20"/>
                <w:szCs w:val="20"/>
              </w:rPr>
            </w:pPr>
          </w:p>
        </w:tc>
        <w:tc>
          <w:tcPr>
            <w:tcW w:w="2521" w:type="dxa"/>
            <w:vAlign w:val="center"/>
          </w:tcPr>
          <w:p w14:paraId="607EC50A"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Risques d’accidents liés au front de taille</w:t>
            </w:r>
          </w:p>
        </w:tc>
        <w:tc>
          <w:tcPr>
            <w:tcW w:w="2777" w:type="dxa"/>
          </w:tcPr>
          <w:p w14:paraId="7A59EFB7"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 xml:space="preserve">Respecter la hauteur des gradins de 5m </w:t>
            </w:r>
          </w:p>
        </w:tc>
        <w:tc>
          <w:tcPr>
            <w:tcW w:w="2364" w:type="dxa"/>
          </w:tcPr>
          <w:p w14:paraId="674E2C93" w14:textId="77777777" w:rsidR="00064FF0" w:rsidRPr="00C801A6" w:rsidRDefault="00064FF0" w:rsidP="00844538">
            <w:pPr>
              <w:pStyle w:val="ListParagraph"/>
              <w:numPr>
                <w:ilvl w:val="0"/>
                <w:numId w:val="28"/>
              </w:numPr>
              <w:spacing w:before="40" w:after="40" w:line="276" w:lineRule="auto"/>
              <w:ind w:left="142" w:hanging="142"/>
              <w:contextualSpacing w:val="0"/>
              <w:jc w:val="left"/>
              <w:rPr>
                <w:rFonts w:cs="Times New Roman"/>
                <w:color w:val="auto"/>
                <w:sz w:val="20"/>
                <w:szCs w:val="20"/>
              </w:rPr>
            </w:pPr>
            <w:r w:rsidRPr="00C801A6">
              <w:rPr>
                <w:rFonts w:cs="Times New Roman"/>
                <w:color w:val="auto"/>
                <w:sz w:val="20"/>
                <w:szCs w:val="20"/>
              </w:rPr>
              <w:t>Hauteur moyenne des gradins</w:t>
            </w:r>
          </w:p>
        </w:tc>
        <w:tc>
          <w:tcPr>
            <w:tcW w:w="1546" w:type="dxa"/>
          </w:tcPr>
          <w:p w14:paraId="3D10EF3A"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Mesure</w:t>
            </w:r>
          </w:p>
        </w:tc>
        <w:tc>
          <w:tcPr>
            <w:tcW w:w="1672" w:type="dxa"/>
          </w:tcPr>
          <w:p w14:paraId="4DB64628"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 xml:space="preserve">Entreprise </w:t>
            </w:r>
          </w:p>
          <w:p w14:paraId="64AE4E50"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MdC, UGP</w:t>
            </w:r>
          </w:p>
        </w:tc>
        <w:tc>
          <w:tcPr>
            <w:tcW w:w="1903" w:type="dxa"/>
          </w:tcPr>
          <w:p w14:paraId="0DFF2E7A"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Après exploitation</w:t>
            </w:r>
          </w:p>
        </w:tc>
      </w:tr>
      <w:tr w:rsidR="00C801A6" w:rsidRPr="00C801A6" w14:paraId="59EB1F14" w14:textId="77777777" w:rsidTr="00CB4938">
        <w:trPr>
          <w:trHeight w:val="359"/>
        </w:trPr>
        <w:tc>
          <w:tcPr>
            <w:tcW w:w="2492" w:type="dxa"/>
            <w:vMerge/>
          </w:tcPr>
          <w:p w14:paraId="467508F3" w14:textId="77777777" w:rsidR="00064FF0" w:rsidRPr="00C801A6" w:rsidRDefault="00064FF0" w:rsidP="00347FDB">
            <w:pPr>
              <w:spacing w:before="40" w:after="40"/>
              <w:jc w:val="left"/>
              <w:rPr>
                <w:rFonts w:cs="Times New Roman"/>
                <w:color w:val="auto"/>
                <w:sz w:val="20"/>
                <w:szCs w:val="20"/>
              </w:rPr>
            </w:pPr>
          </w:p>
        </w:tc>
        <w:tc>
          <w:tcPr>
            <w:tcW w:w="2521" w:type="dxa"/>
            <w:vAlign w:val="center"/>
          </w:tcPr>
          <w:p w14:paraId="12E5285F"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Risques de pollution</w:t>
            </w:r>
          </w:p>
        </w:tc>
        <w:tc>
          <w:tcPr>
            <w:tcW w:w="2777" w:type="dxa"/>
          </w:tcPr>
          <w:p w14:paraId="7C4A9309"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Bien nettoyer le site avant la fermeture</w:t>
            </w:r>
          </w:p>
        </w:tc>
        <w:tc>
          <w:tcPr>
            <w:tcW w:w="2364" w:type="dxa"/>
          </w:tcPr>
          <w:p w14:paraId="53F7A7E5" w14:textId="77777777" w:rsidR="00064FF0" w:rsidRPr="00C801A6" w:rsidRDefault="00064FF0" w:rsidP="00844538">
            <w:pPr>
              <w:pStyle w:val="ListParagraph"/>
              <w:numPr>
                <w:ilvl w:val="0"/>
                <w:numId w:val="28"/>
              </w:numPr>
              <w:spacing w:before="40" w:after="40" w:line="276" w:lineRule="auto"/>
              <w:ind w:left="142" w:hanging="142"/>
              <w:contextualSpacing w:val="0"/>
              <w:jc w:val="left"/>
              <w:rPr>
                <w:rFonts w:cs="Times New Roman"/>
                <w:color w:val="auto"/>
                <w:sz w:val="20"/>
                <w:szCs w:val="20"/>
              </w:rPr>
            </w:pPr>
            <w:r w:rsidRPr="00C801A6">
              <w:rPr>
                <w:rFonts w:cs="Times New Roman"/>
                <w:color w:val="auto"/>
                <w:sz w:val="20"/>
                <w:szCs w:val="20"/>
              </w:rPr>
              <w:t>Volume de matières résiduelles non collectées et non-évacuées</w:t>
            </w:r>
          </w:p>
        </w:tc>
        <w:tc>
          <w:tcPr>
            <w:tcW w:w="1546" w:type="dxa"/>
          </w:tcPr>
          <w:p w14:paraId="5EF0DE1F"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Estimation</w:t>
            </w:r>
          </w:p>
        </w:tc>
        <w:tc>
          <w:tcPr>
            <w:tcW w:w="1672" w:type="dxa"/>
          </w:tcPr>
          <w:p w14:paraId="5986349C"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 xml:space="preserve">Entreprise </w:t>
            </w:r>
          </w:p>
          <w:p w14:paraId="0C9D2D5A"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MdC, UGM</w:t>
            </w:r>
          </w:p>
        </w:tc>
        <w:tc>
          <w:tcPr>
            <w:tcW w:w="1903" w:type="dxa"/>
          </w:tcPr>
          <w:p w14:paraId="04E17FA9" w14:textId="77777777" w:rsidR="00064FF0" w:rsidRPr="00C801A6" w:rsidRDefault="00064FF0" w:rsidP="00347FDB">
            <w:pPr>
              <w:spacing w:before="40" w:after="40"/>
              <w:jc w:val="left"/>
              <w:rPr>
                <w:rFonts w:cs="Times New Roman"/>
                <w:color w:val="auto"/>
                <w:sz w:val="20"/>
                <w:szCs w:val="20"/>
              </w:rPr>
            </w:pPr>
            <w:r w:rsidRPr="00C801A6">
              <w:rPr>
                <w:rFonts w:cs="Times New Roman"/>
                <w:color w:val="auto"/>
                <w:sz w:val="20"/>
                <w:szCs w:val="20"/>
              </w:rPr>
              <w:t>Avant fermeture</w:t>
            </w:r>
          </w:p>
        </w:tc>
      </w:tr>
    </w:tbl>
    <w:p w14:paraId="2C14344F" w14:textId="77777777" w:rsidR="00064FF0" w:rsidRPr="00C801A6" w:rsidRDefault="00064FF0" w:rsidP="00064FF0">
      <w:pPr>
        <w:rPr>
          <w:color w:val="auto"/>
        </w:rPr>
      </w:pPr>
    </w:p>
    <w:p w14:paraId="1E277FB6" w14:textId="77777777" w:rsidR="00064FF0" w:rsidRPr="00C801A6" w:rsidRDefault="00064FF0" w:rsidP="00064FF0">
      <w:pPr>
        <w:rPr>
          <w:color w:val="auto"/>
        </w:rPr>
      </w:pPr>
    </w:p>
    <w:p w14:paraId="6475B3A4" w14:textId="77777777" w:rsidR="00575CDF" w:rsidRPr="00C801A6" w:rsidRDefault="00575CDF" w:rsidP="00575CDF">
      <w:pPr>
        <w:rPr>
          <w:color w:val="auto"/>
        </w:rPr>
      </w:pPr>
    </w:p>
    <w:p w14:paraId="12798F65" w14:textId="77777777" w:rsidR="00575CDF" w:rsidRPr="00C801A6" w:rsidRDefault="00575CDF" w:rsidP="00575CDF">
      <w:pPr>
        <w:rPr>
          <w:color w:val="auto"/>
        </w:rPr>
        <w:sectPr w:rsidR="00575CDF" w:rsidRPr="00C801A6" w:rsidSect="00CB4938">
          <w:pgSz w:w="16840" w:h="11907" w:orient="landscape" w:code="9"/>
          <w:pgMar w:top="1276" w:right="822" w:bottom="1418" w:left="992" w:header="709" w:footer="709" w:gutter="0"/>
          <w:cols w:space="708"/>
          <w:docGrid w:linePitch="360"/>
        </w:sectPr>
      </w:pPr>
    </w:p>
    <w:p w14:paraId="5C7ECFFC" w14:textId="77777777" w:rsidR="00575CDF" w:rsidRPr="00C801A6" w:rsidRDefault="00575CDF" w:rsidP="00C65572">
      <w:pPr>
        <w:pStyle w:val="Heading3"/>
      </w:pPr>
      <w:bookmarkStart w:id="841" w:name="_Toc71795005"/>
      <w:bookmarkStart w:id="842" w:name="_Toc106320445"/>
      <w:bookmarkStart w:id="843" w:name="_Toc230426098"/>
      <w:r w:rsidRPr="00C801A6">
        <w:lastRenderedPageBreak/>
        <w:t>Suivi des impacts cumulatifs</w:t>
      </w:r>
      <w:bookmarkEnd w:id="841"/>
      <w:bookmarkEnd w:id="842"/>
      <w:bookmarkEnd w:id="843"/>
    </w:p>
    <w:p w14:paraId="07FDDC87" w14:textId="77777777" w:rsidR="00575CDF" w:rsidRPr="00C801A6" w:rsidRDefault="00575CDF" w:rsidP="00575CDF">
      <w:pPr>
        <w:rPr>
          <w:color w:val="auto"/>
        </w:rPr>
      </w:pPr>
      <w:r w:rsidRPr="00C801A6">
        <w:rPr>
          <w:color w:val="auto"/>
        </w:rPr>
        <w:t>Selon la NES1, l’impact cumulatif d’un projet est l’impact qu’exerce ledit projet lorsqu’il s’ajoute à l’effet produit par d’autres aménagements passés, présents et raisonnablement prévisibles, ainsi qu’aux conséquences d’activités non planifiées, mais rendues possibles par le projet, lesquelles peuvent se dérouler plus tard ou dans un autre lieu. L’impact cumulatif peut résulter d’activités inscrites dans la durée, qui sont jugées négligeables lorsqu’elles sont prises isolément, mais importantes quand elles sont intégrées à l’ensemble du projet. L’évaluation environnementale et sociale examinera l’impact cumulatif jugé important sur la base de préoccupations d’ordre scientifique et/ou au regard des préoccupations des parties touchées par le projet. L’impact cumulatif potentiel sera déterminé le plus tôt possible, dans l’idéal, à l’étape du cadrage du projet.</w:t>
      </w:r>
    </w:p>
    <w:p w14:paraId="3101E2B0" w14:textId="77777777" w:rsidR="00575CDF" w:rsidRPr="00C801A6" w:rsidRDefault="00575CDF" w:rsidP="00575CDF">
      <w:pPr>
        <w:rPr>
          <w:color w:val="auto"/>
        </w:rPr>
      </w:pPr>
      <w:r w:rsidRPr="00C801A6">
        <w:rPr>
          <w:color w:val="auto"/>
        </w:rPr>
        <w:t>Ainsi, les effets cumulatifs, peuvent donc provenir de l'utilisation, de changements dans les ressources, les attributs ou les conditions atmosphériques, terrestres ou aquatiques. L'analyse déterminera les effets environnementaux positifs et négatifs.</w:t>
      </w:r>
    </w:p>
    <w:p w14:paraId="306243E5" w14:textId="77777777" w:rsidR="00575CDF" w:rsidRPr="00C801A6" w:rsidRDefault="00575CDF" w:rsidP="00575CDF">
      <w:pPr>
        <w:rPr>
          <w:color w:val="auto"/>
        </w:rPr>
      </w:pPr>
      <w:r w:rsidRPr="00C801A6">
        <w:rPr>
          <w:color w:val="auto"/>
        </w:rPr>
        <w:t>Plusieurs méthodes peuvent être utilisées pour identifier les impacts cumulatifs, avant de les évaluer et de les mitiger : elles utilisent toutes des données basées sur l’information géographique et les composantes valorisées de l’environnement (CVE).</w:t>
      </w:r>
    </w:p>
    <w:p w14:paraId="44D36662" w14:textId="5C359729" w:rsidR="00575CDF" w:rsidRDefault="00C16116" w:rsidP="00C16116">
      <w:pPr>
        <w:pStyle w:val="Caption"/>
        <w:rPr>
          <w:color w:val="auto"/>
        </w:rPr>
      </w:pPr>
      <w:bookmarkStart w:id="844" w:name="_Toc230427761"/>
      <w:r>
        <w:t xml:space="preserve">Tableau </w:t>
      </w:r>
      <w:r w:rsidR="00E44887">
        <w:fldChar w:fldCharType="begin"/>
      </w:r>
      <w:r w:rsidR="00E44887">
        <w:instrText xml:space="preserve"> SEQ Tableau \* ARABIC </w:instrText>
      </w:r>
      <w:r w:rsidR="00E44887">
        <w:fldChar w:fldCharType="separate"/>
      </w:r>
      <w:r w:rsidR="00646511">
        <w:rPr>
          <w:noProof/>
        </w:rPr>
        <w:t>41</w:t>
      </w:r>
      <w:r w:rsidR="00E44887">
        <w:rPr>
          <w:noProof/>
        </w:rPr>
        <w:fldChar w:fldCharType="end"/>
      </w:r>
      <w:r w:rsidR="00575CDF" w:rsidRPr="00C801A6">
        <w:rPr>
          <w:color w:val="auto"/>
        </w:rPr>
        <w:t> : Etat des lieux des outils de planification territoriale à Madagascar</w:t>
      </w:r>
      <w:bookmarkEnd w:id="844"/>
    </w:p>
    <w:tbl>
      <w:tblPr>
        <w:tblStyle w:val="TableGrid"/>
        <w:tblW w:w="9322" w:type="dxa"/>
        <w:tblLook w:val="04A0" w:firstRow="1" w:lastRow="0" w:firstColumn="1" w:lastColumn="0" w:noHBand="0" w:noVBand="1"/>
      </w:tblPr>
      <w:tblGrid>
        <w:gridCol w:w="1526"/>
        <w:gridCol w:w="2126"/>
        <w:gridCol w:w="1559"/>
        <w:gridCol w:w="1984"/>
        <w:gridCol w:w="993"/>
        <w:gridCol w:w="1134"/>
      </w:tblGrid>
      <w:tr w:rsidR="00C801A6" w:rsidRPr="00C801A6" w14:paraId="5ED20F6F" w14:textId="77777777" w:rsidTr="00347FDB">
        <w:trPr>
          <w:trHeight w:val="756"/>
          <w:tblHeader/>
        </w:trPr>
        <w:tc>
          <w:tcPr>
            <w:tcW w:w="1526" w:type="dxa"/>
            <w:tcBorders>
              <w:bottom w:val="single" w:sz="4" w:space="0" w:color="auto"/>
            </w:tcBorders>
            <w:shd w:val="clear" w:color="auto" w:fill="E2EFD9" w:themeFill="accent6" w:themeFillTint="33"/>
          </w:tcPr>
          <w:p w14:paraId="7D0B8E4C" w14:textId="77777777" w:rsidR="00575CDF" w:rsidRPr="00C801A6" w:rsidRDefault="00575CDF" w:rsidP="00347FDB">
            <w:pPr>
              <w:pStyle w:val="TableParagraph"/>
              <w:spacing w:before="40" w:after="40"/>
              <w:rPr>
                <w:rFonts w:ascii="Times New Roman" w:hAnsi="Times New Roman" w:cs="Times New Roman"/>
                <w:b/>
                <w:spacing w:val="-1"/>
                <w:lang w:val="fr-FR"/>
              </w:rPr>
            </w:pPr>
            <w:r w:rsidRPr="00C801A6">
              <w:rPr>
                <w:rFonts w:ascii="Times New Roman" w:hAnsi="Times New Roman" w:cs="Times New Roman"/>
                <w:b/>
                <w:spacing w:val="-1"/>
                <w:lang w:val="fr-FR"/>
              </w:rPr>
              <w:t>Province</w:t>
            </w:r>
          </w:p>
        </w:tc>
        <w:tc>
          <w:tcPr>
            <w:tcW w:w="2126" w:type="dxa"/>
            <w:shd w:val="clear" w:color="auto" w:fill="E2EFD9" w:themeFill="accent6" w:themeFillTint="33"/>
          </w:tcPr>
          <w:p w14:paraId="3F5EEB80" w14:textId="77777777" w:rsidR="00575CDF" w:rsidRPr="00C801A6" w:rsidRDefault="00575CDF" w:rsidP="00347FDB">
            <w:pPr>
              <w:pStyle w:val="TableParagraph"/>
              <w:spacing w:before="40" w:after="40"/>
              <w:rPr>
                <w:rFonts w:ascii="Times New Roman" w:hAnsi="Times New Roman" w:cs="Times New Roman"/>
                <w:b/>
                <w:spacing w:val="-1"/>
                <w:lang w:val="fr-FR"/>
              </w:rPr>
            </w:pPr>
            <w:r w:rsidRPr="00C801A6">
              <w:rPr>
                <w:rFonts w:ascii="Times New Roman" w:hAnsi="Times New Roman" w:cs="Times New Roman"/>
                <w:b/>
                <w:spacing w:val="-1"/>
                <w:lang w:val="fr-FR"/>
              </w:rPr>
              <w:t>Régions</w:t>
            </w:r>
          </w:p>
        </w:tc>
        <w:tc>
          <w:tcPr>
            <w:tcW w:w="1559" w:type="dxa"/>
            <w:shd w:val="clear" w:color="auto" w:fill="E2EFD9" w:themeFill="accent6" w:themeFillTint="33"/>
            <w:vAlign w:val="center"/>
          </w:tcPr>
          <w:p w14:paraId="377D6AF0" w14:textId="77777777" w:rsidR="00575CDF" w:rsidRPr="00C801A6" w:rsidRDefault="00575CDF" w:rsidP="00347FDB">
            <w:pPr>
              <w:pStyle w:val="TableParagraph"/>
              <w:spacing w:before="40" w:after="40"/>
              <w:jc w:val="center"/>
              <w:rPr>
                <w:rFonts w:ascii="Times New Roman" w:hAnsi="Times New Roman" w:cs="Times New Roman"/>
                <w:b/>
                <w:spacing w:val="-1"/>
                <w:lang w:val="fr-FR"/>
              </w:rPr>
            </w:pPr>
            <w:r w:rsidRPr="00C801A6">
              <w:rPr>
                <w:rFonts w:ascii="Times New Roman" w:hAnsi="Times New Roman" w:cs="Times New Roman"/>
                <w:b/>
                <w:spacing w:val="-1"/>
                <w:lang w:val="fr-FR"/>
              </w:rPr>
              <w:t>% SAC</w:t>
            </w:r>
          </w:p>
        </w:tc>
        <w:tc>
          <w:tcPr>
            <w:tcW w:w="1984" w:type="dxa"/>
            <w:shd w:val="clear" w:color="auto" w:fill="E2EFD9" w:themeFill="accent6" w:themeFillTint="33"/>
            <w:vAlign w:val="center"/>
          </w:tcPr>
          <w:p w14:paraId="617C4011" w14:textId="77777777" w:rsidR="00575CDF" w:rsidRPr="00C801A6" w:rsidRDefault="00575CDF" w:rsidP="00347FDB">
            <w:pPr>
              <w:pStyle w:val="TableParagraph"/>
              <w:spacing w:before="40" w:after="40"/>
              <w:jc w:val="center"/>
              <w:rPr>
                <w:rFonts w:ascii="Times New Roman" w:hAnsi="Times New Roman" w:cs="Times New Roman"/>
                <w:b/>
                <w:spacing w:val="-1"/>
                <w:lang w:val="fr-FR"/>
              </w:rPr>
            </w:pPr>
            <w:r w:rsidRPr="00C801A6">
              <w:rPr>
                <w:rFonts w:ascii="Times New Roman" w:hAnsi="Times New Roman" w:cs="Times New Roman"/>
                <w:b/>
                <w:spacing w:val="-1"/>
                <w:lang w:val="fr-FR"/>
              </w:rPr>
              <w:t>Nombre de communes rurales</w:t>
            </w:r>
          </w:p>
        </w:tc>
        <w:tc>
          <w:tcPr>
            <w:tcW w:w="993" w:type="dxa"/>
            <w:shd w:val="clear" w:color="auto" w:fill="E2EFD9" w:themeFill="accent6" w:themeFillTint="33"/>
            <w:vAlign w:val="center"/>
          </w:tcPr>
          <w:p w14:paraId="76B2C5EE" w14:textId="7ED80A61" w:rsidR="00575CDF" w:rsidRPr="00C801A6" w:rsidRDefault="00575CDF" w:rsidP="00347FDB">
            <w:pPr>
              <w:pStyle w:val="TableParagraph"/>
              <w:spacing w:before="40" w:after="40"/>
              <w:jc w:val="center"/>
              <w:rPr>
                <w:rFonts w:ascii="Times New Roman" w:hAnsi="Times New Roman" w:cs="Times New Roman"/>
                <w:b/>
                <w:spacing w:val="-1"/>
                <w:lang w:val="fr-FR"/>
              </w:rPr>
            </w:pPr>
            <w:r w:rsidRPr="00C801A6">
              <w:rPr>
                <w:rFonts w:ascii="Times New Roman" w:hAnsi="Times New Roman" w:cs="Times New Roman"/>
                <w:b/>
                <w:spacing w:val="-1"/>
                <w:lang w:val="fr-FR"/>
              </w:rPr>
              <w:t>Nombre de SAC</w:t>
            </w:r>
            <w:r w:rsidR="00380810" w:rsidRPr="00C801A6">
              <w:rPr>
                <w:rStyle w:val="FootnoteReference"/>
                <w:rFonts w:ascii="Times New Roman" w:hAnsi="Times New Roman" w:cs="Times New Roman"/>
                <w:b/>
                <w:spacing w:val="-1"/>
                <w:lang w:val="fr-FR"/>
              </w:rPr>
              <w:footnoteReference w:id="24"/>
            </w:r>
          </w:p>
        </w:tc>
        <w:tc>
          <w:tcPr>
            <w:tcW w:w="1134" w:type="dxa"/>
            <w:shd w:val="clear" w:color="auto" w:fill="E2EFD9" w:themeFill="accent6" w:themeFillTint="33"/>
            <w:vAlign w:val="center"/>
          </w:tcPr>
          <w:p w14:paraId="43604208" w14:textId="6C5DE0D0" w:rsidR="00575CDF" w:rsidRPr="00C801A6" w:rsidRDefault="00575CDF" w:rsidP="00347FDB">
            <w:pPr>
              <w:pStyle w:val="TableParagraph"/>
              <w:spacing w:before="40" w:after="40"/>
              <w:jc w:val="center"/>
              <w:rPr>
                <w:rFonts w:ascii="Times New Roman" w:hAnsi="Times New Roman" w:cs="Times New Roman"/>
                <w:b/>
                <w:spacing w:val="-1"/>
                <w:lang w:val="fr-FR"/>
              </w:rPr>
            </w:pPr>
            <w:r w:rsidRPr="00C801A6">
              <w:rPr>
                <w:rFonts w:ascii="Times New Roman" w:hAnsi="Times New Roman" w:cs="Times New Roman"/>
                <w:b/>
                <w:spacing w:val="-1"/>
                <w:lang w:val="fr-FR"/>
              </w:rPr>
              <w:t>Nombre de SRAT</w:t>
            </w:r>
            <w:r w:rsidR="00380810" w:rsidRPr="00C801A6">
              <w:rPr>
                <w:rStyle w:val="FootnoteReference"/>
                <w:rFonts w:ascii="Times New Roman" w:hAnsi="Times New Roman" w:cs="Times New Roman"/>
                <w:b/>
                <w:spacing w:val="-1"/>
                <w:lang w:val="fr-FR"/>
              </w:rPr>
              <w:footnoteReference w:id="25"/>
            </w:r>
          </w:p>
        </w:tc>
      </w:tr>
      <w:tr w:rsidR="00C801A6" w:rsidRPr="00C801A6" w14:paraId="6ADA0727" w14:textId="77777777" w:rsidTr="00347FDB">
        <w:tc>
          <w:tcPr>
            <w:tcW w:w="1526" w:type="dxa"/>
            <w:tcBorders>
              <w:top w:val="single" w:sz="4" w:space="0" w:color="auto"/>
              <w:left w:val="single" w:sz="4" w:space="0" w:color="auto"/>
              <w:bottom w:val="nil"/>
              <w:right w:val="single" w:sz="4" w:space="0" w:color="auto"/>
            </w:tcBorders>
          </w:tcPr>
          <w:p w14:paraId="3BA7100F" w14:textId="77777777" w:rsidR="00575CDF" w:rsidRPr="00C801A6" w:rsidRDefault="00575CDF" w:rsidP="00347FDB">
            <w:pPr>
              <w:pStyle w:val="TableParagraph"/>
              <w:spacing w:before="40" w:after="40"/>
              <w:rPr>
                <w:rFonts w:ascii="Times New Roman" w:hAnsi="Times New Roman" w:cs="Times New Roman"/>
                <w:spacing w:val="-1"/>
                <w:lang w:val="fr-FR"/>
              </w:rPr>
            </w:pPr>
            <w:r w:rsidRPr="00C801A6">
              <w:rPr>
                <w:rFonts w:ascii="Times New Roman" w:hAnsi="Times New Roman" w:cs="Times New Roman"/>
                <w:spacing w:val="-1"/>
                <w:lang w:val="fr-FR"/>
              </w:rPr>
              <w:t>Antananarivo</w:t>
            </w:r>
          </w:p>
        </w:tc>
        <w:tc>
          <w:tcPr>
            <w:tcW w:w="2126" w:type="dxa"/>
            <w:tcBorders>
              <w:left w:val="single" w:sz="4" w:space="0" w:color="auto"/>
            </w:tcBorders>
          </w:tcPr>
          <w:p w14:paraId="131FD729" w14:textId="77777777" w:rsidR="00575CDF" w:rsidRPr="00C801A6" w:rsidRDefault="00575CDF" w:rsidP="00347FDB">
            <w:pPr>
              <w:pStyle w:val="TableParagraph"/>
              <w:spacing w:before="40" w:after="40"/>
              <w:rPr>
                <w:rFonts w:ascii="Times New Roman" w:hAnsi="Times New Roman" w:cs="Times New Roman"/>
                <w:spacing w:val="-1"/>
                <w:lang w:val="fr-FR"/>
              </w:rPr>
            </w:pPr>
            <w:r w:rsidRPr="00C801A6">
              <w:rPr>
                <w:rFonts w:ascii="Times New Roman" w:hAnsi="Times New Roman" w:cs="Times New Roman"/>
                <w:spacing w:val="-1"/>
                <w:lang w:val="fr-FR"/>
              </w:rPr>
              <w:t>Analamanga</w:t>
            </w:r>
          </w:p>
        </w:tc>
        <w:tc>
          <w:tcPr>
            <w:tcW w:w="1559" w:type="dxa"/>
            <w:vAlign w:val="center"/>
          </w:tcPr>
          <w:p w14:paraId="478DECDA"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16,18%</w:t>
            </w:r>
          </w:p>
        </w:tc>
        <w:tc>
          <w:tcPr>
            <w:tcW w:w="1984" w:type="dxa"/>
            <w:vAlign w:val="center"/>
          </w:tcPr>
          <w:p w14:paraId="2AC44070"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136</w:t>
            </w:r>
          </w:p>
        </w:tc>
        <w:tc>
          <w:tcPr>
            <w:tcW w:w="993" w:type="dxa"/>
            <w:vAlign w:val="center"/>
          </w:tcPr>
          <w:p w14:paraId="45E8C8FA"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22</w:t>
            </w:r>
          </w:p>
        </w:tc>
        <w:tc>
          <w:tcPr>
            <w:tcW w:w="1134" w:type="dxa"/>
            <w:vAlign w:val="center"/>
          </w:tcPr>
          <w:p w14:paraId="0E72F2D1"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p>
        </w:tc>
      </w:tr>
      <w:tr w:rsidR="00C801A6" w:rsidRPr="00C801A6" w14:paraId="3A4A4726" w14:textId="77777777" w:rsidTr="00347FDB">
        <w:tc>
          <w:tcPr>
            <w:tcW w:w="1526" w:type="dxa"/>
            <w:tcBorders>
              <w:top w:val="nil"/>
              <w:left w:val="single" w:sz="4" w:space="0" w:color="auto"/>
              <w:bottom w:val="nil"/>
              <w:right w:val="single" w:sz="4" w:space="0" w:color="auto"/>
            </w:tcBorders>
          </w:tcPr>
          <w:p w14:paraId="49514B18" w14:textId="77777777" w:rsidR="00575CDF" w:rsidRPr="00C801A6" w:rsidRDefault="00575CDF" w:rsidP="00347FDB">
            <w:pPr>
              <w:pStyle w:val="TableParagraph"/>
              <w:spacing w:before="40" w:after="40"/>
              <w:rPr>
                <w:rFonts w:ascii="Times New Roman" w:hAnsi="Times New Roman" w:cs="Times New Roman"/>
                <w:spacing w:val="-1"/>
                <w:lang w:val="fr-FR"/>
              </w:rPr>
            </w:pPr>
          </w:p>
        </w:tc>
        <w:tc>
          <w:tcPr>
            <w:tcW w:w="2126" w:type="dxa"/>
            <w:tcBorders>
              <w:left w:val="single" w:sz="4" w:space="0" w:color="auto"/>
            </w:tcBorders>
          </w:tcPr>
          <w:p w14:paraId="4EBAAF29" w14:textId="77777777" w:rsidR="00575CDF" w:rsidRPr="00C801A6" w:rsidRDefault="00575CDF" w:rsidP="00347FDB">
            <w:pPr>
              <w:pStyle w:val="TableParagraph"/>
              <w:spacing w:before="40" w:after="40"/>
              <w:rPr>
                <w:rFonts w:ascii="Times New Roman" w:hAnsi="Times New Roman" w:cs="Times New Roman"/>
                <w:spacing w:val="-1"/>
                <w:lang w:val="fr-FR"/>
              </w:rPr>
            </w:pPr>
            <w:r w:rsidRPr="00C801A6">
              <w:rPr>
                <w:rFonts w:ascii="Times New Roman" w:hAnsi="Times New Roman" w:cs="Times New Roman"/>
                <w:spacing w:val="-1"/>
                <w:lang w:val="fr-FR"/>
              </w:rPr>
              <w:t>Bongolava</w:t>
            </w:r>
          </w:p>
        </w:tc>
        <w:tc>
          <w:tcPr>
            <w:tcW w:w="1559" w:type="dxa"/>
            <w:vAlign w:val="center"/>
          </w:tcPr>
          <w:p w14:paraId="6ADE90C2"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0,00%</w:t>
            </w:r>
          </w:p>
        </w:tc>
        <w:tc>
          <w:tcPr>
            <w:tcW w:w="1984" w:type="dxa"/>
            <w:vAlign w:val="center"/>
          </w:tcPr>
          <w:p w14:paraId="77644CA6"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30</w:t>
            </w:r>
          </w:p>
        </w:tc>
        <w:tc>
          <w:tcPr>
            <w:tcW w:w="993" w:type="dxa"/>
            <w:vAlign w:val="center"/>
          </w:tcPr>
          <w:p w14:paraId="5DDD64FA"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0</w:t>
            </w:r>
          </w:p>
        </w:tc>
        <w:tc>
          <w:tcPr>
            <w:tcW w:w="1134" w:type="dxa"/>
            <w:vAlign w:val="center"/>
          </w:tcPr>
          <w:p w14:paraId="1177C196"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p>
        </w:tc>
      </w:tr>
      <w:tr w:rsidR="00C801A6" w:rsidRPr="00C801A6" w14:paraId="4F0B68AC" w14:textId="77777777" w:rsidTr="00347FDB">
        <w:tc>
          <w:tcPr>
            <w:tcW w:w="1526" w:type="dxa"/>
            <w:tcBorders>
              <w:top w:val="nil"/>
              <w:left w:val="single" w:sz="4" w:space="0" w:color="auto"/>
              <w:bottom w:val="nil"/>
              <w:right w:val="single" w:sz="4" w:space="0" w:color="auto"/>
            </w:tcBorders>
          </w:tcPr>
          <w:p w14:paraId="4E98445C" w14:textId="77777777" w:rsidR="00575CDF" w:rsidRPr="00C801A6" w:rsidRDefault="00575CDF" w:rsidP="00347FDB">
            <w:pPr>
              <w:pStyle w:val="TableParagraph"/>
              <w:spacing w:before="40" w:after="40"/>
              <w:rPr>
                <w:rFonts w:ascii="Times New Roman" w:hAnsi="Times New Roman" w:cs="Times New Roman"/>
                <w:spacing w:val="-1"/>
                <w:lang w:val="fr-FR"/>
              </w:rPr>
            </w:pPr>
          </w:p>
        </w:tc>
        <w:tc>
          <w:tcPr>
            <w:tcW w:w="2126" w:type="dxa"/>
            <w:tcBorders>
              <w:left w:val="single" w:sz="4" w:space="0" w:color="auto"/>
            </w:tcBorders>
          </w:tcPr>
          <w:p w14:paraId="4283692B" w14:textId="77777777" w:rsidR="00575CDF" w:rsidRPr="00C801A6" w:rsidRDefault="00575CDF" w:rsidP="00347FDB">
            <w:pPr>
              <w:pStyle w:val="TableParagraph"/>
              <w:spacing w:before="40" w:after="40"/>
              <w:rPr>
                <w:rFonts w:ascii="Times New Roman" w:hAnsi="Times New Roman" w:cs="Times New Roman"/>
                <w:spacing w:val="-1"/>
                <w:lang w:val="fr-FR"/>
              </w:rPr>
            </w:pPr>
            <w:r w:rsidRPr="00C801A6">
              <w:rPr>
                <w:rFonts w:ascii="Times New Roman" w:hAnsi="Times New Roman" w:cs="Times New Roman"/>
                <w:spacing w:val="-1"/>
                <w:lang w:val="fr-FR"/>
              </w:rPr>
              <w:t>Itasy</w:t>
            </w:r>
          </w:p>
        </w:tc>
        <w:tc>
          <w:tcPr>
            <w:tcW w:w="1559" w:type="dxa"/>
            <w:vAlign w:val="center"/>
          </w:tcPr>
          <w:p w14:paraId="4666781A"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4,08%</w:t>
            </w:r>
          </w:p>
        </w:tc>
        <w:tc>
          <w:tcPr>
            <w:tcW w:w="1984" w:type="dxa"/>
            <w:vAlign w:val="center"/>
          </w:tcPr>
          <w:p w14:paraId="641A6359"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49</w:t>
            </w:r>
          </w:p>
        </w:tc>
        <w:tc>
          <w:tcPr>
            <w:tcW w:w="993" w:type="dxa"/>
            <w:vAlign w:val="center"/>
          </w:tcPr>
          <w:p w14:paraId="6362285E"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2</w:t>
            </w:r>
          </w:p>
        </w:tc>
        <w:tc>
          <w:tcPr>
            <w:tcW w:w="1134" w:type="dxa"/>
            <w:vAlign w:val="center"/>
          </w:tcPr>
          <w:p w14:paraId="47B39296"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1</w:t>
            </w:r>
          </w:p>
        </w:tc>
      </w:tr>
      <w:tr w:rsidR="00C801A6" w:rsidRPr="00C801A6" w14:paraId="15EE5CC5" w14:textId="77777777" w:rsidTr="00347FDB">
        <w:tc>
          <w:tcPr>
            <w:tcW w:w="1526" w:type="dxa"/>
            <w:tcBorders>
              <w:top w:val="nil"/>
              <w:left w:val="single" w:sz="4" w:space="0" w:color="auto"/>
              <w:bottom w:val="single" w:sz="4" w:space="0" w:color="auto"/>
              <w:right w:val="single" w:sz="4" w:space="0" w:color="auto"/>
            </w:tcBorders>
          </w:tcPr>
          <w:p w14:paraId="03BB62B5" w14:textId="77777777" w:rsidR="00575CDF" w:rsidRPr="00C801A6" w:rsidRDefault="00575CDF" w:rsidP="00347FDB">
            <w:pPr>
              <w:pStyle w:val="TableParagraph"/>
              <w:spacing w:before="40" w:after="40"/>
              <w:rPr>
                <w:rFonts w:ascii="Times New Roman" w:hAnsi="Times New Roman" w:cs="Times New Roman"/>
                <w:spacing w:val="-1"/>
                <w:lang w:val="fr-FR"/>
              </w:rPr>
            </w:pPr>
          </w:p>
        </w:tc>
        <w:tc>
          <w:tcPr>
            <w:tcW w:w="2126" w:type="dxa"/>
            <w:tcBorders>
              <w:left w:val="single" w:sz="4" w:space="0" w:color="auto"/>
            </w:tcBorders>
          </w:tcPr>
          <w:p w14:paraId="46C67386" w14:textId="77777777" w:rsidR="00575CDF" w:rsidRPr="00C801A6" w:rsidRDefault="00575CDF" w:rsidP="00347FDB">
            <w:pPr>
              <w:pStyle w:val="TableParagraph"/>
              <w:spacing w:before="40" w:after="40"/>
              <w:rPr>
                <w:rFonts w:ascii="Times New Roman" w:hAnsi="Times New Roman" w:cs="Times New Roman"/>
                <w:spacing w:val="-1"/>
                <w:lang w:val="fr-FR"/>
              </w:rPr>
            </w:pPr>
            <w:r w:rsidRPr="00C801A6">
              <w:rPr>
                <w:rFonts w:ascii="Times New Roman" w:hAnsi="Times New Roman" w:cs="Times New Roman"/>
                <w:spacing w:val="-1"/>
                <w:lang w:val="fr-FR"/>
              </w:rPr>
              <w:t>Vakinankaratra</w:t>
            </w:r>
          </w:p>
        </w:tc>
        <w:tc>
          <w:tcPr>
            <w:tcW w:w="1559" w:type="dxa"/>
            <w:vAlign w:val="center"/>
          </w:tcPr>
          <w:p w14:paraId="464AB73E"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3,49%</w:t>
            </w:r>
          </w:p>
        </w:tc>
        <w:tc>
          <w:tcPr>
            <w:tcW w:w="1984" w:type="dxa"/>
            <w:vAlign w:val="center"/>
          </w:tcPr>
          <w:p w14:paraId="3B649E04"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86</w:t>
            </w:r>
          </w:p>
        </w:tc>
        <w:tc>
          <w:tcPr>
            <w:tcW w:w="993" w:type="dxa"/>
            <w:vAlign w:val="center"/>
          </w:tcPr>
          <w:p w14:paraId="1E0EC6CA"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3</w:t>
            </w:r>
          </w:p>
        </w:tc>
        <w:tc>
          <w:tcPr>
            <w:tcW w:w="1134" w:type="dxa"/>
            <w:vAlign w:val="center"/>
          </w:tcPr>
          <w:p w14:paraId="37ECE3DD"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1</w:t>
            </w:r>
          </w:p>
        </w:tc>
      </w:tr>
      <w:tr w:rsidR="00C801A6" w:rsidRPr="00C801A6" w14:paraId="715680A6" w14:textId="77777777" w:rsidTr="00347FDB">
        <w:tc>
          <w:tcPr>
            <w:tcW w:w="1526" w:type="dxa"/>
            <w:tcBorders>
              <w:top w:val="single" w:sz="4" w:space="0" w:color="auto"/>
              <w:left w:val="single" w:sz="4" w:space="0" w:color="auto"/>
              <w:bottom w:val="nil"/>
              <w:right w:val="single" w:sz="4" w:space="0" w:color="auto"/>
            </w:tcBorders>
          </w:tcPr>
          <w:p w14:paraId="7469AFFB" w14:textId="77777777" w:rsidR="00575CDF" w:rsidRPr="00C801A6" w:rsidRDefault="00575CDF" w:rsidP="00347FDB">
            <w:pPr>
              <w:pStyle w:val="TableParagraph"/>
              <w:spacing w:before="40" w:after="40"/>
              <w:rPr>
                <w:rFonts w:ascii="Times New Roman" w:hAnsi="Times New Roman" w:cs="Times New Roman"/>
                <w:spacing w:val="-1"/>
                <w:lang w:val="fr-FR"/>
              </w:rPr>
            </w:pPr>
            <w:r w:rsidRPr="00C801A6">
              <w:rPr>
                <w:rFonts w:ascii="Times New Roman" w:hAnsi="Times New Roman" w:cs="Times New Roman"/>
                <w:spacing w:val="-1"/>
                <w:lang w:val="fr-FR"/>
              </w:rPr>
              <w:t>Toliara</w:t>
            </w:r>
          </w:p>
        </w:tc>
        <w:tc>
          <w:tcPr>
            <w:tcW w:w="2126" w:type="dxa"/>
            <w:tcBorders>
              <w:left w:val="single" w:sz="4" w:space="0" w:color="auto"/>
            </w:tcBorders>
          </w:tcPr>
          <w:p w14:paraId="159115CA" w14:textId="77777777" w:rsidR="00575CDF" w:rsidRPr="00C801A6" w:rsidRDefault="00575CDF" w:rsidP="00347FDB">
            <w:pPr>
              <w:pStyle w:val="TableParagraph"/>
              <w:spacing w:before="40" w:after="40"/>
              <w:rPr>
                <w:rFonts w:ascii="Times New Roman" w:hAnsi="Times New Roman" w:cs="Times New Roman"/>
                <w:spacing w:val="-1"/>
                <w:lang w:val="fr-FR"/>
              </w:rPr>
            </w:pPr>
            <w:r w:rsidRPr="00C801A6">
              <w:rPr>
                <w:rFonts w:ascii="Times New Roman" w:hAnsi="Times New Roman" w:cs="Times New Roman"/>
                <w:spacing w:val="-1"/>
                <w:lang w:val="fr-FR"/>
              </w:rPr>
              <w:t>Anosy</w:t>
            </w:r>
          </w:p>
        </w:tc>
        <w:tc>
          <w:tcPr>
            <w:tcW w:w="1559" w:type="dxa"/>
            <w:vAlign w:val="center"/>
          </w:tcPr>
          <w:p w14:paraId="79FDA58B"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1,52%</w:t>
            </w:r>
          </w:p>
        </w:tc>
        <w:tc>
          <w:tcPr>
            <w:tcW w:w="1984" w:type="dxa"/>
            <w:vAlign w:val="center"/>
          </w:tcPr>
          <w:p w14:paraId="12C4CA6C"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66</w:t>
            </w:r>
          </w:p>
        </w:tc>
        <w:tc>
          <w:tcPr>
            <w:tcW w:w="993" w:type="dxa"/>
            <w:vAlign w:val="center"/>
          </w:tcPr>
          <w:p w14:paraId="22964DB4"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1</w:t>
            </w:r>
          </w:p>
        </w:tc>
        <w:tc>
          <w:tcPr>
            <w:tcW w:w="1134" w:type="dxa"/>
            <w:vAlign w:val="center"/>
          </w:tcPr>
          <w:p w14:paraId="7B2FBC44"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1</w:t>
            </w:r>
          </w:p>
        </w:tc>
      </w:tr>
      <w:tr w:rsidR="00C801A6" w:rsidRPr="00C801A6" w14:paraId="5F1EE4A8" w14:textId="77777777" w:rsidTr="00347FDB">
        <w:tc>
          <w:tcPr>
            <w:tcW w:w="1526" w:type="dxa"/>
            <w:tcBorders>
              <w:top w:val="nil"/>
              <w:left w:val="single" w:sz="4" w:space="0" w:color="auto"/>
              <w:bottom w:val="nil"/>
              <w:right w:val="single" w:sz="4" w:space="0" w:color="auto"/>
            </w:tcBorders>
          </w:tcPr>
          <w:p w14:paraId="1E925B90" w14:textId="77777777" w:rsidR="00575CDF" w:rsidRPr="00C801A6" w:rsidRDefault="00575CDF" w:rsidP="00347FDB">
            <w:pPr>
              <w:pStyle w:val="TableParagraph"/>
              <w:spacing w:before="40" w:after="40"/>
              <w:rPr>
                <w:rFonts w:ascii="Times New Roman" w:hAnsi="Times New Roman" w:cs="Times New Roman"/>
                <w:spacing w:val="-1"/>
                <w:lang w:val="fr-FR"/>
              </w:rPr>
            </w:pPr>
          </w:p>
        </w:tc>
        <w:tc>
          <w:tcPr>
            <w:tcW w:w="2126" w:type="dxa"/>
            <w:tcBorders>
              <w:left w:val="single" w:sz="4" w:space="0" w:color="auto"/>
            </w:tcBorders>
          </w:tcPr>
          <w:p w14:paraId="6FCF7582" w14:textId="77777777" w:rsidR="00575CDF" w:rsidRPr="00C801A6" w:rsidRDefault="00575CDF" w:rsidP="00347FDB">
            <w:pPr>
              <w:pStyle w:val="TableParagraph"/>
              <w:spacing w:before="40" w:after="40"/>
              <w:rPr>
                <w:rFonts w:ascii="Times New Roman" w:hAnsi="Times New Roman" w:cs="Times New Roman"/>
                <w:spacing w:val="-1"/>
                <w:lang w:val="fr-FR"/>
              </w:rPr>
            </w:pPr>
            <w:r w:rsidRPr="00C801A6">
              <w:rPr>
                <w:rFonts w:ascii="Times New Roman" w:hAnsi="Times New Roman" w:cs="Times New Roman"/>
                <w:spacing w:val="-1"/>
                <w:lang w:val="fr-FR"/>
              </w:rPr>
              <w:t>Androy</w:t>
            </w:r>
          </w:p>
        </w:tc>
        <w:tc>
          <w:tcPr>
            <w:tcW w:w="1559" w:type="dxa"/>
            <w:vAlign w:val="center"/>
          </w:tcPr>
          <w:p w14:paraId="04DBE009"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0,00%</w:t>
            </w:r>
          </w:p>
        </w:tc>
        <w:tc>
          <w:tcPr>
            <w:tcW w:w="1984" w:type="dxa"/>
            <w:vAlign w:val="center"/>
          </w:tcPr>
          <w:p w14:paraId="022E6AA7"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56</w:t>
            </w:r>
          </w:p>
        </w:tc>
        <w:tc>
          <w:tcPr>
            <w:tcW w:w="993" w:type="dxa"/>
            <w:vAlign w:val="center"/>
          </w:tcPr>
          <w:p w14:paraId="49BE30AE"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0</w:t>
            </w:r>
          </w:p>
        </w:tc>
        <w:tc>
          <w:tcPr>
            <w:tcW w:w="1134" w:type="dxa"/>
            <w:vAlign w:val="center"/>
          </w:tcPr>
          <w:p w14:paraId="205E5CE8"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1</w:t>
            </w:r>
          </w:p>
        </w:tc>
      </w:tr>
      <w:tr w:rsidR="00C801A6" w:rsidRPr="00C801A6" w14:paraId="277DD566" w14:textId="77777777" w:rsidTr="00347FDB">
        <w:tc>
          <w:tcPr>
            <w:tcW w:w="1526" w:type="dxa"/>
            <w:tcBorders>
              <w:top w:val="nil"/>
              <w:left w:val="single" w:sz="4" w:space="0" w:color="auto"/>
              <w:bottom w:val="nil"/>
              <w:right w:val="single" w:sz="4" w:space="0" w:color="auto"/>
            </w:tcBorders>
          </w:tcPr>
          <w:p w14:paraId="3F36D999" w14:textId="77777777" w:rsidR="00575CDF" w:rsidRPr="00C801A6" w:rsidRDefault="00575CDF" w:rsidP="00347FDB">
            <w:pPr>
              <w:pStyle w:val="TableParagraph"/>
              <w:spacing w:before="40" w:after="40"/>
              <w:rPr>
                <w:rFonts w:ascii="Times New Roman" w:hAnsi="Times New Roman" w:cs="Times New Roman"/>
                <w:spacing w:val="-1"/>
                <w:lang w:val="fr-FR"/>
              </w:rPr>
            </w:pPr>
          </w:p>
        </w:tc>
        <w:tc>
          <w:tcPr>
            <w:tcW w:w="2126" w:type="dxa"/>
            <w:tcBorders>
              <w:left w:val="single" w:sz="4" w:space="0" w:color="auto"/>
            </w:tcBorders>
          </w:tcPr>
          <w:p w14:paraId="364690E2" w14:textId="77777777" w:rsidR="00575CDF" w:rsidRPr="00C801A6" w:rsidRDefault="00575CDF" w:rsidP="00347FDB">
            <w:pPr>
              <w:pStyle w:val="TableParagraph"/>
              <w:spacing w:before="40" w:after="40"/>
              <w:rPr>
                <w:rFonts w:ascii="Times New Roman" w:hAnsi="Times New Roman" w:cs="Times New Roman"/>
                <w:spacing w:val="-1"/>
                <w:lang w:val="fr-FR"/>
              </w:rPr>
            </w:pPr>
            <w:r w:rsidRPr="00C801A6">
              <w:rPr>
                <w:rFonts w:ascii="Times New Roman" w:hAnsi="Times New Roman" w:cs="Times New Roman"/>
                <w:spacing w:val="-1"/>
                <w:lang w:val="fr-FR"/>
              </w:rPr>
              <w:t>Atsimo andrefana</w:t>
            </w:r>
          </w:p>
        </w:tc>
        <w:tc>
          <w:tcPr>
            <w:tcW w:w="1559" w:type="dxa"/>
            <w:vAlign w:val="center"/>
          </w:tcPr>
          <w:p w14:paraId="4C3100D2"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17,09%</w:t>
            </w:r>
          </w:p>
        </w:tc>
        <w:tc>
          <w:tcPr>
            <w:tcW w:w="1984" w:type="dxa"/>
            <w:vAlign w:val="center"/>
          </w:tcPr>
          <w:p w14:paraId="0EF96683"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117</w:t>
            </w:r>
          </w:p>
        </w:tc>
        <w:tc>
          <w:tcPr>
            <w:tcW w:w="993" w:type="dxa"/>
            <w:vAlign w:val="center"/>
          </w:tcPr>
          <w:p w14:paraId="10DE6A7D"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20</w:t>
            </w:r>
          </w:p>
        </w:tc>
        <w:tc>
          <w:tcPr>
            <w:tcW w:w="1134" w:type="dxa"/>
            <w:vAlign w:val="center"/>
          </w:tcPr>
          <w:p w14:paraId="3FA7E80B"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1</w:t>
            </w:r>
          </w:p>
        </w:tc>
      </w:tr>
      <w:tr w:rsidR="00C801A6" w:rsidRPr="00C801A6" w14:paraId="1C949923" w14:textId="77777777" w:rsidTr="00347FDB">
        <w:tc>
          <w:tcPr>
            <w:tcW w:w="1526" w:type="dxa"/>
            <w:tcBorders>
              <w:top w:val="nil"/>
              <w:left w:val="single" w:sz="4" w:space="0" w:color="auto"/>
              <w:bottom w:val="single" w:sz="4" w:space="0" w:color="auto"/>
              <w:right w:val="single" w:sz="4" w:space="0" w:color="auto"/>
            </w:tcBorders>
          </w:tcPr>
          <w:p w14:paraId="21707702" w14:textId="77777777" w:rsidR="00575CDF" w:rsidRPr="00C801A6" w:rsidRDefault="00575CDF" w:rsidP="00347FDB">
            <w:pPr>
              <w:pStyle w:val="TableParagraph"/>
              <w:spacing w:before="40" w:after="40"/>
              <w:rPr>
                <w:rFonts w:ascii="Times New Roman" w:hAnsi="Times New Roman" w:cs="Times New Roman"/>
                <w:spacing w:val="-1"/>
                <w:lang w:val="fr-FR"/>
              </w:rPr>
            </w:pPr>
          </w:p>
        </w:tc>
        <w:tc>
          <w:tcPr>
            <w:tcW w:w="2126" w:type="dxa"/>
            <w:tcBorders>
              <w:left w:val="single" w:sz="4" w:space="0" w:color="auto"/>
            </w:tcBorders>
          </w:tcPr>
          <w:p w14:paraId="7292501B" w14:textId="77777777" w:rsidR="00575CDF" w:rsidRPr="00C801A6" w:rsidRDefault="00575CDF" w:rsidP="00347FDB">
            <w:pPr>
              <w:pStyle w:val="TableParagraph"/>
              <w:spacing w:before="40" w:after="40"/>
              <w:rPr>
                <w:rFonts w:ascii="Times New Roman" w:hAnsi="Times New Roman" w:cs="Times New Roman"/>
                <w:spacing w:val="-1"/>
                <w:lang w:val="fr-FR"/>
              </w:rPr>
            </w:pPr>
            <w:r w:rsidRPr="00C801A6">
              <w:rPr>
                <w:rFonts w:ascii="Times New Roman" w:hAnsi="Times New Roman" w:cs="Times New Roman"/>
                <w:spacing w:val="-1"/>
                <w:lang w:val="fr-FR"/>
              </w:rPr>
              <w:t>Menabe</w:t>
            </w:r>
          </w:p>
        </w:tc>
        <w:tc>
          <w:tcPr>
            <w:tcW w:w="1559" w:type="dxa"/>
            <w:vAlign w:val="center"/>
          </w:tcPr>
          <w:p w14:paraId="7218077A"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6,00%</w:t>
            </w:r>
          </w:p>
        </w:tc>
        <w:tc>
          <w:tcPr>
            <w:tcW w:w="1984" w:type="dxa"/>
            <w:vAlign w:val="center"/>
          </w:tcPr>
          <w:p w14:paraId="1EE3D446"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50</w:t>
            </w:r>
          </w:p>
        </w:tc>
        <w:tc>
          <w:tcPr>
            <w:tcW w:w="993" w:type="dxa"/>
            <w:vAlign w:val="center"/>
          </w:tcPr>
          <w:p w14:paraId="25534C23"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3</w:t>
            </w:r>
          </w:p>
        </w:tc>
        <w:tc>
          <w:tcPr>
            <w:tcW w:w="1134" w:type="dxa"/>
            <w:vAlign w:val="center"/>
          </w:tcPr>
          <w:p w14:paraId="079C91DE"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p>
        </w:tc>
      </w:tr>
      <w:tr w:rsidR="00C801A6" w:rsidRPr="00C801A6" w14:paraId="574A8555" w14:textId="77777777" w:rsidTr="00347FDB">
        <w:tc>
          <w:tcPr>
            <w:tcW w:w="1526" w:type="dxa"/>
            <w:tcBorders>
              <w:top w:val="single" w:sz="4" w:space="0" w:color="auto"/>
              <w:left w:val="single" w:sz="4" w:space="0" w:color="auto"/>
              <w:bottom w:val="nil"/>
              <w:right w:val="single" w:sz="4" w:space="0" w:color="auto"/>
            </w:tcBorders>
          </w:tcPr>
          <w:p w14:paraId="0BC3A2FE" w14:textId="77777777" w:rsidR="00575CDF" w:rsidRPr="00C801A6" w:rsidRDefault="00575CDF" w:rsidP="00347FDB">
            <w:pPr>
              <w:pStyle w:val="TableParagraph"/>
              <w:spacing w:before="40" w:after="40"/>
              <w:rPr>
                <w:rFonts w:ascii="Times New Roman" w:hAnsi="Times New Roman" w:cs="Times New Roman"/>
                <w:spacing w:val="-1"/>
                <w:lang w:val="fr-FR"/>
              </w:rPr>
            </w:pPr>
            <w:r w:rsidRPr="00C801A6">
              <w:rPr>
                <w:rFonts w:ascii="Times New Roman" w:hAnsi="Times New Roman" w:cs="Times New Roman"/>
                <w:spacing w:val="-1"/>
                <w:lang w:val="fr-FR"/>
              </w:rPr>
              <w:t>Antsiranana</w:t>
            </w:r>
          </w:p>
        </w:tc>
        <w:tc>
          <w:tcPr>
            <w:tcW w:w="2126" w:type="dxa"/>
            <w:tcBorders>
              <w:left w:val="single" w:sz="4" w:space="0" w:color="auto"/>
            </w:tcBorders>
          </w:tcPr>
          <w:p w14:paraId="6B50A47E" w14:textId="77777777" w:rsidR="00575CDF" w:rsidRPr="00C801A6" w:rsidRDefault="00575CDF" w:rsidP="00347FDB">
            <w:pPr>
              <w:pStyle w:val="TableParagraph"/>
              <w:spacing w:before="40" w:after="40"/>
              <w:rPr>
                <w:rFonts w:ascii="Times New Roman" w:hAnsi="Times New Roman" w:cs="Times New Roman"/>
                <w:spacing w:val="-1"/>
                <w:lang w:val="fr-FR"/>
              </w:rPr>
            </w:pPr>
            <w:r w:rsidRPr="00C801A6">
              <w:rPr>
                <w:rFonts w:ascii="Times New Roman" w:hAnsi="Times New Roman" w:cs="Times New Roman"/>
                <w:spacing w:val="-1"/>
                <w:lang w:val="fr-FR"/>
              </w:rPr>
              <w:t>Diana</w:t>
            </w:r>
          </w:p>
        </w:tc>
        <w:tc>
          <w:tcPr>
            <w:tcW w:w="1559" w:type="dxa"/>
            <w:vAlign w:val="center"/>
          </w:tcPr>
          <w:p w14:paraId="0FC354C9"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24,19%</w:t>
            </w:r>
          </w:p>
        </w:tc>
        <w:tc>
          <w:tcPr>
            <w:tcW w:w="1984" w:type="dxa"/>
            <w:vAlign w:val="center"/>
          </w:tcPr>
          <w:p w14:paraId="539862C8"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62</w:t>
            </w:r>
          </w:p>
        </w:tc>
        <w:tc>
          <w:tcPr>
            <w:tcW w:w="993" w:type="dxa"/>
            <w:vAlign w:val="center"/>
          </w:tcPr>
          <w:p w14:paraId="1812829A"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15</w:t>
            </w:r>
          </w:p>
        </w:tc>
        <w:tc>
          <w:tcPr>
            <w:tcW w:w="1134" w:type="dxa"/>
            <w:vAlign w:val="center"/>
          </w:tcPr>
          <w:p w14:paraId="19290FA9"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1</w:t>
            </w:r>
          </w:p>
        </w:tc>
      </w:tr>
      <w:tr w:rsidR="00C801A6" w:rsidRPr="00C801A6" w14:paraId="018656F0" w14:textId="77777777" w:rsidTr="00347FDB">
        <w:tc>
          <w:tcPr>
            <w:tcW w:w="1526" w:type="dxa"/>
            <w:tcBorders>
              <w:top w:val="nil"/>
              <w:left w:val="single" w:sz="4" w:space="0" w:color="auto"/>
              <w:bottom w:val="single" w:sz="4" w:space="0" w:color="auto"/>
              <w:right w:val="single" w:sz="4" w:space="0" w:color="auto"/>
            </w:tcBorders>
          </w:tcPr>
          <w:p w14:paraId="60E9FDE5" w14:textId="77777777" w:rsidR="00575CDF" w:rsidRPr="00C801A6" w:rsidRDefault="00575CDF" w:rsidP="00347FDB">
            <w:pPr>
              <w:pStyle w:val="TableParagraph"/>
              <w:spacing w:before="40" w:after="40"/>
              <w:rPr>
                <w:rFonts w:ascii="Times New Roman" w:hAnsi="Times New Roman" w:cs="Times New Roman"/>
                <w:spacing w:val="-1"/>
                <w:lang w:val="fr-FR"/>
              </w:rPr>
            </w:pPr>
          </w:p>
        </w:tc>
        <w:tc>
          <w:tcPr>
            <w:tcW w:w="2126" w:type="dxa"/>
            <w:tcBorders>
              <w:left w:val="single" w:sz="4" w:space="0" w:color="auto"/>
            </w:tcBorders>
          </w:tcPr>
          <w:p w14:paraId="0BBE293D" w14:textId="77777777" w:rsidR="00575CDF" w:rsidRPr="00C801A6" w:rsidRDefault="00575CDF" w:rsidP="00347FDB">
            <w:pPr>
              <w:pStyle w:val="TableParagraph"/>
              <w:spacing w:before="40" w:after="40"/>
              <w:rPr>
                <w:rFonts w:ascii="Times New Roman" w:hAnsi="Times New Roman" w:cs="Times New Roman"/>
                <w:spacing w:val="-1"/>
                <w:lang w:val="fr-FR"/>
              </w:rPr>
            </w:pPr>
            <w:r w:rsidRPr="00C801A6">
              <w:rPr>
                <w:rFonts w:ascii="Times New Roman" w:hAnsi="Times New Roman" w:cs="Times New Roman"/>
                <w:spacing w:val="-1"/>
                <w:lang w:val="fr-FR"/>
              </w:rPr>
              <w:t>Sava</w:t>
            </w:r>
          </w:p>
        </w:tc>
        <w:tc>
          <w:tcPr>
            <w:tcW w:w="1559" w:type="dxa"/>
            <w:vAlign w:val="center"/>
          </w:tcPr>
          <w:p w14:paraId="1940C3FB"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0,00%</w:t>
            </w:r>
          </w:p>
        </w:tc>
        <w:tc>
          <w:tcPr>
            <w:tcW w:w="1984" w:type="dxa"/>
            <w:vAlign w:val="center"/>
          </w:tcPr>
          <w:p w14:paraId="64AB3E36"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82</w:t>
            </w:r>
          </w:p>
        </w:tc>
        <w:tc>
          <w:tcPr>
            <w:tcW w:w="993" w:type="dxa"/>
            <w:vAlign w:val="center"/>
          </w:tcPr>
          <w:p w14:paraId="187E8924"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0</w:t>
            </w:r>
          </w:p>
        </w:tc>
        <w:tc>
          <w:tcPr>
            <w:tcW w:w="1134" w:type="dxa"/>
            <w:vAlign w:val="center"/>
          </w:tcPr>
          <w:p w14:paraId="495FF6A8"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p>
        </w:tc>
      </w:tr>
      <w:tr w:rsidR="00C801A6" w:rsidRPr="00C801A6" w14:paraId="47FE9C0A" w14:textId="77777777" w:rsidTr="00347FDB">
        <w:tc>
          <w:tcPr>
            <w:tcW w:w="1526" w:type="dxa"/>
            <w:tcBorders>
              <w:top w:val="single" w:sz="4" w:space="0" w:color="auto"/>
              <w:left w:val="single" w:sz="4" w:space="0" w:color="auto"/>
              <w:bottom w:val="nil"/>
              <w:right w:val="single" w:sz="4" w:space="0" w:color="auto"/>
            </w:tcBorders>
          </w:tcPr>
          <w:p w14:paraId="19C1E8BE" w14:textId="77777777" w:rsidR="00575CDF" w:rsidRPr="00C801A6" w:rsidRDefault="00575CDF" w:rsidP="00347FDB">
            <w:pPr>
              <w:pStyle w:val="TableParagraph"/>
              <w:spacing w:before="40" w:after="40"/>
              <w:rPr>
                <w:rFonts w:ascii="Times New Roman" w:hAnsi="Times New Roman" w:cs="Times New Roman"/>
                <w:spacing w:val="-1"/>
                <w:lang w:val="fr-FR"/>
              </w:rPr>
            </w:pPr>
            <w:r w:rsidRPr="00C801A6">
              <w:rPr>
                <w:rFonts w:ascii="Times New Roman" w:hAnsi="Times New Roman" w:cs="Times New Roman"/>
                <w:spacing w:val="-1"/>
                <w:lang w:val="fr-FR"/>
              </w:rPr>
              <w:t>Fianarantsoa</w:t>
            </w:r>
          </w:p>
        </w:tc>
        <w:tc>
          <w:tcPr>
            <w:tcW w:w="2126" w:type="dxa"/>
            <w:tcBorders>
              <w:left w:val="single" w:sz="4" w:space="0" w:color="auto"/>
            </w:tcBorders>
          </w:tcPr>
          <w:p w14:paraId="3F0A734D" w14:textId="77777777" w:rsidR="00575CDF" w:rsidRPr="00C801A6" w:rsidRDefault="00575CDF" w:rsidP="00347FDB">
            <w:pPr>
              <w:pStyle w:val="TableParagraph"/>
              <w:spacing w:before="40" w:after="40"/>
              <w:rPr>
                <w:rFonts w:ascii="Times New Roman" w:hAnsi="Times New Roman" w:cs="Times New Roman"/>
                <w:spacing w:val="-1"/>
                <w:lang w:val="fr-FR"/>
              </w:rPr>
            </w:pPr>
            <w:r w:rsidRPr="00C801A6">
              <w:rPr>
                <w:rFonts w:ascii="Times New Roman" w:hAnsi="Times New Roman" w:cs="Times New Roman"/>
                <w:spacing w:val="-1"/>
                <w:lang w:val="fr-FR"/>
              </w:rPr>
              <w:t>Haute matsiatra</w:t>
            </w:r>
          </w:p>
        </w:tc>
        <w:tc>
          <w:tcPr>
            <w:tcW w:w="1559" w:type="dxa"/>
            <w:vAlign w:val="center"/>
          </w:tcPr>
          <w:p w14:paraId="0EF631BF"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0,00%</w:t>
            </w:r>
          </w:p>
        </w:tc>
        <w:tc>
          <w:tcPr>
            <w:tcW w:w="1984" w:type="dxa"/>
            <w:vAlign w:val="center"/>
          </w:tcPr>
          <w:p w14:paraId="15DF233D"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88</w:t>
            </w:r>
          </w:p>
        </w:tc>
        <w:tc>
          <w:tcPr>
            <w:tcW w:w="993" w:type="dxa"/>
            <w:vAlign w:val="center"/>
          </w:tcPr>
          <w:p w14:paraId="2C578D24"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0</w:t>
            </w:r>
          </w:p>
        </w:tc>
        <w:tc>
          <w:tcPr>
            <w:tcW w:w="1134" w:type="dxa"/>
            <w:vAlign w:val="center"/>
          </w:tcPr>
          <w:p w14:paraId="35CE5779"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1</w:t>
            </w:r>
          </w:p>
        </w:tc>
      </w:tr>
      <w:tr w:rsidR="00C801A6" w:rsidRPr="00C801A6" w14:paraId="713D6929" w14:textId="77777777" w:rsidTr="00347FDB">
        <w:tc>
          <w:tcPr>
            <w:tcW w:w="1526" w:type="dxa"/>
            <w:tcBorders>
              <w:top w:val="nil"/>
              <w:left w:val="single" w:sz="4" w:space="0" w:color="auto"/>
              <w:bottom w:val="nil"/>
              <w:right w:val="single" w:sz="4" w:space="0" w:color="auto"/>
            </w:tcBorders>
          </w:tcPr>
          <w:p w14:paraId="0DB518BB" w14:textId="77777777" w:rsidR="00575CDF" w:rsidRPr="00C801A6" w:rsidRDefault="00575CDF" w:rsidP="00347FDB">
            <w:pPr>
              <w:pStyle w:val="TableParagraph"/>
              <w:spacing w:before="40" w:after="40"/>
              <w:rPr>
                <w:rFonts w:ascii="Times New Roman" w:hAnsi="Times New Roman" w:cs="Times New Roman"/>
                <w:spacing w:val="-1"/>
                <w:lang w:val="fr-FR"/>
              </w:rPr>
            </w:pPr>
          </w:p>
        </w:tc>
        <w:tc>
          <w:tcPr>
            <w:tcW w:w="2126" w:type="dxa"/>
            <w:tcBorders>
              <w:left w:val="single" w:sz="4" w:space="0" w:color="auto"/>
            </w:tcBorders>
          </w:tcPr>
          <w:p w14:paraId="77828364" w14:textId="77777777" w:rsidR="00575CDF" w:rsidRPr="00C801A6" w:rsidRDefault="00575CDF" w:rsidP="00347FDB">
            <w:pPr>
              <w:pStyle w:val="TableParagraph"/>
              <w:spacing w:before="40" w:after="40"/>
              <w:rPr>
                <w:rFonts w:ascii="Times New Roman" w:hAnsi="Times New Roman" w:cs="Times New Roman"/>
                <w:spacing w:val="-1"/>
                <w:lang w:val="fr-FR"/>
              </w:rPr>
            </w:pPr>
            <w:r w:rsidRPr="00C801A6">
              <w:rPr>
                <w:rFonts w:ascii="Times New Roman" w:hAnsi="Times New Roman" w:cs="Times New Roman"/>
                <w:spacing w:val="-1"/>
                <w:lang w:val="fr-FR"/>
              </w:rPr>
              <w:t>Amoron’i mania</w:t>
            </w:r>
          </w:p>
        </w:tc>
        <w:tc>
          <w:tcPr>
            <w:tcW w:w="1559" w:type="dxa"/>
            <w:vAlign w:val="center"/>
          </w:tcPr>
          <w:p w14:paraId="64F77BC7"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0,00%</w:t>
            </w:r>
          </w:p>
        </w:tc>
        <w:tc>
          <w:tcPr>
            <w:tcW w:w="1984" w:type="dxa"/>
            <w:vAlign w:val="center"/>
          </w:tcPr>
          <w:p w14:paraId="0554633A"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58</w:t>
            </w:r>
          </w:p>
        </w:tc>
        <w:tc>
          <w:tcPr>
            <w:tcW w:w="993" w:type="dxa"/>
            <w:vAlign w:val="center"/>
          </w:tcPr>
          <w:p w14:paraId="116F6B0F"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0</w:t>
            </w:r>
          </w:p>
        </w:tc>
        <w:tc>
          <w:tcPr>
            <w:tcW w:w="1134" w:type="dxa"/>
            <w:vAlign w:val="center"/>
          </w:tcPr>
          <w:p w14:paraId="7A6AE0C2"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1</w:t>
            </w:r>
          </w:p>
        </w:tc>
      </w:tr>
      <w:tr w:rsidR="00C801A6" w:rsidRPr="00C801A6" w14:paraId="5AFDC15A" w14:textId="77777777" w:rsidTr="00347FDB">
        <w:tc>
          <w:tcPr>
            <w:tcW w:w="1526" w:type="dxa"/>
            <w:tcBorders>
              <w:top w:val="nil"/>
              <w:left w:val="single" w:sz="4" w:space="0" w:color="auto"/>
              <w:bottom w:val="nil"/>
              <w:right w:val="single" w:sz="4" w:space="0" w:color="auto"/>
            </w:tcBorders>
          </w:tcPr>
          <w:p w14:paraId="5BF83F4E" w14:textId="77777777" w:rsidR="00575CDF" w:rsidRPr="00C801A6" w:rsidRDefault="00575CDF" w:rsidP="00347FDB">
            <w:pPr>
              <w:pStyle w:val="TableParagraph"/>
              <w:spacing w:before="40" w:after="40"/>
              <w:rPr>
                <w:rFonts w:ascii="Times New Roman" w:hAnsi="Times New Roman" w:cs="Times New Roman"/>
                <w:spacing w:val="-1"/>
                <w:lang w:val="fr-FR"/>
              </w:rPr>
            </w:pPr>
          </w:p>
        </w:tc>
        <w:tc>
          <w:tcPr>
            <w:tcW w:w="2126" w:type="dxa"/>
            <w:tcBorders>
              <w:left w:val="single" w:sz="4" w:space="0" w:color="auto"/>
            </w:tcBorders>
          </w:tcPr>
          <w:p w14:paraId="5DA18573" w14:textId="77777777" w:rsidR="00575CDF" w:rsidRPr="00C801A6" w:rsidRDefault="00575CDF" w:rsidP="00347FDB">
            <w:pPr>
              <w:pStyle w:val="TableParagraph"/>
              <w:spacing w:before="40" w:after="40"/>
              <w:rPr>
                <w:rFonts w:ascii="Times New Roman" w:hAnsi="Times New Roman" w:cs="Times New Roman"/>
                <w:spacing w:val="-1"/>
                <w:lang w:val="fr-FR"/>
              </w:rPr>
            </w:pPr>
            <w:r w:rsidRPr="00C801A6">
              <w:rPr>
                <w:rFonts w:ascii="Times New Roman" w:hAnsi="Times New Roman" w:cs="Times New Roman"/>
                <w:spacing w:val="-1"/>
                <w:lang w:val="fr-FR"/>
              </w:rPr>
              <w:t>Ihorombe</w:t>
            </w:r>
          </w:p>
        </w:tc>
        <w:tc>
          <w:tcPr>
            <w:tcW w:w="1559" w:type="dxa"/>
            <w:vAlign w:val="center"/>
          </w:tcPr>
          <w:p w14:paraId="18897F1F"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0,00%</w:t>
            </w:r>
          </w:p>
        </w:tc>
        <w:tc>
          <w:tcPr>
            <w:tcW w:w="1984" w:type="dxa"/>
            <w:vAlign w:val="center"/>
          </w:tcPr>
          <w:p w14:paraId="6DDE82C7"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30</w:t>
            </w:r>
          </w:p>
        </w:tc>
        <w:tc>
          <w:tcPr>
            <w:tcW w:w="993" w:type="dxa"/>
            <w:vAlign w:val="center"/>
          </w:tcPr>
          <w:p w14:paraId="0C4C072E"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0</w:t>
            </w:r>
          </w:p>
        </w:tc>
        <w:tc>
          <w:tcPr>
            <w:tcW w:w="1134" w:type="dxa"/>
            <w:vAlign w:val="center"/>
          </w:tcPr>
          <w:p w14:paraId="5BBC1EFD"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1</w:t>
            </w:r>
          </w:p>
        </w:tc>
      </w:tr>
      <w:tr w:rsidR="00C801A6" w:rsidRPr="00C801A6" w14:paraId="146B20F0" w14:textId="77777777" w:rsidTr="00347FDB">
        <w:tc>
          <w:tcPr>
            <w:tcW w:w="1526" w:type="dxa"/>
            <w:tcBorders>
              <w:top w:val="nil"/>
              <w:left w:val="single" w:sz="4" w:space="0" w:color="auto"/>
              <w:bottom w:val="nil"/>
              <w:right w:val="single" w:sz="4" w:space="0" w:color="auto"/>
            </w:tcBorders>
          </w:tcPr>
          <w:p w14:paraId="53EF73AF" w14:textId="77777777" w:rsidR="00575CDF" w:rsidRPr="00C801A6" w:rsidRDefault="00575CDF" w:rsidP="00347FDB">
            <w:pPr>
              <w:pStyle w:val="TableParagraph"/>
              <w:spacing w:before="40" w:after="40"/>
              <w:rPr>
                <w:rFonts w:ascii="Times New Roman" w:hAnsi="Times New Roman" w:cs="Times New Roman"/>
                <w:spacing w:val="-1"/>
                <w:lang w:val="fr-FR"/>
              </w:rPr>
            </w:pPr>
          </w:p>
        </w:tc>
        <w:tc>
          <w:tcPr>
            <w:tcW w:w="2126" w:type="dxa"/>
            <w:tcBorders>
              <w:left w:val="single" w:sz="4" w:space="0" w:color="auto"/>
            </w:tcBorders>
          </w:tcPr>
          <w:p w14:paraId="2435E02F" w14:textId="77777777" w:rsidR="00575CDF" w:rsidRPr="00C801A6" w:rsidRDefault="00575CDF" w:rsidP="00347FDB">
            <w:pPr>
              <w:pStyle w:val="TableParagraph"/>
              <w:spacing w:before="40" w:after="40"/>
              <w:rPr>
                <w:rFonts w:ascii="Times New Roman" w:hAnsi="Times New Roman" w:cs="Times New Roman"/>
                <w:spacing w:val="-1"/>
                <w:lang w:val="fr-FR"/>
              </w:rPr>
            </w:pPr>
            <w:r w:rsidRPr="00C801A6">
              <w:rPr>
                <w:rFonts w:ascii="Times New Roman" w:hAnsi="Times New Roman" w:cs="Times New Roman"/>
                <w:spacing w:val="-1"/>
                <w:lang w:val="fr-FR"/>
              </w:rPr>
              <w:t>Atsimo atsinanana</w:t>
            </w:r>
          </w:p>
        </w:tc>
        <w:tc>
          <w:tcPr>
            <w:tcW w:w="1559" w:type="dxa"/>
            <w:vAlign w:val="center"/>
          </w:tcPr>
          <w:p w14:paraId="41E63C39"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0,00%</w:t>
            </w:r>
          </w:p>
        </w:tc>
        <w:tc>
          <w:tcPr>
            <w:tcW w:w="1984" w:type="dxa"/>
            <w:vAlign w:val="center"/>
          </w:tcPr>
          <w:p w14:paraId="38A125AF"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96</w:t>
            </w:r>
          </w:p>
        </w:tc>
        <w:tc>
          <w:tcPr>
            <w:tcW w:w="993" w:type="dxa"/>
            <w:vAlign w:val="center"/>
          </w:tcPr>
          <w:p w14:paraId="192F6F49"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0</w:t>
            </w:r>
          </w:p>
        </w:tc>
        <w:tc>
          <w:tcPr>
            <w:tcW w:w="1134" w:type="dxa"/>
            <w:vAlign w:val="center"/>
          </w:tcPr>
          <w:p w14:paraId="4BCD0CA6"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p>
        </w:tc>
      </w:tr>
      <w:tr w:rsidR="00C801A6" w:rsidRPr="00C801A6" w14:paraId="5183659C" w14:textId="77777777" w:rsidTr="00347FDB">
        <w:tc>
          <w:tcPr>
            <w:tcW w:w="1526" w:type="dxa"/>
            <w:tcBorders>
              <w:top w:val="nil"/>
              <w:left w:val="single" w:sz="4" w:space="0" w:color="auto"/>
              <w:bottom w:val="single" w:sz="4" w:space="0" w:color="auto"/>
              <w:right w:val="single" w:sz="4" w:space="0" w:color="auto"/>
            </w:tcBorders>
          </w:tcPr>
          <w:p w14:paraId="6CDB487D" w14:textId="77777777" w:rsidR="00575CDF" w:rsidRPr="00C801A6" w:rsidRDefault="00575CDF" w:rsidP="00347FDB">
            <w:pPr>
              <w:pStyle w:val="TableParagraph"/>
              <w:spacing w:before="40" w:after="40"/>
              <w:rPr>
                <w:rFonts w:ascii="Times New Roman" w:hAnsi="Times New Roman" w:cs="Times New Roman"/>
                <w:spacing w:val="-1"/>
                <w:lang w:val="fr-FR"/>
              </w:rPr>
            </w:pPr>
          </w:p>
        </w:tc>
        <w:tc>
          <w:tcPr>
            <w:tcW w:w="2126" w:type="dxa"/>
            <w:tcBorders>
              <w:left w:val="single" w:sz="4" w:space="0" w:color="auto"/>
            </w:tcBorders>
          </w:tcPr>
          <w:p w14:paraId="3378D12E" w14:textId="77777777" w:rsidR="00575CDF" w:rsidRPr="00C801A6" w:rsidRDefault="00575CDF" w:rsidP="00347FDB">
            <w:pPr>
              <w:pStyle w:val="TableParagraph"/>
              <w:spacing w:before="40" w:after="40"/>
              <w:rPr>
                <w:rFonts w:ascii="Times New Roman" w:hAnsi="Times New Roman" w:cs="Times New Roman"/>
                <w:spacing w:val="-1"/>
                <w:lang w:val="fr-FR"/>
              </w:rPr>
            </w:pPr>
            <w:r w:rsidRPr="00C801A6">
              <w:rPr>
                <w:rFonts w:ascii="Times New Roman" w:hAnsi="Times New Roman" w:cs="Times New Roman"/>
                <w:spacing w:val="-1"/>
                <w:lang w:val="fr-FR"/>
              </w:rPr>
              <w:t>Vatovavy Fitovinany</w:t>
            </w:r>
          </w:p>
        </w:tc>
        <w:tc>
          <w:tcPr>
            <w:tcW w:w="1559" w:type="dxa"/>
            <w:vAlign w:val="center"/>
          </w:tcPr>
          <w:p w14:paraId="3CFDAF99"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0,00%</w:t>
            </w:r>
          </w:p>
        </w:tc>
        <w:tc>
          <w:tcPr>
            <w:tcW w:w="1984" w:type="dxa"/>
            <w:vAlign w:val="center"/>
          </w:tcPr>
          <w:p w14:paraId="6B464AE9"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144</w:t>
            </w:r>
          </w:p>
        </w:tc>
        <w:tc>
          <w:tcPr>
            <w:tcW w:w="993" w:type="dxa"/>
            <w:vAlign w:val="center"/>
          </w:tcPr>
          <w:p w14:paraId="02B4ADAE"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0</w:t>
            </w:r>
          </w:p>
        </w:tc>
        <w:tc>
          <w:tcPr>
            <w:tcW w:w="1134" w:type="dxa"/>
            <w:vAlign w:val="center"/>
          </w:tcPr>
          <w:p w14:paraId="6877A860"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1</w:t>
            </w:r>
          </w:p>
        </w:tc>
      </w:tr>
      <w:tr w:rsidR="00C801A6" w:rsidRPr="00C801A6" w14:paraId="082D4228" w14:textId="77777777" w:rsidTr="00347FDB">
        <w:tc>
          <w:tcPr>
            <w:tcW w:w="1526" w:type="dxa"/>
            <w:vMerge w:val="restart"/>
            <w:tcBorders>
              <w:top w:val="single" w:sz="4" w:space="0" w:color="auto"/>
              <w:left w:val="single" w:sz="4" w:space="0" w:color="auto"/>
              <w:right w:val="single" w:sz="4" w:space="0" w:color="auto"/>
            </w:tcBorders>
          </w:tcPr>
          <w:p w14:paraId="38DDF062" w14:textId="77777777" w:rsidR="00575CDF" w:rsidRPr="00C801A6" w:rsidRDefault="00575CDF" w:rsidP="00347FDB">
            <w:pPr>
              <w:pStyle w:val="TableParagraph"/>
              <w:spacing w:before="40" w:after="40"/>
              <w:rPr>
                <w:rFonts w:ascii="Times New Roman" w:hAnsi="Times New Roman" w:cs="Times New Roman"/>
                <w:spacing w:val="-1"/>
                <w:lang w:val="fr-FR"/>
              </w:rPr>
            </w:pPr>
            <w:r w:rsidRPr="00C801A6">
              <w:rPr>
                <w:rFonts w:ascii="Times New Roman" w:hAnsi="Times New Roman" w:cs="Times New Roman"/>
                <w:spacing w:val="-1"/>
                <w:lang w:val="fr-FR"/>
              </w:rPr>
              <w:t>Mahajanga</w:t>
            </w:r>
          </w:p>
        </w:tc>
        <w:tc>
          <w:tcPr>
            <w:tcW w:w="2126" w:type="dxa"/>
            <w:tcBorders>
              <w:left w:val="single" w:sz="4" w:space="0" w:color="auto"/>
            </w:tcBorders>
          </w:tcPr>
          <w:p w14:paraId="355BA9DB" w14:textId="77777777" w:rsidR="00575CDF" w:rsidRPr="00C801A6" w:rsidRDefault="00575CDF" w:rsidP="00347FDB">
            <w:pPr>
              <w:pStyle w:val="TableParagraph"/>
              <w:spacing w:before="40" w:after="40"/>
              <w:rPr>
                <w:rFonts w:ascii="Times New Roman" w:hAnsi="Times New Roman" w:cs="Times New Roman"/>
                <w:spacing w:val="-1"/>
                <w:lang w:val="fr-FR"/>
              </w:rPr>
            </w:pPr>
            <w:r w:rsidRPr="00C801A6">
              <w:rPr>
                <w:rFonts w:ascii="Times New Roman" w:hAnsi="Times New Roman" w:cs="Times New Roman"/>
                <w:spacing w:val="-1"/>
                <w:lang w:val="fr-FR"/>
              </w:rPr>
              <w:t>Boeny</w:t>
            </w:r>
          </w:p>
        </w:tc>
        <w:tc>
          <w:tcPr>
            <w:tcW w:w="1559" w:type="dxa"/>
            <w:vAlign w:val="center"/>
          </w:tcPr>
          <w:p w14:paraId="189010A0"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73,81%</w:t>
            </w:r>
          </w:p>
        </w:tc>
        <w:tc>
          <w:tcPr>
            <w:tcW w:w="1984" w:type="dxa"/>
            <w:vAlign w:val="center"/>
          </w:tcPr>
          <w:p w14:paraId="69DA8A56"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42</w:t>
            </w:r>
          </w:p>
        </w:tc>
        <w:tc>
          <w:tcPr>
            <w:tcW w:w="993" w:type="dxa"/>
            <w:vAlign w:val="center"/>
          </w:tcPr>
          <w:p w14:paraId="7FF9F8A1"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31</w:t>
            </w:r>
          </w:p>
        </w:tc>
        <w:tc>
          <w:tcPr>
            <w:tcW w:w="1134" w:type="dxa"/>
            <w:vAlign w:val="center"/>
          </w:tcPr>
          <w:p w14:paraId="33C42E34"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1</w:t>
            </w:r>
          </w:p>
        </w:tc>
      </w:tr>
      <w:tr w:rsidR="00C801A6" w:rsidRPr="00C801A6" w14:paraId="2912C4F8" w14:textId="77777777" w:rsidTr="00347FDB">
        <w:tc>
          <w:tcPr>
            <w:tcW w:w="1526" w:type="dxa"/>
            <w:vMerge/>
            <w:tcBorders>
              <w:left w:val="single" w:sz="4" w:space="0" w:color="auto"/>
              <w:right w:val="single" w:sz="4" w:space="0" w:color="auto"/>
            </w:tcBorders>
          </w:tcPr>
          <w:p w14:paraId="4B4FB406" w14:textId="77777777" w:rsidR="00575CDF" w:rsidRPr="00C801A6" w:rsidRDefault="00575CDF" w:rsidP="00347FDB">
            <w:pPr>
              <w:pStyle w:val="TableParagraph"/>
              <w:spacing w:before="40" w:after="40"/>
              <w:rPr>
                <w:rFonts w:ascii="Times New Roman" w:hAnsi="Times New Roman" w:cs="Times New Roman"/>
                <w:spacing w:val="-1"/>
                <w:lang w:val="fr-FR"/>
              </w:rPr>
            </w:pPr>
          </w:p>
        </w:tc>
        <w:tc>
          <w:tcPr>
            <w:tcW w:w="2126" w:type="dxa"/>
            <w:tcBorders>
              <w:left w:val="single" w:sz="4" w:space="0" w:color="auto"/>
            </w:tcBorders>
          </w:tcPr>
          <w:p w14:paraId="4BBA2C8F" w14:textId="77777777" w:rsidR="00575CDF" w:rsidRPr="00C801A6" w:rsidRDefault="00575CDF" w:rsidP="00347FDB">
            <w:pPr>
              <w:pStyle w:val="TableParagraph"/>
              <w:spacing w:before="40" w:after="40"/>
              <w:rPr>
                <w:rFonts w:ascii="Times New Roman" w:hAnsi="Times New Roman" w:cs="Times New Roman"/>
                <w:spacing w:val="-1"/>
                <w:lang w:val="fr-FR"/>
              </w:rPr>
            </w:pPr>
            <w:r w:rsidRPr="00C801A6">
              <w:rPr>
                <w:rFonts w:ascii="Times New Roman" w:hAnsi="Times New Roman" w:cs="Times New Roman"/>
                <w:spacing w:val="-1"/>
                <w:lang w:val="fr-FR"/>
              </w:rPr>
              <w:t>Betsiboka</w:t>
            </w:r>
          </w:p>
        </w:tc>
        <w:tc>
          <w:tcPr>
            <w:tcW w:w="1559" w:type="dxa"/>
            <w:vAlign w:val="center"/>
          </w:tcPr>
          <w:p w14:paraId="404C56BF"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0,00%</w:t>
            </w:r>
          </w:p>
        </w:tc>
        <w:tc>
          <w:tcPr>
            <w:tcW w:w="1984" w:type="dxa"/>
            <w:vAlign w:val="center"/>
          </w:tcPr>
          <w:p w14:paraId="4BA8AD56"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37</w:t>
            </w:r>
          </w:p>
        </w:tc>
        <w:tc>
          <w:tcPr>
            <w:tcW w:w="993" w:type="dxa"/>
            <w:vAlign w:val="center"/>
          </w:tcPr>
          <w:p w14:paraId="210E8ED1"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0</w:t>
            </w:r>
          </w:p>
        </w:tc>
        <w:tc>
          <w:tcPr>
            <w:tcW w:w="1134" w:type="dxa"/>
            <w:vAlign w:val="center"/>
          </w:tcPr>
          <w:p w14:paraId="4689A1D8"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p>
        </w:tc>
      </w:tr>
      <w:tr w:rsidR="00C801A6" w:rsidRPr="00C801A6" w14:paraId="14B89AD1" w14:textId="77777777" w:rsidTr="00347FDB">
        <w:tc>
          <w:tcPr>
            <w:tcW w:w="1526" w:type="dxa"/>
            <w:vMerge/>
            <w:tcBorders>
              <w:left w:val="single" w:sz="4" w:space="0" w:color="auto"/>
              <w:right w:val="single" w:sz="4" w:space="0" w:color="auto"/>
            </w:tcBorders>
          </w:tcPr>
          <w:p w14:paraId="501B2E57" w14:textId="77777777" w:rsidR="00575CDF" w:rsidRPr="00C801A6" w:rsidRDefault="00575CDF" w:rsidP="00347FDB">
            <w:pPr>
              <w:pStyle w:val="TableParagraph"/>
              <w:spacing w:before="40" w:after="40"/>
              <w:rPr>
                <w:rFonts w:ascii="Times New Roman" w:hAnsi="Times New Roman" w:cs="Times New Roman"/>
                <w:spacing w:val="-1"/>
                <w:lang w:val="fr-FR"/>
              </w:rPr>
            </w:pPr>
          </w:p>
        </w:tc>
        <w:tc>
          <w:tcPr>
            <w:tcW w:w="2126" w:type="dxa"/>
            <w:tcBorders>
              <w:left w:val="single" w:sz="4" w:space="0" w:color="auto"/>
            </w:tcBorders>
          </w:tcPr>
          <w:p w14:paraId="3DCDAE0D" w14:textId="77777777" w:rsidR="00575CDF" w:rsidRPr="00C801A6" w:rsidRDefault="00575CDF" w:rsidP="00347FDB">
            <w:pPr>
              <w:pStyle w:val="TableParagraph"/>
              <w:spacing w:before="40" w:after="40"/>
              <w:rPr>
                <w:rFonts w:ascii="Times New Roman" w:hAnsi="Times New Roman" w:cs="Times New Roman"/>
                <w:spacing w:val="-1"/>
                <w:lang w:val="fr-FR"/>
              </w:rPr>
            </w:pPr>
            <w:r w:rsidRPr="00C801A6">
              <w:rPr>
                <w:rFonts w:ascii="Times New Roman" w:hAnsi="Times New Roman" w:cs="Times New Roman"/>
                <w:spacing w:val="-1"/>
                <w:lang w:val="fr-FR"/>
              </w:rPr>
              <w:t>Melaky</w:t>
            </w:r>
          </w:p>
        </w:tc>
        <w:tc>
          <w:tcPr>
            <w:tcW w:w="1559" w:type="dxa"/>
            <w:vAlign w:val="center"/>
          </w:tcPr>
          <w:p w14:paraId="169AF886"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0,00%</w:t>
            </w:r>
          </w:p>
        </w:tc>
        <w:tc>
          <w:tcPr>
            <w:tcW w:w="1984" w:type="dxa"/>
            <w:vAlign w:val="center"/>
          </w:tcPr>
          <w:p w14:paraId="523CF150"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39</w:t>
            </w:r>
          </w:p>
        </w:tc>
        <w:tc>
          <w:tcPr>
            <w:tcW w:w="993" w:type="dxa"/>
            <w:vAlign w:val="center"/>
          </w:tcPr>
          <w:p w14:paraId="07027297"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0</w:t>
            </w:r>
          </w:p>
        </w:tc>
        <w:tc>
          <w:tcPr>
            <w:tcW w:w="1134" w:type="dxa"/>
            <w:vAlign w:val="center"/>
          </w:tcPr>
          <w:p w14:paraId="03F2CD3F"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1</w:t>
            </w:r>
          </w:p>
        </w:tc>
      </w:tr>
      <w:tr w:rsidR="00C801A6" w:rsidRPr="00C801A6" w14:paraId="27A8890F" w14:textId="77777777" w:rsidTr="00347FDB">
        <w:tc>
          <w:tcPr>
            <w:tcW w:w="1526" w:type="dxa"/>
            <w:vMerge/>
            <w:tcBorders>
              <w:left w:val="single" w:sz="4" w:space="0" w:color="auto"/>
              <w:bottom w:val="single" w:sz="4" w:space="0" w:color="auto"/>
              <w:right w:val="single" w:sz="4" w:space="0" w:color="auto"/>
            </w:tcBorders>
          </w:tcPr>
          <w:p w14:paraId="09180EDC" w14:textId="77777777" w:rsidR="00575CDF" w:rsidRPr="00C801A6" w:rsidRDefault="00575CDF" w:rsidP="00347FDB">
            <w:pPr>
              <w:pStyle w:val="TableParagraph"/>
              <w:spacing w:before="40" w:after="40"/>
              <w:rPr>
                <w:rFonts w:ascii="Times New Roman" w:hAnsi="Times New Roman" w:cs="Times New Roman"/>
                <w:spacing w:val="-1"/>
                <w:lang w:val="fr-FR"/>
              </w:rPr>
            </w:pPr>
          </w:p>
        </w:tc>
        <w:tc>
          <w:tcPr>
            <w:tcW w:w="2126" w:type="dxa"/>
            <w:tcBorders>
              <w:left w:val="single" w:sz="4" w:space="0" w:color="auto"/>
            </w:tcBorders>
          </w:tcPr>
          <w:p w14:paraId="7AFEB39C" w14:textId="77777777" w:rsidR="00575CDF" w:rsidRPr="00C801A6" w:rsidRDefault="00575CDF" w:rsidP="00347FDB">
            <w:pPr>
              <w:pStyle w:val="TableParagraph"/>
              <w:spacing w:before="40" w:after="40"/>
              <w:rPr>
                <w:rFonts w:ascii="Times New Roman" w:hAnsi="Times New Roman" w:cs="Times New Roman"/>
                <w:spacing w:val="-1"/>
                <w:lang w:val="fr-FR"/>
              </w:rPr>
            </w:pPr>
            <w:r w:rsidRPr="00C801A6">
              <w:rPr>
                <w:rFonts w:ascii="Times New Roman" w:hAnsi="Times New Roman" w:cs="Times New Roman"/>
                <w:spacing w:val="-1"/>
                <w:lang w:val="fr-FR"/>
              </w:rPr>
              <w:t>Sofia</w:t>
            </w:r>
          </w:p>
        </w:tc>
        <w:tc>
          <w:tcPr>
            <w:tcW w:w="1559" w:type="dxa"/>
            <w:vAlign w:val="center"/>
          </w:tcPr>
          <w:p w14:paraId="183D4F86"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0,00%</w:t>
            </w:r>
          </w:p>
        </w:tc>
        <w:tc>
          <w:tcPr>
            <w:tcW w:w="1984" w:type="dxa"/>
            <w:vAlign w:val="center"/>
          </w:tcPr>
          <w:p w14:paraId="0320983B"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113</w:t>
            </w:r>
          </w:p>
        </w:tc>
        <w:tc>
          <w:tcPr>
            <w:tcW w:w="993" w:type="dxa"/>
            <w:vAlign w:val="center"/>
          </w:tcPr>
          <w:p w14:paraId="147CCD07"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0</w:t>
            </w:r>
          </w:p>
        </w:tc>
        <w:tc>
          <w:tcPr>
            <w:tcW w:w="1134" w:type="dxa"/>
            <w:vAlign w:val="center"/>
          </w:tcPr>
          <w:p w14:paraId="12D244DD"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p>
        </w:tc>
      </w:tr>
      <w:tr w:rsidR="00C801A6" w:rsidRPr="00C801A6" w14:paraId="1F3C0C05" w14:textId="77777777" w:rsidTr="00347FDB">
        <w:tc>
          <w:tcPr>
            <w:tcW w:w="1526" w:type="dxa"/>
            <w:tcBorders>
              <w:top w:val="single" w:sz="4" w:space="0" w:color="auto"/>
              <w:left w:val="single" w:sz="4" w:space="0" w:color="auto"/>
              <w:bottom w:val="nil"/>
              <w:right w:val="single" w:sz="4" w:space="0" w:color="auto"/>
            </w:tcBorders>
          </w:tcPr>
          <w:p w14:paraId="079ED5D3" w14:textId="77777777" w:rsidR="00575CDF" w:rsidRPr="00C801A6" w:rsidRDefault="00575CDF" w:rsidP="00347FDB">
            <w:pPr>
              <w:pStyle w:val="TableParagraph"/>
              <w:spacing w:before="40" w:after="40"/>
              <w:rPr>
                <w:rFonts w:ascii="Times New Roman" w:hAnsi="Times New Roman" w:cs="Times New Roman"/>
                <w:spacing w:val="-1"/>
                <w:lang w:val="fr-FR"/>
              </w:rPr>
            </w:pPr>
            <w:r w:rsidRPr="00C801A6">
              <w:rPr>
                <w:rFonts w:ascii="Times New Roman" w:hAnsi="Times New Roman" w:cs="Times New Roman"/>
                <w:spacing w:val="-1"/>
                <w:lang w:val="fr-FR"/>
              </w:rPr>
              <w:t>Toamasina</w:t>
            </w:r>
          </w:p>
        </w:tc>
        <w:tc>
          <w:tcPr>
            <w:tcW w:w="2126" w:type="dxa"/>
            <w:tcBorders>
              <w:left w:val="single" w:sz="4" w:space="0" w:color="auto"/>
            </w:tcBorders>
          </w:tcPr>
          <w:p w14:paraId="737DBD2A" w14:textId="77777777" w:rsidR="00575CDF" w:rsidRPr="00C801A6" w:rsidRDefault="00575CDF" w:rsidP="00347FDB">
            <w:pPr>
              <w:pStyle w:val="TableParagraph"/>
              <w:spacing w:before="40" w:after="40"/>
              <w:rPr>
                <w:rFonts w:ascii="Times New Roman" w:hAnsi="Times New Roman" w:cs="Times New Roman"/>
                <w:spacing w:val="-1"/>
                <w:lang w:val="fr-FR"/>
              </w:rPr>
            </w:pPr>
            <w:r w:rsidRPr="00C801A6">
              <w:rPr>
                <w:rFonts w:ascii="Times New Roman" w:hAnsi="Times New Roman" w:cs="Times New Roman"/>
                <w:spacing w:val="-1"/>
                <w:lang w:val="fr-FR"/>
              </w:rPr>
              <w:t>Alaotra mangoro</w:t>
            </w:r>
          </w:p>
        </w:tc>
        <w:tc>
          <w:tcPr>
            <w:tcW w:w="1559" w:type="dxa"/>
            <w:vAlign w:val="center"/>
          </w:tcPr>
          <w:p w14:paraId="39CEF955"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1,20%</w:t>
            </w:r>
          </w:p>
        </w:tc>
        <w:tc>
          <w:tcPr>
            <w:tcW w:w="1984" w:type="dxa"/>
            <w:vAlign w:val="center"/>
          </w:tcPr>
          <w:p w14:paraId="543FFC22"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83</w:t>
            </w:r>
          </w:p>
        </w:tc>
        <w:tc>
          <w:tcPr>
            <w:tcW w:w="993" w:type="dxa"/>
            <w:vAlign w:val="center"/>
          </w:tcPr>
          <w:p w14:paraId="35B87E6B"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1</w:t>
            </w:r>
          </w:p>
        </w:tc>
        <w:tc>
          <w:tcPr>
            <w:tcW w:w="1134" w:type="dxa"/>
            <w:vAlign w:val="center"/>
          </w:tcPr>
          <w:p w14:paraId="01D68F17"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1</w:t>
            </w:r>
          </w:p>
        </w:tc>
      </w:tr>
      <w:tr w:rsidR="00C801A6" w:rsidRPr="00C801A6" w14:paraId="2C31AC62" w14:textId="77777777" w:rsidTr="00347FDB">
        <w:tc>
          <w:tcPr>
            <w:tcW w:w="1526" w:type="dxa"/>
            <w:tcBorders>
              <w:top w:val="nil"/>
              <w:left w:val="single" w:sz="4" w:space="0" w:color="auto"/>
              <w:bottom w:val="nil"/>
              <w:right w:val="single" w:sz="4" w:space="0" w:color="auto"/>
            </w:tcBorders>
          </w:tcPr>
          <w:p w14:paraId="5DA5EB2B" w14:textId="77777777" w:rsidR="00575CDF" w:rsidRPr="00C801A6" w:rsidRDefault="00575CDF" w:rsidP="00347FDB">
            <w:pPr>
              <w:pStyle w:val="TableParagraph"/>
              <w:spacing w:before="40" w:after="40"/>
              <w:rPr>
                <w:rFonts w:ascii="Times New Roman" w:hAnsi="Times New Roman" w:cs="Times New Roman"/>
                <w:spacing w:val="-1"/>
                <w:lang w:val="fr-FR"/>
              </w:rPr>
            </w:pPr>
          </w:p>
        </w:tc>
        <w:tc>
          <w:tcPr>
            <w:tcW w:w="2126" w:type="dxa"/>
            <w:tcBorders>
              <w:left w:val="single" w:sz="4" w:space="0" w:color="auto"/>
            </w:tcBorders>
          </w:tcPr>
          <w:p w14:paraId="413BA8D0" w14:textId="77777777" w:rsidR="00575CDF" w:rsidRPr="00C801A6" w:rsidRDefault="00575CDF" w:rsidP="00347FDB">
            <w:pPr>
              <w:pStyle w:val="TableParagraph"/>
              <w:spacing w:before="40" w:after="40"/>
              <w:rPr>
                <w:rFonts w:ascii="Times New Roman" w:hAnsi="Times New Roman" w:cs="Times New Roman"/>
                <w:spacing w:val="-1"/>
                <w:lang w:val="fr-FR"/>
              </w:rPr>
            </w:pPr>
            <w:r w:rsidRPr="00C801A6">
              <w:rPr>
                <w:rFonts w:ascii="Times New Roman" w:hAnsi="Times New Roman" w:cs="Times New Roman"/>
                <w:spacing w:val="-1"/>
                <w:lang w:val="fr-FR"/>
              </w:rPr>
              <w:t>Analanjirofo</w:t>
            </w:r>
          </w:p>
        </w:tc>
        <w:tc>
          <w:tcPr>
            <w:tcW w:w="1559" w:type="dxa"/>
            <w:vAlign w:val="center"/>
          </w:tcPr>
          <w:p w14:paraId="28C80563"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3,03%</w:t>
            </w:r>
          </w:p>
        </w:tc>
        <w:tc>
          <w:tcPr>
            <w:tcW w:w="1984" w:type="dxa"/>
            <w:vAlign w:val="center"/>
          </w:tcPr>
          <w:p w14:paraId="1C8367EE"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66</w:t>
            </w:r>
          </w:p>
        </w:tc>
        <w:tc>
          <w:tcPr>
            <w:tcW w:w="993" w:type="dxa"/>
            <w:vAlign w:val="center"/>
          </w:tcPr>
          <w:p w14:paraId="7836DB71"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2</w:t>
            </w:r>
          </w:p>
        </w:tc>
        <w:tc>
          <w:tcPr>
            <w:tcW w:w="1134" w:type="dxa"/>
            <w:vAlign w:val="center"/>
          </w:tcPr>
          <w:p w14:paraId="6B8D70EA"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p>
        </w:tc>
      </w:tr>
      <w:tr w:rsidR="00C801A6" w:rsidRPr="00C801A6" w14:paraId="0DB3A85F" w14:textId="77777777" w:rsidTr="00347FDB">
        <w:tc>
          <w:tcPr>
            <w:tcW w:w="1526" w:type="dxa"/>
            <w:tcBorders>
              <w:top w:val="nil"/>
              <w:left w:val="single" w:sz="4" w:space="0" w:color="auto"/>
              <w:bottom w:val="single" w:sz="4" w:space="0" w:color="auto"/>
              <w:right w:val="single" w:sz="4" w:space="0" w:color="auto"/>
            </w:tcBorders>
          </w:tcPr>
          <w:p w14:paraId="08AEEA52" w14:textId="77777777" w:rsidR="00575CDF" w:rsidRPr="00C801A6" w:rsidRDefault="00575CDF" w:rsidP="00347FDB">
            <w:pPr>
              <w:pStyle w:val="TableParagraph"/>
              <w:spacing w:before="40" w:after="40"/>
              <w:rPr>
                <w:rFonts w:ascii="Times New Roman" w:hAnsi="Times New Roman" w:cs="Times New Roman"/>
                <w:spacing w:val="-1"/>
                <w:lang w:val="fr-FR"/>
              </w:rPr>
            </w:pPr>
          </w:p>
        </w:tc>
        <w:tc>
          <w:tcPr>
            <w:tcW w:w="2126" w:type="dxa"/>
            <w:tcBorders>
              <w:left w:val="single" w:sz="4" w:space="0" w:color="auto"/>
            </w:tcBorders>
          </w:tcPr>
          <w:p w14:paraId="3960008A" w14:textId="77777777" w:rsidR="00575CDF" w:rsidRPr="00C801A6" w:rsidRDefault="00575CDF" w:rsidP="00347FDB">
            <w:pPr>
              <w:pStyle w:val="TableParagraph"/>
              <w:spacing w:before="40" w:after="40"/>
              <w:rPr>
                <w:rFonts w:ascii="Times New Roman" w:hAnsi="Times New Roman" w:cs="Times New Roman"/>
                <w:spacing w:val="-1"/>
                <w:lang w:val="fr-FR"/>
              </w:rPr>
            </w:pPr>
            <w:r w:rsidRPr="00C801A6">
              <w:rPr>
                <w:rFonts w:ascii="Times New Roman" w:hAnsi="Times New Roman" w:cs="Times New Roman"/>
                <w:spacing w:val="-1"/>
                <w:lang w:val="fr-FR"/>
              </w:rPr>
              <w:t>Atsinanana</w:t>
            </w:r>
          </w:p>
        </w:tc>
        <w:tc>
          <w:tcPr>
            <w:tcW w:w="1559" w:type="dxa"/>
            <w:vAlign w:val="center"/>
          </w:tcPr>
          <w:p w14:paraId="3301832D"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0,00%</w:t>
            </w:r>
          </w:p>
        </w:tc>
        <w:tc>
          <w:tcPr>
            <w:tcW w:w="1984" w:type="dxa"/>
            <w:vAlign w:val="center"/>
          </w:tcPr>
          <w:p w14:paraId="5C123568"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87</w:t>
            </w:r>
          </w:p>
        </w:tc>
        <w:tc>
          <w:tcPr>
            <w:tcW w:w="993" w:type="dxa"/>
            <w:vAlign w:val="center"/>
          </w:tcPr>
          <w:p w14:paraId="4197AB60"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r w:rsidRPr="00C801A6">
              <w:rPr>
                <w:rFonts w:ascii="Times New Roman" w:hAnsi="Times New Roman" w:cs="Times New Roman"/>
                <w:spacing w:val="-1"/>
                <w:lang w:val="fr-FR"/>
              </w:rPr>
              <w:t>0</w:t>
            </w:r>
          </w:p>
        </w:tc>
        <w:tc>
          <w:tcPr>
            <w:tcW w:w="1134" w:type="dxa"/>
            <w:vAlign w:val="center"/>
          </w:tcPr>
          <w:p w14:paraId="72965E7C" w14:textId="77777777" w:rsidR="00575CDF" w:rsidRPr="00C801A6" w:rsidRDefault="00575CDF" w:rsidP="00347FDB">
            <w:pPr>
              <w:pStyle w:val="TableParagraph"/>
              <w:spacing w:before="40" w:after="40"/>
              <w:ind w:right="227"/>
              <w:jc w:val="center"/>
              <w:rPr>
                <w:rFonts w:ascii="Times New Roman" w:hAnsi="Times New Roman" w:cs="Times New Roman"/>
                <w:spacing w:val="-1"/>
                <w:lang w:val="fr-FR"/>
              </w:rPr>
            </w:pPr>
          </w:p>
        </w:tc>
      </w:tr>
      <w:tr w:rsidR="00C801A6" w:rsidRPr="00C801A6" w14:paraId="681DD130" w14:textId="77777777" w:rsidTr="00347FDB">
        <w:tc>
          <w:tcPr>
            <w:tcW w:w="1526" w:type="dxa"/>
            <w:tcBorders>
              <w:top w:val="single" w:sz="4" w:space="0" w:color="auto"/>
            </w:tcBorders>
          </w:tcPr>
          <w:p w14:paraId="404EF896" w14:textId="77777777" w:rsidR="00575CDF" w:rsidRPr="00C801A6" w:rsidRDefault="00575CDF" w:rsidP="00347FDB">
            <w:pPr>
              <w:pStyle w:val="TableParagraph"/>
              <w:spacing w:before="40" w:after="40"/>
              <w:rPr>
                <w:rFonts w:ascii="Times New Roman" w:hAnsi="Times New Roman" w:cs="Times New Roman"/>
                <w:b/>
                <w:spacing w:val="-1"/>
                <w:lang w:val="fr-FR"/>
              </w:rPr>
            </w:pPr>
            <w:r w:rsidRPr="00C801A6">
              <w:rPr>
                <w:rFonts w:ascii="Times New Roman" w:hAnsi="Times New Roman" w:cs="Times New Roman"/>
                <w:b/>
                <w:spacing w:val="-1"/>
                <w:lang w:val="fr-FR"/>
              </w:rPr>
              <w:t>Total</w:t>
            </w:r>
          </w:p>
        </w:tc>
        <w:tc>
          <w:tcPr>
            <w:tcW w:w="2126" w:type="dxa"/>
          </w:tcPr>
          <w:p w14:paraId="30A3758C" w14:textId="77777777" w:rsidR="00575CDF" w:rsidRPr="00C801A6" w:rsidRDefault="00575CDF" w:rsidP="00347FDB">
            <w:pPr>
              <w:pStyle w:val="TableParagraph"/>
              <w:spacing w:before="40" w:after="40"/>
              <w:rPr>
                <w:rFonts w:ascii="Times New Roman" w:hAnsi="Times New Roman" w:cs="Times New Roman"/>
                <w:b/>
                <w:spacing w:val="-1"/>
                <w:lang w:val="fr-FR"/>
              </w:rPr>
            </w:pPr>
            <w:r w:rsidRPr="00C801A6">
              <w:rPr>
                <w:rFonts w:ascii="Times New Roman" w:hAnsi="Times New Roman" w:cs="Times New Roman"/>
                <w:b/>
                <w:spacing w:val="-1"/>
                <w:lang w:val="fr-FR"/>
              </w:rPr>
              <w:t>6,18%</w:t>
            </w:r>
          </w:p>
        </w:tc>
        <w:tc>
          <w:tcPr>
            <w:tcW w:w="1559" w:type="dxa"/>
            <w:vAlign w:val="center"/>
          </w:tcPr>
          <w:p w14:paraId="09E15AA6" w14:textId="77777777" w:rsidR="00575CDF" w:rsidRPr="00C801A6" w:rsidRDefault="00575CDF" w:rsidP="00347FDB">
            <w:pPr>
              <w:pStyle w:val="TableParagraph"/>
              <w:spacing w:before="40" w:after="40"/>
              <w:ind w:right="227"/>
              <w:jc w:val="center"/>
              <w:rPr>
                <w:rFonts w:ascii="Times New Roman" w:hAnsi="Times New Roman" w:cs="Times New Roman"/>
                <w:b/>
                <w:spacing w:val="-1"/>
                <w:lang w:val="fr-FR"/>
              </w:rPr>
            </w:pPr>
            <w:r w:rsidRPr="00C801A6">
              <w:rPr>
                <w:rFonts w:ascii="Times New Roman" w:hAnsi="Times New Roman" w:cs="Times New Roman"/>
                <w:b/>
                <w:spacing w:val="-1"/>
                <w:lang w:val="fr-FR"/>
              </w:rPr>
              <w:t>1617</w:t>
            </w:r>
          </w:p>
        </w:tc>
        <w:tc>
          <w:tcPr>
            <w:tcW w:w="1984" w:type="dxa"/>
            <w:vAlign w:val="center"/>
          </w:tcPr>
          <w:p w14:paraId="255F3D2A" w14:textId="77777777" w:rsidR="00575CDF" w:rsidRPr="00C801A6" w:rsidRDefault="00575CDF" w:rsidP="00347FDB">
            <w:pPr>
              <w:pStyle w:val="TableParagraph"/>
              <w:spacing w:before="40" w:after="40"/>
              <w:ind w:right="227"/>
              <w:jc w:val="center"/>
              <w:rPr>
                <w:rFonts w:ascii="Times New Roman" w:hAnsi="Times New Roman" w:cs="Times New Roman"/>
                <w:b/>
                <w:spacing w:val="-1"/>
                <w:lang w:val="fr-FR"/>
              </w:rPr>
            </w:pPr>
            <w:r w:rsidRPr="00C801A6">
              <w:rPr>
                <w:rFonts w:ascii="Times New Roman" w:hAnsi="Times New Roman" w:cs="Times New Roman"/>
                <w:b/>
                <w:spacing w:val="-1"/>
                <w:lang w:val="fr-FR"/>
              </w:rPr>
              <w:t>100</w:t>
            </w:r>
          </w:p>
        </w:tc>
        <w:tc>
          <w:tcPr>
            <w:tcW w:w="993" w:type="dxa"/>
            <w:vAlign w:val="center"/>
          </w:tcPr>
          <w:p w14:paraId="51BA4A33" w14:textId="77777777" w:rsidR="00575CDF" w:rsidRPr="00C801A6" w:rsidRDefault="00575CDF" w:rsidP="00347FDB">
            <w:pPr>
              <w:pStyle w:val="TableParagraph"/>
              <w:spacing w:before="40" w:after="40"/>
              <w:ind w:right="227"/>
              <w:jc w:val="center"/>
              <w:rPr>
                <w:rFonts w:ascii="Times New Roman" w:hAnsi="Times New Roman" w:cs="Times New Roman"/>
                <w:b/>
                <w:spacing w:val="-1"/>
                <w:lang w:val="fr-FR"/>
              </w:rPr>
            </w:pPr>
            <w:r w:rsidRPr="00C801A6">
              <w:rPr>
                <w:rFonts w:ascii="Times New Roman" w:hAnsi="Times New Roman" w:cs="Times New Roman"/>
                <w:b/>
                <w:spacing w:val="-1"/>
                <w:lang w:val="fr-FR"/>
              </w:rPr>
              <w:t>13</w:t>
            </w:r>
          </w:p>
        </w:tc>
        <w:tc>
          <w:tcPr>
            <w:tcW w:w="1134" w:type="dxa"/>
            <w:vAlign w:val="center"/>
          </w:tcPr>
          <w:p w14:paraId="72BD6D7A" w14:textId="77777777" w:rsidR="00575CDF" w:rsidRPr="00C801A6" w:rsidRDefault="00575CDF" w:rsidP="00347FDB">
            <w:pPr>
              <w:pStyle w:val="TableParagraph"/>
              <w:spacing w:before="40" w:after="40"/>
              <w:ind w:right="227"/>
              <w:jc w:val="center"/>
              <w:rPr>
                <w:rFonts w:ascii="Times New Roman" w:hAnsi="Times New Roman" w:cs="Times New Roman"/>
                <w:b/>
                <w:spacing w:val="-1"/>
                <w:lang w:val="fr-FR"/>
              </w:rPr>
            </w:pPr>
          </w:p>
        </w:tc>
      </w:tr>
    </w:tbl>
    <w:p w14:paraId="5AEEFF9E" w14:textId="66E54001" w:rsidR="00575CDF" w:rsidRPr="00C801A6" w:rsidRDefault="00575CDF" w:rsidP="00575CDF">
      <w:pPr>
        <w:spacing w:before="40"/>
        <w:jc w:val="right"/>
        <w:rPr>
          <w:i/>
          <w:color w:val="auto"/>
          <w:sz w:val="18"/>
        </w:rPr>
      </w:pPr>
      <w:r w:rsidRPr="00C801A6">
        <w:rPr>
          <w:i/>
          <w:color w:val="auto"/>
          <w:sz w:val="18"/>
          <w:u w:val="single"/>
        </w:rPr>
        <w:t>Source</w:t>
      </w:r>
      <w:r w:rsidRPr="00C801A6">
        <w:rPr>
          <w:i/>
          <w:color w:val="auto"/>
          <w:sz w:val="18"/>
        </w:rPr>
        <w:t xml:space="preserve"> : Document stratégique du secteur aménagement du territoire 2020-2023, </w:t>
      </w:r>
      <w:r w:rsidR="001F446C" w:rsidRPr="00C801A6">
        <w:rPr>
          <w:i/>
          <w:color w:val="auto"/>
          <w:sz w:val="18"/>
        </w:rPr>
        <w:t>MTP</w:t>
      </w:r>
      <w:r w:rsidRPr="00C801A6">
        <w:rPr>
          <w:i/>
          <w:color w:val="auto"/>
          <w:sz w:val="18"/>
        </w:rPr>
        <w:t>/DGAT</w:t>
      </w:r>
    </w:p>
    <w:p w14:paraId="1DD140CB" w14:textId="77777777" w:rsidR="00575CDF" w:rsidRPr="00C801A6" w:rsidRDefault="00575CDF" w:rsidP="00575CDF">
      <w:pPr>
        <w:rPr>
          <w:color w:val="auto"/>
        </w:rPr>
      </w:pPr>
      <w:r w:rsidRPr="00C801A6">
        <w:rPr>
          <w:color w:val="auto"/>
        </w:rPr>
        <w:t>Selon le tableau ci-dessus, les prévisions d’aménagement dans les Régions (pour la détermination des CVE) restent donc encore assez floues. Malgré ces lacunes, il est possible d’avancer quelques impacts cumulatifs à suivre :</w:t>
      </w:r>
    </w:p>
    <w:p w14:paraId="7FAF70E7" w14:textId="77777777" w:rsidR="00575CDF" w:rsidRPr="00C801A6" w:rsidRDefault="00575CDF" w:rsidP="00575CDF">
      <w:pPr>
        <w:rPr>
          <w:b/>
          <w:color w:val="auto"/>
          <w:u w:val="single"/>
        </w:rPr>
      </w:pPr>
      <w:r w:rsidRPr="00C801A6">
        <w:rPr>
          <w:b/>
          <w:color w:val="auto"/>
          <w:u w:val="single"/>
        </w:rPr>
        <w:t>Impacts cumulatifs positifs attendus</w:t>
      </w:r>
    </w:p>
    <w:p w14:paraId="088B40DD" w14:textId="77777777" w:rsidR="00575CDF" w:rsidRPr="00C801A6" w:rsidRDefault="00575CDF" w:rsidP="00575CDF">
      <w:pPr>
        <w:ind w:left="709"/>
        <w:rPr>
          <w:color w:val="auto"/>
        </w:rPr>
      </w:pPr>
      <w:r w:rsidRPr="00C801A6">
        <w:rPr>
          <w:color w:val="auto"/>
        </w:rPr>
        <w:t>A part la création d’emplois, au moins 2 importants impacts cumulatifs positifs sont attendus de ce Projet. Ils se rapportent aux aspects ci-après :</w:t>
      </w:r>
    </w:p>
    <w:p w14:paraId="614403F9" w14:textId="77777777" w:rsidR="00575CDF" w:rsidRPr="00C801A6" w:rsidRDefault="00575CDF" w:rsidP="00844538">
      <w:pPr>
        <w:pStyle w:val="ListParagraph"/>
        <w:numPr>
          <w:ilvl w:val="0"/>
          <w:numId w:val="28"/>
        </w:numPr>
        <w:spacing w:line="276" w:lineRule="auto"/>
        <w:ind w:left="1066" w:hanging="357"/>
        <w:contextualSpacing w:val="0"/>
        <w:rPr>
          <w:i/>
          <w:iCs/>
          <w:color w:val="auto"/>
        </w:rPr>
      </w:pPr>
      <w:r w:rsidRPr="00C801A6">
        <w:rPr>
          <w:i/>
          <w:iCs/>
          <w:color w:val="auto"/>
        </w:rPr>
        <w:t>Contribution au développement régional et national de ce projet d’entretien de routes nationales.</w:t>
      </w:r>
    </w:p>
    <w:p w14:paraId="09594F50" w14:textId="378F6560" w:rsidR="00575CDF" w:rsidRPr="00C801A6" w:rsidRDefault="00575CDF" w:rsidP="00575CDF">
      <w:pPr>
        <w:ind w:left="1066"/>
        <w:rPr>
          <w:color w:val="auto"/>
        </w:rPr>
      </w:pPr>
      <w:r w:rsidRPr="00C801A6">
        <w:rPr>
          <w:color w:val="auto"/>
        </w:rPr>
        <w:t>Avec l’amélioration de l’état des routes nationales, le développement des échanges ira en augmentant. Ce qui, à la fin, contribuera à un dynamisme plus accentué de l’économie.</w:t>
      </w:r>
      <w:r w:rsidR="007A1CCA">
        <w:rPr>
          <w:color w:val="auto"/>
        </w:rPr>
        <w:t xml:space="preserve"> Le moment venu, l’UCP </w:t>
      </w:r>
      <w:r w:rsidR="007A1CCA">
        <w:t>considérera, entre autres, les impacts cumulatifs avec les autres Projets travaillant sur ses zones d’interventions.</w:t>
      </w:r>
    </w:p>
    <w:p w14:paraId="42445A19" w14:textId="77777777" w:rsidR="00575CDF" w:rsidRPr="00C801A6" w:rsidRDefault="00575CDF" w:rsidP="00844538">
      <w:pPr>
        <w:pStyle w:val="ListParagraph"/>
        <w:numPr>
          <w:ilvl w:val="0"/>
          <w:numId w:val="28"/>
        </w:numPr>
        <w:spacing w:line="276" w:lineRule="auto"/>
        <w:ind w:left="1066" w:hanging="357"/>
        <w:rPr>
          <w:i/>
          <w:iCs/>
          <w:color w:val="auto"/>
        </w:rPr>
      </w:pPr>
      <w:r w:rsidRPr="00C801A6">
        <w:rPr>
          <w:i/>
          <w:iCs/>
          <w:color w:val="auto"/>
        </w:rPr>
        <w:t>Contribution au renforcement de l’unité nationale</w:t>
      </w:r>
    </w:p>
    <w:p w14:paraId="53414719" w14:textId="77777777" w:rsidR="00575CDF" w:rsidRPr="00C801A6" w:rsidRDefault="00575CDF" w:rsidP="00575CDF">
      <w:pPr>
        <w:ind w:left="1066"/>
        <w:rPr>
          <w:color w:val="auto"/>
        </w:rPr>
      </w:pPr>
      <w:r w:rsidRPr="00C801A6">
        <w:rPr>
          <w:color w:val="auto"/>
        </w:rPr>
        <w:t>Avec la facilitation des déplacements au niveau national, les populations de Madagascar auront l’opportunité de voyager un peu plus et de mieux se connaître. Il en résultera une union nationale renforcée.</w:t>
      </w:r>
    </w:p>
    <w:p w14:paraId="0A517801" w14:textId="77777777" w:rsidR="00575CDF" w:rsidRPr="00C801A6" w:rsidRDefault="00575CDF" w:rsidP="00575CDF">
      <w:pPr>
        <w:rPr>
          <w:b/>
          <w:color w:val="auto"/>
          <w:u w:val="single"/>
        </w:rPr>
      </w:pPr>
      <w:r w:rsidRPr="00C801A6">
        <w:rPr>
          <w:b/>
          <w:color w:val="auto"/>
          <w:u w:val="single"/>
        </w:rPr>
        <w:t>Impacts cumulatifs négatifs possibles</w:t>
      </w:r>
    </w:p>
    <w:p w14:paraId="727583BE" w14:textId="77777777" w:rsidR="00575CDF" w:rsidRPr="00C801A6" w:rsidRDefault="00575CDF" w:rsidP="00844538">
      <w:pPr>
        <w:pStyle w:val="ListParagraph"/>
        <w:numPr>
          <w:ilvl w:val="0"/>
          <w:numId w:val="28"/>
        </w:numPr>
        <w:spacing w:line="276" w:lineRule="auto"/>
        <w:ind w:left="1066" w:hanging="357"/>
        <w:rPr>
          <w:i/>
          <w:iCs/>
          <w:color w:val="auto"/>
        </w:rPr>
      </w:pPr>
      <w:r w:rsidRPr="00C801A6">
        <w:rPr>
          <w:i/>
          <w:iCs/>
          <w:color w:val="auto"/>
        </w:rPr>
        <w:t>Perturbations du mode de vie établi.</w:t>
      </w:r>
    </w:p>
    <w:p w14:paraId="214C17DF" w14:textId="77777777" w:rsidR="00575CDF" w:rsidRPr="00C801A6" w:rsidRDefault="00575CDF" w:rsidP="00575CDF">
      <w:pPr>
        <w:ind w:left="1066"/>
        <w:rPr>
          <w:color w:val="auto"/>
        </w:rPr>
      </w:pPr>
      <w:r w:rsidRPr="00C801A6">
        <w:rPr>
          <w:color w:val="auto"/>
        </w:rPr>
        <w:t>Madagascar est un pays rural. A une dizaine de kilomètres des agglomérations, l’on rencontre déjà des modes de vie fondamentalement différents de la vie urbaine. L’amélioration des routes nationales peut contribuer à des perturbations de tels modes de vie établis.</w:t>
      </w:r>
    </w:p>
    <w:p w14:paraId="7F3C859F" w14:textId="77777777" w:rsidR="00575CDF" w:rsidRPr="00C801A6" w:rsidRDefault="00575CDF" w:rsidP="00844538">
      <w:pPr>
        <w:pStyle w:val="ListParagraph"/>
        <w:numPr>
          <w:ilvl w:val="0"/>
          <w:numId w:val="28"/>
        </w:numPr>
        <w:spacing w:line="276" w:lineRule="auto"/>
        <w:ind w:left="1066" w:hanging="357"/>
        <w:rPr>
          <w:i/>
          <w:iCs/>
          <w:color w:val="auto"/>
        </w:rPr>
      </w:pPr>
      <w:r w:rsidRPr="00C801A6">
        <w:rPr>
          <w:i/>
          <w:iCs/>
          <w:color w:val="auto"/>
        </w:rPr>
        <w:t>Possible changement des modèles d'utilisation des terres</w:t>
      </w:r>
    </w:p>
    <w:p w14:paraId="4FDF2D21" w14:textId="77777777" w:rsidR="00575CDF" w:rsidRPr="00C801A6" w:rsidRDefault="00575CDF" w:rsidP="00575CDF">
      <w:pPr>
        <w:ind w:left="1066"/>
        <w:rPr>
          <w:color w:val="auto"/>
        </w:rPr>
      </w:pPr>
      <w:r w:rsidRPr="00C801A6">
        <w:rPr>
          <w:color w:val="auto"/>
        </w:rPr>
        <w:t>Du fait de la facilitation des déplacements nationaux, de nouveaux clusters économiques peuvent apparaître dans des endroits qui ont été, jusqu’à présent, habitués à l’occupation traditionnelle des terres (</w:t>
      </w:r>
      <w:r w:rsidRPr="00C801A6">
        <w:rPr>
          <w:color w:val="auto"/>
          <w:u w:val="single"/>
        </w:rPr>
        <w:t>exemple</w:t>
      </w:r>
      <w:r w:rsidRPr="00C801A6">
        <w:rPr>
          <w:color w:val="auto"/>
        </w:rPr>
        <w:t xml:space="preserve"> : en matière de propriété </w:t>
      </w:r>
      <w:r w:rsidRPr="00C801A6">
        <w:rPr>
          <w:color w:val="auto"/>
        </w:rPr>
        <w:lastRenderedPageBreak/>
        <w:t>foncière, le droit coutumier sakalava reconnaît l’appropriation collective de vastes espaces …). Toute une série de changements pourront en découler.</w:t>
      </w:r>
    </w:p>
    <w:p w14:paraId="3FD33B4E" w14:textId="77777777" w:rsidR="00575CDF" w:rsidRPr="00C801A6" w:rsidRDefault="00575CDF" w:rsidP="00575CDF">
      <w:pPr>
        <w:rPr>
          <w:color w:val="auto"/>
        </w:rPr>
      </w:pPr>
      <w:r w:rsidRPr="00C801A6">
        <w:rPr>
          <w:color w:val="auto"/>
        </w:rPr>
        <w:t>A noter qu’une étude sur les impacts cumulatifs diffère d’une étude d’impact classique en ce sens qu'une action proposée (par exemple un projet) est évaluée par rapport à d'autres actions passées, présentes et prévisibles dans le futur. L'échelle temporelle est donc beaucoup plus longue et le nombre et le type d'actions envisagées sont plus importants. Les échelles spatiales sont également généralement plus larges. Une action proposée est évaluée au-delà de ses limites locales pour inclure les impacts cumulés à l'échelle locale, nationale, régionale et même mondiale.</w:t>
      </w:r>
    </w:p>
    <w:p w14:paraId="259703E4" w14:textId="77777777" w:rsidR="00575CDF" w:rsidRPr="00C801A6" w:rsidRDefault="00575CDF" w:rsidP="00C65572">
      <w:pPr>
        <w:pStyle w:val="Heading3"/>
      </w:pPr>
      <w:bookmarkStart w:id="845" w:name="_Toc71795006"/>
      <w:bookmarkStart w:id="846" w:name="_Toc106320446"/>
      <w:bookmarkStart w:id="847" w:name="_Toc230426099"/>
      <w:r w:rsidRPr="00C801A6">
        <w:t>Audit de la mise en œuvre des sous-projets dans le cadre du CGES</w:t>
      </w:r>
      <w:bookmarkEnd w:id="845"/>
      <w:bookmarkEnd w:id="846"/>
      <w:bookmarkEnd w:id="847"/>
    </w:p>
    <w:p w14:paraId="2D7D1287" w14:textId="2DE9726B" w:rsidR="00575CDF" w:rsidRPr="00C801A6" w:rsidRDefault="00575CDF" w:rsidP="003042DB">
      <w:pPr>
        <w:pStyle w:val="Heading4"/>
        <w:rPr>
          <w:color w:val="auto"/>
        </w:rPr>
      </w:pPr>
      <w:bookmarkStart w:id="848" w:name="_Toc71795007"/>
      <w:bookmarkStart w:id="849" w:name="_Toc230298822"/>
      <w:r w:rsidRPr="00C801A6">
        <w:rPr>
          <w:color w:val="auto"/>
        </w:rPr>
        <w:t xml:space="preserve">Exigences de la </w:t>
      </w:r>
      <w:bookmarkEnd w:id="848"/>
      <w:r w:rsidR="00B910A0" w:rsidRPr="00C801A6">
        <w:rPr>
          <w:color w:val="auto"/>
        </w:rPr>
        <w:t>Banque mondiale</w:t>
      </w:r>
      <w:bookmarkEnd w:id="849"/>
    </w:p>
    <w:p w14:paraId="323C9092" w14:textId="77777777" w:rsidR="00575CDF" w:rsidRPr="00C801A6" w:rsidRDefault="00575CDF" w:rsidP="00575CDF">
      <w:pPr>
        <w:rPr>
          <w:color w:val="auto"/>
        </w:rPr>
      </w:pPr>
      <w:r w:rsidRPr="00C801A6">
        <w:rPr>
          <w:color w:val="auto"/>
        </w:rPr>
        <w:t>Selon la NES1, un audit environnemental et social vise à déterminer la nature et l’envergure des préoccupations d’ordre environnemental et social liées à un projet ou des activités en cours de construction ou d’exploitation. Cet audit définit et justifie les mesures et actions qui conviennent pour atténuer ces préoccupations, estime le coût de ces mesures et actions et recommande un calendrier pour leur mise en œuvre. Pour certains projets, l’évaluation environnementale et sociale peut prendre la forme d’un audit environnemental ou social ; tandis que pour d’autres, l’audit fera partie de l’évaluation.</w:t>
      </w:r>
    </w:p>
    <w:p w14:paraId="58830E79" w14:textId="77777777" w:rsidR="00575CDF" w:rsidRPr="00C801A6" w:rsidRDefault="00575CDF" w:rsidP="00575CDF">
      <w:pPr>
        <w:rPr>
          <w:color w:val="auto"/>
        </w:rPr>
      </w:pPr>
      <w:r w:rsidRPr="00C801A6">
        <w:rPr>
          <w:color w:val="auto"/>
        </w:rPr>
        <w:t>En fonction du cas, l’approche change un peu :</w:t>
      </w:r>
    </w:p>
    <w:p w14:paraId="36CF2534" w14:textId="77777777" w:rsidR="00575CDF" w:rsidRPr="00C801A6" w:rsidRDefault="00575CDF" w:rsidP="00844538">
      <w:pPr>
        <w:pStyle w:val="ListParagraph"/>
        <w:numPr>
          <w:ilvl w:val="0"/>
          <w:numId w:val="63"/>
        </w:numPr>
        <w:spacing w:line="276" w:lineRule="auto"/>
        <w:ind w:left="850" w:hanging="425"/>
        <w:contextualSpacing w:val="0"/>
        <w:rPr>
          <w:color w:val="auto"/>
        </w:rPr>
      </w:pPr>
      <w:r w:rsidRPr="00C801A6">
        <w:rPr>
          <w:color w:val="auto"/>
        </w:rPr>
        <w:t>Pour la mise en œuvre d’un Plan de réinstallation (PR), un audit à mi-parcours et un audit de clôture sont requis.</w:t>
      </w:r>
    </w:p>
    <w:p w14:paraId="43D30F49" w14:textId="77777777" w:rsidR="00575CDF" w:rsidRPr="00C801A6" w:rsidRDefault="00575CDF" w:rsidP="00844538">
      <w:pPr>
        <w:pStyle w:val="ListParagraph"/>
        <w:numPr>
          <w:ilvl w:val="0"/>
          <w:numId w:val="63"/>
        </w:numPr>
        <w:spacing w:line="276" w:lineRule="auto"/>
        <w:ind w:left="851" w:hanging="425"/>
        <w:rPr>
          <w:color w:val="auto"/>
        </w:rPr>
      </w:pPr>
      <w:r w:rsidRPr="00C801A6">
        <w:rPr>
          <w:color w:val="auto"/>
        </w:rPr>
        <w:t>Pour les PGES, l’audit environnemental et social de clôture est requis et l’audit à mi-parcours reste optionnel.</w:t>
      </w:r>
    </w:p>
    <w:p w14:paraId="12FE43BB" w14:textId="77777777" w:rsidR="00575CDF" w:rsidRPr="00C801A6" w:rsidRDefault="00575CDF" w:rsidP="003042DB">
      <w:pPr>
        <w:pStyle w:val="Heading4"/>
        <w:rPr>
          <w:color w:val="auto"/>
        </w:rPr>
      </w:pPr>
      <w:bookmarkStart w:id="850" w:name="_Toc71795008"/>
      <w:bookmarkStart w:id="851" w:name="_Toc230298823"/>
      <w:r w:rsidRPr="00C801A6">
        <w:rPr>
          <w:color w:val="auto"/>
        </w:rPr>
        <w:t>Exigences nationales</w:t>
      </w:r>
      <w:bookmarkEnd w:id="850"/>
      <w:bookmarkEnd w:id="851"/>
    </w:p>
    <w:p w14:paraId="3F79191A" w14:textId="3DEE4881" w:rsidR="00575CDF" w:rsidRPr="00C801A6" w:rsidRDefault="00575CDF" w:rsidP="00575CDF">
      <w:pPr>
        <w:rPr>
          <w:color w:val="auto"/>
        </w:rPr>
      </w:pPr>
      <w:r w:rsidRPr="00C801A6">
        <w:rPr>
          <w:color w:val="auto"/>
        </w:rPr>
        <w:t xml:space="preserve">Conformément à l’Article </w:t>
      </w:r>
      <w:r w:rsidR="003D6733">
        <w:rPr>
          <w:color w:val="auto"/>
        </w:rPr>
        <w:t>114</w:t>
      </w:r>
      <w:r w:rsidRPr="00C801A6">
        <w:rPr>
          <w:color w:val="auto"/>
        </w:rPr>
        <w:t xml:space="preserve"> du Décret </w:t>
      </w:r>
      <w:r w:rsidR="003D6733">
        <w:rPr>
          <w:color w:val="auto"/>
        </w:rPr>
        <w:t>2025-080fixant les règles et procédures de l’Evaluation Environnementale et Sociale, pour la Mise en Compatibilité des Investissements avec l’environnement ou</w:t>
      </w:r>
      <w:r w:rsidRPr="00C801A6">
        <w:rPr>
          <w:color w:val="auto"/>
        </w:rPr>
        <w:t xml:space="preserve"> MECIE, le promoteur doit réaliser, avant la fermeture du projet considéré, un audit environnemental </w:t>
      </w:r>
      <w:r w:rsidR="003D6733">
        <w:rPr>
          <w:color w:val="auto"/>
        </w:rPr>
        <w:t xml:space="preserve">et social </w:t>
      </w:r>
      <w:r w:rsidRPr="00C801A6">
        <w:rPr>
          <w:color w:val="auto"/>
        </w:rPr>
        <w:t>de clôture.</w:t>
      </w:r>
    </w:p>
    <w:p w14:paraId="23C4CED1" w14:textId="77777777" w:rsidR="00575CDF" w:rsidRPr="00C801A6" w:rsidRDefault="00575CDF" w:rsidP="00C65572">
      <w:pPr>
        <w:pStyle w:val="Heading3"/>
      </w:pPr>
      <w:bookmarkStart w:id="852" w:name="_Toc71795009"/>
      <w:bookmarkStart w:id="853" w:name="_Toc106320447"/>
      <w:bookmarkStart w:id="854" w:name="_Toc230426100"/>
      <w:r w:rsidRPr="00C801A6">
        <w:t>Besoins en renforcement des capacités</w:t>
      </w:r>
      <w:bookmarkEnd w:id="852"/>
      <w:bookmarkEnd w:id="853"/>
      <w:bookmarkEnd w:id="854"/>
    </w:p>
    <w:p w14:paraId="503EEFA2" w14:textId="58304ABC" w:rsidR="00575CDF" w:rsidRPr="00C801A6" w:rsidRDefault="00575CDF" w:rsidP="00575CDF">
      <w:pPr>
        <w:rPr>
          <w:color w:val="auto"/>
        </w:rPr>
      </w:pPr>
      <w:r w:rsidRPr="00C801A6">
        <w:rPr>
          <w:color w:val="auto"/>
        </w:rPr>
        <w:t>De nouvelles personnes ressources seront recrutées au sein de l’U</w:t>
      </w:r>
      <w:r w:rsidR="007A1CCA">
        <w:rPr>
          <w:color w:val="auto"/>
        </w:rPr>
        <w:t>C</w:t>
      </w:r>
      <w:r w:rsidRPr="00C801A6">
        <w:rPr>
          <w:color w:val="auto"/>
        </w:rPr>
        <w:t>P pour assurer les nouvelles charges de travail. Il en découle qu’il n’est plus obligé de passer par certaines étapes pour la préparation des besoins en renforcement des capacités : il est possible de fixer les exigences dès maintenant afin que les responsables puissent se préparer à l’avance.</w:t>
      </w:r>
    </w:p>
    <w:p w14:paraId="197BED2D" w14:textId="77777777" w:rsidR="00575CDF" w:rsidRPr="00C801A6" w:rsidRDefault="00575CDF" w:rsidP="003042DB">
      <w:pPr>
        <w:pStyle w:val="Heading4"/>
        <w:rPr>
          <w:color w:val="auto"/>
        </w:rPr>
      </w:pPr>
      <w:bookmarkStart w:id="855" w:name="_Toc71795010"/>
      <w:bookmarkStart w:id="856" w:name="_Toc230298824"/>
      <w:r w:rsidRPr="00C801A6">
        <w:rPr>
          <w:color w:val="auto"/>
        </w:rPr>
        <w:t xml:space="preserve">Comité </w:t>
      </w:r>
      <w:bookmarkEnd w:id="855"/>
      <w:r w:rsidRPr="00C801A6">
        <w:rPr>
          <w:color w:val="auto"/>
        </w:rPr>
        <w:t>technique (CT)</w:t>
      </w:r>
      <w:bookmarkEnd w:id="856"/>
    </w:p>
    <w:p w14:paraId="42468A39" w14:textId="1D7EC30E" w:rsidR="00575CDF" w:rsidRPr="00C801A6" w:rsidRDefault="00575CDF" w:rsidP="00575CDF">
      <w:pPr>
        <w:rPr>
          <w:color w:val="auto"/>
        </w:rPr>
      </w:pPr>
      <w:r w:rsidRPr="00C801A6">
        <w:rPr>
          <w:color w:val="auto"/>
        </w:rPr>
        <w:t xml:space="preserve">Le CT prend des décisions stratégiques. Néanmoins, l’expérience montre qu’il n’est pas toujours évident que ses membres comprennent certaines démarches ou exigences. Il est donc </w:t>
      </w:r>
      <w:r w:rsidRPr="00C801A6">
        <w:rPr>
          <w:color w:val="auto"/>
        </w:rPr>
        <w:lastRenderedPageBreak/>
        <w:t xml:space="preserve">recommandé d’organiser une séance d’initiation de ces derniers sur le nouveau CES de la </w:t>
      </w:r>
      <w:r w:rsidR="00B910A0" w:rsidRPr="00C801A6">
        <w:rPr>
          <w:color w:val="auto"/>
        </w:rPr>
        <w:t>Banque mondiale</w:t>
      </w:r>
      <w:r w:rsidRPr="00C801A6">
        <w:rPr>
          <w:color w:val="auto"/>
        </w:rPr>
        <w:t>, quoique certains d’entre eux connaissent déjà les anciennes Politiques opérationnelles de sauvegarde.</w:t>
      </w:r>
    </w:p>
    <w:p w14:paraId="2731935C" w14:textId="77777777" w:rsidR="00575CDF" w:rsidRPr="00C801A6" w:rsidRDefault="00575CDF" w:rsidP="00575CDF">
      <w:pPr>
        <w:rPr>
          <w:color w:val="auto"/>
        </w:rPr>
      </w:pPr>
      <w:r w:rsidRPr="00C801A6">
        <w:rPr>
          <w:color w:val="auto"/>
        </w:rPr>
        <w:t>Compte tenu de leurs postes de responsabilité au sein du Ministère, la séance ne prendrait que 2 heures et pourrait être planifiée durant un jour de réunion. Pas de coûts y afférents.</w:t>
      </w:r>
    </w:p>
    <w:p w14:paraId="33EF046B" w14:textId="77777777" w:rsidR="00575CDF" w:rsidRPr="00C801A6" w:rsidRDefault="00575CDF" w:rsidP="003042DB">
      <w:pPr>
        <w:pStyle w:val="Heading4"/>
        <w:rPr>
          <w:color w:val="auto"/>
        </w:rPr>
      </w:pPr>
      <w:bookmarkStart w:id="857" w:name="_Toc71795011"/>
      <w:bookmarkStart w:id="858" w:name="_Toc230298825"/>
      <w:r w:rsidRPr="00C801A6">
        <w:rPr>
          <w:color w:val="auto"/>
        </w:rPr>
        <w:t>Expertise environnementale et sociale</w:t>
      </w:r>
      <w:bookmarkEnd w:id="857"/>
      <w:bookmarkEnd w:id="858"/>
    </w:p>
    <w:p w14:paraId="73894819" w14:textId="2E4BEBA4" w:rsidR="00575CDF" w:rsidRPr="00C801A6" w:rsidRDefault="00575CDF" w:rsidP="00575CDF">
      <w:pPr>
        <w:rPr>
          <w:color w:val="auto"/>
        </w:rPr>
      </w:pPr>
      <w:r w:rsidRPr="00C801A6">
        <w:rPr>
          <w:color w:val="auto"/>
        </w:rPr>
        <w:t>Pour l’équipe de l’U</w:t>
      </w:r>
      <w:r w:rsidR="007A1CCA">
        <w:rPr>
          <w:color w:val="auto"/>
        </w:rPr>
        <w:t>C</w:t>
      </w:r>
      <w:r w:rsidRPr="00C801A6">
        <w:rPr>
          <w:color w:val="auto"/>
        </w:rPr>
        <w:t>P, notamment l’équipe « sauvegardes E&amp;S », l’on prévoit les thématiques suivantes qui, éventuellement, pourraient être complétées :</w:t>
      </w:r>
    </w:p>
    <w:p w14:paraId="749FCF01" w14:textId="230DB70C" w:rsidR="00575CDF" w:rsidRPr="00FB52BA" w:rsidRDefault="00575CDF" w:rsidP="00844538">
      <w:pPr>
        <w:pStyle w:val="Grillemoyenne1-Accent21"/>
        <w:numPr>
          <w:ilvl w:val="0"/>
          <w:numId w:val="67"/>
        </w:numPr>
        <w:spacing w:after="80" w:line="276" w:lineRule="auto"/>
        <w:ind w:left="850" w:hanging="425"/>
        <w:contextualSpacing w:val="0"/>
        <w:jc w:val="both"/>
        <w:rPr>
          <w:rFonts w:ascii="Times New Roman" w:hAnsi="Times New Roman"/>
          <w:sz w:val="24"/>
          <w:szCs w:val="24"/>
        </w:rPr>
      </w:pPr>
      <w:r w:rsidRPr="00FB52BA">
        <w:rPr>
          <w:rFonts w:ascii="Times New Roman" w:hAnsi="Times New Roman"/>
          <w:sz w:val="24"/>
          <w:szCs w:val="24"/>
        </w:rPr>
        <w:t xml:space="preserve">CES, NES et Directives HSSE du Groupe de la </w:t>
      </w:r>
      <w:r w:rsidR="00B910A0" w:rsidRPr="00FB52BA">
        <w:rPr>
          <w:rFonts w:ascii="Times New Roman" w:hAnsi="Times New Roman"/>
          <w:sz w:val="24"/>
          <w:szCs w:val="24"/>
        </w:rPr>
        <w:t>Banque mondiale</w:t>
      </w:r>
    </w:p>
    <w:p w14:paraId="31D5572B" w14:textId="77777777" w:rsidR="00575CDF" w:rsidRPr="00FB52BA" w:rsidRDefault="00575CDF" w:rsidP="00844538">
      <w:pPr>
        <w:pStyle w:val="Grillemoyenne1-Accent21"/>
        <w:numPr>
          <w:ilvl w:val="0"/>
          <w:numId w:val="67"/>
        </w:numPr>
        <w:spacing w:after="80" w:line="276" w:lineRule="auto"/>
        <w:ind w:left="850" w:hanging="425"/>
        <w:contextualSpacing w:val="0"/>
        <w:jc w:val="both"/>
        <w:rPr>
          <w:rFonts w:ascii="Times New Roman" w:hAnsi="Times New Roman"/>
          <w:sz w:val="24"/>
          <w:szCs w:val="24"/>
        </w:rPr>
      </w:pPr>
      <w:r w:rsidRPr="00FB52BA">
        <w:rPr>
          <w:rFonts w:ascii="Times New Roman" w:hAnsi="Times New Roman"/>
          <w:sz w:val="24"/>
          <w:szCs w:val="24"/>
        </w:rPr>
        <w:t xml:space="preserve">Mobilisation des Parties Prenantes </w:t>
      </w:r>
    </w:p>
    <w:p w14:paraId="607DE58F" w14:textId="77777777" w:rsidR="00575CDF" w:rsidRPr="00FB52BA" w:rsidRDefault="00575CDF" w:rsidP="00844538">
      <w:pPr>
        <w:pStyle w:val="Grillemoyenne1-Accent21"/>
        <w:numPr>
          <w:ilvl w:val="0"/>
          <w:numId w:val="67"/>
        </w:numPr>
        <w:spacing w:after="80" w:line="276" w:lineRule="auto"/>
        <w:ind w:left="850" w:hanging="425"/>
        <w:contextualSpacing w:val="0"/>
        <w:jc w:val="both"/>
        <w:rPr>
          <w:rFonts w:ascii="Times New Roman" w:hAnsi="Times New Roman"/>
          <w:sz w:val="24"/>
          <w:szCs w:val="24"/>
        </w:rPr>
      </w:pPr>
      <w:r w:rsidRPr="00FB52BA">
        <w:rPr>
          <w:rFonts w:ascii="Times New Roman" w:hAnsi="Times New Roman"/>
          <w:sz w:val="24"/>
          <w:szCs w:val="24"/>
        </w:rPr>
        <w:t>Santé et sécurité des travailleurs et des communautés</w:t>
      </w:r>
    </w:p>
    <w:p w14:paraId="58DC9017" w14:textId="5099CB87" w:rsidR="00575CDF" w:rsidRPr="00FB52BA" w:rsidRDefault="00575CDF" w:rsidP="00844538">
      <w:pPr>
        <w:pStyle w:val="Grillemoyenne1-Accent21"/>
        <w:numPr>
          <w:ilvl w:val="0"/>
          <w:numId w:val="67"/>
        </w:numPr>
        <w:spacing w:after="80" w:line="276" w:lineRule="auto"/>
        <w:ind w:left="850" w:hanging="425"/>
        <w:contextualSpacing w:val="0"/>
        <w:jc w:val="both"/>
        <w:rPr>
          <w:rFonts w:ascii="Times New Roman" w:hAnsi="Times New Roman"/>
          <w:sz w:val="24"/>
          <w:szCs w:val="24"/>
        </w:rPr>
      </w:pPr>
      <w:r w:rsidRPr="00FB52BA">
        <w:rPr>
          <w:rFonts w:ascii="Times New Roman" w:hAnsi="Times New Roman"/>
          <w:sz w:val="24"/>
          <w:szCs w:val="24"/>
        </w:rPr>
        <w:t xml:space="preserve">Atténuation des risques de </w:t>
      </w:r>
      <w:r w:rsidR="006F38A3">
        <w:rPr>
          <w:rFonts w:ascii="Times New Roman" w:hAnsi="Times New Roman"/>
          <w:sz w:val="24"/>
          <w:szCs w:val="24"/>
        </w:rPr>
        <w:t xml:space="preserve">EAS-HS </w:t>
      </w:r>
    </w:p>
    <w:p w14:paraId="2090A6D6" w14:textId="77777777" w:rsidR="00575CDF" w:rsidRPr="00FB52BA" w:rsidRDefault="00575CDF" w:rsidP="00844538">
      <w:pPr>
        <w:pStyle w:val="Grillemoyenne1-Accent21"/>
        <w:numPr>
          <w:ilvl w:val="0"/>
          <w:numId w:val="67"/>
        </w:numPr>
        <w:spacing w:after="80" w:line="276" w:lineRule="auto"/>
        <w:ind w:left="850" w:hanging="425"/>
        <w:contextualSpacing w:val="0"/>
        <w:jc w:val="both"/>
        <w:rPr>
          <w:rFonts w:ascii="Times New Roman" w:hAnsi="Times New Roman"/>
          <w:sz w:val="24"/>
          <w:szCs w:val="24"/>
        </w:rPr>
      </w:pPr>
      <w:r w:rsidRPr="00FB52BA">
        <w:rPr>
          <w:rFonts w:ascii="Times New Roman" w:hAnsi="Times New Roman"/>
          <w:sz w:val="24"/>
          <w:szCs w:val="24"/>
        </w:rPr>
        <w:t>Préparation et intervention en cas d’urgence</w:t>
      </w:r>
    </w:p>
    <w:p w14:paraId="685D2978" w14:textId="77777777" w:rsidR="00575CDF" w:rsidRPr="00FB52BA" w:rsidRDefault="00575CDF" w:rsidP="00844538">
      <w:pPr>
        <w:pStyle w:val="Grillemoyenne1-Accent21"/>
        <w:numPr>
          <w:ilvl w:val="0"/>
          <w:numId w:val="67"/>
        </w:numPr>
        <w:spacing w:after="80" w:line="276" w:lineRule="auto"/>
        <w:ind w:left="850" w:hanging="425"/>
        <w:contextualSpacing w:val="0"/>
        <w:jc w:val="both"/>
        <w:rPr>
          <w:rFonts w:ascii="Times New Roman" w:hAnsi="Times New Roman"/>
          <w:sz w:val="24"/>
          <w:szCs w:val="24"/>
        </w:rPr>
      </w:pPr>
      <w:r w:rsidRPr="00FB52BA">
        <w:rPr>
          <w:rFonts w:ascii="Times New Roman" w:hAnsi="Times New Roman"/>
          <w:sz w:val="24"/>
          <w:szCs w:val="24"/>
        </w:rPr>
        <w:t>Formation sur l’inclusion des groupes vulnérables et défavorisés dans le processus de consultation</w:t>
      </w:r>
    </w:p>
    <w:p w14:paraId="590CD69B" w14:textId="77777777" w:rsidR="00575CDF" w:rsidRPr="00FB52BA" w:rsidRDefault="00575CDF" w:rsidP="00844538">
      <w:pPr>
        <w:pStyle w:val="Grillemoyenne1-Accent21"/>
        <w:numPr>
          <w:ilvl w:val="0"/>
          <w:numId w:val="67"/>
        </w:numPr>
        <w:spacing w:after="80" w:line="276" w:lineRule="auto"/>
        <w:ind w:left="850" w:hanging="425"/>
        <w:contextualSpacing w:val="0"/>
        <w:jc w:val="both"/>
        <w:rPr>
          <w:rFonts w:ascii="Times New Roman" w:hAnsi="Times New Roman"/>
          <w:sz w:val="24"/>
          <w:szCs w:val="24"/>
        </w:rPr>
      </w:pPr>
      <w:r w:rsidRPr="00FB52BA">
        <w:rPr>
          <w:rFonts w:ascii="Times New Roman" w:hAnsi="Times New Roman"/>
          <w:sz w:val="24"/>
          <w:szCs w:val="24"/>
        </w:rPr>
        <w:t>Mécanisme de gestion des plaintes</w:t>
      </w:r>
    </w:p>
    <w:p w14:paraId="5C91D55E" w14:textId="77777777" w:rsidR="00575CDF" w:rsidRPr="00FB52BA" w:rsidRDefault="00575CDF" w:rsidP="00844538">
      <w:pPr>
        <w:pStyle w:val="Grillemoyenne1-Accent21"/>
        <w:numPr>
          <w:ilvl w:val="0"/>
          <w:numId w:val="67"/>
        </w:numPr>
        <w:spacing w:after="80" w:line="276" w:lineRule="auto"/>
        <w:ind w:left="850" w:hanging="425"/>
        <w:contextualSpacing w:val="0"/>
        <w:jc w:val="both"/>
        <w:rPr>
          <w:rFonts w:ascii="Times New Roman" w:hAnsi="Times New Roman"/>
          <w:sz w:val="24"/>
          <w:szCs w:val="24"/>
        </w:rPr>
      </w:pPr>
      <w:r w:rsidRPr="00FB52BA">
        <w:rPr>
          <w:rFonts w:ascii="Times New Roman" w:hAnsi="Times New Roman"/>
          <w:sz w:val="24"/>
          <w:szCs w:val="24"/>
        </w:rPr>
        <w:t>Développement, mise en œuvre, suivi et reporting en conformité au PGMO</w:t>
      </w:r>
    </w:p>
    <w:p w14:paraId="61B367EA" w14:textId="77777777" w:rsidR="00575CDF" w:rsidRPr="00FB52BA" w:rsidRDefault="00575CDF" w:rsidP="00844538">
      <w:pPr>
        <w:pStyle w:val="Grillemoyenne1-Accent21"/>
        <w:numPr>
          <w:ilvl w:val="0"/>
          <w:numId w:val="67"/>
        </w:numPr>
        <w:spacing w:after="80" w:line="276" w:lineRule="auto"/>
        <w:ind w:left="850" w:hanging="425"/>
        <w:contextualSpacing w:val="0"/>
        <w:jc w:val="both"/>
        <w:rPr>
          <w:rFonts w:ascii="Times New Roman" w:hAnsi="Times New Roman"/>
          <w:sz w:val="24"/>
          <w:szCs w:val="24"/>
        </w:rPr>
      </w:pPr>
      <w:r w:rsidRPr="00FB52BA">
        <w:rPr>
          <w:rFonts w:ascii="Times New Roman" w:hAnsi="Times New Roman"/>
          <w:sz w:val="24"/>
          <w:szCs w:val="24"/>
        </w:rPr>
        <w:t>Sensibilisation, conscientisation et prévention sur les infections sexuellement transmissibles : VIH/SIDA, …</w:t>
      </w:r>
    </w:p>
    <w:p w14:paraId="3AA66402" w14:textId="79605F77" w:rsidR="00575CDF" w:rsidRPr="00FB52BA" w:rsidRDefault="00575CDF" w:rsidP="00844538">
      <w:pPr>
        <w:pStyle w:val="Grillemoyenne1-Accent21"/>
        <w:numPr>
          <w:ilvl w:val="0"/>
          <w:numId w:val="67"/>
        </w:numPr>
        <w:spacing w:after="80" w:line="276" w:lineRule="auto"/>
        <w:ind w:left="850" w:hanging="425"/>
        <w:contextualSpacing w:val="0"/>
        <w:jc w:val="both"/>
        <w:rPr>
          <w:rFonts w:ascii="Times New Roman" w:hAnsi="Times New Roman"/>
          <w:sz w:val="24"/>
          <w:szCs w:val="24"/>
        </w:rPr>
      </w:pPr>
      <w:r w:rsidRPr="00FB52BA">
        <w:rPr>
          <w:rFonts w:ascii="Times New Roman" w:hAnsi="Times New Roman"/>
          <w:sz w:val="24"/>
          <w:szCs w:val="24"/>
        </w:rPr>
        <w:t>Sensibilisation sur VBG incluant E</w:t>
      </w:r>
      <w:r w:rsidR="000F03E2">
        <w:rPr>
          <w:rFonts w:ascii="Times New Roman" w:hAnsi="Times New Roman"/>
          <w:sz w:val="24"/>
          <w:szCs w:val="24"/>
        </w:rPr>
        <w:t>A</w:t>
      </w:r>
      <w:r w:rsidRPr="00FB52BA">
        <w:rPr>
          <w:rFonts w:ascii="Times New Roman" w:hAnsi="Times New Roman"/>
          <w:sz w:val="24"/>
          <w:szCs w:val="24"/>
        </w:rPr>
        <w:t>S-HS et protection de l’enfant</w:t>
      </w:r>
    </w:p>
    <w:p w14:paraId="1C577F10" w14:textId="77777777" w:rsidR="00575CDF" w:rsidRPr="00FB52BA" w:rsidRDefault="00575CDF" w:rsidP="00844538">
      <w:pPr>
        <w:pStyle w:val="Grillemoyenne1-Accent21"/>
        <w:numPr>
          <w:ilvl w:val="0"/>
          <w:numId w:val="67"/>
        </w:numPr>
        <w:spacing w:after="80" w:line="276" w:lineRule="auto"/>
        <w:ind w:left="850" w:hanging="425"/>
        <w:contextualSpacing w:val="0"/>
        <w:jc w:val="both"/>
        <w:rPr>
          <w:b/>
          <w:sz w:val="24"/>
          <w:szCs w:val="24"/>
        </w:rPr>
      </w:pPr>
      <w:r w:rsidRPr="00FB52BA">
        <w:rPr>
          <w:rFonts w:ascii="Times New Roman" w:hAnsi="Times New Roman"/>
          <w:sz w:val="24"/>
          <w:szCs w:val="24"/>
        </w:rPr>
        <w:t>Sensibilisation sur les mesures barrières contre la propagation du Covid-19</w:t>
      </w:r>
    </w:p>
    <w:p w14:paraId="4BB0A729" w14:textId="77777777" w:rsidR="00575CDF" w:rsidRPr="00C801A6" w:rsidRDefault="00575CDF" w:rsidP="00575CDF">
      <w:pPr>
        <w:rPr>
          <w:color w:val="auto"/>
        </w:rPr>
      </w:pPr>
      <w:r w:rsidRPr="00FB52BA">
        <w:rPr>
          <w:color w:val="auto"/>
          <w:szCs w:val="24"/>
        </w:rPr>
        <w:t xml:space="preserve">Pour les </w:t>
      </w:r>
      <w:r w:rsidRPr="00FB52BA">
        <w:rPr>
          <w:rFonts w:cs="Times New Roman"/>
          <w:iCs/>
          <w:color w:val="auto"/>
          <w:szCs w:val="24"/>
        </w:rPr>
        <w:t>travailleurs</w:t>
      </w:r>
      <w:r w:rsidRPr="00FB52BA">
        <w:rPr>
          <w:rFonts w:cs="Times New Roman"/>
          <w:color w:val="auto"/>
          <w:szCs w:val="24"/>
        </w:rPr>
        <w:t xml:space="preserve"> contractuels, les formations concerneront (liste non exhaustive)</w:t>
      </w:r>
      <w:r w:rsidRPr="00C801A6">
        <w:rPr>
          <w:rFonts w:cs="Times New Roman"/>
          <w:color w:val="auto"/>
          <w:sz w:val="22"/>
        </w:rPr>
        <w:t> :</w:t>
      </w:r>
    </w:p>
    <w:p w14:paraId="5309B499" w14:textId="6033FB5C" w:rsidR="00575CDF" w:rsidRPr="00FB52BA" w:rsidRDefault="00575CDF" w:rsidP="00844538">
      <w:pPr>
        <w:pStyle w:val="Grillemoyenne1-Accent21"/>
        <w:numPr>
          <w:ilvl w:val="0"/>
          <w:numId w:val="67"/>
        </w:numPr>
        <w:spacing w:after="80" w:line="276" w:lineRule="auto"/>
        <w:ind w:left="850" w:hanging="425"/>
        <w:contextualSpacing w:val="0"/>
        <w:jc w:val="both"/>
        <w:rPr>
          <w:rFonts w:ascii="Times New Roman" w:hAnsi="Times New Roman"/>
          <w:sz w:val="24"/>
          <w:szCs w:val="24"/>
        </w:rPr>
      </w:pPr>
      <w:r w:rsidRPr="00FB52BA">
        <w:rPr>
          <w:rFonts w:ascii="Times New Roman" w:hAnsi="Times New Roman"/>
          <w:sz w:val="24"/>
          <w:szCs w:val="24"/>
        </w:rPr>
        <w:t xml:space="preserve">Initiation au CES, aux NES et aux Directives HSSE du Groupe de la </w:t>
      </w:r>
      <w:r w:rsidR="00B910A0" w:rsidRPr="00FB52BA">
        <w:rPr>
          <w:rFonts w:ascii="Times New Roman" w:hAnsi="Times New Roman"/>
          <w:sz w:val="24"/>
          <w:szCs w:val="24"/>
        </w:rPr>
        <w:t>Banque mondiale</w:t>
      </w:r>
    </w:p>
    <w:p w14:paraId="36623038" w14:textId="77777777" w:rsidR="00575CDF" w:rsidRPr="00FB52BA" w:rsidRDefault="00575CDF" w:rsidP="00844538">
      <w:pPr>
        <w:pStyle w:val="Grillemoyenne1-Accent21"/>
        <w:numPr>
          <w:ilvl w:val="0"/>
          <w:numId w:val="67"/>
        </w:numPr>
        <w:spacing w:line="276" w:lineRule="auto"/>
        <w:ind w:left="850" w:hanging="425"/>
        <w:contextualSpacing w:val="0"/>
        <w:jc w:val="both"/>
        <w:rPr>
          <w:rFonts w:ascii="Times New Roman" w:hAnsi="Times New Roman"/>
          <w:sz w:val="24"/>
          <w:szCs w:val="24"/>
        </w:rPr>
      </w:pPr>
      <w:r w:rsidRPr="00FB52BA">
        <w:rPr>
          <w:rFonts w:ascii="Times New Roman" w:hAnsi="Times New Roman"/>
          <w:sz w:val="24"/>
          <w:szCs w:val="24"/>
        </w:rPr>
        <w:t>Mise en œuvre des PGES, dont :</w:t>
      </w:r>
    </w:p>
    <w:p w14:paraId="6FE097A0" w14:textId="77777777" w:rsidR="00575CDF" w:rsidRPr="00FB52BA" w:rsidRDefault="00575CDF" w:rsidP="00844538">
      <w:pPr>
        <w:pStyle w:val="Grillemoyenne1-Accent21"/>
        <w:numPr>
          <w:ilvl w:val="0"/>
          <w:numId w:val="68"/>
        </w:numPr>
        <w:spacing w:after="80" w:line="276" w:lineRule="auto"/>
        <w:ind w:left="1276" w:hanging="425"/>
        <w:contextualSpacing w:val="0"/>
        <w:jc w:val="both"/>
        <w:rPr>
          <w:rFonts w:ascii="Times New Roman" w:hAnsi="Times New Roman"/>
          <w:sz w:val="24"/>
          <w:szCs w:val="24"/>
        </w:rPr>
      </w:pPr>
      <w:r w:rsidRPr="00FB52BA">
        <w:rPr>
          <w:rFonts w:ascii="Times New Roman" w:hAnsi="Times New Roman"/>
          <w:sz w:val="24"/>
          <w:szCs w:val="24"/>
        </w:rPr>
        <w:t>Santé et sécurité des travailleurs et des communautés</w:t>
      </w:r>
    </w:p>
    <w:p w14:paraId="1625D9AD" w14:textId="29908257" w:rsidR="00575CDF" w:rsidRPr="00FB52BA" w:rsidRDefault="00575CDF" w:rsidP="00844538">
      <w:pPr>
        <w:pStyle w:val="Grillemoyenne1-Accent21"/>
        <w:numPr>
          <w:ilvl w:val="0"/>
          <w:numId w:val="68"/>
        </w:numPr>
        <w:spacing w:after="80" w:line="276" w:lineRule="auto"/>
        <w:ind w:left="1276" w:hanging="425"/>
        <w:contextualSpacing w:val="0"/>
        <w:jc w:val="both"/>
        <w:rPr>
          <w:rFonts w:ascii="Times New Roman" w:hAnsi="Times New Roman"/>
          <w:sz w:val="24"/>
          <w:szCs w:val="24"/>
        </w:rPr>
      </w:pPr>
      <w:r w:rsidRPr="00FB52BA">
        <w:rPr>
          <w:rFonts w:ascii="Times New Roman" w:hAnsi="Times New Roman"/>
          <w:sz w:val="24"/>
          <w:szCs w:val="24"/>
        </w:rPr>
        <w:t xml:space="preserve">Sensibilisation sur les </w:t>
      </w:r>
      <w:r w:rsidR="006F38A3">
        <w:rPr>
          <w:rFonts w:ascii="Times New Roman" w:hAnsi="Times New Roman"/>
          <w:sz w:val="24"/>
          <w:szCs w:val="24"/>
        </w:rPr>
        <w:t xml:space="preserve">EAS-HS </w:t>
      </w:r>
      <w:r w:rsidRPr="00FB52BA">
        <w:rPr>
          <w:rFonts w:ascii="Times New Roman" w:hAnsi="Times New Roman"/>
          <w:sz w:val="24"/>
          <w:szCs w:val="24"/>
        </w:rPr>
        <w:t>, lutte et prévention</w:t>
      </w:r>
    </w:p>
    <w:p w14:paraId="451C81C3" w14:textId="77777777" w:rsidR="00575CDF" w:rsidRPr="00FB52BA" w:rsidRDefault="00575CDF" w:rsidP="00844538">
      <w:pPr>
        <w:pStyle w:val="Grillemoyenne1-Accent21"/>
        <w:numPr>
          <w:ilvl w:val="0"/>
          <w:numId w:val="68"/>
        </w:numPr>
        <w:spacing w:after="80" w:line="276" w:lineRule="auto"/>
        <w:ind w:left="1276" w:hanging="425"/>
        <w:contextualSpacing w:val="0"/>
        <w:jc w:val="both"/>
        <w:rPr>
          <w:rFonts w:ascii="Times New Roman" w:hAnsi="Times New Roman"/>
          <w:sz w:val="24"/>
          <w:szCs w:val="24"/>
        </w:rPr>
      </w:pPr>
      <w:r w:rsidRPr="00FB52BA">
        <w:rPr>
          <w:rFonts w:ascii="Times New Roman" w:hAnsi="Times New Roman"/>
          <w:sz w:val="24"/>
          <w:szCs w:val="24"/>
        </w:rPr>
        <w:t>Préparation et intervention en cas d’urgence</w:t>
      </w:r>
    </w:p>
    <w:p w14:paraId="71AAED5A" w14:textId="77777777" w:rsidR="00575CDF" w:rsidRPr="00FB52BA" w:rsidRDefault="00575CDF" w:rsidP="00844538">
      <w:pPr>
        <w:pStyle w:val="Grillemoyenne1-Accent21"/>
        <w:numPr>
          <w:ilvl w:val="0"/>
          <w:numId w:val="68"/>
        </w:numPr>
        <w:spacing w:after="80" w:line="276" w:lineRule="auto"/>
        <w:ind w:left="1276" w:hanging="425"/>
        <w:contextualSpacing w:val="0"/>
        <w:jc w:val="both"/>
        <w:rPr>
          <w:rFonts w:ascii="Times New Roman" w:hAnsi="Times New Roman"/>
          <w:sz w:val="24"/>
          <w:szCs w:val="24"/>
        </w:rPr>
      </w:pPr>
      <w:r w:rsidRPr="00FB52BA">
        <w:rPr>
          <w:rFonts w:ascii="Times New Roman" w:hAnsi="Times New Roman"/>
          <w:sz w:val="24"/>
          <w:szCs w:val="24"/>
        </w:rPr>
        <w:t>Mécanisme de gestion des plaintes</w:t>
      </w:r>
    </w:p>
    <w:p w14:paraId="45609BE4" w14:textId="77777777" w:rsidR="00575CDF" w:rsidRPr="00FB52BA" w:rsidRDefault="00575CDF" w:rsidP="00844538">
      <w:pPr>
        <w:pStyle w:val="Grillemoyenne1-Accent21"/>
        <w:numPr>
          <w:ilvl w:val="0"/>
          <w:numId w:val="68"/>
        </w:numPr>
        <w:spacing w:after="80" w:line="276" w:lineRule="auto"/>
        <w:ind w:left="1276" w:hanging="425"/>
        <w:contextualSpacing w:val="0"/>
        <w:jc w:val="both"/>
        <w:rPr>
          <w:rFonts w:ascii="Times New Roman" w:hAnsi="Times New Roman"/>
          <w:sz w:val="24"/>
          <w:szCs w:val="24"/>
        </w:rPr>
      </w:pPr>
      <w:r w:rsidRPr="00FB52BA">
        <w:rPr>
          <w:rFonts w:ascii="Times New Roman" w:hAnsi="Times New Roman"/>
          <w:sz w:val="24"/>
          <w:szCs w:val="24"/>
        </w:rPr>
        <w:t>Développement, mise en œuvre, suivi et reporting en conformité au PGMO</w:t>
      </w:r>
    </w:p>
    <w:p w14:paraId="26495FF5" w14:textId="77777777" w:rsidR="00575CDF" w:rsidRPr="00FB52BA" w:rsidRDefault="00575CDF" w:rsidP="00844538">
      <w:pPr>
        <w:pStyle w:val="Grillemoyenne1-Accent21"/>
        <w:numPr>
          <w:ilvl w:val="0"/>
          <w:numId w:val="68"/>
        </w:numPr>
        <w:spacing w:after="80" w:line="276" w:lineRule="auto"/>
        <w:ind w:left="1276" w:hanging="425"/>
        <w:contextualSpacing w:val="0"/>
        <w:jc w:val="both"/>
        <w:rPr>
          <w:rFonts w:ascii="Times New Roman" w:hAnsi="Times New Roman"/>
          <w:sz w:val="24"/>
          <w:szCs w:val="24"/>
        </w:rPr>
      </w:pPr>
      <w:r w:rsidRPr="00FB52BA">
        <w:rPr>
          <w:rFonts w:ascii="Times New Roman" w:hAnsi="Times New Roman"/>
          <w:sz w:val="24"/>
          <w:szCs w:val="24"/>
        </w:rPr>
        <w:t>Sensibilisation, conscientisation et prévention sur les infections sexuellement transmissibles : VIH/SIDA, …</w:t>
      </w:r>
    </w:p>
    <w:p w14:paraId="67F30395" w14:textId="77777777" w:rsidR="00575CDF" w:rsidRPr="00FB52BA" w:rsidRDefault="00575CDF" w:rsidP="00844538">
      <w:pPr>
        <w:pStyle w:val="Grillemoyenne1-Accent21"/>
        <w:numPr>
          <w:ilvl w:val="0"/>
          <w:numId w:val="68"/>
        </w:numPr>
        <w:spacing w:line="276" w:lineRule="auto"/>
        <w:ind w:left="1276" w:hanging="425"/>
        <w:contextualSpacing w:val="0"/>
        <w:jc w:val="both"/>
        <w:rPr>
          <w:rFonts w:ascii="Times New Roman" w:hAnsi="Times New Roman"/>
          <w:sz w:val="24"/>
          <w:szCs w:val="24"/>
        </w:rPr>
      </w:pPr>
      <w:r w:rsidRPr="00FB52BA">
        <w:rPr>
          <w:rFonts w:ascii="Times New Roman" w:hAnsi="Times New Roman"/>
          <w:sz w:val="24"/>
          <w:szCs w:val="24"/>
        </w:rPr>
        <w:t>Sensibilisation sur les mesures contre la propagation et la lutte contre le Covid-19</w:t>
      </w:r>
    </w:p>
    <w:p w14:paraId="70DD5334" w14:textId="77777777" w:rsidR="00575CDF" w:rsidRPr="00C801A6" w:rsidRDefault="00575CDF" w:rsidP="003042DB">
      <w:pPr>
        <w:pStyle w:val="Heading4"/>
        <w:rPr>
          <w:color w:val="auto"/>
        </w:rPr>
      </w:pPr>
      <w:bookmarkStart w:id="859" w:name="_Toc71795012"/>
      <w:bookmarkStart w:id="860" w:name="_Toc230298826"/>
      <w:r w:rsidRPr="00C801A6">
        <w:rPr>
          <w:color w:val="auto"/>
        </w:rPr>
        <w:lastRenderedPageBreak/>
        <w:t>Thèmes de formation pour les autres parties prenantes</w:t>
      </w:r>
      <w:bookmarkEnd w:id="859"/>
      <w:bookmarkEnd w:id="860"/>
    </w:p>
    <w:p w14:paraId="75CDD731" w14:textId="77777777" w:rsidR="00575CDF" w:rsidRPr="00C801A6" w:rsidRDefault="00575CDF" w:rsidP="00575CDF">
      <w:pPr>
        <w:rPr>
          <w:color w:val="auto"/>
        </w:rPr>
      </w:pPr>
      <w:r w:rsidRPr="00C801A6">
        <w:rPr>
          <w:color w:val="auto"/>
        </w:rPr>
        <w:t xml:space="preserve">Il serait difficile et trop coûteux de vouloir renforcer les capacités de toutes les parties au Projet : il serait plus réaliste de limiter à l’avance. </w:t>
      </w:r>
    </w:p>
    <w:p w14:paraId="74C562D1" w14:textId="77777777" w:rsidR="00575CDF" w:rsidRPr="00C801A6" w:rsidRDefault="00575CDF" w:rsidP="00844538">
      <w:pPr>
        <w:pStyle w:val="Grillemoyenne1-Accent21"/>
        <w:numPr>
          <w:ilvl w:val="0"/>
          <w:numId w:val="67"/>
        </w:numPr>
        <w:spacing w:after="80" w:line="276" w:lineRule="auto"/>
        <w:ind w:left="850" w:hanging="425"/>
        <w:contextualSpacing w:val="0"/>
        <w:jc w:val="both"/>
        <w:rPr>
          <w:rFonts w:ascii="Times New Roman" w:hAnsi="Times New Roman"/>
          <w:sz w:val="24"/>
          <w:szCs w:val="24"/>
        </w:rPr>
      </w:pPr>
      <w:r w:rsidRPr="00C801A6">
        <w:rPr>
          <w:rFonts w:ascii="Times New Roman" w:hAnsi="Times New Roman"/>
          <w:sz w:val="24"/>
          <w:szCs w:val="24"/>
        </w:rPr>
        <w:t>Chauffeurs : conduite responsable</w:t>
      </w:r>
    </w:p>
    <w:p w14:paraId="536CDB0B" w14:textId="1BBE6F0E" w:rsidR="00575CDF" w:rsidRPr="00C801A6" w:rsidRDefault="00575CDF" w:rsidP="00844538">
      <w:pPr>
        <w:pStyle w:val="Grillemoyenne1-Accent21"/>
        <w:numPr>
          <w:ilvl w:val="0"/>
          <w:numId w:val="67"/>
        </w:numPr>
        <w:spacing w:after="80" w:line="276" w:lineRule="auto"/>
        <w:ind w:left="850" w:hanging="425"/>
        <w:contextualSpacing w:val="0"/>
        <w:jc w:val="both"/>
        <w:rPr>
          <w:rFonts w:ascii="Times New Roman" w:hAnsi="Times New Roman"/>
          <w:sz w:val="24"/>
          <w:szCs w:val="24"/>
        </w:rPr>
      </w:pPr>
      <w:r w:rsidRPr="00C801A6">
        <w:rPr>
          <w:rFonts w:ascii="Times New Roman" w:hAnsi="Times New Roman"/>
          <w:sz w:val="24"/>
          <w:szCs w:val="24"/>
        </w:rPr>
        <w:t xml:space="preserve">Riverains : Initiations sur la prévention et la lutte contre les </w:t>
      </w:r>
      <w:r w:rsidR="006F38A3">
        <w:rPr>
          <w:rFonts w:ascii="Times New Roman" w:hAnsi="Times New Roman"/>
          <w:sz w:val="24"/>
          <w:szCs w:val="24"/>
        </w:rPr>
        <w:t xml:space="preserve">EAS-HS </w:t>
      </w:r>
      <w:r w:rsidRPr="00C801A6">
        <w:rPr>
          <w:rFonts w:ascii="Times New Roman" w:hAnsi="Times New Roman"/>
          <w:sz w:val="24"/>
          <w:szCs w:val="24"/>
        </w:rPr>
        <w:t xml:space="preserve"> et les maladies contagieuses ou transmissibles.</w:t>
      </w:r>
    </w:p>
    <w:p w14:paraId="5B99E095" w14:textId="77777777" w:rsidR="00575CDF" w:rsidRPr="00C801A6" w:rsidRDefault="00575CDF" w:rsidP="00014BC0">
      <w:pPr>
        <w:pStyle w:val="Heading2"/>
      </w:pPr>
      <w:bookmarkStart w:id="861" w:name="_Toc106320448"/>
      <w:bookmarkStart w:id="862" w:name="_Toc230426101"/>
      <w:r w:rsidRPr="00C801A6">
        <w:t>Documents à produire par l’entreprise</w:t>
      </w:r>
      <w:bookmarkEnd w:id="861"/>
      <w:bookmarkEnd w:id="862"/>
    </w:p>
    <w:p w14:paraId="39499BE8" w14:textId="3A15ACA3" w:rsidR="00575CDF" w:rsidRDefault="00575CDF" w:rsidP="00575CDF">
      <w:pPr>
        <w:rPr>
          <w:color w:val="auto"/>
        </w:rPr>
      </w:pPr>
      <w:bookmarkStart w:id="863" w:name="_Toc71795013"/>
      <w:r w:rsidRPr="00C801A6">
        <w:rPr>
          <w:color w:val="auto"/>
        </w:rPr>
        <w:t>Selon l’envergure du chantier et les milieux d’insertion, à la suite de l’examen environnemental et social préliminaire, divers documents devront être produits par l’entreprise. La liste de ces documents sera, également, mentionnée dans le DAO.</w:t>
      </w:r>
    </w:p>
    <w:p w14:paraId="00FB9E03" w14:textId="77777777" w:rsidR="00FB52BA" w:rsidRPr="00FB52BA" w:rsidRDefault="00FB52BA" w:rsidP="00FB52BA">
      <w:pPr>
        <w:rPr>
          <w:color w:val="auto"/>
        </w:rPr>
      </w:pPr>
      <w:r w:rsidRPr="00FB52BA">
        <w:rPr>
          <w:color w:val="auto"/>
        </w:rPr>
        <w:t>La disponibilité des documents ci-après, à soumettre par l’entreprise concernée, conditionne le démarrage des travaux :</w:t>
      </w:r>
    </w:p>
    <w:p w14:paraId="4FE98C57" w14:textId="013B59EF" w:rsidR="00FB52BA" w:rsidRPr="00FB52BA" w:rsidRDefault="00FB52BA" w:rsidP="00844538">
      <w:pPr>
        <w:pStyle w:val="ListParagraph"/>
        <w:numPr>
          <w:ilvl w:val="0"/>
          <w:numId w:val="184"/>
        </w:numPr>
        <w:rPr>
          <w:color w:val="auto"/>
        </w:rPr>
      </w:pPr>
      <w:r w:rsidRPr="00FB52BA">
        <w:rPr>
          <w:color w:val="auto"/>
        </w:rPr>
        <w:t>PGES-</w:t>
      </w:r>
      <w:r w:rsidR="000F03E2">
        <w:rPr>
          <w:color w:val="auto"/>
        </w:rPr>
        <w:t>Entreprise</w:t>
      </w:r>
      <w:r w:rsidRPr="00FB52BA">
        <w:rPr>
          <w:color w:val="auto"/>
        </w:rPr>
        <w:t xml:space="preserve"> validé par la Banque mondiale</w:t>
      </w:r>
    </w:p>
    <w:p w14:paraId="4DB9C8BC" w14:textId="77777777" w:rsidR="00FB52BA" w:rsidRPr="00FB52BA" w:rsidRDefault="00FB52BA" w:rsidP="00844538">
      <w:pPr>
        <w:pStyle w:val="ListParagraph"/>
        <w:numPr>
          <w:ilvl w:val="0"/>
          <w:numId w:val="184"/>
        </w:numPr>
        <w:rPr>
          <w:color w:val="auto"/>
        </w:rPr>
      </w:pPr>
      <w:r w:rsidRPr="00FB52BA">
        <w:rPr>
          <w:color w:val="auto"/>
        </w:rPr>
        <w:t>Plan d’exécution détaillé</w:t>
      </w:r>
    </w:p>
    <w:p w14:paraId="57EEDCB6" w14:textId="5CF5E97C" w:rsidR="00575CDF" w:rsidRPr="00C801A6" w:rsidRDefault="00575CDF" w:rsidP="00575CDF">
      <w:pPr>
        <w:rPr>
          <w:color w:val="auto"/>
        </w:rPr>
      </w:pPr>
      <w:r w:rsidRPr="00C801A6">
        <w:rPr>
          <w:color w:val="auto"/>
        </w:rPr>
        <w:t>Les éléments suivants font partie des composantes particulières du PGES-</w:t>
      </w:r>
      <w:r w:rsidR="000F03E2">
        <w:rPr>
          <w:color w:val="auto"/>
        </w:rPr>
        <w:t>Entreprise</w:t>
      </w:r>
      <w:r w:rsidRPr="00C801A6">
        <w:rPr>
          <w:color w:val="auto"/>
        </w:rPr>
        <w:t xml:space="preserve"> que l’Entreprise devra préparer et dont les détails se trouvent en annexe :</w:t>
      </w:r>
    </w:p>
    <w:p w14:paraId="01960C43" w14:textId="77777777" w:rsidR="00575CDF" w:rsidRPr="00C801A6" w:rsidRDefault="00575CDF" w:rsidP="00844538">
      <w:pPr>
        <w:pStyle w:val="Puce1"/>
        <w:numPr>
          <w:ilvl w:val="0"/>
          <w:numId w:val="144"/>
        </w:numPr>
        <w:spacing w:after="80"/>
        <w:ind w:left="851" w:hanging="425"/>
        <w:rPr>
          <w:rFonts w:cs="Times New Roman"/>
        </w:rPr>
      </w:pPr>
      <w:r w:rsidRPr="00C801A6">
        <w:rPr>
          <w:rFonts w:cs="Times New Roman"/>
        </w:rPr>
        <w:t>Plan de protection et d’exploitation des sites</w:t>
      </w:r>
    </w:p>
    <w:p w14:paraId="74610728" w14:textId="77777777" w:rsidR="00575CDF" w:rsidRPr="00C801A6" w:rsidRDefault="00575CDF" w:rsidP="00844538">
      <w:pPr>
        <w:pStyle w:val="Puce1"/>
        <w:numPr>
          <w:ilvl w:val="0"/>
          <w:numId w:val="144"/>
        </w:numPr>
        <w:spacing w:after="80"/>
        <w:ind w:left="851" w:hanging="425"/>
        <w:rPr>
          <w:rFonts w:cs="Times New Roman"/>
        </w:rPr>
      </w:pPr>
      <w:r w:rsidRPr="00C801A6">
        <w:rPr>
          <w:rFonts w:cs="Times New Roman"/>
        </w:rPr>
        <w:t>Plan de gestion des gites d’emprunt et carrières</w:t>
      </w:r>
    </w:p>
    <w:p w14:paraId="495C78CD" w14:textId="77777777" w:rsidR="00575CDF" w:rsidRPr="00C801A6" w:rsidRDefault="00575CDF" w:rsidP="00844538">
      <w:pPr>
        <w:pStyle w:val="Puce1"/>
        <w:numPr>
          <w:ilvl w:val="0"/>
          <w:numId w:val="144"/>
        </w:numPr>
        <w:spacing w:after="80"/>
        <w:ind w:left="851" w:hanging="425"/>
        <w:rPr>
          <w:rFonts w:cs="Times New Roman"/>
        </w:rPr>
      </w:pPr>
      <w:r w:rsidRPr="00C801A6">
        <w:rPr>
          <w:rFonts w:cs="Times New Roman"/>
        </w:rPr>
        <w:t>Plan de gestion du stockage des hydrocarbures et produits dangereux</w:t>
      </w:r>
    </w:p>
    <w:p w14:paraId="7B932BCF" w14:textId="68C5BF36" w:rsidR="00575CDF" w:rsidRDefault="00575CDF" w:rsidP="00844538">
      <w:pPr>
        <w:pStyle w:val="Puce1"/>
        <w:numPr>
          <w:ilvl w:val="0"/>
          <w:numId w:val="144"/>
        </w:numPr>
        <w:spacing w:after="80"/>
        <w:ind w:left="851" w:hanging="425"/>
        <w:rPr>
          <w:rFonts w:cs="Times New Roman"/>
        </w:rPr>
      </w:pPr>
      <w:r w:rsidRPr="00C801A6">
        <w:rPr>
          <w:rFonts w:cs="Times New Roman"/>
        </w:rPr>
        <w:t>Plan de circulation</w:t>
      </w:r>
      <w:r w:rsidR="00A709A9">
        <w:rPr>
          <w:rFonts w:cs="Times New Roman"/>
        </w:rPr>
        <w:t xml:space="preserve"> des véhicules et engins</w:t>
      </w:r>
    </w:p>
    <w:p w14:paraId="3FF58271" w14:textId="25F2A43B" w:rsidR="007A1CCA" w:rsidRPr="00C801A6" w:rsidRDefault="007A1CCA" w:rsidP="00844538">
      <w:pPr>
        <w:pStyle w:val="Puce1"/>
        <w:numPr>
          <w:ilvl w:val="0"/>
          <w:numId w:val="144"/>
        </w:numPr>
        <w:spacing w:after="80"/>
        <w:ind w:left="851" w:hanging="425"/>
        <w:rPr>
          <w:rFonts w:cs="Times New Roman"/>
        </w:rPr>
      </w:pPr>
      <w:r>
        <w:rPr>
          <w:rFonts w:cs="Times New Roman"/>
        </w:rPr>
        <w:t>Plan de Gestion de Trafic</w:t>
      </w:r>
    </w:p>
    <w:p w14:paraId="58048E26" w14:textId="77777777" w:rsidR="00575CDF" w:rsidRPr="00C801A6" w:rsidRDefault="00575CDF" w:rsidP="00844538">
      <w:pPr>
        <w:pStyle w:val="Puce1"/>
        <w:numPr>
          <w:ilvl w:val="0"/>
          <w:numId w:val="144"/>
        </w:numPr>
        <w:spacing w:after="80"/>
        <w:ind w:left="851" w:hanging="425"/>
        <w:rPr>
          <w:rFonts w:cs="Times New Roman"/>
        </w:rPr>
      </w:pPr>
      <w:r w:rsidRPr="00C801A6">
        <w:rPr>
          <w:rFonts w:cs="Times New Roman"/>
        </w:rPr>
        <w:t>Plan de gestion des déchets</w:t>
      </w:r>
    </w:p>
    <w:p w14:paraId="41CE1BA6" w14:textId="77777777" w:rsidR="00575CDF" w:rsidRPr="00C801A6" w:rsidRDefault="00575CDF" w:rsidP="00844538">
      <w:pPr>
        <w:pStyle w:val="Puce1"/>
        <w:numPr>
          <w:ilvl w:val="0"/>
          <w:numId w:val="144"/>
        </w:numPr>
        <w:spacing w:after="80"/>
        <w:ind w:left="851" w:hanging="425"/>
        <w:rPr>
          <w:rFonts w:cs="Times New Roman"/>
        </w:rPr>
      </w:pPr>
      <w:r w:rsidRPr="00C801A6">
        <w:rPr>
          <w:rFonts w:cs="Times New Roman"/>
        </w:rPr>
        <w:t>Plan Santé Sécurité</w:t>
      </w:r>
    </w:p>
    <w:p w14:paraId="1B0792F6" w14:textId="77777777" w:rsidR="00575CDF" w:rsidRPr="00C801A6" w:rsidRDefault="00575CDF" w:rsidP="00844538">
      <w:pPr>
        <w:pStyle w:val="Puce1"/>
        <w:numPr>
          <w:ilvl w:val="0"/>
          <w:numId w:val="144"/>
        </w:numPr>
        <w:spacing w:after="80"/>
        <w:ind w:left="851" w:hanging="425"/>
        <w:rPr>
          <w:rFonts w:cs="Times New Roman"/>
        </w:rPr>
      </w:pPr>
      <w:r w:rsidRPr="00C801A6">
        <w:rPr>
          <w:rFonts w:cs="Times New Roman"/>
        </w:rPr>
        <w:t>Plan d’urgence</w:t>
      </w:r>
    </w:p>
    <w:p w14:paraId="0C9DB12D" w14:textId="77777777" w:rsidR="00575CDF" w:rsidRPr="00C801A6" w:rsidRDefault="00575CDF" w:rsidP="00844538">
      <w:pPr>
        <w:pStyle w:val="Puce1"/>
        <w:numPr>
          <w:ilvl w:val="0"/>
          <w:numId w:val="144"/>
        </w:numPr>
        <w:spacing w:after="80"/>
        <w:ind w:left="851" w:hanging="425"/>
        <w:rPr>
          <w:rFonts w:cs="Times New Roman"/>
        </w:rPr>
      </w:pPr>
      <w:r w:rsidRPr="00C801A6">
        <w:rPr>
          <w:rFonts w:cs="Times New Roman"/>
        </w:rPr>
        <w:t>Plan de réhabilitation de sites</w:t>
      </w:r>
    </w:p>
    <w:p w14:paraId="18A2BB9B" w14:textId="77777777" w:rsidR="00575CDF" w:rsidRPr="00C801A6" w:rsidRDefault="00575CDF" w:rsidP="00844538">
      <w:pPr>
        <w:pStyle w:val="Puce1"/>
        <w:numPr>
          <w:ilvl w:val="0"/>
          <w:numId w:val="144"/>
        </w:numPr>
        <w:spacing w:after="80"/>
        <w:ind w:left="851" w:hanging="425"/>
        <w:rPr>
          <w:rFonts w:cs="Times New Roman"/>
        </w:rPr>
      </w:pPr>
      <w:r w:rsidRPr="00C801A6">
        <w:rPr>
          <w:rFonts w:cs="Times New Roman"/>
        </w:rPr>
        <w:t>Plan de prévention et de lutte contre le Covid-19</w:t>
      </w:r>
    </w:p>
    <w:p w14:paraId="3603DBE3" w14:textId="0DE10CC9" w:rsidR="00A709A9" w:rsidRDefault="00575CDF" w:rsidP="00844538">
      <w:pPr>
        <w:pStyle w:val="Puce1"/>
        <w:numPr>
          <w:ilvl w:val="0"/>
          <w:numId w:val="144"/>
        </w:numPr>
        <w:spacing w:after="120"/>
        <w:ind w:left="851" w:hanging="425"/>
        <w:rPr>
          <w:rFonts w:cs="Times New Roman"/>
        </w:rPr>
      </w:pPr>
      <w:r w:rsidRPr="00C801A6">
        <w:rPr>
          <w:rFonts w:cs="Times New Roman"/>
        </w:rPr>
        <w:t>Plan de sécurité</w:t>
      </w:r>
    </w:p>
    <w:p w14:paraId="0DB42E6C" w14:textId="77777777" w:rsidR="00A709A9" w:rsidRDefault="00A709A9">
      <w:pPr>
        <w:spacing w:line="259" w:lineRule="auto"/>
        <w:jc w:val="left"/>
        <w:rPr>
          <w:rFonts w:cs="Times New Roman"/>
          <w:color w:val="auto"/>
          <w:szCs w:val="20"/>
        </w:rPr>
      </w:pPr>
      <w:r>
        <w:rPr>
          <w:rFonts w:cs="Times New Roman"/>
        </w:rPr>
        <w:br w:type="page"/>
      </w:r>
    </w:p>
    <w:p w14:paraId="0EBF87C8" w14:textId="025F731B" w:rsidR="00575CDF" w:rsidRPr="00C801A6" w:rsidRDefault="00575CDF" w:rsidP="00014BC0">
      <w:pPr>
        <w:pStyle w:val="Heading2"/>
      </w:pPr>
      <w:bookmarkStart w:id="864" w:name="_Toc106320449"/>
      <w:bookmarkStart w:id="865" w:name="_Toc230426102"/>
      <w:r w:rsidRPr="00C801A6">
        <w:lastRenderedPageBreak/>
        <w:t>BUDGET PRELIMINAIRE POUR LA MISE EN ŒUVRE DU CGES</w:t>
      </w:r>
      <w:bookmarkEnd w:id="863"/>
      <w:bookmarkEnd w:id="864"/>
      <w:bookmarkEnd w:id="865"/>
    </w:p>
    <w:p w14:paraId="64C8B52F" w14:textId="37468B5A" w:rsidR="00575CDF" w:rsidRDefault="007A1CCA" w:rsidP="007A1CCA">
      <w:pPr>
        <w:pStyle w:val="Caption"/>
        <w:rPr>
          <w:color w:val="auto"/>
        </w:rPr>
      </w:pPr>
      <w:bookmarkStart w:id="866" w:name="_Toc230427762"/>
      <w:r>
        <w:t xml:space="preserve">Tableau </w:t>
      </w:r>
      <w:r w:rsidR="00E44887">
        <w:fldChar w:fldCharType="begin"/>
      </w:r>
      <w:r w:rsidR="00E44887">
        <w:instrText xml:space="preserve"> SEQ Tableau \* ARABIC </w:instrText>
      </w:r>
      <w:r w:rsidR="00E44887">
        <w:fldChar w:fldCharType="separate"/>
      </w:r>
      <w:r w:rsidR="00646511">
        <w:rPr>
          <w:noProof/>
        </w:rPr>
        <w:t>42</w:t>
      </w:r>
      <w:r w:rsidR="00E44887">
        <w:rPr>
          <w:noProof/>
        </w:rPr>
        <w:fldChar w:fldCharType="end"/>
      </w:r>
      <w:r w:rsidR="00575CDF" w:rsidRPr="00C801A6">
        <w:rPr>
          <w:color w:val="auto"/>
        </w:rPr>
        <w:t> : Budget primitif pour la mise en œuvre du CGES</w:t>
      </w:r>
      <w:bookmarkEnd w:id="866"/>
    </w:p>
    <w:tbl>
      <w:tblPr>
        <w:tblW w:w="9498" w:type="dxa"/>
        <w:tblInd w:w="70" w:type="dxa"/>
        <w:tblLayout w:type="fixed"/>
        <w:tblCellMar>
          <w:left w:w="70" w:type="dxa"/>
          <w:right w:w="70" w:type="dxa"/>
        </w:tblCellMar>
        <w:tblLook w:val="04A0" w:firstRow="1" w:lastRow="0" w:firstColumn="1" w:lastColumn="0" w:noHBand="0" w:noVBand="1"/>
      </w:tblPr>
      <w:tblGrid>
        <w:gridCol w:w="366"/>
        <w:gridCol w:w="4365"/>
        <w:gridCol w:w="798"/>
        <w:gridCol w:w="1393"/>
        <w:gridCol w:w="1315"/>
        <w:gridCol w:w="1261"/>
      </w:tblGrid>
      <w:tr w:rsidR="007A1CCA" w:rsidRPr="001968DF" w14:paraId="61BCA478" w14:textId="77777777" w:rsidTr="00216772">
        <w:tc>
          <w:tcPr>
            <w:tcW w:w="366"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0B790841" w14:textId="77777777" w:rsidR="007A1CCA" w:rsidRPr="007767AF" w:rsidRDefault="007A1CCA" w:rsidP="00216772">
            <w:pPr>
              <w:spacing w:before="60" w:after="60"/>
              <w:jc w:val="center"/>
              <w:rPr>
                <w:rFonts w:eastAsia="Times New Roman" w:cs="Arial"/>
                <w:color w:val="000000"/>
                <w:sz w:val="20"/>
                <w:szCs w:val="20"/>
                <w:lang w:eastAsia="fr-FR"/>
              </w:rPr>
            </w:pPr>
            <w:r w:rsidRPr="007767AF">
              <w:rPr>
                <w:rFonts w:eastAsia="Times New Roman" w:cs="Arial"/>
                <w:color w:val="000000"/>
                <w:sz w:val="20"/>
                <w:szCs w:val="20"/>
                <w:lang w:eastAsia="fr-FR"/>
              </w:rPr>
              <w:t>N°</w:t>
            </w:r>
          </w:p>
        </w:tc>
        <w:tc>
          <w:tcPr>
            <w:tcW w:w="4365"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3D3E515F" w14:textId="77777777" w:rsidR="007A1CCA" w:rsidRPr="007767AF" w:rsidRDefault="007A1CCA" w:rsidP="00216772">
            <w:pPr>
              <w:spacing w:before="60" w:after="60"/>
              <w:jc w:val="center"/>
              <w:rPr>
                <w:rFonts w:eastAsia="Times New Roman" w:cs="Arial"/>
                <w:b/>
                <w:bCs/>
                <w:color w:val="000000"/>
                <w:sz w:val="20"/>
                <w:szCs w:val="20"/>
                <w:lang w:eastAsia="fr-FR"/>
              </w:rPr>
            </w:pPr>
            <w:r w:rsidRPr="007767AF">
              <w:rPr>
                <w:rFonts w:eastAsia="Times New Roman" w:cs="Arial"/>
                <w:b/>
                <w:bCs/>
                <w:color w:val="000000"/>
                <w:sz w:val="20"/>
                <w:szCs w:val="20"/>
                <w:lang w:val="fr-ML" w:eastAsia="fr-FR"/>
              </w:rPr>
              <w:t>Activités</w:t>
            </w:r>
          </w:p>
        </w:tc>
        <w:tc>
          <w:tcPr>
            <w:tcW w:w="798"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1AC4865A" w14:textId="77777777" w:rsidR="007A1CCA" w:rsidRPr="007767AF" w:rsidRDefault="007A1CCA" w:rsidP="00216772">
            <w:pPr>
              <w:spacing w:before="60" w:after="60"/>
              <w:jc w:val="center"/>
              <w:rPr>
                <w:rFonts w:eastAsia="Times New Roman" w:cs="Arial"/>
                <w:b/>
                <w:bCs/>
                <w:color w:val="000000"/>
                <w:sz w:val="20"/>
                <w:szCs w:val="20"/>
                <w:lang w:eastAsia="fr-FR"/>
              </w:rPr>
            </w:pPr>
            <w:r w:rsidRPr="007767AF">
              <w:rPr>
                <w:rFonts w:eastAsia="Times New Roman" w:cs="Arial"/>
                <w:b/>
                <w:bCs/>
                <w:color w:val="000000"/>
                <w:sz w:val="20"/>
                <w:szCs w:val="20"/>
                <w:lang w:val="fr-ML" w:eastAsia="fr-FR"/>
              </w:rPr>
              <w:t>Q</w:t>
            </w:r>
          </w:p>
        </w:tc>
        <w:tc>
          <w:tcPr>
            <w:tcW w:w="1393"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0062E033" w14:textId="77777777" w:rsidR="007A1CCA" w:rsidRPr="007767AF" w:rsidRDefault="007A1CCA" w:rsidP="00216772">
            <w:pPr>
              <w:spacing w:before="60" w:after="60"/>
              <w:jc w:val="center"/>
              <w:rPr>
                <w:rFonts w:eastAsia="Times New Roman" w:cs="Arial"/>
                <w:b/>
                <w:bCs/>
                <w:color w:val="000000"/>
                <w:sz w:val="20"/>
                <w:szCs w:val="20"/>
                <w:lang w:eastAsia="fr-FR"/>
              </w:rPr>
            </w:pPr>
            <w:r w:rsidRPr="007767AF">
              <w:rPr>
                <w:rFonts w:eastAsia="Times New Roman" w:cs="Arial"/>
                <w:b/>
                <w:bCs/>
                <w:color w:val="000000"/>
                <w:sz w:val="20"/>
                <w:szCs w:val="20"/>
                <w:lang w:val="fr-ML" w:eastAsia="fr-FR"/>
              </w:rPr>
              <w:t>Coût (USD)</w:t>
            </w:r>
          </w:p>
        </w:tc>
        <w:tc>
          <w:tcPr>
            <w:tcW w:w="2576" w:type="dxa"/>
            <w:gridSpan w:val="2"/>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C3FAC29" w14:textId="77777777" w:rsidR="007A1CCA" w:rsidRPr="007767AF" w:rsidRDefault="007A1CCA" w:rsidP="00216772">
            <w:pPr>
              <w:spacing w:before="60" w:after="60"/>
              <w:jc w:val="center"/>
              <w:rPr>
                <w:rFonts w:eastAsia="Times New Roman" w:cs="Arial"/>
                <w:b/>
                <w:bCs/>
                <w:color w:val="000000"/>
                <w:sz w:val="20"/>
                <w:szCs w:val="20"/>
                <w:lang w:eastAsia="fr-FR"/>
              </w:rPr>
            </w:pPr>
            <w:r w:rsidRPr="007767AF">
              <w:rPr>
                <w:rFonts w:eastAsia="Times New Roman" w:cs="Arial"/>
                <w:b/>
                <w:bCs/>
                <w:color w:val="000000"/>
                <w:sz w:val="20"/>
                <w:szCs w:val="20"/>
                <w:lang w:val="fr-ML" w:eastAsia="fr-FR"/>
              </w:rPr>
              <w:t>Coût total (USD)</w:t>
            </w:r>
          </w:p>
        </w:tc>
      </w:tr>
      <w:tr w:rsidR="007A1CCA" w:rsidRPr="001968DF" w14:paraId="22F47E86" w14:textId="77777777" w:rsidTr="00216772">
        <w:tc>
          <w:tcPr>
            <w:tcW w:w="366" w:type="dxa"/>
            <w:vMerge/>
            <w:tcBorders>
              <w:top w:val="single" w:sz="4" w:space="0" w:color="auto"/>
              <w:left w:val="single" w:sz="4" w:space="0" w:color="auto"/>
              <w:bottom w:val="single" w:sz="4" w:space="0" w:color="auto"/>
              <w:right w:val="single" w:sz="4" w:space="0" w:color="auto"/>
            </w:tcBorders>
            <w:vAlign w:val="center"/>
            <w:hideMark/>
          </w:tcPr>
          <w:p w14:paraId="1CFE7653" w14:textId="77777777" w:rsidR="007A1CCA" w:rsidRPr="007767AF" w:rsidRDefault="007A1CCA" w:rsidP="00216772">
            <w:pPr>
              <w:spacing w:before="60" w:after="60"/>
              <w:jc w:val="left"/>
              <w:rPr>
                <w:rFonts w:eastAsia="Times New Roman" w:cs="Arial"/>
                <w:color w:val="000000"/>
                <w:sz w:val="20"/>
                <w:szCs w:val="20"/>
                <w:lang w:eastAsia="fr-FR"/>
              </w:rPr>
            </w:pPr>
          </w:p>
        </w:tc>
        <w:tc>
          <w:tcPr>
            <w:tcW w:w="4365" w:type="dxa"/>
            <w:vMerge/>
            <w:tcBorders>
              <w:top w:val="single" w:sz="4" w:space="0" w:color="auto"/>
              <w:left w:val="single" w:sz="4" w:space="0" w:color="auto"/>
              <w:bottom w:val="single" w:sz="4" w:space="0" w:color="auto"/>
              <w:right w:val="single" w:sz="4" w:space="0" w:color="auto"/>
            </w:tcBorders>
            <w:vAlign w:val="center"/>
            <w:hideMark/>
          </w:tcPr>
          <w:p w14:paraId="690E02C0" w14:textId="77777777" w:rsidR="007A1CCA" w:rsidRPr="007767AF" w:rsidRDefault="007A1CCA" w:rsidP="00216772">
            <w:pPr>
              <w:spacing w:before="60" w:after="60"/>
              <w:jc w:val="left"/>
              <w:rPr>
                <w:rFonts w:eastAsia="Times New Roman" w:cs="Arial"/>
                <w:b/>
                <w:bCs/>
                <w:color w:val="000000"/>
                <w:sz w:val="20"/>
                <w:szCs w:val="20"/>
                <w:lang w:eastAsia="fr-FR"/>
              </w:rPr>
            </w:pPr>
          </w:p>
        </w:tc>
        <w:tc>
          <w:tcPr>
            <w:tcW w:w="798" w:type="dxa"/>
            <w:vMerge/>
            <w:tcBorders>
              <w:top w:val="single" w:sz="4" w:space="0" w:color="auto"/>
              <w:left w:val="single" w:sz="4" w:space="0" w:color="auto"/>
              <w:bottom w:val="single" w:sz="4" w:space="0" w:color="auto"/>
              <w:right w:val="single" w:sz="4" w:space="0" w:color="auto"/>
            </w:tcBorders>
            <w:vAlign w:val="center"/>
            <w:hideMark/>
          </w:tcPr>
          <w:p w14:paraId="598C6D38" w14:textId="77777777" w:rsidR="007A1CCA" w:rsidRPr="007767AF" w:rsidRDefault="007A1CCA" w:rsidP="00216772">
            <w:pPr>
              <w:spacing w:before="60" w:after="60"/>
              <w:jc w:val="left"/>
              <w:rPr>
                <w:rFonts w:eastAsia="Times New Roman" w:cs="Arial"/>
                <w:b/>
                <w:bCs/>
                <w:color w:val="000000"/>
                <w:sz w:val="20"/>
                <w:szCs w:val="20"/>
                <w:lang w:eastAsia="fr-FR"/>
              </w:rPr>
            </w:pPr>
          </w:p>
        </w:tc>
        <w:tc>
          <w:tcPr>
            <w:tcW w:w="1393" w:type="dxa"/>
            <w:vMerge/>
            <w:tcBorders>
              <w:top w:val="single" w:sz="4" w:space="0" w:color="auto"/>
              <w:left w:val="single" w:sz="4" w:space="0" w:color="auto"/>
              <w:bottom w:val="single" w:sz="4" w:space="0" w:color="auto"/>
              <w:right w:val="single" w:sz="4" w:space="0" w:color="auto"/>
            </w:tcBorders>
            <w:vAlign w:val="center"/>
            <w:hideMark/>
          </w:tcPr>
          <w:p w14:paraId="7B46E5A4" w14:textId="77777777" w:rsidR="007A1CCA" w:rsidRPr="007767AF" w:rsidRDefault="007A1CCA" w:rsidP="00216772">
            <w:pPr>
              <w:spacing w:before="60" w:after="60"/>
              <w:jc w:val="left"/>
              <w:rPr>
                <w:rFonts w:eastAsia="Times New Roman" w:cs="Arial"/>
                <w:b/>
                <w:bCs/>
                <w:color w:val="000000"/>
                <w:sz w:val="20"/>
                <w:szCs w:val="20"/>
                <w:lang w:eastAsia="fr-FR"/>
              </w:rPr>
            </w:pPr>
          </w:p>
        </w:tc>
        <w:tc>
          <w:tcPr>
            <w:tcW w:w="1315" w:type="dxa"/>
            <w:tcBorders>
              <w:top w:val="nil"/>
              <w:left w:val="nil"/>
              <w:bottom w:val="single" w:sz="4" w:space="0" w:color="auto"/>
              <w:right w:val="single" w:sz="4" w:space="0" w:color="auto"/>
            </w:tcBorders>
            <w:shd w:val="clear" w:color="auto" w:fill="E2EFD9" w:themeFill="accent6" w:themeFillTint="33"/>
            <w:vAlign w:val="center"/>
            <w:hideMark/>
          </w:tcPr>
          <w:p w14:paraId="69E4BEC9" w14:textId="77777777" w:rsidR="007A1CCA" w:rsidRPr="007767AF" w:rsidRDefault="007A1CCA" w:rsidP="00216772">
            <w:pPr>
              <w:spacing w:before="60" w:after="60"/>
              <w:jc w:val="center"/>
              <w:rPr>
                <w:rFonts w:eastAsia="Times New Roman" w:cs="Arial"/>
                <w:b/>
                <w:bCs/>
                <w:color w:val="000000"/>
                <w:sz w:val="20"/>
                <w:szCs w:val="20"/>
                <w:lang w:eastAsia="fr-FR"/>
              </w:rPr>
            </w:pPr>
            <w:r w:rsidRPr="007767AF">
              <w:rPr>
                <w:rFonts w:eastAsia="Times New Roman" w:cs="Arial"/>
                <w:b/>
                <w:bCs/>
                <w:color w:val="000000"/>
                <w:sz w:val="20"/>
                <w:szCs w:val="20"/>
                <w:lang w:val="fr-ML" w:eastAsia="fr-FR"/>
              </w:rPr>
              <w:t>Crédit</w:t>
            </w:r>
          </w:p>
        </w:tc>
        <w:tc>
          <w:tcPr>
            <w:tcW w:w="1261" w:type="dxa"/>
            <w:tcBorders>
              <w:top w:val="nil"/>
              <w:left w:val="nil"/>
              <w:bottom w:val="single" w:sz="4" w:space="0" w:color="auto"/>
              <w:right w:val="single" w:sz="4" w:space="0" w:color="auto"/>
            </w:tcBorders>
            <w:shd w:val="clear" w:color="auto" w:fill="E2EFD9" w:themeFill="accent6" w:themeFillTint="33"/>
            <w:vAlign w:val="center"/>
            <w:hideMark/>
          </w:tcPr>
          <w:p w14:paraId="077808C1" w14:textId="77777777" w:rsidR="007A1CCA" w:rsidRPr="007767AF" w:rsidRDefault="007A1CCA" w:rsidP="00216772">
            <w:pPr>
              <w:spacing w:before="60" w:after="60"/>
              <w:jc w:val="center"/>
              <w:rPr>
                <w:rFonts w:eastAsia="Times New Roman" w:cs="Arial"/>
                <w:b/>
                <w:bCs/>
                <w:color w:val="000000"/>
                <w:sz w:val="20"/>
                <w:szCs w:val="20"/>
                <w:lang w:eastAsia="fr-FR"/>
              </w:rPr>
            </w:pPr>
            <w:r w:rsidRPr="007767AF">
              <w:rPr>
                <w:rFonts w:eastAsia="Times New Roman" w:cs="Arial"/>
                <w:b/>
                <w:bCs/>
                <w:color w:val="000000"/>
                <w:sz w:val="20"/>
                <w:szCs w:val="20"/>
                <w:lang w:val="fr-ML" w:eastAsia="fr-FR"/>
              </w:rPr>
              <w:t>GoM</w:t>
            </w:r>
          </w:p>
        </w:tc>
      </w:tr>
      <w:tr w:rsidR="007A1CCA" w:rsidRPr="001968DF" w14:paraId="2DEE2A19" w14:textId="77777777" w:rsidTr="00216772">
        <w:tc>
          <w:tcPr>
            <w:tcW w:w="366" w:type="dxa"/>
            <w:tcBorders>
              <w:top w:val="single" w:sz="4" w:space="0" w:color="auto"/>
              <w:left w:val="single" w:sz="4" w:space="0" w:color="auto"/>
              <w:bottom w:val="single" w:sz="4" w:space="0" w:color="auto"/>
              <w:right w:val="nil"/>
            </w:tcBorders>
            <w:noWrap/>
            <w:hideMark/>
          </w:tcPr>
          <w:p w14:paraId="18A6AD2E" w14:textId="77777777" w:rsidR="007A1CCA" w:rsidRPr="007767AF" w:rsidRDefault="007A1CCA" w:rsidP="00216772">
            <w:pPr>
              <w:spacing w:before="60" w:after="60"/>
              <w:jc w:val="center"/>
              <w:rPr>
                <w:rFonts w:eastAsia="Times New Roman" w:cs="Arial"/>
                <w:color w:val="000000"/>
                <w:sz w:val="20"/>
                <w:szCs w:val="20"/>
                <w:lang w:eastAsia="fr-FR"/>
              </w:rPr>
            </w:pPr>
            <w:r w:rsidRPr="007767AF">
              <w:rPr>
                <w:rFonts w:eastAsia="Times New Roman" w:cs="Arial"/>
                <w:color w:val="000000"/>
                <w:sz w:val="20"/>
                <w:szCs w:val="20"/>
                <w:lang w:eastAsia="fr-FR"/>
              </w:rPr>
              <w:t>1</w:t>
            </w:r>
          </w:p>
        </w:tc>
        <w:tc>
          <w:tcPr>
            <w:tcW w:w="4365" w:type="dxa"/>
            <w:tcBorders>
              <w:top w:val="nil"/>
              <w:left w:val="single" w:sz="4" w:space="0" w:color="auto"/>
              <w:bottom w:val="single" w:sz="4" w:space="0" w:color="auto"/>
              <w:right w:val="single" w:sz="4" w:space="0" w:color="auto"/>
            </w:tcBorders>
            <w:vAlign w:val="center"/>
            <w:hideMark/>
          </w:tcPr>
          <w:p w14:paraId="4D4E70A9" w14:textId="77777777" w:rsidR="007A1CCA" w:rsidRPr="007767AF" w:rsidRDefault="007A1CCA" w:rsidP="00216772">
            <w:pPr>
              <w:spacing w:before="60" w:after="60"/>
              <w:rPr>
                <w:rFonts w:eastAsia="Times New Roman" w:cs="Arial"/>
                <w:color w:val="000000"/>
                <w:sz w:val="20"/>
                <w:szCs w:val="20"/>
                <w:lang w:eastAsia="fr-FR"/>
              </w:rPr>
            </w:pPr>
            <w:r w:rsidRPr="007767AF">
              <w:rPr>
                <w:rFonts w:eastAsia="Times New Roman" w:cs="Arial"/>
                <w:color w:val="000000"/>
                <w:sz w:val="20"/>
                <w:szCs w:val="20"/>
                <w:lang w:val="fr-ML" w:eastAsia="fr-FR"/>
              </w:rPr>
              <w:t>Provision pour la réalisation des PGES</w:t>
            </w:r>
          </w:p>
        </w:tc>
        <w:tc>
          <w:tcPr>
            <w:tcW w:w="798" w:type="dxa"/>
            <w:tcBorders>
              <w:top w:val="nil"/>
              <w:left w:val="nil"/>
              <w:bottom w:val="single" w:sz="4" w:space="0" w:color="auto"/>
              <w:right w:val="single" w:sz="4" w:space="0" w:color="auto"/>
            </w:tcBorders>
            <w:vAlign w:val="center"/>
            <w:hideMark/>
          </w:tcPr>
          <w:p w14:paraId="5544F103" w14:textId="77777777" w:rsidR="007A1CCA" w:rsidRPr="007767AF" w:rsidRDefault="007A1CCA" w:rsidP="00216772">
            <w:pPr>
              <w:spacing w:before="60" w:after="60"/>
              <w:jc w:val="right"/>
              <w:rPr>
                <w:rFonts w:eastAsia="Times New Roman" w:cs="Arial"/>
                <w:color w:val="000000"/>
                <w:sz w:val="20"/>
                <w:szCs w:val="20"/>
                <w:lang w:eastAsia="fr-FR"/>
              </w:rPr>
            </w:pPr>
            <w:r w:rsidRPr="007767AF">
              <w:rPr>
                <w:rFonts w:eastAsia="Times New Roman" w:cs="Arial"/>
                <w:color w:val="000000"/>
                <w:sz w:val="20"/>
                <w:szCs w:val="20"/>
                <w:lang w:val="en-GB" w:eastAsia="fr-FR"/>
              </w:rPr>
              <w:t>10</w:t>
            </w:r>
          </w:p>
        </w:tc>
        <w:tc>
          <w:tcPr>
            <w:tcW w:w="1393" w:type="dxa"/>
            <w:tcBorders>
              <w:top w:val="nil"/>
              <w:left w:val="nil"/>
              <w:bottom w:val="single" w:sz="4" w:space="0" w:color="auto"/>
              <w:right w:val="single" w:sz="4" w:space="0" w:color="auto"/>
            </w:tcBorders>
            <w:vAlign w:val="center"/>
            <w:hideMark/>
          </w:tcPr>
          <w:p w14:paraId="50DEF653" w14:textId="77777777" w:rsidR="007A1CCA" w:rsidRPr="007767AF" w:rsidRDefault="007A1CCA" w:rsidP="00216772">
            <w:pPr>
              <w:spacing w:before="60" w:after="60"/>
              <w:jc w:val="right"/>
              <w:rPr>
                <w:rFonts w:eastAsia="Times New Roman" w:cs="Arial"/>
                <w:color w:val="000000"/>
                <w:sz w:val="20"/>
                <w:szCs w:val="20"/>
                <w:lang w:eastAsia="fr-FR"/>
              </w:rPr>
            </w:pPr>
            <w:r w:rsidRPr="007767AF">
              <w:rPr>
                <w:rFonts w:eastAsia="Times New Roman" w:cs="Arial"/>
                <w:color w:val="000000"/>
                <w:sz w:val="20"/>
                <w:szCs w:val="20"/>
                <w:lang w:val="en-GB" w:eastAsia="fr-FR"/>
              </w:rPr>
              <w:t>28 000</w:t>
            </w:r>
          </w:p>
        </w:tc>
        <w:tc>
          <w:tcPr>
            <w:tcW w:w="1315" w:type="dxa"/>
            <w:tcBorders>
              <w:top w:val="nil"/>
              <w:left w:val="nil"/>
              <w:bottom w:val="single" w:sz="4" w:space="0" w:color="auto"/>
              <w:right w:val="single" w:sz="4" w:space="0" w:color="auto"/>
            </w:tcBorders>
            <w:vAlign w:val="center"/>
            <w:hideMark/>
          </w:tcPr>
          <w:p w14:paraId="149CC01F" w14:textId="77777777" w:rsidR="007A1CCA" w:rsidRPr="007767AF" w:rsidRDefault="007A1CCA" w:rsidP="00216772">
            <w:pPr>
              <w:spacing w:before="60" w:after="60"/>
              <w:jc w:val="right"/>
              <w:rPr>
                <w:rFonts w:eastAsia="Times New Roman" w:cs="Arial"/>
                <w:color w:val="000000"/>
                <w:sz w:val="20"/>
                <w:szCs w:val="20"/>
                <w:lang w:eastAsia="fr-FR"/>
              </w:rPr>
            </w:pPr>
            <w:r w:rsidRPr="007767AF">
              <w:rPr>
                <w:rFonts w:eastAsia="Times New Roman" w:cs="Arial"/>
                <w:color w:val="000000"/>
                <w:sz w:val="20"/>
                <w:szCs w:val="20"/>
                <w:lang w:eastAsia="fr-FR"/>
              </w:rPr>
              <w:t>280 000</w:t>
            </w:r>
          </w:p>
        </w:tc>
        <w:tc>
          <w:tcPr>
            <w:tcW w:w="1261" w:type="dxa"/>
            <w:tcBorders>
              <w:top w:val="nil"/>
              <w:left w:val="nil"/>
              <w:bottom w:val="single" w:sz="4" w:space="0" w:color="auto"/>
              <w:right w:val="single" w:sz="4" w:space="0" w:color="auto"/>
            </w:tcBorders>
            <w:vAlign w:val="center"/>
          </w:tcPr>
          <w:p w14:paraId="5C83234D" w14:textId="77777777" w:rsidR="007A1CCA" w:rsidRPr="007767AF" w:rsidRDefault="007A1CCA" w:rsidP="00216772">
            <w:pPr>
              <w:spacing w:before="60" w:after="60"/>
              <w:jc w:val="right"/>
              <w:rPr>
                <w:rFonts w:eastAsia="Times New Roman" w:cs="Arial"/>
                <w:color w:val="000000"/>
                <w:sz w:val="20"/>
                <w:szCs w:val="20"/>
                <w:lang w:eastAsia="fr-FR"/>
              </w:rPr>
            </w:pPr>
          </w:p>
        </w:tc>
      </w:tr>
      <w:tr w:rsidR="007A1CCA" w:rsidRPr="001968DF" w14:paraId="21421C9A" w14:textId="77777777" w:rsidTr="00216772">
        <w:tc>
          <w:tcPr>
            <w:tcW w:w="366" w:type="dxa"/>
            <w:tcBorders>
              <w:top w:val="single" w:sz="4" w:space="0" w:color="auto"/>
              <w:left w:val="single" w:sz="4" w:space="0" w:color="auto"/>
              <w:bottom w:val="single" w:sz="4" w:space="0" w:color="auto"/>
              <w:right w:val="nil"/>
            </w:tcBorders>
            <w:noWrap/>
            <w:hideMark/>
          </w:tcPr>
          <w:p w14:paraId="24D1D4DB" w14:textId="77777777" w:rsidR="007A1CCA" w:rsidRPr="007767AF" w:rsidRDefault="007A1CCA" w:rsidP="00216772">
            <w:pPr>
              <w:spacing w:before="60" w:after="60"/>
              <w:jc w:val="center"/>
              <w:rPr>
                <w:rFonts w:eastAsia="Times New Roman" w:cs="Arial"/>
                <w:color w:val="000000"/>
                <w:sz w:val="20"/>
                <w:szCs w:val="20"/>
                <w:lang w:eastAsia="fr-FR"/>
              </w:rPr>
            </w:pPr>
            <w:r w:rsidRPr="007767AF">
              <w:rPr>
                <w:rFonts w:eastAsia="Times New Roman" w:cs="Arial"/>
                <w:color w:val="000000"/>
                <w:sz w:val="20"/>
                <w:szCs w:val="20"/>
                <w:lang w:eastAsia="fr-FR"/>
              </w:rPr>
              <w:t>2</w:t>
            </w:r>
          </w:p>
        </w:tc>
        <w:tc>
          <w:tcPr>
            <w:tcW w:w="4365" w:type="dxa"/>
            <w:tcBorders>
              <w:top w:val="nil"/>
              <w:left w:val="single" w:sz="4" w:space="0" w:color="auto"/>
              <w:bottom w:val="single" w:sz="4" w:space="0" w:color="auto"/>
              <w:right w:val="single" w:sz="4" w:space="0" w:color="auto"/>
            </w:tcBorders>
            <w:vAlign w:val="center"/>
            <w:hideMark/>
          </w:tcPr>
          <w:p w14:paraId="20DF8BE2" w14:textId="77777777" w:rsidR="007A1CCA" w:rsidRPr="007767AF" w:rsidRDefault="007A1CCA" w:rsidP="00216772">
            <w:pPr>
              <w:spacing w:before="60" w:after="60"/>
              <w:rPr>
                <w:rFonts w:eastAsia="Times New Roman" w:cs="Arial"/>
                <w:color w:val="000000"/>
                <w:sz w:val="20"/>
                <w:szCs w:val="20"/>
                <w:lang w:eastAsia="fr-FR"/>
              </w:rPr>
            </w:pPr>
            <w:r w:rsidRPr="007767AF">
              <w:rPr>
                <w:rFonts w:eastAsia="Times New Roman" w:cs="Arial"/>
                <w:color w:val="000000"/>
                <w:sz w:val="20"/>
                <w:szCs w:val="20"/>
                <w:lang w:val="fr-ML" w:eastAsia="fr-FR"/>
              </w:rPr>
              <w:t>Suivi environnemental</w:t>
            </w:r>
          </w:p>
        </w:tc>
        <w:tc>
          <w:tcPr>
            <w:tcW w:w="798" w:type="dxa"/>
            <w:tcBorders>
              <w:top w:val="nil"/>
              <w:left w:val="nil"/>
              <w:bottom w:val="single" w:sz="4" w:space="0" w:color="auto"/>
              <w:right w:val="single" w:sz="4" w:space="0" w:color="auto"/>
            </w:tcBorders>
            <w:vAlign w:val="center"/>
            <w:hideMark/>
          </w:tcPr>
          <w:p w14:paraId="3B062B07" w14:textId="77777777" w:rsidR="007A1CCA" w:rsidRPr="007767AF" w:rsidRDefault="007A1CCA" w:rsidP="00216772">
            <w:pPr>
              <w:spacing w:before="60" w:after="60"/>
              <w:jc w:val="right"/>
              <w:rPr>
                <w:rFonts w:eastAsia="Times New Roman" w:cs="Arial"/>
                <w:color w:val="000000"/>
                <w:sz w:val="20"/>
                <w:szCs w:val="20"/>
                <w:lang w:eastAsia="fr-FR"/>
              </w:rPr>
            </w:pPr>
            <w:r w:rsidRPr="007767AF">
              <w:rPr>
                <w:rFonts w:eastAsia="Times New Roman" w:cs="Arial"/>
                <w:color w:val="000000"/>
                <w:sz w:val="20"/>
                <w:szCs w:val="20"/>
                <w:lang w:val="en-GB" w:eastAsia="fr-FR"/>
              </w:rPr>
              <w:t>4 ans</w:t>
            </w:r>
            <w:r>
              <w:rPr>
                <w:rStyle w:val="FootnoteReference"/>
                <w:rFonts w:eastAsia="Times New Roman" w:cs="Arial"/>
                <w:color w:val="000000"/>
                <w:sz w:val="20"/>
                <w:szCs w:val="20"/>
                <w:lang w:val="en-GB" w:eastAsia="fr-FR"/>
              </w:rPr>
              <w:footnoteReference w:id="26"/>
            </w:r>
          </w:p>
        </w:tc>
        <w:tc>
          <w:tcPr>
            <w:tcW w:w="1393" w:type="dxa"/>
            <w:tcBorders>
              <w:top w:val="nil"/>
              <w:left w:val="nil"/>
              <w:bottom w:val="single" w:sz="4" w:space="0" w:color="auto"/>
              <w:right w:val="single" w:sz="4" w:space="0" w:color="auto"/>
            </w:tcBorders>
            <w:vAlign w:val="center"/>
            <w:hideMark/>
          </w:tcPr>
          <w:p w14:paraId="76AD81C8" w14:textId="77777777" w:rsidR="007A1CCA" w:rsidRPr="007767AF" w:rsidRDefault="007A1CCA" w:rsidP="00216772">
            <w:pPr>
              <w:spacing w:before="60" w:after="60"/>
              <w:jc w:val="right"/>
              <w:rPr>
                <w:rFonts w:eastAsia="Times New Roman" w:cs="Arial"/>
                <w:color w:val="000000"/>
                <w:sz w:val="20"/>
                <w:szCs w:val="20"/>
                <w:lang w:eastAsia="fr-FR"/>
              </w:rPr>
            </w:pPr>
            <w:r w:rsidRPr="007767AF">
              <w:rPr>
                <w:rFonts w:eastAsia="Times New Roman" w:cs="Arial"/>
                <w:color w:val="000000"/>
                <w:sz w:val="20"/>
                <w:szCs w:val="20"/>
                <w:lang w:val="en-GB" w:eastAsia="fr-FR"/>
              </w:rPr>
              <w:t>15 000</w:t>
            </w:r>
          </w:p>
        </w:tc>
        <w:tc>
          <w:tcPr>
            <w:tcW w:w="1315" w:type="dxa"/>
            <w:tcBorders>
              <w:top w:val="nil"/>
              <w:left w:val="nil"/>
              <w:bottom w:val="single" w:sz="4" w:space="0" w:color="auto"/>
              <w:right w:val="single" w:sz="4" w:space="0" w:color="auto"/>
            </w:tcBorders>
            <w:vAlign w:val="center"/>
            <w:hideMark/>
          </w:tcPr>
          <w:p w14:paraId="7958D87A" w14:textId="77777777" w:rsidR="007A1CCA" w:rsidRPr="007767AF" w:rsidRDefault="007A1CCA" w:rsidP="00216772">
            <w:pPr>
              <w:spacing w:before="60" w:after="60"/>
              <w:jc w:val="right"/>
              <w:rPr>
                <w:rFonts w:eastAsia="Times New Roman" w:cs="Arial"/>
                <w:color w:val="000000"/>
                <w:sz w:val="20"/>
                <w:szCs w:val="20"/>
                <w:lang w:eastAsia="fr-FR"/>
              </w:rPr>
            </w:pPr>
            <w:r w:rsidRPr="007767AF">
              <w:rPr>
                <w:rFonts w:eastAsia="Times New Roman" w:cs="Arial"/>
                <w:color w:val="000000"/>
                <w:sz w:val="20"/>
                <w:szCs w:val="20"/>
                <w:lang w:eastAsia="fr-FR"/>
              </w:rPr>
              <w:t>60 000</w:t>
            </w:r>
          </w:p>
        </w:tc>
        <w:tc>
          <w:tcPr>
            <w:tcW w:w="1261" w:type="dxa"/>
            <w:tcBorders>
              <w:top w:val="nil"/>
              <w:left w:val="nil"/>
              <w:bottom w:val="single" w:sz="4" w:space="0" w:color="auto"/>
              <w:right w:val="single" w:sz="4" w:space="0" w:color="auto"/>
            </w:tcBorders>
            <w:vAlign w:val="center"/>
          </w:tcPr>
          <w:p w14:paraId="6075C637" w14:textId="77777777" w:rsidR="007A1CCA" w:rsidRPr="007767AF" w:rsidRDefault="007A1CCA" w:rsidP="00216772">
            <w:pPr>
              <w:spacing w:before="60" w:after="60"/>
              <w:jc w:val="right"/>
              <w:rPr>
                <w:rFonts w:eastAsia="Times New Roman" w:cs="Arial"/>
                <w:color w:val="000000"/>
                <w:sz w:val="20"/>
                <w:szCs w:val="20"/>
                <w:lang w:eastAsia="fr-FR"/>
              </w:rPr>
            </w:pPr>
          </w:p>
        </w:tc>
      </w:tr>
      <w:tr w:rsidR="007A1CCA" w:rsidRPr="001968DF" w14:paraId="15BE7B9D" w14:textId="77777777" w:rsidTr="00216772">
        <w:tc>
          <w:tcPr>
            <w:tcW w:w="366" w:type="dxa"/>
            <w:tcBorders>
              <w:top w:val="single" w:sz="4" w:space="0" w:color="auto"/>
              <w:left w:val="single" w:sz="4" w:space="0" w:color="auto"/>
              <w:bottom w:val="single" w:sz="4" w:space="0" w:color="auto"/>
              <w:right w:val="nil"/>
            </w:tcBorders>
            <w:noWrap/>
            <w:hideMark/>
          </w:tcPr>
          <w:p w14:paraId="004FF3A6" w14:textId="77777777" w:rsidR="007A1CCA" w:rsidRPr="007767AF" w:rsidRDefault="007A1CCA" w:rsidP="00216772">
            <w:pPr>
              <w:spacing w:before="60" w:after="60"/>
              <w:jc w:val="center"/>
              <w:rPr>
                <w:rFonts w:eastAsia="Times New Roman" w:cs="Arial"/>
                <w:color w:val="000000"/>
                <w:sz w:val="20"/>
                <w:szCs w:val="20"/>
                <w:lang w:eastAsia="fr-FR"/>
              </w:rPr>
            </w:pPr>
            <w:r w:rsidRPr="007767AF">
              <w:rPr>
                <w:rFonts w:eastAsia="Times New Roman" w:cs="Arial"/>
                <w:color w:val="000000"/>
                <w:sz w:val="20"/>
                <w:szCs w:val="20"/>
                <w:lang w:eastAsia="fr-FR"/>
              </w:rPr>
              <w:t>3</w:t>
            </w:r>
          </w:p>
        </w:tc>
        <w:tc>
          <w:tcPr>
            <w:tcW w:w="4365" w:type="dxa"/>
            <w:tcBorders>
              <w:top w:val="nil"/>
              <w:left w:val="single" w:sz="4" w:space="0" w:color="auto"/>
              <w:bottom w:val="single" w:sz="4" w:space="0" w:color="auto"/>
              <w:right w:val="single" w:sz="4" w:space="0" w:color="auto"/>
            </w:tcBorders>
            <w:vAlign w:val="center"/>
            <w:hideMark/>
          </w:tcPr>
          <w:p w14:paraId="1642E785" w14:textId="77777777" w:rsidR="007A1CCA" w:rsidRPr="007767AF" w:rsidRDefault="007A1CCA" w:rsidP="00216772">
            <w:pPr>
              <w:spacing w:before="60" w:after="60"/>
              <w:rPr>
                <w:rFonts w:eastAsia="Times New Roman" w:cs="Arial"/>
                <w:color w:val="000000"/>
                <w:sz w:val="20"/>
                <w:szCs w:val="20"/>
                <w:lang w:eastAsia="fr-FR"/>
              </w:rPr>
            </w:pPr>
            <w:r w:rsidRPr="007767AF">
              <w:rPr>
                <w:rFonts w:eastAsia="Times New Roman" w:cs="Arial"/>
                <w:color w:val="000000"/>
                <w:sz w:val="20"/>
                <w:szCs w:val="20"/>
                <w:lang w:val="fr-ML" w:eastAsia="fr-FR"/>
              </w:rPr>
              <w:t xml:space="preserve">Coût des audits environnementaux et sociaux (mi-parcours et final) </w:t>
            </w:r>
          </w:p>
        </w:tc>
        <w:tc>
          <w:tcPr>
            <w:tcW w:w="798" w:type="dxa"/>
            <w:tcBorders>
              <w:top w:val="nil"/>
              <w:left w:val="nil"/>
              <w:bottom w:val="single" w:sz="4" w:space="0" w:color="auto"/>
              <w:right w:val="single" w:sz="4" w:space="0" w:color="auto"/>
            </w:tcBorders>
            <w:vAlign w:val="center"/>
            <w:hideMark/>
          </w:tcPr>
          <w:p w14:paraId="1FB8A659" w14:textId="77777777" w:rsidR="007A1CCA" w:rsidRPr="007767AF" w:rsidRDefault="007A1CCA" w:rsidP="00216772">
            <w:pPr>
              <w:spacing w:before="60" w:after="60"/>
              <w:jc w:val="right"/>
              <w:rPr>
                <w:rFonts w:eastAsia="Times New Roman" w:cs="Arial"/>
                <w:color w:val="000000"/>
                <w:sz w:val="20"/>
                <w:szCs w:val="20"/>
                <w:lang w:eastAsia="fr-FR"/>
              </w:rPr>
            </w:pPr>
            <w:r w:rsidRPr="007767AF">
              <w:rPr>
                <w:rFonts w:eastAsia="Times New Roman" w:cs="Arial"/>
                <w:color w:val="000000"/>
                <w:sz w:val="20"/>
                <w:szCs w:val="20"/>
                <w:lang w:val="en-GB" w:eastAsia="fr-FR"/>
              </w:rPr>
              <w:t>2</w:t>
            </w:r>
          </w:p>
        </w:tc>
        <w:tc>
          <w:tcPr>
            <w:tcW w:w="1393" w:type="dxa"/>
            <w:tcBorders>
              <w:top w:val="nil"/>
              <w:left w:val="nil"/>
              <w:bottom w:val="single" w:sz="4" w:space="0" w:color="auto"/>
              <w:right w:val="single" w:sz="4" w:space="0" w:color="auto"/>
            </w:tcBorders>
            <w:vAlign w:val="center"/>
            <w:hideMark/>
          </w:tcPr>
          <w:p w14:paraId="09D25BB0" w14:textId="77777777" w:rsidR="007A1CCA" w:rsidRPr="007767AF" w:rsidRDefault="007A1CCA" w:rsidP="00216772">
            <w:pPr>
              <w:spacing w:before="60" w:after="60"/>
              <w:jc w:val="right"/>
              <w:rPr>
                <w:rFonts w:eastAsia="Times New Roman" w:cs="Arial"/>
                <w:color w:val="000000"/>
                <w:sz w:val="20"/>
                <w:szCs w:val="20"/>
                <w:lang w:eastAsia="fr-FR"/>
              </w:rPr>
            </w:pPr>
            <w:r w:rsidRPr="007767AF">
              <w:rPr>
                <w:rFonts w:eastAsia="Times New Roman" w:cs="Arial"/>
                <w:color w:val="000000"/>
                <w:sz w:val="20"/>
                <w:szCs w:val="20"/>
                <w:lang w:val="en-GB" w:eastAsia="fr-FR"/>
              </w:rPr>
              <w:t>15 000</w:t>
            </w:r>
          </w:p>
        </w:tc>
        <w:tc>
          <w:tcPr>
            <w:tcW w:w="1315" w:type="dxa"/>
            <w:tcBorders>
              <w:top w:val="nil"/>
              <w:left w:val="nil"/>
              <w:bottom w:val="single" w:sz="4" w:space="0" w:color="auto"/>
              <w:right w:val="single" w:sz="4" w:space="0" w:color="auto"/>
            </w:tcBorders>
            <w:vAlign w:val="center"/>
            <w:hideMark/>
          </w:tcPr>
          <w:p w14:paraId="66143332" w14:textId="77777777" w:rsidR="007A1CCA" w:rsidRPr="007767AF" w:rsidRDefault="007A1CCA" w:rsidP="00216772">
            <w:pPr>
              <w:spacing w:before="60" w:after="60"/>
              <w:jc w:val="right"/>
              <w:rPr>
                <w:rFonts w:eastAsia="Times New Roman" w:cs="Arial"/>
                <w:color w:val="000000"/>
                <w:sz w:val="20"/>
                <w:szCs w:val="20"/>
                <w:lang w:eastAsia="fr-FR"/>
              </w:rPr>
            </w:pPr>
            <w:r w:rsidRPr="007767AF">
              <w:rPr>
                <w:rFonts w:eastAsia="Times New Roman" w:cs="Arial"/>
                <w:color w:val="000000"/>
                <w:sz w:val="20"/>
                <w:szCs w:val="20"/>
                <w:lang w:eastAsia="fr-FR"/>
              </w:rPr>
              <w:t>30 000</w:t>
            </w:r>
          </w:p>
        </w:tc>
        <w:tc>
          <w:tcPr>
            <w:tcW w:w="1261" w:type="dxa"/>
            <w:tcBorders>
              <w:top w:val="nil"/>
              <w:left w:val="nil"/>
              <w:bottom w:val="single" w:sz="4" w:space="0" w:color="auto"/>
              <w:right w:val="single" w:sz="4" w:space="0" w:color="auto"/>
            </w:tcBorders>
            <w:vAlign w:val="center"/>
          </w:tcPr>
          <w:p w14:paraId="2FFCF136" w14:textId="77777777" w:rsidR="007A1CCA" w:rsidRPr="007767AF" w:rsidRDefault="007A1CCA" w:rsidP="00216772">
            <w:pPr>
              <w:spacing w:before="60" w:after="60"/>
              <w:jc w:val="right"/>
              <w:rPr>
                <w:rFonts w:eastAsia="Times New Roman" w:cs="Arial"/>
                <w:color w:val="000000"/>
                <w:sz w:val="20"/>
                <w:szCs w:val="20"/>
                <w:lang w:eastAsia="fr-FR"/>
              </w:rPr>
            </w:pPr>
          </w:p>
        </w:tc>
      </w:tr>
      <w:tr w:rsidR="007A1CCA" w:rsidRPr="001968DF" w14:paraId="3EC2FCED" w14:textId="77777777" w:rsidTr="00216772">
        <w:tc>
          <w:tcPr>
            <w:tcW w:w="366" w:type="dxa"/>
            <w:tcBorders>
              <w:top w:val="single" w:sz="4" w:space="0" w:color="auto"/>
              <w:left w:val="single" w:sz="4" w:space="0" w:color="auto"/>
              <w:bottom w:val="single" w:sz="4" w:space="0" w:color="auto"/>
              <w:right w:val="nil"/>
            </w:tcBorders>
            <w:noWrap/>
            <w:hideMark/>
          </w:tcPr>
          <w:p w14:paraId="4798E517" w14:textId="77777777" w:rsidR="007A1CCA" w:rsidRPr="007767AF" w:rsidRDefault="007A1CCA" w:rsidP="00216772">
            <w:pPr>
              <w:spacing w:before="60" w:after="60"/>
              <w:jc w:val="center"/>
              <w:rPr>
                <w:rFonts w:eastAsia="Times New Roman" w:cs="Arial"/>
                <w:color w:val="000000"/>
                <w:sz w:val="20"/>
                <w:szCs w:val="20"/>
                <w:lang w:eastAsia="fr-FR"/>
              </w:rPr>
            </w:pPr>
            <w:r w:rsidRPr="007767AF">
              <w:rPr>
                <w:rFonts w:eastAsia="Times New Roman" w:cs="Arial"/>
                <w:color w:val="000000"/>
                <w:sz w:val="20"/>
                <w:szCs w:val="20"/>
                <w:lang w:eastAsia="fr-FR"/>
              </w:rPr>
              <w:t>4</w:t>
            </w:r>
          </w:p>
        </w:tc>
        <w:tc>
          <w:tcPr>
            <w:tcW w:w="4365" w:type="dxa"/>
            <w:tcBorders>
              <w:top w:val="nil"/>
              <w:left w:val="single" w:sz="4" w:space="0" w:color="auto"/>
              <w:bottom w:val="nil"/>
              <w:right w:val="single" w:sz="4" w:space="0" w:color="auto"/>
            </w:tcBorders>
            <w:vAlign w:val="center"/>
            <w:hideMark/>
          </w:tcPr>
          <w:p w14:paraId="4F997FE4" w14:textId="77777777" w:rsidR="007A1CCA" w:rsidRPr="007767AF" w:rsidRDefault="007A1CCA" w:rsidP="00216772">
            <w:pPr>
              <w:spacing w:before="60" w:after="60"/>
              <w:rPr>
                <w:rFonts w:eastAsia="Times New Roman" w:cs="Arial"/>
                <w:color w:val="000000"/>
                <w:sz w:val="20"/>
                <w:szCs w:val="20"/>
                <w:lang w:eastAsia="fr-FR"/>
              </w:rPr>
            </w:pPr>
            <w:r w:rsidRPr="007767AF">
              <w:rPr>
                <w:rFonts w:eastAsia="Times New Roman" w:cs="Arial"/>
                <w:color w:val="000000"/>
                <w:sz w:val="20"/>
                <w:szCs w:val="20"/>
                <w:lang w:val="fr-ML" w:eastAsia="fr-FR"/>
              </w:rPr>
              <w:t>Evaluation finale du CGES</w:t>
            </w:r>
          </w:p>
        </w:tc>
        <w:tc>
          <w:tcPr>
            <w:tcW w:w="798" w:type="dxa"/>
            <w:tcBorders>
              <w:top w:val="nil"/>
              <w:left w:val="nil"/>
              <w:bottom w:val="nil"/>
              <w:right w:val="single" w:sz="4" w:space="0" w:color="auto"/>
            </w:tcBorders>
            <w:vAlign w:val="center"/>
            <w:hideMark/>
          </w:tcPr>
          <w:p w14:paraId="4ECC342E" w14:textId="77777777" w:rsidR="007A1CCA" w:rsidRPr="007767AF" w:rsidRDefault="007A1CCA" w:rsidP="00216772">
            <w:pPr>
              <w:spacing w:before="60" w:after="60"/>
              <w:jc w:val="right"/>
              <w:rPr>
                <w:rFonts w:eastAsia="Times New Roman" w:cs="Arial"/>
                <w:color w:val="000000"/>
                <w:sz w:val="20"/>
                <w:szCs w:val="20"/>
                <w:lang w:eastAsia="fr-FR"/>
              </w:rPr>
            </w:pPr>
            <w:r w:rsidRPr="007767AF">
              <w:rPr>
                <w:rFonts w:eastAsia="Times New Roman" w:cs="Arial"/>
                <w:color w:val="000000"/>
                <w:sz w:val="20"/>
                <w:szCs w:val="20"/>
                <w:lang w:val="en-GB" w:eastAsia="fr-FR"/>
              </w:rPr>
              <w:t>1</w:t>
            </w:r>
          </w:p>
        </w:tc>
        <w:tc>
          <w:tcPr>
            <w:tcW w:w="1393" w:type="dxa"/>
            <w:tcBorders>
              <w:top w:val="nil"/>
              <w:left w:val="nil"/>
              <w:bottom w:val="nil"/>
              <w:right w:val="single" w:sz="4" w:space="0" w:color="auto"/>
            </w:tcBorders>
            <w:vAlign w:val="center"/>
            <w:hideMark/>
          </w:tcPr>
          <w:p w14:paraId="0AFAA733" w14:textId="77777777" w:rsidR="007A1CCA" w:rsidRPr="007767AF" w:rsidRDefault="007A1CCA" w:rsidP="00216772">
            <w:pPr>
              <w:spacing w:before="60" w:after="60"/>
              <w:jc w:val="right"/>
              <w:rPr>
                <w:rFonts w:eastAsia="Times New Roman" w:cs="Arial"/>
                <w:color w:val="000000"/>
                <w:sz w:val="20"/>
                <w:szCs w:val="20"/>
                <w:lang w:eastAsia="fr-FR"/>
              </w:rPr>
            </w:pPr>
            <w:r w:rsidRPr="007767AF">
              <w:rPr>
                <w:rFonts w:eastAsia="Times New Roman" w:cs="Arial"/>
                <w:color w:val="000000"/>
                <w:sz w:val="20"/>
                <w:szCs w:val="20"/>
                <w:lang w:val="en-GB" w:eastAsia="fr-FR"/>
              </w:rPr>
              <w:t>20 000</w:t>
            </w:r>
          </w:p>
        </w:tc>
        <w:tc>
          <w:tcPr>
            <w:tcW w:w="1315" w:type="dxa"/>
            <w:tcBorders>
              <w:top w:val="nil"/>
              <w:left w:val="nil"/>
              <w:bottom w:val="single" w:sz="4" w:space="0" w:color="auto"/>
              <w:right w:val="single" w:sz="4" w:space="0" w:color="auto"/>
            </w:tcBorders>
            <w:vAlign w:val="center"/>
            <w:hideMark/>
          </w:tcPr>
          <w:p w14:paraId="4CED04E0" w14:textId="77777777" w:rsidR="007A1CCA" w:rsidRPr="007767AF" w:rsidRDefault="007A1CCA" w:rsidP="00216772">
            <w:pPr>
              <w:spacing w:before="60" w:after="60"/>
              <w:jc w:val="right"/>
              <w:rPr>
                <w:rFonts w:eastAsia="Times New Roman" w:cs="Arial"/>
                <w:color w:val="000000"/>
                <w:sz w:val="20"/>
                <w:szCs w:val="20"/>
                <w:lang w:eastAsia="fr-FR"/>
              </w:rPr>
            </w:pPr>
            <w:r w:rsidRPr="007767AF">
              <w:rPr>
                <w:rFonts w:eastAsia="Times New Roman" w:cs="Arial"/>
                <w:color w:val="000000"/>
                <w:sz w:val="20"/>
                <w:szCs w:val="20"/>
                <w:lang w:eastAsia="fr-FR"/>
              </w:rPr>
              <w:t>20 000</w:t>
            </w:r>
          </w:p>
        </w:tc>
        <w:tc>
          <w:tcPr>
            <w:tcW w:w="1261" w:type="dxa"/>
            <w:tcBorders>
              <w:top w:val="nil"/>
              <w:left w:val="nil"/>
              <w:bottom w:val="nil"/>
              <w:right w:val="single" w:sz="4" w:space="0" w:color="auto"/>
            </w:tcBorders>
            <w:vAlign w:val="center"/>
          </w:tcPr>
          <w:p w14:paraId="3BE0EBCD" w14:textId="77777777" w:rsidR="007A1CCA" w:rsidRPr="007767AF" w:rsidRDefault="007A1CCA" w:rsidP="00216772">
            <w:pPr>
              <w:spacing w:before="60" w:after="60"/>
              <w:jc w:val="right"/>
              <w:rPr>
                <w:rFonts w:eastAsia="Times New Roman" w:cs="Arial"/>
                <w:color w:val="000000"/>
                <w:sz w:val="20"/>
                <w:szCs w:val="20"/>
                <w:lang w:eastAsia="fr-FR"/>
              </w:rPr>
            </w:pPr>
          </w:p>
        </w:tc>
      </w:tr>
      <w:tr w:rsidR="007A1CCA" w:rsidRPr="001968DF" w14:paraId="149C982A" w14:textId="77777777" w:rsidTr="00216772">
        <w:tc>
          <w:tcPr>
            <w:tcW w:w="366" w:type="dxa"/>
            <w:tcBorders>
              <w:top w:val="single" w:sz="4" w:space="0" w:color="auto"/>
              <w:left w:val="single" w:sz="4" w:space="0" w:color="auto"/>
              <w:bottom w:val="single" w:sz="4" w:space="0" w:color="auto"/>
              <w:right w:val="nil"/>
            </w:tcBorders>
            <w:noWrap/>
            <w:hideMark/>
          </w:tcPr>
          <w:p w14:paraId="596DE7B0" w14:textId="77777777" w:rsidR="007A1CCA" w:rsidRPr="007767AF" w:rsidRDefault="007A1CCA" w:rsidP="00216772">
            <w:pPr>
              <w:spacing w:before="60" w:after="60"/>
              <w:jc w:val="center"/>
              <w:rPr>
                <w:rFonts w:eastAsia="Times New Roman" w:cs="Arial"/>
                <w:color w:val="000000"/>
                <w:sz w:val="20"/>
                <w:szCs w:val="20"/>
                <w:lang w:eastAsia="fr-FR"/>
              </w:rPr>
            </w:pPr>
            <w:r w:rsidRPr="007767AF">
              <w:rPr>
                <w:rFonts w:eastAsia="Times New Roman" w:cs="Arial"/>
                <w:color w:val="000000"/>
                <w:sz w:val="20"/>
                <w:szCs w:val="20"/>
                <w:lang w:eastAsia="fr-FR"/>
              </w:rPr>
              <w:t>5</w:t>
            </w:r>
          </w:p>
        </w:tc>
        <w:tc>
          <w:tcPr>
            <w:tcW w:w="4365" w:type="dxa"/>
            <w:tcBorders>
              <w:top w:val="single" w:sz="4" w:space="0" w:color="auto"/>
              <w:left w:val="single" w:sz="4" w:space="0" w:color="auto"/>
              <w:bottom w:val="single" w:sz="4" w:space="0" w:color="auto"/>
              <w:right w:val="nil"/>
            </w:tcBorders>
            <w:vAlign w:val="center"/>
            <w:hideMark/>
          </w:tcPr>
          <w:p w14:paraId="685E31BD" w14:textId="77777777" w:rsidR="007A1CCA" w:rsidRPr="007767AF" w:rsidRDefault="007A1CCA" w:rsidP="00216772">
            <w:pPr>
              <w:spacing w:before="60" w:after="60"/>
              <w:jc w:val="left"/>
              <w:rPr>
                <w:rFonts w:eastAsia="Times New Roman" w:cs="Arial"/>
                <w:color w:val="000000"/>
                <w:sz w:val="20"/>
                <w:szCs w:val="20"/>
                <w:lang w:eastAsia="fr-FR"/>
              </w:rPr>
            </w:pPr>
            <w:r w:rsidRPr="007767AF">
              <w:rPr>
                <w:rFonts w:eastAsia="Times New Roman" w:cs="Arial"/>
                <w:color w:val="000000"/>
                <w:sz w:val="20"/>
                <w:szCs w:val="20"/>
                <w:lang w:val="fr-ML" w:eastAsia="fr-FR"/>
              </w:rPr>
              <w:t>Renforcement des capacités :</w:t>
            </w:r>
          </w:p>
        </w:tc>
        <w:tc>
          <w:tcPr>
            <w:tcW w:w="798" w:type="dxa"/>
            <w:tcBorders>
              <w:top w:val="single" w:sz="4" w:space="0" w:color="auto"/>
              <w:left w:val="nil"/>
              <w:bottom w:val="single" w:sz="4" w:space="0" w:color="auto"/>
              <w:right w:val="nil"/>
            </w:tcBorders>
            <w:hideMark/>
          </w:tcPr>
          <w:p w14:paraId="00A70198" w14:textId="77777777" w:rsidR="007A1CCA" w:rsidRPr="007767AF" w:rsidRDefault="007A1CCA" w:rsidP="00216772">
            <w:pPr>
              <w:spacing w:before="60" w:after="60"/>
              <w:jc w:val="left"/>
              <w:rPr>
                <w:rFonts w:eastAsia="Times New Roman" w:cs="Arial"/>
                <w:color w:val="000000"/>
                <w:sz w:val="20"/>
                <w:szCs w:val="20"/>
                <w:lang w:eastAsia="fr-FR"/>
              </w:rPr>
            </w:pPr>
          </w:p>
        </w:tc>
        <w:tc>
          <w:tcPr>
            <w:tcW w:w="1393" w:type="dxa"/>
            <w:tcBorders>
              <w:top w:val="single" w:sz="4" w:space="0" w:color="auto"/>
              <w:left w:val="nil"/>
              <w:bottom w:val="single" w:sz="4" w:space="0" w:color="auto"/>
              <w:right w:val="nil"/>
            </w:tcBorders>
            <w:vAlign w:val="center"/>
            <w:hideMark/>
          </w:tcPr>
          <w:p w14:paraId="21F4E735" w14:textId="77777777" w:rsidR="007A1CCA" w:rsidRPr="007767AF" w:rsidRDefault="007A1CCA" w:rsidP="00216772">
            <w:pPr>
              <w:spacing w:before="60" w:after="60"/>
              <w:jc w:val="right"/>
              <w:rPr>
                <w:rFonts w:eastAsia="Times New Roman" w:cs="Arial"/>
                <w:color w:val="000000"/>
                <w:sz w:val="20"/>
                <w:szCs w:val="20"/>
                <w:lang w:eastAsia="fr-FR"/>
              </w:rPr>
            </w:pPr>
          </w:p>
        </w:tc>
        <w:tc>
          <w:tcPr>
            <w:tcW w:w="1315" w:type="dxa"/>
            <w:tcBorders>
              <w:top w:val="nil"/>
              <w:left w:val="nil"/>
              <w:bottom w:val="single" w:sz="4" w:space="0" w:color="auto"/>
              <w:right w:val="nil"/>
            </w:tcBorders>
            <w:vAlign w:val="center"/>
            <w:hideMark/>
          </w:tcPr>
          <w:p w14:paraId="4B569E91" w14:textId="77777777" w:rsidR="007A1CCA" w:rsidRPr="007767AF" w:rsidRDefault="007A1CCA" w:rsidP="00216772">
            <w:pPr>
              <w:spacing w:before="60" w:after="60"/>
              <w:jc w:val="right"/>
              <w:rPr>
                <w:rFonts w:eastAsia="Times New Roman" w:cs="Arial"/>
                <w:color w:val="000000"/>
                <w:sz w:val="20"/>
                <w:szCs w:val="20"/>
                <w:lang w:eastAsia="fr-FR"/>
              </w:rPr>
            </w:pPr>
          </w:p>
        </w:tc>
        <w:tc>
          <w:tcPr>
            <w:tcW w:w="1261" w:type="dxa"/>
            <w:tcBorders>
              <w:top w:val="single" w:sz="4" w:space="0" w:color="auto"/>
              <w:left w:val="nil"/>
              <w:bottom w:val="single" w:sz="4" w:space="0" w:color="auto"/>
              <w:right w:val="single" w:sz="4" w:space="0" w:color="auto"/>
            </w:tcBorders>
            <w:vAlign w:val="center"/>
          </w:tcPr>
          <w:p w14:paraId="550DFC80" w14:textId="77777777" w:rsidR="007A1CCA" w:rsidRPr="007767AF" w:rsidRDefault="007A1CCA" w:rsidP="00216772">
            <w:pPr>
              <w:spacing w:before="60" w:after="60"/>
              <w:jc w:val="right"/>
              <w:rPr>
                <w:rFonts w:eastAsia="Times New Roman" w:cs="Arial"/>
                <w:color w:val="000000"/>
                <w:sz w:val="20"/>
                <w:szCs w:val="20"/>
                <w:lang w:eastAsia="fr-FR"/>
              </w:rPr>
            </w:pPr>
          </w:p>
        </w:tc>
      </w:tr>
      <w:tr w:rsidR="007A1CCA" w:rsidRPr="001968DF" w14:paraId="6E7AF4D2" w14:textId="77777777" w:rsidTr="00216772">
        <w:tc>
          <w:tcPr>
            <w:tcW w:w="366" w:type="dxa"/>
            <w:tcBorders>
              <w:top w:val="single" w:sz="4" w:space="0" w:color="auto"/>
              <w:left w:val="single" w:sz="4" w:space="0" w:color="auto"/>
              <w:bottom w:val="single" w:sz="4" w:space="0" w:color="auto"/>
              <w:right w:val="nil"/>
            </w:tcBorders>
            <w:noWrap/>
            <w:hideMark/>
          </w:tcPr>
          <w:p w14:paraId="568638AE" w14:textId="77777777" w:rsidR="007A1CCA" w:rsidRPr="007767AF" w:rsidRDefault="007A1CCA" w:rsidP="00216772">
            <w:pPr>
              <w:spacing w:before="60" w:after="60"/>
              <w:jc w:val="right"/>
              <w:rPr>
                <w:rFonts w:eastAsia="Times New Roman" w:cs="Arial"/>
                <w:color w:val="000000"/>
                <w:sz w:val="20"/>
                <w:szCs w:val="20"/>
                <w:lang w:eastAsia="fr-FR"/>
              </w:rPr>
            </w:pPr>
          </w:p>
        </w:tc>
        <w:tc>
          <w:tcPr>
            <w:tcW w:w="4365" w:type="dxa"/>
            <w:tcBorders>
              <w:top w:val="nil"/>
              <w:left w:val="single" w:sz="4" w:space="0" w:color="auto"/>
              <w:bottom w:val="single" w:sz="4" w:space="0" w:color="auto"/>
              <w:right w:val="single" w:sz="4" w:space="0" w:color="auto"/>
            </w:tcBorders>
            <w:vAlign w:val="center"/>
            <w:hideMark/>
          </w:tcPr>
          <w:p w14:paraId="7639589A" w14:textId="77777777" w:rsidR="007A1CCA" w:rsidRPr="007767AF" w:rsidRDefault="007A1CCA" w:rsidP="00844538">
            <w:pPr>
              <w:pStyle w:val="ListParagraph"/>
              <w:numPr>
                <w:ilvl w:val="0"/>
                <w:numId w:val="177"/>
              </w:numPr>
              <w:spacing w:before="60" w:after="60" w:line="276" w:lineRule="auto"/>
              <w:ind w:left="340" w:hanging="170"/>
              <w:contextualSpacing w:val="0"/>
              <w:rPr>
                <w:rFonts w:eastAsia="Times New Roman" w:cs="Arial"/>
                <w:color w:val="000000"/>
                <w:sz w:val="20"/>
                <w:szCs w:val="20"/>
                <w:lang w:eastAsia="fr-FR"/>
              </w:rPr>
            </w:pPr>
            <w:r w:rsidRPr="007767AF">
              <w:rPr>
                <w:rFonts w:eastAsia="Times New Roman" w:cs="Arial"/>
                <w:color w:val="000000"/>
                <w:sz w:val="20"/>
                <w:szCs w:val="20"/>
                <w:lang w:eastAsia="fr-FR"/>
              </w:rPr>
              <w:t>UCP (en compléments aux formations prodiguées par la Clinique « Sauvegarde » de la Banque</w:t>
            </w:r>
          </w:p>
        </w:tc>
        <w:tc>
          <w:tcPr>
            <w:tcW w:w="798" w:type="dxa"/>
            <w:tcBorders>
              <w:top w:val="nil"/>
              <w:left w:val="nil"/>
              <w:bottom w:val="single" w:sz="4" w:space="0" w:color="auto"/>
              <w:right w:val="single" w:sz="4" w:space="0" w:color="auto"/>
            </w:tcBorders>
            <w:vAlign w:val="center"/>
            <w:hideMark/>
          </w:tcPr>
          <w:p w14:paraId="110913A5" w14:textId="77777777" w:rsidR="007A1CCA" w:rsidRPr="007767AF" w:rsidRDefault="007A1CCA" w:rsidP="00216772">
            <w:pPr>
              <w:spacing w:before="60" w:after="60"/>
              <w:jc w:val="right"/>
              <w:rPr>
                <w:rFonts w:eastAsia="Times New Roman" w:cs="Arial"/>
                <w:color w:val="000000"/>
                <w:sz w:val="20"/>
                <w:szCs w:val="20"/>
                <w:lang w:eastAsia="fr-FR"/>
              </w:rPr>
            </w:pPr>
            <w:r w:rsidRPr="007767AF">
              <w:rPr>
                <w:rFonts w:eastAsia="Times New Roman" w:cs="Arial"/>
                <w:color w:val="000000"/>
                <w:sz w:val="20"/>
                <w:szCs w:val="20"/>
                <w:lang w:eastAsia="fr-FR"/>
              </w:rPr>
              <w:t>1</w:t>
            </w:r>
          </w:p>
        </w:tc>
        <w:tc>
          <w:tcPr>
            <w:tcW w:w="1393" w:type="dxa"/>
            <w:tcBorders>
              <w:top w:val="nil"/>
              <w:left w:val="nil"/>
              <w:bottom w:val="single" w:sz="4" w:space="0" w:color="auto"/>
              <w:right w:val="single" w:sz="4" w:space="0" w:color="auto"/>
            </w:tcBorders>
            <w:vAlign w:val="center"/>
            <w:hideMark/>
          </w:tcPr>
          <w:p w14:paraId="2443529F" w14:textId="77777777" w:rsidR="007A1CCA" w:rsidRPr="007767AF" w:rsidRDefault="007A1CCA" w:rsidP="00216772">
            <w:pPr>
              <w:spacing w:before="60" w:after="60"/>
              <w:jc w:val="right"/>
              <w:rPr>
                <w:rFonts w:eastAsia="Times New Roman" w:cs="Arial"/>
                <w:color w:val="000000"/>
                <w:sz w:val="20"/>
                <w:szCs w:val="20"/>
                <w:lang w:eastAsia="fr-FR"/>
              </w:rPr>
            </w:pPr>
            <w:r w:rsidRPr="007767AF">
              <w:rPr>
                <w:rFonts w:eastAsia="Times New Roman" w:cs="Arial"/>
                <w:color w:val="000000"/>
                <w:sz w:val="20"/>
                <w:szCs w:val="20"/>
                <w:lang w:eastAsia="fr-FR"/>
              </w:rPr>
              <w:t>4 000</w:t>
            </w:r>
          </w:p>
        </w:tc>
        <w:tc>
          <w:tcPr>
            <w:tcW w:w="1315" w:type="dxa"/>
            <w:tcBorders>
              <w:top w:val="nil"/>
              <w:left w:val="nil"/>
              <w:bottom w:val="single" w:sz="4" w:space="0" w:color="auto"/>
              <w:right w:val="single" w:sz="4" w:space="0" w:color="auto"/>
            </w:tcBorders>
            <w:vAlign w:val="center"/>
            <w:hideMark/>
          </w:tcPr>
          <w:p w14:paraId="45C561A6" w14:textId="77777777" w:rsidR="007A1CCA" w:rsidRPr="007767AF" w:rsidRDefault="007A1CCA" w:rsidP="00216772">
            <w:pPr>
              <w:spacing w:before="60" w:after="60"/>
              <w:jc w:val="right"/>
              <w:rPr>
                <w:rFonts w:eastAsia="Times New Roman" w:cs="Arial"/>
                <w:color w:val="000000"/>
                <w:sz w:val="20"/>
                <w:szCs w:val="20"/>
                <w:lang w:eastAsia="fr-FR"/>
              </w:rPr>
            </w:pPr>
            <w:r w:rsidRPr="007767AF">
              <w:rPr>
                <w:rFonts w:eastAsia="Times New Roman" w:cs="Arial"/>
                <w:color w:val="000000"/>
                <w:sz w:val="20"/>
                <w:szCs w:val="20"/>
                <w:lang w:eastAsia="fr-FR"/>
              </w:rPr>
              <w:t>4 000</w:t>
            </w:r>
          </w:p>
        </w:tc>
        <w:tc>
          <w:tcPr>
            <w:tcW w:w="1261" w:type="dxa"/>
            <w:tcBorders>
              <w:top w:val="nil"/>
              <w:left w:val="nil"/>
              <w:bottom w:val="single" w:sz="4" w:space="0" w:color="auto"/>
              <w:right w:val="single" w:sz="4" w:space="0" w:color="auto"/>
            </w:tcBorders>
            <w:vAlign w:val="center"/>
          </w:tcPr>
          <w:p w14:paraId="403FE683" w14:textId="77777777" w:rsidR="007A1CCA" w:rsidRPr="007767AF" w:rsidRDefault="007A1CCA" w:rsidP="00216772">
            <w:pPr>
              <w:spacing w:before="60" w:after="60"/>
              <w:jc w:val="right"/>
              <w:rPr>
                <w:rFonts w:eastAsia="Times New Roman" w:cs="Arial"/>
                <w:color w:val="000000"/>
                <w:sz w:val="20"/>
                <w:szCs w:val="20"/>
                <w:lang w:eastAsia="fr-FR"/>
              </w:rPr>
            </w:pPr>
          </w:p>
        </w:tc>
      </w:tr>
      <w:tr w:rsidR="007A1CCA" w:rsidRPr="001968DF" w14:paraId="65D90A11" w14:textId="77777777" w:rsidTr="00216772">
        <w:tc>
          <w:tcPr>
            <w:tcW w:w="366" w:type="dxa"/>
            <w:tcBorders>
              <w:top w:val="single" w:sz="4" w:space="0" w:color="auto"/>
              <w:left w:val="single" w:sz="4" w:space="0" w:color="auto"/>
              <w:bottom w:val="single" w:sz="4" w:space="0" w:color="auto"/>
              <w:right w:val="nil"/>
            </w:tcBorders>
            <w:noWrap/>
            <w:hideMark/>
          </w:tcPr>
          <w:p w14:paraId="7E0F1632" w14:textId="77777777" w:rsidR="007A1CCA" w:rsidRPr="007767AF" w:rsidRDefault="007A1CCA" w:rsidP="00216772">
            <w:pPr>
              <w:spacing w:before="60" w:after="60"/>
              <w:jc w:val="right"/>
              <w:rPr>
                <w:rFonts w:eastAsia="Times New Roman" w:cs="Arial"/>
                <w:color w:val="000000"/>
                <w:sz w:val="20"/>
                <w:szCs w:val="20"/>
                <w:lang w:eastAsia="fr-FR"/>
              </w:rPr>
            </w:pPr>
          </w:p>
        </w:tc>
        <w:tc>
          <w:tcPr>
            <w:tcW w:w="4365" w:type="dxa"/>
            <w:tcBorders>
              <w:top w:val="nil"/>
              <w:left w:val="single" w:sz="4" w:space="0" w:color="auto"/>
              <w:bottom w:val="single" w:sz="4" w:space="0" w:color="auto"/>
              <w:right w:val="single" w:sz="4" w:space="0" w:color="auto"/>
            </w:tcBorders>
            <w:vAlign w:val="center"/>
            <w:hideMark/>
          </w:tcPr>
          <w:p w14:paraId="23D36A63" w14:textId="77777777" w:rsidR="007A1CCA" w:rsidRPr="007767AF" w:rsidRDefault="007A1CCA" w:rsidP="00844538">
            <w:pPr>
              <w:pStyle w:val="ListParagraph"/>
              <w:numPr>
                <w:ilvl w:val="0"/>
                <w:numId w:val="177"/>
              </w:numPr>
              <w:spacing w:before="60" w:after="60" w:line="276" w:lineRule="auto"/>
              <w:ind w:left="340" w:hanging="170"/>
              <w:contextualSpacing w:val="0"/>
              <w:rPr>
                <w:rFonts w:eastAsia="Times New Roman" w:cs="Arial"/>
                <w:color w:val="000000"/>
                <w:sz w:val="20"/>
                <w:szCs w:val="20"/>
                <w:lang w:eastAsia="fr-FR"/>
              </w:rPr>
            </w:pPr>
            <w:r w:rsidRPr="007767AF">
              <w:rPr>
                <w:rFonts w:eastAsia="Times New Roman" w:cs="Arial"/>
                <w:color w:val="000000"/>
                <w:sz w:val="20"/>
                <w:szCs w:val="20"/>
                <w:lang w:val="fr-ML" w:eastAsia="fr-FR"/>
              </w:rPr>
              <w:t>Autres parties prenantes</w:t>
            </w:r>
          </w:p>
        </w:tc>
        <w:tc>
          <w:tcPr>
            <w:tcW w:w="798" w:type="dxa"/>
            <w:tcBorders>
              <w:top w:val="nil"/>
              <w:left w:val="nil"/>
              <w:bottom w:val="single" w:sz="4" w:space="0" w:color="auto"/>
              <w:right w:val="single" w:sz="4" w:space="0" w:color="auto"/>
            </w:tcBorders>
            <w:vAlign w:val="center"/>
            <w:hideMark/>
          </w:tcPr>
          <w:p w14:paraId="00A512F0" w14:textId="77777777" w:rsidR="007A1CCA" w:rsidRPr="007767AF" w:rsidRDefault="007A1CCA" w:rsidP="00216772">
            <w:pPr>
              <w:spacing w:before="60" w:after="60"/>
              <w:jc w:val="right"/>
              <w:rPr>
                <w:rFonts w:eastAsia="Times New Roman" w:cs="Arial"/>
                <w:color w:val="000000"/>
                <w:sz w:val="20"/>
                <w:szCs w:val="20"/>
                <w:lang w:eastAsia="fr-FR"/>
              </w:rPr>
            </w:pPr>
            <w:r w:rsidRPr="007767AF">
              <w:rPr>
                <w:rFonts w:eastAsia="Times New Roman" w:cs="Arial"/>
                <w:color w:val="000000"/>
                <w:sz w:val="20"/>
                <w:szCs w:val="20"/>
                <w:lang w:eastAsia="fr-FR"/>
              </w:rPr>
              <w:t>7</w:t>
            </w:r>
          </w:p>
        </w:tc>
        <w:tc>
          <w:tcPr>
            <w:tcW w:w="1393" w:type="dxa"/>
            <w:tcBorders>
              <w:top w:val="nil"/>
              <w:left w:val="nil"/>
              <w:bottom w:val="single" w:sz="4" w:space="0" w:color="auto"/>
              <w:right w:val="single" w:sz="4" w:space="0" w:color="auto"/>
            </w:tcBorders>
            <w:vAlign w:val="center"/>
            <w:hideMark/>
          </w:tcPr>
          <w:p w14:paraId="57D432CA" w14:textId="77777777" w:rsidR="007A1CCA" w:rsidRPr="007767AF" w:rsidRDefault="007A1CCA" w:rsidP="00216772">
            <w:pPr>
              <w:spacing w:before="60" w:after="60"/>
              <w:jc w:val="right"/>
              <w:rPr>
                <w:rFonts w:eastAsia="Times New Roman" w:cs="Arial"/>
                <w:color w:val="000000"/>
                <w:sz w:val="20"/>
                <w:szCs w:val="20"/>
                <w:lang w:eastAsia="fr-FR"/>
              </w:rPr>
            </w:pPr>
            <w:r w:rsidRPr="007767AF">
              <w:rPr>
                <w:rFonts w:eastAsia="Times New Roman" w:cs="Arial"/>
                <w:color w:val="000000"/>
                <w:sz w:val="20"/>
                <w:szCs w:val="20"/>
                <w:lang w:eastAsia="fr-FR"/>
              </w:rPr>
              <w:t>2 000</w:t>
            </w:r>
          </w:p>
        </w:tc>
        <w:tc>
          <w:tcPr>
            <w:tcW w:w="1315" w:type="dxa"/>
            <w:tcBorders>
              <w:top w:val="nil"/>
              <w:left w:val="nil"/>
              <w:bottom w:val="single" w:sz="4" w:space="0" w:color="auto"/>
              <w:right w:val="single" w:sz="4" w:space="0" w:color="auto"/>
            </w:tcBorders>
            <w:vAlign w:val="center"/>
            <w:hideMark/>
          </w:tcPr>
          <w:p w14:paraId="02AD52AB" w14:textId="77777777" w:rsidR="007A1CCA" w:rsidRPr="007767AF" w:rsidRDefault="007A1CCA" w:rsidP="00216772">
            <w:pPr>
              <w:spacing w:before="60" w:after="60"/>
              <w:jc w:val="right"/>
              <w:rPr>
                <w:rFonts w:eastAsia="Times New Roman" w:cs="Arial"/>
                <w:color w:val="000000"/>
                <w:sz w:val="20"/>
                <w:szCs w:val="20"/>
                <w:lang w:eastAsia="fr-FR"/>
              </w:rPr>
            </w:pPr>
            <w:r w:rsidRPr="007767AF">
              <w:rPr>
                <w:rFonts w:eastAsia="Times New Roman" w:cs="Arial"/>
                <w:color w:val="000000"/>
                <w:sz w:val="20"/>
                <w:szCs w:val="20"/>
                <w:lang w:eastAsia="fr-FR"/>
              </w:rPr>
              <w:t>14 000</w:t>
            </w:r>
          </w:p>
        </w:tc>
        <w:tc>
          <w:tcPr>
            <w:tcW w:w="1261" w:type="dxa"/>
            <w:tcBorders>
              <w:top w:val="nil"/>
              <w:left w:val="nil"/>
              <w:bottom w:val="single" w:sz="4" w:space="0" w:color="auto"/>
              <w:right w:val="single" w:sz="4" w:space="0" w:color="auto"/>
            </w:tcBorders>
            <w:vAlign w:val="center"/>
          </w:tcPr>
          <w:p w14:paraId="4E491C8C" w14:textId="77777777" w:rsidR="007A1CCA" w:rsidRPr="007767AF" w:rsidRDefault="007A1CCA" w:rsidP="00216772">
            <w:pPr>
              <w:spacing w:before="60" w:after="60"/>
              <w:jc w:val="right"/>
              <w:rPr>
                <w:rFonts w:eastAsia="Times New Roman" w:cs="Arial"/>
                <w:color w:val="000000"/>
                <w:sz w:val="20"/>
                <w:szCs w:val="20"/>
                <w:lang w:eastAsia="fr-FR"/>
              </w:rPr>
            </w:pPr>
          </w:p>
        </w:tc>
      </w:tr>
      <w:tr w:rsidR="007A1CCA" w:rsidRPr="001968DF" w14:paraId="710417A2" w14:textId="77777777" w:rsidTr="00216772">
        <w:tc>
          <w:tcPr>
            <w:tcW w:w="366" w:type="dxa"/>
            <w:tcBorders>
              <w:top w:val="single" w:sz="4" w:space="0" w:color="auto"/>
              <w:left w:val="single" w:sz="4" w:space="0" w:color="auto"/>
              <w:bottom w:val="single" w:sz="4" w:space="0" w:color="auto"/>
              <w:right w:val="nil"/>
            </w:tcBorders>
            <w:noWrap/>
            <w:hideMark/>
          </w:tcPr>
          <w:p w14:paraId="52640B89" w14:textId="77777777" w:rsidR="007A1CCA" w:rsidRPr="007767AF" w:rsidRDefault="007A1CCA" w:rsidP="00216772">
            <w:pPr>
              <w:spacing w:before="60" w:after="60"/>
              <w:jc w:val="center"/>
              <w:rPr>
                <w:rFonts w:eastAsia="Times New Roman" w:cs="Arial"/>
                <w:color w:val="000000"/>
                <w:sz w:val="20"/>
                <w:szCs w:val="20"/>
                <w:lang w:eastAsia="fr-FR"/>
              </w:rPr>
            </w:pPr>
            <w:r w:rsidRPr="007767AF">
              <w:rPr>
                <w:rFonts w:eastAsia="Times New Roman" w:cs="Arial"/>
                <w:color w:val="000000"/>
                <w:sz w:val="20"/>
                <w:szCs w:val="20"/>
                <w:lang w:eastAsia="fr-FR"/>
              </w:rPr>
              <w:t>6</w:t>
            </w:r>
          </w:p>
        </w:tc>
        <w:tc>
          <w:tcPr>
            <w:tcW w:w="4365" w:type="dxa"/>
            <w:tcBorders>
              <w:top w:val="nil"/>
              <w:left w:val="single" w:sz="4" w:space="0" w:color="auto"/>
              <w:bottom w:val="single" w:sz="4" w:space="0" w:color="auto"/>
              <w:right w:val="single" w:sz="4" w:space="0" w:color="auto"/>
            </w:tcBorders>
            <w:vAlign w:val="center"/>
            <w:hideMark/>
          </w:tcPr>
          <w:p w14:paraId="631B6D0B" w14:textId="77777777" w:rsidR="007A1CCA" w:rsidRPr="007767AF" w:rsidRDefault="007A1CCA" w:rsidP="00216772">
            <w:pPr>
              <w:spacing w:before="60" w:after="60"/>
              <w:rPr>
                <w:rFonts w:eastAsia="Times New Roman" w:cs="Arial"/>
                <w:color w:val="000000"/>
                <w:sz w:val="20"/>
                <w:szCs w:val="20"/>
                <w:lang w:eastAsia="fr-FR"/>
              </w:rPr>
            </w:pPr>
            <w:r w:rsidRPr="007767AF">
              <w:rPr>
                <w:rFonts w:eastAsia="Times New Roman" w:cs="Arial"/>
                <w:color w:val="000000"/>
                <w:sz w:val="20"/>
                <w:szCs w:val="20"/>
                <w:lang w:val="fr-ML" w:eastAsia="fr-FR"/>
              </w:rPr>
              <w:t>Mise en œuvre du CR</w:t>
            </w:r>
          </w:p>
        </w:tc>
        <w:tc>
          <w:tcPr>
            <w:tcW w:w="798" w:type="dxa"/>
            <w:tcBorders>
              <w:top w:val="nil"/>
              <w:left w:val="nil"/>
              <w:bottom w:val="single" w:sz="4" w:space="0" w:color="auto"/>
              <w:right w:val="single" w:sz="4" w:space="0" w:color="auto"/>
            </w:tcBorders>
            <w:vAlign w:val="center"/>
          </w:tcPr>
          <w:p w14:paraId="2E333CE1" w14:textId="77777777" w:rsidR="007A1CCA" w:rsidRPr="007767AF" w:rsidRDefault="007A1CCA" w:rsidP="00216772">
            <w:pPr>
              <w:spacing w:before="60" w:after="60"/>
              <w:jc w:val="right"/>
              <w:rPr>
                <w:rFonts w:eastAsia="Times New Roman" w:cs="Arial"/>
                <w:color w:val="000000"/>
                <w:sz w:val="20"/>
                <w:szCs w:val="20"/>
                <w:lang w:eastAsia="fr-FR"/>
              </w:rPr>
            </w:pPr>
          </w:p>
        </w:tc>
        <w:tc>
          <w:tcPr>
            <w:tcW w:w="1393" w:type="dxa"/>
            <w:tcBorders>
              <w:top w:val="nil"/>
              <w:left w:val="nil"/>
              <w:bottom w:val="single" w:sz="4" w:space="0" w:color="auto"/>
              <w:right w:val="single" w:sz="4" w:space="0" w:color="auto"/>
            </w:tcBorders>
            <w:vAlign w:val="center"/>
            <w:hideMark/>
          </w:tcPr>
          <w:p w14:paraId="7EB33D34" w14:textId="77777777" w:rsidR="007A1CCA" w:rsidRPr="007767AF" w:rsidRDefault="007A1CCA" w:rsidP="00216772">
            <w:pPr>
              <w:spacing w:before="60" w:after="60"/>
              <w:jc w:val="right"/>
              <w:rPr>
                <w:rFonts w:eastAsia="Times New Roman" w:cs="Arial"/>
                <w:color w:val="000000"/>
                <w:sz w:val="20"/>
                <w:szCs w:val="20"/>
                <w:lang w:eastAsia="fr-FR"/>
              </w:rPr>
            </w:pPr>
            <w:r w:rsidRPr="007767AF">
              <w:rPr>
                <w:rFonts w:eastAsia="Times New Roman" w:cs="Arial"/>
                <w:color w:val="000000"/>
                <w:sz w:val="20"/>
                <w:szCs w:val="20"/>
                <w:lang w:eastAsia="fr-FR"/>
              </w:rPr>
              <w:t>400</w:t>
            </w:r>
          </w:p>
        </w:tc>
        <w:tc>
          <w:tcPr>
            <w:tcW w:w="1315" w:type="dxa"/>
            <w:tcBorders>
              <w:top w:val="nil"/>
              <w:left w:val="nil"/>
              <w:bottom w:val="single" w:sz="4" w:space="0" w:color="auto"/>
              <w:right w:val="single" w:sz="4" w:space="0" w:color="auto"/>
            </w:tcBorders>
            <w:vAlign w:val="center"/>
            <w:hideMark/>
          </w:tcPr>
          <w:p w14:paraId="3D40004F" w14:textId="77777777" w:rsidR="007A1CCA" w:rsidRPr="007767AF" w:rsidRDefault="007A1CCA" w:rsidP="00216772">
            <w:pPr>
              <w:spacing w:before="60" w:after="60"/>
              <w:jc w:val="right"/>
              <w:rPr>
                <w:rFonts w:eastAsia="Times New Roman" w:cs="Arial"/>
                <w:color w:val="000000"/>
                <w:sz w:val="20"/>
                <w:szCs w:val="20"/>
                <w:lang w:eastAsia="fr-FR"/>
              </w:rPr>
            </w:pPr>
            <w:r w:rsidRPr="007767AF">
              <w:rPr>
                <w:rFonts w:eastAsia="Times New Roman" w:cs="Arial"/>
                <w:color w:val="000000"/>
                <w:sz w:val="20"/>
                <w:szCs w:val="20"/>
                <w:lang w:eastAsia="fr-FR"/>
              </w:rPr>
              <w:t>325 994</w:t>
            </w:r>
          </w:p>
        </w:tc>
        <w:tc>
          <w:tcPr>
            <w:tcW w:w="1261" w:type="dxa"/>
            <w:tcBorders>
              <w:top w:val="nil"/>
              <w:left w:val="nil"/>
              <w:bottom w:val="single" w:sz="4" w:space="0" w:color="auto"/>
              <w:right w:val="single" w:sz="4" w:space="0" w:color="auto"/>
            </w:tcBorders>
            <w:vAlign w:val="center"/>
            <w:hideMark/>
          </w:tcPr>
          <w:p w14:paraId="5B589976" w14:textId="77777777" w:rsidR="007A1CCA" w:rsidRPr="007767AF" w:rsidRDefault="007A1CCA" w:rsidP="00216772">
            <w:pPr>
              <w:spacing w:before="60" w:after="60"/>
              <w:jc w:val="right"/>
              <w:rPr>
                <w:rFonts w:eastAsia="Times New Roman" w:cs="Arial"/>
                <w:color w:val="000000"/>
                <w:sz w:val="20"/>
                <w:szCs w:val="20"/>
                <w:lang w:eastAsia="fr-FR"/>
              </w:rPr>
            </w:pPr>
            <w:r w:rsidRPr="007767AF">
              <w:rPr>
                <w:rFonts w:eastAsia="Times New Roman" w:cs="Arial"/>
                <w:color w:val="000000"/>
                <w:sz w:val="20"/>
                <w:szCs w:val="20"/>
                <w:lang w:eastAsia="fr-FR"/>
              </w:rPr>
              <w:t>271 975</w:t>
            </w:r>
          </w:p>
        </w:tc>
      </w:tr>
      <w:tr w:rsidR="007A1CCA" w:rsidRPr="001968DF" w14:paraId="4467C421" w14:textId="77777777" w:rsidTr="00216772">
        <w:tc>
          <w:tcPr>
            <w:tcW w:w="366" w:type="dxa"/>
            <w:tcBorders>
              <w:top w:val="single" w:sz="4" w:space="0" w:color="auto"/>
              <w:left w:val="single" w:sz="4" w:space="0" w:color="auto"/>
              <w:bottom w:val="single" w:sz="4" w:space="0" w:color="auto"/>
              <w:right w:val="nil"/>
            </w:tcBorders>
            <w:noWrap/>
            <w:hideMark/>
          </w:tcPr>
          <w:p w14:paraId="450BA4E7" w14:textId="77777777" w:rsidR="007A1CCA" w:rsidRPr="007767AF" w:rsidRDefault="007A1CCA" w:rsidP="00216772">
            <w:pPr>
              <w:spacing w:before="60" w:after="60"/>
              <w:jc w:val="center"/>
              <w:rPr>
                <w:rFonts w:eastAsia="Times New Roman" w:cs="Arial"/>
                <w:color w:val="000000"/>
                <w:sz w:val="20"/>
                <w:szCs w:val="20"/>
                <w:lang w:eastAsia="fr-FR"/>
              </w:rPr>
            </w:pPr>
            <w:r w:rsidRPr="007767AF">
              <w:rPr>
                <w:rFonts w:eastAsia="Times New Roman" w:cs="Arial"/>
                <w:color w:val="000000"/>
                <w:sz w:val="20"/>
                <w:szCs w:val="20"/>
                <w:lang w:eastAsia="fr-FR"/>
              </w:rPr>
              <w:t>7</w:t>
            </w:r>
          </w:p>
        </w:tc>
        <w:tc>
          <w:tcPr>
            <w:tcW w:w="4365" w:type="dxa"/>
            <w:tcBorders>
              <w:top w:val="nil"/>
              <w:left w:val="single" w:sz="4" w:space="0" w:color="auto"/>
              <w:bottom w:val="single" w:sz="4" w:space="0" w:color="auto"/>
              <w:right w:val="single" w:sz="4" w:space="0" w:color="auto"/>
            </w:tcBorders>
            <w:vAlign w:val="center"/>
            <w:hideMark/>
          </w:tcPr>
          <w:p w14:paraId="6AC1FFEB" w14:textId="54006073" w:rsidR="007A1CCA" w:rsidRPr="007767AF" w:rsidRDefault="007A1CCA" w:rsidP="00216772">
            <w:pPr>
              <w:spacing w:before="60" w:after="60"/>
              <w:rPr>
                <w:rFonts w:eastAsia="Times New Roman" w:cs="Arial"/>
                <w:color w:val="000000"/>
                <w:sz w:val="20"/>
                <w:szCs w:val="20"/>
                <w:lang w:eastAsia="fr-FR"/>
              </w:rPr>
            </w:pPr>
            <w:r w:rsidRPr="007767AF">
              <w:rPr>
                <w:rFonts w:eastAsia="Times New Roman" w:cs="Arial"/>
                <w:color w:val="000000"/>
                <w:sz w:val="20"/>
                <w:szCs w:val="20"/>
                <w:lang w:val="fr-ML" w:eastAsia="fr-FR"/>
              </w:rPr>
              <w:t xml:space="preserve">Mise en œuvre du Plan d’action </w:t>
            </w:r>
            <w:r w:rsidR="006F38A3">
              <w:rPr>
                <w:rFonts w:eastAsia="Times New Roman" w:cs="Arial"/>
                <w:color w:val="000000"/>
                <w:sz w:val="20"/>
                <w:szCs w:val="20"/>
                <w:lang w:val="fr-ML" w:eastAsia="fr-FR"/>
              </w:rPr>
              <w:t xml:space="preserve">EAS-HS </w:t>
            </w:r>
          </w:p>
        </w:tc>
        <w:tc>
          <w:tcPr>
            <w:tcW w:w="798" w:type="dxa"/>
            <w:tcBorders>
              <w:top w:val="nil"/>
              <w:left w:val="nil"/>
              <w:bottom w:val="single" w:sz="4" w:space="0" w:color="auto"/>
              <w:right w:val="single" w:sz="4" w:space="0" w:color="auto"/>
            </w:tcBorders>
            <w:vAlign w:val="center"/>
          </w:tcPr>
          <w:p w14:paraId="2F83B795" w14:textId="77777777" w:rsidR="007A1CCA" w:rsidRPr="007767AF" w:rsidRDefault="007A1CCA" w:rsidP="00216772">
            <w:pPr>
              <w:spacing w:before="60" w:after="60"/>
              <w:jc w:val="right"/>
              <w:rPr>
                <w:rFonts w:eastAsia="Times New Roman" w:cs="Arial"/>
                <w:color w:val="000000"/>
                <w:sz w:val="20"/>
                <w:szCs w:val="20"/>
                <w:lang w:eastAsia="fr-FR"/>
              </w:rPr>
            </w:pPr>
          </w:p>
        </w:tc>
        <w:tc>
          <w:tcPr>
            <w:tcW w:w="1393" w:type="dxa"/>
            <w:tcBorders>
              <w:top w:val="nil"/>
              <w:left w:val="nil"/>
              <w:bottom w:val="single" w:sz="4" w:space="0" w:color="auto"/>
              <w:right w:val="single" w:sz="4" w:space="0" w:color="auto"/>
            </w:tcBorders>
            <w:vAlign w:val="center"/>
            <w:hideMark/>
          </w:tcPr>
          <w:p w14:paraId="6B26A778" w14:textId="77777777" w:rsidR="007A1CCA" w:rsidRPr="007767AF" w:rsidRDefault="007A1CCA" w:rsidP="00216772">
            <w:pPr>
              <w:spacing w:before="60" w:after="60"/>
              <w:jc w:val="right"/>
              <w:rPr>
                <w:rFonts w:eastAsia="Times New Roman" w:cs="Arial"/>
                <w:color w:val="000000"/>
                <w:sz w:val="20"/>
                <w:szCs w:val="20"/>
                <w:lang w:eastAsia="fr-FR"/>
              </w:rPr>
            </w:pPr>
            <w:r w:rsidRPr="007767AF">
              <w:rPr>
                <w:rFonts w:eastAsia="Times New Roman" w:cs="Arial"/>
                <w:color w:val="000000"/>
                <w:sz w:val="20"/>
                <w:szCs w:val="20"/>
                <w:lang w:val="en-GB" w:eastAsia="fr-FR"/>
              </w:rPr>
              <w:t>47 000</w:t>
            </w:r>
          </w:p>
        </w:tc>
        <w:tc>
          <w:tcPr>
            <w:tcW w:w="1315" w:type="dxa"/>
            <w:tcBorders>
              <w:top w:val="nil"/>
              <w:left w:val="nil"/>
              <w:bottom w:val="single" w:sz="4" w:space="0" w:color="auto"/>
              <w:right w:val="single" w:sz="4" w:space="0" w:color="auto"/>
            </w:tcBorders>
            <w:vAlign w:val="center"/>
            <w:hideMark/>
          </w:tcPr>
          <w:p w14:paraId="44F3865A" w14:textId="77777777" w:rsidR="007A1CCA" w:rsidRPr="007767AF" w:rsidRDefault="007A1CCA" w:rsidP="00216772">
            <w:pPr>
              <w:spacing w:before="60" w:after="60"/>
              <w:jc w:val="right"/>
              <w:rPr>
                <w:rFonts w:eastAsia="Times New Roman" w:cs="Arial"/>
                <w:color w:val="000000"/>
                <w:sz w:val="20"/>
                <w:szCs w:val="20"/>
                <w:lang w:eastAsia="fr-FR"/>
              </w:rPr>
            </w:pPr>
            <w:r w:rsidRPr="007767AF">
              <w:rPr>
                <w:rFonts w:eastAsia="Times New Roman" w:cs="Arial"/>
                <w:color w:val="000000"/>
                <w:sz w:val="20"/>
                <w:szCs w:val="20"/>
                <w:lang w:eastAsia="fr-FR"/>
              </w:rPr>
              <w:t>47 000</w:t>
            </w:r>
          </w:p>
        </w:tc>
        <w:tc>
          <w:tcPr>
            <w:tcW w:w="1261" w:type="dxa"/>
            <w:tcBorders>
              <w:top w:val="nil"/>
              <w:left w:val="nil"/>
              <w:bottom w:val="single" w:sz="4" w:space="0" w:color="auto"/>
              <w:right w:val="single" w:sz="4" w:space="0" w:color="auto"/>
            </w:tcBorders>
            <w:vAlign w:val="center"/>
            <w:hideMark/>
          </w:tcPr>
          <w:p w14:paraId="4D7609EE" w14:textId="77777777" w:rsidR="007A1CCA" w:rsidRPr="007767AF" w:rsidRDefault="007A1CCA" w:rsidP="00216772">
            <w:pPr>
              <w:spacing w:before="60" w:after="60"/>
              <w:jc w:val="right"/>
              <w:rPr>
                <w:rFonts w:eastAsia="Times New Roman" w:cs="Arial"/>
                <w:color w:val="000000"/>
                <w:sz w:val="20"/>
                <w:szCs w:val="20"/>
                <w:lang w:eastAsia="fr-FR"/>
              </w:rPr>
            </w:pPr>
          </w:p>
        </w:tc>
      </w:tr>
      <w:tr w:rsidR="007A1CCA" w:rsidRPr="001968DF" w14:paraId="3DDBB7E6" w14:textId="77777777" w:rsidTr="00216772">
        <w:tc>
          <w:tcPr>
            <w:tcW w:w="366" w:type="dxa"/>
            <w:tcBorders>
              <w:top w:val="single" w:sz="4" w:space="0" w:color="auto"/>
              <w:left w:val="single" w:sz="4" w:space="0" w:color="auto"/>
              <w:bottom w:val="single" w:sz="4" w:space="0" w:color="auto"/>
              <w:right w:val="nil"/>
            </w:tcBorders>
            <w:noWrap/>
            <w:hideMark/>
          </w:tcPr>
          <w:p w14:paraId="5BDC0991" w14:textId="77777777" w:rsidR="007A1CCA" w:rsidRPr="007767AF" w:rsidRDefault="007A1CCA" w:rsidP="00216772">
            <w:pPr>
              <w:spacing w:before="60" w:after="60"/>
              <w:jc w:val="center"/>
              <w:rPr>
                <w:rFonts w:eastAsia="Times New Roman" w:cs="Arial"/>
                <w:color w:val="000000"/>
                <w:sz w:val="20"/>
                <w:szCs w:val="20"/>
                <w:lang w:eastAsia="fr-FR"/>
              </w:rPr>
            </w:pPr>
            <w:r w:rsidRPr="007767AF">
              <w:rPr>
                <w:rFonts w:eastAsia="Times New Roman" w:cs="Arial"/>
                <w:color w:val="000000"/>
                <w:sz w:val="20"/>
                <w:szCs w:val="20"/>
                <w:lang w:eastAsia="fr-FR"/>
              </w:rPr>
              <w:t>8</w:t>
            </w:r>
          </w:p>
        </w:tc>
        <w:tc>
          <w:tcPr>
            <w:tcW w:w="4365" w:type="dxa"/>
            <w:tcBorders>
              <w:top w:val="nil"/>
              <w:left w:val="single" w:sz="4" w:space="0" w:color="auto"/>
              <w:bottom w:val="single" w:sz="4" w:space="0" w:color="auto"/>
              <w:right w:val="single" w:sz="4" w:space="0" w:color="auto"/>
            </w:tcBorders>
            <w:vAlign w:val="center"/>
            <w:hideMark/>
          </w:tcPr>
          <w:p w14:paraId="2367E8E1" w14:textId="77777777" w:rsidR="007A1CCA" w:rsidRPr="007767AF" w:rsidRDefault="007A1CCA" w:rsidP="00216772">
            <w:pPr>
              <w:spacing w:before="60" w:after="60"/>
              <w:rPr>
                <w:rFonts w:eastAsia="Times New Roman" w:cs="Arial"/>
                <w:color w:val="000000"/>
                <w:sz w:val="20"/>
                <w:szCs w:val="20"/>
                <w:lang w:eastAsia="fr-FR"/>
              </w:rPr>
            </w:pPr>
            <w:r w:rsidRPr="007767AF">
              <w:rPr>
                <w:rFonts w:eastAsia="Times New Roman" w:cs="Arial"/>
                <w:color w:val="000000"/>
                <w:sz w:val="20"/>
                <w:szCs w:val="20"/>
                <w:lang w:eastAsia="fr-FR"/>
              </w:rPr>
              <w:t>Mise en œuvre du Plan d'actions "Genre"</w:t>
            </w:r>
          </w:p>
        </w:tc>
        <w:tc>
          <w:tcPr>
            <w:tcW w:w="798" w:type="dxa"/>
            <w:tcBorders>
              <w:top w:val="nil"/>
              <w:left w:val="nil"/>
              <w:bottom w:val="single" w:sz="4" w:space="0" w:color="auto"/>
              <w:right w:val="single" w:sz="4" w:space="0" w:color="auto"/>
            </w:tcBorders>
            <w:vAlign w:val="center"/>
          </w:tcPr>
          <w:p w14:paraId="645DB41C" w14:textId="77777777" w:rsidR="007A1CCA" w:rsidRPr="007767AF" w:rsidRDefault="007A1CCA" w:rsidP="00216772">
            <w:pPr>
              <w:spacing w:before="60" w:after="60"/>
              <w:jc w:val="right"/>
              <w:rPr>
                <w:rFonts w:eastAsia="Times New Roman" w:cs="Arial"/>
                <w:color w:val="000000"/>
                <w:sz w:val="20"/>
                <w:szCs w:val="20"/>
                <w:lang w:eastAsia="fr-FR"/>
              </w:rPr>
            </w:pPr>
          </w:p>
        </w:tc>
        <w:tc>
          <w:tcPr>
            <w:tcW w:w="1393" w:type="dxa"/>
            <w:tcBorders>
              <w:top w:val="nil"/>
              <w:left w:val="nil"/>
              <w:bottom w:val="single" w:sz="4" w:space="0" w:color="auto"/>
              <w:right w:val="single" w:sz="4" w:space="0" w:color="auto"/>
            </w:tcBorders>
            <w:vAlign w:val="center"/>
            <w:hideMark/>
          </w:tcPr>
          <w:p w14:paraId="79D39519" w14:textId="77777777" w:rsidR="007A1CCA" w:rsidRPr="007767AF" w:rsidRDefault="007A1CCA" w:rsidP="00216772">
            <w:pPr>
              <w:spacing w:before="60" w:after="60"/>
              <w:jc w:val="right"/>
              <w:rPr>
                <w:rFonts w:eastAsia="Times New Roman" w:cs="Arial"/>
                <w:color w:val="000000"/>
                <w:sz w:val="20"/>
                <w:szCs w:val="20"/>
                <w:lang w:eastAsia="fr-FR"/>
              </w:rPr>
            </w:pPr>
            <w:r w:rsidRPr="007767AF">
              <w:rPr>
                <w:rFonts w:eastAsia="Times New Roman" w:cs="Arial"/>
                <w:color w:val="000000"/>
                <w:sz w:val="20"/>
                <w:szCs w:val="20"/>
                <w:lang w:eastAsia="fr-FR"/>
              </w:rPr>
              <w:t>145 000</w:t>
            </w:r>
          </w:p>
        </w:tc>
        <w:tc>
          <w:tcPr>
            <w:tcW w:w="1315" w:type="dxa"/>
            <w:tcBorders>
              <w:top w:val="nil"/>
              <w:left w:val="nil"/>
              <w:bottom w:val="single" w:sz="4" w:space="0" w:color="auto"/>
              <w:right w:val="single" w:sz="4" w:space="0" w:color="auto"/>
            </w:tcBorders>
            <w:vAlign w:val="center"/>
            <w:hideMark/>
          </w:tcPr>
          <w:p w14:paraId="450BD4BF" w14:textId="77777777" w:rsidR="007A1CCA" w:rsidRPr="007767AF" w:rsidRDefault="007A1CCA" w:rsidP="00216772">
            <w:pPr>
              <w:spacing w:before="60" w:after="60"/>
              <w:jc w:val="right"/>
              <w:rPr>
                <w:rFonts w:eastAsia="Times New Roman" w:cs="Arial"/>
                <w:color w:val="000000"/>
                <w:sz w:val="20"/>
                <w:szCs w:val="20"/>
                <w:lang w:eastAsia="fr-FR"/>
              </w:rPr>
            </w:pPr>
            <w:r w:rsidRPr="007767AF">
              <w:rPr>
                <w:rFonts w:eastAsia="Times New Roman" w:cs="Arial"/>
                <w:color w:val="000000"/>
                <w:sz w:val="20"/>
                <w:szCs w:val="20"/>
                <w:lang w:eastAsia="fr-FR"/>
              </w:rPr>
              <w:t>145 000</w:t>
            </w:r>
          </w:p>
        </w:tc>
        <w:tc>
          <w:tcPr>
            <w:tcW w:w="1261" w:type="dxa"/>
            <w:tcBorders>
              <w:top w:val="nil"/>
              <w:left w:val="nil"/>
              <w:bottom w:val="single" w:sz="4" w:space="0" w:color="auto"/>
              <w:right w:val="single" w:sz="4" w:space="0" w:color="auto"/>
            </w:tcBorders>
            <w:vAlign w:val="center"/>
            <w:hideMark/>
          </w:tcPr>
          <w:p w14:paraId="71ED762E" w14:textId="77777777" w:rsidR="007A1CCA" w:rsidRPr="007767AF" w:rsidRDefault="007A1CCA" w:rsidP="00216772">
            <w:pPr>
              <w:spacing w:before="60" w:after="60"/>
              <w:jc w:val="right"/>
              <w:rPr>
                <w:rFonts w:eastAsia="Times New Roman" w:cs="Arial"/>
                <w:color w:val="000000"/>
                <w:sz w:val="20"/>
                <w:szCs w:val="20"/>
                <w:lang w:eastAsia="fr-FR"/>
              </w:rPr>
            </w:pPr>
          </w:p>
        </w:tc>
      </w:tr>
      <w:tr w:rsidR="007A1CCA" w:rsidRPr="001968DF" w14:paraId="131D228C" w14:textId="77777777" w:rsidTr="00216772">
        <w:tc>
          <w:tcPr>
            <w:tcW w:w="366" w:type="dxa"/>
            <w:tcBorders>
              <w:top w:val="single" w:sz="4" w:space="0" w:color="auto"/>
              <w:left w:val="single" w:sz="4" w:space="0" w:color="auto"/>
              <w:bottom w:val="single" w:sz="4" w:space="0" w:color="auto"/>
              <w:right w:val="nil"/>
            </w:tcBorders>
            <w:noWrap/>
            <w:hideMark/>
          </w:tcPr>
          <w:p w14:paraId="312ACFB1" w14:textId="77777777" w:rsidR="007A1CCA" w:rsidRPr="007767AF" w:rsidRDefault="007A1CCA" w:rsidP="00216772">
            <w:pPr>
              <w:spacing w:before="60" w:after="60"/>
              <w:jc w:val="center"/>
              <w:rPr>
                <w:rFonts w:eastAsia="Times New Roman" w:cs="Arial"/>
                <w:color w:val="000000"/>
                <w:sz w:val="20"/>
                <w:szCs w:val="20"/>
                <w:lang w:eastAsia="fr-FR"/>
              </w:rPr>
            </w:pPr>
            <w:r w:rsidRPr="007767AF">
              <w:rPr>
                <w:rFonts w:eastAsia="Times New Roman" w:cs="Arial"/>
                <w:color w:val="000000"/>
                <w:sz w:val="20"/>
                <w:szCs w:val="20"/>
                <w:lang w:eastAsia="fr-FR"/>
              </w:rPr>
              <w:t>9</w:t>
            </w:r>
          </w:p>
        </w:tc>
        <w:tc>
          <w:tcPr>
            <w:tcW w:w="4365" w:type="dxa"/>
            <w:tcBorders>
              <w:top w:val="nil"/>
              <w:left w:val="single" w:sz="4" w:space="0" w:color="auto"/>
              <w:bottom w:val="nil"/>
              <w:right w:val="single" w:sz="4" w:space="0" w:color="auto"/>
            </w:tcBorders>
            <w:vAlign w:val="center"/>
            <w:hideMark/>
          </w:tcPr>
          <w:p w14:paraId="526E8AAC" w14:textId="77777777" w:rsidR="007A1CCA" w:rsidRPr="007767AF" w:rsidRDefault="007A1CCA" w:rsidP="00216772">
            <w:pPr>
              <w:spacing w:before="60" w:after="60"/>
              <w:rPr>
                <w:rFonts w:eastAsia="Times New Roman" w:cs="Arial"/>
                <w:color w:val="000000"/>
                <w:sz w:val="20"/>
                <w:szCs w:val="20"/>
                <w:lang w:eastAsia="fr-FR"/>
              </w:rPr>
            </w:pPr>
            <w:r w:rsidRPr="007767AF">
              <w:rPr>
                <w:rFonts w:eastAsia="Times New Roman" w:cs="Arial"/>
                <w:color w:val="000000"/>
                <w:sz w:val="20"/>
                <w:szCs w:val="20"/>
                <w:lang w:val="fr-ML" w:eastAsia="fr-FR"/>
              </w:rPr>
              <w:t>Imprévus</w:t>
            </w:r>
          </w:p>
        </w:tc>
        <w:tc>
          <w:tcPr>
            <w:tcW w:w="798" w:type="dxa"/>
            <w:tcBorders>
              <w:top w:val="nil"/>
              <w:left w:val="nil"/>
              <w:bottom w:val="nil"/>
              <w:right w:val="single" w:sz="4" w:space="0" w:color="auto"/>
            </w:tcBorders>
            <w:vAlign w:val="center"/>
          </w:tcPr>
          <w:p w14:paraId="75CACC5C" w14:textId="77777777" w:rsidR="007A1CCA" w:rsidRPr="007767AF" w:rsidRDefault="007A1CCA" w:rsidP="00216772">
            <w:pPr>
              <w:spacing w:before="60" w:after="60"/>
              <w:jc w:val="right"/>
              <w:rPr>
                <w:rFonts w:eastAsia="Times New Roman" w:cs="Arial"/>
                <w:color w:val="000000"/>
                <w:sz w:val="20"/>
                <w:szCs w:val="20"/>
                <w:lang w:eastAsia="fr-FR"/>
              </w:rPr>
            </w:pPr>
          </w:p>
        </w:tc>
        <w:tc>
          <w:tcPr>
            <w:tcW w:w="1393" w:type="dxa"/>
            <w:tcBorders>
              <w:top w:val="nil"/>
              <w:left w:val="nil"/>
              <w:bottom w:val="single" w:sz="4" w:space="0" w:color="auto"/>
              <w:right w:val="single" w:sz="4" w:space="0" w:color="auto"/>
            </w:tcBorders>
            <w:vAlign w:val="center"/>
            <w:hideMark/>
          </w:tcPr>
          <w:p w14:paraId="000EEA80" w14:textId="77777777" w:rsidR="007A1CCA" w:rsidRPr="007767AF" w:rsidRDefault="007A1CCA" w:rsidP="00216772">
            <w:pPr>
              <w:spacing w:before="60" w:after="60"/>
              <w:jc w:val="right"/>
              <w:rPr>
                <w:rFonts w:eastAsia="Times New Roman" w:cs="Arial"/>
                <w:color w:val="000000"/>
                <w:sz w:val="20"/>
                <w:szCs w:val="20"/>
                <w:lang w:eastAsia="fr-FR"/>
              </w:rPr>
            </w:pPr>
          </w:p>
        </w:tc>
        <w:tc>
          <w:tcPr>
            <w:tcW w:w="1315" w:type="dxa"/>
            <w:tcBorders>
              <w:top w:val="nil"/>
              <w:left w:val="nil"/>
              <w:bottom w:val="single" w:sz="4" w:space="0" w:color="auto"/>
              <w:right w:val="single" w:sz="4" w:space="0" w:color="auto"/>
            </w:tcBorders>
            <w:vAlign w:val="center"/>
            <w:hideMark/>
          </w:tcPr>
          <w:p w14:paraId="5746D464" w14:textId="77777777" w:rsidR="007A1CCA" w:rsidRPr="007767AF" w:rsidRDefault="007A1CCA" w:rsidP="00216772">
            <w:pPr>
              <w:spacing w:before="60" w:after="60"/>
              <w:jc w:val="right"/>
              <w:rPr>
                <w:rFonts w:eastAsia="Times New Roman" w:cs="Arial"/>
                <w:color w:val="000000"/>
                <w:sz w:val="20"/>
                <w:szCs w:val="20"/>
                <w:lang w:eastAsia="fr-FR"/>
              </w:rPr>
            </w:pPr>
            <w:r w:rsidRPr="007767AF">
              <w:rPr>
                <w:rFonts w:eastAsia="Times New Roman" w:cs="Arial"/>
                <w:color w:val="000000"/>
                <w:sz w:val="20"/>
                <w:szCs w:val="20"/>
                <w:lang w:eastAsia="fr-FR"/>
              </w:rPr>
              <w:t>46 300</w:t>
            </w:r>
          </w:p>
        </w:tc>
        <w:tc>
          <w:tcPr>
            <w:tcW w:w="1261" w:type="dxa"/>
            <w:tcBorders>
              <w:top w:val="nil"/>
              <w:left w:val="nil"/>
              <w:bottom w:val="single" w:sz="4" w:space="0" w:color="auto"/>
              <w:right w:val="single" w:sz="4" w:space="0" w:color="auto"/>
            </w:tcBorders>
            <w:vAlign w:val="center"/>
            <w:hideMark/>
          </w:tcPr>
          <w:p w14:paraId="534EDA64" w14:textId="77777777" w:rsidR="007A1CCA" w:rsidRPr="007767AF" w:rsidRDefault="007A1CCA" w:rsidP="00216772">
            <w:pPr>
              <w:spacing w:before="60" w:after="60"/>
              <w:jc w:val="right"/>
              <w:rPr>
                <w:rFonts w:eastAsia="Times New Roman" w:cs="Arial"/>
                <w:color w:val="000000"/>
                <w:sz w:val="20"/>
                <w:szCs w:val="20"/>
                <w:lang w:eastAsia="fr-FR"/>
              </w:rPr>
            </w:pPr>
          </w:p>
        </w:tc>
      </w:tr>
      <w:tr w:rsidR="007A1CCA" w:rsidRPr="001968DF" w14:paraId="0EE4E2DE" w14:textId="77777777" w:rsidTr="00216772">
        <w:tc>
          <w:tcPr>
            <w:tcW w:w="366" w:type="dxa"/>
            <w:tcBorders>
              <w:top w:val="single" w:sz="4" w:space="0" w:color="auto"/>
              <w:left w:val="single" w:sz="4" w:space="0" w:color="auto"/>
              <w:bottom w:val="single" w:sz="4" w:space="0" w:color="auto"/>
              <w:right w:val="nil"/>
            </w:tcBorders>
            <w:shd w:val="clear" w:color="auto" w:fill="BDF9FF"/>
            <w:noWrap/>
            <w:hideMark/>
          </w:tcPr>
          <w:p w14:paraId="5FC2FDC5" w14:textId="77777777" w:rsidR="007A1CCA" w:rsidRPr="007767AF" w:rsidRDefault="007A1CCA" w:rsidP="00216772">
            <w:pPr>
              <w:spacing w:before="60" w:after="60"/>
              <w:jc w:val="center"/>
              <w:rPr>
                <w:rFonts w:eastAsia="Times New Roman" w:cs="Arial"/>
                <w:color w:val="000000"/>
                <w:sz w:val="20"/>
                <w:szCs w:val="20"/>
                <w:lang w:eastAsia="fr-FR"/>
              </w:rPr>
            </w:pPr>
            <w:r w:rsidRPr="007767AF">
              <w:rPr>
                <w:rFonts w:eastAsia="Times New Roman" w:cs="Arial"/>
                <w:color w:val="000000"/>
                <w:sz w:val="20"/>
                <w:szCs w:val="20"/>
                <w:lang w:eastAsia="fr-FR"/>
              </w:rPr>
              <w:t>10</w:t>
            </w:r>
          </w:p>
        </w:tc>
        <w:tc>
          <w:tcPr>
            <w:tcW w:w="4365" w:type="dxa"/>
            <w:tcBorders>
              <w:top w:val="single" w:sz="4" w:space="0" w:color="auto"/>
              <w:left w:val="single" w:sz="4" w:space="0" w:color="auto"/>
              <w:bottom w:val="single" w:sz="4" w:space="0" w:color="auto"/>
              <w:right w:val="nil"/>
            </w:tcBorders>
            <w:shd w:val="clear" w:color="auto" w:fill="BDF9FF"/>
            <w:vAlign w:val="center"/>
            <w:hideMark/>
          </w:tcPr>
          <w:p w14:paraId="568E4F26" w14:textId="77777777" w:rsidR="007A1CCA" w:rsidRPr="007767AF" w:rsidRDefault="007A1CCA" w:rsidP="00216772">
            <w:pPr>
              <w:spacing w:before="60" w:after="60"/>
              <w:jc w:val="left"/>
              <w:rPr>
                <w:rFonts w:eastAsia="Times New Roman" w:cs="Arial"/>
                <w:b/>
                <w:bCs/>
                <w:color w:val="000000"/>
                <w:sz w:val="20"/>
                <w:szCs w:val="20"/>
                <w:lang w:eastAsia="fr-FR"/>
              </w:rPr>
            </w:pPr>
            <w:r w:rsidRPr="007767AF">
              <w:rPr>
                <w:rFonts w:eastAsia="Times New Roman" w:cs="Arial"/>
                <w:b/>
                <w:bCs/>
                <w:color w:val="000000"/>
                <w:sz w:val="20"/>
                <w:szCs w:val="20"/>
                <w:lang w:val="fr-ML" w:eastAsia="fr-FR"/>
              </w:rPr>
              <w:t xml:space="preserve">TOTAL GENERAL : </w:t>
            </w:r>
          </w:p>
        </w:tc>
        <w:tc>
          <w:tcPr>
            <w:tcW w:w="798" w:type="dxa"/>
            <w:tcBorders>
              <w:top w:val="single" w:sz="4" w:space="0" w:color="auto"/>
              <w:left w:val="nil"/>
              <w:bottom w:val="single" w:sz="4" w:space="0" w:color="auto"/>
              <w:right w:val="single" w:sz="4" w:space="0" w:color="auto"/>
            </w:tcBorders>
            <w:shd w:val="clear" w:color="auto" w:fill="BDF9FF"/>
            <w:vAlign w:val="center"/>
            <w:hideMark/>
          </w:tcPr>
          <w:p w14:paraId="2C7F43D1" w14:textId="77777777" w:rsidR="007A1CCA" w:rsidRPr="007767AF" w:rsidRDefault="007A1CCA" w:rsidP="00216772">
            <w:pPr>
              <w:spacing w:before="60" w:after="60"/>
              <w:jc w:val="left"/>
              <w:rPr>
                <w:rFonts w:eastAsia="Times New Roman" w:cs="Arial"/>
                <w:b/>
                <w:bCs/>
                <w:color w:val="000000"/>
                <w:sz w:val="20"/>
                <w:szCs w:val="20"/>
                <w:lang w:eastAsia="fr-FR"/>
              </w:rPr>
            </w:pPr>
          </w:p>
        </w:tc>
        <w:tc>
          <w:tcPr>
            <w:tcW w:w="1393" w:type="dxa"/>
            <w:tcBorders>
              <w:top w:val="nil"/>
              <w:left w:val="nil"/>
              <w:bottom w:val="single" w:sz="4" w:space="0" w:color="auto"/>
              <w:right w:val="single" w:sz="4" w:space="0" w:color="auto"/>
            </w:tcBorders>
            <w:shd w:val="clear" w:color="auto" w:fill="BDF9FF"/>
            <w:vAlign w:val="center"/>
            <w:hideMark/>
          </w:tcPr>
          <w:p w14:paraId="295968B1" w14:textId="77777777" w:rsidR="007A1CCA" w:rsidRPr="007767AF" w:rsidRDefault="007A1CCA" w:rsidP="00216772">
            <w:pPr>
              <w:spacing w:before="60" w:after="60"/>
              <w:jc w:val="right"/>
              <w:rPr>
                <w:rFonts w:eastAsia="Times New Roman" w:cs="Arial"/>
                <w:b/>
                <w:bCs/>
                <w:color w:val="000000"/>
                <w:sz w:val="20"/>
                <w:szCs w:val="20"/>
                <w:lang w:eastAsia="fr-FR"/>
              </w:rPr>
            </w:pPr>
            <w:r w:rsidRPr="007767AF">
              <w:rPr>
                <w:rFonts w:eastAsia="Times New Roman" w:cs="Arial"/>
                <w:b/>
                <w:bCs/>
                <w:color w:val="000000"/>
                <w:sz w:val="20"/>
                <w:szCs w:val="20"/>
                <w:lang w:eastAsia="fr-FR"/>
              </w:rPr>
              <w:t>1 244 269</w:t>
            </w:r>
          </w:p>
        </w:tc>
        <w:tc>
          <w:tcPr>
            <w:tcW w:w="1315" w:type="dxa"/>
            <w:tcBorders>
              <w:top w:val="nil"/>
              <w:left w:val="nil"/>
              <w:bottom w:val="single" w:sz="4" w:space="0" w:color="auto"/>
              <w:right w:val="single" w:sz="4" w:space="0" w:color="auto"/>
            </w:tcBorders>
            <w:shd w:val="clear" w:color="auto" w:fill="BDF9FF"/>
            <w:vAlign w:val="center"/>
            <w:hideMark/>
          </w:tcPr>
          <w:p w14:paraId="661217E1" w14:textId="77777777" w:rsidR="007A1CCA" w:rsidRPr="007767AF" w:rsidRDefault="007A1CCA" w:rsidP="00216772">
            <w:pPr>
              <w:spacing w:before="60" w:after="60"/>
              <w:jc w:val="right"/>
              <w:rPr>
                <w:rFonts w:eastAsia="Times New Roman" w:cs="Arial"/>
                <w:b/>
                <w:bCs/>
                <w:color w:val="000000"/>
                <w:sz w:val="20"/>
                <w:szCs w:val="20"/>
                <w:lang w:eastAsia="fr-FR"/>
              </w:rPr>
            </w:pPr>
            <w:r w:rsidRPr="007767AF">
              <w:rPr>
                <w:rFonts w:eastAsia="Times New Roman" w:cs="Arial"/>
                <w:b/>
                <w:bCs/>
                <w:color w:val="000000"/>
                <w:sz w:val="20"/>
                <w:szCs w:val="20"/>
                <w:lang w:eastAsia="fr-FR"/>
              </w:rPr>
              <w:t>972 294</w:t>
            </w:r>
          </w:p>
        </w:tc>
        <w:tc>
          <w:tcPr>
            <w:tcW w:w="1261" w:type="dxa"/>
            <w:tcBorders>
              <w:top w:val="nil"/>
              <w:left w:val="nil"/>
              <w:bottom w:val="single" w:sz="4" w:space="0" w:color="auto"/>
              <w:right w:val="single" w:sz="4" w:space="0" w:color="auto"/>
            </w:tcBorders>
            <w:shd w:val="clear" w:color="auto" w:fill="BDF9FF"/>
            <w:vAlign w:val="center"/>
            <w:hideMark/>
          </w:tcPr>
          <w:p w14:paraId="5F2AFAD0" w14:textId="77777777" w:rsidR="007A1CCA" w:rsidRPr="007767AF" w:rsidRDefault="007A1CCA" w:rsidP="00216772">
            <w:pPr>
              <w:spacing w:before="60" w:after="60"/>
              <w:jc w:val="right"/>
              <w:rPr>
                <w:rFonts w:eastAsia="Times New Roman" w:cs="Arial"/>
                <w:b/>
                <w:bCs/>
                <w:color w:val="000000"/>
                <w:sz w:val="20"/>
                <w:szCs w:val="20"/>
                <w:lang w:eastAsia="fr-FR"/>
              </w:rPr>
            </w:pPr>
            <w:r w:rsidRPr="007767AF">
              <w:rPr>
                <w:rFonts w:eastAsia="Times New Roman" w:cs="Arial"/>
                <w:b/>
                <w:bCs/>
                <w:color w:val="000000"/>
                <w:sz w:val="20"/>
                <w:szCs w:val="20"/>
                <w:lang w:eastAsia="fr-FR"/>
              </w:rPr>
              <w:t>271 975</w:t>
            </w:r>
          </w:p>
        </w:tc>
      </w:tr>
    </w:tbl>
    <w:p w14:paraId="77F7CA01" w14:textId="77777777" w:rsidR="00575CDF" w:rsidRPr="00C801A6" w:rsidRDefault="00575CDF" w:rsidP="00575CDF">
      <w:pPr>
        <w:spacing w:line="259" w:lineRule="auto"/>
        <w:jc w:val="left"/>
        <w:rPr>
          <w:color w:val="auto"/>
        </w:rPr>
      </w:pPr>
      <w:r w:rsidRPr="00C801A6">
        <w:rPr>
          <w:color w:val="auto"/>
        </w:rPr>
        <w:br w:type="page"/>
      </w:r>
    </w:p>
    <w:p w14:paraId="780D8963" w14:textId="5214A4FE" w:rsidR="00575CDF" w:rsidRPr="00C801A6" w:rsidRDefault="00646511" w:rsidP="00014BC0">
      <w:pPr>
        <w:pStyle w:val="Heading1"/>
      </w:pPr>
      <w:bookmarkStart w:id="867" w:name="_Toc106320450"/>
      <w:bookmarkStart w:id="868" w:name="_Toc230426103"/>
      <w:r w:rsidRPr="00C801A6">
        <w:lastRenderedPageBreak/>
        <w:t>CONCLUSIONS GENERALES</w:t>
      </w:r>
      <w:bookmarkEnd w:id="867"/>
      <w:bookmarkEnd w:id="868"/>
    </w:p>
    <w:p w14:paraId="3BF8F303" w14:textId="17849F7C" w:rsidR="007A1CCA" w:rsidRDefault="007A1CCA" w:rsidP="007A1CCA">
      <w:r>
        <w:t>Dans son Mémorandum économique de Madagascar publié en 2020, la Banque reconnaît que l’accélération de la réalisation des projets d’infrastructures est nécessaire à l’amélioration de la connectivité et du cadre des affaires. Le présent Projet Connecter Madagascar pour une Croissance Inclusive (PCMCI) rentre dans cet objectif.</w:t>
      </w:r>
    </w:p>
    <w:p w14:paraId="588F9C9F" w14:textId="3886D42C" w:rsidR="007A1CCA" w:rsidRDefault="007A1CCA" w:rsidP="007A1CCA">
      <w:r>
        <w:t>Sa préparation et sa mise en œuvre nécessitent, entre autres, la préparation et l’implémentation d’un Cadre de gestion environnementale et sociale (CGES)</w:t>
      </w:r>
    </w:p>
    <w:p w14:paraId="265303E2" w14:textId="7B97F1BB" w:rsidR="003E4426" w:rsidRPr="00C801A6" w:rsidRDefault="008010B1" w:rsidP="003E4426">
      <w:pPr>
        <w:rPr>
          <w:color w:val="auto"/>
        </w:rPr>
      </w:pPr>
      <w:r w:rsidRPr="00C801A6">
        <w:rPr>
          <w:color w:val="auto"/>
        </w:rPr>
        <w:t>Etant donné que l</w:t>
      </w:r>
      <w:r w:rsidR="003E4426" w:rsidRPr="00C801A6">
        <w:rPr>
          <w:color w:val="auto"/>
        </w:rPr>
        <w:t>es routes</w:t>
      </w:r>
      <w:r w:rsidR="007A1CCA">
        <w:rPr>
          <w:color w:val="auto"/>
        </w:rPr>
        <w:t xml:space="preserve"> et les infrastructures portuaires</w:t>
      </w:r>
      <w:r w:rsidR="003E4426" w:rsidRPr="00C801A6">
        <w:rPr>
          <w:color w:val="auto"/>
        </w:rPr>
        <w:t xml:space="preserve"> constituent des leviers du Développement. C’est sans doute la principale raison pour laquelle l’adhésion de toutes les parties consultées P</w:t>
      </w:r>
      <w:r w:rsidR="007A1CCA">
        <w:rPr>
          <w:color w:val="auto"/>
        </w:rPr>
        <w:t>CMCI</w:t>
      </w:r>
      <w:r w:rsidR="003E4426" w:rsidRPr="00C801A6">
        <w:rPr>
          <w:color w:val="auto"/>
        </w:rPr>
        <w:t xml:space="preserve">/CERC a été très facilement obtenue. </w:t>
      </w:r>
    </w:p>
    <w:p w14:paraId="59C8B730" w14:textId="0A39BF5E" w:rsidR="003E4426" w:rsidRPr="00C801A6" w:rsidRDefault="003E4426" w:rsidP="003E4426">
      <w:pPr>
        <w:rPr>
          <w:color w:val="auto"/>
        </w:rPr>
      </w:pPr>
      <w:r w:rsidRPr="00C801A6">
        <w:rPr>
          <w:color w:val="auto"/>
        </w:rPr>
        <w:t xml:space="preserve">Malgré toutes les multiples retombées positives attendues de ce volet, du fait que les activités comprennent des travaux de reconstruction d’ouvrages et autres, il est pressenti que ses impacts sur les milieux environnementaux et sociaux seront substantiels. En vertu du nouveau Cadre Environnemental et Social de la </w:t>
      </w:r>
      <w:r w:rsidR="00B910A0" w:rsidRPr="00C801A6">
        <w:rPr>
          <w:color w:val="auto"/>
        </w:rPr>
        <w:t>Banque mondiale</w:t>
      </w:r>
      <w:r w:rsidRPr="00C801A6">
        <w:rPr>
          <w:color w:val="auto"/>
        </w:rPr>
        <w:t>, étant donné que les activités à mener ne sont pas encore clairement définies, divers instruments cadres ont donc dû être préparés : le présent document se rapporte au CGES.</w:t>
      </w:r>
    </w:p>
    <w:p w14:paraId="03368A80" w14:textId="58F948C3" w:rsidR="003B75E8" w:rsidRDefault="003B75E8" w:rsidP="003B75E8">
      <w:r>
        <w:t xml:space="preserve">Un budget qui s’élève à </w:t>
      </w:r>
      <w:r w:rsidRPr="00E06D33">
        <w:t xml:space="preserve">1 244 269 </w:t>
      </w:r>
      <w:r w:rsidRPr="00707AF0">
        <w:t>USD</w:t>
      </w:r>
      <w:r>
        <w:t xml:space="preserve"> sera nécessaire pour sa mise en œuvre, dont </w:t>
      </w:r>
      <w:r w:rsidRPr="00E06D33">
        <w:t>271</w:t>
      </w:r>
      <w:r>
        <w:t> </w:t>
      </w:r>
      <w:r w:rsidRPr="00E06D33">
        <w:t xml:space="preserve">975 </w:t>
      </w:r>
      <w:r>
        <w:t>USD seront pris en charge par l’Etat Malagasy.</w:t>
      </w:r>
    </w:p>
    <w:p w14:paraId="5A0D8811" w14:textId="0126672F" w:rsidR="00A709A9" w:rsidRPr="00A709A9" w:rsidRDefault="00A709A9" w:rsidP="00A709A9">
      <w:pPr>
        <w:spacing w:before="120"/>
        <w:rPr>
          <w:color w:val="auto"/>
        </w:rPr>
      </w:pPr>
      <w:r w:rsidRPr="00A709A9">
        <w:rPr>
          <w:color w:val="auto"/>
        </w:rPr>
        <w:t>Pour la composante 4 ou PCMCI/CERC, le budget à prévoir par l’entreprise pour instaurer et mettre en œuvre le PGES-</w:t>
      </w:r>
      <w:r w:rsidR="0075735A">
        <w:rPr>
          <w:color w:val="auto"/>
        </w:rPr>
        <w:t>E</w:t>
      </w:r>
      <w:r w:rsidRPr="00A709A9">
        <w:rPr>
          <w:color w:val="auto"/>
        </w:rPr>
        <w:t xml:space="preserve"> est de 2,3% du montant au minimum, hors budget pour les travaux préparatoires</w:t>
      </w:r>
      <w:r>
        <w:rPr>
          <w:color w:val="auto"/>
        </w:rPr>
        <w:t>.</w:t>
      </w:r>
    </w:p>
    <w:p w14:paraId="15514AF1" w14:textId="77777777" w:rsidR="003B75E8" w:rsidRPr="00C801A6" w:rsidRDefault="003B75E8" w:rsidP="00575CDF">
      <w:pPr>
        <w:rPr>
          <w:color w:val="auto"/>
        </w:rPr>
      </w:pPr>
    </w:p>
    <w:p w14:paraId="44C1CD49" w14:textId="77777777" w:rsidR="00575CDF" w:rsidRPr="00C801A6" w:rsidRDefault="00575CDF" w:rsidP="00575CDF">
      <w:pPr>
        <w:rPr>
          <w:color w:val="auto"/>
        </w:rPr>
        <w:sectPr w:rsidR="00575CDF" w:rsidRPr="00C801A6" w:rsidSect="00635A10">
          <w:pgSz w:w="11907" w:h="16840" w:code="9"/>
          <w:pgMar w:top="1418" w:right="1418" w:bottom="1418" w:left="1418" w:header="709" w:footer="709" w:gutter="0"/>
          <w:cols w:space="708"/>
          <w:docGrid w:linePitch="360"/>
        </w:sectPr>
      </w:pPr>
    </w:p>
    <w:p w14:paraId="59ED51AB" w14:textId="39CA4301" w:rsidR="00575CDF" w:rsidRPr="00C801A6" w:rsidRDefault="00575CDF" w:rsidP="00575CDF">
      <w:pPr>
        <w:pStyle w:val="Title"/>
      </w:pPr>
      <w:bookmarkStart w:id="869" w:name="_Toc106320451"/>
      <w:bookmarkStart w:id="870" w:name="_Toc230426104"/>
      <w:r w:rsidRPr="00C801A6">
        <w:lastRenderedPageBreak/>
        <w:t>BIBLIOGRAPHIE</w:t>
      </w:r>
      <w:bookmarkEnd w:id="870"/>
      <w:r w:rsidRPr="00C801A6">
        <w:t xml:space="preserve"> </w:t>
      </w:r>
      <w:bookmarkEnd w:id="869"/>
    </w:p>
    <w:p w14:paraId="0062F966" w14:textId="77777777" w:rsidR="00575CDF" w:rsidRPr="00C801A6" w:rsidRDefault="00575CDF" w:rsidP="00844538">
      <w:pPr>
        <w:pStyle w:val="ListParagraph"/>
        <w:numPr>
          <w:ilvl w:val="0"/>
          <w:numId w:val="133"/>
        </w:numPr>
        <w:spacing w:before="360" w:after="40" w:line="276" w:lineRule="auto"/>
        <w:ind w:left="714" w:hanging="357"/>
        <w:contextualSpacing w:val="0"/>
        <w:rPr>
          <w:color w:val="auto"/>
          <w:sz w:val="22"/>
        </w:rPr>
      </w:pPr>
      <w:r w:rsidRPr="00C801A6">
        <w:rPr>
          <w:color w:val="auto"/>
          <w:sz w:val="22"/>
        </w:rPr>
        <w:t xml:space="preserve">BATTISTINI, R. 1996.- Etude biogéographique de la « Région malgache » </w:t>
      </w:r>
    </w:p>
    <w:p w14:paraId="70065D39" w14:textId="77777777" w:rsidR="00575CDF" w:rsidRPr="00C801A6" w:rsidRDefault="00575CDF" w:rsidP="00844538">
      <w:pPr>
        <w:pStyle w:val="ListParagraph"/>
        <w:numPr>
          <w:ilvl w:val="0"/>
          <w:numId w:val="133"/>
        </w:numPr>
        <w:spacing w:after="40" w:line="276" w:lineRule="auto"/>
        <w:contextualSpacing w:val="0"/>
        <w:rPr>
          <w:color w:val="auto"/>
          <w:sz w:val="22"/>
          <w:lang w:val="en-GB"/>
        </w:rPr>
      </w:pPr>
      <w:r w:rsidRPr="00C801A6">
        <w:rPr>
          <w:color w:val="auto"/>
          <w:sz w:val="22"/>
          <w:lang w:val="en-US"/>
        </w:rPr>
        <w:t xml:space="preserve">BATTISTINI, R., &amp; G. RICHARD-VINDARD, eds., Biogeography and ecology in Madagascar. </w:t>
      </w:r>
      <w:r w:rsidRPr="00C801A6">
        <w:rPr>
          <w:color w:val="auto"/>
          <w:sz w:val="22"/>
          <w:lang w:val="en-GB"/>
        </w:rPr>
        <w:t>W. Junk, The Hague.</w:t>
      </w:r>
    </w:p>
    <w:p w14:paraId="3F334321" w14:textId="77777777" w:rsidR="00575CDF" w:rsidRPr="00C801A6" w:rsidRDefault="00575CDF" w:rsidP="00844538">
      <w:pPr>
        <w:pStyle w:val="ListParagraph"/>
        <w:numPr>
          <w:ilvl w:val="0"/>
          <w:numId w:val="133"/>
        </w:numPr>
        <w:spacing w:after="40" w:line="276" w:lineRule="auto"/>
        <w:contextualSpacing w:val="0"/>
        <w:rPr>
          <w:color w:val="auto"/>
          <w:sz w:val="22"/>
          <w:lang w:val="en-US"/>
        </w:rPr>
      </w:pPr>
      <w:r w:rsidRPr="00C801A6">
        <w:rPr>
          <w:color w:val="auto"/>
          <w:sz w:val="22"/>
          <w:lang w:val="en-GB"/>
        </w:rPr>
        <w:t xml:space="preserve">BATTISTINI, R. 1972. Madagascar relief and main types </w:t>
      </w:r>
      <w:r w:rsidRPr="00C801A6">
        <w:rPr>
          <w:color w:val="auto"/>
          <w:sz w:val="22"/>
          <w:lang w:val="en-US"/>
        </w:rPr>
        <w:t>of landscape, pp. 1-25. In</w:t>
      </w:r>
    </w:p>
    <w:p w14:paraId="2CA30EBF" w14:textId="77777777" w:rsidR="00575CDF" w:rsidRPr="00C801A6" w:rsidRDefault="00575CDF" w:rsidP="00844538">
      <w:pPr>
        <w:pStyle w:val="ListParagraph"/>
        <w:numPr>
          <w:ilvl w:val="0"/>
          <w:numId w:val="133"/>
        </w:numPr>
        <w:spacing w:after="40" w:line="276" w:lineRule="auto"/>
        <w:contextualSpacing w:val="0"/>
        <w:rPr>
          <w:color w:val="auto"/>
          <w:sz w:val="22"/>
        </w:rPr>
      </w:pPr>
      <w:r w:rsidRPr="00C801A6">
        <w:rPr>
          <w:color w:val="auto"/>
          <w:sz w:val="22"/>
        </w:rPr>
        <w:t>BESAIRIE, H. 1973.- la géologie de Madagascar</w:t>
      </w:r>
    </w:p>
    <w:p w14:paraId="0679935A" w14:textId="77777777" w:rsidR="00575CDF" w:rsidRPr="00C801A6" w:rsidRDefault="00575CDF" w:rsidP="00844538">
      <w:pPr>
        <w:pStyle w:val="ListParagraph"/>
        <w:numPr>
          <w:ilvl w:val="0"/>
          <w:numId w:val="133"/>
        </w:numPr>
        <w:spacing w:after="40" w:line="276" w:lineRule="auto"/>
        <w:contextualSpacing w:val="0"/>
        <w:rPr>
          <w:color w:val="auto"/>
          <w:sz w:val="22"/>
          <w:lang w:val="en-US"/>
        </w:rPr>
      </w:pPr>
      <w:r w:rsidRPr="00C801A6">
        <w:rPr>
          <w:color w:val="auto"/>
          <w:sz w:val="22"/>
          <w:lang w:val="en-US"/>
        </w:rPr>
        <w:t>BESAIRIE, H., 1967. The Precambrian of Madagascar in: Rankama (Editor), The Precambrian, 3, Interscience Publ., London.</w:t>
      </w:r>
    </w:p>
    <w:p w14:paraId="01168EA2" w14:textId="77777777" w:rsidR="00575CDF" w:rsidRPr="00C801A6" w:rsidRDefault="00575CDF" w:rsidP="00844538">
      <w:pPr>
        <w:pStyle w:val="ListParagraph"/>
        <w:numPr>
          <w:ilvl w:val="0"/>
          <w:numId w:val="133"/>
        </w:numPr>
        <w:spacing w:after="40" w:line="276" w:lineRule="auto"/>
        <w:contextualSpacing w:val="0"/>
        <w:rPr>
          <w:color w:val="auto"/>
          <w:sz w:val="22"/>
        </w:rPr>
      </w:pPr>
      <w:r w:rsidRPr="00C801A6">
        <w:rPr>
          <w:color w:val="auto"/>
          <w:sz w:val="22"/>
        </w:rPr>
        <w:t>Centre de recherches, d’études et d’appui à l’analyse économique à Madagascar (CREAM), 2013.-Monographie de 22 Régions de Madagascar, Document technique et stratégique.</w:t>
      </w:r>
    </w:p>
    <w:p w14:paraId="596A9366" w14:textId="77777777" w:rsidR="00575CDF" w:rsidRPr="00C801A6" w:rsidRDefault="00575CDF" w:rsidP="00844538">
      <w:pPr>
        <w:pStyle w:val="ListParagraph"/>
        <w:numPr>
          <w:ilvl w:val="0"/>
          <w:numId w:val="133"/>
        </w:numPr>
        <w:spacing w:after="40" w:line="276" w:lineRule="auto"/>
        <w:contextualSpacing w:val="0"/>
        <w:rPr>
          <w:color w:val="auto"/>
          <w:sz w:val="22"/>
        </w:rPr>
      </w:pPr>
      <w:r w:rsidRPr="00C801A6">
        <w:rPr>
          <w:color w:val="auto"/>
          <w:sz w:val="22"/>
        </w:rPr>
        <w:t>CHAPERON, P., DANLOUX, J. &amp; FERRY, L.1993. Fleuves et rivières de Madagascar ; Monographies Hydrologiques no. 10. ORSTOM, Paris, 874pp.</w:t>
      </w:r>
    </w:p>
    <w:p w14:paraId="68A592E2" w14:textId="77777777" w:rsidR="00575CDF" w:rsidRPr="00C801A6" w:rsidRDefault="00575CDF" w:rsidP="00844538">
      <w:pPr>
        <w:pStyle w:val="ListParagraph"/>
        <w:numPr>
          <w:ilvl w:val="0"/>
          <w:numId w:val="133"/>
        </w:numPr>
        <w:spacing w:after="40" w:line="276" w:lineRule="auto"/>
        <w:contextualSpacing w:val="0"/>
        <w:rPr>
          <w:color w:val="auto"/>
          <w:sz w:val="22"/>
        </w:rPr>
      </w:pPr>
      <w:r w:rsidRPr="00C801A6">
        <w:rPr>
          <w:color w:val="auto"/>
          <w:sz w:val="22"/>
        </w:rPr>
        <w:t>CORNET A. &amp; GUILLAUMET J. L., 1976. Divisions floristiques et étages de végétation à Madagascar.</w:t>
      </w:r>
    </w:p>
    <w:p w14:paraId="3300E3CF" w14:textId="77777777" w:rsidR="00575CDF" w:rsidRPr="00C801A6" w:rsidRDefault="00575CDF" w:rsidP="00844538">
      <w:pPr>
        <w:pStyle w:val="ListParagraph"/>
        <w:numPr>
          <w:ilvl w:val="0"/>
          <w:numId w:val="133"/>
        </w:numPr>
        <w:spacing w:after="40" w:line="276" w:lineRule="auto"/>
        <w:contextualSpacing w:val="0"/>
        <w:rPr>
          <w:color w:val="auto"/>
          <w:sz w:val="22"/>
        </w:rPr>
      </w:pPr>
      <w:r w:rsidRPr="00C801A6">
        <w:rPr>
          <w:color w:val="auto"/>
          <w:sz w:val="22"/>
        </w:rPr>
        <w:t>DURET, L. 1976.-Etude hydrologique de Madagascar</w:t>
      </w:r>
    </w:p>
    <w:p w14:paraId="443051C4" w14:textId="77777777" w:rsidR="00575CDF" w:rsidRPr="00C801A6" w:rsidRDefault="00575CDF" w:rsidP="00844538">
      <w:pPr>
        <w:pStyle w:val="ListParagraph"/>
        <w:numPr>
          <w:ilvl w:val="0"/>
          <w:numId w:val="133"/>
        </w:numPr>
        <w:spacing w:after="40" w:line="276" w:lineRule="auto"/>
        <w:contextualSpacing w:val="0"/>
        <w:rPr>
          <w:color w:val="auto"/>
          <w:sz w:val="22"/>
        </w:rPr>
      </w:pPr>
      <w:r w:rsidRPr="00C801A6">
        <w:rPr>
          <w:color w:val="auto"/>
          <w:sz w:val="22"/>
        </w:rPr>
        <w:t xml:space="preserve">CORNET, A. 1974.- Essai de cartographie bioclimatique à Madagascar </w:t>
      </w:r>
    </w:p>
    <w:p w14:paraId="0CBDB6AE" w14:textId="77777777" w:rsidR="00575CDF" w:rsidRPr="00C801A6" w:rsidRDefault="00575CDF" w:rsidP="00844538">
      <w:pPr>
        <w:pStyle w:val="ListParagraph"/>
        <w:numPr>
          <w:ilvl w:val="0"/>
          <w:numId w:val="133"/>
        </w:numPr>
        <w:spacing w:after="40" w:line="276" w:lineRule="auto"/>
        <w:contextualSpacing w:val="0"/>
        <w:rPr>
          <w:color w:val="auto"/>
          <w:sz w:val="22"/>
        </w:rPr>
      </w:pPr>
      <w:r w:rsidRPr="00C801A6">
        <w:rPr>
          <w:color w:val="auto"/>
          <w:sz w:val="22"/>
        </w:rPr>
        <w:t>CORNET, A. &amp; GUILLAUMET, J. L. 1976. Divisions floristiques et étages de végétation à Madagascar. Cahiers ORSTOM, série biologique, vol. XI, n°1: 35-42.</w:t>
      </w:r>
    </w:p>
    <w:p w14:paraId="6515E8F5" w14:textId="77777777" w:rsidR="00575CDF" w:rsidRPr="00F66E10" w:rsidRDefault="00575CDF" w:rsidP="00844538">
      <w:pPr>
        <w:pStyle w:val="ListParagraph"/>
        <w:numPr>
          <w:ilvl w:val="0"/>
          <w:numId w:val="133"/>
        </w:numPr>
        <w:spacing w:after="40" w:line="276" w:lineRule="auto"/>
        <w:contextualSpacing w:val="0"/>
        <w:rPr>
          <w:color w:val="auto"/>
          <w:sz w:val="22"/>
          <w:lang w:val="pt-BR"/>
        </w:rPr>
      </w:pPr>
      <w:r w:rsidRPr="00C801A6">
        <w:rPr>
          <w:color w:val="auto"/>
          <w:sz w:val="22"/>
        </w:rPr>
        <w:t xml:space="preserve">D’HOORE, J. 1964.La carte des sols d’Afrique au 1/5 000 000. </w:t>
      </w:r>
      <w:r w:rsidRPr="00F66E10">
        <w:rPr>
          <w:color w:val="auto"/>
          <w:sz w:val="22"/>
          <w:lang w:val="pt-BR"/>
        </w:rPr>
        <w:t>C. C.T.A. Publ. N° 93. LAGOS, 210 p.</w:t>
      </w:r>
    </w:p>
    <w:p w14:paraId="1496DE3E" w14:textId="77777777" w:rsidR="00575CDF" w:rsidRPr="00C801A6" w:rsidRDefault="00575CDF" w:rsidP="00844538">
      <w:pPr>
        <w:pStyle w:val="ListParagraph"/>
        <w:numPr>
          <w:ilvl w:val="0"/>
          <w:numId w:val="133"/>
        </w:numPr>
        <w:spacing w:after="40" w:line="276" w:lineRule="auto"/>
        <w:contextualSpacing w:val="0"/>
        <w:rPr>
          <w:color w:val="auto"/>
          <w:sz w:val="22"/>
        </w:rPr>
      </w:pPr>
      <w:r w:rsidRPr="00C801A6">
        <w:rPr>
          <w:color w:val="auto"/>
          <w:sz w:val="22"/>
        </w:rPr>
        <w:t>Direction Générale de la Météorologie (DGM), 2019.-Les tendances climatiques et les futurs changements climatiques (impacts sectoriels) à Madagascar, Rapport technique, Collaboration entre PPCR-CPGU-RIMES, 22 pages.</w:t>
      </w:r>
    </w:p>
    <w:p w14:paraId="7AD89ED3" w14:textId="77777777" w:rsidR="00575CDF" w:rsidRPr="00C801A6" w:rsidRDefault="00575CDF" w:rsidP="00844538">
      <w:pPr>
        <w:pStyle w:val="ListParagraph"/>
        <w:numPr>
          <w:ilvl w:val="0"/>
          <w:numId w:val="133"/>
        </w:numPr>
        <w:spacing w:after="40" w:line="276" w:lineRule="auto"/>
        <w:contextualSpacing w:val="0"/>
        <w:rPr>
          <w:color w:val="auto"/>
          <w:sz w:val="22"/>
        </w:rPr>
      </w:pPr>
      <w:r w:rsidRPr="00C801A6">
        <w:rPr>
          <w:color w:val="auto"/>
          <w:sz w:val="22"/>
        </w:rPr>
        <w:t>DONQUE, G., 1975. Contribution géographique à l’étude du climat de Madagascar.</w:t>
      </w:r>
    </w:p>
    <w:p w14:paraId="63520E98" w14:textId="77777777" w:rsidR="00575CDF" w:rsidRPr="00C801A6" w:rsidRDefault="00575CDF" w:rsidP="00844538">
      <w:pPr>
        <w:pStyle w:val="ListParagraph"/>
        <w:numPr>
          <w:ilvl w:val="0"/>
          <w:numId w:val="133"/>
        </w:numPr>
        <w:spacing w:after="40" w:line="276" w:lineRule="auto"/>
        <w:contextualSpacing w:val="0"/>
        <w:rPr>
          <w:color w:val="auto"/>
          <w:sz w:val="22"/>
        </w:rPr>
      </w:pPr>
      <w:r w:rsidRPr="00F66E10">
        <w:rPr>
          <w:color w:val="auto"/>
          <w:sz w:val="22"/>
          <w:lang w:val="pt-BR"/>
        </w:rPr>
        <w:t xml:space="preserve">FARAMALALA M. H. &amp; RAJERIARISON, C. 1999. </w:t>
      </w:r>
      <w:r w:rsidRPr="00C801A6">
        <w:rPr>
          <w:color w:val="auto"/>
          <w:sz w:val="22"/>
        </w:rPr>
        <w:t>Les divisions Eco-floristiques des formations végétales de Madagascar.</w:t>
      </w:r>
    </w:p>
    <w:p w14:paraId="5E06C67E" w14:textId="77777777" w:rsidR="00575CDF" w:rsidRPr="00C801A6" w:rsidRDefault="00575CDF" w:rsidP="00844538">
      <w:pPr>
        <w:pStyle w:val="ListParagraph"/>
        <w:numPr>
          <w:ilvl w:val="0"/>
          <w:numId w:val="133"/>
        </w:numPr>
        <w:spacing w:after="40" w:line="276" w:lineRule="auto"/>
        <w:contextualSpacing w:val="0"/>
        <w:rPr>
          <w:color w:val="auto"/>
          <w:sz w:val="22"/>
        </w:rPr>
      </w:pPr>
      <w:r w:rsidRPr="00C801A6">
        <w:rPr>
          <w:color w:val="auto"/>
          <w:sz w:val="22"/>
          <w:lang w:val="en-GB"/>
        </w:rPr>
        <w:t xml:space="preserve">GLAW, F. &amp; VENCES, M. 2007. A Field Guide to the Amphibians and Reptiles of Madagascar, 3rd edition. </w:t>
      </w:r>
      <w:r w:rsidRPr="00C801A6">
        <w:rPr>
          <w:color w:val="auto"/>
          <w:sz w:val="22"/>
        </w:rPr>
        <w:t>Vences &amp; Glaw Verlag, Cologne, Germany, 496 pp.</w:t>
      </w:r>
    </w:p>
    <w:p w14:paraId="44F9B17B" w14:textId="77777777" w:rsidR="00575CDF" w:rsidRPr="00C801A6" w:rsidRDefault="00575CDF" w:rsidP="00844538">
      <w:pPr>
        <w:pStyle w:val="ListParagraph"/>
        <w:numPr>
          <w:ilvl w:val="0"/>
          <w:numId w:val="133"/>
        </w:numPr>
        <w:spacing w:after="40" w:line="276" w:lineRule="auto"/>
        <w:contextualSpacing w:val="0"/>
        <w:rPr>
          <w:color w:val="auto"/>
          <w:sz w:val="22"/>
        </w:rPr>
      </w:pPr>
      <w:r w:rsidRPr="00C801A6">
        <w:rPr>
          <w:color w:val="auto"/>
          <w:sz w:val="22"/>
          <w:lang w:val="en-US"/>
        </w:rPr>
        <w:t xml:space="preserve">GOODMAN, S. M. &amp; HAWKINS, F. A. 2008. </w:t>
      </w:r>
      <w:r w:rsidRPr="00C801A6">
        <w:rPr>
          <w:color w:val="auto"/>
          <w:sz w:val="22"/>
        </w:rPr>
        <w:t>Les oiseaux. In Paysages naturels et biodiversité de Madagascar, ed. S. M. Goodman,pp. 383-384. Paris: Museum national d'Histoire naturelle. Environmental Research Series. Report 13</w:t>
      </w:r>
    </w:p>
    <w:p w14:paraId="3A1A9021" w14:textId="77777777" w:rsidR="00575CDF" w:rsidRPr="00C801A6" w:rsidRDefault="00575CDF" w:rsidP="00844538">
      <w:pPr>
        <w:pStyle w:val="ListParagraph"/>
        <w:numPr>
          <w:ilvl w:val="0"/>
          <w:numId w:val="133"/>
        </w:numPr>
        <w:spacing w:after="40" w:line="276" w:lineRule="auto"/>
        <w:contextualSpacing w:val="0"/>
        <w:rPr>
          <w:color w:val="auto"/>
          <w:sz w:val="22"/>
        </w:rPr>
      </w:pPr>
      <w:r w:rsidRPr="00AA6329">
        <w:rPr>
          <w:color w:val="auto"/>
          <w:sz w:val="22"/>
          <w:lang w:val="nl-NL"/>
        </w:rPr>
        <w:t xml:space="preserve">GOODMAN, S. M., GANZHORN, J. U. &amp; RAKOTONDRAVONY, D. 2008. </w:t>
      </w:r>
      <w:r w:rsidRPr="00C801A6">
        <w:rPr>
          <w:color w:val="auto"/>
          <w:sz w:val="22"/>
        </w:rPr>
        <w:t>Les Mammifères. In Paysages naturels et biodiversité de Madagascar, ed.S. M. Goodman.pp. 435-484. Paris: Muséum national d'Histoire naturelle.</w:t>
      </w:r>
    </w:p>
    <w:p w14:paraId="281810AA" w14:textId="77777777" w:rsidR="00575CDF" w:rsidRPr="00C801A6" w:rsidRDefault="00575CDF" w:rsidP="00844538">
      <w:pPr>
        <w:pStyle w:val="ListParagraph"/>
        <w:numPr>
          <w:ilvl w:val="0"/>
          <w:numId w:val="133"/>
        </w:numPr>
        <w:spacing w:after="40" w:line="276" w:lineRule="auto"/>
        <w:contextualSpacing w:val="0"/>
        <w:rPr>
          <w:color w:val="auto"/>
          <w:sz w:val="22"/>
        </w:rPr>
      </w:pPr>
      <w:r w:rsidRPr="00C801A6">
        <w:rPr>
          <w:color w:val="auto"/>
          <w:sz w:val="22"/>
        </w:rPr>
        <w:t>HERVIEU, J. 1967. Géographie des sols malgaches</w:t>
      </w:r>
    </w:p>
    <w:p w14:paraId="3E4418F5" w14:textId="77777777" w:rsidR="00575CDF" w:rsidRPr="00C801A6" w:rsidRDefault="00575CDF" w:rsidP="00844538">
      <w:pPr>
        <w:pStyle w:val="ListParagraph"/>
        <w:numPr>
          <w:ilvl w:val="0"/>
          <w:numId w:val="133"/>
        </w:numPr>
        <w:spacing w:after="40" w:line="276" w:lineRule="auto"/>
        <w:contextualSpacing w:val="0"/>
        <w:rPr>
          <w:color w:val="auto"/>
          <w:sz w:val="22"/>
        </w:rPr>
      </w:pPr>
      <w:r w:rsidRPr="00C801A6">
        <w:rPr>
          <w:color w:val="auto"/>
          <w:sz w:val="22"/>
        </w:rPr>
        <w:t>HUMBERT, H. 1925. La végétation des hauts sommets du sud-est de Madagascar. Conipt. Rend. Sommaires Séances Soc. Biogéogr.: 102- 103</w:t>
      </w:r>
    </w:p>
    <w:p w14:paraId="557E489E" w14:textId="77777777" w:rsidR="00575CDF" w:rsidRPr="00C801A6" w:rsidRDefault="00575CDF" w:rsidP="00844538">
      <w:pPr>
        <w:pStyle w:val="ListParagraph"/>
        <w:numPr>
          <w:ilvl w:val="0"/>
          <w:numId w:val="133"/>
        </w:numPr>
        <w:spacing w:after="40" w:line="276" w:lineRule="auto"/>
        <w:contextualSpacing w:val="0"/>
        <w:rPr>
          <w:color w:val="auto"/>
          <w:sz w:val="22"/>
        </w:rPr>
      </w:pPr>
      <w:r w:rsidRPr="00C801A6">
        <w:rPr>
          <w:color w:val="auto"/>
          <w:sz w:val="22"/>
        </w:rPr>
        <w:t>HUMBERT, H. 1955. Les territoires phytogéographiques de Madagascar. In Les divisions écologiques du monde. Colloques Internationales du Centre National de Recherche</w:t>
      </w:r>
    </w:p>
    <w:p w14:paraId="68B4B887" w14:textId="77777777" w:rsidR="00575CDF" w:rsidRPr="00C801A6" w:rsidRDefault="00575CDF" w:rsidP="00844538">
      <w:pPr>
        <w:pStyle w:val="ListParagraph"/>
        <w:numPr>
          <w:ilvl w:val="0"/>
          <w:numId w:val="133"/>
        </w:numPr>
        <w:spacing w:after="40" w:line="276" w:lineRule="auto"/>
        <w:contextualSpacing w:val="0"/>
        <w:rPr>
          <w:color w:val="auto"/>
          <w:sz w:val="22"/>
        </w:rPr>
      </w:pPr>
      <w:r w:rsidRPr="00C801A6">
        <w:rPr>
          <w:color w:val="auto"/>
          <w:sz w:val="22"/>
        </w:rPr>
        <w:t>INSTAT MADAGASCAR. 2020. Résultats globaux RGPH3 2018 de Madagascar. Tome 1 et Tome2</w:t>
      </w:r>
    </w:p>
    <w:p w14:paraId="7817F8CB" w14:textId="77777777" w:rsidR="00575CDF" w:rsidRPr="00C801A6" w:rsidRDefault="00575CDF" w:rsidP="00844538">
      <w:pPr>
        <w:pStyle w:val="ListParagraph"/>
        <w:numPr>
          <w:ilvl w:val="0"/>
          <w:numId w:val="133"/>
        </w:numPr>
        <w:spacing w:after="40" w:line="276" w:lineRule="auto"/>
        <w:contextualSpacing w:val="0"/>
        <w:rPr>
          <w:color w:val="auto"/>
          <w:sz w:val="22"/>
        </w:rPr>
      </w:pPr>
      <w:r w:rsidRPr="00C801A6">
        <w:rPr>
          <w:color w:val="auto"/>
          <w:sz w:val="22"/>
        </w:rPr>
        <w:lastRenderedPageBreak/>
        <w:t>KOECHLIN, J., J.-L. GUILLAUMET &amp;. MORAT, PH. 1974. Flore et végétation de Madagascar, pp 46-78. J. Cramer, Vaduz</w:t>
      </w:r>
    </w:p>
    <w:p w14:paraId="4AB07736" w14:textId="77777777" w:rsidR="00575CDF" w:rsidRPr="00C801A6" w:rsidRDefault="00575CDF" w:rsidP="00844538">
      <w:pPr>
        <w:pStyle w:val="ListParagraph"/>
        <w:numPr>
          <w:ilvl w:val="0"/>
          <w:numId w:val="133"/>
        </w:numPr>
        <w:spacing w:after="40" w:line="276" w:lineRule="auto"/>
        <w:contextualSpacing w:val="0"/>
        <w:rPr>
          <w:color w:val="auto"/>
          <w:sz w:val="22"/>
        </w:rPr>
      </w:pPr>
      <w:r w:rsidRPr="00AA6329">
        <w:rPr>
          <w:color w:val="auto"/>
          <w:sz w:val="22"/>
          <w:lang w:val="nl-NL"/>
        </w:rPr>
        <w:t xml:space="preserve">LAMBERT, S. M., HUTTER, C. R. &amp; SCHERZ, M. D. 2017. </w:t>
      </w:r>
      <w:r w:rsidRPr="00C801A6">
        <w:rPr>
          <w:color w:val="auto"/>
          <w:sz w:val="22"/>
          <w:lang w:val="en-GB"/>
        </w:rPr>
        <w:t xml:space="preserve">Diamond in the rough: a new species of fossorial diamond frog (Rhombophryne) from Ranomafana National Park, southeastern Madagascar. </w:t>
      </w:r>
      <w:r w:rsidRPr="00C801A6">
        <w:rPr>
          <w:color w:val="auto"/>
          <w:sz w:val="22"/>
        </w:rPr>
        <w:t xml:space="preserve">Zoosyst. Evol. 93 (1), 143-155. </w:t>
      </w:r>
    </w:p>
    <w:p w14:paraId="6EDA2902" w14:textId="77777777" w:rsidR="00575CDF" w:rsidRPr="00C801A6" w:rsidRDefault="00575CDF" w:rsidP="00844538">
      <w:pPr>
        <w:pStyle w:val="ListParagraph"/>
        <w:numPr>
          <w:ilvl w:val="0"/>
          <w:numId w:val="133"/>
        </w:numPr>
        <w:spacing w:after="40" w:line="276" w:lineRule="auto"/>
        <w:contextualSpacing w:val="0"/>
        <w:rPr>
          <w:color w:val="auto"/>
          <w:sz w:val="22"/>
        </w:rPr>
      </w:pPr>
      <w:r w:rsidRPr="00C801A6">
        <w:rPr>
          <w:color w:val="auto"/>
          <w:sz w:val="22"/>
        </w:rPr>
        <w:t>Ministère en charge de l’Environnement et de la Biodiversité, 2009.-Monographie Nationale sur la Diversité Biologique de Madagascar, Document stratégique, technique et scientifique, PNAE, collaboration entre ONE, Académie Malagasy, ANGAP-DIVB, CIDST, CNRE-BRET, 210 pages</w:t>
      </w:r>
    </w:p>
    <w:p w14:paraId="42641C20" w14:textId="77777777" w:rsidR="00575CDF" w:rsidRPr="00C801A6" w:rsidRDefault="00575CDF" w:rsidP="00844538">
      <w:pPr>
        <w:pStyle w:val="ListParagraph"/>
        <w:numPr>
          <w:ilvl w:val="0"/>
          <w:numId w:val="133"/>
        </w:numPr>
        <w:spacing w:after="40" w:line="276" w:lineRule="auto"/>
        <w:contextualSpacing w:val="0"/>
        <w:rPr>
          <w:color w:val="auto"/>
          <w:sz w:val="22"/>
        </w:rPr>
      </w:pPr>
      <w:r w:rsidRPr="00C801A6">
        <w:rPr>
          <w:color w:val="auto"/>
          <w:sz w:val="22"/>
        </w:rPr>
        <w:t>MORAT, PH. 1969.-note sur l’application à Madagascar du quotient pluviothermique d’Emberger, 232 pages. Nouvelle Imprimerie des Arts Graphiques, Antananarivo, VII - 478 pp.</w:t>
      </w:r>
    </w:p>
    <w:p w14:paraId="1597CEC5" w14:textId="77777777" w:rsidR="00575CDF" w:rsidRPr="00C801A6" w:rsidRDefault="00575CDF" w:rsidP="00844538">
      <w:pPr>
        <w:pStyle w:val="ListParagraph"/>
        <w:numPr>
          <w:ilvl w:val="0"/>
          <w:numId w:val="133"/>
        </w:numPr>
        <w:spacing w:after="40" w:line="276" w:lineRule="auto"/>
        <w:contextualSpacing w:val="0"/>
        <w:rPr>
          <w:color w:val="auto"/>
          <w:sz w:val="22"/>
        </w:rPr>
      </w:pPr>
      <w:r w:rsidRPr="00C801A6">
        <w:rPr>
          <w:color w:val="auto"/>
          <w:sz w:val="22"/>
        </w:rPr>
        <w:t>PERRIER de la BATHIE, 1921. La végétation malgache. Annales du Musée colonial de Marseille, sér. 3, 9: 1-268.</w:t>
      </w:r>
    </w:p>
    <w:p w14:paraId="7BE4188E" w14:textId="77777777" w:rsidR="00575CDF" w:rsidRPr="00C801A6" w:rsidRDefault="00575CDF" w:rsidP="00844538">
      <w:pPr>
        <w:pStyle w:val="ListParagraph"/>
        <w:numPr>
          <w:ilvl w:val="0"/>
          <w:numId w:val="133"/>
        </w:numPr>
        <w:spacing w:after="40" w:line="276" w:lineRule="auto"/>
        <w:contextualSpacing w:val="0"/>
        <w:rPr>
          <w:color w:val="auto"/>
          <w:sz w:val="22"/>
        </w:rPr>
      </w:pPr>
      <w:r w:rsidRPr="00C801A6">
        <w:rPr>
          <w:color w:val="auto"/>
          <w:sz w:val="22"/>
          <w:lang w:val="en-US"/>
        </w:rPr>
        <w:t xml:space="preserve">RABINOWITZ, P. D., M. F. COFFIN, &amp; FALVEY, D. 1983. The separation of Madagascar and Africa. </w:t>
      </w:r>
      <w:r w:rsidRPr="00C801A6">
        <w:rPr>
          <w:color w:val="auto"/>
          <w:sz w:val="22"/>
        </w:rPr>
        <w:t>Science 220: 67-69.</w:t>
      </w:r>
    </w:p>
    <w:p w14:paraId="788EFA3E" w14:textId="77777777" w:rsidR="00575CDF" w:rsidRPr="00C801A6" w:rsidRDefault="00575CDF" w:rsidP="00844538">
      <w:pPr>
        <w:pStyle w:val="ListParagraph"/>
        <w:numPr>
          <w:ilvl w:val="0"/>
          <w:numId w:val="133"/>
        </w:numPr>
        <w:spacing w:after="40" w:line="276" w:lineRule="auto"/>
        <w:contextualSpacing w:val="0"/>
        <w:rPr>
          <w:color w:val="auto"/>
          <w:sz w:val="22"/>
        </w:rPr>
      </w:pPr>
      <w:r w:rsidRPr="00C801A6">
        <w:rPr>
          <w:color w:val="auto"/>
          <w:sz w:val="22"/>
          <w:lang w:val="en-US"/>
        </w:rPr>
        <w:t xml:space="preserve">RAHERILALAO, M. J. &amp; GOODMAN, S. M. 2012. </w:t>
      </w:r>
      <w:r w:rsidRPr="00C801A6">
        <w:rPr>
          <w:color w:val="auto"/>
          <w:sz w:val="22"/>
        </w:rPr>
        <w:t>Histoire naturelle des familles et sous familles endémiques d'oiseaux de Madagascar. Madagascar : Association Vahatra.</w:t>
      </w:r>
    </w:p>
    <w:p w14:paraId="202303B4" w14:textId="77777777" w:rsidR="00575CDF" w:rsidRPr="00C801A6" w:rsidRDefault="00575CDF" w:rsidP="00844538">
      <w:pPr>
        <w:pStyle w:val="ListParagraph"/>
        <w:numPr>
          <w:ilvl w:val="0"/>
          <w:numId w:val="133"/>
        </w:numPr>
        <w:spacing w:after="40" w:line="276" w:lineRule="auto"/>
        <w:contextualSpacing w:val="0"/>
        <w:rPr>
          <w:color w:val="auto"/>
          <w:sz w:val="22"/>
        </w:rPr>
      </w:pPr>
      <w:r w:rsidRPr="00C801A6">
        <w:rPr>
          <w:color w:val="auto"/>
          <w:sz w:val="22"/>
        </w:rPr>
        <w:t>RAKOTOVAO, L. H. Monographie sur la biodiversité à Madagascar. Projet GF/0311/94/63. "Assistance à l'élaboration de la monographie nationale sur la biodiversité à Madagascar". Agence d'exécution : Association Nationale pour la Gestion des Aires Protégées.</w:t>
      </w:r>
    </w:p>
    <w:p w14:paraId="7CA743CE" w14:textId="77777777" w:rsidR="00575CDF" w:rsidRPr="00D42025" w:rsidRDefault="00575CDF" w:rsidP="00844538">
      <w:pPr>
        <w:pStyle w:val="ListParagraph"/>
        <w:numPr>
          <w:ilvl w:val="0"/>
          <w:numId w:val="133"/>
        </w:numPr>
        <w:spacing w:after="40" w:line="276" w:lineRule="auto"/>
        <w:contextualSpacing w:val="0"/>
        <w:rPr>
          <w:color w:val="auto"/>
          <w:sz w:val="22"/>
        </w:rPr>
      </w:pPr>
      <w:r w:rsidRPr="00C801A6">
        <w:rPr>
          <w:color w:val="auto"/>
          <w:sz w:val="22"/>
        </w:rPr>
        <w:t xml:space="preserve">ROEDERER, P. 1971. Les sols de Madagascar Scientifique LIX. </w:t>
      </w:r>
      <w:r w:rsidRPr="00D42025">
        <w:rPr>
          <w:color w:val="auto"/>
          <w:sz w:val="22"/>
        </w:rPr>
        <w:t>Année biologique, sér. 3, 31(5-6) : 439-448.</w:t>
      </w:r>
    </w:p>
    <w:p w14:paraId="2E86254E" w14:textId="77777777" w:rsidR="00575CDF" w:rsidRPr="00C801A6" w:rsidRDefault="00575CDF" w:rsidP="00844538">
      <w:pPr>
        <w:pStyle w:val="ListParagraph"/>
        <w:numPr>
          <w:ilvl w:val="0"/>
          <w:numId w:val="133"/>
        </w:numPr>
        <w:spacing w:after="40" w:line="276" w:lineRule="auto"/>
        <w:contextualSpacing w:val="0"/>
        <w:rPr>
          <w:color w:val="auto"/>
          <w:sz w:val="22"/>
          <w:lang w:val="en-GB"/>
        </w:rPr>
      </w:pPr>
      <w:r w:rsidRPr="00C801A6">
        <w:rPr>
          <w:color w:val="auto"/>
          <w:sz w:val="22"/>
          <w:lang w:val="en-GB"/>
        </w:rPr>
        <w:t>SAFFORD, R. &amp; HAWKINS, F. 2013.The birds of Africa: The Malagasy region. Bloomsburry Publishing, New York.</w:t>
      </w:r>
    </w:p>
    <w:p w14:paraId="6B51E166" w14:textId="77777777" w:rsidR="00575CDF" w:rsidRPr="00C801A6" w:rsidRDefault="00575CDF" w:rsidP="00844538">
      <w:pPr>
        <w:pStyle w:val="ListParagraph"/>
        <w:numPr>
          <w:ilvl w:val="0"/>
          <w:numId w:val="133"/>
        </w:numPr>
        <w:spacing w:after="40" w:line="276" w:lineRule="auto"/>
        <w:contextualSpacing w:val="0"/>
        <w:rPr>
          <w:color w:val="auto"/>
          <w:sz w:val="22"/>
        </w:rPr>
      </w:pPr>
      <w:r w:rsidRPr="00C801A6">
        <w:rPr>
          <w:color w:val="auto"/>
          <w:sz w:val="22"/>
          <w:lang w:val="en-GB"/>
        </w:rPr>
        <w:t>SCHWITZER, C., MITTERMEIER, R. A, DAVIES, N., JOHNSON, S., RATSIMBAZAFY, J., RAZAFINDRAMANANA, J., LOUIS JR. E.E. &amp; RAJAOBELINA, S. (eds). 2013. Lemurs of Madagascar: A Strategy for Their Conservation 2013–2016. Bristol, UK: IUCN SSC Primate Specialist Group, Bristol Conservation and Science Foundation, and Conservation International. 18</w:t>
      </w:r>
      <w:r w:rsidRPr="00C801A6">
        <w:rPr>
          <w:color w:val="auto"/>
          <w:sz w:val="22"/>
        </w:rPr>
        <w:t>5 pp.</w:t>
      </w:r>
    </w:p>
    <w:p w14:paraId="3F40EB82" w14:textId="03AA0263" w:rsidR="00E67F89" w:rsidRDefault="00575CDF" w:rsidP="00844538">
      <w:pPr>
        <w:pStyle w:val="ListParagraph"/>
        <w:numPr>
          <w:ilvl w:val="0"/>
          <w:numId w:val="133"/>
        </w:numPr>
        <w:spacing w:after="40" w:line="276" w:lineRule="auto"/>
        <w:contextualSpacing w:val="0"/>
        <w:rPr>
          <w:color w:val="auto"/>
          <w:sz w:val="22"/>
        </w:rPr>
      </w:pPr>
      <w:r w:rsidRPr="00C801A6">
        <w:rPr>
          <w:color w:val="auto"/>
          <w:sz w:val="22"/>
        </w:rPr>
        <w:t>SOARIMALALA, V. &amp; GOODMAN, S. M. 2011.Les petits mammifères de Madagascar. Antananarivo: Association Vahatra.</w:t>
      </w:r>
    </w:p>
    <w:p w14:paraId="2C2A32A8" w14:textId="77777777" w:rsidR="00E67F89" w:rsidRDefault="00E67F89">
      <w:pPr>
        <w:spacing w:line="259" w:lineRule="auto"/>
        <w:jc w:val="left"/>
        <w:rPr>
          <w:color w:val="auto"/>
          <w:sz w:val="22"/>
          <w:lang w:eastAsia="zh-CN"/>
        </w:rPr>
      </w:pPr>
      <w:r>
        <w:rPr>
          <w:color w:val="auto"/>
          <w:sz w:val="22"/>
        </w:rPr>
        <w:br w:type="page"/>
      </w:r>
    </w:p>
    <w:p w14:paraId="6B67AECE" w14:textId="73B488D3" w:rsidR="00E67F89" w:rsidRDefault="00E67F89" w:rsidP="00D42025">
      <w:pPr>
        <w:pStyle w:val="Title"/>
        <w:rPr>
          <w:sz w:val="160"/>
          <w:szCs w:val="160"/>
        </w:rPr>
      </w:pPr>
      <w:bookmarkStart w:id="871" w:name="_Toc230426105"/>
      <w:r w:rsidRPr="00D42025">
        <w:rPr>
          <w:sz w:val="160"/>
          <w:szCs w:val="160"/>
        </w:rPr>
        <w:lastRenderedPageBreak/>
        <w:t>ANNEXES</w:t>
      </w:r>
      <w:bookmarkEnd w:id="871"/>
    </w:p>
    <w:p w14:paraId="6FF20162" w14:textId="77777777" w:rsidR="00E67F89" w:rsidRDefault="00E67F89">
      <w:pPr>
        <w:spacing w:line="259" w:lineRule="auto"/>
        <w:jc w:val="left"/>
        <w:rPr>
          <w:b/>
          <w:bCs/>
          <w:color w:val="auto"/>
          <w:sz w:val="160"/>
          <w:szCs w:val="160"/>
          <w:lang w:eastAsia="zh-CN"/>
        </w:rPr>
      </w:pPr>
      <w:r>
        <w:rPr>
          <w:b/>
          <w:bCs/>
          <w:color w:val="auto"/>
          <w:sz w:val="160"/>
          <w:szCs w:val="160"/>
        </w:rPr>
        <w:br w:type="page"/>
      </w:r>
    </w:p>
    <w:p w14:paraId="250E220A" w14:textId="77777777" w:rsidR="00E67F89" w:rsidRPr="00E67F89" w:rsidRDefault="00E67F89" w:rsidP="00E67F89"/>
    <w:p w14:paraId="2A3CAAB5" w14:textId="77777777" w:rsidR="00E67F89" w:rsidRPr="00E67F89" w:rsidRDefault="00E67F89" w:rsidP="00E67F89">
      <w:pPr>
        <w:sectPr w:rsidR="00E67F89" w:rsidRPr="00E67F89" w:rsidSect="00D42025">
          <w:headerReference w:type="default" r:id="rId50"/>
          <w:footerReference w:type="default" r:id="rId51"/>
          <w:pgSz w:w="11906" w:h="16838" w:code="9"/>
          <w:pgMar w:top="1418" w:right="1134" w:bottom="1418" w:left="1418" w:header="709" w:footer="709" w:gutter="0"/>
          <w:pgNumType w:fmt="upperRoman" w:start="1"/>
          <w:cols w:space="708"/>
          <w:vAlign w:val="center"/>
          <w:docGrid w:linePitch="360"/>
        </w:sectPr>
      </w:pPr>
    </w:p>
    <w:p w14:paraId="746DA9C2" w14:textId="77777777" w:rsidR="00E67F89" w:rsidRPr="00E67F89" w:rsidRDefault="00E67F89" w:rsidP="00E67F89">
      <w:bookmarkStart w:id="872" w:name="_Toc71831497"/>
      <w:bookmarkStart w:id="873" w:name="_Toc138414162"/>
      <w:bookmarkStart w:id="874" w:name="_Toc71267916"/>
      <w:bookmarkStart w:id="875" w:name="_Toc230426106"/>
      <w:r w:rsidRPr="00E67F89">
        <w:lastRenderedPageBreak/>
        <w:t xml:space="preserve">Annexe </w:t>
      </w:r>
      <w:r w:rsidRPr="00E67F89">
        <w:fldChar w:fldCharType="begin"/>
      </w:r>
      <w:r w:rsidRPr="00E67F89">
        <w:instrText xml:space="preserve"> SEQ Annexe \* ARABIC </w:instrText>
      </w:r>
      <w:r w:rsidRPr="00E67F89">
        <w:fldChar w:fldCharType="separate"/>
      </w:r>
      <w:r w:rsidRPr="00E67F89">
        <w:t>1</w:t>
      </w:r>
      <w:r w:rsidRPr="00E67F89">
        <w:fldChar w:fldCharType="end"/>
      </w:r>
      <w:r w:rsidRPr="00E67F89">
        <w:t> : Analyse comparative entre la NES 1 et le cadre juridique national malagasy</w:t>
      </w:r>
      <w:bookmarkEnd w:id="872"/>
      <w:bookmarkEnd w:id="873"/>
      <w:bookmarkEnd w:id="87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1"/>
        <w:gridCol w:w="1065"/>
        <w:gridCol w:w="3013"/>
        <w:gridCol w:w="2414"/>
        <w:gridCol w:w="3591"/>
        <w:gridCol w:w="2523"/>
      </w:tblGrid>
      <w:tr w:rsidR="00E67F89" w:rsidRPr="00E67F89" w14:paraId="06F40CFF" w14:textId="77777777" w:rsidTr="00223F64">
        <w:trPr>
          <w:trHeight w:val="63"/>
          <w:tblHeader/>
          <w:jc w:val="center"/>
        </w:trPr>
        <w:tc>
          <w:tcPr>
            <w:tcW w:w="833" w:type="pct"/>
            <w:vMerge w:val="restart"/>
            <w:shd w:val="clear" w:color="auto" w:fill="E2EFD9" w:themeFill="accent6" w:themeFillTint="33"/>
            <w:vAlign w:val="center"/>
          </w:tcPr>
          <w:bookmarkEnd w:id="874"/>
          <w:p w14:paraId="2E1666AC" w14:textId="77777777" w:rsidR="00E67F89" w:rsidRPr="00E67F89" w:rsidRDefault="00E67F89" w:rsidP="00E67F89">
            <w:r w:rsidRPr="00E67F89">
              <w:t>Thèmes</w:t>
            </w:r>
          </w:p>
        </w:tc>
        <w:tc>
          <w:tcPr>
            <w:tcW w:w="1348" w:type="pct"/>
            <w:gridSpan w:val="2"/>
            <w:shd w:val="clear" w:color="auto" w:fill="E2EFD9" w:themeFill="accent6" w:themeFillTint="33"/>
            <w:vAlign w:val="center"/>
          </w:tcPr>
          <w:p w14:paraId="2C6D9D3E" w14:textId="77777777" w:rsidR="00E67F89" w:rsidRPr="00E67F89" w:rsidRDefault="00E67F89" w:rsidP="00E67F89">
            <w:r w:rsidRPr="00E67F89">
              <w:t>NES1</w:t>
            </w:r>
          </w:p>
        </w:tc>
        <w:tc>
          <w:tcPr>
            <w:tcW w:w="1985" w:type="pct"/>
            <w:gridSpan w:val="2"/>
            <w:shd w:val="clear" w:color="auto" w:fill="E2EFD9" w:themeFill="accent6" w:themeFillTint="33"/>
            <w:vAlign w:val="center"/>
          </w:tcPr>
          <w:p w14:paraId="04361551" w14:textId="77777777" w:rsidR="00E67F89" w:rsidRPr="00E67F89" w:rsidRDefault="00E67F89" w:rsidP="00E67F89">
            <w:r w:rsidRPr="00E67F89">
              <w:t>Cadre législatif et national Malagasy</w:t>
            </w:r>
          </w:p>
        </w:tc>
        <w:tc>
          <w:tcPr>
            <w:tcW w:w="834" w:type="pct"/>
            <w:vMerge w:val="restart"/>
            <w:shd w:val="clear" w:color="auto" w:fill="E2EFD9" w:themeFill="accent6" w:themeFillTint="33"/>
            <w:vAlign w:val="center"/>
          </w:tcPr>
          <w:p w14:paraId="29DC63F9" w14:textId="77777777" w:rsidR="00E67F89" w:rsidRPr="00E67F89" w:rsidRDefault="00E67F89" w:rsidP="00E67F89">
            <w:r w:rsidRPr="00E67F89">
              <w:t>Analyse des écarts. Implications pour le Programme</w:t>
            </w:r>
          </w:p>
        </w:tc>
      </w:tr>
      <w:tr w:rsidR="00E67F89" w:rsidRPr="00E67F89" w14:paraId="1EA82E5A" w14:textId="77777777" w:rsidTr="00223F64">
        <w:trPr>
          <w:trHeight w:val="58"/>
          <w:tblHeader/>
          <w:jc w:val="center"/>
        </w:trPr>
        <w:tc>
          <w:tcPr>
            <w:tcW w:w="833" w:type="pct"/>
            <w:vMerge/>
            <w:shd w:val="clear" w:color="auto" w:fill="BDF9FF"/>
          </w:tcPr>
          <w:p w14:paraId="5BA33554" w14:textId="77777777" w:rsidR="00E67F89" w:rsidRPr="00E67F89" w:rsidRDefault="00E67F89" w:rsidP="00E67F89"/>
        </w:tc>
        <w:tc>
          <w:tcPr>
            <w:tcW w:w="352" w:type="pct"/>
            <w:shd w:val="clear" w:color="auto" w:fill="E2EFD9" w:themeFill="accent6" w:themeFillTint="33"/>
            <w:vAlign w:val="center"/>
          </w:tcPr>
          <w:p w14:paraId="1F41B52E" w14:textId="77777777" w:rsidR="00E67F89" w:rsidRPr="00E67F89" w:rsidRDefault="00E67F89" w:rsidP="00E67F89">
            <w:r w:rsidRPr="00E67F89">
              <w:t>Réf</w:t>
            </w:r>
          </w:p>
        </w:tc>
        <w:tc>
          <w:tcPr>
            <w:tcW w:w="996" w:type="pct"/>
            <w:shd w:val="clear" w:color="auto" w:fill="E2EFD9" w:themeFill="accent6" w:themeFillTint="33"/>
            <w:vAlign w:val="center"/>
          </w:tcPr>
          <w:p w14:paraId="36D05B23" w14:textId="77777777" w:rsidR="00E67F89" w:rsidRPr="00E67F89" w:rsidRDefault="00E67F89" w:rsidP="00E67F89">
            <w:r w:rsidRPr="00E67F89">
              <w:t>Obligations/ Exigences</w:t>
            </w:r>
          </w:p>
        </w:tc>
        <w:tc>
          <w:tcPr>
            <w:tcW w:w="798" w:type="pct"/>
            <w:shd w:val="clear" w:color="auto" w:fill="E2EFD9" w:themeFill="accent6" w:themeFillTint="33"/>
            <w:vAlign w:val="center"/>
          </w:tcPr>
          <w:p w14:paraId="724514BE" w14:textId="77777777" w:rsidR="00E67F89" w:rsidRPr="00E67F89" w:rsidRDefault="00E67F89" w:rsidP="00E67F89">
            <w:r w:rsidRPr="00E67F89">
              <w:t>Texte de référence</w:t>
            </w:r>
          </w:p>
        </w:tc>
        <w:tc>
          <w:tcPr>
            <w:tcW w:w="1187" w:type="pct"/>
            <w:shd w:val="clear" w:color="auto" w:fill="E2EFD9" w:themeFill="accent6" w:themeFillTint="33"/>
            <w:vAlign w:val="center"/>
          </w:tcPr>
          <w:p w14:paraId="5F39C4B8" w14:textId="77777777" w:rsidR="00E67F89" w:rsidRPr="00E67F89" w:rsidRDefault="00E67F89" w:rsidP="00E67F89">
            <w:r w:rsidRPr="00E67F89">
              <w:t>Dispositions</w:t>
            </w:r>
          </w:p>
        </w:tc>
        <w:tc>
          <w:tcPr>
            <w:tcW w:w="834" w:type="pct"/>
            <w:vMerge/>
            <w:shd w:val="clear" w:color="auto" w:fill="BDF9FF"/>
          </w:tcPr>
          <w:p w14:paraId="463C9EE2" w14:textId="77777777" w:rsidR="00E67F89" w:rsidRPr="00E67F89" w:rsidRDefault="00E67F89" w:rsidP="00E67F89"/>
        </w:tc>
      </w:tr>
      <w:tr w:rsidR="00E67F89" w:rsidRPr="00E67F89" w14:paraId="06E0EF57" w14:textId="77777777" w:rsidTr="00223F64">
        <w:trPr>
          <w:jc w:val="center"/>
        </w:trPr>
        <w:tc>
          <w:tcPr>
            <w:tcW w:w="833" w:type="pct"/>
            <w:vMerge w:val="restart"/>
          </w:tcPr>
          <w:p w14:paraId="3506FBE7" w14:textId="77777777" w:rsidR="00E67F89" w:rsidRPr="00E67F89" w:rsidRDefault="00E67F89" w:rsidP="00E67F89">
            <w:r w:rsidRPr="00E67F89">
              <w:t>Evaluation environnementale et sociale</w:t>
            </w:r>
          </w:p>
        </w:tc>
        <w:tc>
          <w:tcPr>
            <w:tcW w:w="352" w:type="pct"/>
          </w:tcPr>
          <w:p w14:paraId="67FA9226" w14:textId="77777777" w:rsidR="00E67F89" w:rsidRPr="00E67F89" w:rsidRDefault="00E67F89" w:rsidP="00E67F89">
            <w:r w:rsidRPr="00E67F89">
              <w:t>14</w:t>
            </w:r>
          </w:p>
        </w:tc>
        <w:tc>
          <w:tcPr>
            <w:tcW w:w="996" w:type="pct"/>
          </w:tcPr>
          <w:p w14:paraId="12C5B5B7" w14:textId="77777777" w:rsidR="00E67F89" w:rsidRPr="00E67F89" w:rsidRDefault="00E67F89" w:rsidP="00E67F89">
            <w:r w:rsidRPr="00E67F89">
              <w:t xml:space="preserve">Evaluer, gérer et suivre les risques et effets environnementaux et sociaux tout au long du projet afin de répondre aux exigences des NES </w:t>
            </w:r>
          </w:p>
        </w:tc>
        <w:tc>
          <w:tcPr>
            <w:tcW w:w="798" w:type="pct"/>
          </w:tcPr>
          <w:p w14:paraId="45D8F543" w14:textId="77777777" w:rsidR="00E67F89" w:rsidRPr="00E67F89" w:rsidRDefault="00E67F89" w:rsidP="00E67F89">
            <w:r w:rsidRPr="00E67F89">
              <w:t xml:space="preserve">Charte de l’Environnement actualisée </w:t>
            </w:r>
          </w:p>
        </w:tc>
        <w:tc>
          <w:tcPr>
            <w:tcW w:w="1187" w:type="pct"/>
          </w:tcPr>
          <w:p w14:paraId="2F45E5A1" w14:textId="77777777" w:rsidR="00E67F89" w:rsidRPr="00E67F89" w:rsidRDefault="00E67F89" w:rsidP="00E67F89">
            <w:r w:rsidRPr="00E67F89">
              <w:t>Les projets d’investissements privés ou publics, qu’ils soient soumis ou non à une autorisation ou une approbation d’une autorité administrative ou qu’ils soient susceptibles de porter atteinte à l’environnement doivent faire l’objet d’une étude d’impact environnemental [Article 13]</w:t>
            </w:r>
          </w:p>
        </w:tc>
        <w:tc>
          <w:tcPr>
            <w:tcW w:w="834" w:type="pct"/>
          </w:tcPr>
          <w:p w14:paraId="2787269C" w14:textId="77777777" w:rsidR="00E67F89" w:rsidRPr="00E67F89" w:rsidRDefault="00E67F89" w:rsidP="00E67F89">
            <w:r w:rsidRPr="00E67F89">
              <w:t>Correspondance entre la NES 1 et le cadre national malagasy</w:t>
            </w:r>
          </w:p>
        </w:tc>
      </w:tr>
      <w:tr w:rsidR="00E67F89" w:rsidRPr="00E67F89" w14:paraId="1A942E83" w14:textId="77777777" w:rsidTr="00223F64">
        <w:trPr>
          <w:jc w:val="center"/>
        </w:trPr>
        <w:tc>
          <w:tcPr>
            <w:tcW w:w="833" w:type="pct"/>
            <w:vMerge/>
          </w:tcPr>
          <w:p w14:paraId="7E4A86B6" w14:textId="77777777" w:rsidR="00E67F89" w:rsidRPr="00E67F89" w:rsidRDefault="00E67F89" w:rsidP="00E67F89"/>
        </w:tc>
        <w:tc>
          <w:tcPr>
            <w:tcW w:w="352" w:type="pct"/>
          </w:tcPr>
          <w:p w14:paraId="0C1EF778" w14:textId="77777777" w:rsidR="00E67F89" w:rsidRPr="00E67F89" w:rsidRDefault="00E67F89" w:rsidP="00E67F89">
            <w:r w:rsidRPr="00E67F89">
              <w:t>15 a</w:t>
            </w:r>
          </w:p>
        </w:tc>
        <w:tc>
          <w:tcPr>
            <w:tcW w:w="996" w:type="pct"/>
          </w:tcPr>
          <w:p w14:paraId="1B087A1B" w14:textId="77777777" w:rsidR="00E67F89" w:rsidRPr="00E67F89" w:rsidRDefault="00E67F89" w:rsidP="00E67F89">
            <w:r w:rsidRPr="00E67F89">
              <w:t>Procéder à une évaluation environnementale et sociale du projet proposé, y compris la mobilisation des parties prenantes</w:t>
            </w:r>
          </w:p>
        </w:tc>
        <w:tc>
          <w:tcPr>
            <w:tcW w:w="798" w:type="pct"/>
            <w:vMerge w:val="restart"/>
          </w:tcPr>
          <w:p w14:paraId="2F412A89" w14:textId="77777777" w:rsidR="00E67F89" w:rsidRPr="00E67F89" w:rsidRDefault="00E67F89" w:rsidP="00E67F89">
            <w:r w:rsidRPr="00E67F89">
              <w:t>Charte de l’Environnement actualisée</w:t>
            </w:r>
          </w:p>
        </w:tc>
        <w:tc>
          <w:tcPr>
            <w:tcW w:w="1187" w:type="pct"/>
            <w:vMerge w:val="restart"/>
          </w:tcPr>
          <w:p w14:paraId="7209A39B" w14:textId="77777777" w:rsidR="00E67F89" w:rsidRPr="00E67F89" w:rsidRDefault="00E67F89" w:rsidP="00E67F89">
            <w:r w:rsidRPr="00E67F89">
              <w:t>Toute personne physique ou morale a le droit d’accéder aux informations susceptibles d’exercer des influences sur l’environnement. Toute personne physique ou morale a le droit de participer aux procédures préalables à a prise de décisions susceptibles d’avoir des effets préjudiciables à l’environnement. [Article 7]</w:t>
            </w:r>
          </w:p>
        </w:tc>
        <w:tc>
          <w:tcPr>
            <w:tcW w:w="834" w:type="pct"/>
            <w:vMerge w:val="restart"/>
          </w:tcPr>
          <w:p w14:paraId="76D66957" w14:textId="77777777" w:rsidR="00E67F89" w:rsidRPr="00E67F89" w:rsidRDefault="00E67F89" w:rsidP="00E67F89">
            <w:r w:rsidRPr="00E67F89">
              <w:t>Correspondance entre la NES 1 et le cadre national malagasy</w:t>
            </w:r>
          </w:p>
        </w:tc>
      </w:tr>
      <w:tr w:rsidR="00E67F89" w:rsidRPr="00E67F89" w14:paraId="1FDFF1DA" w14:textId="77777777" w:rsidTr="00223F64">
        <w:trPr>
          <w:jc w:val="center"/>
        </w:trPr>
        <w:tc>
          <w:tcPr>
            <w:tcW w:w="833" w:type="pct"/>
            <w:vMerge/>
          </w:tcPr>
          <w:p w14:paraId="41C90D77" w14:textId="77777777" w:rsidR="00E67F89" w:rsidRPr="00E67F89" w:rsidRDefault="00E67F89" w:rsidP="00E67F89"/>
        </w:tc>
        <w:tc>
          <w:tcPr>
            <w:tcW w:w="352" w:type="pct"/>
          </w:tcPr>
          <w:p w14:paraId="591658B5" w14:textId="77777777" w:rsidR="00E67F89" w:rsidRPr="00E67F89" w:rsidRDefault="00E67F89" w:rsidP="00E67F89">
            <w:r w:rsidRPr="00E67F89">
              <w:t>15 b</w:t>
            </w:r>
          </w:p>
        </w:tc>
        <w:tc>
          <w:tcPr>
            <w:tcW w:w="996" w:type="pct"/>
          </w:tcPr>
          <w:p w14:paraId="495606B9" w14:textId="77777777" w:rsidR="00E67F89" w:rsidRPr="00E67F89" w:rsidRDefault="00E67F89" w:rsidP="00E67F89">
            <w:r w:rsidRPr="00E67F89">
              <w:t>Etablir le dialogue avec les parties prenantes et diffuser des informations pertinentes conformément à la NES 10</w:t>
            </w:r>
          </w:p>
        </w:tc>
        <w:tc>
          <w:tcPr>
            <w:tcW w:w="798" w:type="pct"/>
            <w:vMerge/>
          </w:tcPr>
          <w:p w14:paraId="044CC16D" w14:textId="77777777" w:rsidR="00E67F89" w:rsidRPr="00E67F89" w:rsidRDefault="00E67F89" w:rsidP="00E67F89"/>
        </w:tc>
        <w:tc>
          <w:tcPr>
            <w:tcW w:w="1187" w:type="pct"/>
            <w:vMerge/>
          </w:tcPr>
          <w:p w14:paraId="0FA51A63" w14:textId="77777777" w:rsidR="00E67F89" w:rsidRPr="00E67F89" w:rsidRDefault="00E67F89" w:rsidP="00E67F89"/>
        </w:tc>
        <w:tc>
          <w:tcPr>
            <w:tcW w:w="834" w:type="pct"/>
            <w:vMerge/>
          </w:tcPr>
          <w:p w14:paraId="4BF20CC0" w14:textId="77777777" w:rsidR="00E67F89" w:rsidRPr="00E67F89" w:rsidRDefault="00E67F89" w:rsidP="00E67F89"/>
        </w:tc>
      </w:tr>
      <w:tr w:rsidR="00E67F89" w:rsidRPr="00E67F89" w14:paraId="1FE7F795" w14:textId="77777777" w:rsidTr="00223F64">
        <w:trPr>
          <w:jc w:val="center"/>
        </w:trPr>
        <w:tc>
          <w:tcPr>
            <w:tcW w:w="833" w:type="pct"/>
            <w:vMerge/>
          </w:tcPr>
          <w:p w14:paraId="6D4DF256" w14:textId="77777777" w:rsidR="00E67F89" w:rsidRPr="00E67F89" w:rsidRDefault="00E67F89" w:rsidP="00E67F89"/>
        </w:tc>
        <w:tc>
          <w:tcPr>
            <w:tcW w:w="352" w:type="pct"/>
          </w:tcPr>
          <w:p w14:paraId="6256CBA5" w14:textId="77777777" w:rsidR="00E67F89" w:rsidRPr="00E67F89" w:rsidRDefault="00E67F89" w:rsidP="00E67F89">
            <w:r w:rsidRPr="00E67F89">
              <w:t>15 d</w:t>
            </w:r>
          </w:p>
        </w:tc>
        <w:tc>
          <w:tcPr>
            <w:tcW w:w="996" w:type="pct"/>
          </w:tcPr>
          <w:p w14:paraId="36CF6344" w14:textId="77777777" w:rsidR="00E67F89" w:rsidRPr="00E67F89" w:rsidRDefault="00E67F89" w:rsidP="00E67F89">
            <w:r w:rsidRPr="00E67F89">
              <w:t xml:space="preserve">Assurer le suivi de la performance environnementale et sociale du projet et la diffusion des </w:t>
            </w:r>
            <w:r w:rsidRPr="00E67F89">
              <w:lastRenderedPageBreak/>
              <w:t>informations y relatives en tenant compte des NES</w:t>
            </w:r>
          </w:p>
          <w:p w14:paraId="4D1FF7E0" w14:textId="77777777" w:rsidR="00E67F89" w:rsidRPr="00E67F89" w:rsidRDefault="00E67F89" w:rsidP="00E67F89">
            <w:r w:rsidRPr="00E67F89">
              <w:t>Réalisation des instruments d’évaluation environnementale tels que EES, CGES, CR, EIES, Audit environnemental et sociale, Evaluation des dangers et des risques, Evaluation de l’impact cumulatif, Analyse du contexte social en situation de conflit, EIES sectoriel, EIES Régional</w:t>
            </w:r>
          </w:p>
        </w:tc>
        <w:tc>
          <w:tcPr>
            <w:tcW w:w="798" w:type="pct"/>
          </w:tcPr>
          <w:p w14:paraId="5E7533D9" w14:textId="77777777" w:rsidR="00E67F89" w:rsidRPr="00E67F89" w:rsidRDefault="00E67F89" w:rsidP="00E67F89">
            <w:r w:rsidRPr="00E67F89">
              <w:lastRenderedPageBreak/>
              <w:t>Charte de l’Environnement actualisée</w:t>
            </w:r>
          </w:p>
        </w:tc>
        <w:tc>
          <w:tcPr>
            <w:tcW w:w="1187" w:type="pct"/>
          </w:tcPr>
          <w:p w14:paraId="5153061D" w14:textId="77777777" w:rsidR="00E67F89" w:rsidRPr="00E67F89" w:rsidRDefault="00E67F89" w:rsidP="00E67F89">
            <w:r w:rsidRPr="00E67F89">
              <w:t xml:space="preserve">Une des actions principales en matière de bonne gouvernance environnementale est l’existence de dispositifs d’évaluation, </w:t>
            </w:r>
            <w:r w:rsidRPr="00E67F89">
              <w:lastRenderedPageBreak/>
              <w:t>d’étude, de contrôle, de suivi/inspection des impacts environnementaux, à travers l’Evaluation environnementale stratégique (EES), l’Etude d’impact environnemental, (EIE), Programme d’Engagement Environnemental (PREE) et Audit environnemental [Article 20]</w:t>
            </w:r>
          </w:p>
        </w:tc>
        <w:tc>
          <w:tcPr>
            <w:tcW w:w="834" w:type="pct"/>
          </w:tcPr>
          <w:p w14:paraId="791E7128" w14:textId="77777777" w:rsidR="00E67F89" w:rsidRPr="00E67F89" w:rsidRDefault="00E67F89" w:rsidP="00E67F89">
            <w:r w:rsidRPr="00E67F89">
              <w:lastRenderedPageBreak/>
              <w:t>Correspondance entre la NES 1 et le cadre national malagasy</w:t>
            </w:r>
          </w:p>
        </w:tc>
      </w:tr>
      <w:tr w:rsidR="00E67F89" w:rsidRPr="00E67F89" w14:paraId="2448F3F9" w14:textId="77777777" w:rsidTr="00223F64">
        <w:trPr>
          <w:jc w:val="center"/>
        </w:trPr>
        <w:tc>
          <w:tcPr>
            <w:tcW w:w="833" w:type="pct"/>
            <w:vMerge w:val="restart"/>
          </w:tcPr>
          <w:p w14:paraId="2111BFE9" w14:textId="77777777" w:rsidR="00E67F89" w:rsidRPr="00E67F89" w:rsidRDefault="00E67F89" w:rsidP="00E67F89">
            <w:r w:rsidRPr="00E67F89">
              <w:t>Evaluation environnementale et sociale</w:t>
            </w:r>
          </w:p>
        </w:tc>
        <w:tc>
          <w:tcPr>
            <w:tcW w:w="352" w:type="pct"/>
          </w:tcPr>
          <w:p w14:paraId="40FC0AA3" w14:textId="77777777" w:rsidR="00E67F89" w:rsidRPr="00E67F89" w:rsidRDefault="00E67F89" w:rsidP="00E67F89"/>
        </w:tc>
        <w:tc>
          <w:tcPr>
            <w:tcW w:w="996" w:type="pct"/>
          </w:tcPr>
          <w:p w14:paraId="2030E383" w14:textId="77777777" w:rsidR="00E67F89" w:rsidRPr="00E67F89" w:rsidRDefault="00E67F89" w:rsidP="00E67F89">
            <w:r w:rsidRPr="00E67F89">
              <w:t>Formuler des plans ou prendre des mesures et actions spécifiques sur une période déterminée pour éviter, minimiser, réduire ou atténuer des risques et impacts particuliers du projet</w:t>
            </w:r>
          </w:p>
        </w:tc>
        <w:tc>
          <w:tcPr>
            <w:tcW w:w="798" w:type="pct"/>
          </w:tcPr>
          <w:p w14:paraId="0E94D955" w14:textId="77777777" w:rsidR="00E67F89" w:rsidRPr="00E67F89" w:rsidRDefault="00E67F89" w:rsidP="00E67F89">
            <w:r w:rsidRPr="00E67F89">
              <w:t>Décret MECIE</w:t>
            </w:r>
          </w:p>
        </w:tc>
        <w:tc>
          <w:tcPr>
            <w:tcW w:w="1187" w:type="pct"/>
          </w:tcPr>
          <w:p w14:paraId="7F6242F4" w14:textId="77777777" w:rsidR="00E67F89" w:rsidRPr="00E67F89" w:rsidRDefault="00E67F89" w:rsidP="00E67F89">
            <w:r w:rsidRPr="00E67F89">
              <w:t xml:space="preserve">Existence de Plan de gestion environnementale et sociale ou PGEP qui constitue le cahier de charges environnementales et sociales et qui consiste en un programme de mise en œuvre et de suivi des mesures envisagées par l’EIES pour réduire, supprimer, et éventuellement compenser les conséquences dommageables du </w:t>
            </w:r>
            <w:r w:rsidRPr="00E67F89">
              <w:lastRenderedPageBreak/>
              <w:t>projet sur l’environnement [Article 2]</w:t>
            </w:r>
          </w:p>
        </w:tc>
        <w:tc>
          <w:tcPr>
            <w:tcW w:w="834" w:type="pct"/>
          </w:tcPr>
          <w:p w14:paraId="77AF89DE" w14:textId="77777777" w:rsidR="00E67F89" w:rsidRPr="00E67F89" w:rsidRDefault="00E67F89" w:rsidP="00E67F89">
            <w:r w:rsidRPr="00E67F89">
              <w:lastRenderedPageBreak/>
              <w:t>Correspondance entre la NES 1 et le cadre national malagasy</w:t>
            </w:r>
          </w:p>
        </w:tc>
      </w:tr>
      <w:tr w:rsidR="00E67F89" w:rsidRPr="00E67F89" w14:paraId="122BC4E6" w14:textId="77777777" w:rsidTr="00223F64">
        <w:trPr>
          <w:jc w:val="center"/>
        </w:trPr>
        <w:tc>
          <w:tcPr>
            <w:tcW w:w="833" w:type="pct"/>
            <w:vMerge/>
          </w:tcPr>
          <w:p w14:paraId="1DC467B5" w14:textId="77777777" w:rsidR="00E67F89" w:rsidRPr="00E67F89" w:rsidRDefault="00E67F89" w:rsidP="00E67F89"/>
        </w:tc>
        <w:tc>
          <w:tcPr>
            <w:tcW w:w="352" w:type="pct"/>
          </w:tcPr>
          <w:p w14:paraId="12CB52D7" w14:textId="77777777" w:rsidR="00E67F89" w:rsidRPr="00E67F89" w:rsidRDefault="00E67F89" w:rsidP="00E67F89">
            <w:r w:rsidRPr="00E67F89">
              <w:t>15 c</w:t>
            </w:r>
          </w:p>
        </w:tc>
        <w:tc>
          <w:tcPr>
            <w:tcW w:w="996" w:type="pct"/>
          </w:tcPr>
          <w:p w14:paraId="1D35AB8B" w14:textId="77777777" w:rsidR="00E67F89" w:rsidRPr="00E67F89" w:rsidRDefault="00E67F89" w:rsidP="00E67F89">
            <w:r w:rsidRPr="00E67F89">
              <w:t>Elaborer un PEES et mettre en œuvre toutes les mesures et actions prévues dans l’accord juridique, y compris le PEES</w:t>
            </w:r>
          </w:p>
        </w:tc>
        <w:tc>
          <w:tcPr>
            <w:tcW w:w="798" w:type="pct"/>
          </w:tcPr>
          <w:p w14:paraId="2F02B822" w14:textId="77777777" w:rsidR="00E67F89" w:rsidRPr="00E67F89" w:rsidRDefault="00E67F89" w:rsidP="00E67F89">
            <w:r w:rsidRPr="00E67F89">
              <w:t>Décret MECIE</w:t>
            </w:r>
          </w:p>
        </w:tc>
        <w:tc>
          <w:tcPr>
            <w:tcW w:w="1187" w:type="pct"/>
          </w:tcPr>
          <w:p w14:paraId="165EB284" w14:textId="77777777" w:rsidR="00E67F89" w:rsidRPr="00E67F89" w:rsidRDefault="00E67F89" w:rsidP="00E67F89">
            <w:r w:rsidRPr="00E67F89">
              <w:t>Existence des dispositions qui obligent certains investissements à préparer un Programme d’Engagement Environnemental et Social (PREES) [Annexe II du Décret MECIE]</w:t>
            </w:r>
          </w:p>
        </w:tc>
        <w:tc>
          <w:tcPr>
            <w:tcW w:w="834" w:type="pct"/>
          </w:tcPr>
          <w:p w14:paraId="49F33457" w14:textId="77777777" w:rsidR="00E67F89" w:rsidRPr="00E67F89" w:rsidRDefault="00E67F89" w:rsidP="00E67F89">
            <w:r w:rsidRPr="00E67F89">
              <w:t>Complémentarité entre la NES 1 et le cadre légal national</w:t>
            </w:r>
          </w:p>
        </w:tc>
      </w:tr>
      <w:tr w:rsidR="00E67F89" w:rsidRPr="00E67F89" w14:paraId="3426DDFF" w14:textId="77777777" w:rsidTr="00223F64">
        <w:trPr>
          <w:jc w:val="center"/>
        </w:trPr>
        <w:tc>
          <w:tcPr>
            <w:tcW w:w="833" w:type="pct"/>
            <w:vMerge/>
          </w:tcPr>
          <w:p w14:paraId="342D767C" w14:textId="77777777" w:rsidR="00E67F89" w:rsidRPr="00E67F89" w:rsidRDefault="00E67F89" w:rsidP="00E67F89"/>
        </w:tc>
        <w:tc>
          <w:tcPr>
            <w:tcW w:w="352" w:type="pct"/>
          </w:tcPr>
          <w:p w14:paraId="4F273F19" w14:textId="77777777" w:rsidR="00E67F89" w:rsidRPr="00E67F89" w:rsidRDefault="00E67F89" w:rsidP="00E67F89">
            <w:r w:rsidRPr="00E67F89">
              <w:t>NO 27.3</w:t>
            </w:r>
          </w:p>
        </w:tc>
        <w:tc>
          <w:tcPr>
            <w:tcW w:w="996" w:type="pct"/>
          </w:tcPr>
          <w:p w14:paraId="2FAC89EF" w14:textId="77777777" w:rsidR="00E67F89" w:rsidRPr="00E67F89" w:rsidRDefault="00E67F89" w:rsidP="00E67F89">
            <w:r w:rsidRPr="00E67F89">
              <w:t>L’EES doit intégrer les actions suivantes : (1) Anticiper et éviter, (2) Minimiser, (3) Atténuer, (4) Neutraliser ou compenser</w:t>
            </w:r>
          </w:p>
        </w:tc>
        <w:tc>
          <w:tcPr>
            <w:tcW w:w="798" w:type="pct"/>
          </w:tcPr>
          <w:p w14:paraId="0934663A" w14:textId="77777777" w:rsidR="00E67F89" w:rsidRPr="00E67F89" w:rsidRDefault="00E67F89" w:rsidP="00E67F89">
            <w:r w:rsidRPr="00E67F89">
              <w:t>Décret MECIE</w:t>
            </w:r>
          </w:p>
        </w:tc>
        <w:tc>
          <w:tcPr>
            <w:tcW w:w="1187" w:type="pct"/>
          </w:tcPr>
          <w:p w14:paraId="3A426EBA" w14:textId="77777777" w:rsidR="00E67F89" w:rsidRPr="00E67F89" w:rsidRDefault="00E67F89" w:rsidP="00E67F89">
            <w:r w:rsidRPr="00E67F89">
              <w:t>L’EIES, doit faire un examen préalable des risques et impacts potentiels prévisibles d’une activité donnée sue l’environnement et le milieu social, ressortir les mesures scientifiques, techniques, socio-économiques, matérielles envisagées pour supprimer, réduire et éventuellement, compenser les conséquences dommageables de l’investissement sur l’environnement [Article 83].</w:t>
            </w:r>
          </w:p>
          <w:p w14:paraId="219E9D21" w14:textId="77777777" w:rsidR="00E67F89" w:rsidRPr="00E67F89" w:rsidRDefault="00E67F89" w:rsidP="00E67F89">
            <w:r w:rsidRPr="00E67F89">
              <w:t xml:space="preserve">L’évaluation environnementale met en relief que le projet soumis est celui du moindre impact, les impacts anticipés pourraient être </w:t>
            </w:r>
            <w:r w:rsidRPr="00E67F89">
              <w:lastRenderedPageBreak/>
              <w:t>atténués et les impacts résiduels acceptables. [Article 89]</w:t>
            </w:r>
          </w:p>
        </w:tc>
        <w:tc>
          <w:tcPr>
            <w:tcW w:w="834" w:type="pct"/>
          </w:tcPr>
          <w:p w14:paraId="5CFEC05F" w14:textId="77777777" w:rsidR="00E67F89" w:rsidRPr="00E67F89" w:rsidRDefault="00E67F89" w:rsidP="00E67F89">
            <w:r w:rsidRPr="00E67F89">
              <w:lastRenderedPageBreak/>
              <w:t>Correspondance entre la NES 1 et le cadre légal national</w:t>
            </w:r>
          </w:p>
        </w:tc>
      </w:tr>
      <w:tr w:rsidR="00E67F89" w:rsidRPr="00E67F89" w14:paraId="13C77C63" w14:textId="77777777" w:rsidTr="00223F64">
        <w:trPr>
          <w:jc w:val="center"/>
        </w:trPr>
        <w:tc>
          <w:tcPr>
            <w:tcW w:w="5000" w:type="pct"/>
            <w:gridSpan w:val="6"/>
            <w:shd w:val="clear" w:color="auto" w:fill="FFF2CC" w:themeFill="accent4" w:themeFillTint="33"/>
          </w:tcPr>
          <w:p w14:paraId="521F3F2D" w14:textId="77777777" w:rsidR="00E67F89" w:rsidRPr="00E67F89" w:rsidRDefault="00E67F89" w:rsidP="00E67F89">
            <w:r w:rsidRPr="00E67F89">
              <w:t xml:space="preserve">Plan d’engagement environnemental et social </w:t>
            </w:r>
          </w:p>
        </w:tc>
      </w:tr>
      <w:tr w:rsidR="00E67F89" w:rsidRPr="00E67F89" w14:paraId="0151A6DC" w14:textId="77777777" w:rsidTr="00223F64">
        <w:trPr>
          <w:jc w:val="center"/>
        </w:trPr>
        <w:tc>
          <w:tcPr>
            <w:tcW w:w="833" w:type="pct"/>
          </w:tcPr>
          <w:p w14:paraId="66FBB00A" w14:textId="77777777" w:rsidR="00E67F89" w:rsidRPr="00E67F89" w:rsidRDefault="00E67F89" w:rsidP="00E67F89"/>
        </w:tc>
        <w:tc>
          <w:tcPr>
            <w:tcW w:w="352" w:type="pct"/>
          </w:tcPr>
          <w:p w14:paraId="609D53CF" w14:textId="77777777" w:rsidR="00E67F89" w:rsidRPr="00E67F89" w:rsidRDefault="00E67F89" w:rsidP="00E67F89">
            <w:r w:rsidRPr="00E67F89">
              <w:t>36</w:t>
            </w:r>
          </w:p>
        </w:tc>
        <w:tc>
          <w:tcPr>
            <w:tcW w:w="996" w:type="pct"/>
          </w:tcPr>
          <w:p w14:paraId="0EA526C9" w14:textId="77777777" w:rsidR="00E67F89" w:rsidRPr="00E67F89" w:rsidRDefault="00E67F89" w:rsidP="00E67F89">
            <w:r w:rsidRPr="00E67F89">
              <w:t>Préparer et mettre en œuvre un PEES pour le projet</w:t>
            </w:r>
          </w:p>
        </w:tc>
        <w:tc>
          <w:tcPr>
            <w:tcW w:w="798" w:type="pct"/>
          </w:tcPr>
          <w:p w14:paraId="70CDA6C9" w14:textId="77777777" w:rsidR="00E67F89" w:rsidRPr="00E67F89" w:rsidRDefault="00E67F89" w:rsidP="00E67F89"/>
        </w:tc>
        <w:tc>
          <w:tcPr>
            <w:tcW w:w="1187" w:type="pct"/>
          </w:tcPr>
          <w:p w14:paraId="1C846EF3" w14:textId="77777777" w:rsidR="00E67F89" w:rsidRPr="00E67F89" w:rsidRDefault="00E67F89" w:rsidP="00E67F89">
            <w:r w:rsidRPr="00E67F89">
              <w:t>Néant</w:t>
            </w:r>
          </w:p>
        </w:tc>
        <w:tc>
          <w:tcPr>
            <w:tcW w:w="834" w:type="pct"/>
          </w:tcPr>
          <w:p w14:paraId="1FA1128E" w14:textId="77777777" w:rsidR="00E67F89" w:rsidRPr="00E67F89" w:rsidRDefault="00E67F89" w:rsidP="00E67F89">
            <w:r w:rsidRPr="00E67F89">
              <w:t>Non prévu dans le cadre national</w:t>
            </w:r>
          </w:p>
        </w:tc>
      </w:tr>
      <w:tr w:rsidR="00E67F89" w:rsidRPr="00E67F89" w14:paraId="3361A3F8" w14:textId="77777777" w:rsidTr="00223F64">
        <w:trPr>
          <w:jc w:val="center"/>
        </w:trPr>
        <w:tc>
          <w:tcPr>
            <w:tcW w:w="833" w:type="pct"/>
          </w:tcPr>
          <w:p w14:paraId="347AEE29" w14:textId="77777777" w:rsidR="00E67F89" w:rsidRPr="00E67F89" w:rsidRDefault="00E67F89" w:rsidP="00E67F89"/>
        </w:tc>
        <w:tc>
          <w:tcPr>
            <w:tcW w:w="352" w:type="pct"/>
          </w:tcPr>
          <w:p w14:paraId="6B0F6320" w14:textId="77777777" w:rsidR="00E67F89" w:rsidRPr="00E67F89" w:rsidRDefault="00E67F89" w:rsidP="00E67F89">
            <w:r w:rsidRPr="00E67F89">
              <w:t>41</w:t>
            </w:r>
          </w:p>
        </w:tc>
        <w:tc>
          <w:tcPr>
            <w:tcW w:w="996" w:type="pct"/>
          </w:tcPr>
          <w:p w14:paraId="485AABDD" w14:textId="77777777" w:rsidR="00E67F89" w:rsidRPr="00E67F89" w:rsidRDefault="00E67F89" w:rsidP="00E67F89">
            <w:r w:rsidRPr="00E67F89">
              <w:t xml:space="preserve">Le PEES décrit les différents outils de gestion à utiliser pour élaborer et mettre en œuvre les mesures et actions convenues. Il s’agira, selon le cas, de plans de gestion environnementale et sociale, de cadres de gestion environnementale et sociale, de politiques opérationnelles, de manuels opérationnels, de systèmes, procédures et pratiques de gestion, et d’investissements en capital. </w:t>
            </w:r>
          </w:p>
          <w:p w14:paraId="59800870" w14:textId="77777777" w:rsidR="00E67F89" w:rsidRPr="00E67F89" w:rsidRDefault="00E67F89" w:rsidP="00E67F89">
            <w:r w:rsidRPr="00E67F89">
              <w:t xml:space="preserve">Les outils de gestion définissent les résultats escomptés en termes mesurables (par exemple, par rapport à la situation de </w:t>
            </w:r>
            <w:r w:rsidRPr="00E67F89">
              <w:lastRenderedPageBreak/>
              <w:t>départ) à l’aide d’éléments tels que des objectifs et des indicateurs de performance qui peuvent être suivis sur des périodes bien définies.</w:t>
            </w:r>
          </w:p>
        </w:tc>
        <w:tc>
          <w:tcPr>
            <w:tcW w:w="798" w:type="pct"/>
          </w:tcPr>
          <w:p w14:paraId="1FD091A6" w14:textId="77777777" w:rsidR="00E67F89" w:rsidRPr="00E67F89" w:rsidRDefault="00E67F89" w:rsidP="00E67F89"/>
        </w:tc>
        <w:tc>
          <w:tcPr>
            <w:tcW w:w="1187" w:type="pct"/>
          </w:tcPr>
          <w:p w14:paraId="1F70426E" w14:textId="77777777" w:rsidR="00E67F89" w:rsidRPr="00E67F89" w:rsidRDefault="00E67F89" w:rsidP="00E67F89">
            <w:r w:rsidRPr="00E67F89">
              <w:t>Néant</w:t>
            </w:r>
          </w:p>
        </w:tc>
        <w:tc>
          <w:tcPr>
            <w:tcW w:w="834" w:type="pct"/>
          </w:tcPr>
          <w:p w14:paraId="30B1477C" w14:textId="77777777" w:rsidR="00E67F89" w:rsidRPr="00E67F89" w:rsidRDefault="00E67F89" w:rsidP="00E67F89">
            <w:r w:rsidRPr="00E67F89">
              <w:t>Non prévu dans le cadre national</w:t>
            </w:r>
          </w:p>
          <w:p w14:paraId="1C102B81" w14:textId="77777777" w:rsidR="00E67F89" w:rsidRPr="00E67F89" w:rsidRDefault="00E67F89" w:rsidP="00E67F89">
            <w:r w:rsidRPr="00E67F89">
              <w:t>Le Projet se conformera aux exigences de la NES 1, en préparant un PEES.</w:t>
            </w:r>
          </w:p>
        </w:tc>
      </w:tr>
      <w:tr w:rsidR="00E67F89" w:rsidRPr="00E67F89" w14:paraId="70948E1A" w14:textId="77777777" w:rsidTr="00223F64">
        <w:trPr>
          <w:jc w:val="center"/>
        </w:trPr>
        <w:tc>
          <w:tcPr>
            <w:tcW w:w="5000" w:type="pct"/>
            <w:gridSpan w:val="6"/>
            <w:shd w:val="clear" w:color="auto" w:fill="FFF2CC" w:themeFill="accent4" w:themeFillTint="33"/>
          </w:tcPr>
          <w:p w14:paraId="43DC2C19" w14:textId="77777777" w:rsidR="00E67F89" w:rsidRPr="00E67F89" w:rsidRDefault="00E67F89" w:rsidP="00E67F89">
            <w:r w:rsidRPr="00E67F89">
              <w:t xml:space="preserve">Suivi et établissement des rapports </w:t>
            </w:r>
          </w:p>
        </w:tc>
      </w:tr>
      <w:tr w:rsidR="00E67F89" w:rsidRPr="00E67F89" w14:paraId="5281A413" w14:textId="77777777" w:rsidTr="00223F64">
        <w:trPr>
          <w:jc w:val="center"/>
        </w:trPr>
        <w:tc>
          <w:tcPr>
            <w:tcW w:w="833" w:type="pct"/>
          </w:tcPr>
          <w:p w14:paraId="0E1C5F2E" w14:textId="77777777" w:rsidR="00E67F89" w:rsidRPr="00E67F89" w:rsidRDefault="00E67F89" w:rsidP="00E67F89"/>
        </w:tc>
        <w:tc>
          <w:tcPr>
            <w:tcW w:w="352" w:type="pct"/>
          </w:tcPr>
          <w:p w14:paraId="717C1231" w14:textId="77777777" w:rsidR="00E67F89" w:rsidRPr="00E67F89" w:rsidRDefault="00E67F89" w:rsidP="00E67F89">
            <w:r w:rsidRPr="00E67F89">
              <w:t>45</w:t>
            </w:r>
          </w:p>
        </w:tc>
        <w:tc>
          <w:tcPr>
            <w:tcW w:w="996" w:type="pct"/>
          </w:tcPr>
          <w:p w14:paraId="3FD2E1A1" w14:textId="77777777" w:rsidR="00E67F89" w:rsidRPr="00E67F89" w:rsidRDefault="00E67F89" w:rsidP="00E67F89">
            <w:r w:rsidRPr="00E67F89">
              <w:t xml:space="preserve">La Banque Mondiale assurera le suivi de la performance du projet en matière environnementale et sociale. L’Emprunteur veille à ce que des dispositifs, des ressources, des systèmes et des effectifs institutionnels adéquats soient en place pour assurer ce suivi. </w:t>
            </w:r>
          </w:p>
        </w:tc>
        <w:tc>
          <w:tcPr>
            <w:tcW w:w="798" w:type="pct"/>
          </w:tcPr>
          <w:p w14:paraId="1826B2D6" w14:textId="77777777" w:rsidR="00E67F89" w:rsidRPr="00E67F89" w:rsidRDefault="00E67F89" w:rsidP="00E67F89">
            <w:r w:rsidRPr="00E67F89">
              <w:t>Décret MECIE</w:t>
            </w:r>
          </w:p>
        </w:tc>
        <w:tc>
          <w:tcPr>
            <w:tcW w:w="1187" w:type="pct"/>
          </w:tcPr>
          <w:p w14:paraId="1FA76AF3" w14:textId="77777777" w:rsidR="00E67F89" w:rsidRPr="00E67F89" w:rsidRDefault="00E67F89" w:rsidP="00E67F89">
            <w:r w:rsidRPr="00E67F89">
              <w:t>La coordination et le suivi de la conformité de la PGEP est assurée par l’ONE, qui peut en cas de nécessité solliciter le service d’autres experts été entités [Article 106]</w:t>
            </w:r>
          </w:p>
        </w:tc>
        <w:tc>
          <w:tcPr>
            <w:tcW w:w="834" w:type="pct"/>
          </w:tcPr>
          <w:p w14:paraId="74BEB062" w14:textId="77777777" w:rsidR="00E67F89" w:rsidRPr="00E67F89" w:rsidRDefault="00E67F89" w:rsidP="00E67F89">
            <w:r w:rsidRPr="00E67F89">
              <w:t>Complémentarité entre la NES 1 et le cadre légal national</w:t>
            </w:r>
          </w:p>
        </w:tc>
      </w:tr>
      <w:tr w:rsidR="00E67F89" w:rsidRPr="00E67F89" w14:paraId="5CE95FF2" w14:textId="77777777" w:rsidTr="00223F64">
        <w:trPr>
          <w:jc w:val="center"/>
        </w:trPr>
        <w:tc>
          <w:tcPr>
            <w:tcW w:w="833" w:type="pct"/>
          </w:tcPr>
          <w:p w14:paraId="52804C23" w14:textId="77777777" w:rsidR="00E67F89" w:rsidRPr="00E67F89" w:rsidRDefault="00E67F89" w:rsidP="00E67F89"/>
        </w:tc>
        <w:tc>
          <w:tcPr>
            <w:tcW w:w="352" w:type="pct"/>
          </w:tcPr>
          <w:p w14:paraId="1EF5AF63" w14:textId="77777777" w:rsidR="00E67F89" w:rsidRPr="00E67F89" w:rsidRDefault="00E67F89" w:rsidP="00E67F89">
            <w:r w:rsidRPr="00E67F89">
              <w:t>NO 45.2</w:t>
            </w:r>
          </w:p>
        </w:tc>
        <w:tc>
          <w:tcPr>
            <w:tcW w:w="996" w:type="pct"/>
          </w:tcPr>
          <w:p w14:paraId="5256262E" w14:textId="77777777" w:rsidR="00E67F89" w:rsidRPr="00E67F89" w:rsidRDefault="00E67F89" w:rsidP="00E67F89">
            <w:r w:rsidRPr="00E67F89">
              <w:t xml:space="preserve">Le PGES du projet énonce les objectifs de suivi et les actions à mener. </w:t>
            </w:r>
          </w:p>
          <w:p w14:paraId="4E039BE9" w14:textId="77777777" w:rsidR="00E67F89" w:rsidRPr="00E67F89" w:rsidRDefault="00E67F89" w:rsidP="00E67F89"/>
          <w:p w14:paraId="7B811461" w14:textId="77777777" w:rsidR="00E67F89" w:rsidRPr="00E67F89" w:rsidRDefault="00E67F89" w:rsidP="00E67F89">
            <w:r w:rsidRPr="00E67F89">
              <w:t xml:space="preserve">Etablissement des indicateurs de suivi qui sont </w:t>
            </w:r>
            <w:r w:rsidRPr="00E67F89">
              <w:lastRenderedPageBreak/>
              <w:t>fondés sur les données de référence du projet.</w:t>
            </w:r>
          </w:p>
        </w:tc>
        <w:tc>
          <w:tcPr>
            <w:tcW w:w="798" w:type="pct"/>
          </w:tcPr>
          <w:p w14:paraId="21F7CC2B" w14:textId="77777777" w:rsidR="00E67F89" w:rsidRPr="00E67F89" w:rsidRDefault="00E67F89" w:rsidP="00E67F89">
            <w:r w:rsidRPr="00E67F89">
              <w:lastRenderedPageBreak/>
              <w:t>Décret MECIE</w:t>
            </w:r>
          </w:p>
        </w:tc>
        <w:tc>
          <w:tcPr>
            <w:tcW w:w="1187" w:type="pct"/>
          </w:tcPr>
          <w:p w14:paraId="3A605C12" w14:textId="77777777" w:rsidR="00E67F89" w:rsidRPr="00E67F89" w:rsidRDefault="00E67F89" w:rsidP="00E67F89">
            <w:r w:rsidRPr="00E67F89">
              <w:t xml:space="preserve">Le PGEP est l’instrument de suivi officiel. </w:t>
            </w:r>
          </w:p>
          <w:p w14:paraId="1DB8FF33" w14:textId="77777777" w:rsidR="00E67F89" w:rsidRPr="00E67F89" w:rsidRDefault="00E67F89" w:rsidP="00E67F89">
            <w:r w:rsidRPr="00E67F89">
              <w:t xml:space="preserve">Le PGEP qui constitue le cahier de charges environnemental dudit Projet et consiste en un programme de mise en œuvre et de suivi des mesures envisagées par l’EIESS pour supprimer, réduire et </w:t>
            </w:r>
            <w:r w:rsidRPr="00E67F89">
              <w:lastRenderedPageBreak/>
              <w:t>éventuellement compenser les conséquences dommageables du projet sur l’environnement</w:t>
            </w:r>
          </w:p>
          <w:p w14:paraId="5D230724" w14:textId="77777777" w:rsidR="00E67F89" w:rsidRPr="00E67F89" w:rsidRDefault="00E67F89" w:rsidP="00E67F89">
            <w:r w:rsidRPr="00E67F89">
              <w:t>Néant</w:t>
            </w:r>
          </w:p>
        </w:tc>
        <w:tc>
          <w:tcPr>
            <w:tcW w:w="834" w:type="pct"/>
          </w:tcPr>
          <w:p w14:paraId="23D5D216" w14:textId="77777777" w:rsidR="00E67F89" w:rsidRPr="00E67F89" w:rsidRDefault="00E67F89" w:rsidP="00E67F89">
            <w:r w:rsidRPr="00E67F89">
              <w:lastRenderedPageBreak/>
              <w:t>Complémentarité entre la NES 1 et le cadre légal national</w:t>
            </w:r>
          </w:p>
        </w:tc>
      </w:tr>
      <w:tr w:rsidR="00E67F89" w:rsidRPr="00E67F89" w14:paraId="27A54FFA" w14:textId="77777777" w:rsidTr="00223F64">
        <w:trPr>
          <w:jc w:val="center"/>
        </w:trPr>
        <w:tc>
          <w:tcPr>
            <w:tcW w:w="833" w:type="pct"/>
          </w:tcPr>
          <w:p w14:paraId="0012AB79" w14:textId="77777777" w:rsidR="00E67F89" w:rsidRPr="00E67F89" w:rsidRDefault="00E67F89" w:rsidP="00E67F89"/>
        </w:tc>
        <w:tc>
          <w:tcPr>
            <w:tcW w:w="352" w:type="pct"/>
          </w:tcPr>
          <w:p w14:paraId="6748EB4A" w14:textId="77777777" w:rsidR="00E67F89" w:rsidRPr="00E67F89" w:rsidRDefault="00E67F89" w:rsidP="00E67F89">
            <w:r w:rsidRPr="00E67F89">
              <w:t>46</w:t>
            </w:r>
          </w:p>
        </w:tc>
        <w:tc>
          <w:tcPr>
            <w:tcW w:w="996" w:type="pct"/>
          </w:tcPr>
          <w:p w14:paraId="737767C6" w14:textId="77777777" w:rsidR="00E67F89" w:rsidRPr="00E67F89" w:rsidRDefault="00E67F89" w:rsidP="00E67F89">
            <w:r w:rsidRPr="00E67F89">
              <w:t xml:space="preserve">Garder trace écrite des résultats de suivi. Enregistrer les informations permettant de surveiller la performance, à travers de contrôles opérationnels </w:t>
            </w:r>
          </w:p>
        </w:tc>
        <w:tc>
          <w:tcPr>
            <w:tcW w:w="798" w:type="pct"/>
            <w:vMerge w:val="restart"/>
          </w:tcPr>
          <w:p w14:paraId="46D50201" w14:textId="77777777" w:rsidR="00E67F89" w:rsidRPr="00E67F89" w:rsidRDefault="00E67F89" w:rsidP="00E67F89">
            <w:r w:rsidRPr="00E67F89">
              <w:t>Décret MECIE</w:t>
            </w:r>
          </w:p>
        </w:tc>
        <w:tc>
          <w:tcPr>
            <w:tcW w:w="1187" w:type="pct"/>
            <w:vMerge w:val="restart"/>
          </w:tcPr>
          <w:p w14:paraId="74BAA991" w14:textId="77777777" w:rsidR="00E67F89" w:rsidRPr="00E67F89" w:rsidRDefault="00E67F89" w:rsidP="00E67F89">
            <w:r w:rsidRPr="00E67F89">
              <w:t>Le promoteur adresse des rapports périodiques de l’exécution du PGEP à l’ONE [Article 105]</w:t>
            </w:r>
          </w:p>
        </w:tc>
        <w:tc>
          <w:tcPr>
            <w:tcW w:w="834" w:type="pct"/>
            <w:vMerge w:val="restart"/>
          </w:tcPr>
          <w:p w14:paraId="38080B46" w14:textId="77777777" w:rsidR="00E67F89" w:rsidRPr="00E67F89" w:rsidRDefault="00E67F89" w:rsidP="00E67F89">
            <w:r w:rsidRPr="00E67F89">
              <w:t>Complémentarité entre la NES 1 et le cadre légal national</w:t>
            </w:r>
          </w:p>
        </w:tc>
      </w:tr>
      <w:tr w:rsidR="00E67F89" w:rsidRPr="00E67F89" w14:paraId="2E7ACE87" w14:textId="77777777" w:rsidTr="00223F64">
        <w:trPr>
          <w:jc w:val="center"/>
        </w:trPr>
        <w:tc>
          <w:tcPr>
            <w:tcW w:w="833" w:type="pct"/>
          </w:tcPr>
          <w:p w14:paraId="0BF9F19B" w14:textId="77777777" w:rsidR="00E67F89" w:rsidRPr="00E67F89" w:rsidRDefault="00E67F89" w:rsidP="00E67F89"/>
        </w:tc>
        <w:tc>
          <w:tcPr>
            <w:tcW w:w="352" w:type="pct"/>
          </w:tcPr>
          <w:p w14:paraId="0EB67B3D" w14:textId="77777777" w:rsidR="00E67F89" w:rsidRPr="00E67F89" w:rsidRDefault="00E67F89" w:rsidP="00E67F89">
            <w:r w:rsidRPr="00E67F89">
              <w:t>47</w:t>
            </w:r>
          </w:p>
        </w:tc>
        <w:tc>
          <w:tcPr>
            <w:tcW w:w="996" w:type="pct"/>
          </w:tcPr>
          <w:p w14:paraId="09A281EB" w14:textId="77777777" w:rsidR="00E67F89" w:rsidRPr="00E67F89" w:rsidRDefault="00E67F89" w:rsidP="00E67F89">
            <w:r w:rsidRPr="00E67F89">
              <w:t>Transmettre à la Banque Mondiale des rapports réguliers sur les résultats d’activité de suivi (au moins une fois par an)</w:t>
            </w:r>
          </w:p>
        </w:tc>
        <w:tc>
          <w:tcPr>
            <w:tcW w:w="798" w:type="pct"/>
            <w:vMerge/>
          </w:tcPr>
          <w:p w14:paraId="3A5ED509" w14:textId="77777777" w:rsidR="00E67F89" w:rsidRPr="00E67F89" w:rsidRDefault="00E67F89" w:rsidP="00E67F89"/>
        </w:tc>
        <w:tc>
          <w:tcPr>
            <w:tcW w:w="1187" w:type="pct"/>
            <w:vMerge/>
          </w:tcPr>
          <w:p w14:paraId="631F8ABE" w14:textId="77777777" w:rsidR="00E67F89" w:rsidRPr="00E67F89" w:rsidRDefault="00E67F89" w:rsidP="00E67F89"/>
        </w:tc>
        <w:tc>
          <w:tcPr>
            <w:tcW w:w="834" w:type="pct"/>
            <w:vMerge/>
          </w:tcPr>
          <w:p w14:paraId="4C1A7802" w14:textId="77777777" w:rsidR="00E67F89" w:rsidRPr="00E67F89" w:rsidRDefault="00E67F89" w:rsidP="00E67F89"/>
        </w:tc>
      </w:tr>
      <w:tr w:rsidR="00E67F89" w:rsidRPr="00E67F89" w14:paraId="4EBB288D" w14:textId="77777777" w:rsidTr="00223F64">
        <w:trPr>
          <w:jc w:val="center"/>
        </w:trPr>
        <w:tc>
          <w:tcPr>
            <w:tcW w:w="833" w:type="pct"/>
          </w:tcPr>
          <w:p w14:paraId="3851D6CD" w14:textId="77777777" w:rsidR="00E67F89" w:rsidRPr="00E67F89" w:rsidRDefault="00E67F89" w:rsidP="00E67F89"/>
        </w:tc>
        <w:tc>
          <w:tcPr>
            <w:tcW w:w="352" w:type="pct"/>
          </w:tcPr>
          <w:p w14:paraId="36AA546F" w14:textId="77777777" w:rsidR="00E67F89" w:rsidRPr="00E67F89" w:rsidRDefault="00E67F89" w:rsidP="00E67F89">
            <w:r w:rsidRPr="00E67F89">
              <w:t>50</w:t>
            </w:r>
          </w:p>
        </w:tc>
        <w:tc>
          <w:tcPr>
            <w:tcW w:w="996" w:type="pct"/>
          </w:tcPr>
          <w:p w14:paraId="3F75F79F" w14:textId="77777777" w:rsidR="00E67F89" w:rsidRPr="00E67F89" w:rsidRDefault="00E67F89" w:rsidP="00E67F89">
            <w:r w:rsidRPr="00E67F89">
              <w:t xml:space="preserve">Notifier sans délai à la Banque Mondiale tout incident ou accident lié au projet et susceptible d’avoir des graves conséquences sur l’environnement, les communautés, le public et le personnel </w:t>
            </w:r>
          </w:p>
          <w:p w14:paraId="2BA96BAD" w14:textId="77777777" w:rsidR="00E67F89" w:rsidRPr="00E67F89" w:rsidRDefault="00E67F89" w:rsidP="00E67F89">
            <w:r w:rsidRPr="00E67F89">
              <w:lastRenderedPageBreak/>
              <w:t>Prendre des mesures sans délai en vue de remédier à l’incident ou l’accident et prévenir toute récidive, conformément au droit national et aux NES.</w:t>
            </w:r>
          </w:p>
        </w:tc>
        <w:tc>
          <w:tcPr>
            <w:tcW w:w="798" w:type="pct"/>
          </w:tcPr>
          <w:p w14:paraId="1D948851" w14:textId="77777777" w:rsidR="00E67F89" w:rsidRPr="00E67F89" w:rsidRDefault="00E67F89" w:rsidP="00E67F89">
            <w:r w:rsidRPr="00E67F89">
              <w:lastRenderedPageBreak/>
              <w:t>Décret MECIE</w:t>
            </w:r>
          </w:p>
        </w:tc>
        <w:tc>
          <w:tcPr>
            <w:tcW w:w="1187" w:type="pct"/>
          </w:tcPr>
          <w:p w14:paraId="663E554E" w14:textId="77777777" w:rsidR="00E67F89" w:rsidRPr="00E67F89" w:rsidRDefault="00E67F89" w:rsidP="00E67F89">
            <w:r w:rsidRPr="00E67F89">
              <w:t xml:space="preserve">Si par suite d’un bouleversement de l’équilibre environnemental et social, les mesures initialement prises se révèlent inadaptées, le promoteur est tenu de prendre les mesures d’ajustement nécessaires en vue de la mise en compatibilité permanente de ces investissements avec les nouvelles directives et les </w:t>
            </w:r>
            <w:r w:rsidRPr="00E67F89">
              <w:lastRenderedPageBreak/>
              <w:t>normes environnementales applicable en la matière. [Article 113]</w:t>
            </w:r>
          </w:p>
        </w:tc>
        <w:tc>
          <w:tcPr>
            <w:tcW w:w="834" w:type="pct"/>
          </w:tcPr>
          <w:p w14:paraId="005B6EED" w14:textId="77777777" w:rsidR="00E67F89" w:rsidRPr="00E67F89" w:rsidRDefault="00E67F89" w:rsidP="00E67F89">
            <w:r w:rsidRPr="00E67F89">
              <w:lastRenderedPageBreak/>
              <w:t>Complémentarité entre la NES 1 et le cadre légal national</w:t>
            </w:r>
          </w:p>
        </w:tc>
      </w:tr>
      <w:tr w:rsidR="00E67F89" w:rsidRPr="00E67F89" w14:paraId="5AB03401" w14:textId="77777777" w:rsidTr="00223F64">
        <w:trPr>
          <w:jc w:val="center"/>
        </w:trPr>
        <w:tc>
          <w:tcPr>
            <w:tcW w:w="5000" w:type="pct"/>
            <w:gridSpan w:val="6"/>
            <w:shd w:val="clear" w:color="auto" w:fill="FFF2CC" w:themeFill="accent4" w:themeFillTint="33"/>
          </w:tcPr>
          <w:p w14:paraId="7D0F9ABD" w14:textId="77777777" w:rsidR="00E67F89" w:rsidRPr="00E67F89" w:rsidRDefault="00E67F89" w:rsidP="00E67F89">
            <w:r w:rsidRPr="00E67F89">
              <w:t xml:space="preserve">Mobilisation des parties prenantes et informations </w:t>
            </w:r>
          </w:p>
        </w:tc>
      </w:tr>
      <w:tr w:rsidR="00E67F89" w:rsidRPr="00E67F89" w14:paraId="03D4DB5A" w14:textId="77777777" w:rsidTr="00223F64">
        <w:trPr>
          <w:jc w:val="center"/>
        </w:trPr>
        <w:tc>
          <w:tcPr>
            <w:tcW w:w="833" w:type="pct"/>
          </w:tcPr>
          <w:p w14:paraId="34C7E135" w14:textId="77777777" w:rsidR="00E67F89" w:rsidRPr="00E67F89" w:rsidRDefault="00E67F89" w:rsidP="00E67F89">
            <w:r w:rsidRPr="00E67F89">
              <w:t>Mobilisation et participation des acteurs concernés</w:t>
            </w:r>
          </w:p>
        </w:tc>
        <w:tc>
          <w:tcPr>
            <w:tcW w:w="352" w:type="pct"/>
          </w:tcPr>
          <w:p w14:paraId="731775BC" w14:textId="77777777" w:rsidR="00E67F89" w:rsidRPr="00E67F89" w:rsidRDefault="00E67F89" w:rsidP="00E67F89">
            <w:r w:rsidRPr="00E67F89">
              <w:t>51</w:t>
            </w:r>
          </w:p>
        </w:tc>
        <w:tc>
          <w:tcPr>
            <w:tcW w:w="996" w:type="pct"/>
          </w:tcPr>
          <w:p w14:paraId="660C9213" w14:textId="77777777" w:rsidR="00E67F89" w:rsidRPr="00E67F89" w:rsidRDefault="00E67F89" w:rsidP="00E67F89">
            <w:r w:rsidRPr="00E67F89">
              <w:t>Collaborer avec les acteurs concernés pendant toute la durée de vie du projet et fournir des informations d’une manière adaptée à la nature de leurs intérêts et aux risques et effets environnementaux et sociaux potentiels du projet</w:t>
            </w:r>
          </w:p>
        </w:tc>
        <w:tc>
          <w:tcPr>
            <w:tcW w:w="798" w:type="pct"/>
          </w:tcPr>
          <w:p w14:paraId="0B4CC895" w14:textId="77777777" w:rsidR="00E67F89" w:rsidRPr="00E67F89" w:rsidRDefault="00E67F89" w:rsidP="00E67F89">
            <w:r w:rsidRPr="00E67F89">
              <w:t>Décret MECIE</w:t>
            </w:r>
          </w:p>
        </w:tc>
        <w:tc>
          <w:tcPr>
            <w:tcW w:w="1187" w:type="pct"/>
          </w:tcPr>
          <w:p w14:paraId="1BB7C244" w14:textId="77777777" w:rsidR="00E67F89" w:rsidRPr="00E67F89" w:rsidRDefault="00E67F89" w:rsidP="00E67F89">
            <w:r w:rsidRPr="00E67F89">
              <w:t>Toutes informations et toutes données utiles pour gérer l’environnement en vue d’un développement humain durable sont diffusées par l’ONE [Article 20]</w:t>
            </w:r>
          </w:p>
        </w:tc>
        <w:tc>
          <w:tcPr>
            <w:tcW w:w="834" w:type="pct"/>
          </w:tcPr>
          <w:p w14:paraId="73A45EC7" w14:textId="77777777" w:rsidR="00E67F89" w:rsidRPr="00E67F89" w:rsidRDefault="00E67F89" w:rsidP="00E67F89">
            <w:r w:rsidRPr="00E67F89">
              <w:t>Complémentarité entre la NES 1 et le cadre légal national</w:t>
            </w:r>
          </w:p>
        </w:tc>
      </w:tr>
      <w:tr w:rsidR="00E67F89" w:rsidRPr="00E67F89" w14:paraId="5EC91E9A" w14:textId="77777777" w:rsidTr="00223F64">
        <w:trPr>
          <w:jc w:val="center"/>
        </w:trPr>
        <w:tc>
          <w:tcPr>
            <w:tcW w:w="833" w:type="pct"/>
          </w:tcPr>
          <w:p w14:paraId="17EFC445" w14:textId="77777777" w:rsidR="00E67F89" w:rsidRPr="00E67F89" w:rsidRDefault="00E67F89" w:rsidP="00E67F89">
            <w:r w:rsidRPr="00E67F89">
              <w:t>Publication des rapports d’évaluation d’impact environnemental</w:t>
            </w:r>
          </w:p>
        </w:tc>
        <w:tc>
          <w:tcPr>
            <w:tcW w:w="352" w:type="pct"/>
          </w:tcPr>
          <w:p w14:paraId="644943DC" w14:textId="77777777" w:rsidR="00E67F89" w:rsidRPr="00E67F89" w:rsidRDefault="00E67F89" w:rsidP="00E67F89">
            <w:r w:rsidRPr="00E67F89">
              <w:t>52 et 53</w:t>
            </w:r>
          </w:p>
        </w:tc>
        <w:tc>
          <w:tcPr>
            <w:tcW w:w="996" w:type="pct"/>
          </w:tcPr>
          <w:p w14:paraId="69BD42FC" w14:textId="77777777" w:rsidR="00E67F89" w:rsidRPr="00E67F89" w:rsidRDefault="00E67F89" w:rsidP="00E67F89">
            <w:r w:rsidRPr="00E67F89">
              <w:t>Obligation de publication de la version actualisée ou définitive de document d’évaluation des risques et des effets environnementaux sociaux (tel que le PEES)</w:t>
            </w:r>
          </w:p>
        </w:tc>
        <w:tc>
          <w:tcPr>
            <w:tcW w:w="798" w:type="pct"/>
          </w:tcPr>
          <w:p w14:paraId="1CBFA540" w14:textId="77777777" w:rsidR="00E67F89" w:rsidRPr="00E67F89" w:rsidRDefault="00E67F89" w:rsidP="00E67F89">
            <w:r w:rsidRPr="00E67F89">
              <w:t>Décret MECIE</w:t>
            </w:r>
          </w:p>
        </w:tc>
        <w:tc>
          <w:tcPr>
            <w:tcW w:w="1187" w:type="pct"/>
          </w:tcPr>
          <w:p w14:paraId="7F334AB5" w14:textId="77777777" w:rsidR="00E67F89" w:rsidRPr="00E67F89" w:rsidRDefault="00E67F89" w:rsidP="00E67F89">
            <w:r w:rsidRPr="00E67F89">
              <w:t xml:space="preserve">Obligation de publication de résumé non technique en malagasy et en français, afin de faciliter la prise de connaissance par le public des informations contenues dans l’étude. Ce résumé indique en substance en des termes accessibles au public, l’état initial du site et de </w:t>
            </w:r>
            <w:r w:rsidRPr="00E67F89">
              <w:lastRenderedPageBreak/>
              <w:t>son environnement, les modifications apportées par le projet et les mesures envisagées pour pallier les impacts négatifs sur l’environnement en mettant l’accent sur l’aspect social et la santé, le climat et la biodiversité.  [Article 84].</w:t>
            </w:r>
          </w:p>
        </w:tc>
        <w:tc>
          <w:tcPr>
            <w:tcW w:w="834" w:type="pct"/>
          </w:tcPr>
          <w:p w14:paraId="6DC60660" w14:textId="77777777" w:rsidR="00E67F89" w:rsidRPr="00E67F89" w:rsidRDefault="00E67F89" w:rsidP="00E67F89">
            <w:r w:rsidRPr="00E67F89">
              <w:lastRenderedPageBreak/>
              <w:t>Complémentarité entre la NES 1 et le cadre légal national.</w:t>
            </w:r>
          </w:p>
          <w:p w14:paraId="60EF7E32" w14:textId="77777777" w:rsidR="00E67F89" w:rsidRPr="00E67F89" w:rsidRDefault="00E67F89" w:rsidP="00E67F89">
            <w:r w:rsidRPr="00E67F89">
              <w:t>Le Projet se conformera aux directives de la NES 1.</w:t>
            </w:r>
          </w:p>
        </w:tc>
      </w:tr>
    </w:tbl>
    <w:p w14:paraId="64A7DD00" w14:textId="77777777" w:rsidR="00E67F89" w:rsidRPr="00E67F89" w:rsidRDefault="00E67F89" w:rsidP="00E67F89">
      <w:pPr>
        <w:sectPr w:rsidR="00E67F89" w:rsidRPr="00E67F89" w:rsidSect="00D42025">
          <w:footerReference w:type="default" r:id="rId52"/>
          <w:pgSz w:w="16839" w:h="11907" w:orient="landscape" w:code="9"/>
          <w:pgMar w:top="1168" w:right="851" w:bottom="1134" w:left="851" w:header="425" w:footer="720" w:gutter="0"/>
          <w:paperSrc w:first="15" w:other="15"/>
          <w:pgNumType w:fmt="upperRoman"/>
          <w:cols w:space="708"/>
          <w:titlePg/>
          <w:docGrid w:linePitch="360"/>
        </w:sectPr>
      </w:pPr>
    </w:p>
    <w:p w14:paraId="16D627CA" w14:textId="77777777" w:rsidR="00E67F89" w:rsidRPr="00E67F89" w:rsidRDefault="00E67F89" w:rsidP="00E67F89">
      <w:bookmarkStart w:id="876" w:name="_Toc71267917"/>
      <w:bookmarkStart w:id="877" w:name="_Toc71831498"/>
      <w:bookmarkStart w:id="878" w:name="_Toc138414163"/>
      <w:bookmarkStart w:id="879" w:name="_Toc230426107"/>
      <w:r w:rsidRPr="00E67F89">
        <w:lastRenderedPageBreak/>
        <w:t xml:space="preserve">Annexe </w:t>
      </w:r>
      <w:r w:rsidRPr="00E67F89">
        <w:fldChar w:fldCharType="begin"/>
      </w:r>
      <w:r w:rsidRPr="00E67F89">
        <w:instrText>SEQ Annexe \* ARABIC</w:instrText>
      </w:r>
      <w:r w:rsidRPr="00E67F89">
        <w:fldChar w:fldCharType="separate"/>
      </w:r>
      <w:r w:rsidRPr="00E67F89">
        <w:t>2</w:t>
      </w:r>
      <w:r w:rsidRPr="00E67F89">
        <w:fldChar w:fldCharType="end"/>
      </w:r>
      <w:r w:rsidRPr="00E67F89">
        <w:t> : Analyse comparative entre la NES 2 et le cadre réglementaire national malagasy</w:t>
      </w:r>
      <w:bookmarkEnd w:id="876"/>
      <w:bookmarkEnd w:id="877"/>
      <w:bookmarkEnd w:id="878"/>
      <w:bookmarkEnd w:id="879"/>
    </w:p>
    <w:tbl>
      <w:tblPr>
        <w:tblW w:w="155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4" w:type="dxa"/>
          <w:left w:w="101" w:type="dxa"/>
          <w:bottom w:w="14" w:type="dxa"/>
          <w:right w:w="101" w:type="dxa"/>
        </w:tblCellMar>
        <w:tblLook w:val="04A0" w:firstRow="1" w:lastRow="0" w:firstColumn="1" w:lastColumn="0" w:noHBand="0" w:noVBand="1"/>
      </w:tblPr>
      <w:tblGrid>
        <w:gridCol w:w="1377"/>
        <w:gridCol w:w="1426"/>
        <w:gridCol w:w="3394"/>
        <w:gridCol w:w="1701"/>
        <w:gridCol w:w="3261"/>
        <w:gridCol w:w="4393"/>
      </w:tblGrid>
      <w:tr w:rsidR="00E67F89" w:rsidRPr="00E67F89" w14:paraId="68A47D37" w14:textId="77777777" w:rsidTr="00223F64">
        <w:trPr>
          <w:trHeight w:val="44"/>
          <w:tblHeader/>
        </w:trPr>
        <w:tc>
          <w:tcPr>
            <w:tcW w:w="1377" w:type="dxa"/>
            <w:vMerge w:val="restart"/>
            <w:shd w:val="clear" w:color="auto" w:fill="E2EFD9" w:themeFill="accent6" w:themeFillTint="33"/>
            <w:vAlign w:val="center"/>
          </w:tcPr>
          <w:p w14:paraId="30C11B3E" w14:textId="77777777" w:rsidR="00E67F89" w:rsidRPr="00E67F89" w:rsidRDefault="00E67F89" w:rsidP="00E67F89">
            <w:r w:rsidRPr="00E67F89">
              <w:t>Thèmes</w:t>
            </w:r>
          </w:p>
        </w:tc>
        <w:tc>
          <w:tcPr>
            <w:tcW w:w="4820" w:type="dxa"/>
            <w:gridSpan w:val="2"/>
            <w:shd w:val="clear" w:color="auto" w:fill="E2EFD9" w:themeFill="accent6" w:themeFillTint="33"/>
            <w:vAlign w:val="center"/>
          </w:tcPr>
          <w:p w14:paraId="7B3EEF77" w14:textId="77777777" w:rsidR="00E67F89" w:rsidRPr="00E67F89" w:rsidRDefault="00E67F89" w:rsidP="00E67F89">
            <w:r w:rsidRPr="00E67F89">
              <w:t>NES 2</w:t>
            </w:r>
          </w:p>
        </w:tc>
        <w:tc>
          <w:tcPr>
            <w:tcW w:w="4962" w:type="dxa"/>
            <w:gridSpan w:val="2"/>
            <w:shd w:val="clear" w:color="auto" w:fill="E2EFD9" w:themeFill="accent6" w:themeFillTint="33"/>
            <w:vAlign w:val="center"/>
          </w:tcPr>
          <w:p w14:paraId="38758F2F" w14:textId="77777777" w:rsidR="00E67F89" w:rsidRPr="00E67F89" w:rsidRDefault="00E67F89" w:rsidP="00E67F89">
            <w:r w:rsidRPr="00E67F89">
              <w:t>Cadre national</w:t>
            </w:r>
          </w:p>
        </w:tc>
        <w:tc>
          <w:tcPr>
            <w:tcW w:w="4393" w:type="dxa"/>
            <w:vMerge w:val="restart"/>
            <w:shd w:val="clear" w:color="auto" w:fill="E2EFD9" w:themeFill="accent6" w:themeFillTint="33"/>
            <w:vAlign w:val="center"/>
          </w:tcPr>
          <w:p w14:paraId="1102C7BB" w14:textId="77777777" w:rsidR="00E67F89" w:rsidRPr="00E67F89" w:rsidRDefault="00E67F89" w:rsidP="00E67F89">
            <w:r w:rsidRPr="00E67F89">
              <w:t>Analyse des écarts</w:t>
            </w:r>
          </w:p>
          <w:p w14:paraId="32B5199D" w14:textId="77777777" w:rsidR="00E67F89" w:rsidRPr="00E67F89" w:rsidRDefault="00E67F89" w:rsidP="00E67F89">
            <w:r w:rsidRPr="00E67F89">
              <w:t>Implications pour le Projet</w:t>
            </w:r>
          </w:p>
        </w:tc>
      </w:tr>
      <w:tr w:rsidR="00E67F89" w:rsidRPr="00E67F89" w14:paraId="426C8B64" w14:textId="77777777" w:rsidTr="00223F64">
        <w:trPr>
          <w:trHeight w:val="44"/>
          <w:tblHeader/>
        </w:trPr>
        <w:tc>
          <w:tcPr>
            <w:tcW w:w="1377" w:type="dxa"/>
            <w:vMerge/>
            <w:shd w:val="clear" w:color="auto" w:fill="BDF9FF"/>
            <w:vAlign w:val="center"/>
          </w:tcPr>
          <w:p w14:paraId="09649760" w14:textId="77777777" w:rsidR="00E67F89" w:rsidRPr="00E67F89" w:rsidRDefault="00E67F89" w:rsidP="00E67F89"/>
        </w:tc>
        <w:tc>
          <w:tcPr>
            <w:tcW w:w="1426" w:type="dxa"/>
            <w:shd w:val="clear" w:color="auto" w:fill="E2EFD9" w:themeFill="accent6" w:themeFillTint="33"/>
            <w:vAlign w:val="center"/>
          </w:tcPr>
          <w:p w14:paraId="73100308" w14:textId="77777777" w:rsidR="00E67F89" w:rsidRPr="00E67F89" w:rsidRDefault="00E67F89" w:rsidP="00E67F89">
            <w:r w:rsidRPr="00E67F89">
              <w:t>Réf</w:t>
            </w:r>
          </w:p>
        </w:tc>
        <w:tc>
          <w:tcPr>
            <w:tcW w:w="3394" w:type="dxa"/>
            <w:shd w:val="clear" w:color="auto" w:fill="E2EFD9" w:themeFill="accent6" w:themeFillTint="33"/>
            <w:vAlign w:val="center"/>
          </w:tcPr>
          <w:p w14:paraId="48513CD9" w14:textId="77777777" w:rsidR="00E67F89" w:rsidRPr="00E67F89" w:rsidRDefault="00E67F89" w:rsidP="00E67F89">
            <w:r w:rsidRPr="00E67F89">
              <w:t>Obligations/ Exigences</w:t>
            </w:r>
          </w:p>
        </w:tc>
        <w:tc>
          <w:tcPr>
            <w:tcW w:w="1701" w:type="dxa"/>
            <w:shd w:val="clear" w:color="auto" w:fill="E2EFD9" w:themeFill="accent6" w:themeFillTint="33"/>
            <w:vAlign w:val="center"/>
          </w:tcPr>
          <w:p w14:paraId="6F981CE2" w14:textId="77777777" w:rsidR="00E67F89" w:rsidRPr="00E67F89" w:rsidRDefault="00E67F89" w:rsidP="00E67F89">
            <w:r w:rsidRPr="00E67F89">
              <w:t>Textes de référence</w:t>
            </w:r>
          </w:p>
        </w:tc>
        <w:tc>
          <w:tcPr>
            <w:tcW w:w="3261" w:type="dxa"/>
            <w:shd w:val="clear" w:color="auto" w:fill="E2EFD9" w:themeFill="accent6" w:themeFillTint="33"/>
            <w:vAlign w:val="center"/>
          </w:tcPr>
          <w:p w14:paraId="3998F1F4" w14:textId="77777777" w:rsidR="00E67F89" w:rsidRPr="00E67F89" w:rsidRDefault="00E67F89" w:rsidP="00E67F89">
            <w:r w:rsidRPr="00E67F89">
              <w:t>Dispositions</w:t>
            </w:r>
          </w:p>
        </w:tc>
        <w:tc>
          <w:tcPr>
            <w:tcW w:w="4393" w:type="dxa"/>
            <w:vMerge/>
            <w:shd w:val="clear" w:color="auto" w:fill="BDF9FF"/>
            <w:vAlign w:val="center"/>
          </w:tcPr>
          <w:p w14:paraId="3B86EE30" w14:textId="77777777" w:rsidR="00E67F89" w:rsidRPr="00E67F89" w:rsidRDefault="00E67F89" w:rsidP="00E67F89"/>
        </w:tc>
      </w:tr>
      <w:tr w:rsidR="00E67F89" w:rsidRPr="00E67F89" w14:paraId="16924FDD" w14:textId="77777777" w:rsidTr="00223F64">
        <w:tc>
          <w:tcPr>
            <w:tcW w:w="15552" w:type="dxa"/>
            <w:gridSpan w:val="6"/>
            <w:shd w:val="clear" w:color="auto" w:fill="FFF2CC" w:themeFill="accent4" w:themeFillTint="33"/>
          </w:tcPr>
          <w:p w14:paraId="592C6101" w14:textId="77777777" w:rsidR="00E67F89" w:rsidRPr="00E67F89" w:rsidRDefault="00E67F89" w:rsidP="00E67F89">
            <w:r w:rsidRPr="00E67F89">
              <w:t>Champ d’application</w:t>
            </w:r>
          </w:p>
        </w:tc>
      </w:tr>
      <w:tr w:rsidR="00E67F89" w:rsidRPr="00E67F89" w14:paraId="5E0F4CCA" w14:textId="77777777" w:rsidTr="00223F64">
        <w:tc>
          <w:tcPr>
            <w:tcW w:w="1377" w:type="dxa"/>
          </w:tcPr>
          <w:p w14:paraId="060E855D" w14:textId="77777777" w:rsidR="00E67F89" w:rsidRPr="00E67F89" w:rsidRDefault="00E67F89" w:rsidP="00E67F89">
            <w:r w:rsidRPr="00E67F89">
              <w:t>Types de travailleurs concernés</w:t>
            </w:r>
          </w:p>
        </w:tc>
        <w:tc>
          <w:tcPr>
            <w:tcW w:w="1426" w:type="dxa"/>
          </w:tcPr>
          <w:p w14:paraId="761EFD79" w14:textId="77777777" w:rsidR="00E67F89" w:rsidRPr="00E67F89" w:rsidRDefault="00E67F89" w:rsidP="00E67F89">
            <w:r w:rsidRPr="00E67F89">
              <w:t>3, 8</w:t>
            </w:r>
          </w:p>
        </w:tc>
        <w:tc>
          <w:tcPr>
            <w:tcW w:w="3394" w:type="dxa"/>
          </w:tcPr>
          <w:p w14:paraId="1DEF101B" w14:textId="77777777" w:rsidR="00E67F89" w:rsidRPr="00E67F89" w:rsidRDefault="00E67F89" w:rsidP="00E67F89">
            <w:r w:rsidRPr="00E67F89">
              <w:t>Travailleurs employés directement.</w:t>
            </w:r>
          </w:p>
        </w:tc>
        <w:tc>
          <w:tcPr>
            <w:tcW w:w="1701" w:type="dxa"/>
          </w:tcPr>
          <w:p w14:paraId="7749AD1A" w14:textId="77777777" w:rsidR="00E67F89" w:rsidRPr="00E67F89" w:rsidRDefault="00E67F89" w:rsidP="00E67F89">
            <w:r w:rsidRPr="00E67F89">
              <w:t>Loi n°2024-014 .</w:t>
            </w:r>
          </w:p>
          <w:p w14:paraId="6082C1B8" w14:textId="77777777" w:rsidR="00E67F89" w:rsidRPr="00E67F89" w:rsidRDefault="00E67F89" w:rsidP="00E67F89">
            <w:r w:rsidRPr="00E67F89">
              <w:t>Loi n°66-003.</w:t>
            </w:r>
          </w:p>
        </w:tc>
        <w:tc>
          <w:tcPr>
            <w:tcW w:w="3261" w:type="dxa"/>
          </w:tcPr>
          <w:p w14:paraId="134E92AD" w14:textId="77777777" w:rsidR="00E67F89" w:rsidRPr="00E67F89" w:rsidRDefault="00E67F89" w:rsidP="00E67F89">
            <w:r w:rsidRPr="00E67F89">
              <w:t>Travailleurs. Consultants.</w:t>
            </w:r>
          </w:p>
        </w:tc>
        <w:tc>
          <w:tcPr>
            <w:tcW w:w="4393" w:type="dxa"/>
            <w:vMerge w:val="restart"/>
          </w:tcPr>
          <w:p w14:paraId="485DC0BA" w14:textId="77777777" w:rsidR="00E67F89" w:rsidRPr="00E67F89" w:rsidRDefault="00E67F89" w:rsidP="00E67F89">
            <w:r w:rsidRPr="00E67F89">
              <w:t>Les travailleurs employés directement par l’Emprunteur sont connus par le droit malagasy à la fois comme travailleur ou comme consultant.</w:t>
            </w:r>
          </w:p>
          <w:p w14:paraId="4FB77D28" w14:textId="77777777" w:rsidR="00E67F89" w:rsidRPr="00E67F89" w:rsidRDefault="00E67F89" w:rsidP="00E67F89">
            <w:r w:rsidRPr="00E67F89">
              <w:t>La NES ne fait pas de distinction entre « travailleur » soumis au Code du travail et travailleur « consultant » non soumis au Code du travail.</w:t>
            </w:r>
          </w:p>
          <w:p w14:paraId="4D493C59" w14:textId="77777777" w:rsidR="00E67F89" w:rsidRPr="00E67F89" w:rsidRDefault="00E67F89" w:rsidP="00E67F89">
            <w:r w:rsidRPr="00E67F89">
              <w:t>Même si en droit de travail malagasy le Consultant n’est pas protégé par les dispositions du Code du travail, dans le cadre du projet le Consultant est protégé par la NES n°2</w:t>
            </w:r>
          </w:p>
          <w:p w14:paraId="0D9D13DA" w14:textId="77777777" w:rsidR="00E67F89" w:rsidRPr="00E67F89" w:rsidRDefault="00E67F89" w:rsidP="00E67F89">
            <w:r w:rsidRPr="00E67F89">
              <w:t xml:space="preserve">Il convient de noter le cas des fonctionnaires employés par l’Emprunteur. Ces « travailleurs du secteur public » ont leur statut propre en matière de gestion de ressources humaines tel que défini par le statut général des fonctionnaires (Loi n°2003-011). Les exigences de la NES n°2 vont leur profiter pour autant qu’elles ne </w:t>
            </w:r>
            <w:r w:rsidRPr="00E67F89">
              <w:lastRenderedPageBreak/>
              <w:t>sont pas en contradiction avec les avantages offerts par leur statut de fonctionnaire.</w:t>
            </w:r>
          </w:p>
        </w:tc>
      </w:tr>
      <w:tr w:rsidR="00E67F89" w:rsidRPr="00E67F89" w14:paraId="04822437" w14:textId="77777777" w:rsidTr="00223F64">
        <w:tc>
          <w:tcPr>
            <w:tcW w:w="1377" w:type="dxa"/>
          </w:tcPr>
          <w:p w14:paraId="0C01BCE0" w14:textId="77777777" w:rsidR="00E67F89" w:rsidRPr="00E67F89" w:rsidRDefault="00E67F89" w:rsidP="00E67F89"/>
        </w:tc>
        <w:tc>
          <w:tcPr>
            <w:tcW w:w="1426" w:type="dxa"/>
          </w:tcPr>
          <w:p w14:paraId="39B78889" w14:textId="77777777" w:rsidR="00E67F89" w:rsidRPr="00E67F89" w:rsidRDefault="00E67F89" w:rsidP="00E67F89"/>
        </w:tc>
        <w:tc>
          <w:tcPr>
            <w:tcW w:w="3394" w:type="dxa"/>
          </w:tcPr>
          <w:p w14:paraId="50FDBB39" w14:textId="77777777" w:rsidR="00E67F89" w:rsidRPr="00E67F89" w:rsidRDefault="00E67F89" w:rsidP="00E67F89"/>
        </w:tc>
        <w:tc>
          <w:tcPr>
            <w:tcW w:w="1701" w:type="dxa"/>
          </w:tcPr>
          <w:p w14:paraId="3104502D" w14:textId="77777777" w:rsidR="00E67F89" w:rsidRPr="00E67F89" w:rsidRDefault="00E67F89" w:rsidP="00E67F89"/>
        </w:tc>
        <w:tc>
          <w:tcPr>
            <w:tcW w:w="3261" w:type="dxa"/>
          </w:tcPr>
          <w:p w14:paraId="0D84995B" w14:textId="77777777" w:rsidR="00E67F89" w:rsidRPr="00E67F89" w:rsidRDefault="00E67F89" w:rsidP="00E67F89"/>
        </w:tc>
        <w:tc>
          <w:tcPr>
            <w:tcW w:w="4393" w:type="dxa"/>
            <w:vMerge/>
          </w:tcPr>
          <w:p w14:paraId="32FBE4B8" w14:textId="77777777" w:rsidR="00E67F89" w:rsidRPr="00E67F89" w:rsidRDefault="00E67F89" w:rsidP="00E67F89"/>
        </w:tc>
      </w:tr>
      <w:tr w:rsidR="00E67F89" w:rsidRPr="00E67F89" w14:paraId="3FA14D78" w14:textId="77777777" w:rsidTr="00223F64">
        <w:tc>
          <w:tcPr>
            <w:tcW w:w="1377" w:type="dxa"/>
          </w:tcPr>
          <w:p w14:paraId="0FB3FC65" w14:textId="77777777" w:rsidR="00E67F89" w:rsidRPr="00E67F89" w:rsidRDefault="00E67F89" w:rsidP="00E67F89"/>
        </w:tc>
        <w:tc>
          <w:tcPr>
            <w:tcW w:w="1426" w:type="dxa"/>
          </w:tcPr>
          <w:p w14:paraId="06E65AD4" w14:textId="77777777" w:rsidR="00E67F89" w:rsidRPr="00E67F89" w:rsidRDefault="00E67F89" w:rsidP="00E67F89"/>
        </w:tc>
        <w:tc>
          <w:tcPr>
            <w:tcW w:w="3394" w:type="dxa"/>
          </w:tcPr>
          <w:p w14:paraId="4E3729F7" w14:textId="77777777" w:rsidR="00E67F89" w:rsidRPr="00E67F89" w:rsidRDefault="00E67F89" w:rsidP="00E67F89">
            <w:r w:rsidRPr="00E67F89">
              <w:t>Travailleurs contractuels.</w:t>
            </w:r>
          </w:p>
        </w:tc>
        <w:tc>
          <w:tcPr>
            <w:tcW w:w="1701" w:type="dxa"/>
          </w:tcPr>
          <w:p w14:paraId="3551D65A" w14:textId="77777777" w:rsidR="00E67F89" w:rsidRPr="00E67F89" w:rsidRDefault="00E67F89" w:rsidP="00E67F89">
            <w:r w:rsidRPr="00E67F89">
              <w:t>Loi n°66-003.</w:t>
            </w:r>
          </w:p>
          <w:p w14:paraId="1F990A92" w14:textId="77777777" w:rsidR="00E67F89" w:rsidRPr="00E67F89" w:rsidRDefault="00E67F89" w:rsidP="00E67F89">
            <w:r w:rsidRPr="00E67F89">
              <w:t>Loi n°2024-014 .</w:t>
            </w:r>
          </w:p>
        </w:tc>
        <w:tc>
          <w:tcPr>
            <w:tcW w:w="3261" w:type="dxa"/>
          </w:tcPr>
          <w:p w14:paraId="4D374EA4" w14:textId="77777777" w:rsidR="00E67F89" w:rsidRPr="00E67F89" w:rsidRDefault="00E67F89" w:rsidP="00E67F89">
            <w:r w:rsidRPr="00E67F89">
              <w:t>Consultants.</w:t>
            </w:r>
          </w:p>
          <w:p w14:paraId="5DD0CDFB" w14:textId="77777777" w:rsidR="00E67F89" w:rsidRPr="00E67F89" w:rsidRDefault="00E67F89" w:rsidP="00E67F89">
            <w:r w:rsidRPr="00E67F89">
              <w:t>Travailleurs des sous-traitants. (Travailleurs à domicile.)</w:t>
            </w:r>
          </w:p>
        </w:tc>
        <w:tc>
          <w:tcPr>
            <w:tcW w:w="4393" w:type="dxa"/>
          </w:tcPr>
          <w:p w14:paraId="2E7AFF4F" w14:textId="77777777" w:rsidR="00E67F89" w:rsidRPr="00E67F89" w:rsidRDefault="00E67F89" w:rsidP="00E67F89">
            <w:r w:rsidRPr="00E67F89">
              <w:t>(Idem que pour les travailleurs employés directement.)</w:t>
            </w:r>
          </w:p>
        </w:tc>
      </w:tr>
      <w:tr w:rsidR="00E67F89" w:rsidRPr="00E67F89" w14:paraId="29605CB4" w14:textId="77777777" w:rsidTr="00223F64">
        <w:tc>
          <w:tcPr>
            <w:tcW w:w="1377" w:type="dxa"/>
          </w:tcPr>
          <w:p w14:paraId="2A25D148" w14:textId="77777777" w:rsidR="00E67F89" w:rsidRPr="00E67F89" w:rsidRDefault="00E67F89" w:rsidP="00E67F89"/>
        </w:tc>
        <w:tc>
          <w:tcPr>
            <w:tcW w:w="1426" w:type="dxa"/>
          </w:tcPr>
          <w:p w14:paraId="07DA8516" w14:textId="77777777" w:rsidR="00E67F89" w:rsidRPr="00E67F89" w:rsidRDefault="00E67F89" w:rsidP="00E67F89"/>
        </w:tc>
        <w:tc>
          <w:tcPr>
            <w:tcW w:w="3394" w:type="dxa"/>
          </w:tcPr>
          <w:p w14:paraId="65304CDF" w14:textId="77777777" w:rsidR="00E67F89" w:rsidRPr="00E67F89" w:rsidRDefault="00E67F89" w:rsidP="00E67F89">
            <w:r w:rsidRPr="00E67F89">
              <w:t>Travailleurs communautaires.</w:t>
            </w:r>
          </w:p>
        </w:tc>
        <w:tc>
          <w:tcPr>
            <w:tcW w:w="1701" w:type="dxa"/>
          </w:tcPr>
          <w:p w14:paraId="0901E37A" w14:textId="77777777" w:rsidR="00E67F89" w:rsidRPr="00E67F89" w:rsidRDefault="00E67F89" w:rsidP="00E67F89">
            <w:r w:rsidRPr="00E67F89">
              <w:t>Loi n°2024-014 .</w:t>
            </w:r>
          </w:p>
          <w:p w14:paraId="28807858" w14:textId="77777777" w:rsidR="00E67F89" w:rsidRPr="00E67F89" w:rsidRDefault="00E67F89" w:rsidP="00E67F89">
            <w:r w:rsidRPr="00E67F89">
              <w:t>Loi n°2016- 055 : Manuel de procédures.</w:t>
            </w:r>
          </w:p>
        </w:tc>
        <w:tc>
          <w:tcPr>
            <w:tcW w:w="3261" w:type="dxa"/>
          </w:tcPr>
          <w:p w14:paraId="63958436" w14:textId="77777777" w:rsidR="00E67F89" w:rsidRPr="00E67F89" w:rsidRDefault="00E67F89" w:rsidP="00E67F89">
            <w:r w:rsidRPr="00E67F89">
              <w:t>Travailleurs journaliers. HIMO.</w:t>
            </w:r>
          </w:p>
          <w:p w14:paraId="79FDE6F4" w14:textId="77777777" w:rsidR="00E67F89" w:rsidRPr="00E67F89" w:rsidRDefault="00E67F89" w:rsidP="00E67F89">
            <w:r w:rsidRPr="00E67F89">
              <w:t>Tâcheronnat.</w:t>
            </w:r>
          </w:p>
        </w:tc>
        <w:tc>
          <w:tcPr>
            <w:tcW w:w="4393" w:type="dxa"/>
          </w:tcPr>
          <w:p w14:paraId="1C920897" w14:textId="77777777" w:rsidR="00E67F89" w:rsidRPr="00E67F89" w:rsidRDefault="00E67F89" w:rsidP="00E67F89">
            <w:r w:rsidRPr="00E67F89">
              <w:t>Les travailleurs HIMO, les tâcherons ou encore travailleurs journaliers dans le cadre des travaux communautaires (pour l’entretien des pistes rurales par exemple) sont connus par le droit malagasy comme des travailleurs communautaires. Toutefois, leur statut juridique n’est pas le même. Et par la suite, leurs protections ne sont pas les mêmes dans le droit malagasy. Seuls les travailleurs régis par le Code du travail bénéficient de la protection équivalente à celle de la NES2.</w:t>
            </w:r>
          </w:p>
        </w:tc>
      </w:tr>
      <w:tr w:rsidR="00E67F89" w:rsidRPr="00E67F89" w14:paraId="6A0AE166" w14:textId="77777777" w:rsidTr="00223F64">
        <w:tc>
          <w:tcPr>
            <w:tcW w:w="1377" w:type="dxa"/>
          </w:tcPr>
          <w:p w14:paraId="70D122AE" w14:textId="77777777" w:rsidR="00E67F89" w:rsidRPr="00E67F89" w:rsidRDefault="00E67F89" w:rsidP="00E67F89"/>
        </w:tc>
        <w:tc>
          <w:tcPr>
            <w:tcW w:w="1426" w:type="dxa"/>
          </w:tcPr>
          <w:p w14:paraId="222C5D61" w14:textId="77777777" w:rsidR="00E67F89" w:rsidRPr="00E67F89" w:rsidRDefault="00E67F89" w:rsidP="00E67F89"/>
        </w:tc>
        <w:tc>
          <w:tcPr>
            <w:tcW w:w="3394" w:type="dxa"/>
          </w:tcPr>
          <w:p w14:paraId="1B0728EF" w14:textId="77777777" w:rsidR="00E67F89" w:rsidRPr="00E67F89" w:rsidRDefault="00E67F89" w:rsidP="00E67F89">
            <w:r w:rsidRPr="00E67F89">
              <w:t>Travailleurs des fournisseurs primaires.</w:t>
            </w:r>
          </w:p>
        </w:tc>
        <w:tc>
          <w:tcPr>
            <w:tcW w:w="1701" w:type="dxa"/>
          </w:tcPr>
          <w:p w14:paraId="7CBA125E" w14:textId="77777777" w:rsidR="00E67F89" w:rsidRPr="00E67F89" w:rsidRDefault="00E67F89" w:rsidP="00E67F89">
            <w:r w:rsidRPr="00E67F89">
              <w:t>Loi n°2024-014 .</w:t>
            </w:r>
          </w:p>
        </w:tc>
        <w:tc>
          <w:tcPr>
            <w:tcW w:w="3261" w:type="dxa"/>
          </w:tcPr>
          <w:p w14:paraId="095F8D2C" w14:textId="77777777" w:rsidR="00E67F89" w:rsidRPr="00E67F89" w:rsidRDefault="00E67F89" w:rsidP="00E67F89">
            <w:r w:rsidRPr="00E67F89">
              <w:t>Travailleurs des sous-traitants.</w:t>
            </w:r>
          </w:p>
        </w:tc>
        <w:tc>
          <w:tcPr>
            <w:tcW w:w="4393" w:type="dxa"/>
          </w:tcPr>
          <w:p w14:paraId="31B78F8D" w14:textId="77777777" w:rsidR="00E67F89" w:rsidRPr="00E67F89" w:rsidRDefault="00E67F89" w:rsidP="00E67F89">
            <w:r w:rsidRPr="00E67F89">
              <w:t>(Idem que pour les travailleurs employés directement.)</w:t>
            </w:r>
          </w:p>
        </w:tc>
      </w:tr>
      <w:tr w:rsidR="00E67F89" w:rsidRPr="00E67F89" w14:paraId="4B9F5FEA" w14:textId="77777777" w:rsidTr="00223F64">
        <w:tc>
          <w:tcPr>
            <w:tcW w:w="15552" w:type="dxa"/>
            <w:gridSpan w:val="6"/>
            <w:shd w:val="clear" w:color="auto" w:fill="FFF2CC" w:themeFill="accent4" w:themeFillTint="33"/>
          </w:tcPr>
          <w:p w14:paraId="3E75E357" w14:textId="77777777" w:rsidR="00E67F89" w:rsidRPr="00E67F89" w:rsidRDefault="00E67F89" w:rsidP="00E67F89">
            <w:r w:rsidRPr="00E67F89">
              <w:t>A. CONDITIONS DE TRAVAIL ET GESTION DE LA RELATION DE TRAVAIL</w:t>
            </w:r>
          </w:p>
        </w:tc>
      </w:tr>
      <w:tr w:rsidR="00E67F89" w:rsidRPr="00E67F89" w14:paraId="1F1D37DF" w14:textId="77777777" w:rsidTr="00223F64">
        <w:tc>
          <w:tcPr>
            <w:tcW w:w="1377" w:type="dxa"/>
          </w:tcPr>
          <w:p w14:paraId="3C2F6FA5" w14:textId="77777777" w:rsidR="00E67F89" w:rsidRPr="00E67F89" w:rsidRDefault="00E67F89" w:rsidP="00E67F89">
            <w:r w:rsidRPr="00E67F89">
              <w:lastRenderedPageBreak/>
              <w:t>Elaboration de procédure de gestion de ressources humaines</w:t>
            </w:r>
          </w:p>
        </w:tc>
        <w:tc>
          <w:tcPr>
            <w:tcW w:w="1426" w:type="dxa"/>
          </w:tcPr>
          <w:p w14:paraId="02DAEC67" w14:textId="77777777" w:rsidR="00E67F89" w:rsidRPr="00E67F89" w:rsidRDefault="00E67F89" w:rsidP="00E67F89">
            <w:r w:rsidRPr="00E67F89">
              <w:t>9</w:t>
            </w:r>
          </w:p>
        </w:tc>
        <w:tc>
          <w:tcPr>
            <w:tcW w:w="3394" w:type="dxa"/>
          </w:tcPr>
          <w:p w14:paraId="23ABEEA1" w14:textId="77777777" w:rsidR="00E67F89" w:rsidRPr="00E67F89" w:rsidRDefault="00E67F89" w:rsidP="00E67F89">
            <w:r w:rsidRPr="00E67F89">
              <w:t>Obligations pour l’Emprunteur d’élaborer et mettre en œuvre des procédures de gestion de ressources humaines.</w:t>
            </w:r>
          </w:p>
          <w:p w14:paraId="15EE6DB6" w14:textId="77777777" w:rsidR="00E67F89" w:rsidRPr="00E67F89" w:rsidRDefault="00E67F89" w:rsidP="00E67F89">
            <w:r w:rsidRPr="00E67F89">
              <w:t>Ces procédures décriront la manière dont les travailleurs du projet seront gérés, conformément aux exigences de la présente NES et des lois nationales en vigueur. Les procédures expliqueront la mesure dans laquelle la présente NES s’appliquera aux différentes catégories de travailleurs du projet, y compris les travailleurs employés directement, et la manière dont l’Emprunteur exigera que des parties tierces gèrent leurs employés, conformément aux paragraphes 31-33.</w:t>
            </w:r>
          </w:p>
        </w:tc>
        <w:tc>
          <w:tcPr>
            <w:tcW w:w="1701" w:type="dxa"/>
          </w:tcPr>
          <w:p w14:paraId="76F393B7" w14:textId="77777777" w:rsidR="00E67F89" w:rsidRPr="00E67F89" w:rsidRDefault="00E67F89" w:rsidP="00E67F89">
            <w:r w:rsidRPr="00E67F89">
              <w:t>Art.235-241 de la Loi n°2024-014 .</w:t>
            </w:r>
          </w:p>
        </w:tc>
        <w:tc>
          <w:tcPr>
            <w:tcW w:w="3261" w:type="dxa"/>
          </w:tcPr>
          <w:p w14:paraId="7976C0F3" w14:textId="77777777" w:rsidR="00E67F89" w:rsidRPr="00E67F89" w:rsidRDefault="00E67F89" w:rsidP="00E67F89">
            <w:r w:rsidRPr="00E67F89">
              <w:t>Obligation d’élaboration de Règlement intérieur à partir de onze (11) travailleurs, ou de Convention collective, à partir de cinquante (50) travailleurs, la convention collective est conclue au sein du comité d’entreprise.</w:t>
            </w:r>
          </w:p>
          <w:p w14:paraId="5BD512A7" w14:textId="77777777" w:rsidR="00E67F89" w:rsidRPr="00E67F89" w:rsidRDefault="00E67F89" w:rsidP="00E67F89">
            <w:r w:rsidRPr="00E67F89">
              <w:t>Le règlement intérieur est un document écrit par lequel, l'employeur fixe les règles générales et permanentes relatives à son organisation technique de l'établissement et à la discipline générale, en déterminant la nature et le degré de sanctions susceptibles d'être prononcées ainsi que les dispositions de procédure garantissant les droits à la défense, les règles d'hygiène et de sécurité nécessaires à sa bonne marche.</w:t>
            </w:r>
          </w:p>
          <w:p w14:paraId="18396B8F" w14:textId="77777777" w:rsidR="00E67F89" w:rsidRPr="00E67F89" w:rsidRDefault="00E67F89" w:rsidP="00E67F89">
            <w:r w:rsidRPr="00E67F89">
              <w:lastRenderedPageBreak/>
              <w:t>La Convention collective du travail est un contrat écrit relatif aux conditions du travail.</w:t>
            </w:r>
          </w:p>
          <w:p w14:paraId="6DE00D16" w14:textId="77777777" w:rsidR="00E67F89" w:rsidRPr="00E67F89" w:rsidRDefault="00E67F89" w:rsidP="00E67F89">
            <w:r w:rsidRPr="00E67F89">
              <w:t>Les accords d'établissement ont pour objet d'adapter, aux conditions particulières de l'établissement ou des établissements considérés, les dispositions des conventions collectives.</w:t>
            </w:r>
          </w:p>
        </w:tc>
        <w:tc>
          <w:tcPr>
            <w:tcW w:w="4393" w:type="dxa"/>
          </w:tcPr>
          <w:p w14:paraId="4762F16A" w14:textId="77777777" w:rsidR="00E67F89" w:rsidRPr="00E67F89" w:rsidRDefault="00E67F89" w:rsidP="00E67F89">
            <w:r w:rsidRPr="00E67F89">
              <w:lastRenderedPageBreak/>
              <w:t>L’élaboration de procédures de gestion de ressources humaines n’est pas une obligation pour l’Employeur et particulièrement lorsque ces procédures devraient s’appliquer aux autres travailleurs que ceux directement employés par l’Emprunteur lui-même.</w:t>
            </w:r>
          </w:p>
          <w:p w14:paraId="39D4430E" w14:textId="77777777" w:rsidR="00E67F89" w:rsidRPr="00E67F89" w:rsidRDefault="00E67F89" w:rsidP="00E67F89">
            <w:r w:rsidRPr="00E67F89">
              <w:t>Toutefois, dans une certaine mesure, le règlement intérieur, l’accord d’établissement ou la convention collective dont l’élaboration est obligatoire pourra faire office de procédures de gestion des ressources humaines, en ce qui concerne les points respectivement contenus dans ces documents.</w:t>
            </w:r>
          </w:p>
        </w:tc>
      </w:tr>
      <w:tr w:rsidR="00E67F89" w:rsidRPr="00E67F89" w14:paraId="5BF0E14E" w14:textId="77777777" w:rsidTr="00223F64">
        <w:tc>
          <w:tcPr>
            <w:tcW w:w="15552" w:type="dxa"/>
            <w:gridSpan w:val="6"/>
            <w:shd w:val="clear" w:color="auto" w:fill="FFF2CC" w:themeFill="accent4" w:themeFillTint="33"/>
          </w:tcPr>
          <w:p w14:paraId="3EF519F0" w14:textId="77777777" w:rsidR="00E67F89" w:rsidRPr="00E67F89" w:rsidRDefault="00E67F89" w:rsidP="00E67F89">
            <w:r w:rsidRPr="00E67F89">
              <w:t>Conditions de travail et d’emploi</w:t>
            </w:r>
          </w:p>
        </w:tc>
      </w:tr>
      <w:tr w:rsidR="00E67F89" w:rsidRPr="00E67F89" w14:paraId="6FCA6461" w14:textId="77777777" w:rsidTr="00223F64">
        <w:tc>
          <w:tcPr>
            <w:tcW w:w="1377" w:type="dxa"/>
          </w:tcPr>
          <w:p w14:paraId="4300545D" w14:textId="77777777" w:rsidR="00E67F89" w:rsidRPr="00E67F89" w:rsidRDefault="00E67F89" w:rsidP="00E67F89">
            <w:r w:rsidRPr="00E67F89">
              <w:t>Informations et documents sur les conditions de l’emploi</w:t>
            </w:r>
          </w:p>
        </w:tc>
        <w:tc>
          <w:tcPr>
            <w:tcW w:w="1426" w:type="dxa"/>
          </w:tcPr>
          <w:p w14:paraId="7EB14441" w14:textId="77777777" w:rsidR="00E67F89" w:rsidRPr="00E67F89" w:rsidRDefault="00E67F89" w:rsidP="00E67F89">
            <w:r w:rsidRPr="00E67F89">
              <w:t>10</w:t>
            </w:r>
          </w:p>
        </w:tc>
        <w:tc>
          <w:tcPr>
            <w:tcW w:w="3394" w:type="dxa"/>
          </w:tcPr>
          <w:p w14:paraId="719474F6" w14:textId="77777777" w:rsidR="00E67F89" w:rsidRPr="00E67F89" w:rsidRDefault="00E67F89" w:rsidP="00E67F89">
            <w:r w:rsidRPr="00E67F89">
              <w:t>Communication aux travailleurs des informations et documents clairs et compréhensibles sur leurs conditions d’emploi.</w:t>
            </w:r>
          </w:p>
          <w:p w14:paraId="6757EB3D" w14:textId="77777777" w:rsidR="00E67F89" w:rsidRPr="00E67F89" w:rsidRDefault="00E67F89" w:rsidP="00E67F89">
            <w:r w:rsidRPr="00E67F89">
              <w:t>Communication faite au début de la relation de travail, et en cas de changement important des conditions d’emploi.</w:t>
            </w:r>
          </w:p>
        </w:tc>
        <w:tc>
          <w:tcPr>
            <w:tcW w:w="1701" w:type="dxa"/>
          </w:tcPr>
          <w:p w14:paraId="32E87653" w14:textId="77777777" w:rsidR="00E67F89" w:rsidRPr="00E67F89" w:rsidRDefault="00E67F89" w:rsidP="00E67F89">
            <w:r w:rsidRPr="00E67F89">
              <w:t>Art.18 de la Loi n°2024-014.</w:t>
            </w:r>
          </w:p>
          <w:p w14:paraId="1B102EF6" w14:textId="77777777" w:rsidR="00E67F89" w:rsidRPr="00E67F89" w:rsidRDefault="00E67F89" w:rsidP="00E67F89">
            <w:r w:rsidRPr="00E67F89">
              <w:t>Art.9, 12 Arrêté n°1454-IGT.</w:t>
            </w:r>
          </w:p>
        </w:tc>
        <w:tc>
          <w:tcPr>
            <w:tcW w:w="3261" w:type="dxa"/>
          </w:tcPr>
          <w:p w14:paraId="56E660EB" w14:textId="77777777" w:rsidR="00E67F89" w:rsidRPr="00E67F89" w:rsidRDefault="00E67F89" w:rsidP="00E67F89">
            <w:r w:rsidRPr="00E67F89">
              <w:t>Remise au travailleur au moment de l’embauche du Contrat de travail.</w:t>
            </w:r>
          </w:p>
          <w:p w14:paraId="5F20F122" w14:textId="77777777" w:rsidR="00E67F89" w:rsidRPr="00E67F89" w:rsidRDefault="00E67F89" w:rsidP="00E67F89">
            <w:r w:rsidRPr="00E67F89">
              <w:t>Affichage du Règlement intérieur (Convention collective, Accords d’établissement.)</w:t>
            </w:r>
          </w:p>
        </w:tc>
        <w:tc>
          <w:tcPr>
            <w:tcW w:w="4393" w:type="dxa"/>
          </w:tcPr>
          <w:p w14:paraId="0DCF966C" w14:textId="77777777" w:rsidR="00E67F89" w:rsidRPr="00E67F89" w:rsidRDefault="00E67F89" w:rsidP="00E67F89">
            <w:r w:rsidRPr="00E67F89">
              <w:t>La NES n°2 exige plus qu’un affichage des informations et documents. La communication indiquée par les exigences paraît être plus explicite et personnelle.</w:t>
            </w:r>
          </w:p>
        </w:tc>
      </w:tr>
      <w:tr w:rsidR="00E67F89" w:rsidRPr="00E67F89" w14:paraId="05F20AB5" w14:textId="77777777" w:rsidTr="00223F64">
        <w:tc>
          <w:tcPr>
            <w:tcW w:w="1377" w:type="dxa"/>
          </w:tcPr>
          <w:p w14:paraId="4279D174" w14:textId="77777777" w:rsidR="00E67F89" w:rsidRPr="00E67F89" w:rsidRDefault="00E67F89" w:rsidP="00E67F89">
            <w:r w:rsidRPr="00E67F89">
              <w:t>Rémunérations – Salaires</w:t>
            </w:r>
          </w:p>
        </w:tc>
        <w:tc>
          <w:tcPr>
            <w:tcW w:w="1426" w:type="dxa"/>
          </w:tcPr>
          <w:p w14:paraId="56651E7D" w14:textId="77777777" w:rsidR="00E67F89" w:rsidRPr="00E67F89" w:rsidRDefault="00E67F89" w:rsidP="00E67F89">
            <w:r w:rsidRPr="00E67F89">
              <w:t>11 a)</w:t>
            </w:r>
          </w:p>
        </w:tc>
        <w:tc>
          <w:tcPr>
            <w:tcW w:w="3394" w:type="dxa"/>
          </w:tcPr>
          <w:p w14:paraId="004F88F7" w14:textId="77777777" w:rsidR="00E67F89" w:rsidRPr="00E67F89" w:rsidRDefault="00E67F89" w:rsidP="00E67F89">
            <w:r w:rsidRPr="00E67F89">
              <w:t xml:space="preserve">Rémunération sur une base régulière. </w:t>
            </w:r>
          </w:p>
          <w:p w14:paraId="06462042" w14:textId="77777777" w:rsidR="00E67F89" w:rsidRPr="00E67F89" w:rsidRDefault="00E67F89" w:rsidP="00E67F89"/>
          <w:p w14:paraId="4B50441E" w14:textId="77777777" w:rsidR="00E67F89" w:rsidRPr="00E67F89" w:rsidRDefault="00E67F89" w:rsidP="00E67F89"/>
          <w:p w14:paraId="61520754" w14:textId="77777777" w:rsidR="00E67F89" w:rsidRPr="00E67F89" w:rsidRDefault="00E67F89" w:rsidP="00E67F89"/>
          <w:p w14:paraId="22EFFFB4" w14:textId="77777777" w:rsidR="00E67F89" w:rsidRPr="00E67F89" w:rsidRDefault="00E67F89" w:rsidP="00E67F89">
            <w:r w:rsidRPr="00E67F89">
              <w:t>Retenues effectuées uniquement conformément aux lois et procédures auxquelles sont informés les travailleurs.</w:t>
            </w:r>
          </w:p>
        </w:tc>
        <w:tc>
          <w:tcPr>
            <w:tcW w:w="1701" w:type="dxa"/>
          </w:tcPr>
          <w:p w14:paraId="6C315C3A" w14:textId="77777777" w:rsidR="00E67F89" w:rsidRPr="00E67F89" w:rsidRDefault="00E67F89" w:rsidP="00E67F89">
            <w:r w:rsidRPr="00E67F89">
              <w:lastRenderedPageBreak/>
              <w:t>Art.94 de la Loi n°2024-014.</w:t>
            </w:r>
          </w:p>
          <w:p w14:paraId="3CAC13FB" w14:textId="77777777" w:rsidR="00E67F89" w:rsidRPr="00E67F89" w:rsidRDefault="00E67F89" w:rsidP="00E67F89"/>
          <w:p w14:paraId="30876837" w14:textId="77777777" w:rsidR="00E67F89" w:rsidRPr="00E67F89" w:rsidRDefault="00E67F89" w:rsidP="00E67F89"/>
          <w:p w14:paraId="55B5CC43" w14:textId="77777777" w:rsidR="00E67F89" w:rsidRPr="00D42025" w:rsidRDefault="00E67F89" w:rsidP="00E67F89">
            <w:pPr>
              <w:rPr>
                <w:lang w:val="en-US"/>
              </w:rPr>
            </w:pPr>
            <w:r w:rsidRPr="00D42025">
              <w:rPr>
                <w:lang w:val="en-US"/>
              </w:rPr>
              <w:t>Art. 100 Loi n°2024-014. Art. CGI. Art. CPS.</w:t>
            </w:r>
          </w:p>
        </w:tc>
        <w:tc>
          <w:tcPr>
            <w:tcW w:w="3261" w:type="dxa"/>
          </w:tcPr>
          <w:p w14:paraId="3A6A0EB7" w14:textId="77777777" w:rsidR="00E67F89" w:rsidRPr="00E67F89" w:rsidRDefault="00E67F89" w:rsidP="00E67F89">
            <w:r w:rsidRPr="00E67F89">
              <w:lastRenderedPageBreak/>
              <w:t>Paiement des salaires à intervalles réguliers dont le retard donne lieu à majoration.</w:t>
            </w:r>
          </w:p>
          <w:p w14:paraId="11C35D4C" w14:textId="77777777" w:rsidR="00E67F89" w:rsidRPr="00E67F89" w:rsidRDefault="00E67F89" w:rsidP="00E67F89"/>
          <w:p w14:paraId="0EDEE5C8" w14:textId="77777777" w:rsidR="00E67F89" w:rsidRPr="00E67F89" w:rsidRDefault="00E67F89" w:rsidP="00E67F89">
            <w:r w:rsidRPr="00E67F89">
              <w:t>Retenues acceptées : prélèvement obligatoires, acomptes, avances spéciales écrites, saisie arrêt ou cession volontaire suivant le Code de procédure civile.</w:t>
            </w:r>
          </w:p>
        </w:tc>
        <w:tc>
          <w:tcPr>
            <w:tcW w:w="4393" w:type="dxa"/>
          </w:tcPr>
          <w:p w14:paraId="1821F3D7" w14:textId="77777777" w:rsidR="00E67F89" w:rsidRPr="00E67F89" w:rsidRDefault="00E67F89" w:rsidP="00E67F89">
            <w:r w:rsidRPr="00E67F89">
              <w:lastRenderedPageBreak/>
              <w:t>Il y a correspondance entre la NES n°2 et le cadre national.</w:t>
            </w:r>
          </w:p>
          <w:p w14:paraId="69942BD6" w14:textId="77777777" w:rsidR="00E67F89" w:rsidRPr="00E67F89" w:rsidRDefault="00E67F89" w:rsidP="00E67F89"/>
          <w:p w14:paraId="74629B70" w14:textId="77777777" w:rsidR="00E67F89" w:rsidRPr="00E67F89" w:rsidRDefault="00E67F89" w:rsidP="00E67F89">
            <w:r w:rsidRPr="00E67F89">
              <w:t>Il y a correspondance entre la NES n°2 et le cadre national.</w:t>
            </w:r>
          </w:p>
        </w:tc>
      </w:tr>
      <w:tr w:rsidR="00E67F89" w:rsidRPr="00E67F89" w14:paraId="10F3E737" w14:textId="77777777" w:rsidTr="00223F64">
        <w:tc>
          <w:tcPr>
            <w:tcW w:w="1377" w:type="dxa"/>
          </w:tcPr>
          <w:p w14:paraId="31916E56" w14:textId="77777777" w:rsidR="00E67F89" w:rsidRPr="00E67F89" w:rsidRDefault="00E67F89" w:rsidP="00E67F89">
            <w:r w:rsidRPr="00E67F89">
              <w:t>Congés</w:t>
            </w:r>
          </w:p>
        </w:tc>
        <w:tc>
          <w:tcPr>
            <w:tcW w:w="1426" w:type="dxa"/>
          </w:tcPr>
          <w:p w14:paraId="3342B601" w14:textId="77777777" w:rsidR="00E67F89" w:rsidRPr="00E67F89" w:rsidRDefault="00E67F89" w:rsidP="00E67F89">
            <w:r w:rsidRPr="00E67F89">
              <w:t>11 b)</w:t>
            </w:r>
          </w:p>
        </w:tc>
        <w:tc>
          <w:tcPr>
            <w:tcW w:w="3394" w:type="dxa"/>
          </w:tcPr>
          <w:p w14:paraId="214D1942" w14:textId="77777777" w:rsidR="00E67F89" w:rsidRPr="00E67F89" w:rsidRDefault="00E67F89" w:rsidP="00E67F89">
            <w:r w:rsidRPr="00E67F89">
              <w:t>Les travailleurs du projet devront bénéficier de :</w:t>
            </w:r>
          </w:p>
          <w:p w14:paraId="25CECB1A" w14:textId="77777777" w:rsidR="00E67F89" w:rsidRPr="00E67F89" w:rsidRDefault="00E67F89" w:rsidP="00E67F89">
            <w:r w:rsidRPr="00E67F89">
              <w:t>Périodes hebdomadaires de repos appropriées ;</w:t>
            </w:r>
          </w:p>
          <w:p w14:paraId="09525AEC" w14:textId="77777777" w:rsidR="00E67F89" w:rsidRPr="00E67F89" w:rsidRDefault="00E67F89" w:rsidP="00E67F89">
            <w:r w:rsidRPr="00E67F89">
              <w:t>Congés annuels ;</w:t>
            </w:r>
          </w:p>
          <w:p w14:paraId="3776C53C" w14:textId="77777777" w:rsidR="00E67F89" w:rsidRPr="00E67F89" w:rsidRDefault="00E67F89" w:rsidP="00E67F89">
            <w:r w:rsidRPr="00E67F89">
              <w:t>Congés de maladie ;</w:t>
            </w:r>
          </w:p>
          <w:p w14:paraId="62795CCC" w14:textId="77777777" w:rsidR="00E67F89" w:rsidRPr="00E67F89" w:rsidRDefault="00E67F89" w:rsidP="00E67F89">
            <w:r w:rsidRPr="00E67F89">
              <w:t>Congé de maternité et</w:t>
            </w:r>
          </w:p>
          <w:p w14:paraId="64E9DB51" w14:textId="77777777" w:rsidR="00E67F89" w:rsidRPr="00E67F89" w:rsidRDefault="00E67F89" w:rsidP="00E67F89">
            <w:r w:rsidRPr="00E67F89">
              <w:t>Congé pour raison familiale, conformément à la législation nationale et aux procédures de gestion du personnel.</w:t>
            </w:r>
          </w:p>
        </w:tc>
        <w:tc>
          <w:tcPr>
            <w:tcW w:w="1701" w:type="dxa"/>
          </w:tcPr>
          <w:p w14:paraId="7A8FB120" w14:textId="77777777" w:rsidR="00E67F89" w:rsidRPr="00E67F89" w:rsidRDefault="00E67F89" w:rsidP="00E67F89">
            <w:r w:rsidRPr="00E67F89">
              <w:t>Art.113, 114, 115, 125, 126,  de la Loi n°2024-014.</w:t>
            </w:r>
          </w:p>
        </w:tc>
        <w:tc>
          <w:tcPr>
            <w:tcW w:w="3261" w:type="dxa"/>
          </w:tcPr>
          <w:p w14:paraId="758B1EBE" w14:textId="77777777" w:rsidR="00E67F89" w:rsidRPr="00E67F89" w:rsidRDefault="00E67F89" w:rsidP="00E67F89">
            <w:r w:rsidRPr="00E67F89">
              <w:t>Le travailleur bénéficie de :</w:t>
            </w:r>
          </w:p>
          <w:p w14:paraId="7527649E" w14:textId="77777777" w:rsidR="00E67F89" w:rsidRPr="00E67F89" w:rsidRDefault="00E67F89" w:rsidP="00E67F89">
            <w:r w:rsidRPr="00E67F89">
              <w:t>Repos journalier continu d’au moins douze (12) heures ;</w:t>
            </w:r>
          </w:p>
          <w:p w14:paraId="034BFC82" w14:textId="77777777" w:rsidR="00E67F89" w:rsidRPr="00E67F89" w:rsidRDefault="00E67F89" w:rsidP="00E67F89">
            <w:r w:rsidRPr="00E67F89">
              <w:t>Repos hebdomadaire obligatoire ;</w:t>
            </w:r>
          </w:p>
          <w:p w14:paraId="1522CB7D" w14:textId="77777777" w:rsidR="00E67F89" w:rsidRPr="00E67F89" w:rsidRDefault="00E67F89" w:rsidP="00E67F89">
            <w:r w:rsidRPr="00E67F89">
              <w:t>Jours fériés chômés et payés ;</w:t>
            </w:r>
          </w:p>
          <w:p w14:paraId="72E54018" w14:textId="77777777" w:rsidR="00E67F89" w:rsidRPr="00E67F89" w:rsidRDefault="00E67F89" w:rsidP="00E67F89">
            <w:r w:rsidRPr="00E67F89">
              <w:t>Congés payés annuels ;</w:t>
            </w:r>
          </w:p>
          <w:p w14:paraId="5FD8C6B6" w14:textId="77777777" w:rsidR="00E67F89" w:rsidRPr="00E67F89" w:rsidRDefault="00E67F89" w:rsidP="00E67F89">
            <w:r w:rsidRPr="00E67F89">
              <w:t>Permissions exceptionnelles pour évènements de famille ;</w:t>
            </w:r>
          </w:p>
          <w:p w14:paraId="1A4C26D6" w14:textId="77777777" w:rsidR="00E67F89" w:rsidRPr="00E67F89" w:rsidRDefault="00E67F89" w:rsidP="00E67F89">
            <w:r w:rsidRPr="00E67F89">
              <w:t>Absences régulières pour maladie ;</w:t>
            </w:r>
          </w:p>
          <w:p w14:paraId="767A96BD" w14:textId="77777777" w:rsidR="00E67F89" w:rsidRPr="00E67F89" w:rsidRDefault="00E67F89" w:rsidP="00E67F89">
            <w:r w:rsidRPr="00E67F89">
              <w:lastRenderedPageBreak/>
              <w:t>Congé pour accident du travail ou maladies professionnelles ;</w:t>
            </w:r>
          </w:p>
          <w:p w14:paraId="57F5B6F0" w14:textId="77777777" w:rsidR="00E67F89" w:rsidRPr="00E67F89" w:rsidRDefault="00E67F89" w:rsidP="00E67F89">
            <w:r w:rsidRPr="00E67F89">
              <w:t>Congé éducation ;</w:t>
            </w:r>
          </w:p>
          <w:p w14:paraId="0877ECC8" w14:textId="77777777" w:rsidR="00E67F89" w:rsidRPr="00E67F89" w:rsidRDefault="00E67F89" w:rsidP="00E67F89">
            <w:r w:rsidRPr="00E67F89">
              <w:t>Repos de femme en couche ;</w:t>
            </w:r>
          </w:p>
          <w:p w14:paraId="7BC37517" w14:textId="77777777" w:rsidR="00E67F89" w:rsidRPr="00E67F89" w:rsidRDefault="00E67F89" w:rsidP="00E67F89">
            <w:r w:rsidRPr="00E67F89">
              <w:t>Absence de parent pour hospitalisation d’un enfant ;</w:t>
            </w:r>
          </w:p>
          <w:p w14:paraId="146FFBA7" w14:textId="77777777" w:rsidR="00E67F89" w:rsidRPr="00E67F89" w:rsidRDefault="00E67F89" w:rsidP="00E67F89">
            <w:r w:rsidRPr="00E67F89">
              <w:t xml:space="preserve">Absence du travailleur en cas d’hospitalisation du conjoint du travailleur dans la limite de quinze (15) jours. </w:t>
            </w:r>
          </w:p>
        </w:tc>
        <w:tc>
          <w:tcPr>
            <w:tcW w:w="4393" w:type="dxa"/>
          </w:tcPr>
          <w:p w14:paraId="2715F8BB" w14:textId="77777777" w:rsidR="00E67F89" w:rsidRPr="00E67F89" w:rsidRDefault="00E67F89" w:rsidP="00E67F89">
            <w:r w:rsidRPr="00E67F89">
              <w:lastRenderedPageBreak/>
              <w:t>Il y a correspondance entre la NES n°2 et le cadre national.</w:t>
            </w:r>
          </w:p>
        </w:tc>
      </w:tr>
      <w:tr w:rsidR="00E67F89" w:rsidRPr="00E67F89" w14:paraId="0CC4E709" w14:textId="77777777" w:rsidTr="00223F64">
        <w:tc>
          <w:tcPr>
            <w:tcW w:w="1377" w:type="dxa"/>
          </w:tcPr>
          <w:p w14:paraId="77F9F52E" w14:textId="77777777" w:rsidR="00E67F89" w:rsidRPr="00E67F89" w:rsidRDefault="00E67F89" w:rsidP="00E67F89">
            <w:r w:rsidRPr="00E67F89">
              <w:t>Licenciement – Fin de la relation de travail</w:t>
            </w:r>
          </w:p>
        </w:tc>
        <w:tc>
          <w:tcPr>
            <w:tcW w:w="1426" w:type="dxa"/>
          </w:tcPr>
          <w:p w14:paraId="4B3FDB7F" w14:textId="77777777" w:rsidR="00E67F89" w:rsidRPr="00E67F89" w:rsidRDefault="00E67F89" w:rsidP="00E67F89">
            <w:r w:rsidRPr="00E67F89">
              <w:t>12</w:t>
            </w:r>
          </w:p>
        </w:tc>
        <w:tc>
          <w:tcPr>
            <w:tcW w:w="3394" w:type="dxa"/>
          </w:tcPr>
          <w:p w14:paraId="6BD485A7" w14:textId="77777777" w:rsidR="00E67F89" w:rsidRPr="00E67F89" w:rsidRDefault="00E67F89" w:rsidP="00E67F89">
            <w:r w:rsidRPr="00E67F89">
              <w:t>Lorsque prévus, avis en temps opportun du licenciement et informations sur les indemnisations de départ.</w:t>
            </w:r>
          </w:p>
        </w:tc>
        <w:tc>
          <w:tcPr>
            <w:tcW w:w="1701" w:type="dxa"/>
          </w:tcPr>
          <w:p w14:paraId="531854CC" w14:textId="77777777" w:rsidR="00E67F89" w:rsidRPr="00E67F89" w:rsidRDefault="00E67F89" w:rsidP="00E67F89">
            <w:r w:rsidRPr="00E67F89">
              <w:t>Art.41, 42, 44 Loi n°2024-014 .</w:t>
            </w:r>
          </w:p>
        </w:tc>
        <w:tc>
          <w:tcPr>
            <w:tcW w:w="3261" w:type="dxa"/>
          </w:tcPr>
          <w:p w14:paraId="6779FD22" w14:textId="77777777" w:rsidR="00E67F89" w:rsidRPr="00E67F89" w:rsidRDefault="00E67F89" w:rsidP="00E67F89">
            <w:r w:rsidRPr="00E67F89">
              <w:t>Information écrite préalable obligatoire sur les motifs de licenciement et communication du dossier, fourniture des moyens de défense, notification écrite de la décision de licenciement, ouverture des divers droits.</w:t>
            </w:r>
          </w:p>
          <w:p w14:paraId="4DF0F830" w14:textId="77777777" w:rsidR="00E67F89" w:rsidRPr="00E67F89" w:rsidRDefault="00E67F89" w:rsidP="00E67F89">
            <w:r w:rsidRPr="00E67F89">
              <w:t>Procédure spécifique en cas de licenciement économique individuel ou collectif.</w:t>
            </w:r>
          </w:p>
        </w:tc>
        <w:tc>
          <w:tcPr>
            <w:tcW w:w="4393" w:type="dxa"/>
          </w:tcPr>
          <w:p w14:paraId="306E266D" w14:textId="77777777" w:rsidR="00E67F89" w:rsidRPr="00E67F89" w:rsidRDefault="00E67F89" w:rsidP="00E67F89">
            <w:r w:rsidRPr="00E67F89">
              <w:t>L’information sur les indemnisations de départ n’est pas rendue obligatoire par le droit malagasy. Mais c’est un plus apporté au droit du travailleur par la NESn°2.</w:t>
            </w:r>
          </w:p>
        </w:tc>
      </w:tr>
      <w:tr w:rsidR="00E67F89" w:rsidRPr="00E67F89" w14:paraId="3A89B97A" w14:textId="77777777" w:rsidTr="00223F64">
        <w:tc>
          <w:tcPr>
            <w:tcW w:w="1377" w:type="dxa"/>
          </w:tcPr>
          <w:p w14:paraId="78E00A06" w14:textId="77777777" w:rsidR="00E67F89" w:rsidRPr="00E67F89" w:rsidRDefault="00E67F89" w:rsidP="00E67F89"/>
        </w:tc>
        <w:tc>
          <w:tcPr>
            <w:tcW w:w="1426" w:type="dxa"/>
          </w:tcPr>
          <w:p w14:paraId="45ED8C81" w14:textId="77777777" w:rsidR="00E67F89" w:rsidRPr="00E67F89" w:rsidRDefault="00E67F89" w:rsidP="00E67F89"/>
        </w:tc>
        <w:tc>
          <w:tcPr>
            <w:tcW w:w="3394" w:type="dxa"/>
          </w:tcPr>
          <w:p w14:paraId="4534024F" w14:textId="77777777" w:rsidR="00E67F89" w:rsidRPr="00E67F89" w:rsidRDefault="00E67F89" w:rsidP="00E67F89">
            <w:r w:rsidRPr="00E67F89">
              <w:t>Tous les salaires acquis, les prestations de sécurité sociale et les contributions à la caisse de retraite et - tout autre avantage, seront versés avant ou dès la fin de la relation de travail, soit directement aux travailleurs du projet, ou le cas échéant, au profit des travailleurs du projet.</w:t>
            </w:r>
          </w:p>
        </w:tc>
        <w:tc>
          <w:tcPr>
            <w:tcW w:w="1701" w:type="dxa"/>
          </w:tcPr>
          <w:p w14:paraId="77497B8B" w14:textId="77777777" w:rsidR="00E67F89" w:rsidRPr="00E67F89" w:rsidRDefault="00E67F89" w:rsidP="00E67F89">
            <w:r w:rsidRPr="00E67F89">
              <w:t>Art.41, 48, 50 Loi n°2024-014 .</w:t>
            </w:r>
          </w:p>
          <w:p w14:paraId="59158472" w14:textId="77777777" w:rsidR="00E67F89" w:rsidRPr="00E67F89" w:rsidRDefault="00E67F89" w:rsidP="00E67F89"/>
          <w:p w14:paraId="2986FA7C" w14:textId="77777777" w:rsidR="00E67F89" w:rsidRPr="00E67F89" w:rsidRDefault="00E67F89" w:rsidP="00E67F89">
            <w:r w:rsidRPr="00E67F89">
              <w:t>Art.272, 304,</w:t>
            </w:r>
          </w:p>
          <w:p w14:paraId="3A441E32" w14:textId="77777777" w:rsidR="00E67F89" w:rsidRPr="00E67F89" w:rsidRDefault="00E67F89" w:rsidP="00E67F89">
            <w:r w:rsidRPr="00E67F89">
              <w:t>305 Décret n°69-145.</w:t>
            </w:r>
          </w:p>
        </w:tc>
        <w:tc>
          <w:tcPr>
            <w:tcW w:w="3261" w:type="dxa"/>
          </w:tcPr>
          <w:p w14:paraId="62473203" w14:textId="77777777" w:rsidR="00E67F89" w:rsidRPr="00E67F89" w:rsidRDefault="00E67F89" w:rsidP="00E67F89">
            <w:r w:rsidRPr="00E67F89">
              <w:t>Règlement dès la cessation de travail des droits ouverts : solde de salaire, indemnité compensatrice de congé non pris, préavis, délivrance d’un certificat de travail, indemnité de licenciement en cas de licenciement économique.</w:t>
            </w:r>
          </w:p>
          <w:p w14:paraId="605692BA" w14:textId="77777777" w:rsidR="00E67F89" w:rsidRPr="00E67F89" w:rsidRDefault="00E67F89" w:rsidP="00E67F89">
            <w:r w:rsidRPr="00E67F89">
              <w:t>Le remboursement des cotisations sociales est effectué par la CNaPS seulement à la retraite ou à l’ouverture de l’octroi d’allocations en cas d’insuffisance de droits acquis.</w:t>
            </w:r>
          </w:p>
        </w:tc>
        <w:tc>
          <w:tcPr>
            <w:tcW w:w="4393" w:type="dxa"/>
          </w:tcPr>
          <w:p w14:paraId="7447CA26" w14:textId="77777777" w:rsidR="00E67F89" w:rsidRPr="00E67F89" w:rsidRDefault="00E67F89" w:rsidP="00E67F89">
            <w:r w:rsidRPr="00E67F89">
              <w:t>Le droit malagasy ne permet pas que les prestations de sécurité sociale et les contributions à la caisse de retraite soient versées au travailleur à la fin de la relation du travail.</w:t>
            </w:r>
          </w:p>
          <w:p w14:paraId="0123192E" w14:textId="77777777" w:rsidR="00E67F89" w:rsidRPr="00E67F89" w:rsidRDefault="00E67F89" w:rsidP="00E67F89">
            <w:r w:rsidRPr="00E67F89">
              <w:t>Cette partie des exigences de la NES n°2 est en contradiction avec le droit malagasy. Elle est aussi moins protectrice des droits du travailleur que les prescriptions du droit. Ainsi, elle ne peut pas être appliquée en tant que telle.</w:t>
            </w:r>
          </w:p>
        </w:tc>
      </w:tr>
      <w:tr w:rsidR="00E67F89" w:rsidRPr="00E67F89" w14:paraId="3CB5D918" w14:textId="77777777" w:rsidTr="00223F64">
        <w:tc>
          <w:tcPr>
            <w:tcW w:w="15552" w:type="dxa"/>
            <w:gridSpan w:val="6"/>
            <w:shd w:val="clear" w:color="auto" w:fill="FFF2CC" w:themeFill="accent4" w:themeFillTint="33"/>
          </w:tcPr>
          <w:p w14:paraId="509D46E6" w14:textId="77777777" w:rsidR="00E67F89" w:rsidRPr="00E67F89" w:rsidRDefault="00E67F89" w:rsidP="00E67F89">
            <w:r w:rsidRPr="00E67F89">
              <w:t>Non-discrimination et égalité des chances</w:t>
            </w:r>
          </w:p>
        </w:tc>
      </w:tr>
      <w:tr w:rsidR="00E67F89" w:rsidRPr="00E67F89" w14:paraId="26155FC6" w14:textId="77777777" w:rsidTr="00223F64">
        <w:tc>
          <w:tcPr>
            <w:tcW w:w="1377" w:type="dxa"/>
          </w:tcPr>
          <w:p w14:paraId="27564B02" w14:textId="77777777" w:rsidR="00E67F89" w:rsidRPr="00E67F89" w:rsidRDefault="00E67F89" w:rsidP="00E67F89">
            <w:r w:rsidRPr="00E67F89">
              <w:t xml:space="preserve">Application des principes de non-discrimination, d’égalité des chances </w:t>
            </w:r>
            <w:r w:rsidRPr="00E67F89">
              <w:lastRenderedPageBreak/>
              <w:t>dans la relation de travail</w:t>
            </w:r>
          </w:p>
        </w:tc>
        <w:tc>
          <w:tcPr>
            <w:tcW w:w="1426" w:type="dxa"/>
          </w:tcPr>
          <w:p w14:paraId="348844AC" w14:textId="77777777" w:rsidR="00E67F89" w:rsidRPr="00E67F89" w:rsidRDefault="00E67F89" w:rsidP="00E67F89">
            <w:r w:rsidRPr="00E67F89">
              <w:lastRenderedPageBreak/>
              <w:t>13 a)</w:t>
            </w:r>
          </w:p>
        </w:tc>
        <w:tc>
          <w:tcPr>
            <w:tcW w:w="3394" w:type="dxa"/>
          </w:tcPr>
          <w:p w14:paraId="6ABF561F" w14:textId="77777777" w:rsidR="00E67F89" w:rsidRPr="00E67F89" w:rsidRDefault="00E67F89" w:rsidP="00E67F89">
            <w:r w:rsidRPr="00E67F89">
              <w:t>Les décisions de recrutement ou de traitement des employés du projet :</w:t>
            </w:r>
          </w:p>
          <w:p w14:paraId="4957C2B8" w14:textId="77777777" w:rsidR="00E67F89" w:rsidRPr="00E67F89" w:rsidRDefault="00E67F89" w:rsidP="00E67F89">
            <w:r w:rsidRPr="00E67F89">
              <w:t>ne seront pas prises sur la base de caractéristiques personnelles sans rapport avec les besoins inhérents au poste à pourvoir.</w:t>
            </w:r>
          </w:p>
          <w:p w14:paraId="46D5F66B" w14:textId="77777777" w:rsidR="00E67F89" w:rsidRPr="00E67F89" w:rsidRDefault="00E67F89" w:rsidP="00E67F89">
            <w:r w:rsidRPr="00E67F89">
              <w:lastRenderedPageBreak/>
              <w:t>L’Emprunteur fondera la relation de travail sur le principe de l’égalité des chances et de traitement, et ne prendra aucune mesure discriminatoire concernant un aspect quelconque de la relation de travail</w:t>
            </w:r>
          </w:p>
        </w:tc>
        <w:tc>
          <w:tcPr>
            <w:tcW w:w="1701" w:type="dxa"/>
          </w:tcPr>
          <w:p w14:paraId="195B3E17" w14:textId="77777777" w:rsidR="00E67F89" w:rsidRPr="00E67F89" w:rsidRDefault="00E67F89" w:rsidP="00E67F89">
            <w:r w:rsidRPr="00E67F89">
              <w:lastRenderedPageBreak/>
              <w:t>Art.6 Constitution. Art.83,153,</w:t>
            </w:r>
          </w:p>
          <w:p w14:paraId="5C69BC50" w14:textId="77777777" w:rsidR="00E67F89" w:rsidRPr="00E67F89" w:rsidRDefault="00E67F89" w:rsidP="00E67F89">
            <w:r w:rsidRPr="00E67F89">
              <w:t>356 de la Loi n°2024-014.</w:t>
            </w:r>
          </w:p>
        </w:tc>
        <w:tc>
          <w:tcPr>
            <w:tcW w:w="3261" w:type="dxa"/>
          </w:tcPr>
          <w:p w14:paraId="5F6A3F99" w14:textId="77777777" w:rsidR="00E67F89" w:rsidRPr="00E67F89" w:rsidRDefault="00E67F89" w:rsidP="00E67F89">
            <w:r w:rsidRPr="00E67F89">
              <w:t xml:space="preserve">Tout traitement discriminatoire fondé sur la race, la religion, l'origine, le sexe, l'appartenance syndicale, l'appartenance et les opinions politiques du travailleur en ce qui concerne l'accès à l'emploi et à la formation professionnelle, les </w:t>
            </w:r>
            <w:r w:rsidRPr="00E67F89">
              <w:lastRenderedPageBreak/>
              <w:t>conditions de travail et d'avancement, les conditions de rémunération, le licenciement, constitue une infraction pénale.</w:t>
            </w:r>
          </w:p>
        </w:tc>
        <w:tc>
          <w:tcPr>
            <w:tcW w:w="4393" w:type="dxa"/>
          </w:tcPr>
          <w:p w14:paraId="0A16B810" w14:textId="77777777" w:rsidR="00E67F89" w:rsidRPr="00E67F89" w:rsidRDefault="00E67F89" w:rsidP="00E67F89">
            <w:r w:rsidRPr="00E67F89">
              <w:lastRenderedPageBreak/>
              <w:t>La NES n°2 est plus générale que le Code du travail. Toutefois, la discrimination est punie.</w:t>
            </w:r>
          </w:p>
          <w:p w14:paraId="249FEB5F" w14:textId="77777777" w:rsidR="00E67F89" w:rsidRPr="00E67F89" w:rsidRDefault="00E67F89" w:rsidP="00E67F89">
            <w:r w:rsidRPr="00E67F89">
              <w:t>La formulation de la NES n°2 reflète mieux l’esprit de la Constitution en ce qui concerne la discrimination quant à l’égalité des chances dans la relation de travail.</w:t>
            </w:r>
          </w:p>
        </w:tc>
      </w:tr>
      <w:tr w:rsidR="00E67F89" w:rsidRPr="00E67F89" w14:paraId="455E08B4" w14:textId="77777777" w:rsidTr="00223F64">
        <w:tc>
          <w:tcPr>
            <w:tcW w:w="1377" w:type="dxa"/>
          </w:tcPr>
          <w:p w14:paraId="1D07F49E" w14:textId="77777777" w:rsidR="00E67F89" w:rsidRPr="00E67F89" w:rsidRDefault="00E67F89" w:rsidP="00E67F89">
            <w:r w:rsidRPr="00E67F89">
              <w:t>Lutte contre le harcèlement</w:t>
            </w:r>
          </w:p>
        </w:tc>
        <w:tc>
          <w:tcPr>
            <w:tcW w:w="1426" w:type="dxa"/>
          </w:tcPr>
          <w:p w14:paraId="55400207" w14:textId="77777777" w:rsidR="00E67F89" w:rsidRPr="00E67F89" w:rsidRDefault="00E67F89" w:rsidP="00E67F89"/>
        </w:tc>
        <w:tc>
          <w:tcPr>
            <w:tcW w:w="3394" w:type="dxa"/>
          </w:tcPr>
          <w:p w14:paraId="139A9BF7" w14:textId="77777777" w:rsidR="00E67F89" w:rsidRPr="00E67F89" w:rsidRDefault="00E67F89" w:rsidP="00E67F89">
            <w:r w:rsidRPr="00E67F89">
              <w:t>Les procédures en matière de gestion des ressources humaines décriront les mesures visant à prévenir et à lutter contre : le harcèlement,</w:t>
            </w:r>
          </w:p>
          <w:p w14:paraId="2D5E08E8" w14:textId="77777777" w:rsidR="00E67F89" w:rsidRPr="00E67F89" w:rsidRDefault="00E67F89" w:rsidP="00E67F89">
            <w:r w:rsidRPr="00E67F89">
              <w:t>à l’intimidation et/ou</w:t>
            </w:r>
          </w:p>
          <w:p w14:paraId="0B886C46" w14:textId="77777777" w:rsidR="00E67F89" w:rsidRPr="00E67F89" w:rsidRDefault="00E67F89" w:rsidP="00E67F89">
            <w:r w:rsidRPr="00E67F89">
              <w:t>à l’exploitation.</w:t>
            </w:r>
          </w:p>
        </w:tc>
        <w:tc>
          <w:tcPr>
            <w:tcW w:w="1701" w:type="dxa"/>
          </w:tcPr>
          <w:p w14:paraId="0BAE718E" w14:textId="77777777" w:rsidR="00E67F89" w:rsidRPr="00E67F89" w:rsidRDefault="00E67F89" w:rsidP="00E67F89">
            <w:r w:rsidRPr="00E67F89">
              <w:t>Art.10,40, 357, 358 Loi n°2024-014</w:t>
            </w:r>
          </w:p>
        </w:tc>
        <w:tc>
          <w:tcPr>
            <w:tcW w:w="3261" w:type="dxa"/>
          </w:tcPr>
          <w:p w14:paraId="3E4709EF" w14:textId="77777777" w:rsidR="00E67F89" w:rsidRPr="00E67F89" w:rsidRDefault="00E67F89" w:rsidP="00E67F89">
            <w:r w:rsidRPr="00E67F89">
              <w:t>Tout salarié a droit au respect de sa dignité. Dans toutes les relations de travail, nul ne peut être victime de mauvais traitement ou de violence portant atteinte à l'intégrité physique ou morale prévue et sanctionnée par le Code Pénal.</w:t>
            </w:r>
          </w:p>
        </w:tc>
        <w:tc>
          <w:tcPr>
            <w:tcW w:w="4393" w:type="dxa"/>
          </w:tcPr>
          <w:p w14:paraId="4654FC40" w14:textId="77777777" w:rsidR="00E67F89" w:rsidRPr="00E67F89" w:rsidRDefault="00E67F89" w:rsidP="00E67F89">
            <w:r w:rsidRPr="00E67F89">
              <w:t>La description des mesures visant à prévenir et à lutter contre le harcèlement dans les procédures est un plus au profit des travailleurs apportée par la NES n°2 par rapport aux prescriptions du cadre juridique national.</w:t>
            </w:r>
          </w:p>
        </w:tc>
      </w:tr>
      <w:tr w:rsidR="00E67F89" w:rsidRPr="00E67F89" w14:paraId="38C09C3F" w14:textId="77777777" w:rsidTr="00223F64">
        <w:tc>
          <w:tcPr>
            <w:tcW w:w="1377" w:type="dxa"/>
          </w:tcPr>
          <w:p w14:paraId="4380B8FB" w14:textId="77777777" w:rsidR="00E67F89" w:rsidRPr="00E67F89" w:rsidRDefault="00E67F89" w:rsidP="00E67F89">
            <w:r w:rsidRPr="00E67F89">
              <w:t>Mesures non discriminatoires</w:t>
            </w:r>
          </w:p>
        </w:tc>
        <w:tc>
          <w:tcPr>
            <w:tcW w:w="1426" w:type="dxa"/>
          </w:tcPr>
          <w:p w14:paraId="3C455BFC" w14:textId="77777777" w:rsidR="00E67F89" w:rsidRPr="00E67F89" w:rsidRDefault="00E67F89" w:rsidP="00E67F89">
            <w:r w:rsidRPr="00E67F89">
              <w:t>14</w:t>
            </w:r>
          </w:p>
        </w:tc>
        <w:tc>
          <w:tcPr>
            <w:tcW w:w="3394" w:type="dxa"/>
          </w:tcPr>
          <w:p w14:paraId="4BE6B47A" w14:textId="77777777" w:rsidR="00E67F89" w:rsidRPr="00E67F89" w:rsidRDefault="00E67F89" w:rsidP="00E67F89">
            <w:r w:rsidRPr="00E67F89">
              <w:t xml:space="preserve">Des mesures spéciales de protection ou d’assistance à la réparation de pratiques discriminatoires ou de sélection pour un poste spécifique, reposant sur les besoins inhérents à ce poste ou sur les objectifs du projet : ne sont pas réputées constituer des actes de </w:t>
            </w:r>
            <w:r w:rsidRPr="00E67F89">
              <w:lastRenderedPageBreak/>
              <w:t>discrimination, à condition qu’elles soient conformes au droit national.</w:t>
            </w:r>
          </w:p>
        </w:tc>
        <w:tc>
          <w:tcPr>
            <w:tcW w:w="1701" w:type="dxa"/>
          </w:tcPr>
          <w:p w14:paraId="6CA695AB" w14:textId="77777777" w:rsidR="00E67F89" w:rsidRPr="00E67F89" w:rsidRDefault="00E67F89" w:rsidP="00E67F89">
            <w:r w:rsidRPr="00E67F89">
              <w:lastRenderedPageBreak/>
              <w:t>N/P</w:t>
            </w:r>
          </w:p>
        </w:tc>
        <w:tc>
          <w:tcPr>
            <w:tcW w:w="3261" w:type="dxa"/>
          </w:tcPr>
          <w:p w14:paraId="4DC8A9CC" w14:textId="77777777" w:rsidR="00E67F89" w:rsidRPr="00E67F89" w:rsidRDefault="00E67F89" w:rsidP="00E67F89">
            <w:r w:rsidRPr="00E67F89">
              <w:t>Les textes ne prévoient pas ces points.</w:t>
            </w:r>
          </w:p>
        </w:tc>
        <w:tc>
          <w:tcPr>
            <w:tcW w:w="4393" w:type="dxa"/>
          </w:tcPr>
          <w:p w14:paraId="2626C782" w14:textId="77777777" w:rsidR="00E67F89" w:rsidRPr="00E67F89" w:rsidRDefault="00E67F89" w:rsidP="00E67F89">
            <w:r w:rsidRPr="00E67F89">
              <w:t>Le droit malagasy ne permet pas cette exception de la NES n°2 pouvant justifier la prise d’une mesure discriminatoire.</w:t>
            </w:r>
          </w:p>
        </w:tc>
      </w:tr>
      <w:tr w:rsidR="00E67F89" w:rsidRPr="00E67F89" w14:paraId="472E89A7" w14:textId="77777777" w:rsidTr="00223F64">
        <w:tc>
          <w:tcPr>
            <w:tcW w:w="1377" w:type="dxa"/>
          </w:tcPr>
          <w:p w14:paraId="5036E471" w14:textId="77777777" w:rsidR="00E67F89" w:rsidRPr="00E67F89" w:rsidRDefault="00E67F89" w:rsidP="00E67F89">
            <w:r w:rsidRPr="00E67F89">
              <w:t>Mesures de protection des catégories vulnérables de travailleurs</w:t>
            </w:r>
          </w:p>
        </w:tc>
        <w:tc>
          <w:tcPr>
            <w:tcW w:w="1426" w:type="dxa"/>
          </w:tcPr>
          <w:p w14:paraId="64E6AECC" w14:textId="77777777" w:rsidR="00E67F89" w:rsidRPr="00E67F89" w:rsidRDefault="00E67F89" w:rsidP="00E67F89">
            <w:r w:rsidRPr="00E67F89">
              <w:t>15</w:t>
            </w:r>
          </w:p>
        </w:tc>
        <w:tc>
          <w:tcPr>
            <w:tcW w:w="3394" w:type="dxa"/>
          </w:tcPr>
          <w:p w14:paraId="00CCA998" w14:textId="77777777" w:rsidR="00E67F89" w:rsidRPr="00E67F89" w:rsidRDefault="00E67F89" w:rsidP="00E67F89">
            <w:r w:rsidRPr="00E67F89">
              <w:t>L’Emprunteur mettra en place</w:t>
            </w:r>
          </w:p>
          <w:p w14:paraId="4692EBC2" w14:textId="77777777" w:rsidR="00E67F89" w:rsidRPr="00E67F89" w:rsidRDefault="00E67F89" w:rsidP="00E67F89">
            <w:r w:rsidRPr="00E67F89">
              <w:t>- des mesures appropriées de protection et d’aide pour répondre aux vulnérabilités des travailleurs du projet, notamment les catégories vulnérables de travailleurs comme :</w:t>
            </w:r>
          </w:p>
          <w:p w14:paraId="0D6B4C85" w14:textId="77777777" w:rsidR="00E67F89" w:rsidRPr="00E67F89" w:rsidRDefault="00E67F89" w:rsidP="00E67F89">
            <w:r w:rsidRPr="00E67F89">
              <w:t>les femmes,</w:t>
            </w:r>
          </w:p>
          <w:p w14:paraId="68633D7E" w14:textId="77777777" w:rsidR="00E67F89" w:rsidRPr="00E67F89" w:rsidRDefault="00E67F89" w:rsidP="00E67F89">
            <w:r w:rsidRPr="00E67F89">
              <w:t>les personnes handicapées,</w:t>
            </w:r>
          </w:p>
          <w:p w14:paraId="423AE6EF" w14:textId="77777777" w:rsidR="00E67F89" w:rsidRPr="00E67F89" w:rsidRDefault="00E67F89" w:rsidP="00E67F89">
            <w:r w:rsidRPr="00E67F89">
              <w:t>les travailleurs migrants et</w:t>
            </w:r>
          </w:p>
          <w:p w14:paraId="68BA48B2" w14:textId="77777777" w:rsidR="00E67F89" w:rsidRPr="00E67F89" w:rsidRDefault="00E67F89" w:rsidP="00E67F89">
            <w:r w:rsidRPr="00E67F89">
              <w:t>les enfants (en âge de travailler, conformément à cette NES).</w:t>
            </w:r>
          </w:p>
          <w:p w14:paraId="4D83C7C1" w14:textId="77777777" w:rsidR="00E67F89" w:rsidRPr="00E67F89" w:rsidRDefault="00E67F89" w:rsidP="00E67F89">
            <w:r w:rsidRPr="00E67F89">
              <w:t>Ces mesures peuvent être nécessaires pendant une période spécifique, en fonction</w:t>
            </w:r>
          </w:p>
          <w:p w14:paraId="539310F4" w14:textId="77777777" w:rsidR="00E67F89" w:rsidRPr="00E67F89" w:rsidRDefault="00E67F89" w:rsidP="00E67F89">
            <w:r w:rsidRPr="00E67F89">
              <w:t>de la situation du travailleur du projet et</w:t>
            </w:r>
          </w:p>
          <w:p w14:paraId="4BFE3250" w14:textId="77777777" w:rsidR="00E67F89" w:rsidRPr="00E67F89" w:rsidRDefault="00E67F89" w:rsidP="00E67F89">
            <w:r w:rsidRPr="00E67F89">
              <w:lastRenderedPageBreak/>
              <w:t>de la nature de sa vulnérabilité.</w:t>
            </w:r>
          </w:p>
        </w:tc>
        <w:tc>
          <w:tcPr>
            <w:tcW w:w="1701" w:type="dxa"/>
          </w:tcPr>
          <w:p w14:paraId="71DD0073" w14:textId="77777777" w:rsidR="00E67F89" w:rsidRPr="00E67F89" w:rsidRDefault="00E67F89" w:rsidP="00E67F89">
            <w:r w:rsidRPr="00E67F89">
              <w:lastRenderedPageBreak/>
              <w:t>Art.137, 147, 152 Loi n°2024-014.</w:t>
            </w:r>
          </w:p>
          <w:p w14:paraId="4667305E" w14:textId="77777777" w:rsidR="00E67F89" w:rsidRPr="00E67F89" w:rsidRDefault="00E67F89" w:rsidP="00E67F89"/>
          <w:p w14:paraId="7FB751E6" w14:textId="77777777" w:rsidR="00E67F89" w:rsidRPr="00E67F89" w:rsidRDefault="00E67F89" w:rsidP="00E67F89">
            <w:r w:rsidRPr="00E67F89">
              <w:t>Décret n°2007- 563 du 3 juillet</w:t>
            </w:r>
          </w:p>
          <w:p w14:paraId="36CDD6E5" w14:textId="77777777" w:rsidR="00E67F89" w:rsidRPr="00E67F89" w:rsidRDefault="00E67F89" w:rsidP="00E67F89">
            <w:r w:rsidRPr="00E67F89">
              <w:t>2007 relatif au travail des enfants.</w:t>
            </w:r>
          </w:p>
        </w:tc>
        <w:tc>
          <w:tcPr>
            <w:tcW w:w="3261" w:type="dxa"/>
          </w:tcPr>
          <w:p w14:paraId="11B9F03A" w14:textId="77777777" w:rsidR="00E67F89" w:rsidRPr="00E67F89" w:rsidRDefault="00E67F89" w:rsidP="00E67F89">
            <w:r w:rsidRPr="00E67F89">
              <w:t>L'âge minimum légal d'accès à l'emploi est de quinze (15) ans sur toute l'étendue du territoire de Madagascar. Cet âge minimum ne doit pas être inférieur à l'âge auquel cesse la scolarité obligatoire.</w:t>
            </w:r>
          </w:p>
          <w:p w14:paraId="25419D2A" w14:textId="77777777" w:rsidR="00E67F89" w:rsidRPr="00E67F89" w:rsidRDefault="00E67F89" w:rsidP="00E67F89"/>
          <w:p w14:paraId="613721A8" w14:textId="77777777" w:rsidR="00E67F89" w:rsidRPr="00E67F89" w:rsidRDefault="00E67F89" w:rsidP="00E67F89">
            <w:r w:rsidRPr="00E67F89">
              <w:t>Les personnes handicapées doivent jouir de toutes les infrastructures existantes, qu'elles soient publiques ou privées, en matière d'apprentissage et de formation professionnelle.</w:t>
            </w:r>
          </w:p>
        </w:tc>
        <w:tc>
          <w:tcPr>
            <w:tcW w:w="4393" w:type="dxa"/>
          </w:tcPr>
          <w:p w14:paraId="1B131C39" w14:textId="77777777" w:rsidR="00E67F89" w:rsidRPr="00E67F89" w:rsidRDefault="00E67F89" w:rsidP="00E67F89">
            <w:r w:rsidRPr="00E67F89">
              <w:t>Il y a correspondance entre la NES n°2 et le cadre national.</w:t>
            </w:r>
          </w:p>
        </w:tc>
      </w:tr>
      <w:tr w:rsidR="00E67F89" w:rsidRPr="00E67F89" w14:paraId="0D4158DC" w14:textId="77777777" w:rsidTr="00223F64">
        <w:tc>
          <w:tcPr>
            <w:tcW w:w="15552" w:type="dxa"/>
            <w:gridSpan w:val="6"/>
            <w:shd w:val="clear" w:color="auto" w:fill="FFF2CC" w:themeFill="accent4" w:themeFillTint="33"/>
          </w:tcPr>
          <w:p w14:paraId="5F63A86D" w14:textId="77777777" w:rsidR="00E67F89" w:rsidRPr="00E67F89" w:rsidRDefault="00E67F89" w:rsidP="00E67F89">
            <w:r w:rsidRPr="00E67F89">
              <w:t>Organisations de travailleurs</w:t>
            </w:r>
          </w:p>
        </w:tc>
      </w:tr>
      <w:tr w:rsidR="00E67F89" w:rsidRPr="00E67F89" w14:paraId="38B941F4" w14:textId="77777777" w:rsidTr="00223F64">
        <w:tc>
          <w:tcPr>
            <w:tcW w:w="1377" w:type="dxa"/>
          </w:tcPr>
          <w:p w14:paraId="1EFA9BAF" w14:textId="77777777" w:rsidR="00E67F89" w:rsidRPr="00E67F89" w:rsidRDefault="00E67F89" w:rsidP="00E67F89">
            <w:r w:rsidRPr="00E67F89">
              <w:t>Droit de participation des travailleurs dans les organisations</w:t>
            </w:r>
            <w:r w:rsidRPr="00E67F89">
              <w:tab/>
              <w:t>de travailleurs de leur choix</w:t>
            </w:r>
          </w:p>
        </w:tc>
        <w:tc>
          <w:tcPr>
            <w:tcW w:w="1426" w:type="dxa"/>
          </w:tcPr>
          <w:p w14:paraId="0F333F0D" w14:textId="77777777" w:rsidR="00E67F89" w:rsidRPr="00E67F89" w:rsidRDefault="00E67F89" w:rsidP="00E67F89">
            <w:r w:rsidRPr="00E67F89">
              <w:t>16</w:t>
            </w:r>
          </w:p>
          <w:p w14:paraId="3C068B39" w14:textId="77777777" w:rsidR="00E67F89" w:rsidRPr="00E67F89" w:rsidRDefault="00E67F89" w:rsidP="00E67F89"/>
          <w:p w14:paraId="6217D7B5" w14:textId="77777777" w:rsidR="00E67F89" w:rsidRPr="00E67F89" w:rsidRDefault="00E67F89" w:rsidP="00E67F89"/>
          <w:p w14:paraId="47BB17F7" w14:textId="77777777" w:rsidR="00E67F89" w:rsidRPr="00E67F89" w:rsidRDefault="00E67F89" w:rsidP="00E67F89"/>
        </w:tc>
        <w:tc>
          <w:tcPr>
            <w:tcW w:w="3394" w:type="dxa"/>
          </w:tcPr>
          <w:p w14:paraId="6F933711" w14:textId="77777777" w:rsidR="00E67F89" w:rsidRPr="00E67F89" w:rsidRDefault="00E67F89" w:rsidP="00E67F89">
            <w:r w:rsidRPr="00E67F89">
              <w:t>Dans les pays où le droit national reconnaît le droit des travailleurs</w:t>
            </w:r>
          </w:p>
          <w:p w14:paraId="7DB48D4B" w14:textId="77777777" w:rsidR="00E67F89" w:rsidRPr="00E67F89" w:rsidRDefault="00E67F89" w:rsidP="00E67F89">
            <w:r w:rsidRPr="00E67F89">
              <w:t>à constituer et à adhérer à des organisations de travailleurs de leur choix sans interférence et</w:t>
            </w:r>
          </w:p>
          <w:p w14:paraId="129D7BD9" w14:textId="77777777" w:rsidR="00E67F89" w:rsidRPr="00E67F89" w:rsidRDefault="00E67F89" w:rsidP="00E67F89">
            <w:r w:rsidRPr="00E67F89">
              <w:t>à négocier collectivement sans interférence le projet sera mis en œuvre conformément au droit national.</w:t>
            </w:r>
          </w:p>
          <w:p w14:paraId="3EA4E237" w14:textId="77777777" w:rsidR="00E67F89" w:rsidRPr="00E67F89" w:rsidRDefault="00E67F89" w:rsidP="00E67F89">
            <w:r w:rsidRPr="00E67F89">
              <w:t>Dans de telles circonstances, le rôle des organisations de travailleurs constituées légalement et des représentants légitimes des travailleurs sera respecté.</w:t>
            </w:r>
          </w:p>
          <w:p w14:paraId="56871C2A" w14:textId="77777777" w:rsidR="00E67F89" w:rsidRPr="00E67F89" w:rsidRDefault="00E67F89" w:rsidP="00E67F89">
            <w:r w:rsidRPr="00E67F89">
              <w:t>En outre, des informations nécessaires à des négociations constructives en temps opportun leur seront fournies.</w:t>
            </w:r>
          </w:p>
          <w:p w14:paraId="18505C57" w14:textId="77777777" w:rsidR="00E67F89" w:rsidRPr="00E67F89" w:rsidRDefault="00E67F89" w:rsidP="00E67F89">
            <w:r w:rsidRPr="00E67F89">
              <w:lastRenderedPageBreak/>
              <w:t>Lorsque la législation nationale restreint le champ d’actions des organisations de travailleurs,</w:t>
            </w:r>
          </w:p>
          <w:p w14:paraId="5DF32A5A" w14:textId="77777777" w:rsidR="00E67F89" w:rsidRPr="00E67F89" w:rsidRDefault="00E67F89" w:rsidP="00E67F89">
            <w:r w:rsidRPr="00E67F89">
              <w:t>- le projet ne devra pas empêcher les travailleurs du projet de mettre au point</w:t>
            </w:r>
          </w:p>
          <w:p w14:paraId="54ACBA1A" w14:textId="77777777" w:rsidR="00E67F89" w:rsidRPr="00E67F89" w:rsidRDefault="00E67F89" w:rsidP="00E67F89">
            <w:r w:rsidRPr="00E67F89">
              <w:t>des mécanismes alternatifs pour exprimer leurs plaintes et protéger leurs droits en matière de conditions de travail et de l’emploi.</w:t>
            </w:r>
          </w:p>
          <w:p w14:paraId="016C5782" w14:textId="77777777" w:rsidR="00E67F89" w:rsidRPr="00E67F89" w:rsidRDefault="00E67F89" w:rsidP="00E67F89">
            <w:r w:rsidRPr="00E67F89">
              <w:t>L’Emprunteur ne doit pas chercher à influencer ou à contrôler ces mécanismes alternatifs.</w:t>
            </w:r>
          </w:p>
          <w:p w14:paraId="3465C475" w14:textId="77777777" w:rsidR="00E67F89" w:rsidRPr="00E67F89" w:rsidRDefault="00E67F89" w:rsidP="00E67F89">
            <w:r w:rsidRPr="00E67F89">
              <w:t xml:space="preserve">L’Emprunteur ne procèdera à aucune discrimination ni à aucune représailles contre les travailleurs du projet --- qui participent ou cherchent à participer à ces organisations de travailleurs et à la négociation </w:t>
            </w:r>
            <w:r w:rsidRPr="00E67F89">
              <w:lastRenderedPageBreak/>
              <w:t>collective ou à d’autres mécanismes.</w:t>
            </w:r>
          </w:p>
          <w:p w14:paraId="3F2E991E" w14:textId="77777777" w:rsidR="00E67F89" w:rsidRPr="00E67F89" w:rsidRDefault="00E67F89" w:rsidP="00E67F89">
            <w:r w:rsidRPr="00E67F89">
              <w:t>11 L’Emprunteur envisagera, dans la mesure où cela sera techniquement et financièrement faisable :</w:t>
            </w:r>
          </w:p>
          <w:p w14:paraId="79B4E65B" w14:textId="77777777" w:rsidR="00E67F89" w:rsidRPr="00E67F89" w:rsidRDefault="00E67F89" w:rsidP="00E67F89">
            <w:r w:rsidRPr="00E67F89">
              <w:t>des mesures raisonnables pour adapter le lieu de travail aux travailleurs handicapés du projet.</w:t>
            </w:r>
          </w:p>
          <w:p w14:paraId="2BF61A1C" w14:textId="77777777" w:rsidR="00E67F89" w:rsidRPr="00E67F89" w:rsidRDefault="00E67F89" w:rsidP="00E67F89">
            <w:r w:rsidRPr="00E67F89">
              <w:t>12 Par exemple, lorsque le projet ou un volet du projet est conçu pour cibler un groupe ou un ensemble spécifique d’individus, comme par exemple dans</w:t>
            </w:r>
          </w:p>
          <w:p w14:paraId="1B547120" w14:textId="77777777" w:rsidR="00E67F89" w:rsidRPr="00E67F89" w:rsidRDefault="00E67F89" w:rsidP="00E67F89">
            <w:r w:rsidRPr="00E67F89">
              <w:t>les projets ayant une exigence de recrutement local,</w:t>
            </w:r>
          </w:p>
          <w:p w14:paraId="1184A102" w14:textId="77777777" w:rsidR="00E67F89" w:rsidRPr="00E67F89" w:rsidRDefault="00E67F89" w:rsidP="00E67F89">
            <w:r w:rsidRPr="00E67F89">
              <w:t>les projets de filet de sécurité sociale ou</w:t>
            </w:r>
          </w:p>
          <w:p w14:paraId="28218F09" w14:textId="77777777" w:rsidR="00E67F89" w:rsidRPr="00E67F89" w:rsidRDefault="00E67F89" w:rsidP="00E67F89">
            <w:r w:rsidRPr="00E67F89">
              <w:t>les projets de travail pour la paix.</w:t>
            </w:r>
          </w:p>
          <w:p w14:paraId="2A7926C9" w14:textId="77777777" w:rsidR="00E67F89" w:rsidRPr="00E67F89" w:rsidRDefault="00E67F89" w:rsidP="00E67F89">
            <w:r w:rsidRPr="00E67F89">
              <w:t xml:space="preserve">Il peut également s’agir de mesuresaffirmatives positives, </w:t>
            </w:r>
            <w:r w:rsidRPr="00E67F89">
              <w:lastRenderedPageBreak/>
              <w:t>telles que l’exige le droit national.</w:t>
            </w:r>
          </w:p>
        </w:tc>
        <w:tc>
          <w:tcPr>
            <w:tcW w:w="1701" w:type="dxa"/>
          </w:tcPr>
          <w:p w14:paraId="04D1B0AF" w14:textId="77777777" w:rsidR="00E67F89" w:rsidRPr="00E67F89" w:rsidRDefault="00E67F89" w:rsidP="00E67F89">
            <w:r w:rsidRPr="00E67F89">
              <w:lastRenderedPageBreak/>
              <w:t>Art.195 à 214 Loi n°2024-014 .</w:t>
            </w:r>
          </w:p>
        </w:tc>
        <w:tc>
          <w:tcPr>
            <w:tcW w:w="3261" w:type="dxa"/>
          </w:tcPr>
          <w:p w14:paraId="7B73DDDF" w14:textId="77777777" w:rsidR="00E67F89" w:rsidRPr="00E67F89" w:rsidRDefault="00E67F89" w:rsidP="00E67F89">
            <w:r w:rsidRPr="00E67F89">
              <w:t>Droit d’exercice syndical, constitution ou adhésion sans autorisation préalable au sein de l’entreprise, etc..</w:t>
            </w:r>
          </w:p>
        </w:tc>
        <w:tc>
          <w:tcPr>
            <w:tcW w:w="4393" w:type="dxa"/>
          </w:tcPr>
          <w:p w14:paraId="2713ABF9" w14:textId="77777777" w:rsidR="00E67F89" w:rsidRPr="00E67F89" w:rsidRDefault="00E67F89" w:rsidP="00E67F89">
            <w:r w:rsidRPr="00E67F89">
              <w:t>Il y a correspondance entre la NES n°2 et le cadre national.</w:t>
            </w:r>
          </w:p>
        </w:tc>
      </w:tr>
      <w:tr w:rsidR="00E67F89" w:rsidRPr="00E67F89" w14:paraId="1F2BAC43" w14:textId="77777777" w:rsidTr="00223F64">
        <w:tc>
          <w:tcPr>
            <w:tcW w:w="15552" w:type="dxa"/>
            <w:gridSpan w:val="6"/>
            <w:shd w:val="clear" w:color="auto" w:fill="FFF2CC" w:themeFill="accent4" w:themeFillTint="33"/>
          </w:tcPr>
          <w:p w14:paraId="362406F5" w14:textId="77777777" w:rsidR="00E67F89" w:rsidRPr="00E67F89" w:rsidRDefault="00E67F89" w:rsidP="00E67F89">
            <w:r w:rsidRPr="00E67F89">
              <w:lastRenderedPageBreak/>
              <w:t>B. PROTECTION DE LA MAIN-D’ŒUVRE</w:t>
            </w:r>
          </w:p>
        </w:tc>
      </w:tr>
      <w:tr w:rsidR="00E67F89" w:rsidRPr="00E67F89" w14:paraId="62044795" w14:textId="77777777" w:rsidTr="00223F64">
        <w:tc>
          <w:tcPr>
            <w:tcW w:w="15552" w:type="dxa"/>
            <w:gridSpan w:val="6"/>
            <w:shd w:val="clear" w:color="auto" w:fill="FFF2CC" w:themeFill="accent4" w:themeFillTint="33"/>
          </w:tcPr>
          <w:p w14:paraId="697C5636" w14:textId="77777777" w:rsidR="00E67F89" w:rsidRPr="00E67F89" w:rsidRDefault="00E67F89" w:rsidP="00E67F89">
            <w:r w:rsidRPr="00E67F89">
              <w:t>Travail des enfants et âge minimum</w:t>
            </w:r>
          </w:p>
        </w:tc>
      </w:tr>
      <w:tr w:rsidR="00E67F89" w:rsidRPr="00E67F89" w14:paraId="6A3D5FE8" w14:textId="77777777" w:rsidTr="00223F64">
        <w:tc>
          <w:tcPr>
            <w:tcW w:w="1377" w:type="dxa"/>
          </w:tcPr>
          <w:p w14:paraId="593B0388" w14:textId="77777777" w:rsidR="00E67F89" w:rsidRPr="00E67F89" w:rsidRDefault="00E67F89" w:rsidP="00E67F89">
            <w:r w:rsidRPr="00E67F89">
              <w:t>Age minimum d'emploi</w:t>
            </w:r>
          </w:p>
        </w:tc>
        <w:tc>
          <w:tcPr>
            <w:tcW w:w="1426" w:type="dxa"/>
          </w:tcPr>
          <w:p w14:paraId="48036188" w14:textId="77777777" w:rsidR="00E67F89" w:rsidRPr="00E67F89" w:rsidRDefault="00E67F89" w:rsidP="00E67F89">
            <w:r w:rsidRPr="00E67F89">
              <w:t>17</w:t>
            </w:r>
          </w:p>
        </w:tc>
        <w:tc>
          <w:tcPr>
            <w:tcW w:w="3394" w:type="dxa"/>
          </w:tcPr>
          <w:p w14:paraId="44C1722D" w14:textId="77777777" w:rsidR="00E67F89" w:rsidRPr="00E67F89" w:rsidRDefault="00E67F89" w:rsidP="00E67F89">
            <w:r w:rsidRPr="00E67F89">
              <w:t>Non emploi ni recrutement d’un enfant qui n’a pas l’âge minimum.</w:t>
            </w:r>
          </w:p>
          <w:p w14:paraId="4C460509" w14:textId="77777777" w:rsidR="00E67F89" w:rsidRPr="00E67F89" w:rsidRDefault="00E67F89" w:rsidP="00E67F89">
            <w:r w:rsidRPr="00E67F89">
              <w:t>Age minimum fixé : 14 ans sauf plus élevé fixé par la loi.</w:t>
            </w:r>
          </w:p>
        </w:tc>
        <w:tc>
          <w:tcPr>
            <w:tcW w:w="1701" w:type="dxa"/>
          </w:tcPr>
          <w:p w14:paraId="353BF832" w14:textId="77777777" w:rsidR="00E67F89" w:rsidRPr="00E67F89" w:rsidRDefault="00E67F89" w:rsidP="00E67F89">
            <w:r w:rsidRPr="00E67F89">
              <w:t>Art.147 alinéa 1er, 150 Loi n°2024-014.</w:t>
            </w:r>
          </w:p>
        </w:tc>
        <w:tc>
          <w:tcPr>
            <w:tcW w:w="3261" w:type="dxa"/>
          </w:tcPr>
          <w:p w14:paraId="58AD6C68" w14:textId="77777777" w:rsidR="00E67F89" w:rsidRPr="00E67F89" w:rsidRDefault="00E67F89" w:rsidP="00E67F89">
            <w:r w:rsidRPr="00E67F89">
              <w:t>Age minimum légal d’accès à l’emploi : 15 ans. Doit être aussi supérieur à l’âge auquel cesse la scolarité obligatoire.</w:t>
            </w:r>
          </w:p>
        </w:tc>
        <w:tc>
          <w:tcPr>
            <w:tcW w:w="4393" w:type="dxa"/>
          </w:tcPr>
          <w:p w14:paraId="1024AE3F" w14:textId="77777777" w:rsidR="00E67F89" w:rsidRPr="00E67F89" w:rsidRDefault="00E67F89" w:rsidP="00E67F89">
            <w:r w:rsidRPr="00E67F89">
              <w:t>Il y a correspondance entre la NES n°2 et le cadre national.</w:t>
            </w:r>
          </w:p>
        </w:tc>
      </w:tr>
      <w:tr w:rsidR="00E67F89" w:rsidRPr="00E67F89" w14:paraId="4D1DFB45" w14:textId="77777777" w:rsidTr="00223F64">
        <w:tc>
          <w:tcPr>
            <w:tcW w:w="1377" w:type="dxa"/>
          </w:tcPr>
          <w:p w14:paraId="4F9529E3" w14:textId="77777777" w:rsidR="00E67F89" w:rsidRPr="00E67F89" w:rsidRDefault="00E67F89" w:rsidP="00E67F89">
            <w:r w:rsidRPr="00E67F89">
              <w:t>Conditions d'emploi des enfants</w:t>
            </w:r>
          </w:p>
        </w:tc>
        <w:tc>
          <w:tcPr>
            <w:tcW w:w="1426" w:type="dxa"/>
          </w:tcPr>
          <w:p w14:paraId="2874C4CE" w14:textId="77777777" w:rsidR="00E67F89" w:rsidRPr="00E67F89" w:rsidRDefault="00E67F89" w:rsidP="00E67F89">
            <w:r w:rsidRPr="00E67F89">
              <w:t>18</w:t>
            </w:r>
          </w:p>
        </w:tc>
        <w:tc>
          <w:tcPr>
            <w:tcW w:w="3394" w:type="dxa"/>
          </w:tcPr>
          <w:p w14:paraId="22AED66C" w14:textId="77777777" w:rsidR="00E67F89" w:rsidRPr="00E67F89" w:rsidRDefault="00E67F89" w:rsidP="00E67F89">
            <w:r w:rsidRPr="00E67F89">
              <w:t>Un enfant de plus de l’âge minimum peut être employé ou recruté uniquement dans les conditions spécifiques suivantes</w:t>
            </w:r>
          </w:p>
          <w:p w14:paraId="2864C0EE" w14:textId="77777777" w:rsidR="00E67F89" w:rsidRPr="00E67F89" w:rsidRDefault="00E67F89" w:rsidP="00E67F89">
            <w:r w:rsidRPr="00E67F89">
              <w:t>le travail n’est pas interdit</w:t>
            </w:r>
          </w:p>
          <w:p w14:paraId="3C4A402E" w14:textId="77777777" w:rsidR="00E67F89" w:rsidRPr="00E67F89" w:rsidRDefault="00E67F89" w:rsidP="00E67F89">
            <w:r w:rsidRPr="00E67F89">
              <w:t>une évaluation appropriée des risques est effectuée avant le début des travaux</w:t>
            </w:r>
          </w:p>
          <w:p w14:paraId="078CF6C3" w14:textId="77777777" w:rsidR="00E67F89" w:rsidRPr="00E67F89" w:rsidRDefault="00E67F89" w:rsidP="00E67F89">
            <w:r w:rsidRPr="00E67F89">
              <w:t xml:space="preserve">l’Emprunteur effectue une surveillance régulière de la santé, des conditions de travail, des </w:t>
            </w:r>
            <w:r w:rsidRPr="00E67F89">
              <w:lastRenderedPageBreak/>
              <w:t>heures de travail et des autres exigences de la présente NES.</w:t>
            </w:r>
          </w:p>
        </w:tc>
        <w:tc>
          <w:tcPr>
            <w:tcW w:w="1701" w:type="dxa"/>
          </w:tcPr>
          <w:p w14:paraId="45E34658" w14:textId="77777777" w:rsidR="00E67F89" w:rsidRPr="00E67F89" w:rsidRDefault="00E67F89" w:rsidP="00E67F89">
            <w:r w:rsidRPr="00E67F89">
              <w:lastRenderedPageBreak/>
              <w:t>Art.147 alinéa 2, 150 Loi n°2024-014.</w:t>
            </w:r>
          </w:p>
          <w:p w14:paraId="3B0E7DF4" w14:textId="77777777" w:rsidR="00E67F89" w:rsidRPr="00E67F89" w:rsidRDefault="00E67F89" w:rsidP="00E67F89">
            <w:r w:rsidRPr="00E67F89">
              <w:t>Art.2 Décret n°2007-563.</w:t>
            </w:r>
          </w:p>
        </w:tc>
        <w:tc>
          <w:tcPr>
            <w:tcW w:w="3261" w:type="dxa"/>
          </w:tcPr>
          <w:p w14:paraId="3602C744" w14:textId="77777777" w:rsidR="00E67F89" w:rsidRPr="00E67F89" w:rsidRDefault="00E67F89" w:rsidP="00E67F89">
            <w:r w:rsidRPr="00E67F89">
              <w:t>Les enfants de plus de 15 ans et les enfantsde14ansayantterminéleur scolarité obligatoire peuvent être employés aux travaux légers.</w:t>
            </w:r>
          </w:p>
        </w:tc>
        <w:tc>
          <w:tcPr>
            <w:tcW w:w="4393" w:type="dxa"/>
          </w:tcPr>
          <w:p w14:paraId="23A35C70" w14:textId="77777777" w:rsidR="00E67F89" w:rsidRPr="00E67F89" w:rsidRDefault="00E67F89" w:rsidP="00E67F89">
            <w:r w:rsidRPr="00E67F89">
              <w:t>Il y a correspondance entre la NES n°2 et le cadre national.</w:t>
            </w:r>
          </w:p>
        </w:tc>
      </w:tr>
      <w:tr w:rsidR="00E67F89" w:rsidRPr="00E67F89" w14:paraId="04FA731C" w14:textId="77777777" w:rsidTr="00223F64">
        <w:tc>
          <w:tcPr>
            <w:tcW w:w="1377" w:type="dxa"/>
          </w:tcPr>
          <w:p w14:paraId="123D63F4" w14:textId="77777777" w:rsidR="00E67F89" w:rsidRPr="00E67F89" w:rsidRDefault="00E67F89" w:rsidP="00E67F89"/>
        </w:tc>
        <w:tc>
          <w:tcPr>
            <w:tcW w:w="1426" w:type="dxa"/>
          </w:tcPr>
          <w:p w14:paraId="583051F8" w14:textId="77777777" w:rsidR="00E67F89" w:rsidRPr="00E67F89" w:rsidRDefault="00E67F89" w:rsidP="00E67F89">
            <w:r w:rsidRPr="00E67F89">
              <w:t>19</w:t>
            </w:r>
          </w:p>
        </w:tc>
        <w:tc>
          <w:tcPr>
            <w:tcW w:w="3394" w:type="dxa"/>
          </w:tcPr>
          <w:p w14:paraId="50C57820" w14:textId="77777777" w:rsidR="00E67F89" w:rsidRPr="00E67F89" w:rsidRDefault="00E67F89" w:rsidP="00E67F89">
            <w:r w:rsidRPr="00E67F89">
              <w:t>Sont interdits aux enfants de 15 à18 ans :</w:t>
            </w:r>
          </w:p>
          <w:p w14:paraId="429E4615" w14:textId="77777777" w:rsidR="00E67F89" w:rsidRPr="00E67F89" w:rsidRDefault="00E67F89" w:rsidP="00E67F89">
            <w:r w:rsidRPr="00E67F89">
              <w:t>d’une manière qui est susceptible d’être dangereuse</w:t>
            </w:r>
          </w:p>
          <w:p w14:paraId="4CF36108" w14:textId="77777777" w:rsidR="00E67F89" w:rsidRPr="00E67F89" w:rsidRDefault="00E67F89" w:rsidP="00E67F89">
            <w:r w:rsidRPr="00E67F89">
              <w:t>d’entraver l’éducation de l’enfant</w:t>
            </w:r>
          </w:p>
          <w:p w14:paraId="2FDE3BBC" w14:textId="77777777" w:rsidR="00E67F89" w:rsidRPr="00E67F89" w:rsidRDefault="00E67F89" w:rsidP="00E67F89">
            <w:r w:rsidRPr="00E67F89">
              <w:t>d’être préjudiciable à sa santé ou son développement physique, mental, spirituel, moral ou social.</w:t>
            </w:r>
          </w:p>
        </w:tc>
        <w:tc>
          <w:tcPr>
            <w:tcW w:w="1701" w:type="dxa"/>
          </w:tcPr>
          <w:p w14:paraId="7BA66E3D" w14:textId="77777777" w:rsidR="00E67F89" w:rsidRPr="00E67F89" w:rsidRDefault="00E67F89" w:rsidP="00E67F89">
            <w:r w:rsidRPr="00E67F89">
              <w:t>Art.147 alinéa 2, 150 Loi n°2024-014.</w:t>
            </w:r>
          </w:p>
          <w:p w14:paraId="3AE01D49" w14:textId="77777777" w:rsidR="00E67F89" w:rsidRPr="00E67F89" w:rsidRDefault="00E67F89" w:rsidP="00E67F89">
            <w:r w:rsidRPr="00E67F89">
              <w:t>Art. 3 Décret n°2007-563.</w:t>
            </w:r>
          </w:p>
        </w:tc>
        <w:tc>
          <w:tcPr>
            <w:tcW w:w="3261" w:type="dxa"/>
          </w:tcPr>
          <w:p w14:paraId="42D04E90" w14:textId="77777777" w:rsidR="00E67F89" w:rsidRPr="00E67F89" w:rsidRDefault="00E67F89" w:rsidP="00E67F89">
            <w:r w:rsidRPr="00E67F89">
              <w:t>Sontinterditsauxenfantsde15à18 ans les travaux de nuit et les heures supplémentaires, les travaux immoraux, les travaux excédant leur force, les travaux forcés et les travaux dangereux ou insalubres.</w:t>
            </w:r>
          </w:p>
        </w:tc>
        <w:tc>
          <w:tcPr>
            <w:tcW w:w="4393" w:type="dxa"/>
          </w:tcPr>
          <w:p w14:paraId="4C62CA5F" w14:textId="77777777" w:rsidR="00E67F89" w:rsidRPr="00E67F89" w:rsidRDefault="00E67F89" w:rsidP="00E67F89">
            <w:r w:rsidRPr="00E67F89">
              <w:t>Il y a correspondance entre la NES n°2 et le cadre national.</w:t>
            </w:r>
          </w:p>
        </w:tc>
      </w:tr>
      <w:tr w:rsidR="00E67F89" w:rsidRPr="00E67F89" w14:paraId="0F3C8932" w14:textId="77777777" w:rsidTr="00223F64">
        <w:tc>
          <w:tcPr>
            <w:tcW w:w="15552" w:type="dxa"/>
            <w:gridSpan w:val="6"/>
          </w:tcPr>
          <w:p w14:paraId="171EAF6C" w14:textId="77777777" w:rsidR="00E67F89" w:rsidRPr="00E67F89" w:rsidRDefault="00E67F89" w:rsidP="00E67F89">
            <w:r w:rsidRPr="00E67F89">
              <w:t>Travail forcé</w:t>
            </w:r>
          </w:p>
        </w:tc>
      </w:tr>
      <w:tr w:rsidR="00E67F89" w:rsidRPr="00E67F89" w14:paraId="7DB053FE" w14:textId="77777777" w:rsidTr="00223F64">
        <w:tc>
          <w:tcPr>
            <w:tcW w:w="1377" w:type="dxa"/>
          </w:tcPr>
          <w:p w14:paraId="2067F72B" w14:textId="77777777" w:rsidR="00E67F89" w:rsidRPr="00E67F89" w:rsidRDefault="00E67F89" w:rsidP="00E67F89">
            <w:r w:rsidRPr="00E67F89">
              <w:t>Interdiction de travail forcé et travailleurs victimes de la traite de personnes</w:t>
            </w:r>
          </w:p>
        </w:tc>
        <w:tc>
          <w:tcPr>
            <w:tcW w:w="1426" w:type="dxa"/>
          </w:tcPr>
          <w:p w14:paraId="4F81E258" w14:textId="77777777" w:rsidR="00E67F89" w:rsidRPr="00E67F89" w:rsidRDefault="00E67F89" w:rsidP="00E67F89">
            <w:r w:rsidRPr="00E67F89">
              <w:t>20</w:t>
            </w:r>
          </w:p>
        </w:tc>
        <w:tc>
          <w:tcPr>
            <w:tcW w:w="3394" w:type="dxa"/>
          </w:tcPr>
          <w:p w14:paraId="44D52CE0" w14:textId="77777777" w:rsidR="00E67F89" w:rsidRPr="00E67F89" w:rsidRDefault="00E67F89" w:rsidP="00E67F89">
            <w:r w:rsidRPr="00E67F89">
              <w:t>Interdiction de travail forcé ou service qui est obligatoire ou involontaire : travail extorqué à une personne par la menace, l’application de la force ou d’une pénalité, travail gratuit en remboursement de dettes, servitude pour dettes, arrangements de travail analogues.</w:t>
            </w:r>
          </w:p>
          <w:p w14:paraId="41275E39" w14:textId="77777777" w:rsidR="00E67F89" w:rsidRPr="00E67F89" w:rsidRDefault="00E67F89" w:rsidP="00E67F89">
            <w:r w:rsidRPr="00E67F89">
              <w:lastRenderedPageBreak/>
              <w:t>Non recours au travail des victimes de la traite de personnes.</w:t>
            </w:r>
          </w:p>
        </w:tc>
        <w:tc>
          <w:tcPr>
            <w:tcW w:w="1701" w:type="dxa"/>
          </w:tcPr>
          <w:p w14:paraId="1E568A2C" w14:textId="77777777" w:rsidR="00E67F89" w:rsidRPr="00E67F89" w:rsidRDefault="00E67F89" w:rsidP="00E67F89">
            <w:r w:rsidRPr="00E67F89">
              <w:lastRenderedPageBreak/>
              <w:t>Art.4 Loi n°2024-014.</w:t>
            </w:r>
          </w:p>
          <w:p w14:paraId="78FF8F2D" w14:textId="77777777" w:rsidR="00E67F89" w:rsidRPr="00E67F89" w:rsidRDefault="00E67F89" w:rsidP="00E67F89">
            <w:r w:rsidRPr="00E67F89">
              <w:t>Art.15  Décret n°2007- 563.</w:t>
            </w:r>
          </w:p>
        </w:tc>
        <w:tc>
          <w:tcPr>
            <w:tcW w:w="3261" w:type="dxa"/>
          </w:tcPr>
          <w:p w14:paraId="7F249F57" w14:textId="77777777" w:rsidR="00E67F89" w:rsidRPr="00E67F89" w:rsidRDefault="00E67F89" w:rsidP="00E67F89">
            <w:r w:rsidRPr="00E67F89">
              <w:t>Interdiction du travail forcé ou obligatoire : tout travail ou service exigé d'un individu sous la menace d'une peine quelconque pour lequel ledit individu ne s'est pas offert de plein gré.</w:t>
            </w:r>
          </w:p>
          <w:p w14:paraId="3B01BF52" w14:textId="77777777" w:rsidR="00E67F89" w:rsidRPr="00E67F89" w:rsidRDefault="00E67F89" w:rsidP="00E67F89">
            <w:r w:rsidRPr="00E67F89">
              <w:t xml:space="preserve">Cette interdiction exclut expressément sous certaines </w:t>
            </w:r>
            <w:r w:rsidRPr="00E67F89">
              <w:lastRenderedPageBreak/>
              <w:t>conditions les cas définis par le même article.</w:t>
            </w:r>
          </w:p>
        </w:tc>
        <w:tc>
          <w:tcPr>
            <w:tcW w:w="4393" w:type="dxa"/>
          </w:tcPr>
          <w:p w14:paraId="4D158A39" w14:textId="77777777" w:rsidR="00E67F89" w:rsidRPr="00E67F89" w:rsidRDefault="00E67F89" w:rsidP="00E67F89">
            <w:r w:rsidRPr="00E67F89">
              <w:lastRenderedPageBreak/>
              <w:t>La NES n°2 couvre plus de forme de travail forcé que le droit malagasy.</w:t>
            </w:r>
          </w:p>
          <w:p w14:paraId="4E6499F4" w14:textId="77777777" w:rsidR="00E67F89" w:rsidRPr="00E67F89" w:rsidRDefault="00E67F89" w:rsidP="00E67F89">
            <w:r w:rsidRPr="00E67F89">
              <w:t>Toutefois, le Code du travail entend exclure comme travail forcé quelques cas sous certaines conditions, à savoir :</w:t>
            </w:r>
          </w:p>
          <w:p w14:paraId="0472F90A" w14:textId="77777777" w:rsidR="00E67F89" w:rsidRPr="00E67F89" w:rsidRDefault="00E67F89" w:rsidP="00E67F89">
            <w:r w:rsidRPr="00E67F89">
              <w:t>-Travaux, services, secours requis en cas d’urgence ;</w:t>
            </w:r>
          </w:p>
          <w:p w14:paraId="49C8AE7A" w14:textId="77777777" w:rsidR="00E67F89" w:rsidRPr="00E67F89" w:rsidRDefault="00E67F89" w:rsidP="00E67F89">
            <w:r w:rsidRPr="00E67F89">
              <w:t>Travaux d'intérêt collectif;</w:t>
            </w:r>
          </w:p>
          <w:p w14:paraId="32DA60DA" w14:textId="77777777" w:rsidR="00E67F89" w:rsidRPr="00E67F89" w:rsidRDefault="00E67F89" w:rsidP="00E67F89">
            <w:r w:rsidRPr="00E67F89">
              <w:lastRenderedPageBreak/>
              <w:t>-Travaux à caractère purement militaire ;</w:t>
            </w:r>
          </w:p>
          <w:p w14:paraId="7EC25F90" w14:textId="77777777" w:rsidR="00E67F89" w:rsidRPr="00E67F89" w:rsidRDefault="00E67F89" w:rsidP="00E67F89">
            <w:r w:rsidRPr="00E67F89">
              <w:t>Tout travail exigé comme conséquence d'une condamnation</w:t>
            </w:r>
          </w:p>
          <w:p w14:paraId="01D90563" w14:textId="77777777" w:rsidR="00E67F89" w:rsidRPr="00E67F89" w:rsidRDefault="00E67F89" w:rsidP="00E67F89">
            <w:r w:rsidRPr="00E67F89">
              <w:t>judiciaire.</w:t>
            </w:r>
          </w:p>
        </w:tc>
      </w:tr>
      <w:tr w:rsidR="00E67F89" w:rsidRPr="00E67F89" w14:paraId="5BB88113" w14:textId="77777777" w:rsidTr="00223F64">
        <w:tc>
          <w:tcPr>
            <w:tcW w:w="15552" w:type="dxa"/>
            <w:gridSpan w:val="6"/>
          </w:tcPr>
          <w:p w14:paraId="70933DD8" w14:textId="77777777" w:rsidR="00E67F89" w:rsidRPr="00E67F89" w:rsidRDefault="00E67F89" w:rsidP="00E67F89">
            <w:r w:rsidRPr="00E67F89">
              <w:t>C. MECANISME DE GESTION DES PLAINTES AU PROFIT DES TRAVAILLEURS</w:t>
            </w:r>
          </w:p>
        </w:tc>
      </w:tr>
      <w:tr w:rsidR="00E67F89" w:rsidRPr="00E67F89" w14:paraId="402766F0" w14:textId="77777777" w:rsidTr="00223F64">
        <w:tc>
          <w:tcPr>
            <w:tcW w:w="1377" w:type="dxa"/>
          </w:tcPr>
          <w:p w14:paraId="503CAE9C" w14:textId="77777777" w:rsidR="00E67F89" w:rsidRPr="00E67F89" w:rsidRDefault="00E67F89" w:rsidP="00E67F89">
            <w:r w:rsidRPr="00E67F89">
              <w:t>Mise à disposition et utilisation d’un mécanisme de gestion des plaintes au profit des travailleurs</w:t>
            </w:r>
          </w:p>
        </w:tc>
        <w:tc>
          <w:tcPr>
            <w:tcW w:w="1426" w:type="dxa"/>
          </w:tcPr>
          <w:p w14:paraId="4303886A" w14:textId="77777777" w:rsidR="00E67F89" w:rsidRPr="00E67F89" w:rsidRDefault="00E67F89" w:rsidP="00E67F89">
            <w:r w:rsidRPr="00E67F89">
              <w:t>21</w:t>
            </w:r>
          </w:p>
        </w:tc>
        <w:tc>
          <w:tcPr>
            <w:tcW w:w="3394" w:type="dxa"/>
          </w:tcPr>
          <w:p w14:paraId="79951A01" w14:textId="77777777" w:rsidR="00E67F89" w:rsidRPr="00E67F89" w:rsidRDefault="00E67F89" w:rsidP="00E67F89">
            <w:r w:rsidRPr="00E67F89">
              <w:t xml:space="preserve">Un mécanisme de gestion des plaintes sera mis à la disposition de tous les travailleurs employés directement et de tous les travailleurs contractuels (et de leurs organisations, le cas échéant) pour faire valoir leurs préoccupations concernant le lieu de travail. Ces travailleurs du projet seront informés de l’existence du mécanisme de gestion des plaintes au moment de l’embauche et des mesures prises pour les protéger contre toute mesure de représailles pour l’avoir utilisé. Des mesures seront prises pour rendre le système de gestion des plaintes </w:t>
            </w:r>
            <w:r w:rsidRPr="00E67F89">
              <w:lastRenderedPageBreak/>
              <w:t>facilement accessible à ces travailleurs du projet.</w:t>
            </w:r>
          </w:p>
        </w:tc>
        <w:tc>
          <w:tcPr>
            <w:tcW w:w="1701" w:type="dxa"/>
          </w:tcPr>
          <w:p w14:paraId="68138DD9" w14:textId="77777777" w:rsidR="00E67F89" w:rsidRPr="00E67F89" w:rsidRDefault="00E67F89" w:rsidP="00E67F89">
            <w:r w:rsidRPr="00E67F89">
              <w:lastRenderedPageBreak/>
              <w:t>Art.223, 225 Loi n°2024-014 .</w:t>
            </w:r>
          </w:p>
        </w:tc>
        <w:tc>
          <w:tcPr>
            <w:tcW w:w="3261" w:type="dxa"/>
          </w:tcPr>
          <w:p w14:paraId="5135B6D7" w14:textId="77777777" w:rsidR="00E67F89" w:rsidRPr="00E67F89" w:rsidRDefault="00E67F89" w:rsidP="00E67F89">
            <w:r w:rsidRPr="00E67F89">
              <w:t>Un Conseil de discipline peut être établi au sein d’une entreprise. Elle est à la disposition de l’employeur.</w:t>
            </w:r>
          </w:p>
          <w:p w14:paraId="14B43D5C" w14:textId="77777777" w:rsidR="00E67F89" w:rsidRPr="00E67F89" w:rsidRDefault="00E67F89" w:rsidP="00E67F89"/>
          <w:p w14:paraId="61A2B16F" w14:textId="77777777" w:rsidR="00E67F89" w:rsidRPr="00E67F89" w:rsidRDefault="00E67F89" w:rsidP="00E67F89">
            <w:r w:rsidRPr="00E67F89">
              <w:t>Les délégués du personnel ont pour mission :</w:t>
            </w:r>
          </w:p>
          <w:p w14:paraId="397DE650" w14:textId="77777777" w:rsidR="00E67F89" w:rsidRPr="00E67F89" w:rsidRDefault="00E67F89" w:rsidP="00E67F89">
            <w:r w:rsidRPr="00E67F89">
              <w:t xml:space="preserve">– de présenter aux employeurs, toutes les réclamations individuelles ou collectives concernant notamment les conditions du travail, la protection des travailleurs, l'application des conventions collectives, des classifications </w:t>
            </w:r>
            <w:r w:rsidRPr="00E67F89">
              <w:lastRenderedPageBreak/>
              <w:t>professionnelles et des taux de salaire ;</w:t>
            </w:r>
          </w:p>
          <w:p w14:paraId="2DF94FA0" w14:textId="77777777" w:rsidR="00E67F89" w:rsidRPr="00E67F89" w:rsidRDefault="00E67F89" w:rsidP="00E67F89">
            <w:r w:rsidRPr="00E67F89">
              <w:t>- de saisir l'inspection du travail de toute plainte ou réclamation concernant l'application des prescriptions légales et réglementaires qui n'auraient pas été satisfaites au niveau de l'entreprise</w:t>
            </w:r>
          </w:p>
          <w:p w14:paraId="50706851" w14:textId="77777777" w:rsidR="00E67F89" w:rsidRPr="00E67F89" w:rsidRDefault="00E67F89" w:rsidP="00E67F89">
            <w:r w:rsidRPr="00E67F89">
              <w:t>Le Comité d'Entreprise est consulté et émet son avis sur toutes les questions intéressant la vie des travailleurs : conditions de travail, affaires sociales et culturelles, hygiène, sécurité, santé et environnement du travail, licenciement individuel ou collectif</w:t>
            </w:r>
          </w:p>
          <w:p w14:paraId="035ED84D" w14:textId="77777777" w:rsidR="00E67F89" w:rsidRPr="00E67F89" w:rsidRDefault="00E67F89" w:rsidP="00E67F89">
            <w:r w:rsidRPr="00E67F89">
              <w:t>pour motif économique, différend du travail.</w:t>
            </w:r>
          </w:p>
        </w:tc>
        <w:tc>
          <w:tcPr>
            <w:tcW w:w="4393" w:type="dxa"/>
          </w:tcPr>
          <w:p w14:paraId="689CB286" w14:textId="77777777" w:rsidR="00E67F89" w:rsidRPr="00E67F89" w:rsidRDefault="00E67F89" w:rsidP="00E67F89">
            <w:r w:rsidRPr="00E67F89">
              <w:lastRenderedPageBreak/>
              <w:t>A l’intérieur de l’entreprise, le recours aux délégués du personnel ou au comité d’entreprise peut ne pas répondre aux exigences de la mise à disposition et d’utilisation</w:t>
            </w:r>
          </w:p>
          <w:p w14:paraId="5E79B37E" w14:textId="77777777" w:rsidR="00E67F89" w:rsidRPr="00E67F89" w:rsidRDefault="00E67F89" w:rsidP="00E67F89">
            <w:r w:rsidRPr="00E67F89">
              <w:t>d’un mécanisme de gestion des plaintes prévu par la NES n°2. En dehors de la NESn°2, ledit recours est un droit mais il n’y aucune obligation pour l’employeur de mettre en place une procédure ou un mécanisme pour le rendre simplement utilisable et connu par les travailleurs.</w:t>
            </w:r>
          </w:p>
          <w:p w14:paraId="7DE7C96D" w14:textId="77777777" w:rsidR="00E67F89" w:rsidRPr="00E67F89" w:rsidRDefault="00E67F89" w:rsidP="00E67F89">
            <w:r w:rsidRPr="00E67F89">
              <w:t xml:space="preserve">La NES n°2 constitue un complément plus favorable aux travailleurs leur permettant de trouver un règlement de leurs problèmes au </w:t>
            </w:r>
            <w:r w:rsidRPr="00E67F89">
              <w:lastRenderedPageBreak/>
              <w:t>niveau même de leur lieu de travail, de l’entreprise, ou du projet.</w:t>
            </w:r>
          </w:p>
        </w:tc>
      </w:tr>
      <w:tr w:rsidR="00E67F89" w:rsidRPr="00E67F89" w14:paraId="78B027EB" w14:textId="77777777" w:rsidTr="00223F64">
        <w:tc>
          <w:tcPr>
            <w:tcW w:w="1377" w:type="dxa"/>
          </w:tcPr>
          <w:p w14:paraId="42A4E745" w14:textId="77777777" w:rsidR="00E67F89" w:rsidRPr="00E67F89" w:rsidRDefault="00E67F89" w:rsidP="00E67F89">
            <w:r w:rsidRPr="00E67F89">
              <w:t xml:space="preserve">Conception du mécanisme </w:t>
            </w:r>
            <w:r w:rsidRPr="00E67F89">
              <w:lastRenderedPageBreak/>
              <w:t>de gestion des plaintes</w:t>
            </w:r>
          </w:p>
        </w:tc>
        <w:tc>
          <w:tcPr>
            <w:tcW w:w="1426" w:type="dxa"/>
          </w:tcPr>
          <w:p w14:paraId="4B4912FD" w14:textId="77777777" w:rsidR="00E67F89" w:rsidRPr="00E67F89" w:rsidRDefault="00E67F89" w:rsidP="00E67F89">
            <w:r w:rsidRPr="00E67F89">
              <w:lastRenderedPageBreak/>
              <w:t>22</w:t>
            </w:r>
          </w:p>
        </w:tc>
        <w:tc>
          <w:tcPr>
            <w:tcW w:w="3394" w:type="dxa"/>
          </w:tcPr>
          <w:p w14:paraId="4D6A5458" w14:textId="77777777" w:rsidR="00E67F89" w:rsidRPr="00E67F89" w:rsidRDefault="00E67F89" w:rsidP="00E67F89">
            <w:r w:rsidRPr="00E67F89">
              <w:t xml:space="preserve">Le mécanisme de gestion des plaintes sera proportionnel à la nature, à l’ampleur du projet et </w:t>
            </w:r>
            <w:r w:rsidRPr="00E67F89">
              <w:lastRenderedPageBreak/>
              <w:t xml:space="preserve">aux risques et aux impacts potentiels du projet. Le mécanisme de gestion des plaintes sera conçu pour répondre rapidement aux préoccupations par un processus compréhensible et transparent, qui prévoit un retour d’informations aux intéressés dans une langue qu’ils comprennent, sans représailles et qui fonctionnera de manière indépendante et objective. Le mécanisme de gestion des plaintes peut recourir à des systèmes de gestion des plaintes existants, à condition qu’ils aient été bien conçus et mis en œuvre, qu’ils répondent rapidement aux préoccupations, et qu’ils soient facilement accessibles aux travailleurs du projet. Les mécanismes de gestion des plaintes existants qui pourront être complétés au besoin par des </w:t>
            </w:r>
            <w:r w:rsidRPr="00E67F89">
              <w:lastRenderedPageBreak/>
              <w:t>dispositions spécifiques au projet.</w:t>
            </w:r>
          </w:p>
        </w:tc>
        <w:tc>
          <w:tcPr>
            <w:tcW w:w="1701" w:type="dxa"/>
          </w:tcPr>
          <w:p w14:paraId="0332850C" w14:textId="77777777" w:rsidR="00E67F89" w:rsidRPr="00E67F89" w:rsidRDefault="00E67F89" w:rsidP="00E67F89">
            <w:r w:rsidRPr="00E67F89">
              <w:lastRenderedPageBreak/>
              <w:t>N/P</w:t>
            </w:r>
          </w:p>
        </w:tc>
        <w:tc>
          <w:tcPr>
            <w:tcW w:w="3261" w:type="dxa"/>
          </w:tcPr>
          <w:p w14:paraId="4426BF01" w14:textId="77777777" w:rsidR="00E67F89" w:rsidRPr="00E67F89" w:rsidRDefault="00E67F89" w:rsidP="00E67F89">
            <w:r w:rsidRPr="00E67F89">
              <w:t>Les textes ne prévoient pas ces points.</w:t>
            </w:r>
          </w:p>
        </w:tc>
        <w:tc>
          <w:tcPr>
            <w:tcW w:w="4393" w:type="dxa"/>
          </w:tcPr>
          <w:p w14:paraId="1D7A5233" w14:textId="77777777" w:rsidR="00E67F89" w:rsidRPr="00E67F89" w:rsidRDefault="00E67F89" w:rsidP="00E67F89">
            <w:r w:rsidRPr="00E67F89">
              <w:t xml:space="preserve">Cette exigence de la NES n°2 quant à la conception du mécanisme de gestion de plaintes constitue un plus apporté au droit </w:t>
            </w:r>
            <w:r w:rsidRPr="00E67F89">
              <w:t>des travailleurs par rapport au droit du travail malagasy.</w:t>
            </w:r>
          </w:p>
        </w:tc>
      </w:tr>
      <w:tr w:rsidR="00E67F89" w:rsidRPr="00E67F89" w14:paraId="2C87E0D0" w14:textId="77777777" w:rsidTr="00223F64">
        <w:tc>
          <w:tcPr>
            <w:tcW w:w="1377" w:type="dxa"/>
          </w:tcPr>
          <w:p w14:paraId="18F867D2" w14:textId="77777777" w:rsidR="00E67F89" w:rsidRPr="00E67F89" w:rsidRDefault="00E67F89" w:rsidP="00E67F89">
            <w:r w:rsidRPr="00E67F89">
              <w:lastRenderedPageBreak/>
              <w:t>Caractère du mécanisme de gestion des plaintes et autres moyens de recours</w:t>
            </w:r>
          </w:p>
        </w:tc>
        <w:tc>
          <w:tcPr>
            <w:tcW w:w="1426" w:type="dxa"/>
          </w:tcPr>
          <w:p w14:paraId="0CB3AA1A" w14:textId="77777777" w:rsidR="00E67F89" w:rsidRPr="00E67F89" w:rsidRDefault="00E67F89" w:rsidP="00E67F89">
            <w:r w:rsidRPr="00E67F89">
              <w:t>23</w:t>
            </w:r>
          </w:p>
        </w:tc>
        <w:tc>
          <w:tcPr>
            <w:tcW w:w="3394" w:type="dxa"/>
          </w:tcPr>
          <w:p w14:paraId="63914D82" w14:textId="77777777" w:rsidR="00E67F89" w:rsidRPr="00E67F89" w:rsidRDefault="00E67F89" w:rsidP="00E67F89">
            <w:r w:rsidRPr="00E67F89">
              <w:t>Ce mécanisme de gestion des plaintes ne devra pas empêcher l’accès à d’autres moyens de recours judiciaires</w:t>
            </w:r>
          </w:p>
          <w:p w14:paraId="5857588E" w14:textId="77777777" w:rsidR="00E67F89" w:rsidRPr="00E67F89" w:rsidRDefault="00E67F89" w:rsidP="00E67F89">
            <w:r w:rsidRPr="00E67F89">
              <w:t>ou administratifs, qui pourraient être prévus par la loi ou par des procédures d’arbitrage existantes, ni se substituer aux mécanismes de gestion des plaintes mis en place par des conventions collectives.</w:t>
            </w:r>
          </w:p>
        </w:tc>
        <w:tc>
          <w:tcPr>
            <w:tcW w:w="1701" w:type="dxa"/>
          </w:tcPr>
          <w:p w14:paraId="29ED21BE" w14:textId="77777777" w:rsidR="00E67F89" w:rsidRPr="00E67F89" w:rsidRDefault="00E67F89" w:rsidP="00E67F89">
            <w:r w:rsidRPr="00E67F89">
              <w:t>Art.262-275 Loi n°2024-014 .</w:t>
            </w:r>
          </w:p>
          <w:p w14:paraId="09344DEB" w14:textId="77777777" w:rsidR="00E67F89" w:rsidRPr="00E67F89" w:rsidRDefault="00E67F89" w:rsidP="00E67F89"/>
          <w:p w14:paraId="369DE652" w14:textId="77777777" w:rsidR="00E67F89" w:rsidRPr="00E67F89" w:rsidRDefault="00E67F89" w:rsidP="00E67F89"/>
          <w:p w14:paraId="6299A93C" w14:textId="77777777" w:rsidR="00E67F89" w:rsidRPr="00E67F89" w:rsidRDefault="00E67F89" w:rsidP="00E67F89">
            <w:r w:rsidRPr="00E67F89">
              <w:t>Art.276-302Loi n°2024-014 .</w:t>
            </w:r>
          </w:p>
        </w:tc>
        <w:tc>
          <w:tcPr>
            <w:tcW w:w="3261" w:type="dxa"/>
          </w:tcPr>
          <w:p w14:paraId="3BFE4DA5" w14:textId="77777777" w:rsidR="00E67F89" w:rsidRPr="00E67F89" w:rsidRDefault="00E67F89" w:rsidP="00E67F89">
            <w:r w:rsidRPr="00E67F89">
              <w:t>Tout différend individuel de travail entre travailleurs et employés peut toujours être ou doit être, selon le cas, porté devant l’inspection du travail et ensuite devant le tribunal du travail.</w:t>
            </w:r>
          </w:p>
          <w:p w14:paraId="25F58D88" w14:textId="77777777" w:rsidR="00E67F89" w:rsidRPr="00E67F89" w:rsidRDefault="00E67F89" w:rsidP="00E67F89">
            <w:r w:rsidRPr="00E67F89">
              <w:t>Tout différend collectif de travail est réglé conformément aux dispositions du Code du travail successivement par négociation, médiation puis arbitrage.</w:t>
            </w:r>
          </w:p>
        </w:tc>
        <w:tc>
          <w:tcPr>
            <w:tcW w:w="4393" w:type="dxa"/>
          </w:tcPr>
          <w:p w14:paraId="58436509" w14:textId="77777777" w:rsidR="00E67F89" w:rsidRPr="00E67F89" w:rsidRDefault="00E67F89" w:rsidP="00E67F89">
            <w:r w:rsidRPr="00E67F89">
              <w:t>Quel que soit le mécanisme de gestion de plaintes mis en place, la possibilité de recours devant l’inspection du travail et du juge du travail reste ouverte. Il y a correspondance entre la NES n°2 et le cadre national.</w:t>
            </w:r>
          </w:p>
        </w:tc>
      </w:tr>
      <w:tr w:rsidR="00E67F89" w:rsidRPr="00E67F89" w14:paraId="68B91FAB" w14:textId="77777777" w:rsidTr="00223F64">
        <w:tc>
          <w:tcPr>
            <w:tcW w:w="15552" w:type="dxa"/>
            <w:gridSpan w:val="6"/>
            <w:shd w:val="clear" w:color="auto" w:fill="FFF2CC" w:themeFill="accent4" w:themeFillTint="33"/>
          </w:tcPr>
          <w:p w14:paraId="73C85D88" w14:textId="77777777" w:rsidR="00E67F89" w:rsidRPr="00E67F89" w:rsidRDefault="00E67F89" w:rsidP="00E67F89">
            <w:r w:rsidRPr="00E67F89">
              <w:t>D. SANTE ET SECURITE DU TRAVAIL (SST)</w:t>
            </w:r>
          </w:p>
        </w:tc>
      </w:tr>
      <w:tr w:rsidR="00E67F89" w:rsidRPr="00E67F89" w14:paraId="470C4895" w14:textId="77777777" w:rsidTr="00223F64">
        <w:tc>
          <w:tcPr>
            <w:tcW w:w="1377" w:type="dxa"/>
          </w:tcPr>
          <w:p w14:paraId="2100C74D" w14:textId="77777777" w:rsidR="00E67F89" w:rsidRPr="00E67F89" w:rsidRDefault="00E67F89" w:rsidP="00E67F89">
            <w:r w:rsidRPr="00E67F89">
              <w:t>Mesures de SST</w:t>
            </w:r>
          </w:p>
        </w:tc>
        <w:tc>
          <w:tcPr>
            <w:tcW w:w="1426" w:type="dxa"/>
          </w:tcPr>
          <w:p w14:paraId="35EAA931" w14:textId="77777777" w:rsidR="00E67F89" w:rsidRPr="00E67F89" w:rsidRDefault="00E67F89" w:rsidP="00E67F89">
            <w:r w:rsidRPr="00E67F89">
              <w:t>24</w:t>
            </w:r>
          </w:p>
        </w:tc>
        <w:tc>
          <w:tcPr>
            <w:tcW w:w="3394" w:type="dxa"/>
          </w:tcPr>
          <w:p w14:paraId="06699CF0" w14:textId="77777777" w:rsidR="00E67F89" w:rsidRPr="00E67F89" w:rsidRDefault="00E67F89" w:rsidP="00E67F89">
            <w:r w:rsidRPr="00E67F89">
              <w:t>Les mesures relatives à la santé et la sécurité au travail seront appliquées au projet.</w:t>
            </w:r>
          </w:p>
          <w:p w14:paraId="1CB65864" w14:textId="77777777" w:rsidR="00E67F89" w:rsidRPr="00E67F89" w:rsidRDefault="00E67F89" w:rsidP="00E67F89">
            <w:r w:rsidRPr="00E67F89">
              <w:t>Les mesures en matière de SST incluront</w:t>
            </w:r>
          </w:p>
          <w:p w14:paraId="1A69A675" w14:textId="77777777" w:rsidR="00E67F89" w:rsidRPr="00E67F89" w:rsidRDefault="00E67F89" w:rsidP="00E67F89">
            <w:r w:rsidRPr="00E67F89">
              <w:lastRenderedPageBreak/>
              <w:t>- les exigences de la NES n°2 et prendront en compte, les référentiels techniques ESS généraux et selon le cas,</w:t>
            </w:r>
          </w:p>
          <w:p w14:paraId="62239DD5" w14:textId="77777777" w:rsidR="00E67F89" w:rsidRPr="00E67F89" w:rsidRDefault="00E67F89" w:rsidP="00E67F89">
            <w:r w:rsidRPr="00E67F89">
              <w:t>Les référentiels techniques ESS spécifiques au secteur d’activité et les autres BPII.</w:t>
            </w:r>
          </w:p>
        </w:tc>
        <w:tc>
          <w:tcPr>
            <w:tcW w:w="1701" w:type="dxa"/>
          </w:tcPr>
          <w:p w14:paraId="0B6AF196" w14:textId="77777777" w:rsidR="00E67F89" w:rsidRPr="00E67F89" w:rsidRDefault="00E67F89" w:rsidP="00E67F89">
            <w:r w:rsidRPr="00E67F89">
              <w:lastRenderedPageBreak/>
              <w:t>Art.165, 193 Loi n°2024-014 .</w:t>
            </w:r>
          </w:p>
        </w:tc>
        <w:tc>
          <w:tcPr>
            <w:tcW w:w="3261" w:type="dxa"/>
          </w:tcPr>
          <w:p w14:paraId="20C2CEFA" w14:textId="77777777" w:rsidR="00E67F89" w:rsidRPr="00E67F89" w:rsidRDefault="00E67F89" w:rsidP="00E67F89">
            <w:r w:rsidRPr="00E67F89">
              <w:t xml:space="preserve">Tout établissement doit répondre aux normes d’hygiène, de sécurité et d’environnement régissant la branche d’activité et les </w:t>
            </w:r>
            <w:r w:rsidRPr="00E67F89">
              <w:lastRenderedPageBreak/>
              <w:t xml:space="preserve">dispositions des textes en vigueur. </w:t>
            </w:r>
          </w:p>
          <w:p w14:paraId="6C8B0B3C" w14:textId="77777777" w:rsidR="00E67F89" w:rsidRPr="00E67F89" w:rsidRDefault="00E67F89" w:rsidP="00E67F89">
            <w:r w:rsidRPr="00E67F89">
              <w:t>En particulier, le droit malagasy prescrit la prévention de VIH/SIDA dans tout milieu de travail.</w:t>
            </w:r>
          </w:p>
        </w:tc>
        <w:tc>
          <w:tcPr>
            <w:tcW w:w="4393" w:type="dxa"/>
          </w:tcPr>
          <w:p w14:paraId="2D3AE267" w14:textId="77777777" w:rsidR="00E67F89" w:rsidRPr="00E67F89" w:rsidRDefault="00E67F89" w:rsidP="00E67F89">
            <w:r w:rsidRPr="00E67F89">
              <w:lastRenderedPageBreak/>
              <w:t>La majorité des référentiels proposés par la NES n°2 sont meilleures que les normes existantes du droit malagasy. Ce qui est plus favorable aux travailleurs.</w:t>
            </w:r>
          </w:p>
        </w:tc>
      </w:tr>
      <w:tr w:rsidR="00E67F89" w:rsidRPr="00E67F89" w14:paraId="322EADB7" w14:textId="77777777" w:rsidTr="00223F64">
        <w:tc>
          <w:tcPr>
            <w:tcW w:w="1377" w:type="dxa"/>
          </w:tcPr>
          <w:p w14:paraId="3D495AB0" w14:textId="77777777" w:rsidR="00E67F89" w:rsidRPr="00E67F89" w:rsidRDefault="00E67F89" w:rsidP="00E67F89">
            <w:r w:rsidRPr="00E67F89">
              <w:t>Conception des mesures de SST</w:t>
            </w:r>
          </w:p>
        </w:tc>
        <w:tc>
          <w:tcPr>
            <w:tcW w:w="1426" w:type="dxa"/>
          </w:tcPr>
          <w:p w14:paraId="4228F49E" w14:textId="77777777" w:rsidR="00E67F89" w:rsidRPr="00E67F89" w:rsidRDefault="00E67F89" w:rsidP="00E67F89">
            <w:r w:rsidRPr="00E67F89">
              <w:t>25</w:t>
            </w:r>
          </w:p>
        </w:tc>
        <w:tc>
          <w:tcPr>
            <w:tcW w:w="3394" w:type="dxa"/>
          </w:tcPr>
          <w:p w14:paraId="383D33B5" w14:textId="77777777" w:rsidR="00E67F89" w:rsidRPr="00E67F89" w:rsidRDefault="00E67F89" w:rsidP="00E67F89">
            <w:r w:rsidRPr="00E67F89">
              <w:t>Les mesures de SST seront conçues et mises en œuvre, conformément à :</w:t>
            </w:r>
          </w:p>
          <w:p w14:paraId="1EF56638" w14:textId="77777777" w:rsidR="00E67F89" w:rsidRPr="00E67F89" w:rsidRDefault="00E67F89" w:rsidP="00E67F89">
            <w:r w:rsidRPr="00E67F89">
              <w:t>l’identification des dangers potentiels pour les travailleurs, notamment ceux qui sont susceptibles de constituer une menace pour leur vie ;</w:t>
            </w:r>
          </w:p>
          <w:p w14:paraId="475F466A" w14:textId="77777777" w:rsidR="00E67F89" w:rsidRPr="00E67F89" w:rsidRDefault="00E67F89" w:rsidP="00E67F89">
            <w:r w:rsidRPr="00E67F89">
              <w:t>la mise en place de mesures de prévention et de protection comprenant la modification, la substitution ou l’élimination des situations ou des substances dangereuses;</w:t>
            </w:r>
          </w:p>
          <w:p w14:paraId="2D1D22B5" w14:textId="77777777" w:rsidR="00E67F89" w:rsidRPr="00E67F89" w:rsidRDefault="00E67F89" w:rsidP="00E67F89">
            <w:r w:rsidRPr="00E67F89">
              <w:lastRenderedPageBreak/>
              <w:t>la formation des travailleurs du projet et la conservation des dossiers de formation;</w:t>
            </w:r>
          </w:p>
          <w:p w14:paraId="51C93732" w14:textId="77777777" w:rsidR="00E67F89" w:rsidRPr="00E67F89" w:rsidRDefault="00E67F89" w:rsidP="00E67F89">
            <w:r w:rsidRPr="00E67F89">
              <w:t>la consignation par écrit des accidents, des maladies et des incidents du travail et la rédaction de rapports à leur sujet;</w:t>
            </w:r>
          </w:p>
          <w:p w14:paraId="2F5750E8" w14:textId="77777777" w:rsidR="00E67F89" w:rsidRPr="00E67F89" w:rsidRDefault="00E67F89" w:rsidP="00E67F89">
            <w:r w:rsidRPr="00E67F89">
              <w:t>des dispositions en matière de prévention, de préparation et de réponse aux situations d’urgence ;et</w:t>
            </w:r>
          </w:p>
          <w:p w14:paraId="43C7A2A8" w14:textId="77777777" w:rsidR="00E67F89" w:rsidRPr="00E67F89" w:rsidRDefault="00E67F89" w:rsidP="00E67F89">
            <w:r w:rsidRPr="00E67F89">
              <w:t>des solutions pour lutter contre les</w:t>
            </w:r>
          </w:p>
          <w:p w14:paraId="5CB7E0B8" w14:textId="77777777" w:rsidR="00E67F89" w:rsidRPr="00E67F89" w:rsidRDefault="00E67F89" w:rsidP="00E67F89">
            <w:r w:rsidRPr="00E67F89">
              <w:t>effets négatifs tels que les blessures, les décès, les handicaps et les professionnels</w:t>
            </w:r>
          </w:p>
        </w:tc>
        <w:tc>
          <w:tcPr>
            <w:tcW w:w="1701" w:type="dxa"/>
          </w:tcPr>
          <w:p w14:paraId="1534DCF2" w14:textId="77777777" w:rsidR="00E67F89" w:rsidRPr="00E67F89" w:rsidRDefault="00E67F89" w:rsidP="00E67F89">
            <w:r w:rsidRPr="00E67F89">
              <w:lastRenderedPageBreak/>
              <w:t>N/P</w:t>
            </w:r>
          </w:p>
        </w:tc>
        <w:tc>
          <w:tcPr>
            <w:tcW w:w="3261" w:type="dxa"/>
          </w:tcPr>
          <w:p w14:paraId="280CEB2F" w14:textId="77777777" w:rsidR="00E67F89" w:rsidRPr="00E67F89" w:rsidRDefault="00E67F89" w:rsidP="00E67F89">
            <w:r w:rsidRPr="00E67F89">
              <w:t>Les textes ne prévoient pas ces points.</w:t>
            </w:r>
          </w:p>
        </w:tc>
        <w:tc>
          <w:tcPr>
            <w:tcW w:w="4393" w:type="dxa"/>
          </w:tcPr>
          <w:p w14:paraId="12A7378E" w14:textId="77777777" w:rsidR="00E67F89" w:rsidRPr="00E67F89" w:rsidRDefault="00E67F89" w:rsidP="00E67F89">
            <w:r w:rsidRPr="00E67F89">
              <w:t>Le Code du travail et les textes réglementaires d’application sur les SST et HSE indiquent immédiatement les mesures de SST minima à mettre en œuvre par tout employeur.</w:t>
            </w:r>
          </w:p>
          <w:p w14:paraId="340AEF05" w14:textId="77777777" w:rsidR="00E67F89" w:rsidRPr="00E67F89" w:rsidRDefault="00E67F89" w:rsidP="00E67F89"/>
          <w:p w14:paraId="228061A5" w14:textId="77777777" w:rsidR="00E67F89" w:rsidRPr="00E67F89" w:rsidRDefault="00E67F89" w:rsidP="00E67F89">
            <w:r w:rsidRPr="00E67F89">
              <w:t>Cette exigence de la NES n°2 apporte une meilleure approche plus générique concernant les mesures de SST à concevoir et à mettre en œuvre. Ce qui est plus favorable aux travailleurs.</w:t>
            </w:r>
          </w:p>
        </w:tc>
      </w:tr>
      <w:tr w:rsidR="00E67F89" w:rsidRPr="00E67F89" w14:paraId="2FAB6E0B" w14:textId="77777777" w:rsidTr="00223F64">
        <w:tc>
          <w:tcPr>
            <w:tcW w:w="1377" w:type="dxa"/>
          </w:tcPr>
          <w:p w14:paraId="43CB16DA" w14:textId="77777777" w:rsidR="00E67F89" w:rsidRPr="00E67F89" w:rsidRDefault="00E67F89" w:rsidP="00E67F89">
            <w:r w:rsidRPr="00E67F89">
              <w:t>Mise en œuvre de SST</w:t>
            </w:r>
          </w:p>
        </w:tc>
        <w:tc>
          <w:tcPr>
            <w:tcW w:w="1426" w:type="dxa"/>
          </w:tcPr>
          <w:p w14:paraId="61388D13" w14:textId="77777777" w:rsidR="00E67F89" w:rsidRPr="00E67F89" w:rsidRDefault="00E67F89" w:rsidP="00E67F89">
            <w:r w:rsidRPr="00E67F89">
              <w:t>26</w:t>
            </w:r>
          </w:p>
        </w:tc>
        <w:tc>
          <w:tcPr>
            <w:tcW w:w="3394" w:type="dxa"/>
          </w:tcPr>
          <w:p w14:paraId="5188F09C" w14:textId="77777777" w:rsidR="00E67F89" w:rsidRPr="00E67F89" w:rsidRDefault="00E67F89" w:rsidP="00E67F89">
            <w:r w:rsidRPr="00E67F89">
              <w:t>26. Toutes les parties qui emploient ou engagent des travailleurs dans le cadre du projet élaboreront et mettront en œuvre :</w:t>
            </w:r>
          </w:p>
          <w:p w14:paraId="0D83814B" w14:textId="77777777" w:rsidR="00E67F89" w:rsidRPr="00E67F89" w:rsidRDefault="00E67F89" w:rsidP="00E67F89">
            <w:r w:rsidRPr="00E67F89">
              <w:lastRenderedPageBreak/>
              <w:t xml:space="preserve">-des procédures pour créer et maintenir un environnement de travail sûr, notamment en assurant que </w:t>
            </w:r>
          </w:p>
          <w:p w14:paraId="0903CDF3" w14:textId="77777777" w:rsidR="00E67F89" w:rsidRPr="00E67F89" w:rsidRDefault="00E67F89" w:rsidP="00E67F89">
            <w:r w:rsidRPr="00E67F89">
              <w:t>* les lieux de travail, les machines, l’équipement et les processus sous leur contrôle sont sûrs et sans risque pour la santé, y compris des mesures appropriées relatives à l’utilisation des substances et agents physiques, chimiques et biologiques.</w:t>
            </w:r>
          </w:p>
          <w:p w14:paraId="7200A37D" w14:textId="77777777" w:rsidR="00E67F89" w:rsidRPr="00E67F89" w:rsidRDefault="00E67F89" w:rsidP="00E67F89">
            <w:r w:rsidRPr="00E67F89">
              <w:t>Ces parties collaboreront activement avec, et consulteront les travailleurs du projet</w:t>
            </w:r>
          </w:p>
          <w:p w14:paraId="1D8CE5CD" w14:textId="77777777" w:rsidR="00E67F89" w:rsidRPr="00E67F89" w:rsidRDefault="00E67F89" w:rsidP="00E67F89">
            <w:r w:rsidRPr="00E67F89">
              <w:t>pour encourager la compréhension et les méthodes pour la mise en œuvre des exigences en matière de SST, ainsi que</w:t>
            </w:r>
          </w:p>
          <w:p w14:paraId="4158B8D2" w14:textId="77777777" w:rsidR="00E67F89" w:rsidRPr="00E67F89" w:rsidRDefault="00E67F89" w:rsidP="00E67F89">
            <w:r w:rsidRPr="00E67F89">
              <w:t xml:space="preserve">pour fournir des informations aux travailleurs du projet, la </w:t>
            </w:r>
            <w:r w:rsidRPr="00E67F89">
              <w:lastRenderedPageBreak/>
              <w:t>formation sur la sécurité et la santé au travail, et la fourniture gratuite d’équipements de</w:t>
            </w:r>
          </w:p>
          <w:p w14:paraId="03B737D8" w14:textId="77777777" w:rsidR="00E67F89" w:rsidRPr="00E67F89" w:rsidRDefault="00E67F89" w:rsidP="00E67F89">
            <w:r w:rsidRPr="00E67F89">
              <w:t>protection individuelle.</w:t>
            </w:r>
          </w:p>
        </w:tc>
        <w:tc>
          <w:tcPr>
            <w:tcW w:w="1701" w:type="dxa"/>
          </w:tcPr>
          <w:p w14:paraId="26E60DFF" w14:textId="77777777" w:rsidR="00E67F89" w:rsidRPr="00E67F89" w:rsidRDefault="00E67F89" w:rsidP="00E67F89">
            <w:r w:rsidRPr="00E67F89">
              <w:lastRenderedPageBreak/>
              <w:t>Art. 168, 193, 225, Loi n°2024-014</w:t>
            </w:r>
          </w:p>
        </w:tc>
        <w:tc>
          <w:tcPr>
            <w:tcW w:w="3261" w:type="dxa"/>
          </w:tcPr>
          <w:p w14:paraId="62B3AFC6" w14:textId="77777777" w:rsidR="00E67F89" w:rsidRPr="00E67F89" w:rsidRDefault="00E67F89" w:rsidP="00E67F89">
            <w:r w:rsidRPr="00E67F89">
              <w:t>Avant que des travailleurs puissent y être employés, tout établissement doit répondre aux normes d'hygiène, de sécurité et d'environnement régissant la branche d'activité.</w:t>
            </w:r>
          </w:p>
          <w:p w14:paraId="226B2B5A" w14:textId="77777777" w:rsidR="00E67F89" w:rsidRPr="00E67F89" w:rsidRDefault="00E67F89" w:rsidP="00E67F89">
            <w:r w:rsidRPr="00E67F89">
              <w:t>L'employeur est tenu d'informer et de former les travailleurs sur les mesures de sécurité et de santé liées au poste de travail.</w:t>
            </w:r>
          </w:p>
          <w:p w14:paraId="046AEF2B" w14:textId="77777777" w:rsidR="00E67F89" w:rsidRPr="00E67F89" w:rsidRDefault="00E67F89" w:rsidP="00E67F89"/>
          <w:p w14:paraId="15660570" w14:textId="77777777" w:rsidR="00E67F89" w:rsidRPr="00E67F89" w:rsidRDefault="00E67F89" w:rsidP="00E67F89">
            <w:r w:rsidRPr="00E67F89">
              <w:t>Le Comité d'Entreprise veille à l'application des règles relatives à l'hygiène, la sécurité au travail et l'environnement.</w:t>
            </w:r>
          </w:p>
        </w:tc>
        <w:tc>
          <w:tcPr>
            <w:tcW w:w="4393" w:type="dxa"/>
          </w:tcPr>
          <w:p w14:paraId="05EB51BD" w14:textId="77777777" w:rsidR="00E67F89" w:rsidRPr="00E67F89" w:rsidRDefault="00E67F89" w:rsidP="00E67F89">
            <w:r w:rsidRPr="00E67F89">
              <w:lastRenderedPageBreak/>
              <w:t>Il y a correspondance entre la NES n°2 et le cadre national.</w:t>
            </w:r>
          </w:p>
        </w:tc>
      </w:tr>
      <w:tr w:rsidR="00E67F89" w:rsidRPr="00E67F89" w14:paraId="5E20A060" w14:textId="77777777" w:rsidTr="00223F64">
        <w:tc>
          <w:tcPr>
            <w:tcW w:w="1377" w:type="dxa"/>
          </w:tcPr>
          <w:p w14:paraId="5EA9602E" w14:textId="77777777" w:rsidR="00E67F89" w:rsidRPr="00E67F89" w:rsidRDefault="00E67F89" w:rsidP="00E67F89">
            <w:r w:rsidRPr="00E67F89">
              <w:lastRenderedPageBreak/>
              <w:t>Mécanisme de communication interne, situations de travail dangereuses et droit de retrait</w:t>
            </w:r>
          </w:p>
        </w:tc>
        <w:tc>
          <w:tcPr>
            <w:tcW w:w="1426" w:type="dxa"/>
          </w:tcPr>
          <w:p w14:paraId="22DBA9CB" w14:textId="77777777" w:rsidR="00E67F89" w:rsidRPr="00E67F89" w:rsidRDefault="00E67F89" w:rsidP="00E67F89">
            <w:r w:rsidRPr="00E67F89">
              <w:t>27</w:t>
            </w:r>
          </w:p>
        </w:tc>
        <w:tc>
          <w:tcPr>
            <w:tcW w:w="3394" w:type="dxa"/>
          </w:tcPr>
          <w:p w14:paraId="600D857E" w14:textId="77777777" w:rsidR="00E67F89" w:rsidRPr="00E67F89" w:rsidRDefault="00E67F89" w:rsidP="00E67F89">
            <w:r w:rsidRPr="00E67F89">
              <w:t>Des mécanismes de communication interne seront mis en place afin que les travailleurs du projet :</w:t>
            </w:r>
          </w:p>
          <w:p w14:paraId="01C72E2F" w14:textId="77777777" w:rsidR="00E67F89" w:rsidRPr="00E67F89" w:rsidRDefault="00E67F89" w:rsidP="00E67F89">
            <w:r w:rsidRPr="00E67F89">
              <w:t>signalent les situations de travail dont ils estiment qu’elles sont dangereuses ou malsaines, et</w:t>
            </w:r>
          </w:p>
          <w:p w14:paraId="51437AC5" w14:textId="77777777" w:rsidR="00E67F89" w:rsidRPr="00E67F89" w:rsidRDefault="00E67F89" w:rsidP="00E67F89">
            <w:r w:rsidRPr="00E67F89">
              <w:t>La possibilité pour eux d’exercer leur droit de retrait d’une situation de travail dont ils ont un motif raisonnable de penser qu’elle présente un danger grave et imminent pour leur vie ou leur santé.</w:t>
            </w:r>
          </w:p>
          <w:p w14:paraId="24C9AC2A" w14:textId="77777777" w:rsidR="00E67F89" w:rsidRPr="00E67F89" w:rsidRDefault="00E67F89" w:rsidP="00E67F89">
            <w:r w:rsidRPr="00E67F89">
              <w:t xml:space="preserve">Les travailleurs du projet qui exercent leur droit de retrait de telles situations ne seront pas tenus de retourner au travail jusqu’à ce que des mesures </w:t>
            </w:r>
            <w:r w:rsidRPr="00E67F89">
              <w:lastRenderedPageBreak/>
              <w:t xml:space="preserve">correctives nécessaires pour corriger la situation aient été prises. </w:t>
            </w:r>
          </w:p>
          <w:p w14:paraId="67DE9482" w14:textId="77777777" w:rsidR="00E67F89" w:rsidRPr="00E67F89" w:rsidRDefault="00E67F89" w:rsidP="00E67F89">
            <w:r w:rsidRPr="00E67F89">
              <w:t>Les travailleurs du projet ne subiront pas de représailles ou d’actions négatives pour avoir signalé ces situations ou exercé leur droit de retrait.</w:t>
            </w:r>
          </w:p>
        </w:tc>
        <w:tc>
          <w:tcPr>
            <w:tcW w:w="1701" w:type="dxa"/>
          </w:tcPr>
          <w:p w14:paraId="60F4237B" w14:textId="77777777" w:rsidR="00E67F89" w:rsidRPr="00E67F89" w:rsidRDefault="00E67F89" w:rsidP="00E67F89">
            <w:r w:rsidRPr="00E67F89">
              <w:lastRenderedPageBreak/>
              <w:t>N/P</w:t>
            </w:r>
          </w:p>
        </w:tc>
        <w:tc>
          <w:tcPr>
            <w:tcW w:w="3261" w:type="dxa"/>
          </w:tcPr>
          <w:p w14:paraId="110200E0" w14:textId="77777777" w:rsidR="00E67F89" w:rsidRPr="00E67F89" w:rsidRDefault="00E67F89" w:rsidP="00E67F89">
            <w:r w:rsidRPr="00E67F89">
              <w:t>Les textes ne prévoient pas ces points.</w:t>
            </w:r>
          </w:p>
        </w:tc>
        <w:tc>
          <w:tcPr>
            <w:tcW w:w="4393" w:type="dxa"/>
          </w:tcPr>
          <w:p w14:paraId="14E84707" w14:textId="77777777" w:rsidR="00E67F89" w:rsidRPr="00E67F89" w:rsidRDefault="00E67F89" w:rsidP="00E67F89">
            <w:r w:rsidRPr="00E67F89">
              <w:t>En dehors des cas d’indication et d’affichage des matériels et manipulations dangereux, et sauf en matière de radioprotection (signalisation des zones réglementées et zones interdites), les textes ne prévoient pas expressément l’obligation générale de signalisation de situation de travail estimée dangereuse ou malsaine.</w:t>
            </w:r>
          </w:p>
          <w:p w14:paraId="2DF98D1E" w14:textId="77777777" w:rsidR="00E67F89" w:rsidRPr="00E67F89" w:rsidRDefault="00E67F89" w:rsidP="00E67F89"/>
          <w:p w14:paraId="59A78CDE" w14:textId="77777777" w:rsidR="00E67F89" w:rsidRPr="00E67F89" w:rsidRDefault="00E67F89" w:rsidP="00E67F89">
            <w:r w:rsidRPr="00E67F89">
              <w:t xml:space="preserve">Le droit de retrait n’est pas connu par le droit malagasy. </w:t>
            </w:r>
          </w:p>
          <w:p w14:paraId="0BD3F9BE" w14:textId="77777777" w:rsidR="00E67F89" w:rsidRPr="00E67F89" w:rsidRDefault="00E67F89" w:rsidP="00E67F89">
            <w:r w:rsidRPr="00E67F89">
              <w:t>Cette exigence de la NES n°2 constitue un apport en faveur de la sécurité du travailleur.</w:t>
            </w:r>
          </w:p>
        </w:tc>
      </w:tr>
      <w:tr w:rsidR="00E67F89" w:rsidRPr="00E67F89" w14:paraId="0BA1428B" w14:textId="77777777" w:rsidTr="00223F64">
        <w:tc>
          <w:tcPr>
            <w:tcW w:w="1377" w:type="dxa"/>
          </w:tcPr>
          <w:p w14:paraId="24B55F1D" w14:textId="77777777" w:rsidR="00E67F89" w:rsidRPr="00E67F89" w:rsidRDefault="00E67F89" w:rsidP="00E67F89">
            <w:r w:rsidRPr="00E67F89">
              <w:t>Cantines – Installations sanitaires – Zones de repos – Services d’hébergement</w:t>
            </w:r>
          </w:p>
        </w:tc>
        <w:tc>
          <w:tcPr>
            <w:tcW w:w="1426" w:type="dxa"/>
          </w:tcPr>
          <w:p w14:paraId="5D0EA603" w14:textId="77777777" w:rsidR="00E67F89" w:rsidRPr="00E67F89" w:rsidRDefault="00E67F89" w:rsidP="00E67F89">
            <w:r w:rsidRPr="00E67F89">
              <w:t>28</w:t>
            </w:r>
          </w:p>
        </w:tc>
        <w:tc>
          <w:tcPr>
            <w:tcW w:w="3394" w:type="dxa"/>
          </w:tcPr>
          <w:p w14:paraId="1603B010" w14:textId="77777777" w:rsidR="00E67F89" w:rsidRPr="00E67F89" w:rsidRDefault="00E67F89" w:rsidP="00E67F89">
            <w:r w:rsidRPr="00E67F89">
              <w:t xml:space="preserve">Seront fournis aux travailleurs du projet des moyens appropriés aux circonstances de travail, y compris l’accès </w:t>
            </w:r>
          </w:p>
          <w:p w14:paraId="268609AA" w14:textId="77777777" w:rsidR="00E67F89" w:rsidRPr="00E67F89" w:rsidRDefault="00E67F89" w:rsidP="00E67F89">
            <w:r w:rsidRPr="00E67F89">
              <w:t>à des cantines,</w:t>
            </w:r>
          </w:p>
          <w:p w14:paraId="7F2D8CE8" w14:textId="77777777" w:rsidR="00E67F89" w:rsidRPr="00E67F89" w:rsidRDefault="00E67F89" w:rsidP="00E67F89">
            <w:r w:rsidRPr="00E67F89">
              <w:t>à des installations sanitaires et</w:t>
            </w:r>
          </w:p>
          <w:p w14:paraId="11838B6F" w14:textId="77777777" w:rsidR="00E67F89" w:rsidRPr="00E67F89" w:rsidRDefault="00E67F89" w:rsidP="00E67F89">
            <w:r w:rsidRPr="00E67F89">
              <w:t>à des zones de repos appropriées.</w:t>
            </w:r>
          </w:p>
          <w:p w14:paraId="7E88CB35" w14:textId="77777777" w:rsidR="00E67F89" w:rsidRPr="00E67F89" w:rsidRDefault="00E67F89" w:rsidP="00E67F89">
            <w:r w:rsidRPr="00E67F89">
              <w:t>Lorsque desservies d’hébergement seront fournis aux travailleurs, des politiques sur la gestion et la qualité de l’hébergement seront élaborées et mises en œuvre:</w:t>
            </w:r>
          </w:p>
          <w:p w14:paraId="60E89EB2" w14:textId="77777777" w:rsidR="00E67F89" w:rsidRPr="00E67F89" w:rsidRDefault="00E67F89" w:rsidP="00E67F89">
            <w:r w:rsidRPr="00E67F89">
              <w:lastRenderedPageBreak/>
              <w:t>pour protéger et promouvoir la santé, la sécurité et le bien-être des travailleurs du projet, et</w:t>
            </w:r>
          </w:p>
          <w:p w14:paraId="571D08FA" w14:textId="77777777" w:rsidR="00E67F89" w:rsidRPr="00E67F89" w:rsidRDefault="00E67F89" w:rsidP="00E67F89">
            <w:r w:rsidRPr="00E67F89">
              <w:t>Pour fournir l’accès ou la fourniture de services qui tiennent compte de leurs besoins physiques, sociaux et culturels.</w:t>
            </w:r>
          </w:p>
        </w:tc>
        <w:tc>
          <w:tcPr>
            <w:tcW w:w="1701" w:type="dxa"/>
          </w:tcPr>
          <w:p w14:paraId="0FEE3165" w14:textId="77777777" w:rsidR="00E67F89" w:rsidRPr="00E67F89" w:rsidRDefault="00E67F89" w:rsidP="00E67F89">
            <w:r w:rsidRPr="00E67F89">
              <w:lastRenderedPageBreak/>
              <w:t>Art.164 – 171, 173-178 Loi n°2024-014</w:t>
            </w:r>
          </w:p>
        </w:tc>
        <w:tc>
          <w:tcPr>
            <w:tcW w:w="3261" w:type="dxa"/>
          </w:tcPr>
          <w:p w14:paraId="3FE9A99C" w14:textId="77777777" w:rsidR="00E67F89" w:rsidRPr="00E67F89" w:rsidRDefault="00E67F89" w:rsidP="00E67F89">
            <w:r w:rsidRPr="00E67F89">
              <w:t>Atmosphère et ambiance générale des lieux de travail</w:t>
            </w:r>
          </w:p>
          <w:p w14:paraId="021CAF2D" w14:textId="77777777" w:rsidR="00E67F89" w:rsidRPr="00E67F89" w:rsidRDefault="00E67F89" w:rsidP="00E67F89">
            <w:r w:rsidRPr="00E67F89">
              <w:t>Installations sanitaires, etc. Espace de détente Cantines</w:t>
            </w:r>
          </w:p>
          <w:p w14:paraId="2178FB3C" w14:textId="77777777" w:rsidR="00E67F89" w:rsidRPr="00E67F89" w:rsidRDefault="00E67F89" w:rsidP="00E67F89">
            <w:r w:rsidRPr="00E67F89">
              <w:t>Cubage d’aire dans les locaux affectés au couchage</w:t>
            </w:r>
          </w:p>
        </w:tc>
        <w:tc>
          <w:tcPr>
            <w:tcW w:w="4393" w:type="dxa"/>
          </w:tcPr>
          <w:p w14:paraId="394AF4E2" w14:textId="77777777" w:rsidR="00E67F89" w:rsidRPr="00E67F89" w:rsidRDefault="00E67F89" w:rsidP="00E67F89">
            <w:r w:rsidRPr="00E67F89">
              <w:t>Il y a correspondance entre la NES n°2 et le cadre national, même si certains des services ne sont qu’une possibilité laissée à l’appréciation de l’employeur par le Code du travail. Le fait de les considérer comme exigences de la NES n°2 les rend obligatoires pour l’Emprunteur sans enfreindre le droit malagasy.</w:t>
            </w:r>
          </w:p>
        </w:tc>
      </w:tr>
      <w:tr w:rsidR="00E67F89" w:rsidRPr="00E67F89" w14:paraId="454A1A65" w14:textId="77777777" w:rsidTr="00223F64">
        <w:tc>
          <w:tcPr>
            <w:tcW w:w="1377" w:type="dxa"/>
          </w:tcPr>
          <w:p w14:paraId="44828A10" w14:textId="77777777" w:rsidR="00E67F89" w:rsidRPr="00E67F89" w:rsidRDefault="00E67F89" w:rsidP="00E67F89">
            <w:r w:rsidRPr="00E67F89">
              <w:t>Collaboration</w:t>
            </w:r>
            <w:r w:rsidRPr="00E67F89">
              <w:tab/>
              <w:t>des employeurs en matière de SST</w:t>
            </w:r>
          </w:p>
        </w:tc>
        <w:tc>
          <w:tcPr>
            <w:tcW w:w="1426" w:type="dxa"/>
          </w:tcPr>
          <w:p w14:paraId="5EF77129" w14:textId="77777777" w:rsidR="00E67F89" w:rsidRPr="00E67F89" w:rsidRDefault="00E67F89" w:rsidP="00E67F89">
            <w:r w:rsidRPr="00E67F89">
              <w:t>29</w:t>
            </w:r>
          </w:p>
        </w:tc>
        <w:tc>
          <w:tcPr>
            <w:tcW w:w="3394" w:type="dxa"/>
          </w:tcPr>
          <w:p w14:paraId="55BD1A91" w14:textId="77777777" w:rsidR="00E67F89" w:rsidRPr="00E67F89" w:rsidRDefault="00E67F89" w:rsidP="00E67F89">
            <w:r w:rsidRPr="00E67F89">
              <w:t>Lorsque les travailleurs du projet sont employés ou recrutés par plus d’une partie et travaillent ensemble dans un seul lieu, les parties qui emploient ou recrutent les travailleurs collaboreront dans l’application des exigences en matière de SST, sans préjudice de la responsabilité de chaque partie pour la santé et la sécurité de ses propres travailleurs.</w:t>
            </w:r>
          </w:p>
        </w:tc>
        <w:tc>
          <w:tcPr>
            <w:tcW w:w="1701" w:type="dxa"/>
          </w:tcPr>
          <w:p w14:paraId="52B1235D" w14:textId="77777777" w:rsidR="00E67F89" w:rsidRPr="00E67F89" w:rsidRDefault="00E67F89" w:rsidP="00E67F89">
            <w:r w:rsidRPr="00E67F89">
              <w:t>Art.248 Loi n°2024-014</w:t>
            </w:r>
          </w:p>
        </w:tc>
        <w:tc>
          <w:tcPr>
            <w:tcW w:w="3261" w:type="dxa"/>
          </w:tcPr>
          <w:p w14:paraId="70A675D5" w14:textId="77777777" w:rsidR="00E67F89" w:rsidRPr="00E67F89" w:rsidRDefault="00E67F89" w:rsidP="00E67F89">
            <w:r w:rsidRPr="00E67F89">
              <w:t>Possibilité de négocier et d’établir des accords d’établissements entre plusieurs établissements.</w:t>
            </w:r>
          </w:p>
        </w:tc>
        <w:tc>
          <w:tcPr>
            <w:tcW w:w="4393" w:type="dxa"/>
          </w:tcPr>
          <w:p w14:paraId="3D035E6C" w14:textId="77777777" w:rsidR="00E67F89" w:rsidRPr="00E67F89" w:rsidRDefault="00E67F89" w:rsidP="00E67F89">
            <w:r w:rsidRPr="00E67F89">
              <w:t>Il y a correspondance entre la NES n°2 et le cadre national.</w:t>
            </w:r>
          </w:p>
        </w:tc>
      </w:tr>
      <w:tr w:rsidR="00E67F89" w:rsidRPr="00E67F89" w14:paraId="20D61BF9" w14:textId="77777777" w:rsidTr="00223F64">
        <w:tc>
          <w:tcPr>
            <w:tcW w:w="1377" w:type="dxa"/>
          </w:tcPr>
          <w:p w14:paraId="46E36145" w14:textId="77777777" w:rsidR="00E67F89" w:rsidRPr="00E67F89" w:rsidRDefault="00E67F89" w:rsidP="00E67F89">
            <w:r w:rsidRPr="00E67F89">
              <w:t>Système d’examen de SST</w:t>
            </w:r>
          </w:p>
        </w:tc>
        <w:tc>
          <w:tcPr>
            <w:tcW w:w="1426" w:type="dxa"/>
          </w:tcPr>
          <w:p w14:paraId="1C175FF9" w14:textId="77777777" w:rsidR="00E67F89" w:rsidRPr="00E67F89" w:rsidRDefault="00E67F89" w:rsidP="00E67F89">
            <w:r w:rsidRPr="00E67F89">
              <w:t>30</w:t>
            </w:r>
          </w:p>
        </w:tc>
        <w:tc>
          <w:tcPr>
            <w:tcW w:w="3394" w:type="dxa"/>
          </w:tcPr>
          <w:p w14:paraId="47C98702" w14:textId="77777777" w:rsidR="00E67F89" w:rsidRPr="00E67F89" w:rsidRDefault="00E67F89" w:rsidP="00E67F89">
            <w:r w:rsidRPr="00E67F89">
              <w:t>Un système d’examen régulier</w:t>
            </w:r>
          </w:p>
          <w:p w14:paraId="194D305F" w14:textId="77777777" w:rsidR="00E67F89" w:rsidRPr="00E67F89" w:rsidRDefault="00E67F89" w:rsidP="00E67F89">
            <w:r w:rsidRPr="00E67F89">
              <w:t>de la sécurité au travail,</w:t>
            </w:r>
          </w:p>
          <w:p w14:paraId="41455B6B" w14:textId="77777777" w:rsidR="00E67F89" w:rsidRPr="00E67F89" w:rsidRDefault="00E67F89" w:rsidP="00E67F89">
            <w:r w:rsidRPr="00E67F89">
              <w:t xml:space="preserve">de la performance de la santé et </w:t>
            </w:r>
          </w:p>
          <w:p w14:paraId="1CD0E679" w14:textId="77777777" w:rsidR="00E67F89" w:rsidRPr="00E67F89" w:rsidRDefault="00E67F89" w:rsidP="00E67F89">
            <w:r w:rsidRPr="00E67F89">
              <w:lastRenderedPageBreak/>
              <w:t>de l’environnement de travail sera mis en place et comprendra:</w:t>
            </w:r>
          </w:p>
          <w:p w14:paraId="15267831" w14:textId="77777777" w:rsidR="00E67F89" w:rsidRPr="00E67F89" w:rsidRDefault="00E67F89" w:rsidP="00E67F89">
            <w:r w:rsidRPr="00E67F89">
              <w:t>L’identification des dangers et des risques de sécurité pour la santé,</w:t>
            </w:r>
          </w:p>
          <w:p w14:paraId="7FDDA72B" w14:textId="77777777" w:rsidR="00E67F89" w:rsidRPr="00E67F89" w:rsidRDefault="00E67F89" w:rsidP="00E67F89">
            <w:r w:rsidRPr="00E67F89">
              <w:t>la mise en œuvre de méthodes efficaces pour répondre aux dangers et aux risques identifiés,</w:t>
            </w:r>
          </w:p>
          <w:p w14:paraId="756325BD" w14:textId="77777777" w:rsidR="00E67F89" w:rsidRPr="00E67F89" w:rsidRDefault="00E67F89" w:rsidP="00E67F89">
            <w:r w:rsidRPr="00E67F89">
              <w:t>la définition des priorités pour prendre des mesures, et l’évaluation des résultats.</w:t>
            </w:r>
          </w:p>
        </w:tc>
        <w:tc>
          <w:tcPr>
            <w:tcW w:w="1701" w:type="dxa"/>
          </w:tcPr>
          <w:p w14:paraId="77ABAD15" w14:textId="77777777" w:rsidR="00E67F89" w:rsidRPr="00E67F89" w:rsidRDefault="00E67F89" w:rsidP="00E67F89">
            <w:r w:rsidRPr="00E67F89">
              <w:lastRenderedPageBreak/>
              <w:t>Art.194 Loi n°2024-014</w:t>
            </w:r>
          </w:p>
        </w:tc>
        <w:tc>
          <w:tcPr>
            <w:tcW w:w="3261" w:type="dxa"/>
          </w:tcPr>
          <w:p w14:paraId="101BEE5A" w14:textId="77777777" w:rsidR="00E67F89" w:rsidRPr="00E67F89" w:rsidRDefault="00E67F89" w:rsidP="00E67F89">
            <w:r w:rsidRPr="00E67F89">
              <w:t>Avant l’ouverture de l’entreprise : Commission interministérielle</w:t>
            </w:r>
          </w:p>
          <w:p w14:paraId="1A939F94" w14:textId="77777777" w:rsidR="00E67F89" w:rsidRPr="00E67F89" w:rsidRDefault="00E67F89" w:rsidP="00E67F89"/>
          <w:p w14:paraId="2C5DC30A" w14:textId="77777777" w:rsidR="00E67F89" w:rsidRPr="00E67F89" w:rsidRDefault="00E67F89" w:rsidP="00E67F89">
            <w:r w:rsidRPr="00E67F89">
              <w:lastRenderedPageBreak/>
              <w:t>Veille : Comité d’entreprise</w:t>
            </w:r>
          </w:p>
          <w:p w14:paraId="24101B0B" w14:textId="77777777" w:rsidR="00E67F89" w:rsidRPr="00E67F89" w:rsidRDefault="00E67F89" w:rsidP="00E67F89"/>
          <w:p w14:paraId="18EA489E" w14:textId="77777777" w:rsidR="00E67F89" w:rsidRPr="00E67F89" w:rsidRDefault="00E67F89" w:rsidP="00E67F89">
            <w:r w:rsidRPr="00E67F89">
              <w:t>Contrôle : Médecin Inspecteur du travail</w:t>
            </w:r>
          </w:p>
        </w:tc>
        <w:tc>
          <w:tcPr>
            <w:tcW w:w="4393" w:type="dxa"/>
          </w:tcPr>
          <w:p w14:paraId="6EF0A425" w14:textId="77777777" w:rsidR="00E67F89" w:rsidRPr="00E67F89" w:rsidRDefault="00E67F89" w:rsidP="00E67F89">
            <w:r w:rsidRPr="00E67F89">
              <w:lastRenderedPageBreak/>
              <w:t>Il y a correspondance entre la NES n°2 et le cadre national.</w:t>
            </w:r>
          </w:p>
        </w:tc>
      </w:tr>
      <w:tr w:rsidR="00E67F89" w:rsidRPr="00E67F89" w14:paraId="6CF6B185" w14:textId="77777777" w:rsidTr="00223F64">
        <w:tc>
          <w:tcPr>
            <w:tcW w:w="15552" w:type="dxa"/>
            <w:gridSpan w:val="6"/>
          </w:tcPr>
          <w:p w14:paraId="50FBF519" w14:textId="77777777" w:rsidR="00E67F89" w:rsidRPr="00E67F89" w:rsidRDefault="00E67F89" w:rsidP="00E67F89">
            <w:r w:rsidRPr="00E67F89">
              <w:t>E. TRAVAILLEURS CONTRACTUELS</w:t>
            </w:r>
          </w:p>
        </w:tc>
      </w:tr>
      <w:tr w:rsidR="00E67F89" w:rsidRPr="00E67F89" w14:paraId="40DA4D7B" w14:textId="77777777" w:rsidTr="00223F64">
        <w:tc>
          <w:tcPr>
            <w:tcW w:w="1377" w:type="dxa"/>
          </w:tcPr>
          <w:p w14:paraId="4F053BAB" w14:textId="77777777" w:rsidR="00E67F89" w:rsidRPr="00E67F89" w:rsidRDefault="00E67F89" w:rsidP="00E67F89">
            <w:r w:rsidRPr="00E67F89">
              <w:t>Vérification des tierces parties employeurs</w:t>
            </w:r>
          </w:p>
        </w:tc>
        <w:tc>
          <w:tcPr>
            <w:tcW w:w="1426" w:type="dxa"/>
          </w:tcPr>
          <w:p w14:paraId="16CEEECF" w14:textId="77777777" w:rsidR="00E67F89" w:rsidRPr="00E67F89" w:rsidRDefault="00E67F89" w:rsidP="00E67F89">
            <w:r w:rsidRPr="00E67F89">
              <w:t>31</w:t>
            </w:r>
          </w:p>
        </w:tc>
        <w:tc>
          <w:tcPr>
            <w:tcW w:w="3394" w:type="dxa"/>
          </w:tcPr>
          <w:p w14:paraId="1BAC2CF4" w14:textId="77777777" w:rsidR="00E67F89" w:rsidRPr="00E67F89" w:rsidRDefault="00E67F89" w:rsidP="00E67F89">
            <w:r w:rsidRPr="00E67F89">
              <w:t>L’Emprunteur déploiera tous les efforts raisonnables pour vérifier que les tierces parties qui recrutent des travailleurs contractuels :</w:t>
            </w:r>
          </w:p>
          <w:p w14:paraId="3745577F" w14:textId="77777777" w:rsidR="00E67F89" w:rsidRPr="00E67F89" w:rsidRDefault="00E67F89" w:rsidP="00E67F89">
            <w:r w:rsidRPr="00E67F89">
              <w:t>sont des entités légalement constituées et fiables, et</w:t>
            </w:r>
          </w:p>
          <w:p w14:paraId="7A3A6838" w14:textId="77777777" w:rsidR="00E67F89" w:rsidRPr="00E67F89" w:rsidRDefault="00E67F89" w:rsidP="00E67F89">
            <w:r w:rsidRPr="00E67F89">
              <w:t xml:space="preserve">appliquent des procédures de gestion du lieu du travail </w:t>
            </w:r>
            <w:r w:rsidRPr="00E67F89">
              <w:lastRenderedPageBreak/>
              <w:t>conformes au projet, qui leur permettra de fonctionner en conformité avec les exigences de la présente NES,à l’exception des paragraphes 34-42.</w:t>
            </w:r>
          </w:p>
        </w:tc>
        <w:tc>
          <w:tcPr>
            <w:tcW w:w="1701" w:type="dxa"/>
          </w:tcPr>
          <w:p w14:paraId="2DBD1851" w14:textId="77777777" w:rsidR="00E67F89" w:rsidRPr="00E67F89" w:rsidRDefault="00E67F89" w:rsidP="00E67F89">
            <w:r w:rsidRPr="00E67F89">
              <w:lastRenderedPageBreak/>
              <w:t>N/P</w:t>
            </w:r>
          </w:p>
        </w:tc>
        <w:tc>
          <w:tcPr>
            <w:tcW w:w="3261" w:type="dxa"/>
          </w:tcPr>
          <w:p w14:paraId="4A5AAB86" w14:textId="77777777" w:rsidR="00E67F89" w:rsidRPr="00E67F89" w:rsidRDefault="00E67F89" w:rsidP="00E67F89">
            <w:r w:rsidRPr="00E67F89">
              <w:t>Les textes ne prévoient pas ces points.</w:t>
            </w:r>
          </w:p>
        </w:tc>
        <w:tc>
          <w:tcPr>
            <w:tcW w:w="4393" w:type="dxa"/>
          </w:tcPr>
          <w:p w14:paraId="13731431" w14:textId="77777777" w:rsidR="00E67F89" w:rsidRPr="00E67F89" w:rsidRDefault="00E67F89" w:rsidP="00E67F89">
            <w:r w:rsidRPr="00E67F89">
              <w:t>Les exigences de la NES n°2 sont des dispositions plus favorables pour les travailleurs. Elles ne sont pas contraires aux textes malagasy.</w:t>
            </w:r>
          </w:p>
        </w:tc>
      </w:tr>
      <w:tr w:rsidR="00E67F89" w:rsidRPr="00E67F89" w14:paraId="7E1B9389" w14:textId="77777777" w:rsidTr="00223F64">
        <w:tc>
          <w:tcPr>
            <w:tcW w:w="1377" w:type="dxa"/>
          </w:tcPr>
          <w:p w14:paraId="11DB2B92" w14:textId="77777777" w:rsidR="00E67F89" w:rsidRPr="00E67F89" w:rsidRDefault="00E67F89" w:rsidP="00E67F89">
            <w:r w:rsidRPr="00E67F89">
              <w:t>Procédures de gestion et de suivi de performance des parties tierces</w:t>
            </w:r>
          </w:p>
        </w:tc>
        <w:tc>
          <w:tcPr>
            <w:tcW w:w="1426" w:type="dxa"/>
          </w:tcPr>
          <w:p w14:paraId="2023493F" w14:textId="77777777" w:rsidR="00E67F89" w:rsidRPr="00E67F89" w:rsidRDefault="00E67F89" w:rsidP="00E67F89">
            <w:r w:rsidRPr="00E67F89">
              <w:t>32</w:t>
            </w:r>
          </w:p>
          <w:p w14:paraId="04BDBB20" w14:textId="77777777" w:rsidR="00E67F89" w:rsidRPr="00E67F89" w:rsidRDefault="00E67F89" w:rsidP="00E67F89"/>
        </w:tc>
        <w:tc>
          <w:tcPr>
            <w:tcW w:w="3394" w:type="dxa"/>
          </w:tcPr>
          <w:p w14:paraId="7DC067CE" w14:textId="77777777" w:rsidR="00E67F89" w:rsidRPr="00E67F89" w:rsidRDefault="00E67F89" w:rsidP="00E67F89">
            <w:r w:rsidRPr="00E67F89">
              <w:t>L’Emprunteur établira des procédures pour la gestion et le suivi de la performance de ces parties tierces en relation avec les exigences de la présente NES.</w:t>
            </w:r>
          </w:p>
          <w:p w14:paraId="595B37FB" w14:textId="77777777" w:rsidR="00E67F89" w:rsidRPr="00E67F89" w:rsidRDefault="00E67F89" w:rsidP="00E67F89">
            <w:r w:rsidRPr="00E67F89">
              <w:t>En outre, l’Emprunteur devra intégrer les exigences de la présente NES dans l’accord contractuel avec les parties tierces, qui seront accompagnées des solutions appropriées aux non-conformités.</w:t>
            </w:r>
          </w:p>
        </w:tc>
        <w:tc>
          <w:tcPr>
            <w:tcW w:w="1701" w:type="dxa"/>
          </w:tcPr>
          <w:p w14:paraId="1B7F72A0" w14:textId="77777777" w:rsidR="00E67F89" w:rsidRPr="00E67F89" w:rsidRDefault="00E67F89" w:rsidP="00E67F89">
            <w:r w:rsidRPr="00E67F89">
              <w:t>N/P</w:t>
            </w:r>
          </w:p>
          <w:p w14:paraId="035D20D2" w14:textId="77777777" w:rsidR="00E67F89" w:rsidRPr="00E67F89" w:rsidRDefault="00E67F89" w:rsidP="00E67F89"/>
          <w:p w14:paraId="26C0D0B6" w14:textId="77777777" w:rsidR="00E67F89" w:rsidRPr="00E67F89" w:rsidRDefault="00E67F89" w:rsidP="00E67F89"/>
          <w:p w14:paraId="4E13A757" w14:textId="77777777" w:rsidR="00E67F89" w:rsidRPr="00E67F89" w:rsidRDefault="00E67F89" w:rsidP="00E67F89"/>
          <w:p w14:paraId="63078A8C" w14:textId="77777777" w:rsidR="00E67F89" w:rsidRPr="00E67F89" w:rsidRDefault="00E67F89" w:rsidP="00E67F89"/>
          <w:p w14:paraId="335B03D0" w14:textId="77777777" w:rsidR="00E67F89" w:rsidRPr="00E67F89" w:rsidRDefault="00E67F89" w:rsidP="00E67F89"/>
          <w:p w14:paraId="45AE0C11" w14:textId="77777777" w:rsidR="00E67F89" w:rsidRPr="00E67F89" w:rsidRDefault="00E67F89" w:rsidP="00E67F89"/>
        </w:tc>
        <w:tc>
          <w:tcPr>
            <w:tcW w:w="3261" w:type="dxa"/>
          </w:tcPr>
          <w:p w14:paraId="4111C948" w14:textId="77777777" w:rsidR="00E67F89" w:rsidRPr="00E67F89" w:rsidRDefault="00E67F89" w:rsidP="00E67F89">
            <w:r w:rsidRPr="00E67F89">
              <w:t>Les textes ne prévoient pas ces points.</w:t>
            </w:r>
          </w:p>
          <w:p w14:paraId="6263B894" w14:textId="77777777" w:rsidR="00E67F89" w:rsidRPr="00E67F89" w:rsidRDefault="00E67F89" w:rsidP="00E67F89"/>
          <w:p w14:paraId="26ACF569" w14:textId="77777777" w:rsidR="00E67F89" w:rsidRPr="00E67F89" w:rsidRDefault="00E67F89" w:rsidP="00E67F89"/>
          <w:p w14:paraId="544F8958" w14:textId="77777777" w:rsidR="00E67F89" w:rsidRPr="00E67F89" w:rsidRDefault="00E67F89" w:rsidP="00E67F89"/>
          <w:p w14:paraId="0A54EAC2" w14:textId="77777777" w:rsidR="00E67F89" w:rsidRPr="00E67F89" w:rsidRDefault="00E67F89" w:rsidP="00E67F89"/>
          <w:p w14:paraId="76BEDCA1" w14:textId="77777777" w:rsidR="00E67F89" w:rsidRPr="00E67F89" w:rsidRDefault="00E67F89" w:rsidP="00E67F89"/>
        </w:tc>
        <w:tc>
          <w:tcPr>
            <w:tcW w:w="4393" w:type="dxa"/>
          </w:tcPr>
          <w:p w14:paraId="1323099F" w14:textId="77777777" w:rsidR="00E67F89" w:rsidRPr="00E67F89" w:rsidRDefault="00E67F89" w:rsidP="00E67F89">
            <w:r w:rsidRPr="00E67F89">
              <w:t>Les exigences de la NES n°2 sont des dispositions plus favorables pour les travailleurs. Elles ne sont pas contraires aux textes malagasy.</w:t>
            </w:r>
          </w:p>
          <w:p w14:paraId="4234D96D" w14:textId="77777777" w:rsidR="00E67F89" w:rsidRPr="00E67F89" w:rsidRDefault="00E67F89" w:rsidP="00E67F89"/>
          <w:p w14:paraId="0085FB13" w14:textId="77777777" w:rsidR="00E67F89" w:rsidRPr="00E67F89" w:rsidRDefault="00E67F89" w:rsidP="00E67F89"/>
          <w:p w14:paraId="2EFDBE87" w14:textId="77777777" w:rsidR="00E67F89" w:rsidRPr="00E67F89" w:rsidRDefault="00E67F89" w:rsidP="00E67F89"/>
          <w:p w14:paraId="5783047A" w14:textId="77777777" w:rsidR="00E67F89" w:rsidRPr="00E67F89" w:rsidRDefault="00E67F89" w:rsidP="00E67F89"/>
          <w:p w14:paraId="584FB3F1" w14:textId="77777777" w:rsidR="00E67F89" w:rsidRPr="00E67F89" w:rsidRDefault="00E67F89" w:rsidP="00E67F89"/>
          <w:p w14:paraId="04B71133" w14:textId="77777777" w:rsidR="00E67F89" w:rsidRPr="00E67F89" w:rsidRDefault="00E67F89" w:rsidP="00E67F89"/>
        </w:tc>
      </w:tr>
      <w:tr w:rsidR="00E67F89" w:rsidRPr="00E67F89" w14:paraId="770BB0EA" w14:textId="77777777" w:rsidTr="00223F64">
        <w:tc>
          <w:tcPr>
            <w:tcW w:w="1377" w:type="dxa"/>
          </w:tcPr>
          <w:p w14:paraId="02F7EFF3" w14:textId="77777777" w:rsidR="00E67F89" w:rsidRPr="00E67F89" w:rsidRDefault="00E67F89" w:rsidP="00E67F89"/>
        </w:tc>
        <w:tc>
          <w:tcPr>
            <w:tcW w:w="1426" w:type="dxa"/>
          </w:tcPr>
          <w:p w14:paraId="7CBCF672" w14:textId="77777777" w:rsidR="00E67F89" w:rsidRPr="00E67F89" w:rsidRDefault="00E67F89" w:rsidP="00E67F89">
            <w:r w:rsidRPr="00E67F89">
              <w:t>(32)</w:t>
            </w:r>
          </w:p>
        </w:tc>
        <w:tc>
          <w:tcPr>
            <w:tcW w:w="3394" w:type="dxa"/>
          </w:tcPr>
          <w:p w14:paraId="784763F5" w14:textId="77777777" w:rsidR="00E67F89" w:rsidRPr="00E67F89" w:rsidRDefault="00E67F89" w:rsidP="00E67F89">
            <w:r w:rsidRPr="00E67F89">
              <w:t>Dans le cas de la sous-traitance, l’Emprunteur</w:t>
            </w:r>
          </w:p>
          <w:p w14:paraId="65D2982D" w14:textId="77777777" w:rsidR="00E67F89" w:rsidRPr="00E67F89" w:rsidRDefault="00E67F89" w:rsidP="00E67F89">
            <w:r w:rsidRPr="00E67F89">
              <w:t xml:space="preserve">- exigera de ces tierces parties d’inclure des exigences équivalentes et des solutions en </w:t>
            </w:r>
            <w:r w:rsidRPr="00E67F89">
              <w:lastRenderedPageBreak/>
              <w:t>matière de non-conformité dans leurs accords contractuels avec les sous- traitants.</w:t>
            </w:r>
          </w:p>
        </w:tc>
        <w:tc>
          <w:tcPr>
            <w:tcW w:w="1701" w:type="dxa"/>
          </w:tcPr>
          <w:p w14:paraId="5B24DF05" w14:textId="77777777" w:rsidR="00E67F89" w:rsidRPr="00E67F89" w:rsidRDefault="00E67F89" w:rsidP="00E67F89">
            <w:r w:rsidRPr="00E67F89">
              <w:lastRenderedPageBreak/>
              <w:t>Art.76 Loi n°2024-014.</w:t>
            </w:r>
          </w:p>
        </w:tc>
        <w:tc>
          <w:tcPr>
            <w:tcW w:w="3261" w:type="dxa"/>
          </w:tcPr>
          <w:p w14:paraId="308CB981" w14:textId="77777777" w:rsidR="00E67F89" w:rsidRPr="00E67F89" w:rsidRDefault="00E67F89" w:rsidP="00E67F89">
            <w:r w:rsidRPr="00E67F89">
              <w:t xml:space="preserve">En cas d’insolvabilité du sous- traitant, l’entrepreneur lui substituera. Le nom et l’adresse de l’entrepreneur doivent être affichés dans les locaux, </w:t>
            </w:r>
            <w:r w:rsidRPr="00E67F89">
              <w:lastRenderedPageBreak/>
              <w:t>bureaux et ateliers du sous-traitant.</w:t>
            </w:r>
          </w:p>
        </w:tc>
        <w:tc>
          <w:tcPr>
            <w:tcW w:w="4393" w:type="dxa"/>
          </w:tcPr>
          <w:p w14:paraId="21B558EA" w14:textId="77777777" w:rsidR="00E67F89" w:rsidRPr="00E67F89" w:rsidRDefault="00E67F89" w:rsidP="00E67F89">
            <w:r w:rsidRPr="00E67F89">
              <w:lastRenderedPageBreak/>
              <w:t>Les dispositions du Code du travail constituent un minimum pour les parties au profit des travailleurs.</w:t>
            </w:r>
          </w:p>
          <w:p w14:paraId="4520D4AF" w14:textId="77777777" w:rsidR="00E67F89" w:rsidRPr="00E67F89" w:rsidRDefault="00E67F89" w:rsidP="00E67F89"/>
          <w:p w14:paraId="178C28F3" w14:textId="77777777" w:rsidR="00E67F89" w:rsidRPr="00E67F89" w:rsidRDefault="00E67F89" w:rsidP="00E67F89">
            <w:r w:rsidRPr="00E67F89">
              <w:lastRenderedPageBreak/>
              <w:t>Les exigences de la NES n°2 sont des dispositions plus favorables pour les travailleurs. Elles ne sont pas contraires aux textes malagasy.</w:t>
            </w:r>
          </w:p>
        </w:tc>
      </w:tr>
      <w:tr w:rsidR="00E67F89" w:rsidRPr="00E67F89" w14:paraId="487B3AB4" w14:textId="77777777" w:rsidTr="00223F64">
        <w:tc>
          <w:tcPr>
            <w:tcW w:w="1377" w:type="dxa"/>
          </w:tcPr>
          <w:p w14:paraId="168EFB85" w14:textId="77777777" w:rsidR="00E67F89" w:rsidRPr="00E67F89" w:rsidRDefault="00E67F89" w:rsidP="00E67F89">
            <w:r w:rsidRPr="00E67F89">
              <w:t>Accès au mécanisme de gestion de plaintes pour les travailleurs des parties tierces</w:t>
            </w:r>
          </w:p>
        </w:tc>
        <w:tc>
          <w:tcPr>
            <w:tcW w:w="1426" w:type="dxa"/>
          </w:tcPr>
          <w:p w14:paraId="0653D032" w14:textId="77777777" w:rsidR="00E67F89" w:rsidRPr="00E67F89" w:rsidRDefault="00E67F89" w:rsidP="00E67F89">
            <w:r w:rsidRPr="00E67F89">
              <w:t>33</w:t>
            </w:r>
          </w:p>
        </w:tc>
        <w:tc>
          <w:tcPr>
            <w:tcW w:w="3394" w:type="dxa"/>
          </w:tcPr>
          <w:p w14:paraId="5866CE74" w14:textId="77777777" w:rsidR="00E67F89" w:rsidRPr="00E67F89" w:rsidRDefault="00E67F89" w:rsidP="00E67F89">
            <w:r w:rsidRPr="00E67F89">
              <w:t>Les travailleurs contractuels auront accès au mécanisme de gestion des plaintes.</w:t>
            </w:r>
          </w:p>
          <w:p w14:paraId="7B0B0C22" w14:textId="77777777" w:rsidR="00E67F89" w:rsidRPr="00E67F89" w:rsidRDefault="00E67F89" w:rsidP="00E67F89">
            <w:r w:rsidRPr="00E67F89">
              <w:t>Dans les cas où la tierce partie qui utilise ou recrute les travailleurs n’est pas en mesure de fournir un mécanisme de gestion des plaintes à ces travailleurs, l’Emprunteur devra mettre à la disposition des travailleurs contractuels un mécanisme de gestion des plaintes prévu à la Section C de la présente NES.</w:t>
            </w:r>
          </w:p>
        </w:tc>
        <w:tc>
          <w:tcPr>
            <w:tcW w:w="1701" w:type="dxa"/>
          </w:tcPr>
          <w:p w14:paraId="71DD65F1" w14:textId="77777777" w:rsidR="00E67F89" w:rsidRPr="00E67F89" w:rsidRDefault="00E67F89" w:rsidP="00E67F89">
            <w:r w:rsidRPr="00E67F89">
              <w:t>N/P</w:t>
            </w:r>
          </w:p>
        </w:tc>
        <w:tc>
          <w:tcPr>
            <w:tcW w:w="3261" w:type="dxa"/>
          </w:tcPr>
          <w:p w14:paraId="559CB67A" w14:textId="77777777" w:rsidR="00E67F89" w:rsidRPr="00E67F89" w:rsidRDefault="00E67F89" w:rsidP="00E67F89">
            <w:r w:rsidRPr="00E67F89">
              <w:t>Les textes ne prévoient pas ces points.</w:t>
            </w:r>
          </w:p>
        </w:tc>
        <w:tc>
          <w:tcPr>
            <w:tcW w:w="4393" w:type="dxa"/>
          </w:tcPr>
          <w:p w14:paraId="78113DC2" w14:textId="77777777" w:rsidR="00E67F89" w:rsidRPr="00E67F89" w:rsidRDefault="00E67F89" w:rsidP="00E67F89">
            <w:r w:rsidRPr="00E67F89">
              <w:t>Les exigences de la NES n°2 sont des dispositions plus favorables pour les travailleurs. Elles ne sont pas contraires aux textes malagasy.</w:t>
            </w:r>
          </w:p>
        </w:tc>
      </w:tr>
      <w:tr w:rsidR="00E67F89" w:rsidRPr="00E67F89" w14:paraId="0CEA3DA8" w14:textId="77777777" w:rsidTr="00223F64">
        <w:tc>
          <w:tcPr>
            <w:tcW w:w="15552" w:type="dxa"/>
            <w:gridSpan w:val="6"/>
          </w:tcPr>
          <w:p w14:paraId="3A87F5B7" w14:textId="77777777" w:rsidR="00E67F89" w:rsidRPr="00E67F89" w:rsidRDefault="00E67F89" w:rsidP="00E67F89">
            <w:r w:rsidRPr="00E67F89">
              <w:t>F. TRAVAILLEURS COMMUNAUTAIRES</w:t>
            </w:r>
          </w:p>
        </w:tc>
      </w:tr>
      <w:tr w:rsidR="00E67F89" w:rsidRPr="00E67F89" w14:paraId="6B279DB1" w14:textId="77777777" w:rsidTr="00223F64">
        <w:tc>
          <w:tcPr>
            <w:tcW w:w="1377" w:type="dxa"/>
          </w:tcPr>
          <w:p w14:paraId="114C1726" w14:textId="77777777" w:rsidR="00E67F89" w:rsidRPr="00E67F89" w:rsidRDefault="00E67F89" w:rsidP="00E67F89">
            <w:r w:rsidRPr="00E67F89">
              <w:t xml:space="preserve">Recours aux travailleurs communautaires sur </w:t>
            </w:r>
            <w:r w:rsidRPr="00E67F89">
              <w:lastRenderedPageBreak/>
              <w:t>une base volontaire</w:t>
            </w:r>
          </w:p>
        </w:tc>
        <w:tc>
          <w:tcPr>
            <w:tcW w:w="1426" w:type="dxa"/>
          </w:tcPr>
          <w:p w14:paraId="2F20BA5D" w14:textId="77777777" w:rsidR="00E67F89" w:rsidRPr="00E67F89" w:rsidRDefault="00E67F89" w:rsidP="00E67F89">
            <w:r w:rsidRPr="00E67F89">
              <w:lastRenderedPageBreak/>
              <w:t>34</w:t>
            </w:r>
          </w:p>
        </w:tc>
        <w:tc>
          <w:tcPr>
            <w:tcW w:w="3394" w:type="dxa"/>
          </w:tcPr>
          <w:p w14:paraId="159A460C" w14:textId="77777777" w:rsidR="00E67F89" w:rsidRPr="00E67F89" w:rsidRDefault="00E67F89" w:rsidP="00E67F89">
            <w:r w:rsidRPr="00E67F89">
              <w:t>Les projets peuvent prévoir le recours aux travailleurs communautaires dans un certain nombre de situations différentes, y compris lorsque la main-</w:t>
            </w:r>
            <w:r w:rsidRPr="00E67F89">
              <w:lastRenderedPageBreak/>
              <w:t>d’œuvre est fournie par la communauté sous forme de contribution au projet ou lorsque des projets sont conçus et réalisés dans le but de favoriser le développement communautaire, en assurant un filet de sécurité sociale ou une assistance ciblée dans les situations de fragilité et de conflit.</w:t>
            </w:r>
          </w:p>
          <w:p w14:paraId="5A7E000B" w14:textId="77777777" w:rsidR="00E67F89" w:rsidRPr="00E67F89" w:rsidRDefault="00E67F89" w:rsidP="00E67F89">
            <w:r w:rsidRPr="00E67F89">
              <w:t>Compte tenu de la nature et des objectifs de ces projets, l’application de toutes les exigences de la NES n°2 est susceptible de ne pas être appropriée.</w:t>
            </w:r>
          </w:p>
        </w:tc>
        <w:tc>
          <w:tcPr>
            <w:tcW w:w="1701" w:type="dxa"/>
          </w:tcPr>
          <w:p w14:paraId="2ED47CFD" w14:textId="77777777" w:rsidR="00E67F89" w:rsidRPr="00E67F89" w:rsidRDefault="00E67F89" w:rsidP="00E67F89">
            <w:r w:rsidRPr="00E67F89">
              <w:lastRenderedPageBreak/>
              <w:t>Art.40 Loi n°2016-055 du</w:t>
            </w:r>
          </w:p>
          <w:p w14:paraId="28CBCB55" w14:textId="77777777" w:rsidR="00E67F89" w:rsidRPr="00E67F89" w:rsidRDefault="00E67F89" w:rsidP="00E67F89">
            <w:r w:rsidRPr="00E67F89">
              <w:t xml:space="preserve">25 janvier 2017 portant Code </w:t>
            </w:r>
            <w:r w:rsidRPr="00E67F89">
              <w:lastRenderedPageBreak/>
              <w:t>des Marchés Publics</w:t>
            </w:r>
          </w:p>
        </w:tc>
        <w:tc>
          <w:tcPr>
            <w:tcW w:w="3261" w:type="dxa"/>
          </w:tcPr>
          <w:p w14:paraId="2D44320E" w14:textId="77777777" w:rsidR="00E67F89" w:rsidRPr="00E67F89" w:rsidRDefault="00E67F89" w:rsidP="00E67F89">
            <w:r w:rsidRPr="00E67F89">
              <w:lastRenderedPageBreak/>
              <w:t>Participation communautaire</w:t>
            </w:r>
          </w:p>
          <w:p w14:paraId="2C410314" w14:textId="77777777" w:rsidR="00E67F89" w:rsidRPr="00E67F89" w:rsidRDefault="00E67F89" w:rsidP="00E67F89">
            <w:r w:rsidRPr="00E67F89">
              <w:t xml:space="preserve">Lorsque la participation de personnes ou d’associations informelles ou de bénéficiaires </w:t>
            </w:r>
            <w:r w:rsidRPr="00E67F89">
              <w:lastRenderedPageBreak/>
              <w:t>futurs des prestations constitue un élément nécessaire au succès du projet, une telle participation est régie par un manuel de procédures préparé avec le concours de l’Autorité de Régulation des Marchés Publics.</w:t>
            </w:r>
          </w:p>
          <w:p w14:paraId="551FCE63" w14:textId="77777777" w:rsidR="00E67F89" w:rsidRPr="00E67F89" w:rsidRDefault="00E67F89" w:rsidP="00E67F89">
            <w:r w:rsidRPr="00E67F89">
              <w:t>De manière générale, la participation communautaire se manifeste sous deux formes :</w:t>
            </w:r>
          </w:p>
          <w:p w14:paraId="403D87AD" w14:textId="77777777" w:rsidR="00E67F89" w:rsidRPr="00E67F89" w:rsidRDefault="00E67F89" w:rsidP="00E67F89">
            <w:r w:rsidRPr="00E67F89">
              <w:t>Participation inclusive des communautés, groupements ou Organisations</w:t>
            </w:r>
            <w:r w:rsidRPr="00E67F89">
              <w:tab/>
              <w:t>Non Gouvernementales en tant que maître de l’ouvrage, agence d’exécution ou acheteur. Leur intervention est effective dès la détermination des besoins jusqu’à l’exécution des prestations en passant par l’attribution du marché;</w:t>
            </w:r>
          </w:p>
          <w:p w14:paraId="138ADE47" w14:textId="77777777" w:rsidR="00E67F89" w:rsidRPr="00E67F89" w:rsidRDefault="00E67F89" w:rsidP="00E67F89">
            <w:r w:rsidRPr="00E67F89">
              <w:t xml:space="preserve">Participation partielle de communautés ou groupement, </w:t>
            </w:r>
            <w:r w:rsidRPr="00E67F89">
              <w:lastRenderedPageBreak/>
              <w:t>en tant que prestataires. C'est la contribution directe des communautés dans l’exécution même de prestations, le plus souvent sous forme de prestations à fort coefficient de main-d’œuvre non spécialisé tels que la Haute Intensité de Main d’œuvre et le tâcheronnat.</w:t>
            </w:r>
          </w:p>
        </w:tc>
        <w:tc>
          <w:tcPr>
            <w:tcW w:w="4393" w:type="dxa"/>
          </w:tcPr>
          <w:p w14:paraId="517E08E2" w14:textId="77777777" w:rsidR="00E67F89" w:rsidRPr="00E67F89" w:rsidRDefault="00E67F89" w:rsidP="00E67F89"/>
        </w:tc>
      </w:tr>
      <w:tr w:rsidR="00E67F89" w:rsidRPr="00E67F89" w14:paraId="2435677C" w14:textId="77777777" w:rsidTr="00223F64">
        <w:tc>
          <w:tcPr>
            <w:tcW w:w="1377" w:type="dxa"/>
          </w:tcPr>
          <w:p w14:paraId="69D9761A" w14:textId="77777777" w:rsidR="00E67F89" w:rsidRPr="00E67F89" w:rsidRDefault="00E67F89" w:rsidP="00E67F89"/>
        </w:tc>
        <w:tc>
          <w:tcPr>
            <w:tcW w:w="1426" w:type="dxa"/>
          </w:tcPr>
          <w:p w14:paraId="5694A560" w14:textId="77777777" w:rsidR="00E67F89" w:rsidRPr="00E67F89" w:rsidRDefault="00E67F89" w:rsidP="00E67F89"/>
        </w:tc>
        <w:tc>
          <w:tcPr>
            <w:tcW w:w="3394" w:type="dxa"/>
          </w:tcPr>
          <w:p w14:paraId="1F993D3A" w14:textId="77777777" w:rsidR="00E67F89" w:rsidRPr="00E67F89" w:rsidRDefault="00E67F89" w:rsidP="00E67F89">
            <w:r w:rsidRPr="00E67F89">
              <w:t>Dans toutes ces situations, l’Emprunteur devra mettre en œuvre des mesures pour vérifier si ce travail est ou sera fourni sur une base volontaire, à l’issue d’un accord individuel ou communautaire.</w:t>
            </w:r>
          </w:p>
        </w:tc>
        <w:tc>
          <w:tcPr>
            <w:tcW w:w="1701" w:type="dxa"/>
          </w:tcPr>
          <w:p w14:paraId="54CE9C62" w14:textId="77777777" w:rsidR="00E67F89" w:rsidRPr="00E67F89" w:rsidRDefault="00E67F89" w:rsidP="00E67F89">
            <w:r w:rsidRPr="00E67F89">
              <w:t>N/P</w:t>
            </w:r>
          </w:p>
        </w:tc>
        <w:tc>
          <w:tcPr>
            <w:tcW w:w="3261" w:type="dxa"/>
          </w:tcPr>
          <w:p w14:paraId="15522BED" w14:textId="77777777" w:rsidR="00E67F89" w:rsidRPr="00E67F89" w:rsidRDefault="00E67F89" w:rsidP="00E67F89">
            <w:r w:rsidRPr="00E67F89">
              <w:t>Les textes ne prévoient pas ces points.</w:t>
            </w:r>
          </w:p>
        </w:tc>
        <w:tc>
          <w:tcPr>
            <w:tcW w:w="4393" w:type="dxa"/>
          </w:tcPr>
          <w:p w14:paraId="0C6BF227" w14:textId="77777777" w:rsidR="00E67F89" w:rsidRPr="00E67F89" w:rsidRDefault="00E67F89" w:rsidP="00E67F89">
            <w:r w:rsidRPr="00E67F89">
              <w:t>Les exigences de la NES n°2 sont des dispositions plus favorables pour les travailleurs. Elles ne sont pas contraires aux textes malagasy.</w:t>
            </w:r>
          </w:p>
        </w:tc>
      </w:tr>
      <w:tr w:rsidR="00E67F89" w:rsidRPr="00E67F89" w14:paraId="714D2BF5" w14:textId="77777777" w:rsidTr="00223F64">
        <w:tc>
          <w:tcPr>
            <w:tcW w:w="1377" w:type="dxa"/>
          </w:tcPr>
          <w:p w14:paraId="2FCFC50F" w14:textId="77777777" w:rsidR="00E67F89" w:rsidRPr="00E67F89" w:rsidRDefault="00E67F89" w:rsidP="00E67F89">
            <w:r w:rsidRPr="00E67F89">
              <w:t>Procédures de gestion des travailleurs communautaires</w:t>
            </w:r>
          </w:p>
        </w:tc>
        <w:tc>
          <w:tcPr>
            <w:tcW w:w="1426" w:type="dxa"/>
          </w:tcPr>
          <w:p w14:paraId="50C78F17" w14:textId="77777777" w:rsidR="00E67F89" w:rsidRPr="00E67F89" w:rsidRDefault="00E67F89" w:rsidP="00E67F89">
            <w:r w:rsidRPr="00E67F89">
              <w:t>35</w:t>
            </w:r>
          </w:p>
        </w:tc>
        <w:tc>
          <w:tcPr>
            <w:tcW w:w="3394" w:type="dxa"/>
          </w:tcPr>
          <w:p w14:paraId="12C93981" w14:textId="77777777" w:rsidR="00E67F89" w:rsidRPr="00E67F89" w:rsidRDefault="00E67F89" w:rsidP="00E67F89">
            <w:r w:rsidRPr="00E67F89">
              <w:t xml:space="preserve">Par conséquent, lorsque le projet comprend la fourniture de la main-d’œuvre par les travailleurs communautaires, l’Emprunteur appliquera les dispositions pertinentes de la présente NES </w:t>
            </w:r>
            <w:r w:rsidRPr="00E67F89">
              <w:lastRenderedPageBreak/>
              <w:t>d’une manière qui reflète et est proportionnelle:</w:t>
            </w:r>
          </w:p>
          <w:p w14:paraId="4CAFBCAA" w14:textId="77777777" w:rsidR="00E67F89" w:rsidRPr="00E67F89" w:rsidRDefault="00E67F89" w:rsidP="00E67F89">
            <w:r w:rsidRPr="00E67F89">
              <w:t>à la nature et la portée du projet;</w:t>
            </w:r>
          </w:p>
          <w:p w14:paraId="0CE5A572" w14:textId="77777777" w:rsidR="00E67F89" w:rsidRPr="00E67F89" w:rsidRDefault="00E67F89" w:rsidP="00E67F89">
            <w:r w:rsidRPr="00E67F89">
              <w:t>aux activités spécifiques du projet auxquelles participent les travailleurs communautaires ;et</w:t>
            </w:r>
          </w:p>
          <w:p w14:paraId="6108B82A" w14:textId="77777777" w:rsidR="00E67F89" w:rsidRPr="00E67F89" w:rsidRDefault="00E67F89" w:rsidP="00E67F89">
            <w:r w:rsidRPr="00E67F89">
              <w:t>à la nature des risques et des impacts potentiels pour les travailleurs communautaires.</w:t>
            </w:r>
          </w:p>
          <w:p w14:paraId="268E147A" w14:textId="77777777" w:rsidR="00E67F89" w:rsidRPr="00E67F89" w:rsidRDefault="00E67F89" w:rsidP="00E67F89">
            <w:r w:rsidRPr="00E67F89">
              <w:t>Les paragraphes 9 à 15 (Conditions de travail) et les paragraphes 24 à 30 (Santé et sécurité au travail) seront évalués en fonction du travail communautaire et seront appliqués d’une manière qui reflète les alinéas (a) à ci-dessus.</w:t>
            </w:r>
          </w:p>
          <w:p w14:paraId="33B45168" w14:textId="77777777" w:rsidR="00E67F89" w:rsidRPr="00E67F89" w:rsidRDefault="00E67F89" w:rsidP="00E67F89">
            <w:r w:rsidRPr="00E67F89">
              <w:t>La manière dont ces exigences s’appliqueront dans le cadre du projet sera définie dans les procédures de gestion du personnel.</w:t>
            </w:r>
          </w:p>
        </w:tc>
        <w:tc>
          <w:tcPr>
            <w:tcW w:w="1701" w:type="dxa"/>
          </w:tcPr>
          <w:p w14:paraId="27A3C864" w14:textId="77777777" w:rsidR="00E67F89" w:rsidRPr="00E67F89" w:rsidRDefault="00E67F89" w:rsidP="00E67F89">
            <w:r w:rsidRPr="00E67F89">
              <w:lastRenderedPageBreak/>
              <w:t>N/P</w:t>
            </w:r>
          </w:p>
        </w:tc>
        <w:tc>
          <w:tcPr>
            <w:tcW w:w="3261" w:type="dxa"/>
          </w:tcPr>
          <w:p w14:paraId="514B745A" w14:textId="77777777" w:rsidR="00E67F89" w:rsidRPr="00E67F89" w:rsidRDefault="00E67F89" w:rsidP="00E67F89">
            <w:r w:rsidRPr="00E67F89">
              <w:t>Les textes ne prévoient pas ces points.</w:t>
            </w:r>
          </w:p>
        </w:tc>
        <w:tc>
          <w:tcPr>
            <w:tcW w:w="4393" w:type="dxa"/>
          </w:tcPr>
          <w:p w14:paraId="56BB7A3C" w14:textId="77777777" w:rsidR="00E67F89" w:rsidRPr="00E67F89" w:rsidRDefault="00E67F89" w:rsidP="00E67F89">
            <w:r w:rsidRPr="00E67F89">
              <w:t>Les exigences de la NES n°2 sont des dispositions plus favorables pour les travailleurs. Elles ne sont pas contraires aux textes malagasy.</w:t>
            </w:r>
          </w:p>
        </w:tc>
      </w:tr>
      <w:tr w:rsidR="00E67F89" w:rsidRPr="00E67F89" w14:paraId="4CA843F1" w14:textId="77777777" w:rsidTr="00223F64">
        <w:tc>
          <w:tcPr>
            <w:tcW w:w="1377" w:type="dxa"/>
          </w:tcPr>
          <w:p w14:paraId="389C3FE1" w14:textId="77777777" w:rsidR="00E67F89" w:rsidRPr="00E67F89" w:rsidRDefault="00E67F89" w:rsidP="00E67F89">
            <w:r w:rsidRPr="00E67F89">
              <w:lastRenderedPageBreak/>
              <w:t>Contenus minima de procédures de gestion du travail des travailleurs communautaires</w:t>
            </w:r>
          </w:p>
        </w:tc>
        <w:tc>
          <w:tcPr>
            <w:tcW w:w="1426" w:type="dxa"/>
          </w:tcPr>
          <w:p w14:paraId="5D4B678A" w14:textId="77777777" w:rsidR="00E67F89" w:rsidRPr="00E67F89" w:rsidRDefault="00E67F89" w:rsidP="00E67F89">
            <w:r w:rsidRPr="00E67F89">
              <w:t>36</w:t>
            </w:r>
          </w:p>
        </w:tc>
        <w:tc>
          <w:tcPr>
            <w:tcW w:w="3394" w:type="dxa"/>
          </w:tcPr>
          <w:p w14:paraId="30CFF9F1" w14:textId="77777777" w:rsidR="00E67F89" w:rsidRPr="00E67F89" w:rsidRDefault="00E67F89" w:rsidP="00E67F89">
            <w:r w:rsidRPr="00E67F89">
              <w:t>Pendant la préparation des procédures de gestion du travail, l’Emprunteur déterminera clairement</w:t>
            </w:r>
          </w:p>
          <w:p w14:paraId="35B4601A" w14:textId="77777777" w:rsidR="00E67F89" w:rsidRPr="00E67F89" w:rsidRDefault="00E67F89" w:rsidP="00E67F89">
            <w:r w:rsidRPr="00E67F89">
              <w:t>- les modalités et les conditions de recrutement de la main-d’œuvre communautaire, y compris le montant et le mode de paiement (le cas échéant) et les périodes de travail.</w:t>
            </w:r>
          </w:p>
          <w:p w14:paraId="63D79F35" w14:textId="77777777" w:rsidR="00E67F89" w:rsidRPr="00E67F89" w:rsidRDefault="00E67F89" w:rsidP="00E67F89">
            <w:r w:rsidRPr="00E67F89">
              <w:t>Les procédures de gestion du travail préciseront également</w:t>
            </w:r>
          </w:p>
          <w:p w14:paraId="6203A552" w14:textId="77777777" w:rsidR="00E67F89" w:rsidRPr="00E67F89" w:rsidRDefault="00E67F89" w:rsidP="00E67F89">
            <w:r w:rsidRPr="00E67F89">
              <w:t>- la façon dont les travailleurs communautaires peuvent faire connaître leurs plaintes liées au projet.</w:t>
            </w:r>
          </w:p>
          <w:p w14:paraId="40EA184D" w14:textId="77777777" w:rsidR="00E67F89" w:rsidRPr="00E67F89" w:rsidRDefault="00E67F89" w:rsidP="00E67F89">
            <w:r w:rsidRPr="00E67F89">
              <w:t>L’Emprunteur évaluera les risques et les impacts potentiels des activités, qui doivent être effectuées par les travailleurs communautaires, et appliquera au minimum</w:t>
            </w:r>
          </w:p>
          <w:p w14:paraId="6FB30FD2" w14:textId="77777777" w:rsidR="00E67F89" w:rsidRPr="00E67F89" w:rsidRDefault="00E67F89" w:rsidP="00E67F89">
            <w:r w:rsidRPr="00E67F89">
              <w:lastRenderedPageBreak/>
              <w:t>les exigences pertinentes des référentiels techniques ESS généraux et</w:t>
            </w:r>
          </w:p>
          <w:p w14:paraId="4372E0ED" w14:textId="77777777" w:rsidR="00E67F89" w:rsidRPr="00E67F89" w:rsidRDefault="00E67F89" w:rsidP="00E67F89">
            <w:r w:rsidRPr="00E67F89">
              <w:t>ceux spécifiques au secteur du projet</w:t>
            </w:r>
          </w:p>
        </w:tc>
        <w:tc>
          <w:tcPr>
            <w:tcW w:w="1701" w:type="dxa"/>
          </w:tcPr>
          <w:p w14:paraId="292BC4D5" w14:textId="77777777" w:rsidR="00E67F89" w:rsidRPr="00E67F89" w:rsidRDefault="00E67F89" w:rsidP="00E67F89">
            <w:r w:rsidRPr="00E67F89">
              <w:lastRenderedPageBreak/>
              <w:t>N/P</w:t>
            </w:r>
          </w:p>
        </w:tc>
        <w:tc>
          <w:tcPr>
            <w:tcW w:w="3261" w:type="dxa"/>
          </w:tcPr>
          <w:p w14:paraId="0F2AE5F7" w14:textId="77777777" w:rsidR="00E67F89" w:rsidRPr="00E67F89" w:rsidRDefault="00E67F89" w:rsidP="00E67F89">
            <w:r w:rsidRPr="00E67F89">
              <w:t>Les textes ne prévoient pas ces points.</w:t>
            </w:r>
          </w:p>
        </w:tc>
        <w:tc>
          <w:tcPr>
            <w:tcW w:w="4393" w:type="dxa"/>
          </w:tcPr>
          <w:p w14:paraId="7BC4EC40" w14:textId="77777777" w:rsidR="00E67F89" w:rsidRPr="00E67F89" w:rsidRDefault="00E67F89" w:rsidP="00E67F89">
            <w:r w:rsidRPr="00E67F89">
              <w:t>Les exigences de la NES n°2 sont des dispositions plus favorables pour les travailleurs. Elles ne sont pas contraires aux textes malagasy.</w:t>
            </w:r>
          </w:p>
        </w:tc>
      </w:tr>
      <w:tr w:rsidR="00E67F89" w:rsidRPr="00E67F89" w14:paraId="06471E38" w14:textId="77777777" w:rsidTr="00223F64">
        <w:tc>
          <w:tcPr>
            <w:tcW w:w="1377" w:type="dxa"/>
          </w:tcPr>
          <w:p w14:paraId="6E435595" w14:textId="77777777" w:rsidR="00E67F89" w:rsidRPr="00E67F89" w:rsidRDefault="00E67F89" w:rsidP="00E67F89">
            <w:r w:rsidRPr="00E67F89">
              <w:t>Cas d’emploi des enfants ou de travail forcé dans le travail communautaire</w:t>
            </w:r>
          </w:p>
        </w:tc>
        <w:tc>
          <w:tcPr>
            <w:tcW w:w="1426" w:type="dxa"/>
          </w:tcPr>
          <w:p w14:paraId="28371796" w14:textId="77777777" w:rsidR="00E67F89" w:rsidRPr="00E67F89" w:rsidRDefault="00E67F89" w:rsidP="00E67F89">
            <w:r w:rsidRPr="00E67F89">
              <w:t>37</w:t>
            </w:r>
          </w:p>
        </w:tc>
        <w:tc>
          <w:tcPr>
            <w:tcW w:w="3394" w:type="dxa"/>
          </w:tcPr>
          <w:p w14:paraId="6490A30B" w14:textId="77777777" w:rsidR="00E67F89" w:rsidRPr="00E67F89" w:rsidRDefault="00E67F89" w:rsidP="00E67F89">
            <w:r w:rsidRPr="00E67F89">
              <w:t>L’Emprunteur évaluera s’il existe un risque de travail des enfants ou de travail forcé dans le travail communautaire ; en identifiant les risques conformément aux paragraphes 17 à 20 ci-dessus.</w:t>
            </w:r>
          </w:p>
          <w:p w14:paraId="1BCBB6C3" w14:textId="77777777" w:rsidR="00E67F89" w:rsidRPr="00E67F89" w:rsidRDefault="00E67F89" w:rsidP="00E67F89">
            <w:r w:rsidRPr="00E67F89">
              <w:t>Les procédures en matière de gestion des ressources humaines décriront les rôles et les responsabilités visant à surveiller les travailleurs communautaires.</w:t>
            </w:r>
          </w:p>
          <w:p w14:paraId="712F218A" w14:textId="77777777" w:rsidR="00E67F89" w:rsidRPr="00E67F89" w:rsidRDefault="00E67F89" w:rsidP="00E67F89">
            <w:r w:rsidRPr="00E67F89">
              <w:t>Lorsque des situations de travail des enfants ou de travail forcé sont identifiées, l’Emprunteur prendra des mesures appropriées pour y remédier</w:t>
            </w:r>
          </w:p>
        </w:tc>
        <w:tc>
          <w:tcPr>
            <w:tcW w:w="1701" w:type="dxa"/>
          </w:tcPr>
          <w:p w14:paraId="3826AF02" w14:textId="77777777" w:rsidR="00E67F89" w:rsidRPr="00E67F89" w:rsidRDefault="00E67F89" w:rsidP="00E67F89">
            <w:r w:rsidRPr="00E67F89">
              <w:t>N/P</w:t>
            </w:r>
          </w:p>
        </w:tc>
        <w:tc>
          <w:tcPr>
            <w:tcW w:w="3261" w:type="dxa"/>
          </w:tcPr>
          <w:p w14:paraId="3F14AD94" w14:textId="77777777" w:rsidR="00E67F89" w:rsidRPr="00E67F89" w:rsidRDefault="00E67F89" w:rsidP="00E67F89">
            <w:r w:rsidRPr="00E67F89">
              <w:t>Les textes ne prévoient pas ces points.</w:t>
            </w:r>
          </w:p>
        </w:tc>
        <w:tc>
          <w:tcPr>
            <w:tcW w:w="4393" w:type="dxa"/>
          </w:tcPr>
          <w:p w14:paraId="1753D60B" w14:textId="77777777" w:rsidR="00E67F89" w:rsidRPr="00E67F89" w:rsidRDefault="00E67F89" w:rsidP="00E67F89">
            <w:r w:rsidRPr="00E67F89">
              <w:t>Les exigences de la NES n°2 sont des dispositions plus favorables pour les travailleurs. Elles ne sont pas contraires aux textes malagasy.</w:t>
            </w:r>
          </w:p>
        </w:tc>
      </w:tr>
      <w:tr w:rsidR="00E67F89" w:rsidRPr="00E67F89" w14:paraId="19152593" w14:textId="77777777" w:rsidTr="00223F64">
        <w:tc>
          <w:tcPr>
            <w:tcW w:w="1377" w:type="dxa"/>
          </w:tcPr>
          <w:p w14:paraId="715F02FD" w14:textId="77777777" w:rsidR="00E67F89" w:rsidRPr="00E67F89" w:rsidRDefault="00E67F89" w:rsidP="00E67F89">
            <w:r w:rsidRPr="00E67F89">
              <w:lastRenderedPageBreak/>
              <w:t>Système d’examen des procédures de gestion de travailleurs communautaires</w:t>
            </w:r>
          </w:p>
        </w:tc>
        <w:tc>
          <w:tcPr>
            <w:tcW w:w="1426" w:type="dxa"/>
          </w:tcPr>
          <w:p w14:paraId="65028A09" w14:textId="77777777" w:rsidR="00E67F89" w:rsidRPr="00E67F89" w:rsidRDefault="00E67F89" w:rsidP="00E67F89">
            <w:r w:rsidRPr="00E67F89">
              <w:t>38</w:t>
            </w:r>
          </w:p>
        </w:tc>
        <w:tc>
          <w:tcPr>
            <w:tcW w:w="3394" w:type="dxa"/>
          </w:tcPr>
          <w:p w14:paraId="2D766B4A" w14:textId="77777777" w:rsidR="00E67F89" w:rsidRPr="00E67F89" w:rsidRDefault="00E67F89" w:rsidP="00E67F89">
            <w:r w:rsidRPr="00E67F89">
              <w:t>Le système d’examen établi, conformément au paragraphe 30 :</w:t>
            </w:r>
          </w:p>
          <w:p w14:paraId="32FEBE90" w14:textId="77777777" w:rsidR="00E67F89" w:rsidRPr="00E67F89" w:rsidRDefault="00E67F89" w:rsidP="00E67F89">
            <w:r w:rsidRPr="00E67F89">
              <w:t>tiendra compte de la mise à disposition de main-d’œuvre par les travailleurs communautaires dans le projet, et</w:t>
            </w:r>
          </w:p>
          <w:p w14:paraId="71E17B7E" w14:textId="77777777" w:rsidR="00E67F89" w:rsidRPr="00E67F89" w:rsidRDefault="00E67F89" w:rsidP="00E67F89">
            <w:r w:rsidRPr="00E67F89">
              <w:t>devra assurer qu’une formation adéquate, adaptée à leurs besoins particuliers et aux risques et impacts potentiels du projet, sera dispensée à ces travailleurs.</w:t>
            </w:r>
          </w:p>
        </w:tc>
        <w:tc>
          <w:tcPr>
            <w:tcW w:w="1701" w:type="dxa"/>
          </w:tcPr>
          <w:p w14:paraId="724B812A" w14:textId="77777777" w:rsidR="00E67F89" w:rsidRPr="00E67F89" w:rsidRDefault="00E67F89" w:rsidP="00E67F89">
            <w:r w:rsidRPr="00E67F89">
              <w:t>N/P</w:t>
            </w:r>
          </w:p>
        </w:tc>
        <w:tc>
          <w:tcPr>
            <w:tcW w:w="3261" w:type="dxa"/>
          </w:tcPr>
          <w:p w14:paraId="55A713C7" w14:textId="77777777" w:rsidR="00E67F89" w:rsidRPr="00E67F89" w:rsidRDefault="00E67F89" w:rsidP="00E67F89">
            <w:r w:rsidRPr="00E67F89">
              <w:t>Les textes ne prévoient pas ces points.</w:t>
            </w:r>
          </w:p>
        </w:tc>
        <w:tc>
          <w:tcPr>
            <w:tcW w:w="4393" w:type="dxa"/>
          </w:tcPr>
          <w:p w14:paraId="05AEAC50" w14:textId="77777777" w:rsidR="00E67F89" w:rsidRPr="00E67F89" w:rsidRDefault="00E67F89" w:rsidP="00E67F89">
            <w:r w:rsidRPr="00E67F89">
              <w:t>Les exigences de la NES n°2 sont des dispositions plus favorables pour les travailleurs. Elles ne sont pas contraires aux textes malagasy.</w:t>
            </w:r>
          </w:p>
        </w:tc>
      </w:tr>
      <w:tr w:rsidR="00E67F89" w:rsidRPr="00E67F89" w14:paraId="06B7EF66" w14:textId="77777777" w:rsidTr="00223F64">
        <w:tc>
          <w:tcPr>
            <w:tcW w:w="15552" w:type="dxa"/>
            <w:gridSpan w:val="6"/>
          </w:tcPr>
          <w:p w14:paraId="5B4F27D5" w14:textId="77777777" w:rsidR="00E67F89" w:rsidRPr="00E67F89" w:rsidRDefault="00E67F89" w:rsidP="00E67F89">
            <w:r w:rsidRPr="00E67F89">
              <w:t>G. TRAVAILLEURS DE LA CHAINE D’APPROVISIONNEMENT</w:t>
            </w:r>
          </w:p>
        </w:tc>
      </w:tr>
      <w:tr w:rsidR="00E67F89" w:rsidRPr="00E67F89" w14:paraId="20830F3D" w14:textId="77777777" w:rsidTr="00223F64">
        <w:tc>
          <w:tcPr>
            <w:tcW w:w="1377" w:type="dxa"/>
          </w:tcPr>
          <w:p w14:paraId="5967C770" w14:textId="77777777" w:rsidR="00E67F89" w:rsidRPr="00E67F89" w:rsidRDefault="00E67F89" w:rsidP="00E67F89">
            <w:r w:rsidRPr="00E67F89">
              <w:t xml:space="preserve">Identification des risques potentiels de travail d’enfants, de travail forcé et des questions de sécurité </w:t>
            </w:r>
            <w:r w:rsidRPr="00E67F89">
              <w:lastRenderedPageBreak/>
              <w:t>graves pour les travailleurs de</w:t>
            </w:r>
            <w:r w:rsidRPr="00E67F89">
              <w:tab/>
              <w:t>la</w:t>
            </w:r>
            <w:r w:rsidRPr="00E67F89">
              <w:tab/>
              <w:t>chaîne</w:t>
            </w:r>
          </w:p>
          <w:p w14:paraId="7D5AF40B" w14:textId="77777777" w:rsidR="00E67F89" w:rsidRPr="00E67F89" w:rsidRDefault="00E67F89" w:rsidP="00E67F89">
            <w:r w:rsidRPr="00E67F89">
              <w:t>d’approvisionnement</w:t>
            </w:r>
          </w:p>
        </w:tc>
        <w:tc>
          <w:tcPr>
            <w:tcW w:w="1426" w:type="dxa"/>
          </w:tcPr>
          <w:p w14:paraId="25513A77" w14:textId="77777777" w:rsidR="00E67F89" w:rsidRPr="00E67F89" w:rsidRDefault="00E67F89" w:rsidP="00E67F89">
            <w:r w:rsidRPr="00E67F89">
              <w:lastRenderedPageBreak/>
              <w:t>39</w:t>
            </w:r>
          </w:p>
        </w:tc>
        <w:tc>
          <w:tcPr>
            <w:tcW w:w="3394" w:type="dxa"/>
          </w:tcPr>
          <w:p w14:paraId="383CB36F" w14:textId="77777777" w:rsidR="00E67F89" w:rsidRPr="00E67F89" w:rsidRDefault="00E67F89" w:rsidP="00E67F89">
            <w:r w:rsidRPr="00E67F89">
              <w:t>Dans le cadre de l’évaluation environnementale et sociale, l’Emprunteur devra identifier les risques potentiels de travail des enfants, de travail forcé, ainsi que les questions de sécurité graves pouvant survenir en lien avec les fournisseurs primaires</w:t>
            </w:r>
          </w:p>
        </w:tc>
        <w:tc>
          <w:tcPr>
            <w:tcW w:w="1701" w:type="dxa"/>
          </w:tcPr>
          <w:p w14:paraId="0BBC78C0" w14:textId="77777777" w:rsidR="00E67F89" w:rsidRPr="00E67F89" w:rsidRDefault="00E67F89" w:rsidP="00E67F89">
            <w:r w:rsidRPr="00E67F89">
              <w:t>N/P</w:t>
            </w:r>
          </w:p>
        </w:tc>
        <w:tc>
          <w:tcPr>
            <w:tcW w:w="3261" w:type="dxa"/>
          </w:tcPr>
          <w:p w14:paraId="587125E8" w14:textId="77777777" w:rsidR="00E67F89" w:rsidRPr="00E67F89" w:rsidRDefault="00E67F89" w:rsidP="00E67F89">
            <w:r w:rsidRPr="00E67F89">
              <w:t>Les textes ne prévoient pas ces points.</w:t>
            </w:r>
          </w:p>
        </w:tc>
        <w:tc>
          <w:tcPr>
            <w:tcW w:w="4393" w:type="dxa"/>
          </w:tcPr>
          <w:p w14:paraId="07C80C0D" w14:textId="77777777" w:rsidR="00E67F89" w:rsidRPr="00E67F89" w:rsidRDefault="00E67F89" w:rsidP="00E67F89">
            <w:r w:rsidRPr="00E67F89">
              <w:t>Les exigences de la NES n°2 sont des dispositions plus favorables pour les travailleurs. Elles ne sont pas contraires aux textes malagasy.</w:t>
            </w:r>
          </w:p>
        </w:tc>
      </w:tr>
      <w:tr w:rsidR="00E67F89" w:rsidRPr="00E67F89" w14:paraId="503AAA4D" w14:textId="77777777" w:rsidTr="00223F64">
        <w:tc>
          <w:tcPr>
            <w:tcW w:w="1377" w:type="dxa"/>
          </w:tcPr>
          <w:p w14:paraId="5EEC59B2" w14:textId="77777777" w:rsidR="00E67F89" w:rsidRPr="00E67F89" w:rsidRDefault="00E67F89" w:rsidP="00E67F89">
            <w:r w:rsidRPr="00E67F89">
              <w:t>Mesures et procédures en matière de gestion de ressources humaines des fournisseurs primaires</w:t>
            </w:r>
          </w:p>
        </w:tc>
        <w:tc>
          <w:tcPr>
            <w:tcW w:w="1426" w:type="dxa"/>
          </w:tcPr>
          <w:p w14:paraId="2C39E6E5" w14:textId="77777777" w:rsidR="00E67F89" w:rsidRPr="00E67F89" w:rsidRDefault="00E67F89" w:rsidP="00E67F89">
            <w:r w:rsidRPr="00E67F89">
              <w:t>40</w:t>
            </w:r>
          </w:p>
        </w:tc>
        <w:tc>
          <w:tcPr>
            <w:tcW w:w="3394" w:type="dxa"/>
          </w:tcPr>
          <w:p w14:paraId="445BA1E1" w14:textId="77777777" w:rsidR="00E67F89" w:rsidRPr="00E67F89" w:rsidRDefault="00E67F89" w:rsidP="00E67F89">
            <w:r w:rsidRPr="00E67F89">
              <w:t>Lorsqu’il existe un risque important de travail des enfants ou de travail forcé lié aux employés des fournisseurs primaires, l’Emprunteur devra exiger du fournisseur primaire qu’il identifie ces risques, conformément aux paragraphes 17 à 20 ci-dessus.</w:t>
            </w:r>
          </w:p>
          <w:p w14:paraId="0A5E018B" w14:textId="77777777" w:rsidR="00E67F89" w:rsidRPr="00E67F89" w:rsidRDefault="00E67F89" w:rsidP="00E67F89">
            <w:r w:rsidRPr="00E67F89">
              <w:t>Les procédures en matière de gestion des ressources humaines décriront les rôles et les responsabilités visant à surveiller les fournisseurs primaires.</w:t>
            </w:r>
          </w:p>
          <w:p w14:paraId="536DEBF0" w14:textId="77777777" w:rsidR="00E67F89" w:rsidRPr="00E67F89" w:rsidRDefault="00E67F89" w:rsidP="00E67F89">
            <w:r w:rsidRPr="00E67F89">
              <w:lastRenderedPageBreak/>
              <w:t>Lorsque des situations de travail des enfants ou de travail forcé sont identifiées, l’Emprunteur exigera du fournisseur primaire qu’il prenne des mesures appropriées pour y remédier.</w:t>
            </w:r>
          </w:p>
        </w:tc>
        <w:tc>
          <w:tcPr>
            <w:tcW w:w="1701" w:type="dxa"/>
          </w:tcPr>
          <w:p w14:paraId="3B014A1A" w14:textId="77777777" w:rsidR="00E67F89" w:rsidRPr="00E67F89" w:rsidRDefault="00E67F89" w:rsidP="00E67F89">
            <w:r w:rsidRPr="00E67F89">
              <w:lastRenderedPageBreak/>
              <w:t>N/P</w:t>
            </w:r>
          </w:p>
        </w:tc>
        <w:tc>
          <w:tcPr>
            <w:tcW w:w="3261" w:type="dxa"/>
          </w:tcPr>
          <w:p w14:paraId="3B84A136" w14:textId="77777777" w:rsidR="00E67F89" w:rsidRPr="00E67F89" w:rsidRDefault="00E67F89" w:rsidP="00E67F89">
            <w:r w:rsidRPr="00E67F89">
              <w:t>Les textes ne prévoient pas ces points.</w:t>
            </w:r>
          </w:p>
        </w:tc>
        <w:tc>
          <w:tcPr>
            <w:tcW w:w="4393" w:type="dxa"/>
          </w:tcPr>
          <w:p w14:paraId="6A295F52" w14:textId="77777777" w:rsidR="00E67F89" w:rsidRPr="00E67F89" w:rsidRDefault="00E67F89" w:rsidP="00E67F89">
            <w:r w:rsidRPr="00E67F89">
              <w:t>Les exigences de la NES n°2 sont des dispositions plus favorables pour les travailleurs. Elles ne sont pas contraires aux textes malagasy.</w:t>
            </w:r>
          </w:p>
        </w:tc>
      </w:tr>
      <w:tr w:rsidR="00E67F89" w:rsidRPr="00E67F89" w14:paraId="40FD67C3" w14:textId="77777777" w:rsidTr="00223F64">
        <w:tc>
          <w:tcPr>
            <w:tcW w:w="1377" w:type="dxa"/>
          </w:tcPr>
          <w:p w14:paraId="75A419D2" w14:textId="77777777" w:rsidR="00E67F89" w:rsidRPr="00E67F89" w:rsidRDefault="00E67F89" w:rsidP="00E67F89">
            <w:r w:rsidRPr="00E67F89">
              <w:t>Procédures et mesures d’atténuation des risques de sécurité, et leurs revues, des employés des fournisseurs primaires</w:t>
            </w:r>
          </w:p>
          <w:p w14:paraId="337F82ED" w14:textId="77777777" w:rsidR="00E67F89" w:rsidRPr="00E67F89" w:rsidRDefault="00E67F89" w:rsidP="00E67F89"/>
          <w:p w14:paraId="3DCE9ED5" w14:textId="77777777" w:rsidR="00E67F89" w:rsidRPr="00E67F89" w:rsidRDefault="00E67F89" w:rsidP="00E67F89">
            <w:r w:rsidRPr="00E67F89">
              <w:t xml:space="preserve">Changement de fournisseurs primaires en cas de </w:t>
            </w:r>
            <w:r w:rsidRPr="00E67F89">
              <w:lastRenderedPageBreak/>
              <w:t>défaillance en matière de gestion des risques de sécurité pour leurs travailleurs</w:t>
            </w:r>
          </w:p>
        </w:tc>
        <w:tc>
          <w:tcPr>
            <w:tcW w:w="1426" w:type="dxa"/>
          </w:tcPr>
          <w:p w14:paraId="3AB017F6" w14:textId="77777777" w:rsidR="00E67F89" w:rsidRPr="00E67F89" w:rsidRDefault="00E67F89" w:rsidP="00E67F89">
            <w:r w:rsidRPr="00E67F89">
              <w:lastRenderedPageBreak/>
              <w:t>41 – 42</w:t>
            </w:r>
          </w:p>
        </w:tc>
        <w:tc>
          <w:tcPr>
            <w:tcW w:w="3394" w:type="dxa"/>
          </w:tcPr>
          <w:p w14:paraId="10941641" w14:textId="77777777" w:rsidR="00E67F89" w:rsidRPr="00E67F89" w:rsidRDefault="00E67F89" w:rsidP="00E67F89">
            <w:r w:rsidRPr="00E67F89">
              <w:t>41. En outre, lorsque les employés des fournisseurs primaires sont exposés à un risque sérieux en matière de sécurité, l’Emprunteur exigera du fournisseur primaire en cause de mettre en place des procédures et des mesures d’atténuation pour résoudre ces problèmes de sécurité. Ces procédures et mesures d’atténuation seront revues régulièrement pour en vérifier l’efficacité.</w:t>
            </w:r>
          </w:p>
          <w:p w14:paraId="1C2685F2" w14:textId="77777777" w:rsidR="00E67F89" w:rsidRPr="00E67F89" w:rsidRDefault="00E67F89" w:rsidP="00E67F89">
            <w:r w:rsidRPr="00E67F89">
              <w:t xml:space="preserve">42. La capacité de l’Emprunteur à éliminer entièrement ces risques sera fonction de son niveau de contrôle ou d’influence </w:t>
            </w:r>
            <w:r w:rsidRPr="00E67F89">
              <w:lastRenderedPageBreak/>
              <w:t>qu’il exerce sur ses fournisseurs primaires.</w:t>
            </w:r>
          </w:p>
          <w:p w14:paraId="0CED4F96" w14:textId="77777777" w:rsidR="00E67F89" w:rsidRPr="00E67F89" w:rsidRDefault="00E67F89" w:rsidP="00E67F89">
            <w:r w:rsidRPr="00E67F89">
              <w:t>Lorsqu’une solution n’est pas possible, l’Emprunteur devra, pendant une période raisonnable, changer de fournisseurs primaires et devra recourir à des fournisseurs qui pourront prouver qu’ils respectent les exigences pertinentes de la présente NES.</w:t>
            </w:r>
          </w:p>
        </w:tc>
        <w:tc>
          <w:tcPr>
            <w:tcW w:w="1701" w:type="dxa"/>
          </w:tcPr>
          <w:p w14:paraId="0712E997" w14:textId="77777777" w:rsidR="00E67F89" w:rsidRPr="00E67F89" w:rsidRDefault="00E67F89" w:rsidP="00E67F89">
            <w:r w:rsidRPr="00E67F89">
              <w:lastRenderedPageBreak/>
              <w:t>N/P</w:t>
            </w:r>
          </w:p>
        </w:tc>
        <w:tc>
          <w:tcPr>
            <w:tcW w:w="3261" w:type="dxa"/>
          </w:tcPr>
          <w:p w14:paraId="7B97ECE4" w14:textId="77777777" w:rsidR="00E67F89" w:rsidRPr="00E67F89" w:rsidRDefault="00E67F89" w:rsidP="00E67F89">
            <w:r w:rsidRPr="00E67F89">
              <w:t>Les textes ne prévoient pas ces points.</w:t>
            </w:r>
          </w:p>
        </w:tc>
        <w:tc>
          <w:tcPr>
            <w:tcW w:w="4393" w:type="dxa"/>
          </w:tcPr>
          <w:p w14:paraId="0E67D906" w14:textId="77777777" w:rsidR="00E67F89" w:rsidRPr="00E67F89" w:rsidRDefault="00E67F89" w:rsidP="00E67F89">
            <w:r w:rsidRPr="00E67F89">
              <w:t>Les exigences de la NES n°2 sont des dispositions plus favorables pour les travailleurs. Elles ne sont pas contraires aux textes malagasy.</w:t>
            </w:r>
          </w:p>
        </w:tc>
      </w:tr>
    </w:tbl>
    <w:p w14:paraId="5482809A" w14:textId="77777777" w:rsidR="00E67F89" w:rsidRPr="00E67F89" w:rsidRDefault="00E67F89" w:rsidP="00E67F89">
      <w:pPr>
        <w:sectPr w:rsidR="00E67F89" w:rsidRPr="00E67F89" w:rsidSect="00D42025">
          <w:pgSz w:w="16839" w:h="11907" w:orient="landscape" w:code="9"/>
          <w:pgMar w:top="1168" w:right="851" w:bottom="1134" w:left="851" w:header="425" w:footer="720" w:gutter="0"/>
          <w:paperSrc w:first="15" w:other="15"/>
          <w:pgNumType w:fmt="upperRoman"/>
          <w:cols w:space="708"/>
          <w:titlePg/>
          <w:docGrid w:linePitch="360"/>
        </w:sectPr>
      </w:pPr>
    </w:p>
    <w:p w14:paraId="2D8C68D7" w14:textId="77777777" w:rsidR="00E67F89" w:rsidRPr="00E67F89" w:rsidRDefault="00E67F89" w:rsidP="00E67F89">
      <w:bookmarkStart w:id="880" w:name="_Toc71267918"/>
      <w:bookmarkStart w:id="881" w:name="_Toc71831499"/>
      <w:bookmarkStart w:id="882" w:name="_Toc138414164"/>
      <w:bookmarkStart w:id="883" w:name="_Toc230426108"/>
      <w:r w:rsidRPr="00E67F89">
        <w:lastRenderedPageBreak/>
        <w:t xml:space="preserve">Annexe </w:t>
      </w:r>
      <w:r w:rsidRPr="00E67F89">
        <w:fldChar w:fldCharType="begin"/>
      </w:r>
      <w:r w:rsidRPr="00E67F89">
        <w:instrText>SEQ Annexe \* ARABIC</w:instrText>
      </w:r>
      <w:r w:rsidRPr="00E67F89">
        <w:fldChar w:fldCharType="separate"/>
      </w:r>
      <w:r w:rsidRPr="00E67F89">
        <w:t>3</w:t>
      </w:r>
      <w:r w:rsidRPr="00E67F89">
        <w:fldChar w:fldCharType="end"/>
      </w:r>
      <w:r w:rsidRPr="00E67F89">
        <w:t xml:space="preserve"> : Analyse comparative entre la NES 3 et le cadre réglementaire national malagasy</w:t>
      </w:r>
      <w:bookmarkEnd w:id="880"/>
      <w:bookmarkEnd w:id="881"/>
      <w:bookmarkEnd w:id="882"/>
      <w:bookmarkEnd w:id="883"/>
    </w:p>
    <w:tbl>
      <w:tblPr>
        <w:tblStyle w:val="TableGrid"/>
        <w:tblW w:w="0" w:type="auto"/>
        <w:tblLook w:val="04A0" w:firstRow="1" w:lastRow="0" w:firstColumn="1" w:lastColumn="0" w:noHBand="0" w:noVBand="1"/>
      </w:tblPr>
      <w:tblGrid>
        <w:gridCol w:w="2412"/>
        <w:gridCol w:w="928"/>
        <w:gridCol w:w="3360"/>
        <w:gridCol w:w="2022"/>
        <w:gridCol w:w="3372"/>
        <w:gridCol w:w="3033"/>
      </w:tblGrid>
      <w:tr w:rsidR="00E67F89" w:rsidRPr="00E67F89" w14:paraId="352296A0" w14:textId="77777777" w:rsidTr="00223F64">
        <w:trPr>
          <w:trHeight w:val="205"/>
          <w:tblHeader/>
        </w:trPr>
        <w:tc>
          <w:tcPr>
            <w:tcW w:w="0" w:type="auto"/>
            <w:vMerge w:val="restart"/>
            <w:shd w:val="clear" w:color="auto" w:fill="E2EFD9" w:themeFill="accent6" w:themeFillTint="33"/>
            <w:vAlign w:val="center"/>
          </w:tcPr>
          <w:p w14:paraId="7E9ED239" w14:textId="77777777" w:rsidR="00E67F89" w:rsidRPr="00E67F89" w:rsidRDefault="00E67F89" w:rsidP="00E67F89">
            <w:r w:rsidRPr="00E67F89">
              <w:t>Thèmes</w:t>
            </w:r>
          </w:p>
        </w:tc>
        <w:tc>
          <w:tcPr>
            <w:tcW w:w="0" w:type="auto"/>
            <w:gridSpan w:val="2"/>
            <w:shd w:val="clear" w:color="auto" w:fill="E2EFD9" w:themeFill="accent6" w:themeFillTint="33"/>
            <w:vAlign w:val="center"/>
          </w:tcPr>
          <w:p w14:paraId="2DF3D7E8" w14:textId="77777777" w:rsidR="00E67F89" w:rsidRPr="00E67F89" w:rsidRDefault="00E67F89" w:rsidP="00E67F89">
            <w:r w:rsidRPr="00E67F89">
              <w:t>NES3</w:t>
            </w:r>
          </w:p>
        </w:tc>
        <w:tc>
          <w:tcPr>
            <w:tcW w:w="0" w:type="auto"/>
            <w:gridSpan w:val="2"/>
            <w:shd w:val="clear" w:color="auto" w:fill="E2EFD9" w:themeFill="accent6" w:themeFillTint="33"/>
            <w:vAlign w:val="center"/>
          </w:tcPr>
          <w:p w14:paraId="7EAEBB37" w14:textId="77777777" w:rsidR="00E67F89" w:rsidRPr="00E67F89" w:rsidRDefault="00E67F89" w:rsidP="00E67F89">
            <w:r w:rsidRPr="00E67F89">
              <w:t>Cadre législatif et national Malagasy</w:t>
            </w:r>
          </w:p>
        </w:tc>
        <w:tc>
          <w:tcPr>
            <w:tcW w:w="0" w:type="auto"/>
            <w:vMerge w:val="restart"/>
            <w:shd w:val="clear" w:color="auto" w:fill="E2EFD9" w:themeFill="accent6" w:themeFillTint="33"/>
            <w:vAlign w:val="center"/>
          </w:tcPr>
          <w:p w14:paraId="10512851" w14:textId="77777777" w:rsidR="00E67F89" w:rsidRPr="00E67F89" w:rsidRDefault="00E67F89" w:rsidP="00E67F89">
            <w:r w:rsidRPr="00E67F89">
              <w:t>Analyse des écarts</w:t>
            </w:r>
          </w:p>
          <w:p w14:paraId="14845E4E" w14:textId="77777777" w:rsidR="00E67F89" w:rsidRPr="00E67F89" w:rsidRDefault="00E67F89" w:rsidP="00E67F89">
            <w:r w:rsidRPr="00E67F89">
              <w:t>Conclusion d’application pour le Projet</w:t>
            </w:r>
          </w:p>
        </w:tc>
      </w:tr>
      <w:tr w:rsidR="00E67F89" w:rsidRPr="00E67F89" w14:paraId="39C80D31" w14:textId="77777777" w:rsidTr="00223F64">
        <w:trPr>
          <w:trHeight w:val="58"/>
          <w:tblHeader/>
        </w:trPr>
        <w:tc>
          <w:tcPr>
            <w:tcW w:w="0" w:type="auto"/>
            <w:vMerge/>
            <w:shd w:val="clear" w:color="auto" w:fill="BDF9FF"/>
            <w:vAlign w:val="center"/>
          </w:tcPr>
          <w:p w14:paraId="0AF94C20" w14:textId="77777777" w:rsidR="00E67F89" w:rsidRPr="00E67F89" w:rsidRDefault="00E67F89" w:rsidP="00E67F89"/>
        </w:tc>
        <w:tc>
          <w:tcPr>
            <w:tcW w:w="0" w:type="auto"/>
            <w:shd w:val="clear" w:color="auto" w:fill="E2EFD9" w:themeFill="accent6" w:themeFillTint="33"/>
            <w:vAlign w:val="center"/>
          </w:tcPr>
          <w:p w14:paraId="18EA0C7E" w14:textId="77777777" w:rsidR="00E67F89" w:rsidRPr="00E67F89" w:rsidRDefault="00E67F89" w:rsidP="00E67F89">
            <w:r w:rsidRPr="00E67F89">
              <w:t xml:space="preserve">Ref </w:t>
            </w:r>
          </w:p>
        </w:tc>
        <w:tc>
          <w:tcPr>
            <w:tcW w:w="0" w:type="auto"/>
            <w:shd w:val="clear" w:color="auto" w:fill="E2EFD9" w:themeFill="accent6" w:themeFillTint="33"/>
            <w:vAlign w:val="center"/>
          </w:tcPr>
          <w:p w14:paraId="65EDFF55" w14:textId="77777777" w:rsidR="00E67F89" w:rsidRPr="00E67F89" w:rsidRDefault="00E67F89" w:rsidP="00E67F89">
            <w:r w:rsidRPr="00E67F89">
              <w:t>Exigences</w:t>
            </w:r>
          </w:p>
        </w:tc>
        <w:tc>
          <w:tcPr>
            <w:tcW w:w="0" w:type="auto"/>
            <w:shd w:val="clear" w:color="auto" w:fill="E2EFD9" w:themeFill="accent6" w:themeFillTint="33"/>
            <w:vAlign w:val="center"/>
          </w:tcPr>
          <w:p w14:paraId="76695D9B" w14:textId="77777777" w:rsidR="00E67F89" w:rsidRPr="00E67F89" w:rsidRDefault="00E67F89" w:rsidP="00E67F89">
            <w:r w:rsidRPr="00E67F89">
              <w:t>Texte</w:t>
            </w:r>
          </w:p>
        </w:tc>
        <w:tc>
          <w:tcPr>
            <w:tcW w:w="0" w:type="auto"/>
            <w:shd w:val="clear" w:color="auto" w:fill="E2EFD9" w:themeFill="accent6" w:themeFillTint="33"/>
            <w:vAlign w:val="center"/>
          </w:tcPr>
          <w:p w14:paraId="4338FB92" w14:textId="77777777" w:rsidR="00E67F89" w:rsidRPr="00E67F89" w:rsidRDefault="00E67F89" w:rsidP="00E67F89">
            <w:r w:rsidRPr="00E67F89">
              <w:t>Dispositions</w:t>
            </w:r>
          </w:p>
        </w:tc>
        <w:tc>
          <w:tcPr>
            <w:tcW w:w="0" w:type="auto"/>
            <w:vMerge/>
            <w:shd w:val="clear" w:color="auto" w:fill="BDF9FF"/>
          </w:tcPr>
          <w:p w14:paraId="7C17D80B" w14:textId="77777777" w:rsidR="00E67F89" w:rsidRPr="00E67F89" w:rsidRDefault="00E67F89" w:rsidP="00E67F89"/>
        </w:tc>
      </w:tr>
      <w:tr w:rsidR="00E67F89" w:rsidRPr="00E67F89" w14:paraId="30DD04BD" w14:textId="77777777" w:rsidTr="00223F64">
        <w:tc>
          <w:tcPr>
            <w:tcW w:w="0" w:type="auto"/>
            <w:gridSpan w:val="6"/>
          </w:tcPr>
          <w:p w14:paraId="4AAED98E" w14:textId="77777777" w:rsidR="00E67F89" w:rsidRPr="00E67F89" w:rsidRDefault="00E67F89" w:rsidP="00E67F89">
            <w:r w:rsidRPr="00E67F89">
              <w:t xml:space="preserve">Utilisation rationnelle des ressources naturelles </w:t>
            </w:r>
          </w:p>
        </w:tc>
      </w:tr>
      <w:tr w:rsidR="00E67F89" w:rsidRPr="00E67F89" w14:paraId="181C8293" w14:textId="77777777" w:rsidTr="00223F64">
        <w:tc>
          <w:tcPr>
            <w:tcW w:w="0" w:type="auto"/>
            <w:gridSpan w:val="6"/>
          </w:tcPr>
          <w:p w14:paraId="2A0B8C92" w14:textId="77777777" w:rsidR="00E67F89" w:rsidRPr="00E67F89" w:rsidRDefault="00E67F89" w:rsidP="00E67F89">
            <w:r w:rsidRPr="00E67F89">
              <w:t>Consommation d’énergie (A)</w:t>
            </w:r>
          </w:p>
        </w:tc>
      </w:tr>
      <w:tr w:rsidR="00E67F89" w:rsidRPr="00E67F89" w14:paraId="356723B4" w14:textId="77777777" w:rsidTr="00223F64">
        <w:tc>
          <w:tcPr>
            <w:tcW w:w="0" w:type="auto"/>
          </w:tcPr>
          <w:p w14:paraId="18CA0A76" w14:textId="77777777" w:rsidR="00E67F89" w:rsidRPr="00E67F89" w:rsidRDefault="00E67F89" w:rsidP="00E67F89"/>
        </w:tc>
        <w:tc>
          <w:tcPr>
            <w:tcW w:w="0" w:type="auto"/>
          </w:tcPr>
          <w:p w14:paraId="1A00082B" w14:textId="77777777" w:rsidR="00E67F89" w:rsidRPr="00E67F89" w:rsidRDefault="00E67F89" w:rsidP="00E67F89">
            <w:r w:rsidRPr="00E67F89">
              <w:t>6</w:t>
            </w:r>
          </w:p>
          <w:p w14:paraId="0E460F0C" w14:textId="77777777" w:rsidR="00E67F89" w:rsidRPr="00E67F89" w:rsidRDefault="00E67F89" w:rsidP="00E67F89">
            <w:r w:rsidRPr="00E67F89">
              <w:t>N0 6.2</w:t>
            </w:r>
          </w:p>
        </w:tc>
        <w:tc>
          <w:tcPr>
            <w:tcW w:w="0" w:type="auto"/>
          </w:tcPr>
          <w:p w14:paraId="30BC0665" w14:textId="77777777" w:rsidR="00E67F89" w:rsidRPr="00E67F89" w:rsidRDefault="00E67F89" w:rsidP="00E67F89">
            <w:r w:rsidRPr="00E67F89">
              <w:t xml:space="preserve">Utilisation rationnelle de l’énergie </w:t>
            </w:r>
          </w:p>
          <w:p w14:paraId="384E0BA9" w14:textId="77777777" w:rsidR="00E67F89" w:rsidRPr="00E67F89" w:rsidRDefault="00E67F89" w:rsidP="00E67F89">
            <w:r w:rsidRPr="00E67F89">
              <w:t>Mettre en œuvre des mesures et des actions envisagées avec les compétences, les équipements et le matériel disponible dans le commerce, en tenant compte des facteurs locaux (climat, relief, démographie, infrastructures, sécurité, gouvernance, capacité et fiabilité opérationnelle)</w:t>
            </w:r>
          </w:p>
        </w:tc>
        <w:tc>
          <w:tcPr>
            <w:tcW w:w="0" w:type="auto"/>
          </w:tcPr>
          <w:p w14:paraId="25222A5D" w14:textId="77777777" w:rsidR="00E67F89" w:rsidRPr="00E67F89" w:rsidRDefault="00E67F89" w:rsidP="00E67F89"/>
        </w:tc>
        <w:tc>
          <w:tcPr>
            <w:tcW w:w="0" w:type="auto"/>
          </w:tcPr>
          <w:p w14:paraId="2ABFEEB4" w14:textId="77777777" w:rsidR="00E67F89" w:rsidRPr="00E67F89" w:rsidRDefault="00E67F89" w:rsidP="00E67F89"/>
        </w:tc>
        <w:tc>
          <w:tcPr>
            <w:tcW w:w="0" w:type="auto"/>
          </w:tcPr>
          <w:p w14:paraId="20353CB8" w14:textId="77777777" w:rsidR="00E67F89" w:rsidRPr="00E67F89" w:rsidRDefault="00E67F89" w:rsidP="00E67F89"/>
        </w:tc>
      </w:tr>
      <w:tr w:rsidR="00E67F89" w:rsidRPr="00E67F89" w14:paraId="11466FE5" w14:textId="77777777" w:rsidTr="00223F64">
        <w:tc>
          <w:tcPr>
            <w:tcW w:w="0" w:type="auto"/>
            <w:gridSpan w:val="6"/>
          </w:tcPr>
          <w:p w14:paraId="50D18775" w14:textId="77777777" w:rsidR="00E67F89" w:rsidRPr="00E67F89" w:rsidRDefault="00E67F89" w:rsidP="00E67F89">
            <w:r w:rsidRPr="00E67F89">
              <w:t>Consommation de l’eau (B)</w:t>
            </w:r>
          </w:p>
        </w:tc>
      </w:tr>
      <w:tr w:rsidR="00E67F89" w:rsidRPr="00E67F89" w14:paraId="75133BAB" w14:textId="77777777" w:rsidTr="00223F64">
        <w:tc>
          <w:tcPr>
            <w:tcW w:w="0" w:type="auto"/>
          </w:tcPr>
          <w:p w14:paraId="563F563E" w14:textId="77777777" w:rsidR="00E67F89" w:rsidRPr="00E67F89" w:rsidRDefault="00E67F89" w:rsidP="00E67F89">
            <w:r w:rsidRPr="00E67F89">
              <w:t xml:space="preserve">Prélèvement de l’eau </w:t>
            </w:r>
          </w:p>
        </w:tc>
        <w:tc>
          <w:tcPr>
            <w:tcW w:w="0" w:type="auto"/>
          </w:tcPr>
          <w:p w14:paraId="56DC6F40" w14:textId="77777777" w:rsidR="00E67F89" w:rsidRPr="00E67F89" w:rsidRDefault="00E67F89" w:rsidP="00E67F89">
            <w:r w:rsidRPr="00E67F89">
              <w:t>7</w:t>
            </w:r>
          </w:p>
          <w:p w14:paraId="61A4C536" w14:textId="77777777" w:rsidR="00E67F89" w:rsidRPr="00E67F89" w:rsidRDefault="00E67F89" w:rsidP="00E67F89">
            <w:r w:rsidRPr="00E67F89">
              <w:t>7</w:t>
            </w:r>
          </w:p>
        </w:tc>
        <w:tc>
          <w:tcPr>
            <w:tcW w:w="0" w:type="auto"/>
          </w:tcPr>
          <w:p w14:paraId="092E9617" w14:textId="77777777" w:rsidR="00E67F89" w:rsidRPr="00E67F89" w:rsidRDefault="00E67F89" w:rsidP="00E67F89">
            <w:r w:rsidRPr="00E67F89">
              <w:t xml:space="preserve">Identifier des nouvelles sources d’approvisionnement en eau </w:t>
            </w:r>
          </w:p>
          <w:p w14:paraId="5B40B24B" w14:textId="77777777" w:rsidR="00E67F89" w:rsidRPr="00E67F89" w:rsidRDefault="00E67F89" w:rsidP="00E67F89">
            <w:r w:rsidRPr="00E67F89">
              <w:t>Prendre en compte la disponibilité de l’eau, les variations climatiques saisonnières et interannuelles du niveau de la nappe phréatique et du volume des précipitations</w:t>
            </w:r>
          </w:p>
        </w:tc>
        <w:tc>
          <w:tcPr>
            <w:tcW w:w="0" w:type="auto"/>
          </w:tcPr>
          <w:p w14:paraId="5C04BB17" w14:textId="77777777" w:rsidR="00E67F89" w:rsidRPr="00E67F89" w:rsidRDefault="00E67F89" w:rsidP="00E67F89">
            <w:r w:rsidRPr="00E67F89">
              <w:t>Code de l’Eau</w:t>
            </w:r>
          </w:p>
          <w:p w14:paraId="3C8A4503" w14:textId="77777777" w:rsidR="00E67F89" w:rsidRPr="00E67F89" w:rsidRDefault="00E67F89" w:rsidP="00E67F89"/>
          <w:p w14:paraId="1F864DE6" w14:textId="77777777" w:rsidR="00E67F89" w:rsidRPr="00E67F89" w:rsidRDefault="00E67F89" w:rsidP="00E67F89"/>
          <w:p w14:paraId="7E6720CE" w14:textId="77777777" w:rsidR="00E67F89" w:rsidRPr="00E67F89" w:rsidRDefault="00E67F89" w:rsidP="00E67F89">
            <w:r w:rsidRPr="00E67F89">
              <w:t xml:space="preserve">Décret MECIE N°2025-080 </w:t>
            </w:r>
          </w:p>
          <w:p w14:paraId="55627E23" w14:textId="77777777" w:rsidR="00E67F89" w:rsidRPr="00E67F89" w:rsidRDefault="00E67F89" w:rsidP="00E67F89">
            <w:r w:rsidRPr="00E67F89">
              <w:t>DECRET N°2004-635 portant modification du décret n°2003- 941</w:t>
            </w:r>
          </w:p>
          <w:p w14:paraId="3E8DF5EF" w14:textId="77777777" w:rsidR="00E67F89" w:rsidRPr="00E67F89" w:rsidRDefault="00E67F89" w:rsidP="00E67F89"/>
          <w:p w14:paraId="672096E8" w14:textId="77777777" w:rsidR="00E67F89" w:rsidRPr="00E67F89" w:rsidRDefault="00E67F89" w:rsidP="00E67F89"/>
          <w:p w14:paraId="684A2E40" w14:textId="77777777" w:rsidR="00E67F89" w:rsidRPr="00E67F89" w:rsidRDefault="00E67F89" w:rsidP="00E67F89">
            <w:r w:rsidRPr="00E67F89">
              <w:t xml:space="preserve">DECRET N°2003-793 </w:t>
            </w:r>
          </w:p>
        </w:tc>
        <w:tc>
          <w:tcPr>
            <w:tcW w:w="0" w:type="auto"/>
          </w:tcPr>
          <w:p w14:paraId="00DD43A4" w14:textId="77777777" w:rsidR="00E67F89" w:rsidRPr="00E67F89" w:rsidRDefault="00E67F89" w:rsidP="00E67F89">
            <w:r w:rsidRPr="00E67F89">
              <w:lastRenderedPageBreak/>
              <w:t>Prélèvement des eaux de surface et des eaux souterraines : Obligation d’une autorisation de l’ANDEA pour l’exécution de tous travaux sur les eaux de surface et pour le prélèvement des eaux souterraines qui dépasse un volume fixé par Décret et présentant des risques de pollution de la ressource.</w:t>
            </w:r>
          </w:p>
          <w:p w14:paraId="43789DC1" w14:textId="77777777" w:rsidR="00E67F89" w:rsidRPr="00E67F89" w:rsidRDefault="00E67F89" w:rsidP="00E67F89">
            <w:r w:rsidRPr="00E67F89">
              <w:lastRenderedPageBreak/>
              <w:t>Définition d’un niveau de prélèvement fixé par voie de Décret que cela soit pour les eaux de surface ou les eaux souterraines</w:t>
            </w:r>
          </w:p>
          <w:p w14:paraId="0548D148" w14:textId="77777777" w:rsidR="00E67F89" w:rsidRPr="00E67F89" w:rsidRDefault="00E67F89" w:rsidP="00E67F89">
            <w:r w:rsidRPr="00E67F89">
              <w:t>Tout projet de prélèvement de l’eau de surface ou souterraine de plus de 30 m3/h est soumis obligatoirement à une EIE [Annexe 1]</w:t>
            </w:r>
          </w:p>
          <w:p w14:paraId="55915FC4" w14:textId="77777777" w:rsidR="00E67F89" w:rsidRPr="00E67F89" w:rsidRDefault="00E67F89" w:rsidP="00E67F89">
            <w:r w:rsidRPr="00E67F89">
              <w:t>Tout projet d’utilisation ou de déviation d’un cours d’eau classé permanent de plus de 50% de son débit en période d’étiage est soumis obligatoirement à un PREE [Annexe 1]</w:t>
            </w:r>
          </w:p>
          <w:p w14:paraId="4513CD47" w14:textId="77777777" w:rsidR="00E67F89" w:rsidRPr="00E67F89" w:rsidRDefault="00E67F89" w:rsidP="00E67F89">
            <w:r w:rsidRPr="00E67F89">
              <w:t>Condition de prélèvement dans le milieu naturel : (1) emplacement et caractéristiques des points de prélèvement des eaux, (2) volume journalier maximal prélevé et débit horaire maximal, (3) traitement requis en fonction de la qualité de l’eau brute prélevée</w:t>
            </w:r>
          </w:p>
          <w:p w14:paraId="23B6E5ED" w14:textId="77777777" w:rsidR="00E67F89" w:rsidRPr="00E67F89" w:rsidRDefault="00E67F89" w:rsidP="00E67F89">
            <w:r w:rsidRPr="00E67F89">
              <w:lastRenderedPageBreak/>
              <w:t xml:space="preserve">Prélèvement de l’eau souterraine : autorisation précédée d’une étude approfondie sur la réserve d’eau disponible </w:t>
            </w:r>
          </w:p>
        </w:tc>
        <w:tc>
          <w:tcPr>
            <w:tcW w:w="0" w:type="auto"/>
          </w:tcPr>
          <w:p w14:paraId="3A9F735D" w14:textId="77777777" w:rsidR="00E67F89" w:rsidRPr="00E67F89" w:rsidRDefault="00E67F89" w:rsidP="00E67F89">
            <w:r w:rsidRPr="00E67F89">
              <w:lastRenderedPageBreak/>
              <w:t xml:space="preserve">Les dispositions dans les deux cadres sont complémentaires. Le cadre national oblige à établir le niveau ou le degré de disponibilité de l’eau ; tandis que la NES cherche à donner les causes et les explications au niveau de la disponibilité de l’eau (par les conditions climatiques), afin de </w:t>
            </w:r>
            <w:r w:rsidRPr="00E67F89">
              <w:t>confirmer l’abondance ou la rareté de la ressource en eau.</w:t>
            </w:r>
          </w:p>
          <w:p w14:paraId="12198E74" w14:textId="77777777" w:rsidR="00E67F89" w:rsidRPr="00E67F89" w:rsidRDefault="00E67F89" w:rsidP="00E67F89">
            <w:r w:rsidRPr="00E67F89">
              <w:t xml:space="preserve">Pour le cadre national, l’analyse de la disponibilité de l’eau de nature quantitative, tandis que la NES 3 se limite à une analyse qualitative. </w:t>
            </w:r>
          </w:p>
          <w:p w14:paraId="797ABF8B" w14:textId="77777777" w:rsidR="00E67F89" w:rsidRPr="00E67F89" w:rsidRDefault="00E67F89" w:rsidP="00E67F89">
            <w:r w:rsidRPr="00E67F89">
              <w:t>Le Projet se conformera aux deux cadres.</w:t>
            </w:r>
          </w:p>
        </w:tc>
      </w:tr>
      <w:tr w:rsidR="00E67F89" w:rsidRPr="00E67F89" w14:paraId="1F116A59" w14:textId="77777777" w:rsidTr="00223F64">
        <w:tc>
          <w:tcPr>
            <w:tcW w:w="0" w:type="auto"/>
          </w:tcPr>
          <w:p w14:paraId="7DE4F8D7" w14:textId="77777777" w:rsidR="00E67F89" w:rsidRPr="00E67F89" w:rsidRDefault="00E67F89" w:rsidP="00E67F89">
            <w:r w:rsidRPr="00E67F89">
              <w:lastRenderedPageBreak/>
              <w:t xml:space="preserve">Conservation de la qualité de l’eau </w:t>
            </w:r>
          </w:p>
        </w:tc>
        <w:tc>
          <w:tcPr>
            <w:tcW w:w="0" w:type="auto"/>
          </w:tcPr>
          <w:p w14:paraId="542B5BB2" w14:textId="77777777" w:rsidR="00E67F89" w:rsidRPr="00E67F89" w:rsidRDefault="00E67F89" w:rsidP="00E67F89">
            <w:r w:rsidRPr="00E67F89">
              <w:t>7</w:t>
            </w:r>
          </w:p>
        </w:tc>
        <w:tc>
          <w:tcPr>
            <w:tcW w:w="0" w:type="auto"/>
          </w:tcPr>
          <w:p w14:paraId="1E69A4CA" w14:textId="77777777" w:rsidR="00E67F89" w:rsidRPr="00E67F89" w:rsidRDefault="00E67F89" w:rsidP="00E67F89">
            <w:r w:rsidRPr="00E67F89">
              <w:t xml:space="preserve">Néant </w:t>
            </w:r>
          </w:p>
        </w:tc>
        <w:tc>
          <w:tcPr>
            <w:tcW w:w="0" w:type="auto"/>
          </w:tcPr>
          <w:p w14:paraId="55E3AD27" w14:textId="77777777" w:rsidR="00E67F89" w:rsidRPr="00E67F89" w:rsidRDefault="00E67F89" w:rsidP="00E67F89">
            <w:r w:rsidRPr="00E67F89">
              <w:t xml:space="preserve">Code de l’Eau </w:t>
            </w:r>
          </w:p>
        </w:tc>
        <w:tc>
          <w:tcPr>
            <w:tcW w:w="0" w:type="auto"/>
          </w:tcPr>
          <w:p w14:paraId="1A768DDB" w14:textId="77777777" w:rsidR="00E67F89" w:rsidRPr="00E67F89" w:rsidRDefault="00E67F89" w:rsidP="00E67F89">
            <w:r w:rsidRPr="00E67F89">
              <w:t xml:space="preserve">Surveillance de la qualité de l’eau : La Police des eaux est investie de pouvoir pour la préservation de la ressource en eau, sur les aspects quantitatifs, qualitatifs et économiques [Article 61] </w:t>
            </w:r>
          </w:p>
        </w:tc>
        <w:tc>
          <w:tcPr>
            <w:tcW w:w="0" w:type="auto"/>
          </w:tcPr>
          <w:p w14:paraId="512CD87C" w14:textId="77777777" w:rsidR="00E67F89" w:rsidRPr="00E67F89" w:rsidRDefault="00E67F89" w:rsidP="00E67F89">
            <w:r w:rsidRPr="00E67F89">
              <w:t xml:space="preserve">L’assurance de qualité de l’eau n’est pas prise en compte dans le cadre NES 3. </w:t>
            </w:r>
          </w:p>
          <w:p w14:paraId="4079E34A" w14:textId="77777777" w:rsidR="00E67F89" w:rsidRPr="00E67F89" w:rsidRDefault="00E67F89" w:rsidP="00E67F89">
            <w:r w:rsidRPr="00E67F89">
              <w:t>Le Projet appliquera les dispositions stipulées dans le Code de l’Eau.</w:t>
            </w:r>
          </w:p>
        </w:tc>
      </w:tr>
      <w:tr w:rsidR="00E67F89" w:rsidRPr="00E67F89" w14:paraId="0F4721E6" w14:textId="77777777" w:rsidTr="00223F64">
        <w:tc>
          <w:tcPr>
            <w:tcW w:w="0" w:type="auto"/>
          </w:tcPr>
          <w:p w14:paraId="7A299159" w14:textId="77777777" w:rsidR="00E67F89" w:rsidRPr="00E67F89" w:rsidRDefault="00E67F89" w:rsidP="00E67F89">
            <w:r w:rsidRPr="00E67F89">
              <w:t xml:space="preserve">Préservation durable de la ressource en eau </w:t>
            </w:r>
          </w:p>
        </w:tc>
        <w:tc>
          <w:tcPr>
            <w:tcW w:w="0" w:type="auto"/>
          </w:tcPr>
          <w:p w14:paraId="27BA0C4E" w14:textId="77777777" w:rsidR="00E67F89" w:rsidRPr="00E67F89" w:rsidRDefault="00E67F89" w:rsidP="00E67F89">
            <w:r w:rsidRPr="00E67F89">
              <w:t>8</w:t>
            </w:r>
          </w:p>
        </w:tc>
        <w:tc>
          <w:tcPr>
            <w:tcW w:w="0" w:type="auto"/>
          </w:tcPr>
          <w:p w14:paraId="2776C150" w14:textId="77777777" w:rsidR="00E67F89" w:rsidRPr="00E67F89" w:rsidRDefault="00E67F89" w:rsidP="00E67F89">
            <w:r w:rsidRPr="00E67F89">
              <w:t xml:space="preserve">Prendre en compte des demandes en ressources hydriques </w:t>
            </w:r>
          </w:p>
          <w:p w14:paraId="11E2DDA7" w14:textId="77777777" w:rsidR="00E67F89" w:rsidRPr="00E67F89" w:rsidRDefault="00E67F89" w:rsidP="00E67F89">
            <w:r w:rsidRPr="00E67F89">
              <w:t>Elaboration d’un bilan hydrique détaillé</w:t>
            </w:r>
          </w:p>
          <w:p w14:paraId="475DFD00" w14:textId="77777777" w:rsidR="00E67F89" w:rsidRPr="00E67F89" w:rsidRDefault="00E67F89" w:rsidP="00E67F89">
            <w:r w:rsidRPr="00E67F89">
              <w:t>Définition des mesures et des solutions pour une utilisation plus rationnelle de l’eau</w:t>
            </w:r>
          </w:p>
          <w:p w14:paraId="7BBFBEB7" w14:textId="77777777" w:rsidR="00E67F89" w:rsidRPr="00E67F89" w:rsidRDefault="00E67F89" w:rsidP="00E67F89">
            <w:r w:rsidRPr="00E67F89">
              <w:t>Evaluation spécifique de la consommation de l’eau</w:t>
            </w:r>
          </w:p>
          <w:p w14:paraId="06046AE5" w14:textId="77777777" w:rsidR="00E67F89" w:rsidRPr="00E67F89" w:rsidRDefault="00E67F89" w:rsidP="00E67F89">
            <w:r w:rsidRPr="00E67F89">
              <w:t>Se conformer aux normes en vigueur dans le secteur de l’eau</w:t>
            </w:r>
          </w:p>
        </w:tc>
        <w:tc>
          <w:tcPr>
            <w:tcW w:w="0" w:type="auto"/>
          </w:tcPr>
          <w:p w14:paraId="728582C5" w14:textId="77777777" w:rsidR="00E67F89" w:rsidRPr="00E67F89" w:rsidRDefault="00E67F89" w:rsidP="00E67F89">
            <w:r w:rsidRPr="00E67F89">
              <w:t>Code de l’Eau</w:t>
            </w:r>
          </w:p>
        </w:tc>
        <w:tc>
          <w:tcPr>
            <w:tcW w:w="0" w:type="auto"/>
          </w:tcPr>
          <w:p w14:paraId="06F6A686" w14:textId="77777777" w:rsidR="00E67F89" w:rsidRPr="00E67F89" w:rsidRDefault="00E67F89" w:rsidP="00E67F89">
            <w:r w:rsidRPr="00E67F89">
              <w:t>Obligation de faire une EIE précédée d’une enquête publique avant la réalisation des aménagements ou des ouvrages qui sont susceptibles d’affecter l’environnement [Article 23]</w:t>
            </w:r>
          </w:p>
          <w:p w14:paraId="3F5F05F9" w14:textId="77777777" w:rsidR="00E67F89" w:rsidRPr="00E67F89" w:rsidRDefault="00E67F89" w:rsidP="00E67F89">
            <w:r w:rsidRPr="00E67F89">
              <w:t>Protection du couvert forestier, couvert herbacé dans les bassins versants, contre l’érosion, l’envasement, l’ensablement des infrastructures et des périmètres irrigués [Article 25]</w:t>
            </w:r>
          </w:p>
        </w:tc>
        <w:tc>
          <w:tcPr>
            <w:tcW w:w="0" w:type="auto"/>
          </w:tcPr>
          <w:p w14:paraId="3B74EA23" w14:textId="77777777" w:rsidR="00E67F89" w:rsidRPr="00E67F89" w:rsidRDefault="00E67F89" w:rsidP="00E67F89">
            <w:r w:rsidRPr="00E67F89">
              <w:t>Correspondance entre NES 3 et le cadre national malagasy.</w:t>
            </w:r>
          </w:p>
        </w:tc>
      </w:tr>
      <w:tr w:rsidR="00E67F89" w:rsidRPr="00E67F89" w14:paraId="31181ACD" w14:textId="77777777" w:rsidTr="00223F64">
        <w:tc>
          <w:tcPr>
            <w:tcW w:w="0" w:type="auto"/>
          </w:tcPr>
          <w:p w14:paraId="36EC3E96" w14:textId="77777777" w:rsidR="00E67F89" w:rsidRPr="00E67F89" w:rsidRDefault="00E67F89" w:rsidP="00E67F89">
            <w:r w:rsidRPr="00E67F89">
              <w:t xml:space="preserve">Consommation de l’eau </w:t>
            </w:r>
          </w:p>
        </w:tc>
        <w:tc>
          <w:tcPr>
            <w:tcW w:w="0" w:type="auto"/>
          </w:tcPr>
          <w:p w14:paraId="2029C5A7" w14:textId="77777777" w:rsidR="00E67F89" w:rsidRPr="00E67F89" w:rsidRDefault="00E67F89" w:rsidP="00E67F89">
            <w:r w:rsidRPr="00E67F89">
              <w:t>7</w:t>
            </w:r>
          </w:p>
        </w:tc>
        <w:tc>
          <w:tcPr>
            <w:tcW w:w="0" w:type="auto"/>
          </w:tcPr>
          <w:p w14:paraId="7D90643E" w14:textId="77777777" w:rsidR="00E67F89" w:rsidRPr="00E67F89" w:rsidRDefault="00E67F89" w:rsidP="00E67F89">
            <w:r w:rsidRPr="00E67F89">
              <w:t xml:space="preserve">Eviter ou réduire la surconsommation d’eau de sorte que la consommation du projet </w:t>
            </w:r>
            <w:r w:rsidRPr="00E67F89">
              <w:lastRenderedPageBreak/>
              <w:t>n’ait pas d’impacts négatifs trop importants sur les communautés, les autres consommateurs et l’environnement</w:t>
            </w:r>
          </w:p>
          <w:p w14:paraId="276290CA" w14:textId="77777777" w:rsidR="00E67F89" w:rsidRPr="00E67F89" w:rsidRDefault="00E67F89" w:rsidP="00E67F89">
            <w:r w:rsidRPr="00E67F89">
              <w:t>Dispositifs de compensation de la consommation d’eau pour maintenir la demande totale des ressources en eau</w:t>
            </w:r>
          </w:p>
          <w:p w14:paraId="0B596F60" w14:textId="77777777" w:rsidR="00E67F89" w:rsidRPr="00E67F89" w:rsidRDefault="00E67F89" w:rsidP="00E67F89">
            <w:r w:rsidRPr="00E67F89">
              <w:t xml:space="preserve">Déterminer la consommation de l’eau </w:t>
            </w:r>
          </w:p>
        </w:tc>
        <w:tc>
          <w:tcPr>
            <w:tcW w:w="0" w:type="auto"/>
          </w:tcPr>
          <w:p w14:paraId="01126F20" w14:textId="77777777" w:rsidR="00E67F89" w:rsidRPr="00E67F89" w:rsidRDefault="00E67F89" w:rsidP="00E67F89"/>
        </w:tc>
        <w:tc>
          <w:tcPr>
            <w:tcW w:w="0" w:type="auto"/>
          </w:tcPr>
          <w:p w14:paraId="3B3DC969" w14:textId="77777777" w:rsidR="00E67F89" w:rsidRPr="00E67F89" w:rsidRDefault="00E67F89" w:rsidP="00E67F89">
            <w:r w:rsidRPr="00E67F89">
              <w:t>Néant</w:t>
            </w:r>
          </w:p>
        </w:tc>
        <w:tc>
          <w:tcPr>
            <w:tcW w:w="0" w:type="auto"/>
          </w:tcPr>
          <w:p w14:paraId="4C64901F" w14:textId="77777777" w:rsidR="00E67F89" w:rsidRPr="00E67F89" w:rsidRDefault="00E67F89" w:rsidP="00E67F89">
            <w:r w:rsidRPr="00E67F89">
              <w:t xml:space="preserve">Absence de considération de l’étude/ analyse quantitative de la consommation en eau, </w:t>
            </w:r>
            <w:r w:rsidRPr="00E67F89">
              <w:lastRenderedPageBreak/>
              <w:t>avant la mise en œuvre de projet dans le cadre national malagasy.</w:t>
            </w:r>
          </w:p>
          <w:p w14:paraId="48F9C56F" w14:textId="77777777" w:rsidR="00E67F89" w:rsidRPr="00E67F89" w:rsidRDefault="00E67F89" w:rsidP="00E67F89">
            <w:r w:rsidRPr="00E67F89">
              <w:t>Le Projet se conformera aux exigences de la NES 3.</w:t>
            </w:r>
          </w:p>
        </w:tc>
      </w:tr>
      <w:tr w:rsidR="00E67F89" w:rsidRPr="00E67F89" w14:paraId="373F10C9" w14:textId="77777777" w:rsidTr="00223F64">
        <w:tc>
          <w:tcPr>
            <w:tcW w:w="0" w:type="auto"/>
          </w:tcPr>
          <w:p w14:paraId="04C8FE65" w14:textId="77777777" w:rsidR="00E67F89" w:rsidRPr="00E67F89" w:rsidRDefault="00E67F89" w:rsidP="00E67F89">
            <w:r w:rsidRPr="00E67F89">
              <w:t xml:space="preserve">Contrôle et surveillance de la ressource en eau </w:t>
            </w:r>
          </w:p>
        </w:tc>
        <w:tc>
          <w:tcPr>
            <w:tcW w:w="0" w:type="auto"/>
          </w:tcPr>
          <w:p w14:paraId="2DD42CF4" w14:textId="77777777" w:rsidR="00E67F89" w:rsidRPr="00E67F89" w:rsidRDefault="00E67F89" w:rsidP="00E67F89"/>
        </w:tc>
        <w:tc>
          <w:tcPr>
            <w:tcW w:w="0" w:type="auto"/>
          </w:tcPr>
          <w:p w14:paraId="3FCD5253" w14:textId="77777777" w:rsidR="00E67F89" w:rsidRPr="00E67F89" w:rsidRDefault="00E67F89" w:rsidP="00E67F89">
            <w:r w:rsidRPr="00E67F89">
              <w:t>Néant</w:t>
            </w:r>
          </w:p>
        </w:tc>
        <w:tc>
          <w:tcPr>
            <w:tcW w:w="0" w:type="auto"/>
          </w:tcPr>
          <w:p w14:paraId="42DC1125" w14:textId="77777777" w:rsidR="00E67F89" w:rsidRPr="00E67F89" w:rsidRDefault="00E67F89" w:rsidP="00E67F89">
            <w:r w:rsidRPr="00E67F89">
              <w:t xml:space="preserve">Code de l’Eau </w:t>
            </w:r>
          </w:p>
        </w:tc>
        <w:tc>
          <w:tcPr>
            <w:tcW w:w="0" w:type="auto"/>
          </w:tcPr>
          <w:p w14:paraId="0F8A8DDD" w14:textId="77777777" w:rsidR="00E67F89" w:rsidRPr="00E67F89" w:rsidRDefault="00E67F89" w:rsidP="00E67F89">
            <w:r w:rsidRPr="00E67F89">
              <w:t>Existence de système de surveillance au sein de l’Administration des installations, ouvrages, travaux et activités réalisés, entraînant des prélèvements sur les eaux superficielles ou souterraines, restituées ou non et pouvant avoir une incidence sur le niveau, la qualité, et le mode d’écoulement des eaux. Il en est de même des</w:t>
            </w:r>
          </w:p>
          <w:p w14:paraId="51710D75" w14:textId="77777777" w:rsidR="00E67F89" w:rsidRPr="00E67F89" w:rsidRDefault="00E67F89" w:rsidP="00E67F89">
            <w:r w:rsidRPr="00E67F89">
              <w:t>déversements chroniques ou épisodiques même non polluants [Article 5]</w:t>
            </w:r>
          </w:p>
        </w:tc>
        <w:tc>
          <w:tcPr>
            <w:tcW w:w="0" w:type="auto"/>
          </w:tcPr>
          <w:p w14:paraId="791E27DA" w14:textId="77777777" w:rsidR="00E67F89" w:rsidRPr="00E67F89" w:rsidRDefault="00E67F89" w:rsidP="00E67F89">
            <w:r w:rsidRPr="00E67F89">
              <w:t xml:space="preserve">Le contrôle et la surveillance n’est pas citée dans la NES 3. </w:t>
            </w:r>
          </w:p>
          <w:p w14:paraId="14EBDB0C" w14:textId="77777777" w:rsidR="00E67F89" w:rsidRPr="00E67F89" w:rsidRDefault="00E67F89" w:rsidP="00E67F89">
            <w:r w:rsidRPr="00E67F89">
              <w:t xml:space="preserve">Le Projet se conformera aux dispositions du Code de l’Eau. </w:t>
            </w:r>
          </w:p>
        </w:tc>
      </w:tr>
      <w:tr w:rsidR="00E67F89" w:rsidRPr="00E67F89" w14:paraId="08F02DE5" w14:textId="77777777" w:rsidTr="00223F64">
        <w:tc>
          <w:tcPr>
            <w:tcW w:w="0" w:type="auto"/>
          </w:tcPr>
          <w:p w14:paraId="0973B60E" w14:textId="77777777" w:rsidR="00E67F89" w:rsidRPr="00E67F89" w:rsidRDefault="00E67F89" w:rsidP="00E67F89">
            <w:r w:rsidRPr="00E67F89">
              <w:lastRenderedPageBreak/>
              <w:t xml:space="preserve">Etude d’impact des projets d’approvisionnement en eau </w:t>
            </w:r>
          </w:p>
        </w:tc>
        <w:tc>
          <w:tcPr>
            <w:tcW w:w="0" w:type="auto"/>
          </w:tcPr>
          <w:p w14:paraId="371BF20E" w14:textId="77777777" w:rsidR="00E67F89" w:rsidRPr="00E67F89" w:rsidRDefault="00E67F89" w:rsidP="00E67F89">
            <w:r w:rsidRPr="00E67F89">
              <w:t>9</w:t>
            </w:r>
          </w:p>
          <w:p w14:paraId="4621DB0D" w14:textId="77777777" w:rsidR="00E67F89" w:rsidRPr="00E67F89" w:rsidRDefault="00E67F89" w:rsidP="00E67F89"/>
          <w:p w14:paraId="1BDD6501" w14:textId="77777777" w:rsidR="00E67F89" w:rsidRPr="00E67F89" w:rsidRDefault="00E67F89" w:rsidP="00E67F89"/>
          <w:p w14:paraId="1778A4B1" w14:textId="77777777" w:rsidR="00E67F89" w:rsidRPr="00E67F89" w:rsidRDefault="00E67F89" w:rsidP="00E67F89">
            <w:r w:rsidRPr="00E67F89">
              <w:t>NO.9.1</w:t>
            </w:r>
          </w:p>
        </w:tc>
        <w:tc>
          <w:tcPr>
            <w:tcW w:w="0" w:type="auto"/>
          </w:tcPr>
          <w:p w14:paraId="0A52DF2A" w14:textId="77777777" w:rsidR="00E67F89" w:rsidRPr="00E67F89" w:rsidRDefault="00E67F89" w:rsidP="00E67F89">
            <w:r w:rsidRPr="00E67F89">
              <w:t>Déterminer l’impact cumulatif potentiel de la consommation en eau, sur les communautés, les autres usagers, et l’environnement et les services éco systémiques</w:t>
            </w:r>
          </w:p>
          <w:p w14:paraId="2847FEF7" w14:textId="77777777" w:rsidR="00E67F89" w:rsidRPr="00E67F89" w:rsidRDefault="00E67F89" w:rsidP="00E67F89">
            <w:r w:rsidRPr="00E67F89">
              <w:t>Formuler et mettre en œuvre des mesures d’atténuation appropriées</w:t>
            </w:r>
          </w:p>
          <w:p w14:paraId="6D0CFFC0" w14:textId="77777777" w:rsidR="00E67F89" w:rsidRPr="00E67F89" w:rsidRDefault="00E67F89" w:rsidP="00E67F89">
            <w:r w:rsidRPr="00E67F89">
              <w:t xml:space="preserve">L’évaluation environnementale et sociale traite les effets sur les eaux de surface et les eaux souterraines, les effets sur la qualité et la quantité de l’eau, </w:t>
            </w:r>
          </w:p>
        </w:tc>
        <w:tc>
          <w:tcPr>
            <w:tcW w:w="0" w:type="auto"/>
          </w:tcPr>
          <w:p w14:paraId="26BC6788" w14:textId="77777777" w:rsidR="00E67F89" w:rsidRPr="00E67F89" w:rsidRDefault="00E67F89" w:rsidP="00E67F89">
            <w:r w:rsidRPr="00E67F89">
              <w:t>DECRET N°2003-793</w:t>
            </w:r>
          </w:p>
        </w:tc>
        <w:tc>
          <w:tcPr>
            <w:tcW w:w="0" w:type="auto"/>
          </w:tcPr>
          <w:p w14:paraId="24DC8CC6" w14:textId="77777777" w:rsidR="00E67F89" w:rsidRPr="00E67F89" w:rsidRDefault="00E67F89" w:rsidP="00E67F89">
            <w:r w:rsidRPr="00E67F89">
              <w:t>Nécessité de réaliser une étude d’impact des prélèvements portant sur les incidences et les impacts du prélèvement sur le milieu physique, (2) sur le milieu biologique, (3) sur le milieu humain [Article 6]</w:t>
            </w:r>
          </w:p>
          <w:p w14:paraId="3C113C88" w14:textId="77777777" w:rsidR="00E67F89" w:rsidRPr="00E67F89" w:rsidRDefault="00E67F89" w:rsidP="00E67F89">
            <w:r w:rsidRPr="00E67F89">
              <w:t>Identification de mesures d’atténuation et de compensation pour pallier aux conséquences dommageables du prélèvement sur l’environnement [Article 6]</w:t>
            </w:r>
          </w:p>
        </w:tc>
        <w:tc>
          <w:tcPr>
            <w:tcW w:w="0" w:type="auto"/>
          </w:tcPr>
          <w:p w14:paraId="7C4BF483" w14:textId="77777777" w:rsidR="00E67F89" w:rsidRPr="00E67F89" w:rsidRDefault="00E67F89" w:rsidP="00E67F89">
            <w:r w:rsidRPr="00E67F89">
              <w:t>Correspondance entre le Cadre national et la NES 3</w:t>
            </w:r>
          </w:p>
        </w:tc>
      </w:tr>
      <w:tr w:rsidR="00E67F89" w:rsidRPr="00E67F89" w14:paraId="5DB94523" w14:textId="77777777" w:rsidTr="00223F64">
        <w:tc>
          <w:tcPr>
            <w:tcW w:w="0" w:type="auto"/>
            <w:gridSpan w:val="6"/>
          </w:tcPr>
          <w:p w14:paraId="011D57AD" w14:textId="77777777" w:rsidR="00E67F89" w:rsidRPr="00E67F89" w:rsidRDefault="00E67F89" w:rsidP="00E67F89">
            <w:r w:rsidRPr="00E67F89">
              <w:t>Utilisation des matières premières (C)</w:t>
            </w:r>
          </w:p>
        </w:tc>
      </w:tr>
      <w:tr w:rsidR="00E67F89" w:rsidRPr="00E67F89" w14:paraId="4764ED49" w14:textId="77777777" w:rsidTr="00223F64">
        <w:tc>
          <w:tcPr>
            <w:tcW w:w="0" w:type="auto"/>
          </w:tcPr>
          <w:p w14:paraId="279E3FE3" w14:textId="77777777" w:rsidR="00E67F89" w:rsidRPr="00E67F89" w:rsidRDefault="00E67F89" w:rsidP="00E67F89">
            <w:r w:rsidRPr="00E67F89">
              <w:t>Utilisation rationnelle des matières premières</w:t>
            </w:r>
          </w:p>
        </w:tc>
        <w:tc>
          <w:tcPr>
            <w:tcW w:w="0" w:type="auto"/>
          </w:tcPr>
          <w:p w14:paraId="7D05A32E" w14:textId="77777777" w:rsidR="00E67F89" w:rsidRPr="00E67F89" w:rsidRDefault="00E67F89" w:rsidP="00E67F89">
            <w:r w:rsidRPr="00E67F89">
              <w:t>NO 10.1</w:t>
            </w:r>
          </w:p>
        </w:tc>
        <w:tc>
          <w:tcPr>
            <w:tcW w:w="0" w:type="auto"/>
          </w:tcPr>
          <w:p w14:paraId="5C5212FF" w14:textId="77777777" w:rsidR="00E67F89" w:rsidRPr="00E67F89" w:rsidRDefault="00E67F89" w:rsidP="00E67F89">
            <w:r w:rsidRPr="00E67F89">
              <w:t>Réduire des coûts de production et de la main d’œuvre</w:t>
            </w:r>
          </w:p>
          <w:p w14:paraId="53AFA112" w14:textId="77777777" w:rsidR="00E67F89" w:rsidRPr="00E67F89" w:rsidRDefault="00E67F89" w:rsidP="00E67F89">
            <w:r w:rsidRPr="00E67F89">
              <w:t>Réduire les quantités des matières premières utilisées par le projet</w:t>
            </w:r>
          </w:p>
          <w:p w14:paraId="13C3009D" w14:textId="77777777" w:rsidR="00E67F89" w:rsidRPr="00E67F89" w:rsidRDefault="00E67F89" w:rsidP="00E67F89">
            <w:r w:rsidRPr="00E67F89">
              <w:t xml:space="preserve">Diminuer et recycler des déchets </w:t>
            </w:r>
          </w:p>
          <w:p w14:paraId="3AFB4F0B" w14:textId="77777777" w:rsidR="00E67F89" w:rsidRPr="00E67F89" w:rsidRDefault="00E67F89" w:rsidP="00E67F89">
            <w:r w:rsidRPr="00E67F89">
              <w:t>Se référer aux Directives EES générales</w:t>
            </w:r>
          </w:p>
        </w:tc>
        <w:tc>
          <w:tcPr>
            <w:tcW w:w="0" w:type="auto"/>
          </w:tcPr>
          <w:p w14:paraId="561421D3" w14:textId="77777777" w:rsidR="00E67F89" w:rsidRPr="00E67F89" w:rsidRDefault="00E67F89" w:rsidP="00E67F89"/>
          <w:p w14:paraId="5D628AC5" w14:textId="77777777" w:rsidR="00E67F89" w:rsidRPr="00E67F89" w:rsidRDefault="00E67F89" w:rsidP="00E67F89"/>
          <w:p w14:paraId="28728FB8" w14:textId="77777777" w:rsidR="00E67F89" w:rsidRPr="00E67F89" w:rsidRDefault="00E67F89" w:rsidP="00E67F89">
            <w:r w:rsidRPr="00E67F89">
              <w:t xml:space="preserve">Charte de l’Environnement actualisée </w:t>
            </w:r>
          </w:p>
        </w:tc>
        <w:tc>
          <w:tcPr>
            <w:tcW w:w="0" w:type="auto"/>
          </w:tcPr>
          <w:p w14:paraId="4E004BC0" w14:textId="77777777" w:rsidR="00E67F89" w:rsidRPr="00E67F89" w:rsidRDefault="00E67F89" w:rsidP="00E67F89">
            <w:r w:rsidRPr="00E67F89">
              <w:t>Aucune disposition sur l’utilisation rationnelle des matières premières</w:t>
            </w:r>
          </w:p>
          <w:p w14:paraId="7C66F0A5" w14:textId="77777777" w:rsidR="00E67F89" w:rsidRPr="00E67F89" w:rsidRDefault="00E67F89" w:rsidP="00E67F89">
            <w:r w:rsidRPr="00E67F89">
              <w:t>Promouvoir un système efficace de gestion de tous les déchets nationaux tels que : les déchets médicaux, agricoles, industriels et ménagers [Article 20].</w:t>
            </w:r>
          </w:p>
        </w:tc>
        <w:tc>
          <w:tcPr>
            <w:tcW w:w="0" w:type="auto"/>
          </w:tcPr>
          <w:p w14:paraId="142AD95D" w14:textId="77777777" w:rsidR="00E67F89" w:rsidRPr="00E67F89" w:rsidRDefault="00E67F89" w:rsidP="00E67F89">
            <w:r w:rsidRPr="00E67F89">
              <w:t>Le cadre national malagasy ne prévoit pas de dispositions réglementaires pour la gestion rationnelle des matières premières.</w:t>
            </w:r>
          </w:p>
          <w:p w14:paraId="4AE17C28" w14:textId="77777777" w:rsidR="00E67F89" w:rsidRPr="00E67F89" w:rsidRDefault="00E67F89" w:rsidP="00E67F89">
            <w:r w:rsidRPr="00E67F89">
              <w:t>Le Projet se conformera aux exigences de la NES 3.</w:t>
            </w:r>
          </w:p>
        </w:tc>
      </w:tr>
      <w:tr w:rsidR="00E67F89" w:rsidRPr="00E67F89" w14:paraId="61423773" w14:textId="77777777" w:rsidTr="00223F64">
        <w:tc>
          <w:tcPr>
            <w:tcW w:w="0" w:type="auto"/>
            <w:gridSpan w:val="6"/>
            <w:shd w:val="clear" w:color="auto" w:fill="E7E6E6" w:themeFill="background2"/>
          </w:tcPr>
          <w:p w14:paraId="05EFF2CC" w14:textId="77777777" w:rsidR="00E67F89" w:rsidRPr="00E67F89" w:rsidRDefault="00E67F89" w:rsidP="00E67F89">
            <w:r w:rsidRPr="00E67F89">
              <w:t>Prévention de la gestion des pollutions (D)</w:t>
            </w:r>
          </w:p>
        </w:tc>
      </w:tr>
      <w:tr w:rsidR="00E67F89" w:rsidRPr="00E67F89" w14:paraId="4EC97ED6" w14:textId="77777777" w:rsidTr="00223F64">
        <w:tc>
          <w:tcPr>
            <w:tcW w:w="0" w:type="auto"/>
          </w:tcPr>
          <w:p w14:paraId="44563196" w14:textId="77777777" w:rsidR="00E67F89" w:rsidRPr="00E67F89" w:rsidRDefault="00E67F89" w:rsidP="00E67F89"/>
        </w:tc>
        <w:tc>
          <w:tcPr>
            <w:tcW w:w="0" w:type="auto"/>
          </w:tcPr>
          <w:p w14:paraId="39B9162B" w14:textId="77777777" w:rsidR="00E67F89" w:rsidRPr="00E67F89" w:rsidRDefault="00E67F89" w:rsidP="00E67F89"/>
        </w:tc>
        <w:tc>
          <w:tcPr>
            <w:tcW w:w="0" w:type="auto"/>
          </w:tcPr>
          <w:p w14:paraId="0C943ED3" w14:textId="77777777" w:rsidR="00E67F89" w:rsidRPr="00E67F89" w:rsidRDefault="00E67F89" w:rsidP="00E67F89">
            <w:r w:rsidRPr="00E67F89">
              <w:t xml:space="preserve">Eviter les rejets de polluants </w:t>
            </w:r>
          </w:p>
          <w:p w14:paraId="2E3AD7E8" w14:textId="77777777" w:rsidR="00E67F89" w:rsidRPr="00E67F89" w:rsidRDefault="00E67F89" w:rsidP="00E67F89">
            <w:r w:rsidRPr="00E67F89">
              <w:lastRenderedPageBreak/>
              <w:t>Procéder à une analyse approfondie incluant l’examen de la source, la nature et l’ampleur des émissions ou des rejets, de leurs interactions avec l’écosystème</w:t>
            </w:r>
          </w:p>
          <w:p w14:paraId="22799C0D" w14:textId="77777777" w:rsidR="00E67F89" w:rsidRPr="00E67F89" w:rsidRDefault="00E67F89" w:rsidP="00E67F89">
            <w:r w:rsidRPr="00E67F89">
              <w:t>Suivi des émissions des déchets : selon la nature, l’intensité et la variabilité, des émissions</w:t>
            </w:r>
          </w:p>
        </w:tc>
        <w:tc>
          <w:tcPr>
            <w:tcW w:w="0" w:type="auto"/>
          </w:tcPr>
          <w:p w14:paraId="2E645E1D" w14:textId="77777777" w:rsidR="00E67F89" w:rsidRPr="00E67F89" w:rsidRDefault="00E67F89" w:rsidP="00E67F89"/>
        </w:tc>
        <w:tc>
          <w:tcPr>
            <w:tcW w:w="0" w:type="auto"/>
          </w:tcPr>
          <w:p w14:paraId="5B7B4BA3" w14:textId="77777777" w:rsidR="00E67F89" w:rsidRPr="00E67F89" w:rsidRDefault="00E67F89" w:rsidP="00E67F89"/>
        </w:tc>
        <w:tc>
          <w:tcPr>
            <w:tcW w:w="0" w:type="auto"/>
          </w:tcPr>
          <w:p w14:paraId="24118289" w14:textId="77777777" w:rsidR="00E67F89" w:rsidRPr="00E67F89" w:rsidRDefault="00E67F89" w:rsidP="00E67F89"/>
        </w:tc>
      </w:tr>
      <w:tr w:rsidR="00E67F89" w:rsidRPr="00E67F89" w14:paraId="45C71058" w14:textId="77777777" w:rsidTr="00223F64">
        <w:tc>
          <w:tcPr>
            <w:tcW w:w="0" w:type="auto"/>
            <w:gridSpan w:val="6"/>
          </w:tcPr>
          <w:p w14:paraId="2313B302" w14:textId="77777777" w:rsidR="00E67F89" w:rsidRPr="00E67F89" w:rsidRDefault="00E67F89" w:rsidP="00E67F89">
            <w:r w:rsidRPr="00E67F89">
              <w:t xml:space="preserve">Gestion de la pollution atmosphérique </w:t>
            </w:r>
          </w:p>
        </w:tc>
      </w:tr>
      <w:tr w:rsidR="00E67F89" w:rsidRPr="00E67F89" w14:paraId="2DC653F2" w14:textId="77777777" w:rsidTr="00223F64">
        <w:tc>
          <w:tcPr>
            <w:tcW w:w="0" w:type="auto"/>
          </w:tcPr>
          <w:p w14:paraId="00CAD7CA" w14:textId="77777777" w:rsidR="00E67F89" w:rsidRPr="00E67F89" w:rsidRDefault="00E67F89" w:rsidP="00E67F89">
            <w:r w:rsidRPr="00E67F89">
              <w:t>Définition de la pollution atmosphérique</w:t>
            </w:r>
          </w:p>
        </w:tc>
        <w:tc>
          <w:tcPr>
            <w:tcW w:w="0" w:type="auto"/>
          </w:tcPr>
          <w:p w14:paraId="00C50F5E" w14:textId="77777777" w:rsidR="00E67F89" w:rsidRPr="00E67F89" w:rsidRDefault="00E67F89" w:rsidP="00E67F89">
            <w:r w:rsidRPr="00E67F89">
              <w:t>15</w:t>
            </w:r>
          </w:p>
        </w:tc>
        <w:tc>
          <w:tcPr>
            <w:tcW w:w="0" w:type="auto"/>
          </w:tcPr>
          <w:p w14:paraId="22EB385B" w14:textId="77777777" w:rsidR="00E67F89" w:rsidRPr="00E67F89" w:rsidRDefault="00E67F89" w:rsidP="00E67F89">
            <w:r w:rsidRPr="00E67F89">
              <w:t>Emission de polluants atmosphériques (souvent associés à la combustion de combustibles fossiles) tels que les oxydes d’azote (NOx), le dioxyde de soufre (SO2), le monoxyde de carbone (CO), les particules fines ainsi que d’autres contaminants, y compris les GES</w:t>
            </w:r>
          </w:p>
        </w:tc>
        <w:tc>
          <w:tcPr>
            <w:tcW w:w="0" w:type="auto"/>
          </w:tcPr>
          <w:p w14:paraId="34DDCAAB" w14:textId="77777777" w:rsidR="00E67F89" w:rsidRPr="00E67F89" w:rsidRDefault="00E67F89" w:rsidP="00E67F89">
            <w:r w:rsidRPr="00E67F89">
              <w:t>Loi 099- 021</w:t>
            </w:r>
          </w:p>
        </w:tc>
        <w:tc>
          <w:tcPr>
            <w:tcW w:w="0" w:type="auto"/>
          </w:tcPr>
          <w:p w14:paraId="3BB4D7E1" w14:textId="77777777" w:rsidR="00E67F89" w:rsidRPr="00E67F89" w:rsidRDefault="00E67F89" w:rsidP="00E67F89">
            <w:r w:rsidRPr="00E67F89">
              <w:t>Emission dans l’air de substances polluantes, fumées, poussières, gaz toxiques ou corrosifs, odeurs pouvant porter atteinte à la santé de l’homme et à la qualité de l’environnement [Article 34].</w:t>
            </w:r>
          </w:p>
        </w:tc>
        <w:tc>
          <w:tcPr>
            <w:tcW w:w="0" w:type="auto"/>
          </w:tcPr>
          <w:p w14:paraId="23CA9517" w14:textId="77777777" w:rsidR="00E67F89" w:rsidRPr="00E67F89" w:rsidRDefault="00E67F89" w:rsidP="00E67F89">
            <w:r w:rsidRPr="00E67F89">
              <w:t xml:space="preserve">Définition distincte de la pollution atmosphérique entre les deux cadres. La définition est plus générale selon le cadre national, tandis que la NES précise bien les substances chimiques constituant la pollution atmosphérique </w:t>
            </w:r>
          </w:p>
        </w:tc>
      </w:tr>
      <w:tr w:rsidR="00E67F89" w:rsidRPr="00E67F89" w14:paraId="2246ED6C" w14:textId="77777777" w:rsidTr="00223F64">
        <w:tc>
          <w:tcPr>
            <w:tcW w:w="0" w:type="auto"/>
          </w:tcPr>
          <w:p w14:paraId="2C8F346C" w14:textId="77777777" w:rsidR="00E67F89" w:rsidRPr="00E67F89" w:rsidRDefault="00E67F89" w:rsidP="00E67F89">
            <w:r w:rsidRPr="00E67F89">
              <w:t xml:space="preserve">Définition de Gaz à effet de serre </w:t>
            </w:r>
          </w:p>
        </w:tc>
        <w:tc>
          <w:tcPr>
            <w:tcW w:w="0" w:type="auto"/>
          </w:tcPr>
          <w:p w14:paraId="0CDACDFB" w14:textId="77777777" w:rsidR="00E67F89" w:rsidRPr="00E67F89" w:rsidRDefault="00E67F89" w:rsidP="00E67F89">
            <w:r w:rsidRPr="00E67F89">
              <w:t>NO 15.2</w:t>
            </w:r>
          </w:p>
        </w:tc>
        <w:tc>
          <w:tcPr>
            <w:tcW w:w="0" w:type="auto"/>
          </w:tcPr>
          <w:p w14:paraId="411CD93F" w14:textId="77777777" w:rsidR="00E67F89" w:rsidRPr="00E67F89" w:rsidRDefault="00E67F89" w:rsidP="00E67F89">
            <w:r w:rsidRPr="00E67F89">
              <w:t xml:space="preserve">Dioxyde de carbone (CO2), Méthane (CH4), oxyde nitreux (N2O), les hydrocarbures fluorés (HFC), les hydrocarbures perfluorés (PFC), Hexafluorure </w:t>
            </w:r>
            <w:r w:rsidRPr="00E67F89">
              <w:lastRenderedPageBreak/>
              <w:t>de soufre (SF6) et Trifluorure d’azote (NF3).</w:t>
            </w:r>
          </w:p>
        </w:tc>
        <w:tc>
          <w:tcPr>
            <w:tcW w:w="0" w:type="auto"/>
          </w:tcPr>
          <w:p w14:paraId="0AC70F2C" w14:textId="77777777" w:rsidR="00E67F89" w:rsidRPr="00E67F89" w:rsidRDefault="00E67F89" w:rsidP="00E67F89">
            <w:r w:rsidRPr="00E67F89">
              <w:lastRenderedPageBreak/>
              <w:t>Charte de l’Environnement actualisée</w:t>
            </w:r>
          </w:p>
        </w:tc>
        <w:tc>
          <w:tcPr>
            <w:tcW w:w="0" w:type="auto"/>
          </w:tcPr>
          <w:p w14:paraId="119DB0D4" w14:textId="77777777" w:rsidR="00E67F89" w:rsidRPr="00E67F89" w:rsidRDefault="00E67F89" w:rsidP="00E67F89">
            <w:r w:rsidRPr="00E67F89">
              <w:t>Constituants gazeux de l’atmosphère, tant naturels qu’anthropiques qui absorbent et réémettent le rayonnement infrarouge [Article 4].</w:t>
            </w:r>
          </w:p>
        </w:tc>
        <w:tc>
          <w:tcPr>
            <w:tcW w:w="0" w:type="auto"/>
          </w:tcPr>
          <w:p w14:paraId="69955E13" w14:textId="77777777" w:rsidR="00E67F89" w:rsidRPr="00E67F89" w:rsidRDefault="00E67F89" w:rsidP="00E67F89">
            <w:r w:rsidRPr="00E67F89">
              <w:t>Idem à la définition de la pollution atmosphérique</w:t>
            </w:r>
          </w:p>
        </w:tc>
      </w:tr>
      <w:tr w:rsidR="00E67F89" w:rsidRPr="00E67F89" w14:paraId="0BDA6004" w14:textId="77777777" w:rsidTr="00223F64">
        <w:tc>
          <w:tcPr>
            <w:tcW w:w="0" w:type="auto"/>
          </w:tcPr>
          <w:p w14:paraId="160F1F01" w14:textId="77777777" w:rsidR="00E67F89" w:rsidRPr="00E67F89" w:rsidRDefault="00E67F89" w:rsidP="00E67F89">
            <w:r w:rsidRPr="00E67F89">
              <w:t>Collecte de données sur la pollution de l’air</w:t>
            </w:r>
          </w:p>
        </w:tc>
        <w:tc>
          <w:tcPr>
            <w:tcW w:w="0" w:type="auto"/>
          </w:tcPr>
          <w:p w14:paraId="5D2529E0" w14:textId="77777777" w:rsidR="00E67F89" w:rsidRPr="00E67F89" w:rsidRDefault="00E67F89" w:rsidP="00E67F89">
            <w:r w:rsidRPr="00E67F89">
              <w:t>NO 15.1</w:t>
            </w:r>
          </w:p>
        </w:tc>
        <w:tc>
          <w:tcPr>
            <w:tcW w:w="0" w:type="auto"/>
          </w:tcPr>
          <w:p w14:paraId="75C45F46" w14:textId="77777777" w:rsidR="00E67F89" w:rsidRPr="00E67F89" w:rsidRDefault="00E67F89" w:rsidP="00E67F89">
            <w:r w:rsidRPr="00E67F89">
              <w:t xml:space="preserve">Notion de bassin atmosphérique </w:t>
            </w:r>
          </w:p>
          <w:p w14:paraId="0987E5A9" w14:textId="77777777" w:rsidR="00E67F89" w:rsidRPr="00E67F89" w:rsidRDefault="00E67F89" w:rsidP="00E67F89">
            <w:r w:rsidRPr="00E67F89">
              <w:t>Nécessité de la collecte et de l’évaluation de données de référence sur les concentrations ambiantes de paramètres comme les PM10, les PM2,5, le SO2, le NOX et l’ozone troposphérique</w:t>
            </w:r>
          </w:p>
          <w:p w14:paraId="3D824728" w14:textId="77777777" w:rsidR="00E67F89" w:rsidRPr="00E67F89" w:rsidRDefault="00E67F89" w:rsidP="00E67F89">
            <w:r w:rsidRPr="00E67F89">
              <w:t>Nécessité de se conformer aux normes nationales pertinentes de qualité de l’air et aux BPISA.</w:t>
            </w:r>
          </w:p>
        </w:tc>
        <w:tc>
          <w:tcPr>
            <w:tcW w:w="0" w:type="auto"/>
          </w:tcPr>
          <w:p w14:paraId="49F09D4D" w14:textId="77777777" w:rsidR="00E67F89" w:rsidRPr="00E67F89" w:rsidRDefault="00E67F89" w:rsidP="00E67F89">
            <w:r w:rsidRPr="00E67F89">
              <w:t>Néant</w:t>
            </w:r>
          </w:p>
        </w:tc>
        <w:tc>
          <w:tcPr>
            <w:tcW w:w="0" w:type="auto"/>
          </w:tcPr>
          <w:p w14:paraId="2ECF6FA9" w14:textId="77777777" w:rsidR="00E67F89" w:rsidRPr="00E67F89" w:rsidRDefault="00E67F89" w:rsidP="00E67F89"/>
          <w:p w14:paraId="66FB7451" w14:textId="77777777" w:rsidR="00E67F89" w:rsidRPr="00E67F89" w:rsidRDefault="00E67F89" w:rsidP="00E67F89"/>
          <w:p w14:paraId="57AA4408" w14:textId="77777777" w:rsidR="00E67F89" w:rsidRPr="00E67F89" w:rsidRDefault="00E67F89" w:rsidP="00E67F89">
            <w:r w:rsidRPr="00E67F89">
              <w:t>Absence de normes nationales sur la qualité de l’air, à la place on utilise les normes de l’OMS</w:t>
            </w:r>
          </w:p>
        </w:tc>
        <w:tc>
          <w:tcPr>
            <w:tcW w:w="0" w:type="auto"/>
          </w:tcPr>
          <w:p w14:paraId="3A00C35E" w14:textId="77777777" w:rsidR="00E67F89" w:rsidRPr="00E67F89" w:rsidRDefault="00E67F89" w:rsidP="00E67F89">
            <w:r w:rsidRPr="00E67F89">
              <w:t xml:space="preserve">La collecte des données sur la pollution atmosphérique n’est pas réglementée par un cadre national. </w:t>
            </w:r>
          </w:p>
          <w:p w14:paraId="4A53CC88" w14:textId="77777777" w:rsidR="00E67F89" w:rsidRPr="00E67F89" w:rsidRDefault="00E67F89" w:rsidP="00E67F89"/>
        </w:tc>
      </w:tr>
      <w:tr w:rsidR="00E67F89" w:rsidRPr="00E67F89" w14:paraId="386FCE94" w14:textId="77777777" w:rsidTr="00223F64">
        <w:tc>
          <w:tcPr>
            <w:tcW w:w="0" w:type="auto"/>
            <w:vMerge w:val="restart"/>
          </w:tcPr>
          <w:p w14:paraId="53A22E6D" w14:textId="77777777" w:rsidR="00E67F89" w:rsidRPr="00E67F89" w:rsidRDefault="00E67F89" w:rsidP="00E67F89">
            <w:r w:rsidRPr="00E67F89">
              <w:t>Estimation des émissions brutes de GES</w:t>
            </w:r>
          </w:p>
        </w:tc>
        <w:tc>
          <w:tcPr>
            <w:tcW w:w="0" w:type="auto"/>
          </w:tcPr>
          <w:p w14:paraId="0FDBF58D" w14:textId="77777777" w:rsidR="00E67F89" w:rsidRPr="00E67F89" w:rsidRDefault="00E67F89" w:rsidP="00E67F89">
            <w:r w:rsidRPr="00E67F89">
              <w:t>16</w:t>
            </w:r>
          </w:p>
        </w:tc>
        <w:tc>
          <w:tcPr>
            <w:tcW w:w="0" w:type="auto"/>
          </w:tcPr>
          <w:p w14:paraId="0467CF8F" w14:textId="77777777" w:rsidR="00E67F89" w:rsidRPr="00E67F89" w:rsidRDefault="00E67F89" w:rsidP="00E67F89">
            <w:r w:rsidRPr="00E67F89">
              <w:t>Dans le cadre de l’EES, obligation d’estimer les émissions brutes de GES résultant de projet</w:t>
            </w:r>
          </w:p>
        </w:tc>
        <w:tc>
          <w:tcPr>
            <w:tcW w:w="0" w:type="auto"/>
          </w:tcPr>
          <w:p w14:paraId="1D92504E" w14:textId="77777777" w:rsidR="00E67F89" w:rsidRPr="00E67F89" w:rsidRDefault="00E67F89" w:rsidP="00E67F89"/>
        </w:tc>
        <w:tc>
          <w:tcPr>
            <w:tcW w:w="0" w:type="auto"/>
          </w:tcPr>
          <w:p w14:paraId="111F9263" w14:textId="77777777" w:rsidR="00E67F89" w:rsidRPr="00E67F89" w:rsidRDefault="00E67F89" w:rsidP="00E67F89">
            <w:r w:rsidRPr="00E67F89">
              <w:t>Néant</w:t>
            </w:r>
          </w:p>
        </w:tc>
        <w:tc>
          <w:tcPr>
            <w:tcW w:w="0" w:type="auto"/>
          </w:tcPr>
          <w:p w14:paraId="033F8F79" w14:textId="77777777" w:rsidR="00E67F89" w:rsidRPr="00E67F89" w:rsidRDefault="00E67F89" w:rsidP="00E67F89">
            <w:r w:rsidRPr="00E67F89">
              <w:t>La nécessité de l‘estimation mathématique de la pollution atmosphérique fait défaut pour le cadre national</w:t>
            </w:r>
          </w:p>
        </w:tc>
      </w:tr>
      <w:tr w:rsidR="00E67F89" w:rsidRPr="00E67F89" w14:paraId="2CC65DB1" w14:textId="77777777" w:rsidTr="00223F64">
        <w:tc>
          <w:tcPr>
            <w:tcW w:w="0" w:type="auto"/>
            <w:vMerge/>
          </w:tcPr>
          <w:p w14:paraId="3454D165" w14:textId="77777777" w:rsidR="00E67F89" w:rsidRPr="00E67F89" w:rsidRDefault="00E67F89" w:rsidP="00E67F89"/>
        </w:tc>
        <w:tc>
          <w:tcPr>
            <w:tcW w:w="0" w:type="auto"/>
          </w:tcPr>
          <w:p w14:paraId="34F1E111" w14:textId="77777777" w:rsidR="00E67F89" w:rsidRPr="00E67F89" w:rsidRDefault="00E67F89" w:rsidP="00E67F89">
            <w:r w:rsidRPr="00E67F89">
              <w:t>NO 16.2</w:t>
            </w:r>
          </w:p>
        </w:tc>
        <w:tc>
          <w:tcPr>
            <w:tcW w:w="0" w:type="auto"/>
          </w:tcPr>
          <w:p w14:paraId="3E5406B1" w14:textId="77777777" w:rsidR="00E67F89" w:rsidRPr="00E67F89" w:rsidRDefault="00E67F89" w:rsidP="00E67F89">
            <w:r w:rsidRPr="00E67F89">
              <w:t>Instruction de se conformer aux méthodes nationales d’estimation de GES</w:t>
            </w:r>
          </w:p>
          <w:p w14:paraId="38919303" w14:textId="77777777" w:rsidR="00E67F89" w:rsidRPr="00E67F89" w:rsidRDefault="00E67F89" w:rsidP="00E67F89">
            <w:r w:rsidRPr="00E67F89">
              <w:t>Pour la détermination des projets à émissions importantes de pollution atmosphérique, utiliser des méthodes d’estimation des émissions de GES</w:t>
            </w:r>
          </w:p>
          <w:p w14:paraId="43C1A458" w14:textId="77777777" w:rsidR="00E67F89" w:rsidRPr="00E67F89" w:rsidRDefault="00E67F89" w:rsidP="00E67F89"/>
        </w:tc>
        <w:tc>
          <w:tcPr>
            <w:tcW w:w="0" w:type="auto"/>
          </w:tcPr>
          <w:p w14:paraId="76CA9E08" w14:textId="77777777" w:rsidR="00E67F89" w:rsidRPr="00E67F89" w:rsidRDefault="00E67F89" w:rsidP="00E67F89">
            <w:r w:rsidRPr="00E67F89">
              <w:t>Loi 099- 021</w:t>
            </w:r>
          </w:p>
        </w:tc>
        <w:tc>
          <w:tcPr>
            <w:tcW w:w="0" w:type="auto"/>
          </w:tcPr>
          <w:p w14:paraId="561D7F7B" w14:textId="77777777" w:rsidR="00E67F89" w:rsidRPr="00E67F89" w:rsidRDefault="00E67F89" w:rsidP="00E67F89">
            <w:r w:rsidRPr="00E67F89">
              <w:t>Absence de normes nationales sur la qualité de l’air, à la place on utilise les normes de l’OMS</w:t>
            </w:r>
          </w:p>
          <w:p w14:paraId="44B08526" w14:textId="77777777" w:rsidR="00E67F89" w:rsidRPr="00E67F89" w:rsidRDefault="00E67F89" w:rsidP="00E67F89">
            <w:r w:rsidRPr="00E67F89">
              <w:t>Pour le contrôle des émissions gazeuses, la loi établit la fixation par voie d’Arrêté interministériel des valeurs-limites des paramètres physico-chimiques, toxicologiques et écotoxicologiques [Article 35].</w:t>
            </w:r>
          </w:p>
        </w:tc>
        <w:tc>
          <w:tcPr>
            <w:tcW w:w="0" w:type="auto"/>
          </w:tcPr>
          <w:p w14:paraId="42F0D91F" w14:textId="77777777" w:rsidR="00E67F89" w:rsidRPr="00E67F89" w:rsidRDefault="00E67F89" w:rsidP="00E67F89">
            <w:r w:rsidRPr="00E67F89">
              <w:t xml:space="preserve">Différence relative à la conjoncture de la réalisation de l’évaluation quantitative des émissions gazeuses ; Pour la NES, on doit faire l’estimation en tant que données de référence, donc avant la mise en œuvre d’un projet. Tandis que le cadre national prévoit seulement </w:t>
            </w:r>
            <w:r w:rsidRPr="00E67F89">
              <w:lastRenderedPageBreak/>
              <w:t>l’estimation lors d’un contrôle à postériori des émissions gazeuses.</w:t>
            </w:r>
          </w:p>
        </w:tc>
      </w:tr>
      <w:tr w:rsidR="00E67F89" w:rsidRPr="00E67F89" w14:paraId="2B52443B" w14:textId="77777777" w:rsidTr="00223F64">
        <w:tc>
          <w:tcPr>
            <w:tcW w:w="0" w:type="auto"/>
          </w:tcPr>
          <w:p w14:paraId="51052A90" w14:textId="77777777" w:rsidR="00E67F89" w:rsidRPr="00E67F89" w:rsidRDefault="00E67F89" w:rsidP="00E67F89">
            <w:r w:rsidRPr="00E67F89">
              <w:t xml:space="preserve">Pollution des eaux </w:t>
            </w:r>
          </w:p>
        </w:tc>
        <w:tc>
          <w:tcPr>
            <w:tcW w:w="0" w:type="auto"/>
          </w:tcPr>
          <w:p w14:paraId="4E3EB94B" w14:textId="77777777" w:rsidR="00E67F89" w:rsidRPr="00E67F89" w:rsidRDefault="00E67F89" w:rsidP="00E67F89">
            <w:r w:rsidRPr="00E67F89">
              <w:t>7</w:t>
            </w:r>
          </w:p>
        </w:tc>
        <w:tc>
          <w:tcPr>
            <w:tcW w:w="0" w:type="auto"/>
          </w:tcPr>
          <w:p w14:paraId="57574A10" w14:textId="77777777" w:rsidR="00E67F89" w:rsidRPr="00E67F89" w:rsidRDefault="00E67F89" w:rsidP="00E67F89">
            <w:r w:rsidRPr="00E67F89">
              <w:t>Porter attention aux incidences sur la qualité de l’eau (par les eaux usées et les déchets contaminés par les sous-projets)</w:t>
            </w:r>
          </w:p>
          <w:p w14:paraId="4AC11D28" w14:textId="77777777" w:rsidR="00E67F89" w:rsidRPr="00E67F89" w:rsidRDefault="00E67F89" w:rsidP="00E67F89">
            <w:r w:rsidRPr="00E67F89">
              <w:t>Réduction ou élimination du ruissellement d’eaux polluées sur le site</w:t>
            </w:r>
          </w:p>
          <w:p w14:paraId="6D885D19" w14:textId="77777777" w:rsidR="00E67F89" w:rsidRPr="00E67F89" w:rsidRDefault="00E67F89" w:rsidP="00E67F89">
            <w:r w:rsidRPr="00E67F89">
              <w:t xml:space="preserve">Contrôle des sources polluantes après l’achèvement des projets </w:t>
            </w:r>
          </w:p>
          <w:p w14:paraId="2368728F" w14:textId="77777777" w:rsidR="00E67F89" w:rsidRPr="00E67F89" w:rsidRDefault="00E67F89" w:rsidP="00E67F89">
            <w:r w:rsidRPr="00E67F89">
              <w:t>Traitement des eaux contaminées avant leur rejet</w:t>
            </w:r>
          </w:p>
          <w:p w14:paraId="78FF8FC5" w14:textId="77777777" w:rsidR="00E67F89" w:rsidRPr="00E67F89" w:rsidRDefault="00E67F89" w:rsidP="00E67F89"/>
        </w:tc>
        <w:tc>
          <w:tcPr>
            <w:tcW w:w="0" w:type="auto"/>
          </w:tcPr>
          <w:p w14:paraId="7F3B5EC4" w14:textId="77777777" w:rsidR="00E67F89" w:rsidRPr="00E67F89" w:rsidRDefault="00E67F89" w:rsidP="00E67F89">
            <w:r w:rsidRPr="00E67F89">
              <w:t>Code de l’eau</w:t>
            </w:r>
          </w:p>
          <w:p w14:paraId="23AF7C1E" w14:textId="77777777" w:rsidR="00E67F89" w:rsidRPr="00E67F89" w:rsidRDefault="00E67F89" w:rsidP="00E67F89"/>
          <w:p w14:paraId="1E394891" w14:textId="77777777" w:rsidR="00E67F89" w:rsidRPr="00E67F89" w:rsidRDefault="00E67F89" w:rsidP="00E67F89"/>
          <w:p w14:paraId="16A1A8F6" w14:textId="77777777" w:rsidR="00E67F89" w:rsidRPr="00E67F89" w:rsidRDefault="00E67F89" w:rsidP="00E67F89"/>
          <w:p w14:paraId="52DBA761" w14:textId="77777777" w:rsidR="00E67F89" w:rsidRPr="00E67F89" w:rsidRDefault="00E67F89" w:rsidP="00E67F89"/>
          <w:p w14:paraId="4FB10F0D" w14:textId="77777777" w:rsidR="00E67F89" w:rsidRPr="00E67F89" w:rsidRDefault="00E67F89" w:rsidP="00E67F89"/>
          <w:p w14:paraId="569B4541" w14:textId="77777777" w:rsidR="00E67F89" w:rsidRPr="00E67F89" w:rsidRDefault="00E67F89" w:rsidP="00E67F89">
            <w:r w:rsidRPr="00E67F89">
              <w:t>Décret N° 2003-943</w:t>
            </w:r>
          </w:p>
          <w:p w14:paraId="1DBCBF28" w14:textId="77777777" w:rsidR="00E67F89" w:rsidRPr="00E67F89" w:rsidRDefault="00E67F89" w:rsidP="00E67F89"/>
          <w:p w14:paraId="6CFE34A0" w14:textId="77777777" w:rsidR="00E67F89" w:rsidRPr="00E67F89" w:rsidRDefault="00E67F89" w:rsidP="00E67F89"/>
          <w:p w14:paraId="6F35C8D2" w14:textId="77777777" w:rsidR="00E67F89" w:rsidRPr="00E67F89" w:rsidRDefault="00E67F89" w:rsidP="00E67F89">
            <w:r w:rsidRPr="00E67F89">
              <w:t>Décret N°2003-464</w:t>
            </w:r>
          </w:p>
        </w:tc>
        <w:tc>
          <w:tcPr>
            <w:tcW w:w="0" w:type="auto"/>
          </w:tcPr>
          <w:p w14:paraId="7D66134D" w14:textId="77777777" w:rsidR="00E67F89" w:rsidRPr="00E67F89" w:rsidRDefault="00E67F89" w:rsidP="00E67F89">
            <w:r w:rsidRPr="00E67F89">
              <w:t>Interdiction de jeter ou de disposer dans les bassins versants des matières insalubres qui sont susceptibles d’entraîner une dégradation qualitative et quantitative des caractéristiques de la ressource en eau [Article 24]</w:t>
            </w:r>
          </w:p>
          <w:p w14:paraId="4FFF6A48" w14:textId="77777777" w:rsidR="00E67F89" w:rsidRPr="00E67F89" w:rsidRDefault="00E67F89" w:rsidP="00E67F89">
            <w:r w:rsidRPr="00E67F89">
              <w:t>Pollution des eaux : Envisager des mesures pour prévenir les dangers si toute activité source de pollution pour la ressource en eau [Article 12]</w:t>
            </w:r>
          </w:p>
          <w:p w14:paraId="149D28FF" w14:textId="77777777" w:rsidR="00E67F89" w:rsidRPr="00E67F89" w:rsidRDefault="00E67F89" w:rsidP="00E67F89">
            <w:r w:rsidRPr="00E67F89">
              <w:t>Principe de pollueur-payeur : pour tout auteur de pollution [Article 12]</w:t>
            </w:r>
          </w:p>
          <w:p w14:paraId="6C3A7422" w14:textId="77777777" w:rsidR="00E67F89" w:rsidRPr="00E67F89" w:rsidRDefault="00E67F89" w:rsidP="00E67F89">
            <w:r w:rsidRPr="00E67F89">
              <w:t>Les déversements susceptibles d’altérer la qualité de l’eau superficielle et souterraine sont soumis à une autorisation de l’Agence de bassin versant [Article 6]</w:t>
            </w:r>
          </w:p>
          <w:p w14:paraId="198630B8" w14:textId="77777777" w:rsidR="00E67F89" w:rsidRPr="00E67F89" w:rsidRDefault="00E67F89" w:rsidP="00E67F89">
            <w:r w:rsidRPr="00E67F89">
              <w:lastRenderedPageBreak/>
              <w:t>Existence de normes de rejets [Article 11]</w:t>
            </w:r>
          </w:p>
          <w:p w14:paraId="4C07B9C4" w14:textId="77777777" w:rsidR="00E67F89" w:rsidRPr="00E67F89" w:rsidRDefault="00E67F89" w:rsidP="00E67F89">
            <w:r w:rsidRPr="00E67F89">
              <w:t>Obligation de faire une analyse des caractéristiques physiques, chimiques, biologiques, bactériologique d’une eau usée avant des déversements [Article 6]</w:t>
            </w:r>
          </w:p>
        </w:tc>
        <w:tc>
          <w:tcPr>
            <w:tcW w:w="0" w:type="auto"/>
          </w:tcPr>
          <w:p w14:paraId="5F6E7383" w14:textId="77777777" w:rsidR="00E67F89" w:rsidRPr="00E67F89" w:rsidRDefault="00E67F89" w:rsidP="00E67F89">
            <w:r w:rsidRPr="00E67F89">
              <w:lastRenderedPageBreak/>
              <w:t>Correspondance entre le cadre national et la NES 3.</w:t>
            </w:r>
          </w:p>
        </w:tc>
      </w:tr>
      <w:tr w:rsidR="00E67F89" w:rsidRPr="00E67F89" w14:paraId="2121D89E" w14:textId="77777777" w:rsidTr="00223F64">
        <w:tc>
          <w:tcPr>
            <w:tcW w:w="0" w:type="auto"/>
            <w:gridSpan w:val="6"/>
          </w:tcPr>
          <w:p w14:paraId="0E104488" w14:textId="77777777" w:rsidR="00E67F89" w:rsidRPr="00E67F89" w:rsidRDefault="00E67F89" w:rsidP="00E67F89">
            <w:r w:rsidRPr="00E67F89">
              <w:t>Gestion des déchets dangereux et non dangereux</w:t>
            </w:r>
          </w:p>
        </w:tc>
      </w:tr>
      <w:tr w:rsidR="00E67F89" w:rsidRPr="00E67F89" w14:paraId="381A6FEF" w14:textId="77777777" w:rsidTr="00223F64">
        <w:tc>
          <w:tcPr>
            <w:tcW w:w="0" w:type="auto"/>
          </w:tcPr>
          <w:p w14:paraId="2A7FFC9E" w14:textId="77777777" w:rsidR="00E67F89" w:rsidRPr="00E67F89" w:rsidRDefault="00E67F89" w:rsidP="00E67F89">
            <w:r w:rsidRPr="00E67F89">
              <w:t>Définition de déchets dangereux</w:t>
            </w:r>
          </w:p>
        </w:tc>
        <w:tc>
          <w:tcPr>
            <w:tcW w:w="0" w:type="auto"/>
          </w:tcPr>
          <w:p w14:paraId="0B0AFD5D" w14:textId="77777777" w:rsidR="00E67F89" w:rsidRPr="00E67F89" w:rsidRDefault="00E67F89" w:rsidP="00E67F89">
            <w:r w:rsidRPr="00E67F89">
              <w:t>NO 18.1</w:t>
            </w:r>
          </w:p>
        </w:tc>
        <w:tc>
          <w:tcPr>
            <w:tcW w:w="0" w:type="auto"/>
          </w:tcPr>
          <w:p w14:paraId="3FA68298" w14:textId="77777777" w:rsidR="00E67F89" w:rsidRPr="00E67F89" w:rsidRDefault="00E67F89" w:rsidP="00E67F89">
            <w:r w:rsidRPr="00E67F89">
              <w:t xml:space="preserve">Ces déchets dangereux comprennent les explosifs ; les gaz comprimés, y compris les gaz toxiques ou inflammables ; les liquides inflammables ; les solides inflammables ; les substances oxydantes ; les matières toxiques ; les matières radioactives, y compris les déchets médicaux radioactifs ; les substances corrosives ; les engrais chimiques ; les produits d’amendement des sols ; les substances chimiques, les huiles et autres hydrocarbures ; les peintures ; les pesticides ; les herbicides ; les fongicides ; </w:t>
            </w:r>
            <w:r w:rsidRPr="00E67F89">
              <w:lastRenderedPageBreak/>
              <w:t>l’amiante ; les déchets métalliques ; les déchets d’hôpitaux ; les piles usées ; les ampoules fluorescentes et les ballasts ; les sous-produits de l’incinération des plastiques à basse température ; les métaux lourds (Pb, Cr, Cd et Hg) ; les déchets contenant de la dioxine ; les PCB contenus dans les équipements électriques.</w:t>
            </w:r>
          </w:p>
        </w:tc>
        <w:tc>
          <w:tcPr>
            <w:tcW w:w="0" w:type="auto"/>
          </w:tcPr>
          <w:p w14:paraId="71ECE8B1" w14:textId="77777777" w:rsidR="00E67F89" w:rsidRPr="00E67F89" w:rsidRDefault="00E67F89" w:rsidP="00E67F89">
            <w:r w:rsidRPr="00E67F89">
              <w:lastRenderedPageBreak/>
              <w:t>Néant</w:t>
            </w:r>
          </w:p>
          <w:p w14:paraId="28A7C896" w14:textId="77777777" w:rsidR="00E67F89" w:rsidRPr="00E67F89" w:rsidRDefault="00E67F89" w:rsidP="00E67F89"/>
          <w:p w14:paraId="47C6E6C0" w14:textId="77777777" w:rsidR="00E67F89" w:rsidRPr="00E67F89" w:rsidRDefault="00E67F89" w:rsidP="00E67F89"/>
          <w:p w14:paraId="348F3FCC" w14:textId="77777777" w:rsidR="00E67F89" w:rsidRPr="00E67F89" w:rsidRDefault="00E67F89" w:rsidP="00E67F89">
            <w:r w:rsidRPr="00E67F89">
              <w:t>Loi 099- 021</w:t>
            </w:r>
          </w:p>
        </w:tc>
        <w:tc>
          <w:tcPr>
            <w:tcW w:w="0" w:type="auto"/>
          </w:tcPr>
          <w:p w14:paraId="768F4C19" w14:textId="77777777" w:rsidR="00E67F89" w:rsidRPr="00E67F89" w:rsidRDefault="00E67F89" w:rsidP="00E67F89">
            <w:r w:rsidRPr="00E67F89">
              <w:t>Il n’y a pas de définition officielle des produits dangereux selon le cadre national.</w:t>
            </w:r>
          </w:p>
          <w:p w14:paraId="726756DC" w14:textId="77777777" w:rsidR="00E67F89" w:rsidRPr="00E67F89" w:rsidRDefault="00E67F89" w:rsidP="00E67F89">
            <w:r w:rsidRPr="00E67F89">
              <w:t xml:space="preserve">La Loi utilise le terme de « substances polluantes », par leur nature et leur degré de concentration, qui peuvent déséquilibrer le milieu récepteur (air, sol, eaux...) et créer des dangers ou des inconvénients, des troubles de toute nature soit pour la commodité de voisinage, soit pour la santé, la sécurité, l’hygiène et la salubrité publique, soit pour les cultures ou forêts, plus généralement pour les activités agricoles ou </w:t>
            </w:r>
            <w:r w:rsidRPr="00E67F89">
              <w:lastRenderedPageBreak/>
              <w:t>d’élevage, soit pour les cultures ou forêts, plus généralement pour les activités agricoles ou d’élevages, soit par la préservation des éléments du patrimoine national y compris les sites et les monuments. [Article 5].</w:t>
            </w:r>
          </w:p>
        </w:tc>
        <w:tc>
          <w:tcPr>
            <w:tcW w:w="0" w:type="auto"/>
          </w:tcPr>
          <w:p w14:paraId="017C38D3" w14:textId="77777777" w:rsidR="00E67F89" w:rsidRPr="00E67F89" w:rsidRDefault="00E67F89" w:rsidP="00E67F89">
            <w:r w:rsidRPr="00E67F89">
              <w:lastRenderedPageBreak/>
              <w:t>Les deux définitions sont différentes mais complémentaires. Si la NES définit avec précision et la nature et donne la liste des produits et des substances, le cadre national détermine les substances dangereuses à partir des effets et des conséquences directes de ces substances sur les milieux récepteurs.</w:t>
            </w:r>
          </w:p>
          <w:p w14:paraId="159CB6B8" w14:textId="77777777" w:rsidR="00E67F89" w:rsidRPr="00E67F89" w:rsidRDefault="00E67F89" w:rsidP="00E67F89">
            <w:r w:rsidRPr="00E67F89">
              <w:t>Le Projet prend en compte les deux définitions complémentaires.</w:t>
            </w:r>
          </w:p>
        </w:tc>
      </w:tr>
      <w:tr w:rsidR="00E67F89" w:rsidRPr="00E67F89" w14:paraId="47B1C260" w14:textId="77777777" w:rsidTr="00223F64">
        <w:tc>
          <w:tcPr>
            <w:tcW w:w="0" w:type="auto"/>
          </w:tcPr>
          <w:p w14:paraId="694506EA" w14:textId="77777777" w:rsidR="00E67F89" w:rsidRPr="00E67F89" w:rsidRDefault="00E67F89" w:rsidP="00E67F89">
            <w:r w:rsidRPr="00E67F89">
              <w:t xml:space="preserve">Hiérarchie d’atténuation des risques de dangers </w:t>
            </w:r>
          </w:p>
        </w:tc>
        <w:tc>
          <w:tcPr>
            <w:tcW w:w="0" w:type="auto"/>
          </w:tcPr>
          <w:p w14:paraId="18273480" w14:textId="77777777" w:rsidR="00E67F89" w:rsidRPr="00E67F89" w:rsidRDefault="00E67F89" w:rsidP="00E67F89">
            <w:r w:rsidRPr="00E67F89">
              <w:t>17</w:t>
            </w:r>
          </w:p>
        </w:tc>
        <w:tc>
          <w:tcPr>
            <w:tcW w:w="0" w:type="auto"/>
          </w:tcPr>
          <w:p w14:paraId="3315BEC9" w14:textId="77777777" w:rsidR="00E67F89" w:rsidRPr="00E67F89" w:rsidRDefault="00E67F89" w:rsidP="00E67F89">
            <w:r w:rsidRPr="00E67F89">
              <w:t xml:space="preserve">Notion de la hiérarchie d’atténuation : construction, exploitation, clôture, déclassement du projet </w:t>
            </w:r>
          </w:p>
        </w:tc>
        <w:tc>
          <w:tcPr>
            <w:tcW w:w="0" w:type="auto"/>
          </w:tcPr>
          <w:p w14:paraId="6444E5E8" w14:textId="77777777" w:rsidR="00E67F89" w:rsidRPr="00E67F89" w:rsidRDefault="00E67F89" w:rsidP="00E67F89"/>
        </w:tc>
        <w:tc>
          <w:tcPr>
            <w:tcW w:w="0" w:type="auto"/>
          </w:tcPr>
          <w:p w14:paraId="4234DAA9" w14:textId="77777777" w:rsidR="00E67F89" w:rsidRPr="00E67F89" w:rsidRDefault="00E67F89" w:rsidP="00E67F89">
            <w:r w:rsidRPr="00E67F89">
              <w:t>Néant</w:t>
            </w:r>
          </w:p>
        </w:tc>
        <w:tc>
          <w:tcPr>
            <w:tcW w:w="0" w:type="auto"/>
          </w:tcPr>
          <w:p w14:paraId="00B55606" w14:textId="77777777" w:rsidR="00E67F89" w:rsidRPr="00E67F89" w:rsidRDefault="00E67F89" w:rsidP="00E67F89">
            <w:r w:rsidRPr="00E67F89">
              <w:t>Le Projet considérera cette notion de hiérarchie d’atténuation.</w:t>
            </w:r>
          </w:p>
        </w:tc>
      </w:tr>
      <w:tr w:rsidR="00E67F89" w:rsidRPr="00E67F89" w14:paraId="4C4F9C47" w14:textId="77777777" w:rsidTr="00223F64">
        <w:tc>
          <w:tcPr>
            <w:tcW w:w="0" w:type="auto"/>
          </w:tcPr>
          <w:p w14:paraId="097ABE70" w14:textId="77777777" w:rsidR="00E67F89" w:rsidRPr="00E67F89" w:rsidRDefault="00E67F89" w:rsidP="00E67F89">
            <w:r w:rsidRPr="00E67F89">
              <w:t xml:space="preserve">Analyse des dangers </w:t>
            </w:r>
          </w:p>
        </w:tc>
        <w:tc>
          <w:tcPr>
            <w:tcW w:w="0" w:type="auto"/>
          </w:tcPr>
          <w:p w14:paraId="44E87A4C" w14:textId="77777777" w:rsidR="00E67F89" w:rsidRPr="00E67F89" w:rsidRDefault="00E67F89" w:rsidP="00E67F89">
            <w:r w:rsidRPr="00E67F89">
              <w:t>NO 18.2</w:t>
            </w:r>
          </w:p>
        </w:tc>
        <w:tc>
          <w:tcPr>
            <w:tcW w:w="0" w:type="auto"/>
          </w:tcPr>
          <w:p w14:paraId="25A88483" w14:textId="77777777" w:rsidR="00E67F89" w:rsidRPr="00E67F89" w:rsidRDefault="00E67F89" w:rsidP="00E67F89">
            <w:r w:rsidRPr="00E67F89">
              <w:t>Préconisation d’utilisation d’outils standards d’analyse de dangers : procédure d’identification des dangers HAZID, étude sur les dangers et leur exploitabilité HAZOP, gestion de sécurité des procédés (PSM), analyse quantitative des risques (QRA)</w:t>
            </w:r>
          </w:p>
        </w:tc>
        <w:tc>
          <w:tcPr>
            <w:tcW w:w="0" w:type="auto"/>
          </w:tcPr>
          <w:p w14:paraId="4CF05355" w14:textId="77777777" w:rsidR="00E67F89" w:rsidRPr="00E67F89" w:rsidRDefault="00E67F89" w:rsidP="00E67F89">
            <w:r w:rsidRPr="00E67F89">
              <w:t>Loi 099- 021</w:t>
            </w:r>
          </w:p>
        </w:tc>
        <w:tc>
          <w:tcPr>
            <w:tcW w:w="0" w:type="auto"/>
          </w:tcPr>
          <w:p w14:paraId="3AB9B121" w14:textId="77777777" w:rsidR="00E67F89" w:rsidRPr="00E67F89" w:rsidRDefault="00E67F89" w:rsidP="00E67F89">
            <w:r w:rsidRPr="00E67F89">
              <w:t xml:space="preserve">Existence de système normatif pour la réglementation des valeurs-limites des rejets (solides, gazeux et liquides et sonores). </w:t>
            </w:r>
          </w:p>
          <w:p w14:paraId="00CD233F" w14:textId="77777777" w:rsidR="00E67F89" w:rsidRPr="00E67F89" w:rsidRDefault="00E67F89" w:rsidP="00E67F89">
            <w:r w:rsidRPr="00E67F89">
              <w:t xml:space="preserve">Notion de “norme environnementale ” qui se définit comme la limite fixée à une perturbation de l'environnement en particulier due à la concentration des polluants ou de </w:t>
            </w:r>
            <w:r w:rsidRPr="00E67F89">
              <w:lastRenderedPageBreak/>
              <w:t>déchets, qui correspond à la limite maximale admise à la dégradation du milieu considéré.</w:t>
            </w:r>
          </w:p>
          <w:p w14:paraId="58CDDCB6" w14:textId="77777777" w:rsidR="00E67F89" w:rsidRPr="00E67F89" w:rsidRDefault="00E67F89" w:rsidP="00E67F89">
            <w:r w:rsidRPr="00E67F89">
              <w:t>Les “ valeurs limites ” de rejet sont fixées sur la base des caractéristiques particulières au milieu récepteur. Elles doivent être fixées pour le débit des effluents, la température, le pH, les flux et les concentrations des polluants principaux. [Article 48].</w:t>
            </w:r>
          </w:p>
        </w:tc>
        <w:tc>
          <w:tcPr>
            <w:tcW w:w="0" w:type="auto"/>
          </w:tcPr>
          <w:p w14:paraId="6C990E21" w14:textId="77777777" w:rsidR="00E67F89" w:rsidRPr="00E67F89" w:rsidRDefault="00E67F89" w:rsidP="00E67F89">
            <w:r w:rsidRPr="00E67F89">
              <w:lastRenderedPageBreak/>
              <w:t>Il n’y a pas de correspondance entre les deux cadres. Le cadre national ne stipule pas de procédures spécifiques de l’analyse des dangers. Dans la pratique, on se réfère aux pratiques d’usage dans les laboratoires et des centres d’analyses.</w:t>
            </w:r>
          </w:p>
          <w:p w14:paraId="46BFEF64" w14:textId="77777777" w:rsidR="00E67F89" w:rsidRPr="00E67F89" w:rsidRDefault="00E67F89" w:rsidP="00E67F89">
            <w:r w:rsidRPr="00E67F89">
              <w:lastRenderedPageBreak/>
              <w:t>Le Projet se conformera aux dispositions nationales.</w:t>
            </w:r>
          </w:p>
        </w:tc>
      </w:tr>
      <w:tr w:rsidR="00E67F89" w:rsidRPr="00E67F89" w14:paraId="3BA52429" w14:textId="77777777" w:rsidTr="00223F64">
        <w:tc>
          <w:tcPr>
            <w:tcW w:w="0" w:type="auto"/>
          </w:tcPr>
          <w:p w14:paraId="252B3E8A" w14:textId="77777777" w:rsidR="00E67F89" w:rsidRPr="00E67F89" w:rsidRDefault="00E67F89" w:rsidP="00E67F89">
            <w:r w:rsidRPr="00E67F89">
              <w:t>Actions de lutte contre les dangers</w:t>
            </w:r>
          </w:p>
        </w:tc>
        <w:tc>
          <w:tcPr>
            <w:tcW w:w="0" w:type="auto"/>
          </w:tcPr>
          <w:p w14:paraId="070AF972" w14:textId="77777777" w:rsidR="00E67F89" w:rsidRPr="00E67F89" w:rsidRDefault="00E67F89" w:rsidP="00E67F89">
            <w:r w:rsidRPr="00E67F89">
              <w:t>NO 18.2</w:t>
            </w:r>
          </w:p>
        </w:tc>
        <w:tc>
          <w:tcPr>
            <w:tcW w:w="0" w:type="auto"/>
          </w:tcPr>
          <w:p w14:paraId="4B103E90" w14:textId="77777777" w:rsidR="00E67F89" w:rsidRPr="00E67F89" w:rsidRDefault="00E67F89" w:rsidP="00E67F89">
            <w:r w:rsidRPr="00E67F89">
              <w:t>Nécessité de préparer un plan de lutte, si en cas de risques de déversement des produits dangereux. Le plan de lutte comporte les actions de prévention et d’intervention</w:t>
            </w:r>
          </w:p>
        </w:tc>
        <w:tc>
          <w:tcPr>
            <w:tcW w:w="0" w:type="auto"/>
          </w:tcPr>
          <w:p w14:paraId="493D0456" w14:textId="77777777" w:rsidR="00E67F89" w:rsidRPr="00E67F89" w:rsidRDefault="00E67F89" w:rsidP="00E67F89">
            <w:r w:rsidRPr="00E67F89">
              <w:t>Loi 099- 021</w:t>
            </w:r>
          </w:p>
        </w:tc>
        <w:tc>
          <w:tcPr>
            <w:tcW w:w="0" w:type="auto"/>
          </w:tcPr>
          <w:p w14:paraId="44DC31E8" w14:textId="77777777" w:rsidR="00E67F89" w:rsidRPr="00E67F89" w:rsidRDefault="00E67F89" w:rsidP="00E67F89">
            <w:r w:rsidRPr="00E67F89">
              <w:t>Nécessité de définir des mesures d’urgence en cas d’atteinte de l’environnement par les pollutions. Les mesures sont de trois types : (1) mesures préventives par la forme d’une injonction du Ministère en charge de l’industrie, (2) Suspension ou arrêt des activités polluantes, (3) mesures de réparation. [Articles 91 à 99]</w:t>
            </w:r>
          </w:p>
        </w:tc>
        <w:tc>
          <w:tcPr>
            <w:tcW w:w="0" w:type="auto"/>
          </w:tcPr>
          <w:p w14:paraId="4E7362E1" w14:textId="77777777" w:rsidR="00E67F89" w:rsidRPr="00E67F89" w:rsidRDefault="00E67F89" w:rsidP="00E67F89">
            <w:r w:rsidRPr="00E67F89">
              <w:t>Correspondance entre la NES 3 et le cadre légal malagasy</w:t>
            </w:r>
          </w:p>
        </w:tc>
      </w:tr>
      <w:tr w:rsidR="00E67F89" w:rsidRPr="00E67F89" w14:paraId="040068E1" w14:textId="77777777" w:rsidTr="00223F64">
        <w:tc>
          <w:tcPr>
            <w:tcW w:w="0" w:type="auto"/>
          </w:tcPr>
          <w:p w14:paraId="49690B3E" w14:textId="77777777" w:rsidR="00E67F89" w:rsidRPr="00E67F89" w:rsidRDefault="00E67F89" w:rsidP="00E67F89">
            <w:r w:rsidRPr="00E67F89">
              <w:t>Information sur les substances dangereuses</w:t>
            </w:r>
          </w:p>
        </w:tc>
        <w:tc>
          <w:tcPr>
            <w:tcW w:w="0" w:type="auto"/>
          </w:tcPr>
          <w:p w14:paraId="5DE114E6" w14:textId="77777777" w:rsidR="00E67F89" w:rsidRPr="00E67F89" w:rsidRDefault="00E67F89" w:rsidP="00E67F89">
            <w:r w:rsidRPr="00E67F89">
              <w:t>NO 18.2</w:t>
            </w:r>
          </w:p>
        </w:tc>
        <w:tc>
          <w:tcPr>
            <w:tcW w:w="0" w:type="auto"/>
          </w:tcPr>
          <w:p w14:paraId="1EEBB16B" w14:textId="77777777" w:rsidR="00E67F89" w:rsidRPr="00E67F89" w:rsidRDefault="00E67F89" w:rsidP="00E67F89">
            <w:r w:rsidRPr="00E67F89">
              <w:t xml:space="preserve">Nécessité d’informer les parties prenantes dont les travailleurs </w:t>
            </w:r>
            <w:r w:rsidRPr="00E67F89">
              <w:lastRenderedPageBreak/>
              <w:t>sur les risques et les mesures de gestion des matières dangereuses</w:t>
            </w:r>
          </w:p>
        </w:tc>
        <w:tc>
          <w:tcPr>
            <w:tcW w:w="0" w:type="auto"/>
          </w:tcPr>
          <w:p w14:paraId="530224FF" w14:textId="77777777" w:rsidR="00E67F89" w:rsidRPr="00E67F89" w:rsidRDefault="00E67F89" w:rsidP="00E67F89">
            <w:r w:rsidRPr="00E67F89">
              <w:lastRenderedPageBreak/>
              <w:t>Loi 099- 021</w:t>
            </w:r>
          </w:p>
        </w:tc>
        <w:tc>
          <w:tcPr>
            <w:tcW w:w="0" w:type="auto"/>
          </w:tcPr>
          <w:p w14:paraId="14521D49" w14:textId="77777777" w:rsidR="00E67F89" w:rsidRPr="00E67F89" w:rsidRDefault="00E67F89" w:rsidP="00E67F89">
            <w:r w:rsidRPr="00E67F89">
              <w:t xml:space="preserve">La gestion des pollutions industrielles considère les mesures relatives à l'information </w:t>
            </w:r>
            <w:r w:rsidRPr="00E67F89">
              <w:lastRenderedPageBreak/>
              <w:t>environnementale, à la sensibilisation et à la mobilisation de l'opinion publique et au droit à l'information [Article 11]</w:t>
            </w:r>
          </w:p>
          <w:p w14:paraId="2D3A3A69" w14:textId="77777777" w:rsidR="00E67F89" w:rsidRPr="00E67F89" w:rsidRDefault="00E67F89" w:rsidP="00E67F89">
            <w:r w:rsidRPr="00E67F89">
              <w:t>Le secteur privé, la société civile, le citoyen ont le droit et le devoir de s'informer sur tout problème environnemental créé par les activités industrielles, notamment lorsque celles-ci comportent des risques et des dangers potentiels [Article 17]</w:t>
            </w:r>
          </w:p>
          <w:p w14:paraId="2DDF8D29" w14:textId="77777777" w:rsidR="00E67F89" w:rsidRPr="00E67F89" w:rsidRDefault="00E67F89" w:rsidP="00E67F89">
            <w:r w:rsidRPr="00E67F89">
              <w:t>Le système légal assure l'accès de chaque citoyen à l'information la plus large sur les problèmes environnementaux créés par les activités industrielles, particulièrement lorsque celles-ci présentent des causes graves dangers. [Article 22]</w:t>
            </w:r>
          </w:p>
        </w:tc>
        <w:tc>
          <w:tcPr>
            <w:tcW w:w="0" w:type="auto"/>
          </w:tcPr>
          <w:p w14:paraId="74372E84" w14:textId="77777777" w:rsidR="00E67F89" w:rsidRPr="00E67F89" w:rsidRDefault="00E67F89" w:rsidP="00E67F89">
            <w:r w:rsidRPr="00E67F89">
              <w:lastRenderedPageBreak/>
              <w:t>Correspondance entre la NES 3 et le cadre légal national</w:t>
            </w:r>
          </w:p>
        </w:tc>
      </w:tr>
      <w:tr w:rsidR="00E67F89" w:rsidRPr="00E67F89" w14:paraId="0699C8AF" w14:textId="77777777" w:rsidTr="00223F64">
        <w:tc>
          <w:tcPr>
            <w:tcW w:w="0" w:type="auto"/>
          </w:tcPr>
          <w:p w14:paraId="1EC43B02" w14:textId="77777777" w:rsidR="00E67F89" w:rsidRPr="00E67F89" w:rsidRDefault="00E67F89" w:rsidP="00E67F89">
            <w:r w:rsidRPr="00E67F89">
              <w:t>Classement des déchets dangereux</w:t>
            </w:r>
          </w:p>
        </w:tc>
        <w:tc>
          <w:tcPr>
            <w:tcW w:w="0" w:type="auto"/>
          </w:tcPr>
          <w:p w14:paraId="69188933" w14:textId="77777777" w:rsidR="00E67F89" w:rsidRPr="00E67F89" w:rsidRDefault="00E67F89" w:rsidP="00E67F89">
            <w:r w:rsidRPr="00E67F89">
              <w:t>NO 18.3</w:t>
            </w:r>
          </w:p>
        </w:tc>
        <w:tc>
          <w:tcPr>
            <w:tcW w:w="0" w:type="auto"/>
          </w:tcPr>
          <w:p w14:paraId="6D5462AF" w14:textId="77777777" w:rsidR="00E67F89" w:rsidRPr="00E67F89" w:rsidRDefault="00E67F89" w:rsidP="00E67F89">
            <w:r w:rsidRPr="00E67F89">
              <w:t>Classement par type des déchets dangereux : ceux à gérer et ceux à éliminer</w:t>
            </w:r>
          </w:p>
        </w:tc>
        <w:tc>
          <w:tcPr>
            <w:tcW w:w="0" w:type="auto"/>
          </w:tcPr>
          <w:p w14:paraId="595AC8C3" w14:textId="77777777" w:rsidR="00E67F89" w:rsidRPr="00E67F89" w:rsidRDefault="00E67F89" w:rsidP="00E67F89"/>
        </w:tc>
        <w:tc>
          <w:tcPr>
            <w:tcW w:w="0" w:type="auto"/>
          </w:tcPr>
          <w:p w14:paraId="0AD4BDFB" w14:textId="77777777" w:rsidR="00E67F89" w:rsidRPr="00E67F89" w:rsidRDefault="00E67F89" w:rsidP="00E67F89">
            <w:r w:rsidRPr="00E67F89">
              <w:t>Absence de classement des déchets dangereux selon le cadre national</w:t>
            </w:r>
          </w:p>
        </w:tc>
        <w:tc>
          <w:tcPr>
            <w:tcW w:w="0" w:type="auto"/>
          </w:tcPr>
          <w:p w14:paraId="1E88F132" w14:textId="77777777" w:rsidR="00E67F89" w:rsidRPr="00E67F89" w:rsidRDefault="00E67F89" w:rsidP="00E67F89">
            <w:r w:rsidRPr="00E67F89">
              <w:t>Le Projet procédera au classement des déchets dangereux selon les exigences de la NES 3.</w:t>
            </w:r>
          </w:p>
        </w:tc>
      </w:tr>
      <w:tr w:rsidR="00E67F89" w:rsidRPr="00E67F89" w14:paraId="0905ADD6" w14:textId="77777777" w:rsidTr="00223F64">
        <w:tc>
          <w:tcPr>
            <w:tcW w:w="0" w:type="auto"/>
          </w:tcPr>
          <w:p w14:paraId="54B499EB" w14:textId="77777777" w:rsidR="00E67F89" w:rsidRPr="00E67F89" w:rsidRDefault="00E67F89" w:rsidP="00E67F89">
            <w:r w:rsidRPr="00E67F89">
              <w:lastRenderedPageBreak/>
              <w:t>Elimination des déchets dangereux</w:t>
            </w:r>
          </w:p>
        </w:tc>
        <w:tc>
          <w:tcPr>
            <w:tcW w:w="0" w:type="auto"/>
          </w:tcPr>
          <w:p w14:paraId="2F81BCFD" w14:textId="77777777" w:rsidR="00E67F89" w:rsidRPr="00E67F89" w:rsidRDefault="00E67F89" w:rsidP="00E67F89">
            <w:r w:rsidRPr="00E67F89">
              <w:t>NO 18.3</w:t>
            </w:r>
          </w:p>
          <w:p w14:paraId="1F3C0FFA" w14:textId="77777777" w:rsidR="00E67F89" w:rsidRPr="00E67F89" w:rsidRDefault="00E67F89" w:rsidP="00E67F89"/>
          <w:p w14:paraId="5E3DAA08" w14:textId="77777777" w:rsidR="00E67F89" w:rsidRPr="00E67F89" w:rsidRDefault="00E67F89" w:rsidP="00E67F89">
            <w:r w:rsidRPr="00E67F89">
              <w:t>NO 18.4</w:t>
            </w:r>
          </w:p>
        </w:tc>
        <w:tc>
          <w:tcPr>
            <w:tcW w:w="0" w:type="auto"/>
          </w:tcPr>
          <w:p w14:paraId="7EB0E84B" w14:textId="77777777" w:rsidR="00E67F89" w:rsidRPr="00E67F89" w:rsidRDefault="00E67F89" w:rsidP="00E67F89">
            <w:r w:rsidRPr="00E67F89">
              <w:t>Préconisation d’élimination par méthode BPISA (Bonnes pratiques internationales d’un secteur d’activité)</w:t>
            </w:r>
            <w:r w:rsidRPr="00E67F89">
              <w:footnoteReference w:id="27"/>
            </w:r>
          </w:p>
          <w:p w14:paraId="63CC7AF5" w14:textId="77777777" w:rsidR="00E67F89" w:rsidRPr="00E67F89" w:rsidRDefault="00E67F89" w:rsidP="00E67F89">
            <w:r w:rsidRPr="00E67F89">
              <w:t>Mettre en place les propres installations de traitement ou d’élimination</w:t>
            </w:r>
          </w:p>
        </w:tc>
        <w:tc>
          <w:tcPr>
            <w:tcW w:w="0" w:type="auto"/>
          </w:tcPr>
          <w:p w14:paraId="3695F0A1" w14:textId="77777777" w:rsidR="00E67F89" w:rsidRPr="00E67F89" w:rsidRDefault="00E67F89" w:rsidP="00E67F89">
            <w:r w:rsidRPr="00E67F89">
              <w:t>Loi 099- 021</w:t>
            </w:r>
          </w:p>
        </w:tc>
        <w:tc>
          <w:tcPr>
            <w:tcW w:w="0" w:type="auto"/>
          </w:tcPr>
          <w:p w14:paraId="313D3259" w14:textId="77777777" w:rsidR="00E67F89" w:rsidRPr="00E67F89" w:rsidRDefault="00E67F89" w:rsidP="00E67F89">
            <w:r w:rsidRPr="00E67F89">
              <w:t>L’élimination des déchets est une obligation par tout exploitant industriel [Article 9]</w:t>
            </w:r>
          </w:p>
          <w:p w14:paraId="13C13C5A" w14:textId="77777777" w:rsidR="00E67F89" w:rsidRPr="00E67F89" w:rsidRDefault="00E67F89" w:rsidP="00E67F89">
            <w:r w:rsidRPr="00E67F89">
              <w:t>Obligation pour l’exploitant industriel d'aménager des modes d'élimination dans des installations réglementées à cet effet et conçues selon des modes de bonne gestion pour assurer la protection de l'environnement [Article 32]</w:t>
            </w:r>
          </w:p>
          <w:p w14:paraId="77350F20" w14:textId="77777777" w:rsidR="00E67F89" w:rsidRPr="00E67F89" w:rsidRDefault="00E67F89" w:rsidP="00E67F89">
            <w:r w:rsidRPr="00E67F89">
              <w:t>Le cadre prévoit de concevoir à termes des plans nationaux et régionaux d'élimination des déchets solides industriels spéciaux [Article 32]</w:t>
            </w:r>
          </w:p>
        </w:tc>
        <w:tc>
          <w:tcPr>
            <w:tcW w:w="0" w:type="auto"/>
          </w:tcPr>
          <w:p w14:paraId="499234F0" w14:textId="77777777" w:rsidR="00E67F89" w:rsidRPr="00E67F89" w:rsidRDefault="00E67F89" w:rsidP="00E67F89">
            <w:r w:rsidRPr="00E67F89">
              <w:t>Correspondance entre la NES 3 et le cadre légal national</w:t>
            </w:r>
          </w:p>
        </w:tc>
      </w:tr>
      <w:tr w:rsidR="00E67F89" w:rsidRPr="00E67F89" w14:paraId="7AC724DD" w14:textId="77777777" w:rsidTr="00223F64">
        <w:tc>
          <w:tcPr>
            <w:tcW w:w="0" w:type="auto"/>
            <w:gridSpan w:val="6"/>
          </w:tcPr>
          <w:p w14:paraId="39EAABA1" w14:textId="77777777" w:rsidR="00E67F89" w:rsidRPr="00E67F89" w:rsidRDefault="00E67F89" w:rsidP="00E67F89">
            <w:r w:rsidRPr="00E67F89">
              <w:t>Gestion des produits chimiques et des substances dangereuses</w:t>
            </w:r>
          </w:p>
        </w:tc>
      </w:tr>
      <w:tr w:rsidR="00E67F89" w:rsidRPr="00E67F89" w14:paraId="22843375" w14:textId="77777777" w:rsidTr="00223F64">
        <w:tc>
          <w:tcPr>
            <w:tcW w:w="0" w:type="auto"/>
          </w:tcPr>
          <w:p w14:paraId="44DE2945" w14:textId="77777777" w:rsidR="00E67F89" w:rsidRPr="00E67F89" w:rsidRDefault="00E67F89" w:rsidP="00E67F89"/>
        </w:tc>
        <w:tc>
          <w:tcPr>
            <w:tcW w:w="0" w:type="auto"/>
          </w:tcPr>
          <w:p w14:paraId="19E226FE" w14:textId="77777777" w:rsidR="00E67F89" w:rsidRPr="00E67F89" w:rsidRDefault="00E67F89" w:rsidP="00E67F89">
            <w:r w:rsidRPr="00E67F89">
              <w:t>19</w:t>
            </w:r>
          </w:p>
        </w:tc>
        <w:tc>
          <w:tcPr>
            <w:tcW w:w="0" w:type="auto"/>
          </w:tcPr>
          <w:p w14:paraId="13FE9978" w14:textId="77777777" w:rsidR="00E67F89" w:rsidRPr="00E67F89" w:rsidRDefault="00E67F89" w:rsidP="00E67F89">
            <w:r w:rsidRPr="00E67F89">
              <w:t xml:space="preserve">Obligation d’éviter l’utilisation, la fabrication, la commercialisation des produits </w:t>
            </w:r>
            <w:r w:rsidRPr="00E67F89">
              <w:lastRenderedPageBreak/>
              <w:t xml:space="preserve">chimiques et des substances dangereuses </w:t>
            </w:r>
          </w:p>
        </w:tc>
        <w:tc>
          <w:tcPr>
            <w:tcW w:w="0" w:type="auto"/>
          </w:tcPr>
          <w:p w14:paraId="2952571A" w14:textId="77777777" w:rsidR="00E67F89" w:rsidRPr="00E67F89" w:rsidRDefault="00E67F89" w:rsidP="00E67F89"/>
        </w:tc>
        <w:tc>
          <w:tcPr>
            <w:tcW w:w="0" w:type="auto"/>
          </w:tcPr>
          <w:p w14:paraId="56E4575C" w14:textId="77777777" w:rsidR="00E67F89" w:rsidRPr="00E67F89" w:rsidRDefault="00E67F89" w:rsidP="00E67F89"/>
        </w:tc>
        <w:tc>
          <w:tcPr>
            <w:tcW w:w="0" w:type="auto"/>
          </w:tcPr>
          <w:p w14:paraId="10F8593D" w14:textId="77777777" w:rsidR="00E67F89" w:rsidRPr="00E67F89" w:rsidRDefault="00E67F89" w:rsidP="00E67F89"/>
        </w:tc>
      </w:tr>
      <w:tr w:rsidR="00E67F89" w:rsidRPr="00E67F89" w14:paraId="68FE62AC" w14:textId="77777777" w:rsidTr="00223F64">
        <w:tc>
          <w:tcPr>
            <w:tcW w:w="0" w:type="auto"/>
          </w:tcPr>
          <w:p w14:paraId="44B6CF1E" w14:textId="77777777" w:rsidR="00E67F89" w:rsidRPr="00E67F89" w:rsidRDefault="00E67F89" w:rsidP="00E67F89">
            <w:r w:rsidRPr="00E67F89">
              <w:t>Définition des produits chimiques et des substances dangereuses</w:t>
            </w:r>
          </w:p>
        </w:tc>
        <w:tc>
          <w:tcPr>
            <w:tcW w:w="0" w:type="auto"/>
          </w:tcPr>
          <w:p w14:paraId="343493E8" w14:textId="77777777" w:rsidR="00E67F89" w:rsidRPr="00E67F89" w:rsidRDefault="00E67F89" w:rsidP="00E67F89">
            <w:r w:rsidRPr="00E67F89">
              <w:t>NO 19.1</w:t>
            </w:r>
          </w:p>
        </w:tc>
        <w:tc>
          <w:tcPr>
            <w:tcW w:w="0" w:type="auto"/>
          </w:tcPr>
          <w:p w14:paraId="601AF53C" w14:textId="77777777" w:rsidR="00E67F89" w:rsidRPr="00E67F89" w:rsidRDefault="00E67F89" w:rsidP="00E67F89">
            <w:r w:rsidRPr="00E67F89">
              <w:t xml:space="preserve">Définis par les Conventions et traités internationaux : </w:t>
            </w:r>
          </w:p>
          <w:p w14:paraId="053EE35B" w14:textId="77777777" w:rsidR="00E67F89" w:rsidRPr="00E67F89" w:rsidRDefault="00E67F89" w:rsidP="00E67F89">
            <w:r w:rsidRPr="00E67F89">
              <w:t>Convention de Stockholm : polluants organiques persistants (POP)</w:t>
            </w:r>
          </w:p>
          <w:p w14:paraId="58A4C464" w14:textId="77777777" w:rsidR="00E67F89" w:rsidRPr="00E67F89" w:rsidRDefault="00E67F89" w:rsidP="00E67F89">
            <w:r w:rsidRPr="00E67F89">
              <w:t>Convention de Rotterdam : produits chimiques et pesticides dangereux dans le commerce</w:t>
            </w:r>
          </w:p>
          <w:p w14:paraId="440F2238" w14:textId="77777777" w:rsidR="00E67F89" w:rsidRPr="00E67F89" w:rsidRDefault="00E67F89" w:rsidP="00E67F89">
            <w:r w:rsidRPr="00E67F89">
              <w:t>Protocole de Montréal : substances qui appauvrissent la couche d’ozone</w:t>
            </w:r>
          </w:p>
          <w:p w14:paraId="13A09BC8" w14:textId="77777777" w:rsidR="00E67F89" w:rsidRPr="00E67F89" w:rsidRDefault="00E67F89" w:rsidP="00E67F89">
            <w:r w:rsidRPr="00E67F89">
              <w:t>Convention de Bâle : des mouvements transfrontières de déchets dangereux et de leur élimination</w:t>
            </w:r>
          </w:p>
        </w:tc>
        <w:tc>
          <w:tcPr>
            <w:tcW w:w="0" w:type="auto"/>
          </w:tcPr>
          <w:p w14:paraId="13850E8B" w14:textId="77777777" w:rsidR="00E67F89" w:rsidRPr="00E67F89" w:rsidRDefault="00E67F89" w:rsidP="00E67F89"/>
          <w:p w14:paraId="728B9786" w14:textId="77777777" w:rsidR="00E67F89" w:rsidRPr="00E67F89" w:rsidRDefault="00E67F89" w:rsidP="00E67F89">
            <w:r w:rsidRPr="00E67F89">
              <w:t>Loi 2005 -004</w:t>
            </w:r>
          </w:p>
          <w:p w14:paraId="7040F640" w14:textId="77777777" w:rsidR="00E67F89" w:rsidRPr="00E67F89" w:rsidRDefault="00E67F89" w:rsidP="00E67F89">
            <w:r w:rsidRPr="00E67F89">
              <w:t>Loi 2005 -008</w:t>
            </w:r>
          </w:p>
          <w:p w14:paraId="0733D7C9" w14:textId="77777777" w:rsidR="00E67F89" w:rsidRPr="00E67F89" w:rsidRDefault="00E67F89" w:rsidP="00E67F89"/>
          <w:p w14:paraId="6AE9E819" w14:textId="77777777" w:rsidR="00E67F89" w:rsidRPr="00E67F89" w:rsidRDefault="00E67F89" w:rsidP="00E67F89">
            <w:r w:rsidRPr="00E67F89">
              <w:t>Décret N°96-321</w:t>
            </w:r>
          </w:p>
          <w:p w14:paraId="2A79FC1F" w14:textId="77777777" w:rsidR="00E67F89" w:rsidRPr="00E67F89" w:rsidRDefault="00E67F89" w:rsidP="00E67F89">
            <w:r w:rsidRPr="00E67F89">
              <w:t>Loi 98.022</w:t>
            </w:r>
          </w:p>
        </w:tc>
        <w:tc>
          <w:tcPr>
            <w:tcW w:w="0" w:type="auto"/>
          </w:tcPr>
          <w:p w14:paraId="24CA009D" w14:textId="77777777" w:rsidR="00E67F89" w:rsidRPr="00E67F89" w:rsidRDefault="00E67F89" w:rsidP="00E67F89"/>
          <w:p w14:paraId="74864838" w14:textId="77777777" w:rsidR="00E67F89" w:rsidRPr="00E67F89" w:rsidRDefault="00E67F89" w:rsidP="00E67F89">
            <w:r w:rsidRPr="00E67F89">
              <w:t>Ratification de Madagascar de la Convention de Stockholm</w:t>
            </w:r>
          </w:p>
          <w:p w14:paraId="5E8D8D98" w14:textId="77777777" w:rsidR="00E67F89" w:rsidRPr="00E67F89" w:rsidRDefault="00E67F89" w:rsidP="00E67F89">
            <w:r w:rsidRPr="00E67F89">
              <w:t>Ratification de Madagascar de la Convention de Rotterdam</w:t>
            </w:r>
          </w:p>
          <w:p w14:paraId="777DE6CB" w14:textId="77777777" w:rsidR="00E67F89" w:rsidRPr="00E67F89" w:rsidRDefault="00E67F89" w:rsidP="00E67F89">
            <w:r w:rsidRPr="00E67F89">
              <w:t>Ratification de Madagascar du Protocole de Montréal</w:t>
            </w:r>
          </w:p>
          <w:p w14:paraId="340BED23" w14:textId="77777777" w:rsidR="00E67F89" w:rsidRPr="00E67F89" w:rsidRDefault="00E67F89" w:rsidP="00E67F89">
            <w:r w:rsidRPr="00E67F89">
              <w:t>Ratification de Madagascar de la Convention de Bâle</w:t>
            </w:r>
          </w:p>
        </w:tc>
        <w:tc>
          <w:tcPr>
            <w:tcW w:w="0" w:type="auto"/>
          </w:tcPr>
          <w:p w14:paraId="48952710" w14:textId="77777777" w:rsidR="00E67F89" w:rsidRPr="00E67F89" w:rsidRDefault="00E67F89" w:rsidP="00E67F89">
            <w:r w:rsidRPr="00E67F89">
              <w:t>Correspondance entre la NES 3 et le cadre légal national</w:t>
            </w:r>
          </w:p>
          <w:p w14:paraId="1D08785E" w14:textId="77777777" w:rsidR="00E67F89" w:rsidRPr="00E67F89" w:rsidRDefault="00E67F89" w:rsidP="00E67F89"/>
        </w:tc>
      </w:tr>
      <w:tr w:rsidR="00E67F89" w:rsidRPr="00E67F89" w14:paraId="7C7E7E29" w14:textId="77777777" w:rsidTr="00223F64">
        <w:tc>
          <w:tcPr>
            <w:tcW w:w="0" w:type="auto"/>
          </w:tcPr>
          <w:p w14:paraId="021C46FE" w14:textId="77777777" w:rsidR="00E67F89" w:rsidRPr="00E67F89" w:rsidRDefault="00E67F89" w:rsidP="00E67F89"/>
        </w:tc>
        <w:tc>
          <w:tcPr>
            <w:tcW w:w="0" w:type="auto"/>
          </w:tcPr>
          <w:p w14:paraId="11DC1DF9" w14:textId="77777777" w:rsidR="00E67F89" w:rsidRPr="00E67F89" w:rsidRDefault="00E67F89" w:rsidP="00E67F89">
            <w:r w:rsidRPr="00E67F89">
              <w:t>20</w:t>
            </w:r>
          </w:p>
        </w:tc>
        <w:tc>
          <w:tcPr>
            <w:tcW w:w="0" w:type="auto"/>
          </w:tcPr>
          <w:p w14:paraId="44768691" w14:textId="77777777" w:rsidR="00E67F89" w:rsidRPr="00E67F89" w:rsidRDefault="00E67F89" w:rsidP="00E67F89">
            <w:r w:rsidRPr="00E67F89">
              <w:t>Obligation de minimiser et de contrôler le rejet et l’utilisation de substances dangereuses</w:t>
            </w:r>
          </w:p>
        </w:tc>
        <w:tc>
          <w:tcPr>
            <w:tcW w:w="0" w:type="auto"/>
          </w:tcPr>
          <w:p w14:paraId="1215407F" w14:textId="77777777" w:rsidR="00E67F89" w:rsidRPr="00E67F89" w:rsidRDefault="00E67F89" w:rsidP="00E67F89">
            <w:r w:rsidRPr="00E67F89">
              <w:t>Décret N° 92- 284</w:t>
            </w:r>
          </w:p>
          <w:p w14:paraId="5457F71E" w14:textId="77777777" w:rsidR="00E67F89" w:rsidRPr="00E67F89" w:rsidRDefault="00E67F89" w:rsidP="00E67F89"/>
          <w:p w14:paraId="4DB00F77" w14:textId="77777777" w:rsidR="00E67F89" w:rsidRPr="00E67F89" w:rsidRDefault="00E67F89" w:rsidP="00E67F89"/>
          <w:p w14:paraId="764E32B3" w14:textId="77777777" w:rsidR="00E67F89" w:rsidRPr="00E67F89" w:rsidRDefault="00E67F89" w:rsidP="00E67F89">
            <w:r w:rsidRPr="00E67F89">
              <w:t>Décret N° 92- 473</w:t>
            </w:r>
          </w:p>
        </w:tc>
        <w:tc>
          <w:tcPr>
            <w:tcW w:w="0" w:type="auto"/>
          </w:tcPr>
          <w:p w14:paraId="30FC0180" w14:textId="77777777" w:rsidR="00E67F89" w:rsidRPr="00E67F89" w:rsidRDefault="00E67F89" w:rsidP="00E67F89">
            <w:r w:rsidRPr="00E67F89">
              <w:t>Interdiction de l’utilisation des produits organochlorés sur les animaux d’élevage [Article 1]</w:t>
            </w:r>
          </w:p>
          <w:p w14:paraId="4ED26ABC" w14:textId="77777777" w:rsidR="00E67F89" w:rsidRPr="00E67F89" w:rsidRDefault="00E67F89" w:rsidP="00E67F89">
            <w:r w:rsidRPr="00E67F89">
              <w:t xml:space="preserve">Pesticides utilisés en agriculture : Interdiction de l’utilisation de pesticides contenant l’une des matières actives suivantes : chlordane, Dieldrine, Endrine, </w:t>
            </w:r>
            <w:r w:rsidRPr="00E67F89">
              <w:lastRenderedPageBreak/>
              <w:t>Aldrine, HCH, DDT, Aldicarbe, Toxaphène [Article 1, 2, 3]</w:t>
            </w:r>
          </w:p>
          <w:p w14:paraId="795582F6" w14:textId="77777777" w:rsidR="00E67F89" w:rsidRPr="00E67F89" w:rsidRDefault="00E67F89" w:rsidP="00E67F89">
            <w:r w:rsidRPr="00E67F89">
              <w:t>Interdiction d’importation et de l’utilisation de produits à base de Lindane et de Heptachlore</w:t>
            </w:r>
          </w:p>
        </w:tc>
        <w:tc>
          <w:tcPr>
            <w:tcW w:w="0" w:type="auto"/>
          </w:tcPr>
          <w:p w14:paraId="608E214F" w14:textId="77777777" w:rsidR="00E67F89" w:rsidRPr="00E67F89" w:rsidRDefault="00E67F89" w:rsidP="00E67F89">
            <w:r w:rsidRPr="00E67F89">
              <w:lastRenderedPageBreak/>
              <w:t>Correspondance entre la NES 3 et le cadre légal national</w:t>
            </w:r>
          </w:p>
          <w:p w14:paraId="47A0BCF9" w14:textId="77777777" w:rsidR="00E67F89" w:rsidRPr="00E67F89" w:rsidRDefault="00E67F89" w:rsidP="00E67F89"/>
        </w:tc>
      </w:tr>
      <w:tr w:rsidR="00E67F89" w:rsidRPr="00E67F89" w14:paraId="6C0AF923" w14:textId="77777777" w:rsidTr="00223F64">
        <w:tc>
          <w:tcPr>
            <w:tcW w:w="0" w:type="auto"/>
            <w:gridSpan w:val="6"/>
          </w:tcPr>
          <w:p w14:paraId="1BBAE5B4" w14:textId="77777777" w:rsidR="00E67F89" w:rsidRPr="00E67F89" w:rsidRDefault="00E67F89" w:rsidP="00E67F89">
            <w:r w:rsidRPr="00E67F89">
              <w:t>Gestion des pesticides</w:t>
            </w:r>
          </w:p>
        </w:tc>
      </w:tr>
      <w:tr w:rsidR="00E67F89" w:rsidRPr="00E67F89" w14:paraId="6005FFC1" w14:textId="77777777" w:rsidTr="00223F64">
        <w:tc>
          <w:tcPr>
            <w:tcW w:w="0" w:type="auto"/>
          </w:tcPr>
          <w:p w14:paraId="7C04B03E" w14:textId="77777777" w:rsidR="00E67F89" w:rsidRPr="00E67F89" w:rsidRDefault="00E67F89" w:rsidP="00E67F89">
            <w:r w:rsidRPr="00E67F89">
              <w:t>Approche de gestion des pesticides</w:t>
            </w:r>
          </w:p>
        </w:tc>
        <w:tc>
          <w:tcPr>
            <w:tcW w:w="0" w:type="auto"/>
          </w:tcPr>
          <w:p w14:paraId="5AEA3687" w14:textId="77777777" w:rsidR="00E67F89" w:rsidRPr="00E67F89" w:rsidRDefault="00E67F89" w:rsidP="00E67F89">
            <w:r w:rsidRPr="00E67F89">
              <w:t>21</w:t>
            </w:r>
          </w:p>
        </w:tc>
        <w:tc>
          <w:tcPr>
            <w:tcW w:w="0" w:type="auto"/>
          </w:tcPr>
          <w:p w14:paraId="663ACA8F" w14:textId="77777777" w:rsidR="00E67F89" w:rsidRPr="00E67F89" w:rsidRDefault="00E67F89" w:rsidP="00E67F89">
            <w:r w:rsidRPr="00E67F89">
              <w:t>Proposition d’adopter les approches de gestion intégrée des nuisibles et de gestion intégrée des vecteurs</w:t>
            </w:r>
          </w:p>
        </w:tc>
        <w:tc>
          <w:tcPr>
            <w:tcW w:w="0" w:type="auto"/>
          </w:tcPr>
          <w:p w14:paraId="7879B0E7" w14:textId="77777777" w:rsidR="00E67F89" w:rsidRPr="00E67F89" w:rsidRDefault="00E67F89" w:rsidP="00E67F89">
            <w:r w:rsidRPr="00E67F89">
              <w:t>Arrêté Nº15 898-2013</w:t>
            </w:r>
          </w:p>
        </w:tc>
        <w:tc>
          <w:tcPr>
            <w:tcW w:w="0" w:type="auto"/>
          </w:tcPr>
          <w:p w14:paraId="6F848FC4" w14:textId="77777777" w:rsidR="00E67F89" w:rsidRPr="00E67F89" w:rsidRDefault="00E67F89" w:rsidP="00E67F89">
            <w:r w:rsidRPr="00E67F89">
              <w:t>Existence de la Politique Nationale de gestion rationnelle des pesticides</w:t>
            </w:r>
          </w:p>
        </w:tc>
        <w:tc>
          <w:tcPr>
            <w:tcW w:w="0" w:type="auto"/>
          </w:tcPr>
          <w:p w14:paraId="4B8C4A2A" w14:textId="77777777" w:rsidR="00E67F89" w:rsidRPr="00E67F89" w:rsidRDefault="00E67F89" w:rsidP="00E67F89">
            <w:r w:rsidRPr="00E67F89">
              <w:t>Correspondance entre la NES 3 et le cadre légal national</w:t>
            </w:r>
          </w:p>
        </w:tc>
      </w:tr>
      <w:tr w:rsidR="00E67F89" w:rsidRPr="00E67F89" w14:paraId="59BE051F" w14:textId="77777777" w:rsidTr="00223F64">
        <w:tc>
          <w:tcPr>
            <w:tcW w:w="0" w:type="auto"/>
          </w:tcPr>
          <w:p w14:paraId="6131686D" w14:textId="77777777" w:rsidR="00E67F89" w:rsidRPr="00E67F89" w:rsidRDefault="00E67F89" w:rsidP="00E67F89"/>
        </w:tc>
        <w:tc>
          <w:tcPr>
            <w:tcW w:w="0" w:type="auto"/>
          </w:tcPr>
          <w:p w14:paraId="3F800B38" w14:textId="77777777" w:rsidR="00E67F89" w:rsidRPr="00E67F89" w:rsidRDefault="00E67F89" w:rsidP="00E67F89">
            <w:r w:rsidRPr="00E67F89">
              <w:t>NO 22.1</w:t>
            </w:r>
          </w:p>
        </w:tc>
        <w:tc>
          <w:tcPr>
            <w:tcW w:w="0" w:type="auto"/>
          </w:tcPr>
          <w:p w14:paraId="2E3B3338" w14:textId="77777777" w:rsidR="00E67F89" w:rsidRPr="00E67F89" w:rsidRDefault="00E67F89" w:rsidP="00E67F89">
            <w:r w:rsidRPr="00E67F89">
              <w:t>La liste de pesticides proposé d’utiliser doit être vérifiée par rapport aux critères de cancérogénicité, de mutagénicité ou de toxicité</w:t>
            </w:r>
          </w:p>
        </w:tc>
        <w:tc>
          <w:tcPr>
            <w:tcW w:w="0" w:type="auto"/>
          </w:tcPr>
          <w:p w14:paraId="3028B6F3" w14:textId="77777777" w:rsidR="00E67F89" w:rsidRPr="00E67F89" w:rsidRDefault="00E67F89" w:rsidP="00E67F89"/>
          <w:p w14:paraId="24FF4652" w14:textId="77777777" w:rsidR="00E67F89" w:rsidRPr="00E67F89" w:rsidRDefault="00E67F89" w:rsidP="00E67F89"/>
          <w:p w14:paraId="70397A8C" w14:textId="77777777" w:rsidR="00E67F89" w:rsidRPr="00E67F89" w:rsidRDefault="00E67F89" w:rsidP="00E67F89"/>
          <w:p w14:paraId="681F46FE" w14:textId="77777777" w:rsidR="00E67F89" w:rsidRPr="00E67F89" w:rsidRDefault="00E67F89" w:rsidP="00E67F89">
            <w:r w:rsidRPr="00E67F89">
              <w:t xml:space="preserve">Arrêté N°4196/06 </w:t>
            </w:r>
          </w:p>
          <w:p w14:paraId="12F35B1D" w14:textId="77777777" w:rsidR="00E67F89" w:rsidRPr="00E67F89" w:rsidRDefault="00E67F89" w:rsidP="00E67F89"/>
          <w:p w14:paraId="1CFB1D09" w14:textId="77777777" w:rsidR="00E67F89" w:rsidRPr="00E67F89" w:rsidRDefault="00E67F89" w:rsidP="00E67F89"/>
          <w:p w14:paraId="6895B045" w14:textId="77777777" w:rsidR="00E67F89" w:rsidRPr="00E67F89" w:rsidRDefault="00E67F89" w:rsidP="00E67F89"/>
          <w:p w14:paraId="51982447" w14:textId="77777777" w:rsidR="00E67F89" w:rsidRPr="00E67F89" w:rsidRDefault="00E67F89" w:rsidP="00E67F89">
            <w:r w:rsidRPr="00E67F89">
              <w:t xml:space="preserve">Arrête 6225/93 </w:t>
            </w:r>
          </w:p>
        </w:tc>
        <w:tc>
          <w:tcPr>
            <w:tcW w:w="0" w:type="auto"/>
          </w:tcPr>
          <w:p w14:paraId="54B49022" w14:textId="77777777" w:rsidR="00E67F89" w:rsidRPr="00E67F89" w:rsidRDefault="00E67F89" w:rsidP="00E67F89">
            <w:r w:rsidRPr="00E67F89">
              <w:t xml:space="preserve">Etablissement de la liste des produits agropharmaceutiques qui présentent des dangers de toxicité </w:t>
            </w:r>
          </w:p>
          <w:p w14:paraId="2E0A481D" w14:textId="77777777" w:rsidR="00E67F89" w:rsidRPr="00E67F89" w:rsidRDefault="00E67F89" w:rsidP="00E67F89">
            <w:r w:rsidRPr="00E67F89">
              <w:t>Liste des produits pesticides pour l’agriculture à cause de leur toxicité pour l’homme [Article 1]</w:t>
            </w:r>
          </w:p>
          <w:p w14:paraId="5B7D3941" w14:textId="77777777" w:rsidR="00E67F89" w:rsidRPr="00E67F89" w:rsidRDefault="00E67F89" w:rsidP="00E67F89">
            <w:r w:rsidRPr="00E67F89">
              <w:t>Interdiction de l’utilisation de pesticide dont formulation contenant du Fipronil dans la lutte antiacridienne [Article 2]</w:t>
            </w:r>
          </w:p>
          <w:p w14:paraId="6E0A5FB5" w14:textId="77777777" w:rsidR="00E67F89" w:rsidRPr="00E67F89" w:rsidRDefault="00E67F89" w:rsidP="00E67F89">
            <w:r w:rsidRPr="00E67F89">
              <w:t xml:space="preserve">Liste des formulations des produits agropharmaceutiques faisant l’objet de suspension de vente et d’utilisation à cause de leur haute toxicité et de la </w:t>
            </w:r>
            <w:r w:rsidRPr="00E67F89">
              <w:lastRenderedPageBreak/>
              <w:t>bioaccumulation de leurs résidus [Article 1]</w:t>
            </w:r>
          </w:p>
        </w:tc>
        <w:tc>
          <w:tcPr>
            <w:tcW w:w="0" w:type="auto"/>
          </w:tcPr>
          <w:p w14:paraId="1F068E94" w14:textId="77777777" w:rsidR="00E67F89" w:rsidRPr="00E67F89" w:rsidRDefault="00E67F89" w:rsidP="00E67F89">
            <w:r w:rsidRPr="00E67F89">
              <w:lastRenderedPageBreak/>
              <w:t>Complémentarité entre la NES 3 et le cadre légal national</w:t>
            </w:r>
          </w:p>
          <w:p w14:paraId="599885ED" w14:textId="77777777" w:rsidR="00E67F89" w:rsidRPr="00E67F89" w:rsidRDefault="00E67F89" w:rsidP="00E67F89">
            <w:r w:rsidRPr="00E67F89">
              <w:t>Il n’existe pas de critère de vérification pour la législation malagasy</w:t>
            </w:r>
          </w:p>
          <w:p w14:paraId="4B56BDD9" w14:textId="77777777" w:rsidR="00E67F89" w:rsidRPr="00E67F89" w:rsidRDefault="00E67F89" w:rsidP="00E67F89"/>
        </w:tc>
      </w:tr>
      <w:tr w:rsidR="00E67F89" w:rsidRPr="00E67F89" w14:paraId="7AC882AB" w14:textId="77777777" w:rsidTr="00223F64">
        <w:tc>
          <w:tcPr>
            <w:tcW w:w="0" w:type="auto"/>
          </w:tcPr>
          <w:p w14:paraId="69D7678D" w14:textId="77777777" w:rsidR="00E67F89" w:rsidRPr="00E67F89" w:rsidRDefault="00E67F89" w:rsidP="00E67F89"/>
        </w:tc>
        <w:tc>
          <w:tcPr>
            <w:tcW w:w="0" w:type="auto"/>
          </w:tcPr>
          <w:p w14:paraId="07AC7EA4" w14:textId="77777777" w:rsidR="00E67F89" w:rsidRPr="00E67F89" w:rsidRDefault="00E67F89" w:rsidP="00E67F89">
            <w:r w:rsidRPr="00E67F89">
              <w:t>NO 22.2</w:t>
            </w:r>
          </w:p>
        </w:tc>
        <w:tc>
          <w:tcPr>
            <w:tcW w:w="0" w:type="auto"/>
          </w:tcPr>
          <w:p w14:paraId="7F831B10" w14:textId="77777777" w:rsidR="00E67F89" w:rsidRPr="00E67F89" w:rsidRDefault="00E67F89" w:rsidP="00E67F89">
            <w:r w:rsidRPr="00E67F89">
              <w:t>Organiser des formations et des campagnes de sensibilisation à l’intention des personnes appelées à manipuler et appliquer les pesticides pour éviter qu’ils n’aient des effets nocifs sur ces personnes</w:t>
            </w:r>
          </w:p>
        </w:tc>
        <w:tc>
          <w:tcPr>
            <w:tcW w:w="0" w:type="auto"/>
          </w:tcPr>
          <w:p w14:paraId="63B22B92" w14:textId="77777777" w:rsidR="00E67F89" w:rsidRPr="00E67F89" w:rsidRDefault="00E67F89" w:rsidP="00E67F89">
            <w:r w:rsidRPr="00E67F89">
              <w:t>DECRET N°99-798</w:t>
            </w:r>
          </w:p>
        </w:tc>
        <w:tc>
          <w:tcPr>
            <w:tcW w:w="0" w:type="auto"/>
          </w:tcPr>
          <w:p w14:paraId="453E7C7F" w14:textId="77777777" w:rsidR="00E67F89" w:rsidRPr="00E67F89" w:rsidRDefault="00E67F89" w:rsidP="00E67F89">
            <w:r w:rsidRPr="00E67F89">
              <w:t>Obligation de l’importateur des agents de lutte biologique et des biopesticides de dispenser des formations aux distributeurs sur l’utilisation des produits, de diffuser des renseignements concernant la sécurité et l’incidence des agents sur l’environnement [Article 13]</w:t>
            </w:r>
          </w:p>
        </w:tc>
        <w:tc>
          <w:tcPr>
            <w:tcW w:w="0" w:type="auto"/>
          </w:tcPr>
          <w:p w14:paraId="093AE2AA" w14:textId="77777777" w:rsidR="00E67F89" w:rsidRPr="00E67F89" w:rsidRDefault="00E67F89" w:rsidP="00E67F89">
            <w:r w:rsidRPr="00E67F89">
              <w:t>Correspondance entre la NES 3 et le cadre légal national</w:t>
            </w:r>
          </w:p>
          <w:p w14:paraId="33165505" w14:textId="77777777" w:rsidR="00E67F89" w:rsidRPr="00E67F89" w:rsidRDefault="00E67F89" w:rsidP="00E67F89"/>
        </w:tc>
      </w:tr>
      <w:tr w:rsidR="00E67F89" w:rsidRPr="00E67F89" w14:paraId="3EF9154A" w14:textId="77777777" w:rsidTr="00223F64">
        <w:tc>
          <w:tcPr>
            <w:tcW w:w="0" w:type="auto"/>
          </w:tcPr>
          <w:p w14:paraId="7949E2DD" w14:textId="77777777" w:rsidR="00E67F89" w:rsidRPr="00E67F89" w:rsidRDefault="00E67F89" w:rsidP="00E67F89"/>
        </w:tc>
        <w:tc>
          <w:tcPr>
            <w:tcW w:w="0" w:type="auto"/>
          </w:tcPr>
          <w:p w14:paraId="22912528" w14:textId="77777777" w:rsidR="00E67F89" w:rsidRPr="00E67F89" w:rsidRDefault="00E67F89" w:rsidP="00E67F89">
            <w:r w:rsidRPr="00E67F89">
              <w:t>24</w:t>
            </w:r>
          </w:p>
        </w:tc>
        <w:tc>
          <w:tcPr>
            <w:tcW w:w="0" w:type="auto"/>
          </w:tcPr>
          <w:p w14:paraId="354B4686" w14:textId="77777777" w:rsidR="00E67F89" w:rsidRPr="00E67F89" w:rsidRDefault="00E67F89" w:rsidP="00E67F89">
            <w:r w:rsidRPr="00E67F89">
              <w:t xml:space="preserve">Tous les pesticides utilisés soient produits, préparés, emballés, étiquetés, manipulés, entreposés, éliminés et appliqués conformément aux normes et codes de conduite internationaux en vigueur ainsi qu’aux Directives ESS. </w:t>
            </w:r>
          </w:p>
        </w:tc>
        <w:tc>
          <w:tcPr>
            <w:tcW w:w="0" w:type="auto"/>
          </w:tcPr>
          <w:p w14:paraId="23DD581A" w14:textId="77777777" w:rsidR="00E67F89" w:rsidRPr="00D42025" w:rsidRDefault="00E67F89" w:rsidP="00E67F89">
            <w:pPr>
              <w:rPr>
                <w:lang w:val="pt-BR"/>
              </w:rPr>
            </w:pPr>
            <w:r w:rsidRPr="00D42025">
              <w:rPr>
                <w:lang w:val="pt-BR"/>
              </w:rPr>
              <w:t>DECRET N°92 473</w:t>
            </w:r>
          </w:p>
          <w:p w14:paraId="7D89939D" w14:textId="77777777" w:rsidR="00E67F89" w:rsidRPr="00D42025" w:rsidRDefault="00E67F89" w:rsidP="00E67F89">
            <w:pPr>
              <w:rPr>
                <w:lang w:val="pt-BR"/>
              </w:rPr>
            </w:pPr>
          </w:p>
          <w:p w14:paraId="21F0FAC1" w14:textId="77777777" w:rsidR="00E67F89" w:rsidRPr="00D42025" w:rsidRDefault="00E67F89" w:rsidP="00E67F89">
            <w:pPr>
              <w:rPr>
                <w:lang w:val="pt-BR"/>
              </w:rPr>
            </w:pPr>
          </w:p>
          <w:p w14:paraId="34D07663" w14:textId="77777777" w:rsidR="00E67F89" w:rsidRPr="00D42025" w:rsidRDefault="00E67F89" w:rsidP="00E67F89">
            <w:pPr>
              <w:rPr>
                <w:lang w:val="pt-BR"/>
              </w:rPr>
            </w:pPr>
          </w:p>
          <w:p w14:paraId="3C5A7740" w14:textId="77777777" w:rsidR="00E67F89" w:rsidRPr="00D42025" w:rsidRDefault="00E67F89" w:rsidP="00E67F89">
            <w:pPr>
              <w:rPr>
                <w:lang w:val="pt-BR"/>
              </w:rPr>
            </w:pPr>
            <w:r w:rsidRPr="00D42025">
              <w:rPr>
                <w:lang w:val="pt-BR"/>
              </w:rPr>
              <w:t>DECRET N°99-798</w:t>
            </w:r>
          </w:p>
          <w:p w14:paraId="759DB06F" w14:textId="77777777" w:rsidR="00E67F89" w:rsidRPr="00D42025" w:rsidRDefault="00E67F89" w:rsidP="00E67F89">
            <w:pPr>
              <w:rPr>
                <w:lang w:val="pt-BR"/>
              </w:rPr>
            </w:pPr>
            <w:r w:rsidRPr="00D42025">
              <w:rPr>
                <w:lang w:val="pt-BR"/>
              </w:rPr>
              <w:t>Arrêté N°7451</w:t>
            </w:r>
          </w:p>
          <w:p w14:paraId="3D867887" w14:textId="77777777" w:rsidR="00E67F89" w:rsidRPr="00D42025" w:rsidRDefault="00E67F89" w:rsidP="00E67F89">
            <w:pPr>
              <w:rPr>
                <w:lang w:val="pt-BR"/>
              </w:rPr>
            </w:pPr>
          </w:p>
          <w:p w14:paraId="6ACAA397" w14:textId="77777777" w:rsidR="00E67F89" w:rsidRPr="00D42025" w:rsidRDefault="00E67F89" w:rsidP="00E67F89">
            <w:pPr>
              <w:rPr>
                <w:lang w:val="pt-BR"/>
              </w:rPr>
            </w:pPr>
          </w:p>
          <w:p w14:paraId="7AF2BBCE" w14:textId="77777777" w:rsidR="00E67F89" w:rsidRPr="00E67F89" w:rsidRDefault="00E67F89" w:rsidP="00E67F89">
            <w:r w:rsidRPr="00E67F89">
              <w:t>Arrêté N°7452</w:t>
            </w:r>
          </w:p>
          <w:p w14:paraId="4D1BDA07" w14:textId="77777777" w:rsidR="00E67F89" w:rsidRPr="00E67F89" w:rsidRDefault="00E67F89" w:rsidP="00E67F89"/>
          <w:p w14:paraId="408812B0" w14:textId="77777777" w:rsidR="00E67F89" w:rsidRPr="00E67F89" w:rsidRDefault="00E67F89" w:rsidP="00E67F89"/>
        </w:tc>
        <w:tc>
          <w:tcPr>
            <w:tcW w:w="0" w:type="auto"/>
          </w:tcPr>
          <w:p w14:paraId="3F41C31A" w14:textId="77777777" w:rsidR="00E67F89" w:rsidRPr="00E67F89" w:rsidRDefault="00E67F89" w:rsidP="00E67F89">
            <w:r w:rsidRPr="00E67F89">
              <w:t>Le reconditionnement, l’étiquetage, l’utilisation et le stockage des produits agropharmaceutiques doivent répondre à des normes fixées par voie réglementaire. [Article 15]</w:t>
            </w:r>
          </w:p>
          <w:p w14:paraId="58E69C21" w14:textId="77777777" w:rsidR="00E67F89" w:rsidRPr="00E67F89" w:rsidRDefault="00E67F89" w:rsidP="00E67F89">
            <w:r w:rsidRPr="00E67F89">
              <w:t>Réglementation sur l’homologation, la commercialisation et l’utilisation des agents de lutte biologique et des biopesticides</w:t>
            </w:r>
          </w:p>
          <w:p w14:paraId="2200761B" w14:textId="77777777" w:rsidR="00E67F89" w:rsidRPr="00E67F89" w:rsidRDefault="00E67F89" w:rsidP="00E67F89">
            <w:r w:rsidRPr="00E67F89">
              <w:t xml:space="preserve">Port obligatoire d’étiquettes pour tout récipient et emballage, Indication de l’étiquette sur le </w:t>
            </w:r>
            <w:r w:rsidRPr="00E67F89">
              <w:lastRenderedPageBreak/>
              <w:t>contenu du récipient et le mode d’emploi [Article 1]</w:t>
            </w:r>
          </w:p>
          <w:p w14:paraId="06BFB4AA" w14:textId="77777777" w:rsidR="00E67F89" w:rsidRPr="00E67F89" w:rsidRDefault="00E67F89" w:rsidP="00E67F89">
            <w:r w:rsidRPr="00E67F89">
              <w:t>Réglementation d’entreposage et de stockage des produits agropharmaceutiques</w:t>
            </w:r>
          </w:p>
        </w:tc>
        <w:tc>
          <w:tcPr>
            <w:tcW w:w="0" w:type="auto"/>
          </w:tcPr>
          <w:p w14:paraId="0382A2D9" w14:textId="77777777" w:rsidR="00E67F89" w:rsidRPr="00E67F89" w:rsidRDefault="00E67F89" w:rsidP="00E67F89">
            <w:r w:rsidRPr="00E67F89">
              <w:lastRenderedPageBreak/>
              <w:t>Correspondance entre la NES 3 et le cadre légal national</w:t>
            </w:r>
          </w:p>
          <w:p w14:paraId="45ADFE14" w14:textId="77777777" w:rsidR="00E67F89" w:rsidRPr="00E67F89" w:rsidRDefault="00E67F89" w:rsidP="00E67F89"/>
        </w:tc>
      </w:tr>
    </w:tbl>
    <w:p w14:paraId="74B2916B" w14:textId="77777777" w:rsidR="00E67F89" w:rsidRPr="00E67F89" w:rsidRDefault="00E67F89" w:rsidP="00E67F89"/>
    <w:p w14:paraId="0181B866" w14:textId="77777777" w:rsidR="00E67F89" w:rsidRPr="00E67F89" w:rsidRDefault="00E67F89" w:rsidP="00E67F89">
      <w:pPr>
        <w:sectPr w:rsidR="00E67F89" w:rsidRPr="00E67F89" w:rsidSect="00D42025">
          <w:pgSz w:w="16839" w:h="11907" w:orient="landscape" w:code="9"/>
          <w:pgMar w:top="1168" w:right="851" w:bottom="1134" w:left="851" w:header="425" w:footer="720" w:gutter="0"/>
          <w:paperSrc w:first="15" w:other="15"/>
          <w:pgNumType w:fmt="upperRoman"/>
          <w:cols w:space="708"/>
          <w:titlePg/>
          <w:docGrid w:linePitch="360"/>
        </w:sectPr>
      </w:pPr>
    </w:p>
    <w:p w14:paraId="688BE4B6" w14:textId="77777777" w:rsidR="00E67F89" w:rsidRPr="00E67F89" w:rsidRDefault="00E67F89" w:rsidP="00E67F89">
      <w:bookmarkStart w:id="884" w:name="_Toc71267919"/>
      <w:bookmarkStart w:id="885" w:name="_Toc71831500"/>
      <w:bookmarkStart w:id="886" w:name="_Toc138414165"/>
      <w:bookmarkStart w:id="887" w:name="_Toc230426109"/>
      <w:r w:rsidRPr="00E67F89">
        <w:lastRenderedPageBreak/>
        <w:t xml:space="preserve">Annexe </w:t>
      </w:r>
      <w:r w:rsidRPr="00E67F89">
        <w:fldChar w:fldCharType="begin"/>
      </w:r>
      <w:r w:rsidRPr="00E67F89">
        <w:instrText>SEQ Annexe \* ARABIC</w:instrText>
      </w:r>
      <w:r w:rsidRPr="00E67F89">
        <w:fldChar w:fldCharType="separate"/>
      </w:r>
      <w:r w:rsidRPr="00E67F89">
        <w:t>4</w:t>
      </w:r>
      <w:r w:rsidRPr="00E67F89">
        <w:fldChar w:fldCharType="end"/>
      </w:r>
      <w:r w:rsidRPr="00E67F89">
        <w:t xml:space="preserve"> : Analyse comparative entre la NES 4 et le cadre reglementaire national malagasy</w:t>
      </w:r>
      <w:bookmarkEnd w:id="884"/>
      <w:bookmarkEnd w:id="885"/>
      <w:bookmarkEnd w:id="886"/>
      <w:bookmarkEnd w:id="887"/>
    </w:p>
    <w:tbl>
      <w:tblPr>
        <w:tblStyle w:val="TableGrid"/>
        <w:tblW w:w="5067" w:type="pct"/>
        <w:tblLook w:val="04A0" w:firstRow="1" w:lastRow="0" w:firstColumn="1" w:lastColumn="0" w:noHBand="0" w:noVBand="1"/>
      </w:tblPr>
      <w:tblGrid>
        <w:gridCol w:w="2256"/>
        <w:gridCol w:w="1228"/>
        <w:gridCol w:w="3739"/>
        <w:gridCol w:w="1843"/>
        <w:gridCol w:w="3481"/>
        <w:gridCol w:w="2782"/>
      </w:tblGrid>
      <w:tr w:rsidR="00E67F89" w:rsidRPr="00E67F89" w14:paraId="06BD6C1C" w14:textId="77777777" w:rsidTr="00223F64">
        <w:trPr>
          <w:tblHeader/>
        </w:trPr>
        <w:tc>
          <w:tcPr>
            <w:tcW w:w="718" w:type="pct"/>
            <w:vMerge w:val="restart"/>
            <w:shd w:val="clear" w:color="auto" w:fill="E2EFD9" w:themeFill="accent6" w:themeFillTint="33"/>
            <w:vAlign w:val="center"/>
          </w:tcPr>
          <w:p w14:paraId="59D21B25" w14:textId="77777777" w:rsidR="00E67F89" w:rsidRPr="00E67F89" w:rsidRDefault="00E67F89" w:rsidP="00E67F89">
            <w:r w:rsidRPr="00E67F89">
              <w:t>Thèmes</w:t>
            </w:r>
          </w:p>
        </w:tc>
        <w:tc>
          <w:tcPr>
            <w:tcW w:w="1673" w:type="pct"/>
            <w:gridSpan w:val="2"/>
            <w:shd w:val="clear" w:color="auto" w:fill="E2EFD9" w:themeFill="accent6" w:themeFillTint="33"/>
          </w:tcPr>
          <w:p w14:paraId="6C683780" w14:textId="77777777" w:rsidR="00E67F89" w:rsidRPr="00E67F89" w:rsidRDefault="00E67F89" w:rsidP="00E67F89">
            <w:r w:rsidRPr="00E67F89">
              <w:t>NES4</w:t>
            </w:r>
          </w:p>
        </w:tc>
        <w:tc>
          <w:tcPr>
            <w:tcW w:w="1675" w:type="pct"/>
            <w:gridSpan w:val="2"/>
            <w:shd w:val="clear" w:color="auto" w:fill="E2EFD9" w:themeFill="accent6" w:themeFillTint="33"/>
          </w:tcPr>
          <w:p w14:paraId="75261A44" w14:textId="77777777" w:rsidR="00E67F89" w:rsidRPr="00E67F89" w:rsidRDefault="00E67F89" w:rsidP="00E67F89">
            <w:r w:rsidRPr="00E67F89">
              <w:t>Cadre législatif et national Malagasy</w:t>
            </w:r>
          </w:p>
        </w:tc>
        <w:tc>
          <w:tcPr>
            <w:tcW w:w="934" w:type="pct"/>
            <w:vMerge w:val="restart"/>
            <w:shd w:val="clear" w:color="auto" w:fill="E2EFD9" w:themeFill="accent6" w:themeFillTint="33"/>
            <w:vAlign w:val="center"/>
          </w:tcPr>
          <w:p w14:paraId="51CA8AC7" w14:textId="77777777" w:rsidR="00E67F89" w:rsidRPr="00E67F89" w:rsidRDefault="00E67F89" w:rsidP="00E67F89">
            <w:r w:rsidRPr="00E67F89">
              <w:t>Analyse des écarts</w:t>
            </w:r>
          </w:p>
          <w:p w14:paraId="623AD9AB" w14:textId="77777777" w:rsidR="00E67F89" w:rsidRPr="00E67F89" w:rsidRDefault="00E67F89" w:rsidP="00E67F89">
            <w:r w:rsidRPr="00E67F89">
              <w:t>Application pour le Projet</w:t>
            </w:r>
          </w:p>
        </w:tc>
      </w:tr>
      <w:tr w:rsidR="00E67F89" w:rsidRPr="00E67F89" w14:paraId="42A754AC" w14:textId="77777777" w:rsidTr="00223F64">
        <w:trPr>
          <w:tblHeader/>
        </w:trPr>
        <w:tc>
          <w:tcPr>
            <w:tcW w:w="718" w:type="pct"/>
            <w:vMerge/>
            <w:shd w:val="clear" w:color="auto" w:fill="BDF9FF"/>
          </w:tcPr>
          <w:p w14:paraId="2BE932BC" w14:textId="77777777" w:rsidR="00E67F89" w:rsidRPr="00E67F89" w:rsidRDefault="00E67F89" w:rsidP="00E67F89"/>
        </w:tc>
        <w:tc>
          <w:tcPr>
            <w:tcW w:w="427" w:type="pct"/>
            <w:shd w:val="clear" w:color="auto" w:fill="E2EFD9" w:themeFill="accent6" w:themeFillTint="33"/>
          </w:tcPr>
          <w:p w14:paraId="2C4C117E" w14:textId="77777777" w:rsidR="00E67F89" w:rsidRPr="00E67F89" w:rsidRDefault="00E67F89" w:rsidP="00E67F89">
            <w:r w:rsidRPr="00E67F89">
              <w:t xml:space="preserve">Réf </w:t>
            </w:r>
          </w:p>
        </w:tc>
        <w:tc>
          <w:tcPr>
            <w:tcW w:w="1246" w:type="pct"/>
            <w:shd w:val="clear" w:color="auto" w:fill="E2EFD9" w:themeFill="accent6" w:themeFillTint="33"/>
          </w:tcPr>
          <w:p w14:paraId="7D47D547" w14:textId="77777777" w:rsidR="00E67F89" w:rsidRPr="00E67F89" w:rsidRDefault="00E67F89" w:rsidP="00E67F89">
            <w:r w:rsidRPr="00E67F89">
              <w:t>Exigences</w:t>
            </w:r>
          </w:p>
        </w:tc>
        <w:tc>
          <w:tcPr>
            <w:tcW w:w="513" w:type="pct"/>
            <w:shd w:val="clear" w:color="auto" w:fill="E2EFD9" w:themeFill="accent6" w:themeFillTint="33"/>
          </w:tcPr>
          <w:p w14:paraId="47CE0213" w14:textId="77777777" w:rsidR="00E67F89" w:rsidRPr="00E67F89" w:rsidRDefault="00E67F89" w:rsidP="00E67F89">
            <w:r w:rsidRPr="00E67F89">
              <w:t>Ref Texte</w:t>
            </w:r>
          </w:p>
        </w:tc>
        <w:tc>
          <w:tcPr>
            <w:tcW w:w="1162" w:type="pct"/>
            <w:shd w:val="clear" w:color="auto" w:fill="E2EFD9" w:themeFill="accent6" w:themeFillTint="33"/>
          </w:tcPr>
          <w:p w14:paraId="4532615A" w14:textId="77777777" w:rsidR="00E67F89" w:rsidRPr="00E67F89" w:rsidRDefault="00E67F89" w:rsidP="00E67F89">
            <w:r w:rsidRPr="00E67F89">
              <w:t>Dispositions</w:t>
            </w:r>
          </w:p>
        </w:tc>
        <w:tc>
          <w:tcPr>
            <w:tcW w:w="934" w:type="pct"/>
            <w:vMerge/>
            <w:shd w:val="clear" w:color="auto" w:fill="BDF9FF"/>
          </w:tcPr>
          <w:p w14:paraId="38CD9A5B" w14:textId="77777777" w:rsidR="00E67F89" w:rsidRPr="00E67F89" w:rsidRDefault="00E67F89" w:rsidP="00E67F89"/>
        </w:tc>
      </w:tr>
      <w:tr w:rsidR="00E67F89" w:rsidRPr="00E67F89" w14:paraId="7DC4DCC7" w14:textId="77777777" w:rsidTr="00223F64">
        <w:tc>
          <w:tcPr>
            <w:tcW w:w="718" w:type="pct"/>
          </w:tcPr>
          <w:p w14:paraId="28682C7E" w14:textId="77777777" w:rsidR="00E67F89" w:rsidRPr="00E67F89" w:rsidRDefault="00E67F89" w:rsidP="00E67F89">
            <w:r w:rsidRPr="00E67F89">
              <w:t>Santé et sécurité des populations (A)</w:t>
            </w:r>
          </w:p>
        </w:tc>
        <w:tc>
          <w:tcPr>
            <w:tcW w:w="427" w:type="pct"/>
          </w:tcPr>
          <w:p w14:paraId="3F7FA7BA" w14:textId="77777777" w:rsidR="00E67F89" w:rsidRPr="00E67F89" w:rsidRDefault="00E67F89" w:rsidP="00E67F89">
            <w:r w:rsidRPr="00E67F89">
              <w:t>NO 5.1</w:t>
            </w:r>
          </w:p>
          <w:p w14:paraId="1F526F20" w14:textId="77777777" w:rsidR="00E67F89" w:rsidRPr="00E67F89" w:rsidRDefault="00E67F89" w:rsidP="00E67F89"/>
          <w:p w14:paraId="387DEF53" w14:textId="77777777" w:rsidR="00E67F89" w:rsidRPr="00E67F89" w:rsidRDefault="00E67F89" w:rsidP="00E67F89">
            <w:r w:rsidRPr="00E67F89">
              <w:t>NO 5.2</w:t>
            </w:r>
          </w:p>
          <w:p w14:paraId="52530EAE" w14:textId="77777777" w:rsidR="00E67F89" w:rsidRPr="00E67F89" w:rsidRDefault="00E67F89" w:rsidP="00E67F89"/>
          <w:p w14:paraId="576706A5" w14:textId="77777777" w:rsidR="00E67F89" w:rsidRPr="00E67F89" w:rsidRDefault="00E67F89" w:rsidP="00E67F89">
            <w:r w:rsidRPr="00E67F89">
              <w:t>NO 5.3</w:t>
            </w:r>
          </w:p>
        </w:tc>
        <w:tc>
          <w:tcPr>
            <w:tcW w:w="1246" w:type="pct"/>
          </w:tcPr>
          <w:p w14:paraId="2676D530" w14:textId="77777777" w:rsidR="00E67F89" w:rsidRPr="00E67F89" w:rsidRDefault="00E67F89" w:rsidP="00E67F89">
            <w:r w:rsidRPr="00E67F89">
              <w:t xml:space="preserve">Nécessité de mener une étude d’impact sur la santé dans le cadre de l’EES </w:t>
            </w:r>
          </w:p>
          <w:p w14:paraId="37DD65D5" w14:textId="77777777" w:rsidR="00E67F89" w:rsidRPr="00E67F89" w:rsidRDefault="00E67F89" w:rsidP="00E67F89">
            <w:r w:rsidRPr="00E67F89">
              <w:t>Identification des groupes vulnérables aux risques pour la santé</w:t>
            </w:r>
          </w:p>
          <w:p w14:paraId="43987C96" w14:textId="77777777" w:rsidR="00E67F89" w:rsidRPr="00E67F89" w:rsidRDefault="00E67F89" w:rsidP="00E67F89">
            <w:r w:rsidRPr="00E67F89">
              <w:t>Existence de procédures de gestion de la main d’œuvre du projet</w:t>
            </w:r>
          </w:p>
        </w:tc>
        <w:tc>
          <w:tcPr>
            <w:tcW w:w="513" w:type="pct"/>
          </w:tcPr>
          <w:p w14:paraId="4BF06906" w14:textId="77777777" w:rsidR="00E67F89" w:rsidRPr="00E67F89" w:rsidRDefault="00E67F89" w:rsidP="00E67F89"/>
        </w:tc>
        <w:tc>
          <w:tcPr>
            <w:tcW w:w="1162" w:type="pct"/>
          </w:tcPr>
          <w:p w14:paraId="60F9DF8C" w14:textId="77777777" w:rsidR="00E67F89" w:rsidRPr="00E67F89" w:rsidRDefault="00E67F89" w:rsidP="00E67F89">
            <w:r w:rsidRPr="00E67F89">
              <w:t xml:space="preserve">Néant </w:t>
            </w:r>
          </w:p>
        </w:tc>
        <w:tc>
          <w:tcPr>
            <w:tcW w:w="934" w:type="pct"/>
          </w:tcPr>
          <w:p w14:paraId="6D01EBED" w14:textId="77777777" w:rsidR="00E67F89" w:rsidRPr="00E67F89" w:rsidRDefault="00E67F89" w:rsidP="00E67F89"/>
        </w:tc>
      </w:tr>
      <w:tr w:rsidR="00E67F89" w:rsidRPr="00E67F89" w14:paraId="0EBFE0EC" w14:textId="77777777" w:rsidTr="00223F64">
        <w:tc>
          <w:tcPr>
            <w:tcW w:w="5000" w:type="pct"/>
            <w:gridSpan w:val="6"/>
          </w:tcPr>
          <w:p w14:paraId="0456BDE6" w14:textId="77777777" w:rsidR="00E67F89" w:rsidRPr="00E67F89" w:rsidRDefault="00E67F89" w:rsidP="00E67F89">
            <w:r w:rsidRPr="00E67F89">
              <w:t>Conception et sécurité des infrastructures et des équipements</w:t>
            </w:r>
          </w:p>
        </w:tc>
      </w:tr>
      <w:tr w:rsidR="00E67F89" w:rsidRPr="00E67F89" w14:paraId="6287C9EF" w14:textId="77777777" w:rsidTr="00223F64">
        <w:tc>
          <w:tcPr>
            <w:tcW w:w="718" w:type="pct"/>
          </w:tcPr>
          <w:p w14:paraId="72247255" w14:textId="77777777" w:rsidR="00E67F89" w:rsidRPr="00E67F89" w:rsidRDefault="00E67F89" w:rsidP="00E67F89">
            <w:r w:rsidRPr="00E67F89">
              <w:t>Prévention contre les risques d’accident</w:t>
            </w:r>
          </w:p>
        </w:tc>
        <w:tc>
          <w:tcPr>
            <w:tcW w:w="427" w:type="pct"/>
          </w:tcPr>
          <w:p w14:paraId="7B431459" w14:textId="77777777" w:rsidR="00E67F89" w:rsidRPr="00E67F89" w:rsidRDefault="00E67F89" w:rsidP="00E67F89">
            <w:r w:rsidRPr="00E67F89">
              <w:t>6</w:t>
            </w:r>
          </w:p>
        </w:tc>
        <w:tc>
          <w:tcPr>
            <w:tcW w:w="1246" w:type="pct"/>
          </w:tcPr>
          <w:p w14:paraId="577082B5" w14:textId="77777777" w:rsidR="00E67F89" w:rsidRPr="00E67F89" w:rsidRDefault="00E67F89" w:rsidP="00E67F89">
            <w:r w:rsidRPr="00E67F89">
              <w:t>Prise en compte des menaces à la sécurité pour le personnel et les populations touchées lors de la construction, l’exploitation et le démantèlement des infrastructures et des équipements structurels</w:t>
            </w:r>
          </w:p>
        </w:tc>
        <w:tc>
          <w:tcPr>
            <w:tcW w:w="513" w:type="pct"/>
          </w:tcPr>
          <w:p w14:paraId="125334A5" w14:textId="77777777" w:rsidR="00E67F89" w:rsidRPr="00E67F89" w:rsidRDefault="00E67F89" w:rsidP="00E67F89">
            <w:r w:rsidRPr="00E67F89">
              <w:t>LOI N°2024 -014</w:t>
            </w:r>
          </w:p>
          <w:p w14:paraId="1D175E15" w14:textId="77777777" w:rsidR="00E67F89" w:rsidRPr="00E67F89" w:rsidRDefault="00E67F89" w:rsidP="00E67F89">
            <w:r w:rsidRPr="00E67F89">
              <w:t>Code de travail</w:t>
            </w:r>
          </w:p>
          <w:p w14:paraId="248111B0" w14:textId="77777777" w:rsidR="00E67F89" w:rsidRPr="00E67F89" w:rsidRDefault="00E67F89" w:rsidP="00E67F89"/>
          <w:p w14:paraId="06906069" w14:textId="77777777" w:rsidR="00E67F89" w:rsidRPr="00E67F89" w:rsidRDefault="00E67F89" w:rsidP="00E67F89"/>
          <w:p w14:paraId="6BCF5CF5" w14:textId="77777777" w:rsidR="00E67F89" w:rsidRPr="00E67F89" w:rsidRDefault="00E67F89" w:rsidP="00E67F89"/>
          <w:p w14:paraId="0D2E016B" w14:textId="77777777" w:rsidR="00E67F89" w:rsidRPr="00E67F89" w:rsidRDefault="00E67F89" w:rsidP="00E67F89">
            <w:r w:rsidRPr="00E67F89">
              <w:t>DECRET N° 2003-1162 – Médecine d’entreprise</w:t>
            </w:r>
          </w:p>
          <w:p w14:paraId="38F91441" w14:textId="77777777" w:rsidR="00E67F89" w:rsidRPr="00E67F89" w:rsidRDefault="00E67F89" w:rsidP="00E67F89"/>
        </w:tc>
        <w:tc>
          <w:tcPr>
            <w:tcW w:w="1162" w:type="pct"/>
          </w:tcPr>
          <w:p w14:paraId="468AC5CC" w14:textId="77777777" w:rsidR="00E67F89" w:rsidRPr="00E67F89" w:rsidRDefault="00E67F89" w:rsidP="00E67F89">
            <w:r w:rsidRPr="00E67F89">
              <w:t>Pour prévenir les risques d’accidents, les installations, les matériels et matériaux de travail sont soumis à des normes de sécurité obligatoires. Ils doivent faire l’objet de surveillance, d’entretien et de vérification systématiques. [Article 166]</w:t>
            </w:r>
          </w:p>
          <w:p w14:paraId="54D30830" w14:textId="77777777" w:rsidR="00E67F89" w:rsidRPr="00E67F89" w:rsidRDefault="00E67F89" w:rsidP="00E67F89">
            <w:r w:rsidRPr="00E67F89">
              <w:t>Il incombe à l’employeur d’assurer les services d’éducation préventive contre les accidents de travail et les maladies professionnelles et de sécurité au travail, à travers la médecine d’entreprise [Article 10]</w:t>
            </w:r>
          </w:p>
          <w:p w14:paraId="3EEDF48D" w14:textId="77777777" w:rsidR="00E67F89" w:rsidRPr="00E67F89" w:rsidRDefault="00E67F89" w:rsidP="00E67F89">
            <w:r w:rsidRPr="00E67F89">
              <w:t xml:space="preserve">Le médecin de travail de l’entreprise contribue dans l’élaboration des techniques de </w:t>
            </w:r>
            <w:r w:rsidRPr="00E67F89">
              <w:lastRenderedPageBreak/>
              <w:t>production, l’utilisation, et l’élimination des produits nocifs et dangereux, fait des prélèvements et des analyses [Article 49]</w:t>
            </w:r>
          </w:p>
        </w:tc>
        <w:tc>
          <w:tcPr>
            <w:tcW w:w="934" w:type="pct"/>
          </w:tcPr>
          <w:p w14:paraId="49CB9A44" w14:textId="77777777" w:rsidR="00E67F89" w:rsidRPr="00E67F89" w:rsidRDefault="00E67F89" w:rsidP="00E67F89">
            <w:r w:rsidRPr="00E67F89">
              <w:lastRenderedPageBreak/>
              <w:t>La prévention contre les risques de travail est prise en considération par le cadre national à travers les textes sur la médecine de travail. Pour autant, les textes en vigueur manquent de précision quant à l’obligation de déterminer des mesures spécifiques pour une prévention efficace contre les risques d’accident</w:t>
            </w:r>
          </w:p>
          <w:p w14:paraId="22EA02C3" w14:textId="77777777" w:rsidR="00E67F89" w:rsidRPr="00E67F89" w:rsidRDefault="00E67F89" w:rsidP="00E67F89">
            <w:r w:rsidRPr="00E67F89">
              <w:t>La notion de risque professionnel est traitée dans le cadre de la médecine de travail.</w:t>
            </w:r>
          </w:p>
          <w:p w14:paraId="0678C770" w14:textId="77777777" w:rsidR="00E67F89" w:rsidRPr="00E67F89" w:rsidRDefault="00E67F89" w:rsidP="00E67F89">
            <w:r w:rsidRPr="00E67F89">
              <w:lastRenderedPageBreak/>
              <w:t xml:space="preserve">Application des dispositions de texte national pour le Projet </w:t>
            </w:r>
          </w:p>
        </w:tc>
      </w:tr>
      <w:tr w:rsidR="00E67F89" w:rsidRPr="00E67F89" w14:paraId="5FBE11C6" w14:textId="77777777" w:rsidTr="00223F64">
        <w:tc>
          <w:tcPr>
            <w:tcW w:w="718" w:type="pct"/>
          </w:tcPr>
          <w:p w14:paraId="0E5AC326" w14:textId="77777777" w:rsidR="00E67F89" w:rsidRPr="00E67F89" w:rsidRDefault="00E67F89" w:rsidP="00E67F89">
            <w:r w:rsidRPr="00E67F89">
              <w:t>Certification et agrément</w:t>
            </w:r>
          </w:p>
        </w:tc>
        <w:tc>
          <w:tcPr>
            <w:tcW w:w="427" w:type="pct"/>
          </w:tcPr>
          <w:p w14:paraId="4AFD3CCE" w14:textId="77777777" w:rsidR="00E67F89" w:rsidRPr="00E67F89" w:rsidRDefault="00E67F89" w:rsidP="00E67F89">
            <w:r w:rsidRPr="00E67F89">
              <w:t>6</w:t>
            </w:r>
          </w:p>
          <w:p w14:paraId="701286EC" w14:textId="77777777" w:rsidR="00E67F89" w:rsidRPr="00E67F89" w:rsidRDefault="00E67F89" w:rsidP="00E67F89">
            <w:r w:rsidRPr="00E67F89">
              <w:t>NO 6.3</w:t>
            </w:r>
          </w:p>
        </w:tc>
        <w:tc>
          <w:tcPr>
            <w:tcW w:w="1246" w:type="pct"/>
          </w:tcPr>
          <w:p w14:paraId="11CEEEA5" w14:textId="77777777" w:rsidR="00E67F89" w:rsidRPr="00E67F89" w:rsidRDefault="00E67F89" w:rsidP="00E67F89">
            <w:r w:rsidRPr="00E67F89">
              <w:t>Obligation d’obtenir la certification, l’agrément par des professionnels compétents de la conception et la construction des infrastructures</w:t>
            </w:r>
          </w:p>
        </w:tc>
        <w:tc>
          <w:tcPr>
            <w:tcW w:w="513" w:type="pct"/>
          </w:tcPr>
          <w:p w14:paraId="4AA5DA6D" w14:textId="77777777" w:rsidR="00E67F89" w:rsidRPr="00E67F89" w:rsidRDefault="00E67F89" w:rsidP="00E67F89"/>
        </w:tc>
        <w:tc>
          <w:tcPr>
            <w:tcW w:w="1162" w:type="pct"/>
          </w:tcPr>
          <w:p w14:paraId="57B96110" w14:textId="77777777" w:rsidR="00E67F89" w:rsidRPr="00E67F89" w:rsidRDefault="00E67F89" w:rsidP="00E67F89">
            <w:r w:rsidRPr="00E67F89">
              <w:t xml:space="preserve">Néant </w:t>
            </w:r>
          </w:p>
        </w:tc>
        <w:tc>
          <w:tcPr>
            <w:tcW w:w="934" w:type="pct"/>
          </w:tcPr>
          <w:p w14:paraId="7DCD7801" w14:textId="77777777" w:rsidR="00E67F89" w:rsidRPr="00E67F89" w:rsidRDefault="00E67F89" w:rsidP="00E67F89">
            <w:r w:rsidRPr="00E67F89">
              <w:t>Le texte national malagasy ne fait pas obligation de requérir à une certification des professionnels en matière de construction</w:t>
            </w:r>
          </w:p>
          <w:p w14:paraId="4E81AC5C" w14:textId="77777777" w:rsidR="00E67F89" w:rsidRPr="00E67F89" w:rsidRDefault="00E67F89" w:rsidP="00E67F89">
            <w:r w:rsidRPr="00E67F89">
              <w:t>On applique les exigences de la NES 4 pour le Projet</w:t>
            </w:r>
          </w:p>
        </w:tc>
      </w:tr>
      <w:tr w:rsidR="00E67F89" w:rsidRPr="00E67F89" w14:paraId="0E8BDFE6" w14:textId="77777777" w:rsidTr="00223F64">
        <w:tc>
          <w:tcPr>
            <w:tcW w:w="718" w:type="pct"/>
          </w:tcPr>
          <w:p w14:paraId="19BCB64B" w14:textId="77777777" w:rsidR="00E67F89" w:rsidRPr="00E67F89" w:rsidRDefault="00E67F89" w:rsidP="00E67F89">
            <w:r w:rsidRPr="00E67F89">
              <w:t>Infrastructures et Changement climatiques</w:t>
            </w:r>
          </w:p>
        </w:tc>
        <w:tc>
          <w:tcPr>
            <w:tcW w:w="427" w:type="pct"/>
          </w:tcPr>
          <w:p w14:paraId="77AA1B28" w14:textId="77777777" w:rsidR="00E67F89" w:rsidRPr="00E67F89" w:rsidRDefault="00E67F89" w:rsidP="00E67F89">
            <w:r w:rsidRPr="00E67F89">
              <w:t>NO 6.4</w:t>
            </w:r>
          </w:p>
        </w:tc>
        <w:tc>
          <w:tcPr>
            <w:tcW w:w="1246" w:type="pct"/>
          </w:tcPr>
          <w:p w14:paraId="53E0CB69" w14:textId="77777777" w:rsidR="00E67F89" w:rsidRPr="00E67F89" w:rsidRDefault="00E67F89" w:rsidP="00E67F89">
            <w:r w:rsidRPr="00E67F89">
              <w:t xml:space="preserve">Prise en compte du changement climatique dans la conception des infrastructures </w:t>
            </w:r>
          </w:p>
        </w:tc>
        <w:tc>
          <w:tcPr>
            <w:tcW w:w="513" w:type="pct"/>
          </w:tcPr>
          <w:p w14:paraId="71E85AFA" w14:textId="77777777" w:rsidR="00E67F89" w:rsidRPr="00E67F89" w:rsidRDefault="00E67F89" w:rsidP="00E67F89">
            <w:r w:rsidRPr="00E67F89">
              <w:t>Décret N° 2013-070 du 05 février 2013</w:t>
            </w:r>
          </w:p>
          <w:p w14:paraId="79F70EDF" w14:textId="77777777" w:rsidR="00E67F89" w:rsidRPr="00E67F89" w:rsidRDefault="00E67F89" w:rsidP="00E67F89">
            <w:r w:rsidRPr="00E67F89">
              <w:t>Décret N° 2015-1042 du 30 juin 2015</w:t>
            </w:r>
          </w:p>
          <w:p w14:paraId="16026A24" w14:textId="77777777" w:rsidR="00E67F89" w:rsidRPr="00E67F89" w:rsidRDefault="00E67F89" w:rsidP="00E67F89">
            <w:r w:rsidRPr="00E67F89">
              <w:t>Décret N°2010-0243</w:t>
            </w:r>
          </w:p>
        </w:tc>
        <w:tc>
          <w:tcPr>
            <w:tcW w:w="1162" w:type="pct"/>
          </w:tcPr>
          <w:p w14:paraId="75AE948F" w14:textId="77777777" w:rsidR="00E67F89" w:rsidRPr="00E67F89" w:rsidRDefault="00E67F89" w:rsidP="00E67F89">
            <w:r w:rsidRPr="00E67F89">
              <w:t xml:space="preserve">Existence des normes de construction et de réhabilitation des infrastructures suivantes pour être résistantes aux effets du changement climatiques : ouvrages hydroagricoles, ouvrages d’approvisionnement en eau potable à petite échelle, les infrastructures routières, les bâtiments paracycloniques, </w:t>
            </w:r>
          </w:p>
        </w:tc>
        <w:tc>
          <w:tcPr>
            <w:tcW w:w="934" w:type="pct"/>
          </w:tcPr>
          <w:p w14:paraId="4586159B" w14:textId="77777777" w:rsidR="00E67F89" w:rsidRPr="00E67F89" w:rsidRDefault="00E67F89" w:rsidP="00E67F89">
            <w:r w:rsidRPr="00E67F89">
              <w:t>Correspondance entre la NES 4 et le cadre national malagasy</w:t>
            </w:r>
          </w:p>
          <w:p w14:paraId="43F7A543" w14:textId="77777777" w:rsidR="00E67F89" w:rsidRPr="00E67F89" w:rsidRDefault="00E67F89" w:rsidP="00E67F89">
            <w:r w:rsidRPr="00E67F89">
              <w:t>On applique les dispositions selon les textes et Décrets de la Loi Malagasy.</w:t>
            </w:r>
          </w:p>
        </w:tc>
      </w:tr>
      <w:tr w:rsidR="00E67F89" w:rsidRPr="00E67F89" w14:paraId="47704AE2" w14:textId="77777777" w:rsidTr="00223F64">
        <w:tc>
          <w:tcPr>
            <w:tcW w:w="718" w:type="pct"/>
          </w:tcPr>
          <w:p w14:paraId="271924E4" w14:textId="77777777" w:rsidR="00E67F89" w:rsidRPr="00E67F89" w:rsidRDefault="00E67F89" w:rsidP="00E67F89">
            <w:r w:rsidRPr="00E67F89">
              <w:t>Accessibilité des infrastructures</w:t>
            </w:r>
          </w:p>
        </w:tc>
        <w:tc>
          <w:tcPr>
            <w:tcW w:w="427" w:type="pct"/>
          </w:tcPr>
          <w:p w14:paraId="0AA90A5C" w14:textId="77777777" w:rsidR="00E67F89" w:rsidRPr="00E67F89" w:rsidRDefault="00E67F89" w:rsidP="00E67F89">
            <w:r w:rsidRPr="00E67F89">
              <w:t>NO 7.1</w:t>
            </w:r>
          </w:p>
          <w:p w14:paraId="11FF227F" w14:textId="77777777" w:rsidR="00E67F89" w:rsidRPr="00E67F89" w:rsidRDefault="00E67F89" w:rsidP="00E67F89">
            <w:r w:rsidRPr="00E67F89">
              <w:t>NO 7.2</w:t>
            </w:r>
          </w:p>
          <w:p w14:paraId="03DB2906" w14:textId="77777777" w:rsidR="00E67F89" w:rsidRPr="00E67F89" w:rsidRDefault="00E67F89" w:rsidP="00E67F89">
            <w:r w:rsidRPr="00E67F89">
              <w:t>NO 7.3</w:t>
            </w:r>
          </w:p>
        </w:tc>
        <w:tc>
          <w:tcPr>
            <w:tcW w:w="1246" w:type="pct"/>
          </w:tcPr>
          <w:p w14:paraId="09C17837" w14:textId="77777777" w:rsidR="00E67F89" w:rsidRPr="00E67F89" w:rsidRDefault="00E67F89" w:rsidP="00E67F89">
            <w:r w:rsidRPr="00E67F89">
              <w:t xml:space="preserve">Concept d’inclusion et d’accessibilité universelle : Prise en compte du concept de l’accès universel : normes locales </w:t>
            </w:r>
            <w:r w:rsidRPr="00E67F89">
              <w:lastRenderedPageBreak/>
              <w:t>d’accessibilité, la non-discrimination, handicap, etc</w:t>
            </w:r>
          </w:p>
        </w:tc>
        <w:tc>
          <w:tcPr>
            <w:tcW w:w="513" w:type="pct"/>
          </w:tcPr>
          <w:p w14:paraId="5E2D8FD3" w14:textId="77777777" w:rsidR="00E67F89" w:rsidRPr="00E67F89" w:rsidRDefault="00E67F89" w:rsidP="00E67F89">
            <w:r w:rsidRPr="00E67F89">
              <w:lastRenderedPageBreak/>
              <w:t>LOI N°97-044</w:t>
            </w:r>
          </w:p>
          <w:p w14:paraId="14F37430" w14:textId="77777777" w:rsidR="00E67F89" w:rsidRPr="00E67F89" w:rsidRDefault="00E67F89" w:rsidP="00E67F89"/>
          <w:p w14:paraId="5ABD0371" w14:textId="77777777" w:rsidR="00E67F89" w:rsidRPr="00E67F89" w:rsidRDefault="00E67F89" w:rsidP="00E67F89"/>
          <w:p w14:paraId="2039F41F" w14:textId="77777777" w:rsidR="00E67F89" w:rsidRPr="00E67F89" w:rsidRDefault="00E67F89" w:rsidP="00E67F89"/>
          <w:p w14:paraId="6A571C94" w14:textId="77777777" w:rsidR="00E67F89" w:rsidRPr="00E67F89" w:rsidRDefault="00E67F89" w:rsidP="00E67F89"/>
          <w:p w14:paraId="2AF0595F" w14:textId="77777777" w:rsidR="00E67F89" w:rsidRPr="00E67F89" w:rsidRDefault="00E67F89" w:rsidP="00E67F89">
            <w:r w:rsidRPr="00E67F89">
              <w:lastRenderedPageBreak/>
              <w:t>Décret N°2001-162</w:t>
            </w:r>
          </w:p>
        </w:tc>
        <w:tc>
          <w:tcPr>
            <w:tcW w:w="1162" w:type="pct"/>
          </w:tcPr>
          <w:p w14:paraId="61A151CC" w14:textId="77777777" w:rsidR="00E67F89" w:rsidRPr="00E67F89" w:rsidRDefault="00E67F89" w:rsidP="00E67F89">
            <w:r w:rsidRPr="00E67F89">
              <w:lastRenderedPageBreak/>
              <w:t xml:space="preserve">L’Etat incite les entités concernées à procéder à l’aménagement des infrastructures des écoles privées et publiques dans le but de mieux </w:t>
            </w:r>
            <w:r w:rsidRPr="00E67F89">
              <w:lastRenderedPageBreak/>
              <w:t>assurer l’accès et la sécurité des élèves handicapés [Article 12]</w:t>
            </w:r>
          </w:p>
          <w:p w14:paraId="04CBF979" w14:textId="77777777" w:rsidR="00E67F89" w:rsidRPr="00E67F89" w:rsidRDefault="00E67F89" w:rsidP="00E67F89">
            <w:r w:rsidRPr="00E67F89">
              <w:t>L’Etat doit faciliter, dans la mesure de ses possibilités, l’accès des handicapés aux locaux et lieux publics, ainsi qu’aux moyens de transport public [Article 24]</w:t>
            </w:r>
          </w:p>
          <w:p w14:paraId="202E3BD3" w14:textId="77777777" w:rsidR="00E67F89" w:rsidRPr="00E67F89" w:rsidRDefault="00E67F89" w:rsidP="00E67F89">
            <w:r w:rsidRPr="00E67F89">
              <w:t>Tous les établissements scolaires publics et privés doivent être accessibles aux élèves handicapés, autant que le permettent, leur capacité d’adaptation sociale, les infrastructures scolaires et les compétences pédagogiques existantes. [Article 122]</w:t>
            </w:r>
          </w:p>
          <w:p w14:paraId="28B9CF37" w14:textId="77777777" w:rsidR="00E67F89" w:rsidRPr="00E67F89" w:rsidRDefault="00E67F89" w:rsidP="00E67F89">
            <w:r w:rsidRPr="00E67F89">
              <w:t>En matière de transport public, on fixe les modalités de transport en commun et l’attention particulière à réserver aux personnes handicapées pour leur en faciliter l’accès</w:t>
            </w:r>
          </w:p>
        </w:tc>
        <w:tc>
          <w:tcPr>
            <w:tcW w:w="934" w:type="pct"/>
          </w:tcPr>
          <w:p w14:paraId="7B4F4858" w14:textId="77777777" w:rsidR="00E67F89" w:rsidRPr="00E67F89" w:rsidRDefault="00E67F89" w:rsidP="00E67F89">
            <w:r w:rsidRPr="00E67F89">
              <w:lastRenderedPageBreak/>
              <w:t>Correspondance et complémentarité entre la NES 4 et le cadre national malagasy</w:t>
            </w:r>
          </w:p>
          <w:p w14:paraId="2B97503B" w14:textId="77777777" w:rsidR="00E67F89" w:rsidRPr="00E67F89" w:rsidRDefault="00E67F89" w:rsidP="00E67F89">
            <w:r w:rsidRPr="00E67F89">
              <w:lastRenderedPageBreak/>
              <w:t xml:space="preserve">Dans la pratique, le cadre national n’est pas pleinement appliqué à Madagascar, malgré l’existence de ces textes et lois. </w:t>
            </w:r>
          </w:p>
          <w:p w14:paraId="66EDAF70" w14:textId="77777777" w:rsidR="00E67F89" w:rsidRPr="00E67F89" w:rsidRDefault="00E67F89" w:rsidP="00E67F89">
            <w:r w:rsidRPr="00E67F89">
              <w:t>Le Projet se conformera aux dispositions de la NES 4 et du cadre national malagasy.</w:t>
            </w:r>
          </w:p>
        </w:tc>
      </w:tr>
      <w:tr w:rsidR="00E67F89" w:rsidRPr="00E67F89" w14:paraId="1D212AB6" w14:textId="77777777" w:rsidTr="00223F64">
        <w:tc>
          <w:tcPr>
            <w:tcW w:w="718" w:type="pct"/>
          </w:tcPr>
          <w:p w14:paraId="39F588DC" w14:textId="77777777" w:rsidR="00E67F89" w:rsidRPr="00E67F89" w:rsidRDefault="00E67F89" w:rsidP="00E67F89">
            <w:r w:rsidRPr="00E67F89">
              <w:t xml:space="preserve">Expertise d’analyse approfondie des risques </w:t>
            </w:r>
          </w:p>
        </w:tc>
        <w:tc>
          <w:tcPr>
            <w:tcW w:w="427" w:type="pct"/>
          </w:tcPr>
          <w:p w14:paraId="1B9021B6" w14:textId="77777777" w:rsidR="00E67F89" w:rsidRPr="00E67F89" w:rsidRDefault="00E67F89" w:rsidP="00E67F89">
            <w:r w:rsidRPr="00E67F89">
              <w:t>8</w:t>
            </w:r>
          </w:p>
          <w:p w14:paraId="036A0908" w14:textId="77777777" w:rsidR="00E67F89" w:rsidRPr="00E67F89" w:rsidRDefault="00E67F89" w:rsidP="00E67F89">
            <w:r w:rsidRPr="00E67F89">
              <w:t>NO 8.1</w:t>
            </w:r>
          </w:p>
        </w:tc>
        <w:tc>
          <w:tcPr>
            <w:tcW w:w="1246" w:type="pct"/>
          </w:tcPr>
          <w:p w14:paraId="15E91714" w14:textId="77777777" w:rsidR="00E67F89" w:rsidRPr="00E67F89" w:rsidRDefault="00E67F89" w:rsidP="00E67F89">
            <w:r w:rsidRPr="00E67F89">
              <w:t xml:space="preserve">Recours à l’expertise indépendante pour l’examen préalable de la situation dans les régions à haut risque : risques climatiques, risques environnementaux, risques sociaux </w:t>
            </w:r>
            <w:r w:rsidRPr="00E67F89">
              <w:lastRenderedPageBreak/>
              <w:t>élevés (conflits armés, criminalité, etc.)</w:t>
            </w:r>
          </w:p>
        </w:tc>
        <w:tc>
          <w:tcPr>
            <w:tcW w:w="513" w:type="pct"/>
          </w:tcPr>
          <w:p w14:paraId="2A272353" w14:textId="77777777" w:rsidR="00E67F89" w:rsidRPr="00E67F89" w:rsidRDefault="00E67F89" w:rsidP="00E67F89"/>
        </w:tc>
        <w:tc>
          <w:tcPr>
            <w:tcW w:w="1162" w:type="pct"/>
          </w:tcPr>
          <w:p w14:paraId="3A82DE73" w14:textId="77777777" w:rsidR="00E67F89" w:rsidRPr="00E67F89" w:rsidRDefault="00E67F89" w:rsidP="00E67F89">
            <w:r w:rsidRPr="00E67F89">
              <w:t xml:space="preserve">Néant </w:t>
            </w:r>
          </w:p>
        </w:tc>
        <w:tc>
          <w:tcPr>
            <w:tcW w:w="934" w:type="pct"/>
          </w:tcPr>
          <w:p w14:paraId="499CBD90" w14:textId="77777777" w:rsidR="00E67F89" w:rsidRPr="00E67F89" w:rsidRDefault="00E67F89" w:rsidP="00E67F89">
            <w:r w:rsidRPr="00E67F89">
              <w:t>Absence de directives selon la Loi Malagasy. En conséquence, on se conformera aux exigences de la NES 4.</w:t>
            </w:r>
          </w:p>
        </w:tc>
      </w:tr>
      <w:tr w:rsidR="00E67F89" w:rsidRPr="00E67F89" w14:paraId="19CA7AF6" w14:textId="77777777" w:rsidTr="00223F64">
        <w:tc>
          <w:tcPr>
            <w:tcW w:w="5000" w:type="pct"/>
            <w:gridSpan w:val="6"/>
          </w:tcPr>
          <w:p w14:paraId="1C704317" w14:textId="77777777" w:rsidR="00E67F89" w:rsidRPr="00E67F89" w:rsidRDefault="00E67F89" w:rsidP="00E67F89">
            <w:r w:rsidRPr="00E67F89">
              <w:t>Sécurité des services</w:t>
            </w:r>
          </w:p>
        </w:tc>
      </w:tr>
      <w:tr w:rsidR="00E67F89" w:rsidRPr="00E67F89" w14:paraId="3943D36A" w14:textId="77777777" w:rsidTr="00223F64">
        <w:tc>
          <w:tcPr>
            <w:tcW w:w="718" w:type="pct"/>
          </w:tcPr>
          <w:p w14:paraId="07DBEC4A" w14:textId="77777777" w:rsidR="00E67F89" w:rsidRPr="00E67F89" w:rsidRDefault="00E67F89" w:rsidP="00E67F89">
            <w:r w:rsidRPr="00E67F89">
              <w:t>Sécurité de services d’approvisionnement en eau potable</w:t>
            </w:r>
          </w:p>
          <w:p w14:paraId="1B0479D9" w14:textId="77777777" w:rsidR="00E67F89" w:rsidRPr="00E67F89" w:rsidRDefault="00E67F89" w:rsidP="00E67F89">
            <w:r w:rsidRPr="00E67F89">
              <w:t>Fourniture de services de l’eau et de l’assainissement, tels que l’eau contaminée ou la propagation de maladies</w:t>
            </w:r>
          </w:p>
        </w:tc>
        <w:tc>
          <w:tcPr>
            <w:tcW w:w="427" w:type="pct"/>
          </w:tcPr>
          <w:p w14:paraId="15C33EB2" w14:textId="77777777" w:rsidR="00E67F89" w:rsidRPr="00E67F89" w:rsidRDefault="00E67F89" w:rsidP="00E67F89">
            <w:r w:rsidRPr="00E67F89">
              <w:t>NO 9.1</w:t>
            </w:r>
          </w:p>
        </w:tc>
        <w:tc>
          <w:tcPr>
            <w:tcW w:w="1246" w:type="pct"/>
          </w:tcPr>
          <w:p w14:paraId="7E48E35D" w14:textId="77777777" w:rsidR="00E67F89" w:rsidRPr="00E67F89" w:rsidRDefault="00E67F89" w:rsidP="00E67F89">
            <w:r w:rsidRPr="00E67F89">
              <w:t>Minimiser et anticiper les risques et les effets causés par la fourniture des services du projet sur la santé et la sécurité des populations concernées.</w:t>
            </w:r>
          </w:p>
        </w:tc>
        <w:tc>
          <w:tcPr>
            <w:tcW w:w="513" w:type="pct"/>
          </w:tcPr>
          <w:p w14:paraId="4D476989" w14:textId="77777777" w:rsidR="00E67F89" w:rsidRPr="00E67F89" w:rsidRDefault="00E67F89" w:rsidP="00E67F89">
            <w:r w:rsidRPr="00E67F89">
              <w:t>Code de l’Eau</w:t>
            </w:r>
          </w:p>
        </w:tc>
        <w:tc>
          <w:tcPr>
            <w:tcW w:w="1162" w:type="pct"/>
          </w:tcPr>
          <w:p w14:paraId="47A88542" w14:textId="77777777" w:rsidR="00E67F89" w:rsidRPr="00E67F89" w:rsidRDefault="00E67F89" w:rsidP="00E67F89">
            <w:r w:rsidRPr="00E67F89">
              <w:t>Toute eau livrée à la consommation humaine doit être potable. Une eau potable est définie comme une eau destinée à la consommation humaine qui, par traitement ou naturellement, répond à des normes organoleptiques, physico-chimiques, bactériologiques et biologiques fixées par décret. [Article 38]</w:t>
            </w:r>
          </w:p>
          <w:p w14:paraId="270D22AC" w14:textId="77777777" w:rsidR="00E67F89" w:rsidRPr="00E67F89" w:rsidRDefault="00E67F89" w:rsidP="00E67F89">
            <w:r w:rsidRPr="00E67F89">
              <w:t>Surveillance de la qualité de l’eau : L’auto-surveillance porte, avant tout, sur les émissions de polluants. L’auto-surveillance implique des mesures régulières et aussi fréquentes que possible, dont des prélèvements et à la consommation d’eau ainsi qu’aux rejets de toute nature des installations classées pour la protection de l’environnement. [Article 60]</w:t>
            </w:r>
          </w:p>
        </w:tc>
        <w:tc>
          <w:tcPr>
            <w:tcW w:w="934" w:type="pct"/>
          </w:tcPr>
          <w:p w14:paraId="3DF7F754" w14:textId="77777777" w:rsidR="00E67F89" w:rsidRPr="00E67F89" w:rsidRDefault="00E67F89" w:rsidP="00E67F89">
            <w:r w:rsidRPr="00E67F89">
              <w:t xml:space="preserve">Complémentarité entre la NES 4 et le cadre national malagasy. </w:t>
            </w:r>
          </w:p>
          <w:p w14:paraId="6CD818FF" w14:textId="77777777" w:rsidR="00E67F89" w:rsidRPr="00E67F89" w:rsidRDefault="00E67F89" w:rsidP="00E67F89">
            <w:r w:rsidRPr="00E67F89">
              <w:t>Le Projet se conformera aux dispositions stipulées dans le Code de l’Eau.</w:t>
            </w:r>
          </w:p>
        </w:tc>
      </w:tr>
      <w:tr w:rsidR="00E67F89" w:rsidRPr="00E67F89" w14:paraId="4B47848E" w14:textId="77777777" w:rsidTr="00223F64">
        <w:tc>
          <w:tcPr>
            <w:tcW w:w="718" w:type="pct"/>
          </w:tcPr>
          <w:p w14:paraId="7A126F2F" w14:textId="77777777" w:rsidR="00E67F89" w:rsidRPr="00E67F89" w:rsidRDefault="00E67F89" w:rsidP="00E67F89">
            <w:r w:rsidRPr="00E67F89">
              <w:lastRenderedPageBreak/>
              <w:t>Service de l’élimination des déchets, comme la toxicité, l’effondrement des décharges ou la pollution atmosphérique</w:t>
            </w:r>
          </w:p>
        </w:tc>
        <w:tc>
          <w:tcPr>
            <w:tcW w:w="427" w:type="pct"/>
          </w:tcPr>
          <w:p w14:paraId="30404A92" w14:textId="77777777" w:rsidR="00E67F89" w:rsidRPr="00E67F89" w:rsidRDefault="00E67F89" w:rsidP="00E67F89">
            <w:r w:rsidRPr="00E67F89">
              <w:t>NO 9.1</w:t>
            </w:r>
          </w:p>
        </w:tc>
        <w:tc>
          <w:tcPr>
            <w:tcW w:w="1246" w:type="pct"/>
          </w:tcPr>
          <w:p w14:paraId="2D799D7B" w14:textId="77777777" w:rsidR="00E67F89" w:rsidRPr="00E67F89" w:rsidRDefault="00E67F89" w:rsidP="00E67F89">
            <w:r w:rsidRPr="00E67F89">
              <w:t>Minimiser et anticiper les risques et les effets causés par la fourniture des services du projet sur la santé et la sécurité des populations concernées.</w:t>
            </w:r>
          </w:p>
        </w:tc>
        <w:tc>
          <w:tcPr>
            <w:tcW w:w="513" w:type="pct"/>
          </w:tcPr>
          <w:p w14:paraId="2D9B3461" w14:textId="77777777" w:rsidR="00E67F89" w:rsidRPr="00E67F89" w:rsidRDefault="00E67F89" w:rsidP="00E67F89">
            <w:r w:rsidRPr="00E67F89">
              <w:t>Code de l’Eau</w:t>
            </w:r>
          </w:p>
        </w:tc>
        <w:tc>
          <w:tcPr>
            <w:tcW w:w="1162" w:type="pct"/>
          </w:tcPr>
          <w:p w14:paraId="363525A9" w14:textId="77777777" w:rsidR="00E67F89" w:rsidRPr="00E67F89" w:rsidRDefault="00E67F89" w:rsidP="00E67F89">
            <w:r w:rsidRPr="00E67F89">
              <w:t>Des décrets déterminent les conditions dans lesquelles peuvent être réglementés ou interdits, les déversements, écoulements rejets, dépôts directs ou indirects d'eau ou de matières, plus généralement tout fait susceptibles d'altérer la qualité de l'eau superficielle ou souterraine [Article 18]</w:t>
            </w:r>
          </w:p>
        </w:tc>
        <w:tc>
          <w:tcPr>
            <w:tcW w:w="934" w:type="pct"/>
          </w:tcPr>
          <w:p w14:paraId="2FF2959E" w14:textId="77777777" w:rsidR="00E67F89" w:rsidRPr="00E67F89" w:rsidRDefault="00E67F89" w:rsidP="00E67F89">
            <w:r w:rsidRPr="00E67F89">
              <w:t xml:space="preserve">Insuffisance de textes réglementaires qui régissent la gestion et l’élimination des déchets. </w:t>
            </w:r>
          </w:p>
          <w:p w14:paraId="0862A458" w14:textId="77777777" w:rsidR="00E67F89" w:rsidRPr="00E67F89" w:rsidRDefault="00E67F89" w:rsidP="00E67F89">
            <w:r w:rsidRPr="00E67F89">
              <w:t>Le Projet se soumettra aux exigences de la NES 4.</w:t>
            </w:r>
          </w:p>
        </w:tc>
      </w:tr>
      <w:tr w:rsidR="00E67F89" w:rsidRPr="00E67F89" w14:paraId="62ACAD80" w14:textId="77777777" w:rsidTr="00223F64">
        <w:tc>
          <w:tcPr>
            <w:tcW w:w="718" w:type="pct"/>
          </w:tcPr>
          <w:p w14:paraId="11B52B75" w14:textId="77777777" w:rsidR="00E67F89" w:rsidRPr="00E67F89" w:rsidRDefault="00E67F89" w:rsidP="00E67F89">
            <w:r w:rsidRPr="00E67F89">
              <w:t>Service de fourniture des canaux d’eau ou d’irrigation, comme les noyades, les inondations ou les maladies hydriques</w:t>
            </w:r>
          </w:p>
        </w:tc>
        <w:tc>
          <w:tcPr>
            <w:tcW w:w="427" w:type="pct"/>
          </w:tcPr>
          <w:p w14:paraId="6E50E23F" w14:textId="77777777" w:rsidR="00E67F89" w:rsidRPr="00E67F89" w:rsidRDefault="00E67F89" w:rsidP="00E67F89">
            <w:r w:rsidRPr="00E67F89">
              <w:t>NO 9.1</w:t>
            </w:r>
          </w:p>
        </w:tc>
        <w:tc>
          <w:tcPr>
            <w:tcW w:w="1246" w:type="pct"/>
          </w:tcPr>
          <w:p w14:paraId="30047450" w14:textId="77777777" w:rsidR="00E67F89" w:rsidRPr="00E67F89" w:rsidRDefault="00E67F89" w:rsidP="00E67F89">
            <w:r w:rsidRPr="00E67F89">
              <w:t>Minimiser et anticiper les risques et les effets causés par la fourniture des services du projet sur la santé et la sécurité des populations concernées</w:t>
            </w:r>
          </w:p>
        </w:tc>
        <w:tc>
          <w:tcPr>
            <w:tcW w:w="513" w:type="pct"/>
          </w:tcPr>
          <w:p w14:paraId="35EEEA6B" w14:textId="77777777" w:rsidR="00E67F89" w:rsidRPr="00E67F89" w:rsidRDefault="00E67F89" w:rsidP="00E67F89"/>
        </w:tc>
        <w:tc>
          <w:tcPr>
            <w:tcW w:w="1162" w:type="pct"/>
          </w:tcPr>
          <w:p w14:paraId="29A3DE0B" w14:textId="77777777" w:rsidR="00E67F89" w:rsidRPr="00E67F89" w:rsidRDefault="00E67F89" w:rsidP="00E67F89">
            <w:r w:rsidRPr="00E67F89">
              <w:t>Néant</w:t>
            </w:r>
          </w:p>
        </w:tc>
        <w:tc>
          <w:tcPr>
            <w:tcW w:w="934" w:type="pct"/>
          </w:tcPr>
          <w:p w14:paraId="0E8A174D" w14:textId="77777777" w:rsidR="00E67F89" w:rsidRPr="00E67F89" w:rsidRDefault="00E67F89" w:rsidP="00E67F89">
            <w:r w:rsidRPr="00E67F89">
              <w:t>Le Projet se soumettra aux exigences de la NES 4.</w:t>
            </w:r>
          </w:p>
        </w:tc>
      </w:tr>
      <w:tr w:rsidR="00E67F89" w:rsidRPr="00E67F89" w14:paraId="3DDBDB1A" w14:textId="77777777" w:rsidTr="00223F64">
        <w:tc>
          <w:tcPr>
            <w:tcW w:w="718" w:type="pct"/>
          </w:tcPr>
          <w:p w14:paraId="1589011D" w14:textId="77777777" w:rsidR="00E67F89" w:rsidRPr="00E67F89" w:rsidRDefault="00E67F89" w:rsidP="00E67F89">
            <w:r w:rsidRPr="00E67F89">
              <w:t>Services liés aux carrières ou aux travaux d’excavation, tels que les chutes de pierres ou les équipements dangereux</w:t>
            </w:r>
          </w:p>
        </w:tc>
        <w:tc>
          <w:tcPr>
            <w:tcW w:w="427" w:type="pct"/>
          </w:tcPr>
          <w:p w14:paraId="43FC6171" w14:textId="77777777" w:rsidR="00E67F89" w:rsidRPr="00E67F89" w:rsidRDefault="00E67F89" w:rsidP="00E67F89">
            <w:r w:rsidRPr="00E67F89">
              <w:t>NO 9.1</w:t>
            </w:r>
          </w:p>
        </w:tc>
        <w:tc>
          <w:tcPr>
            <w:tcW w:w="1246" w:type="pct"/>
          </w:tcPr>
          <w:p w14:paraId="443316D3" w14:textId="77777777" w:rsidR="00E67F89" w:rsidRPr="00E67F89" w:rsidRDefault="00E67F89" w:rsidP="00E67F89">
            <w:r w:rsidRPr="00E67F89">
              <w:t>Minimiser et anticiper les risques et les effets causés par la fourniture des services du projet sur la santé et la sécurité des populations concernées</w:t>
            </w:r>
          </w:p>
        </w:tc>
        <w:tc>
          <w:tcPr>
            <w:tcW w:w="513" w:type="pct"/>
          </w:tcPr>
          <w:p w14:paraId="76FF7045" w14:textId="77777777" w:rsidR="00E67F89" w:rsidRPr="00E67F89" w:rsidRDefault="00E67F89" w:rsidP="00E67F89"/>
        </w:tc>
        <w:tc>
          <w:tcPr>
            <w:tcW w:w="1162" w:type="pct"/>
          </w:tcPr>
          <w:p w14:paraId="4082FC2E" w14:textId="77777777" w:rsidR="00E67F89" w:rsidRPr="00E67F89" w:rsidRDefault="00E67F89" w:rsidP="00E67F89">
            <w:r w:rsidRPr="00E67F89">
              <w:t>Néant</w:t>
            </w:r>
          </w:p>
        </w:tc>
        <w:tc>
          <w:tcPr>
            <w:tcW w:w="934" w:type="pct"/>
          </w:tcPr>
          <w:p w14:paraId="7C1146F3" w14:textId="77777777" w:rsidR="00E67F89" w:rsidRPr="00E67F89" w:rsidRDefault="00E67F89" w:rsidP="00E67F89">
            <w:r w:rsidRPr="00E67F89">
              <w:t>Le Projet se soumettra aux exigences de la NES 4.</w:t>
            </w:r>
          </w:p>
        </w:tc>
      </w:tr>
      <w:tr w:rsidR="00E67F89" w:rsidRPr="00E67F89" w14:paraId="6E95091C" w14:textId="77777777" w:rsidTr="00223F64">
        <w:tc>
          <w:tcPr>
            <w:tcW w:w="718" w:type="pct"/>
          </w:tcPr>
          <w:p w14:paraId="367153FB" w14:textId="77777777" w:rsidR="00E67F89" w:rsidRPr="00E67F89" w:rsidRDefault="00E67F89" w:rsidP="00E67F89">
            <w:r w:rsidRPr="00E67F89">
              <w:t xml:space="preserve">Services de fourniture d’électricité, qui peut </w:t>
            </w:r>
            <w:r w:rsidRPr="00E67F89">
              <w:lastRenderedPageBreak/>
              <w:t>provoquer des chocs électriques provenant d’armoires ou de câbles électriques</w:t>
            </w:r>
          </w:p>
        </w:tc>
        <w:tc>
          <w:tcPr>
            <w:tcW w:w="427" w:type="pct"/>
          </w:tcPr>
          <w:p w14:paraId="34AF8E5D" w14:textId="77777777" w:rsidR="00E67F89" w:rsidRPr="00E67F89" w:rsidRDefault="00E67F89" w:rsidP="00E67F89">
            <w:r w:rsidRPr="00E67F89">
              <w:lastRenderedPageBreak/>
              <w:t>NO 9.1</w:t>
            </w:r>
          </w:p>
        </w:tc>
        <w:tc>
          <w:tcPr>
            <w:tcW w:w="1246" w:type="pct"/>
          </w:tcPr>
          <w:p w14:paraId="4DF558E1" w14:textId="77777777" w:rsidR="00E67F89" w:rsidRPr="00E67F89" w:rsidRDefault="00E67F89" w:rsidP="00E67F89">
            <w:r w:rsidRPr="00E67F89">
              <w:t xml:space="preserve">Minimiser et anticiper les risques et les effets causés par la fourniture des </w:t>
            </w:r>
            <w:r w:rsidRPr="00E67F89">
              <w:lastRenderedPageBreak/>
              <w:t>services du projet sur la santé et la sécurité des populations concernées</w:t>
            </w:r>
          </w:p>
        </w:tc>
        <w:tc>
          <w:tcPr>
            <w:tcW w:w="513" w:type="pct"/>
          </w:tcPr>
          <w:p w14:paraId="585F9A6F" w14:textId="77777777" w:rsidR="00E67F89" w:rsidRPr="00E67F89" w:rsidRDefault="00E67F89" w:rsidP="00E67F89"/>
        </w:tc>
        <w:tc>
          <w:tcPr>
            <w:tcW w:w="1162" w:type="pct"/>
          </w:tcPr>
          <w:p w14:paraId="66B48756" w14:textId="77777777" w:rsidR="00E67F89" w:rsidRPr="00E67F89" w:rsidRDefault="00E67F89" w:rsidP="00E67F89">
            <w:r w:rsidRPr="00E67F89">
              <w:t>Néant</w:t>
            </w:r>
          </w:p>
        </w:tc>
        <w:tc>
          <w:tcPr>
            <w:tcW w:w="934" w:type="pct"/>
          </w:tcPr>
          <w:p w14:paraId="36B8E77A" w14:textId="77777777" w:rsidR="00E67F89" w:rsidRPr="00E67F89" w:rsidRDefault="00E67F89" w:rsidP="00E67F89">
            <w:r w:rsidRPr="00E67F89">
              <w:t>Le Projet se soumettra aux exigences de la NES 4.</w:t>
            </w:r>
          </w:p>
        </w:tc>
      </w:tr>
      <w:tr w:rsidR="00E67F89" w:rsidRPr="00E67F89" w14:paraId="0F4FD0F9" w14:textId="77777777" w:rsidTr="00223F64">
        <w:tc>
          <w:tcPr>
            <w:tcW w:w="5000" w:type="pct"/>
            <w:gridSpan w:val="6"/>
          </w:tcPr>
          <w:p w14:paraId="668B768C" w14:textId="77777777" w:rsidR="00E67F89" w:rsidRPr="00E67F89" w:rsidRDefault="00E67F89" w:rsidP="00E67F89">
            <w:r w:rsidRPr="00E67F89">
              <w:t>Circulation et sécurité routière</w:t>
            </w:r>
          </w:p>
        </w:tc>
      </w:tr>
      <w:tr w:rsidR="00E67F89" w:rsidRPr="00E67F89" w14:paraId="1FF28E25" w14:textId="77777777" w:rsidTr="00223F64">
        <w:tc>
          <w:tcPr>
            <w:tcW w:w="718" w:type="pct"/>
            <w:vMerge w:val="restart"/>
          </w:tcPr>
          <w:p w14:paraId="04109A75" w14:textId="77777777" w:rsidR="00E67F89" w:rsidRPr="00E67F89" w:rsidRDefault="00E67F89" w:rsidP="00E67F89">
            <w:r w:rsidRPr="00E67F89">
              <w:t xml:space="preserve">Evaluation des risques liés à la sécurité routière </w:t>
            </w:r>
          </w:p>
        </w:tc>
        <w:tc>
          <w:tcPr>
            <w:tcW w:w="427" w:type="pct"/>
          </w:tcPr>
          <w:p w14:paraId="0C021E40" w14:textId="77777777" w:rsidR="00E67F89" w:rsidRPr="00E67F89" w:rsidRDefault="00E67F89" w:rsidP="00E67F89">
            <w:r w:rsidRPr="00E67F89">
              <w:t>10</w:t>
            </w:r>
          </w:p>
        </w:tc>
        <w:tc>
          <w:tcPr>
            <w:tcW w:w="1246" w:type="pct"/>
          </w:tcPr>
          <w:p w14:paraId="484F2304" w14:textId="77777777" w:rsidR="00E67F89" w:rsidRPr="00E67F89" w:rsidRDefault="00E67F89" w:rsidP="00E67F89">
            <w:r w:rsidRPr="00E67F89">
              <w:t>Evaluer et surveiller les risques liés à la circulation et à la sécurité routière que pourraient courir les travailleurs et les personnes touchées et pour les usagers de la route</w:t>
            </w:r>
          </w:p>
        </w:tc>
        <w:tc>
          <w:tcPr>
            <w:tcW w:w="513" w:type="pct"/>
          </w:tcPr>
          <w:p w14:paraId="1EFF18E9" w14:textId="77777777" w:rsidR="00E67F89" w:rsidRPr="00E67F89" w:rsidRDefault="00E67F89" w:rsidP="00E67F89">
            <w:r w:rsidRPr="00E67F89">
              <w:t>LOI 2017-002</w:t>
            </w:r>
          </w:p>
          <w:p w14:paraId="3B6B6EEC" w14:textId="77777777" w:rsidR="00E67F89" w:rsidRPr="00E67F89" w:rsidRDefault="00E67F89" w:rsidP="00E67F89">
            <w:r w:rsidRPr="00E67F89">
              <w:t>Code de la Route</w:t>
            </w:r>
          </w:p>
        </w:tc>
        <w:tc>
          <w:tcPr>
            <w:tcW w:w="1162" w:type="pct"/>
          </w:tcPr>
          <w:p w14:paraId="238B2A21" w14:textId="77777777" w:rsidR="00E67F89" w:rsidRPr="00E67F89" w:rsidRDefault="00E67F89" w:rsidP="00E67F89">
            <w:r w:rsidRPr="00E67F89">
              <w:t>Existence et application des règles de la circulation pour chaque catégorie d’usager de la route : les conducteurs de véhicules motorisés et non motorisés, les conducteurs d’animaux de trait, de charge et de selle, les passagers des véhicules, et les piétons. [Article L2.1.1]</w:t>
            </w:r>
          </w:p>
        </w:tc>
        <w:tc>
          <w:tcPr>
            <w:tcW w:w="934" w:type="pct"/>
            <w:vMerge w:val="restart"/>
          </w:tcPr>
          <w:p w14:paraId="2CDBF806" w14:textId="77777777" w:rsidR="00E67F89" w:rsidRPr="00E67F89" w:rsidRDefault="00E67F89" w:rsidP="00E67F89">
            <w:r w:rsidRPr="00E67F89">
              <w:t>La Loi malagasy ne prévoit pas l’analyse des risques liés à la sécurité routière, avant tous types de travaux routiers.</w:t>
            </w:r>
          </w:p>
          <w:p w14:paraId="0DC6D553" w14:textId="77777777" w:rsidR="00E67F89" w:rsidRPr="00E67F89" w:rsidRDefault="00E67F89" w:rsidP="00E67F89">
            <w:r w:rsidRPr="00E67F89">
              <w:t>On appliquera pour le Projet les directives de la NES 4.</w:t>
            </w:r>
          </w:p>
        </w:tc>
      </w:tr>
      <w:tr w:rsidR="00E67F89" w:rsidRPr="00E67F89" w14:paraId="7ECCA22F" w14:textId="77777777" w:rsidTr="00223F64">
        <w:tc>
          <w:tcPr>
            <w:tcW w:w="718" w:type="pct"/>
            <w:vMerge/>
          </w:tcPr>
          <w:p w14:paraId="3743F5BD" w14:textId="77777777" w:rsidR="00E67F89" w:rsidRPr="00E67F89" w:rsidRDefault="00E67F89" w:rsidP="00E67F89"/>
        </w:tc>
        <w:tc>
          <w:tcPr>
            <w:tcW w:w="427" w:type="pct"/>
          </w:tcPr>
          <w:p w14:paraId="45371466" w14:textId="77777777" w:rsidR="00E67F89" w:rsidRPr="00E67F89" w:rsidRDefault="00E67F89" w:rsidP="00E67F89">
            <w:r w:rsidRPr="00E67F89">
              <w:t>NO 11.4</w:t>
            </w:r>
          </w:p>
        </w:tc>
        <w:tc>
          <w:tcPr>
            <w:tcW w:w="1246" w:type="pct"/>
          </w:tcPr>
          <w:p w14:paraId="6D16647E" w14:textId="77777777" w:rsidR="00E67F89" w:rsidRPr="00E67F89" w:rsidRDefault="00E67F89" w:rsidP="00E67F89">
            <w:r w:rsidRPr="00E67F89">
              <w:t>Effectuer une évaluation de la sécurité routière : évaluation des risques pour les piétons et aux communautés</w:t>
            </w:r>
          </w:p>
        </w:tc>
        <w:tc>
          <w:tcPr>
            <w:tcW w:w="513" w:type="pct"/>
          </w:tcPr>
          <w:p w14:paraId="0F1A3501" w14:textId="77777777" w:rsidR="00E67F89" w:rsidRPr="00E67F89" w:rsidRDefault="00E67F89" w:rsidP="00E67F89">
            <w:r w:rsidRPr="00E67F89">
              <w:t>LOI 2017-002</w:t>
            </w:r>
          </w:p>
          <w:p w14:paraId="7B702B52" w14:textId="77777777" w:rsidR="00E67F89" w:rsidRPr="00E67F89" w:rsidRDefault="00E67F89" w:rsidP="00E67F89">
            <w:r w:rsidRPr="00E67F89">
              <w:t xml:space="preserve">Code de la Route </w:t>
            </w:r>
          </w:p>
          <w:p w14:paraId="193ADF54" w14:textId="77777777" w:rsidR="00E67F89" w:rsidRPr="00E67F89" w:rsidRDefault="00E67F89" w:rsidP="00E67F89"/>
        </w:tc>
        <w:tc>
          <w:tcPr>
            <w:tcW w:w="1162" w:type="pct"/>
          </w:tcPr>
          <w:p w14:paraId="02965AC8" w14:textId="77777777" w:rsidR="00E67F89" w:rsidRPr="00E67F89" w:rsidRDefault="00E67F89" w:rsidP="00E67F89">
            <w:r w:rsidRPr="00E67F89">
              <w:t>La Loi fixe les règles qui s’appliquent au conducteur de véhicules, et qui sont relatives à la protection des usagers de la voie publique [Article L3.3.1]</w:t>
            </w:r>
          </w:p>
        </w:tc>
        <w:tc>
          <w:tcPr>
            <w:tcW w:w="934" w:type="pct"/>
            <w:vMerge/>
          </w:tcPr>
          <w:p w14:paraId="5D256626" w14:textId="77777777" w:rsidR="00E67F89" w:rsidRPr="00E67F89" w:rsidRDefault="00E67F89" w:rsidP="00E67F89"/>
        </w:tc>
      </w:tr>
      <w:tr w:rsidR="00E67F89" w:rsidRPr="00E67F89" w14:paraId="313B272F" w14:textId="77777777" w:rsidTr="00223F64">
        <w:tc>
          <w:tcPr>
            <w:tcW w:w="718" w:type="pct"/>
          </w:tcPr>
          <w:p w14:paraId="0B76E8E0" w14:textId="77777777" w:rsidR="00E67F89" w:rsidRPr="00E67F89" w:rsidRDefault="00E67F89" w:rsidP="00E67F89">
            <w:r w:rsidRPr="00E67F89">
              <w:t>Surveillance de l’état de la circulation routière</w:t>
            </w:r>
          </w:p>
        </w:tc>
        <w:tc>
          <w:tcPr>
            <w:tcW w:w="427" w:type="pct"/>
          </w:tcPr>
          <w:p w14:paraId="6BD0A054" w14:textId="77777777" w:rsidR="00E67F89" w:rsidRPr="00E67F89" w:rsidRDefault="00E67F89" w:rsidP="00E67F89">
            <w:r w:rsidRPr="00E67F89">
              <w:t>NO 11.6</w:t>
            </w:r>
          </w:p>
        </w:tc>
        <w:tc>
          <w:tcPr>
            <w:tcW w:w="1246" w:type="pct"/>
          </w:tcPr>
          <w:p w14:paraId="3DA3B73E" w14:textId="77777777" w:rsidR="00E67F89" w:rsidRPr="00E67F89" w:rsidRDefault="00E67F89" w:rsidP="00E67F89">
            <w:r w:rsidRPr="00E67F89">
              <w:t>Etablir un état de la circulation routière et contrôler et rendre compte les rapports d’incidents, et d’accidents au cours du projet</w:t>
            </w:r>
          </w:p>
          <w:p w14:paraId="4CB9A1C2" w14:textId="77777777" w:rsidR="00E67F89" w:rsidRPr="00E67F89" w:rsidRDefault="00E67F89" w:rsidP="00E67F89">
            <w:r w:rsidRPr="00E67F89">
              <w:t>Développer un plan d’intervention d’urgence en consultation avec les communautés</w:t>
            </w:r>
          </w:p>
        </w:tc>
        <w:tc>
          <w:tcPr>
            <w:tcW w:w="513" w:type="pct"/>
          </w:tcPr>
          <w:p w14:paraId="087F8053" w14:textId="77777777" w:rsidR="00E67F89" w:rsidRPr="00E67F89" w:rsidRDefault="00E67F89" w:rsidP="00E67F89">
            <w:r w:rsidRPr="00E67F89">
              <w:t>Décret N°2003-856</w:t>
            </w:r>
          </w:p>
        </w:tc>
        <w:tc>
          <w:tcPr>
            <w:tcW w:w="1162" w:type="pct"/>
          </w:tcPr>
          <w:p w14:paraId="1E6A9266" w14:textId="77777777" w:rsidR="00E67F89" w:rsidRPr="00E67F89" w:rsidRDefault="00E67F89" w:rsidP="00E67F89">
            <w:r w:rsidRPr="00E67F89">
              <w:t xml:space="preserve">La surveillance de la sécurité routière dans les voies publiques relève du pouvoir et de l’autorité de l’Administration publique, à travers la Brigade de la sécurité routière </w:t>
            </w:r>
          </w:p>
        </w:tc>
        <w:tc>
          <w:tcPr>
            <w:tcW w:w="934" w:type="pct"/>
          </w:tcPr>
          <w:p w14:paraId="797F06E7" w14:textId="77777777" w:rsidR="00E67F89" w:rsidRPr="00E67F89" w:rsidRDefault="00E67F89" w:rsidP="00E67F89">
            <w:r w:rsidRPr="00E67F89">
              <w:t xml:space="preserve">Il n’est pas défini dans le cadre national malagasy, les activités qui entrent dans le cadre de la surveillance de la circulation routière. </w:t>
            </w:r>
          </w:p>
          <w:p w14:paraId="1938C06F" w14:textId="77777777" w:rsidR="00E67F89" w:rsidRPr="00E67F89" w:rsidRDefault="00E67F89" w:rsidP="00E67F89">
            <w:r w:rsidRPr="00E67F89">
              <w:lastRenderedPageBreak/>
              <w:t>On appliquera pour le Projet les directives de la NES 4.</w:t>
            </w:r>
          </w:p>
        </w:tc>
      </w:tr>
      <w:tr w:rsidR="00E67F89" w:rsidRPr="00E67F89" w14:paraId="613DB01F" w14:textId="77777777" w:rsidTr="00223F64">
        <w:tc>
          <w:tcPr>
            <w:tcW w:w="718" w:type="pct"/>
          </w:tcPr>
          <w:p w14:paraId="455B0D24" w14:textId="77777777" w:rsidR="00E67F89" w:rsidRPr="00E67F89" w:rsidRDefault="00E67F89" w:rsidP="00E67F89"/>
        </w:tc>
        <w:tc>
          <w:tcPr>
            <w:tcW w:w="427" w:type="pct"/>
          </w:tcPr>
          <w:p w14:paraId="5113FA77" w14:textId="77777777" w:rsidR="00E67F89" w:rsidRPr="00E67F89" w:rsidRDefault="00E67F89" w:rsidP="00E67F89">
            <w:r w:rsidRPr="00E67F89">
              <w:t>13</w:t>
            </w:r>
          </w:p>
        </w:tc>
        <w:tc>
          <w:tcPr>
            <w:tcW w:w="1246" w:type="pct"/>
          </w:tcPr>
          <w:p w14:paraId="067C7FA6" w14:textId="77777777" w:rsidR="00E67F89" w:rsidRPr="00E67F89" w:rsidRDefault="00E67F89" w:rsidP="00E67F89">
            <w:r w:rsidRPr="00E67F89">
              <w:t xml:space="preserve">Mise en place de procédures de sécurité routière pour éviter tout accident aux personnes étrangères au projet </w:t>
            </w:r>
          </w:p>
        </w:tc>
        <w:tc>
          <w:tcPr>
            <w:tcW w:w="513" w:type="pct"/>
          </w:tcPr>
          <w:p w14:paraId="7139C3AA" w14:textId="77777777" w:rsidR="00E67F89" w:rsidRPr="00E67F89" w:rsidRDefault="00E67F89" w:rsidP="00E67F89"/>
        </w:tc>
        <w:tc>
          <w:tcPr>
            <w:tcW w:w="1162" w:type="pct"/>
          </w:tcPr>
          <w:p w14:paraId="50145215" w14:textId="77777777" w:rsidR="00E67F89" w:rsidRPr="00E67F89" w:rsidRDefault="00E67F89" w:rsidP="00E67F89">
            <w:r w:rsidRPr="00E67F89">
              <w:t>Néant</w:t>
            </w:r>
          </w:p>
        </w:tc>
        <w:tc>
          <w:tcPr>
            <w:tcW w:w="934" w:type="pct"/>
          </w:tcPr>
          <w:p w14:paraId="369DDD40" w14:textId="77777777" w:rsidR="00E67F89" w:rsidRPr="00E67F89" w:rsidRDefault="00E67F89" w:rsidP="00E67F89">
            <w:r w:rsidRPr="00E67F89">
              <w:t>On appliquera pour le Projet les directives de la NES 4.</w:t>
            </w:r>
          </w:p>
        </w:tc>
      </w:tr>
      <w:tr w:rsidR="00E67F89" w:rsidRPr="00E67F89" w14:paraId="0431EFCC" w14:textId="77777777" w:rsidTr="00223F64">
        <w:tc>
          <w:tcPr>
            <w:tcW w:w="718" w:type="pct"/>
          </w:tcPr>
          <w:p w14:paraId="169A873B" w14:textId="77777777" w:rsidR="00E67F89" w:rsidRPr="00E67F89" w:rsidRDefault="00E67F89" w:rsidP="00E67F89">
            <w:r w:rsidRPr="00E67F89">
              <w:t>Services écosystémiques</w:t>
            </w:r>
          </w:p>
        </w:tc>
        <w:tc>
          <w:tcPr>
            <w:tcW w:w="427" w:type="pct"/>
          </w:tcPr>
          <w:p w14:paraId="4142A079" w14:textId="77777777" w:rsidR="00E67F89" w:rsidRPr="00E67F89" w:rsidRDefault="00E67F89" w:rsidP="00E67F89">
            <w:r w:rsidRPr="00E67F89">
              <w:t>14</w:t>
            </w:r>
          </w:p>
          <w:p w14:paraId="34132B15" w14:textId="77777777" w:rsidR="00E67F89" w:rsidRPr="00E67F89" w:rsidRDefault="00E67F89" w:rsidP="00E67F89"/>
          <w:p w14:paraId="5E689866" w14:textId="77777777" w:rsidR="00E67F89" w:rsidRPr="00E67F89" w:rsidRDefault="00E67F89" w:rsidP="00E67F89"/>
          <w:p w14:paraId="6DAB5DBD" w14:textId="77777777" w:rsidR="00E67F89" w:rsidRPr="00E67F89" w:rsidRDefault="00E67F89" w:rsidP="00E67F89"/>
          <w:p w14:paraId="62380FF2" w14:textId="77777777" w:rsidR="00E67F89" w:rsidRPr="00E67F89" w:rsidRDefault="00E67F89" w:rsidP="00E67F89"/>
          <w:p w14:paraId="1BC8B386" w14:textId="77777777" w:rsidR="00E67F89" w:rsidRPr="00E67F89" w:rsidRDefault="00E67F89" w:rsidP="00E67F89"/>
          <w:p w14:paraId="7D9BD1C6" w14:textId="77777777" w:rsidR="00E67F89" w:rsidRPr="00E67F89" w:rsidRDefault="00E67F89" w:rsidP="00E67F89"/>
          <w:p w14:paraId="5DCB9EAD" w14:textId="77777777" w:rsidR="00E67F89" w:rsidRPr="00E67F89" w:rsidRDefault="00E67F89" w:rsidP="00E67F89"/>
          <w:p w14:paraId="67933587" w14:textId="77777777" w:rsidR="00E67F89" w:rsidRPr="00E67F89" w:rsidRDefault="00E67F89" w:rsidP="00E67F89"/>
          <w:p w14:paraId="15795E5A" w14:textId="77777777" w:rsidR="00E67F89" w:rsidRPr="00E67F89" w:rsidRDefault="00E67F89" w:rsidP="00E67F89"/>
          <w:p w14:paraId="6C256228" w14:textId="77777777" w:rsidR="00E67F89" w:rsidRPr="00E67F89" w:rsidRDefault="00E67F89" w:rsidP="00E67F89">
            <w:r w:rsidRPr="00E67F89">
              <w:t>NO 14.1</w:t>
            </w:r>
          </w:p>
          <w:p w14:paraId="713392F6" w14:textId="77777777" w:rsidR="00E67F89" w:rsidRPr="00E67F89" w:rsidRDefault="00E67F89" w:rsidP="00E67F89"/>
          <w:p w14:paraId="6299E013" w14:textId="77777777" w:rsidR="00E67F89" w:rsidRPr="00E67F89" w:rsidRDefault="00E67F89" w:rsidP="00E67F89"/>
          <w:p w14:paraId="44362AB8" w14:textId="77777777" w:rsidR="00E67F89" w:rsidRPr="00E67F89" w:rsidRDefault="00E67F89" w:rsidP="00E67F89"/>
          <w:p w14:paraId="6D11AB4F" w14:textId="77777777" w:rsidR="00E67F89" w:rsidRPr="00E67F89" w:rsidRDefault="00E67F89" w:rsidP="00E67F89"/>
          <w:p w14:paraId="59E5E711" w14:textId="77777777" w:rsidR="00E67F89" w:rsidRPr="00E67F89" w:rsidRDefault="00E67F89" w:rsidP="00E67F89"/>
          <w:p w14:paraId="63DE4A45" w14:textId="77777777" w:rsidR="00E67F89" w:rsidRPr="00E67F89" w:rsidRDefault="00E67F89" w:rsidP="00E67F89"/>
        </w:tc>
        <w:tc>
          <w:tcPr>
            <w:tcW w:w="1246" w:type="pct"/>
          </w:tcPr>
          <w:p w14:paraId="61D423C3" w14:textId="77777777" w:rsidR="00E67F89" w:rsidRPr="00E67F89" w:rsidRDefault="00E67F89" w:rsidP="00E67F89">
            <w:r w:rsidRPr="00E67F89">
              <w:t xml:space="preserve">Les services écosystémiques désignent les produits que les populations tirent des écosystèmes : la nourriture, l’eau douce, les bois d’œuvre, les fibres et les plantes médicinales </w:t>
            </w:r>
          </w:p>
          <w:p w14:paraId="226CE2DB" w14:textId="77777777" w:rsidR="00E67F89" w:rsidRPr="00E67F89" w:rsidRDefault="00E67F89" w:rsidP="00E67F89"/>
          <w:p w14:paraId="4647BE6E" w14:textId="77777777" w:rsidR="00E67F89" w:rsidRPr="00E67F89" w:rsidRDefault="00E67F89" w:rsidP="00E67F89"/>
          <w:p w14:paraId="496157C1" w14:textId="77777777" w:rsidR="00E67F89" w:rsidRPr="00E67F89" w:rsidRDefault="00E67F89" w:rsidP="00E67F89"/>
          <w:p w14:paraId="36706021" w14:textId="77777777" w:rsidR="00E67F89" w:rsidRPr="00E67F89" w:rsidRDefault="00E67F89" w:rsidP="00E67F89"/>
          <w:p w14:paraId="1024A3BD" w14:textId="77777777" w:rsidR="00E67F89" w:rsidRPr="00E67F89" w:rsidRDefault="00E67F89" w:rsidP="00E67F89"/>
          <w:p w14:paraId="68AA43A7" w14:textId="77777777" w:rsidR="00E67F89" w:rsidRPr="00E67F89" w:rsidRDefault="00E67F89" w:rsidP="00E67F89"/>
          <w:p w14:paraId="66F24E22" w14:textId="77777777" w:rsidR="00E67F89" w:rsidRPr="00E67F89" w:rsidRDefault="00E67F89" w:rsidP="00E67F89"/>
          <w:p w14:paraId="78AC60D7" w14:textId="77777777" w:rsidR="00E67F89" w:rsidRPr="00E67F89" w:rsidRDefault="00E67F89" w:rsidP="00E67F89"/>
          <w:p w14:paraId="080C06EE" w14:textId="77777777" w:rsidR="00E67F89" w:rsidRPr="00E67F89" w:rsidRDefault="00E67F89" w:rsidP="00E67F89">
            <w:r w:rsidRPr="00E67F89">
              <w:t>Obligation du projet de faire une évaluation environnementale et sociale des services écosystémiques qui intègre les écosystèmes et les services écosystémiques</w:t>
            </w:r>
          </w:p>
          <w:p w14:paraId="50727E73" w14:textId="77777777" w:rsidR="00E67F89" w:rsidRPr="00E67F89" w:rsidRDefault="00E67F89" w:rsidP="00E67F89">
            <w:r w:rsidRPr="00E67F89">
              <w:lastRenderedPageBreak/>
              <w:t xml:space="preserve">Identifier les risques et les effets potentiels du projet sur les services écosystémiques qui pourraient être exacerbés par les changements climatiques </w:t>
            </w:r>
          </w:p>
          <w:p w14:paraId="5369DF23" w14:textId="77777777" w:rsidR="00E67F89" w:rsidRPr="00E67F89" w:rsidRDefault="00E67F89" w:rsidP="00E67F89">
            <w:r w:rsidRPr="00E67F89">
              <w:t>Mettre en œuvre des mesures d’atténuation et d’évitement des effets néfastes.</w:t>
            </w:r>
          </w:p>
        </w:tc>
        <w:tc>
          <w:tcPr>
            <w:tcW w:w="513" w:type="pct"/>
          </w:tcPr>
          <w:p w14:paraId="1FA227FF" w14:textId="77777777" w:rsidR="00E67F89" w:rsidRPr="00E67F89" w:rsidRDefault="00E67F89" w:rsidP="00E67F89">
            <w:r w:rsidRPr="00E67F89">
              <w:lastRenderedPageBreak/>
              <w:t>Charte de l’Environnement actualisée</w:t>
            </w:r>
          </w:p>
        </w:tc>
        <w:tc>
          <w:tcPr>
            <w:tcW w:w="1162" w:type="pct"/>
          </w:tcPr>
          <w:p w14:paraId="2AE512CB" w14:textId="77777777" w:rsidR="00E67F89" w:rsidRPr="00E67F89" w:rsidRDefault="00E67F89" w:rsidP="00E67F89">
            <w:r w:rsidRPr="00E67F89">
              <w:t>Services environnementaux : désignent un ensemble des services fournis naturellement par l’Environnement pour l’humanité. On peut les subdiviser en quatre catégories : les services de production (aliments, eau, combustibles matériaux de confection ou de construction), service des régulation (climat, crues, épidémies, purification de l’eau et de l’air), service de support (cycles des éléments, formation des sols), services culturels (esthétiques, spirituel, éducatif, récréatif, touristique. [Article 4]</w:t>
            </w:r>
          </w:p>
          <w:p w14:paraId="310EAF38" w14:textId="77777777" w:rsidR="00E67F89" w:rsidRPr="00E67F89" w:rsidRDefault="00E67F89" w:rsidP="00E67F89"/>
          <w:p w14:paraId="1B64B709" w14:textId="77777777" w:rsidR="00E67F89" w:rsidRPr="00E67F89" w:rsidRDefault="00E67F89" w:rsidP="00E67F89">
            <w:r w:rsidRPr="00E67F89">
              <w:t xml:space="preserve">L’Etat et toute personne physique ou morale ont le devoir de prendre </w:t>
            </w:r>
            <w:r w:rsidRPr="00E67F89">
              <w:lastRenderedPageBreak/>
              <w:t>des mesures d’actions préventives et correctives par priorité à la source des atteintes à l’environnement et des services écosystémiques [Article 12]. Ils ont également obligation de parer les éventuels dégâts pouvant affecter de manières graves et irréversibles l’environnement et les services environnementaux [Article 11].</w:t>
            </w:r>
          </w:p>
        </w:tc>
        <w:tc>
          <w:tcPr>
            <w:tcW w:w="934" w:type="pct"/>
          </w:tcPr>
          <w:p w14:paraId="01CE96E3" w14:textId="77777777" w:rsidR="00E67F89" w:rsidRPr="00E67F89" w:rsidRDefault="00E67F89" w:rsidP="00E67F89">
            <w:r w:rsidRPr="00E67F89">
              <w:lastRenderedPageBreak/>
              <w:t xml:space="preserve">Correspondance entre la NES 4 et le cadre légal national </w:t>
            </w:r>
          </w:p>
          <w:p w14:paraId="6D7F21EF" w14:textId="77777777" w:rsidR="00E67F89" w:rsidRPr="00E67F89" w:rsidRDefault="00E67F89" w:rsidP="00E67F89"/>
          <w:p w14:paraId="4145B2C1" w14:textId="77777777" w:rsidR="00E67F89" w:rsidRPr="00E67F89" w:rsidRDefault="00E67F89" w:rsidP="00E67F89"/>
          <w:p w14:paraId="29E77A4B" w14:textId="77777777" w:rsidR="00E67F89" w:rsidRPr="00E67F89" w:rsidRDefault="00E67F89" w:rsidP="00E67F89"/>
          <w:p w14:paraId="304B6377" w14:textId="77777777" w:rsidR="00E67F89" w:rsidRPr="00E67F89" w:rsidRDefault="00E67F89" w:rsidP="00E67F89"/>
          <w:p w14:paraId="5733AC5D" w14:textId="77777777" w:rsidR="00E67F89" w:rsidRPr="00E67F89" w:rsidRDefault="00E67F89" w:rsidP="00E67F89"/>
          <w:p w14:paraId="74684758" w14:textId="77777777" w:rsidR="00E67F89" w:rsidRPr="00E67F89" w:rsidRDefault="00E67F89" w:rsidP="00E67F89"/>
          <w:p w14:paraId="5F85F9D2" w14:textId="77777777" w:rsidR="00E67F89" w:rsidRPr="00E67F89" w:rsidRDefault="00E67F89" w:rsidP="00E67F89"/>
          <w:p w14:paraId="31CDDB0F" w14:textId="77777777" w:rsidR="00E67F89" w:rsidRPr="00E67F89" w:rsidRDefault="00E67F89" w:rsidP="00E67F89"/>
          <w:p w14:paraId="4159AC42" w14:textId="77777777" w:rsidR="00E67F89" w:rsidRPr="00E67F89" w:rsidRDefault="00E67F89" w:rsidP="00E67F89"/>
          <w:p w14:paraId="283249B4" w14:textId="77777777" w:rsidR="00E67F89" w:rsidRPr="00E67F89" w:rsidRDefault="00E67F89" w:rsidP="00E67F89"/>
          <w:p w14:paraId="2C423D2F" w14:textId="77777777" w:rsidR="00E67F89" w:rsidRPr="00E67F89" w:rsidRDefault="00E67F89" w:rsidP="00E67F89">
            <w:r w:rsidRPr="00E67F89">
              <w:t>Le Projet fera l’évaluation environnementale et sociale requise pour les services écosystémiques.</w:t>
            </w:r>
          </w:p>
        </w:tc>
      </w:tr>
      <w:tr w:rsidR="00E67F89" w:rsidRPr="00E67F89" w14:paraId="629443FF" w14:textId="77777777" w:rsidTr="00223F64">
        <w:tc>
          <w:tcPr>
            <w:tcW w:w="718" w:type="pct"/>
            <w:vMerge w:val="restart"/>
          </w:tcPr>
          <w:p w14:paraId="0AC90FAC" w14:textId="77777777" w:rsidR="00E67F89" w:rsidRPr="00E67F89" w:rsidRDefault="00E67F89" w:rsidP="00E67F89">
            <w:r w:rsidRPr="00E67F89">
              <w:t>Exposition des populations aux maladies</w:t>
            </w:r>
          </w:p>
        </w:tc>
        <w:tc>
          <w:tcPr>
            <w:tcW w:w="427" w:type="pct"/>
          </w:tcPr>
          <w:p w14:paraId="5E6AF38D" w14:textId="77777777" w:rsidR="00E67F89" w:rsidRPr="00E67F89" w:rsidRDefault="00E67F89" w:rsidP="00E67F89">
            <w:r w:rsidRPr="00E67F89">
              <w:t>15</w:t>
            </w:r>
          </w:p>
          <w:p w14:paraId="480E5FA8" w14:textId="77777777" w:rsidR="00E67F89" w:rsidRPr="00E67F89" w:rsidRDefault="00E67F89" w:rsidP="00E67F89"/>
          <w:p w14:paraId="6A789E66" w14:textId="77777777" w:rsidR="00E67F89" w:rsidRPr="00E67F89" w:rsidRDefault="00E67F89" w:rsidP="00E67F89"/>
          <w:p w14:paraId="30619E40" w14:textId="77777777" w:rsidR="00E67F89" w:rsidRPr="00E67F89" w:rsidRDefault="00E67F89" w:rsidP="00E67F89"/>
          <w:p w14:paraId="2C00C602" w14:textId="77777777" w:rsidR="00E67F89" w:rsidRPr="00E67F89" w:rsidRDefault="00E67F89" w:rsidP="00E67F89"/>
          <w:p w14:paraId="34B8FC84" w14:textId="77777777" w:rsidR="00E67F89" w:rsidRPr="00E67F89" w:rsidRDefault="00E67F89" w:rsidP="00E67F89"/>
          <w:p w14:paraId="37BC19DD" w14:textId="77777777" w:rsidR="00E67F89" w:rsidRPr="00E67F89" w:rsidRDefault="00E67F89" w:rsidP="00E67F89">
            <w:r w:rsidRPr="00E67F89">
              <w:t>NO 15.7</w:t>
            </w:r>
          </w:p>
          <w:p w14:paraId="4638F8D2" w14:textId="77777777" w:rsidR="00E67F89" w:rsidRPr="00E67F89" w:rsidRDefault="00E67F89" w:rsidP="00E67F89"/>
        </w:tc>
        <w:tc>
          <w:tcPr>
            <w:tcW w:w="1246" w:type="pct"/>
          </w:tcPr>
          <w:p w14:paraId="12AE5959" w14:textId="77777777" w:rsidR="00E67F89" w:rsidRPr="00E67F89" w:rsidRDefault="00E67F89" w:rsidP="00E67F89">
            <w:r w:rsidRPr="00E67F89">
              <w:t>Eviter l’exposition des communautés aux maladies : maladies véhiculées par l’eau, maladies à transmission vectorielle, maladies transmissibles, maladies non transmissibles, pouvant résulter de l’activité du projet.</w:t>
            </w:r>
          </w:p>
          <w:p w14:paraId="45A662A1" w14:textId="77777777" w:rsidR="00E67F89" w:rsidRPr="00E67F89" w:rsidRDefault="00E67F89" w:rsidP="00E67F89">
            <w:r w:rsidRPr="00E67F89">
              <w:t>Réduire la prévalence des maladies endémiques dans les communautés (par l’amélioration des conditions ambiantes).</w:t>
            </w:r>
          </w:p>
          <w:p w14:paraId="1B229647" w14:textId="77777777" w:rsidR="00E67F89" w:rsidRPr="00E67F89" w:rsidRDefault="00E67F89" w:rsidP="00E67F89">
            <w:r w:rsidRPr="00E67F89">
              <w:t>Réaliser une analyse des risques pour la santé, liés au projet, en fonction de divers facteurs de vulnérabilité.</w:t>
            </w:r>
          </w:p>
        </w:tc>
        <w:tc>
          <w:tcPr>
            <w:tcW w:w="513" w:type="pct"/>
          </w:tcPr>
          <w:p w14:paraId="18EBE8D4" w14:textId="77777777" w:rsidR="00E67F89" w:rsidRPr="00E67F89" w:rsidRDefault="00E67F89" w:rsidP="00E67F89">
            <w:r w:rsidRPr="00E67F89">
              <w:t>LOI N°2011-002</w:t>
            </w:r>
          </w:p>
          <w:p w14:paraId="2D4FC7FC" w14:textId="77777777" w:rsidR="00E67F89" w:rsidRPr="00E67F89" w:rsidRDefault="00E67F89" w:rsidP="00E67F89">
            <w:r w:rsidRPr="00E67F89">
              <w:t>Code de la Santé</w:t>
            </w:r>
          </w:p>
        </w:tc>
        <w:tc>
          <w:tcPr>
            <w:tcW w:w="1162" w:type="pct"/>
          </w:tcPr>
          <w:p w14:paraId="68B7E683" w14:textId="77777777" w:rsidR="00E67F89" w:rsidRPr="00E67F89" w:rsidRDefault="00E67F89" w:rsidP="00E67F89">
            <w:r w:rsidRPr="00E67F89">
              <w:t>Les activités sources de pollution ou pouvant présenter des dangers pour les ressources en eau et l’hygiène du milieu, doivent faire l’objet de l’impact environnemental, et doivent prendre des mesures propres à prévenir, à atténuer ou à enrayer le danger présumé, menaçant ou effectif [Article 29].</w:t>
            </w:r>
          </w:p>
          <w:p w14:paraId="721312DE" w14:textId="77777777" w:rsidR="00E67F89" w:rsidRPr="00E67F89" w:rsidRDefault="00E67F89" w:rsidP="00E67F89">
            <w:r w:rsidRPr="00E67F89">
              <w:t xml:space="preserve">Il doit être procédé à la neutralisation, à l’évacuation ou à l’isolement d’une manière aussi rapide que possible, de tous déchets et débris susceptibles de dégager des substances </w:t>
            </w:r>
            <w:r w:rsidRPr="00E67F89">
              <w:lastRenderedPageBreak/>
              <w:t>incommodantes, toxiques ou dangereuses, ou d’être une source d’infection [Article 35].</w:t>
            </w:r>
          </w:p>
        </w:tc>
        <w:tc>
          <w:tcPr>
            <w:tcW w:w="934" w:type="pct"/>
          </w:tcPr>
          <w:p w14:paraId="60C7C256" w14:textId="77777777" w:rsidR="00E67F89" w:rsidRPr="00E67F89" w:rsidRDefault="00E67F89" w:rsidP="00E67F89">
            <w:r w:rsidRPr="00E67F89">
              <w:lastRenderedPageBreak/>
              <w:t>Complémentarité entre les deux cadres.</w:t>
            </w:r>
          </w:p>
          <w:p w14:paraId="6A774876" w14:textId="77777777" w:rsidR="00E67F89" w:rsidRPr="00E67F89" w:rsidRDefault="00E67F89" w:rsidP="00E67F89">
            <w:r w:rsidRPr="00E67F89">
              <w:t xml:space="preserve">La Loi malagasy interdit et punit toute forme de pollutions de l’eau consommée par les populations. </w:t>
            </w:r>
          </w:p>
          <w:p w14:paraId="7D23D44B" w14:textId="77777777" w:rsidR="00E67F89" w:rsidRPr="00E67F89" w:rsidRDefault="00E67F89" w:rsidP="00E67F89">
            <w:r w:rsidRPr="00E67F89">
              <w:t>Les deux cadres s’appliquent au Projet .</w:t>
            </w:r>
          </w:p>
        </w:tc>
      </w:tr>
      <w:tr w:rsidR="00E67F89" w:rsidRPr="00E67F89" w14:paraId="6F87EAB0" w14:textId="77777777" w:rsidTr="00223F64">
        <w:tc>
          <w:tcPr>
            <w:tcW w:w="718" w:type="pct"/>
            <w:vMerge/>
          </w:tcPr>
          <w:p w14:paraId="6D016620" w14:textId="77777777" w:rsidR="00E67F89" w:rsidRPr="00E67F89" w:rsidRDefault="00E67F89" w:rsidP="00E67F89"/>
        </w:tc>
        <w:tc>
          <w:tcPr>
            <w:tcW w:w="427" w:type="pct"/>
          </w:tcPr>
          <w:p w14:paraId="69B7C751" w14:textId="77777777" w:rsidR="00E67F89" w:rsidRPr="00E67F89" w:rsidRDefault="00E67F89" w:rsidP="00E67F89">
            <w:r w:rsidRPr="00E67F89">
              <w:t>16</w:t>
            </w:r>
          </w:p>
        </w:tc>
        <w:tc>
          <w:tcPr>
            <w:tcW w:w="1246" w:type="pct"/>
          </w:tcPr>
          <w:p w14:paraId="4A666BA1" w14:textId="77777777" w:rsidR="00E67F89" w:rsidRPr="00E67F89" w:rsidRDefault="00E67F89" w:rsidP="00E67F89">
            <w:r w:rsidRPr="00E67F89">
              <w:t>Eviter ou minimiser la propagation des maladies transmissibles qui peuvent être associées à l’afflux de la main d’œuvre temporaire ou permanente du projet</w:t>
            </w:r>
          </w:p>
        </w:tc>
        <w:tc>
          <w:tcPr>
            <w:tcW w:w="513" w:type="pct"/>
          </w:tcPr>
          <w:p w14:paraId="563BED55" w14:textId="77777777" w:rsidR="00E67F89" w:rsidRPr="00E67F89" w:rsidRDefault="00E67F89" w:rsidP="00E67F89">
            <w:r w:rsidRPr="00E67F89">
              <w:t>LOI N°2011-002</w:t>
            </w:r>
          </w:p>
          <w:p w14:paraId="540CBAA8" w14:textId="77777777" w:rsidR="00E67F89" w:rsidRPr="00E67F89" w:rsidRDefault="00E67F89" w:rsidP="00E67F89">
            <w:r w:rsidRPr="00E67F89">
              <w:t xml:space="preserve">Code de la Santé </w:t>
            </w:r>
          </w:p>
        </w:tc>
        <w:tc>
          <w:tcPr>
            <w:tcW w:w="1162" w:type="pct"/>
          </w:tcPr>
          <w:p w14:paraId="0761A4A3" w14:textId="77777777" w:rsidR="00E67F89" w:rsidRPr="00E67F89" w:rsidRDefault="00E67F89" w:rsidP="00E67F89">
            <w:r w:rsidRPr="00E67F89">
              <w:t xml:space="preserve">Il est du devoir et de l’obligation de l’employeur de mettre en œuvre des programmes pour prévenir toutes formes de maladies non transmissibles dans les lieux de travail [Article 260] </w:t>
            </w:r>
          </w:p>
          <w:p w14:paraId="47F5C061" w14:textId="77777777" w:rsidR="00E67F89" w:rsidRPr="00E67F89" w:rsidRDefault="00E67F89" w:rsidP="00E67F89"/>
        </w:tc>
        <w:tc>
          <w:tcPr>
            <w:tcW w:w="934" w:type="pct"/>
          </w:tcPr>
          <w:p w14:paraId="39E227CC" w14:textId="77777777" w:rsidR="00E67F89" w:rsidRPr="00E67F89" w:rsidRDefault="00E67F89" w:rsidP="00E67F89">
            <w:r w:rsidRPr="00E67F89">
              <w:t xml:space="preserve">Il y a discordance entre les deux cadres. La NES 4 fait référence aux maladies transmissibles, tandis que le cadre national de maladies traite seulement mes maladies non transmissibles en matière de prévention dans les lieux de travail. </w:t>
            </w:r>
          </w:p>
          <w:p w14:paraId="341D9FCA" w14:textId="77777777" w:rsidR="00E67F89" w:rsidRPr="00E67F89" w:rsidRDefault="00E67F89" w:rsidP="00E67F89">
            <w:r w:rsidRPr="00E67F89">
              <w:t>On considérera les deux cadres réglementaires en vigueur.</w:t>
            </w:r>
          </w:p>
        </w:tc>
      </w:tr>
      <w:tr w:rsidR="00E67F89" w:rsidRPr="00E67F89" w14:paraId="16B6EA4D" w14:textId="77777777" w:rsidTr="00223F64">
        <w:tc>
          <w:tcPr>
            <w:tcW w:w="718" w:type="pct"/>
            <w:vMerge w:val="restart"/>
          </w:tcPr>
          <w:p w14:paraId="4C4347C4" w14:textId="77777777" w:rsidR="00E67F89" w:rsidRPr="00E67F89" w:rsidRDefault="00E67F89" w:rsidP="00E67F89">
            <w:r w:rsidRPr="00E67F89">
              <w:t>Gestion et sécurité des matières dangereuses</w:t>
            </w:r>
          </w:p>
        </w:tc>
        <w:tc>
          <w:tcPr>
            <w:tcW w:w="427" w:type="pct"/>
          </w:tcPr>
          <w:p w14:paraId="4C24FE59" w14:textId="77777777" w:rsidR="00E67F89" w:rsidRPr="00E67F89" w:rsidRDefault="00E67F89" w:rsidP="00E67F89">
            <w:r w:rsidRPr="00E67F89">
              <w:t>18</w:t>
            </w:r>
          </w:p>
        </w:tc>
        <w:tc>
          <w:tcPr>
            <w:tcW w:w="1246" w:type="pct"/>
          </w:tcPr>
          <w:p w14:paraId="423E757F" w14:textId="77777777" w:rsidR="00E67F89" w:rsidRPr="00E67F89" w:rsidRDefault="00E67F89" w:rsidP="00E67F89">
            <w:r w:rsidRPr="00E67F89">
              <w:t>Eviter et exposer l’exposition des communautés aux matières et substances dangereuses qui peuvent être émises par le projet</w:t>
            </w:r>
          </w:p>
        </w:tc>
        <w:tc>
          <w:tcPr>
            <w:tcW w:w="513" w:type="pct"/>
          </w:tcPr>
          <w:p w14:paraId="712E68D1" w14:textId="77777777" w:rsidR="00E67F89" w:rsidRPr="00E67F89" w:rsidRDefault="00E67F89" w:rsidP="00E67F89">
            <w:r w:rsidRPr="00E67F89">
              <w:t>LOI N°99-021</w:t>
            </w:r>
          </w:p>
        </w:tc>
        <w:tc>
          <w:tcPr>
            <w:tcW w:w="1162" w:type="pct"/>
          </w:tcPr>
          <w:p w14:paraId="1C781868" w14:textId="77777777" w:rsidR="00E67F89" w:rsidRPr="00E67F89" w:rsidRDefault="00E67F89" w:rsidP="00E67F89">
            <w:r w:rsidRPr="00E67F89">
              <w:t>Les déchets industriels solides et liquides doivent faire l’objet de mesures appropriées permettant de limiter et de réduire à la source la quantité et la toxicité des déchets [Articles 25-28].</w:t>
            </w:r>
          </w:p>
        </w:tc>
        <w:tc>
          <w:tcPr>
            <w:tcW w:w="934" w:type="pct"/>
          </w:tcPr>
          <w:p w14:paraId="464D18A2" w14:textId="77777777" w:rsidR="00E67F89" w:rsidRPr="00E67F89" w:rsidRDefault="00E67F89" w:rsidP="00E67F89">
            <w:r w:rsidRPr="00E67F89">
              <w:t>Il y a complémentarité entre les deux cadres. Les deux s’appliquent donc au projet.</w:t>
            </w:r>
          </w:p>
        </w:tc>
      </w:tr>
      <w:tr w:rsidR="00E67F89" w:rsidRPr="00E67F89" w14:paraId="39494090" w14:textId="77777777" w:rsidTr="00223F64">
        <w:tc>
          <w:tcPr>
            <w:tcW w:w="718" w:type="pct"/>
            <w:vMerge/>
          </w:tcPr>
          <w:p w14:paraId="02475196" w14:textId="77777777" w:rsidR="00E67F89" w:rsidRPr="00E67F89" w:rsidRDefault="00E67F89" w:rsidP="00E67F89"/>
        </w:tc>
        <w:tc>
          <w:tcPr>
            <w:tcW w:w="427" w:type="pct"/>
          </w:tcPr>
          <w:p w14:paraId="05119128" w14:textId="77777777" w:rsidR="00E67F89" w:rsidRPr="00E67F89" w:rsidRDefault="00E67F89" w:rsidP="00E67F89">
            <w:r w:rsidRPr="00E67F89">
              <w:t>NO 18.4</w:t>
            </w:r>
          </w:p>
        </w:tc>
        <w:tc>
          <w:tcPr>
            <w:tcW w:w="1246" w:type="pct"/>
          </w:tcPr>
          <w:p w14:paraId="0DFA5EB7" w14:textId="77777777" w:rsidR="00E67F89" w:rsidRPr="00E67F89" w:rsidRDefault="00E67F89" w:rsidP="00E67F89">
            <w:r w:rsidRPr="00E67F89">
              <w:t xml:space="preserve">Elaborer le Plan de gestion des déchets dangereux ou des matières dangereuses : modalités et responsabilités organisationnelles sur l’identification, stockage, </w:t>
            </w:r>
            <w:r w:rsidRPr="00E67F89">
              <w:lastRenderedPageBreak/>
              <w:t>manutention, utilisation et élimination de matières de dangereuses</w:t>
            </w:r>
          </w:p>
        </w:tc>
        <w:tc>
          <w:tcPr>
            <w:tcW w:w="513" w:type="pct"/>
          </w:tcPr>
          <w:p w14:paraId="591038E8" w14:textId="77777777" w:rsidR="00E67F89" w:rsidRPr="00E67F89" w:rsidRDefault="00E67F89" w:rsidP="00E67F89">
            <w:r w:rsidRPr="00E67F89">
              <w:lastRenderedPageBreak/>
              <w:t xml:space="preserve">Décret MECIE </w:t>
            </w:r>
          </w:p>
        </w:tc>
        <w:tc>
          <w:tcPr>
            <w:tcW w:w="1162" w:type="pct"/>
          </w:tcPr>
          <w:p w14:paraId="5E641434" w14:textId="77777777" w:rsidR="00E67F89" w:rsidRPr="00E67F89" w:rsidRDefault="00E67F89" w:rsidP="00E67F89">
            <w:r w:rsidRPr="00E67F89">
              <w:t xml:space="preserve">Tout projet de gestion des déchets et de produits divers est soumis à l’étude d’impact environnemental ou EIE, qui implique en conséquence la préparation et la </w:t>
            </w:r>
            <w:r w:rsidRPr="00E67F89">
              <w:lastRenderedPageBreak/>
              <w:t>production de Plan de gestion environnemental du projet ou PGEP. Cela concerne : (1) les unités de stockage de pesticides de capacité supérieure à 10 Tonnes, (2) toute unité de récupération, d’élimination et de traitement des déchets domestiques, industriels et autres déchets à caractère dangereux, (3) toute unité de traitement ou d’élimination des déchets hospitaliers excédant 50 Kg/jour, (4) tout type de stockage de produits et/ou de déchets radioactifs, (5) tout stockage de produits dangereux, (6) toute unité de traitement d’eaux usées [Annexe 1]</w:t>
            </w:r>
          </w:p>
        </w:tc>
        <w:tc>
          <w:tcPr>
            <w:tcW w:w="934" w:type="pct"/>
          </w:tcPr>
          <w:p w14:paraId="4067F10C" w14:textId="77777777" w:rsidR="00E67F89" w:rsidRPr="00E67F89" w:rsidRDefault="00E67F89" w:rsidP="00E67F89">
            <w:r w:rsidRPr="00E67F89">
              <w:lastRenderedPageBreak/>
              <w:t xml:space="preserve">Il y a correspondance et complémentarité entre le plan de gestion des déchets de la NES 4 et le PGEP du Décret MECIE. </w:t>
            </w:r>
          </w:p>
          <w:p w14:paraId="6E97313F" w14:textId="77777777" w:rsidR="00E67F89" w:rsidRPr="00E67F89" w:rsidRDefault="00E67F89" w:rsidP="00E67F89">
            <w:r w:rsidRPr="00E67F89">
              <w:lastRenderedPageBreak/>
              <w:t>Le Projet doit préparer ce plan de gestion des déchets dangereux, tout en appliquant les directives énoncées par le Décret MECIE.</w:t>
            </w:r>
          </w:p>
        </w:tc>
      </w:tr>
      <w:tr w:rsidR="00E67F89" w:rsidRPr="00E67F89" w14:paraId="6069EE53" w14:textId="77777777" w:rsidTr="00223F64">
        <w:tc>
          <w:tcPr>
            <w:tcW w:w="5000" w:type="pct"/>
            <w:gridSpan w:val="6"/>
          </w:tcPr>
          <w:p w14:paraId="4A3EA5C2" w14:textId="77777777" w:rsidR="00E67F89" w:rsidRPr="00E67F89" w:rsidRDefault="00E67F89" w:rsidP="00E67F89">
            <w:r w:rsidRPr="00E67F89">
              <w:t>Préparation et réponse aux situations d’urgence</w:t>
            </w:r>
          </w:p>
        </w:tc>
      </w:tr>
      <w:tr w:rsidR="00E67F89" w:rsidRPr="00E67F89" w14:paraId="1E51A999" w14:textId="77777777" w:rsidTr="00223F64">
        <w:tc>
          <w:tcPr>
            <w:tcW w:w="718" w:type="pct"/>
          </w:tcPr>
          <w:p w14:paraId="5AE8C0BD" w14:textId="77777777" w:rsidR="00E67F89" w:rsidRPr="00E67F89" w:rsidRDefault="00E67F89" w:rsidP="00E67F89">
            <w:r w:rsidRPr="00E67F89">
              <w:t xml:space="preserve">Définition de la situation d’urgence </w:t>
            </w:r>
          </w:p>
        </w:tc>
        <w:tc>
          <w:tcPr>
            <w:tcW w:w="427" w:type="pct"/>
          </w:tcPr>
          <w:p w14:paraId="2E3703A7" w14:textId="77777777" w:rsidR="00E67F89" w:rsidRPr="00E67F89" w:rsidRDefault="00E67F89" w:rsidP="00E67F89">
            <w:r w:rsidRPr="00E67F89">
              <w:t>19</w:t>
            </w:r>
          </w:p>
        </w:tc>
        <w:tc>
          <w:tcPr>
            <w:tcW w:w="1246" w:type="pct"/>
          </w:tcPr>
          <w:p w14:paraId="0F93F437" w14:textId="77777777" w:rsidR="00E67F89" w:rsidRPr="00E67F89" w:rsidRDefault="00E67F89" w:rsidP="00E67F89">
            <w:r w:rsidRPr="00E67F89">
              <w:t xml:space="preserve">Une situation d’urgence est un incident imprévu, résultant à la fois de catastrophes d’origine naturelle ou humaine, et prenant généralement la forme d’incendies, d’explosions, de fuites ou de déversements, qui peut survenir pour diverses raisons, y compris le non-respect des </w:t>
            </w:r>
            <w:r w:rsidRPr="00E67F89">
              <w:lastRenderedPageBreak/>
              <w:t xml:space="preserve">procédures opérationnelles, des phénomènes météorologiques extrêmes ou l’absence de systèmes d’alerte rapide </w:t>
            </w:r>
          </w:p>
        </w:tc>
        <w:tc>
          <w:tcPr>
            <w:tcW w:w="513" w:type="pct"/>
          </w:tcPr>
          <w:p w14:paraId="3A0C8D97" w14:textId="77777777" w:rsidR="00E67F89" w:rsidRPr="00E67F89" w:rsidRDefault="00E67F89" w:rsidP="00E67F89">
            <w:r w:rsidRPr="00E67F89">
              <w:lastRenderedPageBreak/>
              <w:t>Décret N°2005–866</w:t>
            </w:r>
          </w:p>
        </w:tc>
        <w:tc>
          <w:tcPr>
            <w:tcW w:w="1162" w:type="pct"/>
          </w:tcPr>
          <w:p w14:paraId="0EA0A8C2" w14:textId="77777777" w:rsidR="00E67F89" w:rsidRPr="00E67F89" w:rsidRDefault="00E67F89" w:rsidP="00E67F89">
            <w:r w:rsidRPr="00E67F89">
              <w:t xml:space="preserve">L’urgence est une situation anormale, en cours ou imminente, de quelque nature que ce soit, pouvant affecter ou avoir des impacts néfastes sur la vie de la communauté et nécessitant de mesures spécifiques et des interventions rapides en vue d’en </w:t>
            </w:r>
            <w:r w:rsidRPr="00E67F89">
              <w:lastRenderedPageBreak/>
              <w:t>limiter et atténuer les effets [Article 2]</w:t>
            </w:r>
          </w:p>
        </w:tc>
        <w:tc>
          <w:tcPr>
            <w:tcW w:w="934" w:type="pct"/>
          </w:tcPr>
          <w:p w14:paraId="4476D838" w14:textId="77777777" w:rsidR="00E67F89" w:rsidRPr="00E67F89" w:rsidRDefault="00E67F89" w:rsidP="00E67F89">
            <w:r w:rsidRPr="00E67F89">
              <w:lastRenderedPageBreak/>
              <w:t>Correspondance de définition entre la NES 4 et le cadre national malagasy</w:t>
            </w:r>
          </w:p>
        </w:tc>
      </w:tr>
      <w:tr w:rsidR="00E67F89" w:rsidRPr="00E67F89" w14:paraId="46CAF7F1" w14:textId="77777777" w:rsidTr="00223F64">
        <w:tc>
          <w:tcPr>
            <w:tcW w:w="718" w:type="pct"/>
          </w:tcPr>
          <w:p w14:paraId="3DE41079" w14:textId="77777777" w:rsidR="00E67F89" w:rsidRPr="00E67F89" w:rsidRDefault="00E67F89" w:rsidP="00E67F89">
            <w:r w:rsidRPr="00E67F89">
              <w:t>Evaluation des risques et des dangers</w:t>
            </w:r>
          </w:p>
        </w:tc>
        <w:tc>
          <w:tcPr>
            <w:tcW w:w="427" w:type="pct"/>
          </w:tcPr>
          <w:p w14:paraId="7158CD24" w14:textId="77777777" w:rsidR="00E67F89" w:rsidRPr="00E67F89" w:rsidRDefault="00E67F89" w:rsidP="00E67F89">
            <w:r w:rsidRPr="00E67F89">
              <w:t>NO 20.1</w:t>
            </w:r>
          </w:p>
          <w:p w14:paraId="76C2E073" w14:textId="77777777" w:rsidR="00E67F89" w:rsidRPr="00E67F89" w:rsidRDefault="00E67F89" w:rsidP="00E67F89"/>
          <w:p w14:paraId="2D299E14" w14:textId="77777777" w:rsidR="00E67F89" w:rsidRPr="00E67F89" w:rsidRDefault="00E67F89" w:rsidP="00E67F89">
            <w:r w:rsidRPr="00E67F89">
              <w:t>NO 20.2</w:t>
            </w:r>
          </w:p>
        </w:tc>
        <w:tc>
          <w:tcPr>
            <w:tcW w:w="1246" w:type="pct"/>
          </w:tcPr>
          <w:p w14:paraId="30A23A4F" w14:textId="77777777" w:rsidR="00E67F89" w:rsidRPr="00E67F89" w:rsidRDefault="00E67F89" w:rsidP="00E67F89">
            <w:r w:rsidRPr="00E67F89">
              <w:t>Obligation d’une évaluation des risques et dangers (ERD) dans le cadre de EES</w:t>
            </w:r>
          </w:p>
          <w:p w14:paraId="5AA3C8C2" w14:textId="77777777" w:rsidR="00E67F89" w:rsidRPr="00E67F89" w:rsidRDefault="00E67F89" w:rsidP="00E67F89">
            <w:r w:rsidRPr="00E67F89">
              <w:t xml:space="preserve">Evaluation de la capacité du pays à préparer une ERD (par des spécialistes externes) </w:t>
            </w:r>
          </w:p>
        </w:tc>
        <w:tc>
          <w:tcPr>
            <w:tcW w:w="513" w:type="pct"/>
          </w:tcPr>
          <w:p w14:paraId="58598F12" w14:textId="77777777" w:rsidR="00E67F89" w:rsidRPr="00E67F89" w:rsidRDefault="00E67F89" w:rsidP="00E67F89">
            <w:r w:rsidRPr="00E67F89">
              <w:t>Décret N°2005–866</w:t>
            </w:r>
          </w:p>
        </w:tc>
        <w:tc>
          <w:tcPr>
            <w:tcW w:w="1162" w:type="pct"/>
          </w:tcPr>
          <w:p w14:paraId="7ED28226" w14:textId="77777777" w:rsidR="00E67F89" w:rsidRPr="00E67F89" w:rsidRDefault="00E67F89" w:rsidP="00E67F89">
            <w:r w:rsidRPr="00E67F89">
              <w:t>L’évaluation des risques fait partie intégrante des actions de prévention et de préparation avant le déclenchement d’une situation d’urgence. Elle consiste à identifier, analyser et surveiller les risques et les catastrophes susceptibles de porter atteinte à la sécurité des personnes et des biens [Article 4]</w:t>
            </w:r>
          </w:p>
        </w:tc>
        <w:tc>
          <w:tcPr>
            <w:tcW w:w="934" w:type="pct"/>
          </w:tcPr>
          <w:p w14:paraId="6CD7D91F" w14:textId="77777777" w:rsidR="00E67F89" w:rsidRPr="00E67F89" w:rsidRDefault="00E67F89" w:rsidP="00E67F89">
            <w:r w:rsidRPr="00E67F89">
              <w:t xml:space="preserve">Correspondance entre la NES 4 et le cadre national malagasy. </w:t>
            </w:r>
          </w:p>
          <w:p w14:paraId="2FB17B11" w14:textId="77777777" w:rsidR="00E67F89" w:rsidRPr="00E67F89" w:rsidRDefault="00E67F89" w:rsidP="00E67F89">
            <w:r w:rsidRPr="00E67F89">
              <w:t>Le Projet procédera à cette évaluation des risques et des dangers pour toutes les sous-projets à mettre en œuvre/</w:t>
            </w:r>
          </w:p>
        </w:tc>
      </w:tr>
      <w:tr w:rsidR="00E67F89" w:rsidRPr="00E67F89" w14:paraId="4B000423" w14:textId="77777777" w:rsidTr="00223F64">
        <w:tc>
          <w:tcPr>
            <w:tcW w:w="718" w:type="pct"/>
          </w:tcPr>
          <w:p w14:paraId="7396BE4D" w14:textId="77777777" w:rsidR="00E67F89" w:rsidRPr="00E67F89" w:rsidRDefault="00E67F89" w:rsidP="00E67F89">
            <w:r w:rsidRPr="00E67F89">
              <w:t xml:space="preserve">Concept de plan d’urgence </w:t>
            </w:r>
          </w:p>
        </w:tc>
        <w:tc>
          <w:tcPr>
            <w:tcW w:w="427" w:type="pct"/>
          </w:tcPr>
          <w:p w14:paraId="790F836F" w14:textId="77777777" w:rsidR="00E67F89" w:rsidRPr="00E67F89" w:rsidRDefault="00E67F89" w:rsidP="00E67F89">
            <w:r w:rsidRPr="00E67F89">
              <w:t>21</w:t>
            </w:r>
          </w:p>
        </w:tc>
        <w:tc>
          <w:tcPr>
            <w:tcW w:w="1246" w:type="pct"/>
          </w:tcPr>
          <w:p w14:paraId="63323614" w14:textId="77777777" w:rsidR="00E67F89" w:rsidRPr="00E67F89" w:rsidRDefault="00E67F89" w:rsidP="00E67F89">
            <w:r w:rsidRPr="00E67F89">
              <w:t>Préparation d’un Plan d’intervention d’urgence (PIU) sur la base des conclusions de l’ERD : dispositions relatives à la prévention, à la préparation et aux réponses</w:t>
            </w:r>
          </w:p>
        </w:tc>
        <w:tc>
          <w:tcPr>
            <w:tcW w:w="513" w:type="pct"/>
          </w:tcPr>
          <w:p w14:paraId="185187BE" w14:textId="77777777" w:rsidR="00E67F89" w:rsidRPr="00E67F89" w:rsidRDefault="00E67F89" w:rsidP="00E67F89"/>
          <w:p w14:paraId="0AD13BC6" w14:textId="77777777" w:rsidR="00E67F89" w:rsidRPr="00E67F89" w:rsidRDefault="00E67F89" w:rsidP="00E67F89"/>
          <w:p w14:paraId="17EED3CE" w14:textId="77777777" w:rsidR="00E67F89" w:rsidRPr="00E67F89" w:rsidRDefault="00E67F89" w:rsidP="00E67F89"/>
          <w:p w14:paraId="40403424" w14:textId="77777777" w:rsidR="00E67F89" w:rsidRPr="00E67F89" w:rsidRDefault="00E67F89" w:rsidP="00E67F89"/>
          <w:p w14:paraId="7A1D2CA8" w14:textId="77777777" w:rsidR="00E67F89" w:rsidRPr="00E67F89" w:rsidRDefault="00E67F89" w:rsidP="00E67F89"/>
          <w:p w14:paraId="4C47123B" w14:textId="77777777" w:rsidR="00E67F89" w:rsidRPr="00E67F89" w:rsidRDefault="00E67F89" w:rsidP="00E67F89"/>
          <w:p w14:paraId="5D933C2C" w14:textId="77777777" w:rsidR="00E67F89" w:rsidRPr="00E67F89" w:rsidRDefault="00E67F89" w:rsidP="00E67F89">
            <w:r w:rsidRPr="00E67F89">
              <w:t>Décret N°2005–866</w:t>
            </w:r>
          </w:p>
        </w:tc>
        <w:tc>
          <w:tcPr>
            <w:tcW w:w="1162" w:type="pct"/>
          </w:tcPr>
          <w:p w14:paraId="74783C8C" w14:textId="77777777" w:rsidR="00E67F89" w:rsidRPr="00E67F89" w:rsidRDefault="00E67F89" w:rsidP="00E67F89">
            <w:r w:rsidRPr="00E67F89">
              <w:t>Existence de document « Plan d’urgence » requis en cas de situation d’urgence. Le document peut prendre l’appellation de plan de contingence, ou plan d’intervention, ou plan de soutien. La portée du plan d’urgence est d’échelle nationale, ou territoriale ou sectorielle. Un plan de soutien est destiné à des risques spécifiques.</w:t>
            </w:r>
          </w:p>
          <w:p w14:paraId="43B7BB86" w14:textId="77777777" w:rsidR="00E67F89" w:rsidRPr="00E67F89" w:rsidRDefault="00E67F89" w:rsidP="00E67F89">
            <w:r w:rsidRPr="00E67F89">
              <w:t xml:space="preserve">Toute société, entreprise et organisme, publics ou privés, </w:t>
            </w:r>
            <w:r w:rsidRPr="00E67F89">
              <w:lastRenderedPageBreak/>
              <w:t xml:space="preserve">ainsi que tout établissement dont les activités présentent des risques certains en cas d'accident, sont soumis à l'obligation d’établir un plan de soutien et un plan d’urgence pour chaque type de risque conformément aux obligations générales prescrites par les conventions et traités internationaux ainsi qu’aux dispositions législatives et réglementaires en vigueur. </w:t>
            </w:r>
          </w:p>
          <w:p w14:paraId="7AA1D679" w14:textId="77777777" w:rsidR="00E67F89" w:rsidRPr="00E67F89" w:rsidRDefault="00E67F89" w:rsidP="00E67F89">
            <w:r w:rsidRPr="00E67F89">
              <w:t>Ces plans doivent être conformes aux normes sécuritaires requises pour chaque type d'activités et sont déposés au BNGRC après avoir obtenu les visas du Ministère dont relève le domaine d'activité du secteur concerné. Ils font l’objet de réactualisation périodique en tant que de besoin [Article 31]</w:t>
            </w:r>
          </w:p>
        </w:tc>
        <w:tc>
          <w:tcPr>
            <w:tcW w:w="934" w:type="pct"/>
          </w:tcPr>
          <w:p w14:paraId="2DADD525" w14:textId="77777777" w:rsidR="00E67F89" w:rsidRPr="00E67F89" w:rsidRDefault="00E67F89" w:rsidP="00E67F89">
            <w:r w:rsidRPr="00E67F89">
              <w:lastRenderedPageBreak/>
              <w:t xml:space="preserve">Il y a correspondance et complémentarité entre le plan d’intervention rapide de la NES 4 et le plan de soutien par le cadre national malagasy </w:t>
            </w:r>
          </w:p>
          <w:p w14:paraId="00D6C995" w14:textId="77777777" w:rsidR="00E67F89" w:rsidRPr="00E67F89" w:rsidRDefault="00E67F89" w:rsidP="00E67F89">
            <w:r w:rsidRPr="00E67F89">
              <w:t xml:space="preserve">Il sera préparé dans le Projet le plan d’intervention d’urgence rapide contenant les directives de la NES 4. </w:t>
            </w:r>
          </w:p>
        </w:tc>
      </w:tr>
      <w:tr w:rsidR="00E67F89" w:rsidRPr="00E67F89" w14:paraId="4887B37F" w14:textId="77777777" w:rsidTr="00223F64">
        <w:tc>
          <w:tcPr>
            <w:tcW w:w="718" w:type="pct"/>
          </w:tcPr>
          <w:p w14:paraId="5AAB9698" w14:textId="77777777" w:rsidR="00E67F89" w:rsidRPr="00E67F89" w:rsidRDefault="00E67F89" w:rsidP="00E67F89">
            <w:r w:rsidRPr="00E67F89">
              <w:t>Contenus de plan d’urgence</w:t>
            </w:r>
          </w:p>
        </w:tc>
        <w:tc>
          <w:tcPr>
            <w:tcW w:w="427" w:type="pct"/>
          </w:tcPr>
          <w:p w14:paraId="03BD2F65" w14:textId="77777777" w:rsidR="00E67F89" w:rsidRPr="00E67F89" w:rsidRDefault="00E67F89" w:rsidP="00E67F89">
            <w:r w:rsidRPr="00E67F89">
              <w:t>21</w:t>
            </w:r>
          </w:p>
        </w:tc>
        <w:tc>
          <w:tcPr>
            <w:tcW w:w="1246" w:type="pct"/>
          </w:tcPr>
          <w:p w14:paraId="0BCFF7EE" w14:textId="77777777" w:rsidR="00E67F89" w:rsidRPr="00E67F89" w:rsidRDefault="00E67F89" w:rsidP="00E67F89">
            <w:r w:rsidRPr="00E67F89">
              <w:t xml:space="preserve">Contenus de Plan d’intervention d’urgence : (a) mesures de contrôle technique, (b) dispositifs d’identification d’équipements d’urgence disponibles, (c) </w:t>
            </w:r>
            <w:r w:rsidRPr="00E67F89">
              <w:lastRenderedPageBreak/>
              <w:t>procédures de notification des personnes désignées pour l’intervention d’urgence, (d) différents moyens de communication pour notifier la population concernée et les autres parties prenantes, (e) programme de formation des équipes d’intervention d’urgence, (f) procédures d’évacuation du public, (g) coordonnateur désigné pour assurer la mise en œuvre de PIU, (h) mesures de remise en état et de nettoyage de l’espace</w:t>
            </w:r>
          </w:p>
        </w:tc>
        <w:tc>
          <w:tcPr>
            <w:tcW w:w="513" w:type="pct"/>
          </w:tcPr>
          <w:p w14:paraId="44672ED1" w14:textId="77777777" w:rsidR="00E67F89" w:rsidRPr="00E67F89" w:rsidRDefault="00E67F89" w:rsidP="00E67F89"/>
        </w:tc>
        <w:tc>
          <w:tcPr>
            <w:tcW w:w="1162" w:type="pct"/>
          </w:tcPr>
          <w:p w14:paraId="457BDB19" w14:textId="77777777" w:rsidR="00E67F89" w:rsidRPr="00E67F89" w:rsidRDefault="00E67F89" w:rsidP="00E67F89">
            <w:r w:rsidRPr="00E67F89">
              <w:t xml:space="preserve">Absence de cadre réglementaire spécifiant les contenus du plan d’’urgence </w:t>
            </w:r>
          </w:p>
        </w:tc>
        <w:tc>
          <w:tcPr>
            <w:tcW w:w="934" w:type="pct"/>
          </w:tcPr>
          <w:p w14:paraId="3B911963" w14:textId="77777777" w:rsidR="00E67F89" w:rsidRPr="00E67F89" w:rsidRDefault="00E67F89" w:rsidP="00E67F89">
            <w:r w:rsidRPr="00E67F89">
              <w:t>Il sera préparé dans le Projet le plan d’intervention d’urgence rapide contenant les directives de la NES 4.</w:t>
            </w:r>
          </w:p>
        </w:tc>
      </w:tr>
      <w:tr w:rsidR="00E67F89" w:rsidRPr="00E67F89" w14:paraId="5EE29BDF" w14:textId="77777777" w:rsidTr="00223F64">
        <w:tc>
          <w:tcPr>
            <w:tcW w:w="5000" w:type="pct"/>
            <w:gridSpan w:val="6"/>
          </w:tcPr>
          <w:p w14:paraId="18FDE262" w14:textId="77777777" w:rsidR="00E67F89" w:rsidRPr="00E67F89" w:rsidRDefault="00E67F89" w:rsidP="00E67F89">
            <w:r w:rsidRPr="00E67F89">
              <w:t>Personnel de sécurité (B)</w:t>
            </w:r>
          </w:p>
        </w:tc>
      </w:tr>
      <w:tr w:rsidR="00E67F89" w:rsidRPr="00E67F89" w14:paraId="3EFB1D72" w14:textId="77777777" w:rsidTr="00223F64">
        <w:tc>
          <w:tcPr>
            <w:tcW w:w="718" w:type="pct"/>
          </w:tcPr>
          <w:p w14:paraId="3682A4C9" w14:textId="77777777" w:rsidR="00E67F89" w:rsidRPr="00E67F89" w:rsidRDefault="00E67F89" w:rsidP="00E67F89"/>
        </w:tc>
        <w:tc>
          <w:tcPr>
            <w:tcW w:w="427" w:type="pct"/>
          </w:tcPr>
          <w:p w14:paraId="4CF886A4" w14:textId="77777777" w:rsidR="00E67F89" w:rsidRPr="00E67F89" w:rsidRDefault="00E67F89" w:rsidP="00E67F89">
            <w:r w:rsidRPr="00E67F89">
              <w:t>24</w:t>
            </w:r>
          </w:p>
        </w:tc>
        <w:tc>
          <w:tcPr>
            <w:tcW w:w="1246" w:type="pct"/>
          </w:tcPr>
          <w:p w14:paraId="75521053" w14:textId="77777777" w:rsidR="00E67F89" w:rsidRPr="00E67F89" w:rsidRDefault="00E67F89" w:rsidP="00E67F89">
            <w:r w:rsidRPr="00E67F89">
              <w:t xml:space="preserve">Emploi des contractuels ou des travailleurs pour assurer la sécurité des biens et du personnel du projet </w:t>
            </w:r>
          </w:p>
        </w:tc>
        <w:tc>
          <w:tcPr>
            <w:tcW w:w="513" w:type="pct"/>
          </w:tcPr>
          <w:p w14:paraId="68493CAE" w14:textId="77777777" w:rsidR="00E67F89" w:rsidRPr="00E67F89" w:rsidRDefault="00E67F89" w:rsidP="00E67F89">
            <w:r w:rsidRPr="00E67F89">
              <w:t>LOI N°2024 -014</w:t>
            </w:r>
          </w:p>
          <w:p w14:paraId="5CA9DB37" w14:textId="77777777" w:rsidR="00E67F89" w:rsidRPr="00E67F89" w:rsidRDefault="00E67F89" w:rsidP="00E67F89">
            <w:r w:rsidRPr="00E67F89">
              <w:t>Code de Travail</w:t>
            </w:r>
          </w:p>
        </w:tc>
        <w:tc>
          <w:tcPr>
            <w:tcW w:w="1162" w:type="pct"/>
          </w:tcPr>
          <w:p w14:paraId="7B4BBE6B" w14:textId="77777777" w:rsidR="00E67F89" w:rsidRPr="00E67F89" w:rsidRDefault="00E67F89" w:rsidP="00E67F89">
            <w:r w:rsidRPr="00E67F89">
              <w:t>L'employeur est tenu d'assurer la sécurité du personnel travaillant la nuit [Article 44]</w:t>
            </w:r>
          </w:p>
        </w:tc>
        <w:tc>
          <w:tcPr>
            <w:tcW w:w="934" w:type="pct"/>
          </w:tcPr>
          <w:p w14:paraId="23D50F3A" w14:textId="77777777" w:rsidR="00E67F89" w:rsidRPr="00E67F89" w:rsidRDefault="00E67F89" w:rsidP="00E67F89">
            <w:r w:rsidRPr="00E67F89">
              <w:t xml:space="preserve">Complémentarité entre les deux cadres réglementaires ; </w:t>
            </w:r>
          </w:p>
          <w:p w14:paraId="3FB5DD64" w14:textId="77777777" w:rsidR="00E67F89" w:rsidRPr="00E67F89" w:rsidRDefault="00E67F89" w:rsidP="00E67F89">
            <w:r w:rsidRPr="00E67F89">
              <w:t>On préparera dans le cadre du Projet un document PGMO qui fournira les directives pour la gestion des travailleurs et des employés du Programme.</w:t>
            </w:r>
          </w:p>
        </w:tc>
      </w:tr>
      <w:tr w:rsidR="00E67F89" w:rsidRPr="00E67F89" w14:paraId="4FC4BCB3" w14:textId="77777777" w:rsidTr="00223F64">
        <w:tc>
          <w:tcPr>
            <w:tcW w:w="718" w:type="pct"/>
          </w:tcPr>
          <w:p w14:paraId="42A56945" w14:textId="77777777" w:rsidR="00E67F89" w:rsidRPr="00E67F89" w:rsidRDefault="00E67F89" w:rsidP="00E67F89"/>
        </w:tc>
        <w:tc>
          <w:tcPr>
            <w:tcW w:w="427" w:type="pct"/>
          </w:tcPr>
          <w:p w14:paraId="5EC44126" w14:textId="77777777" w:rsidR="00E67F89" w:rsidRPr="00E67F89" w:rsidRDefault="00E67F89" w:rsidP="00E67F89"/>
        </w:tc>
        <w:tc>
          <w:tcPr>
            <w:tcW w:w="1246" w:type="pct"/>
          </w:tcPr>
          <w:p w14:paraId="2A043AC7" w14:textId="77777777" w:rsidR="00E67F89" w:rsidRPr="00E67F89" w:rsidRDefault="00E67F89" w:rsidP="00E67F89">
            <w:r w:rsidRPr="00E67F89">
              <w:t xml:space="preserve">Se conformer aux principes de proportionnalité, sur les bonnes pratiques internationales en matière de recrutement, de règle de conduite, </w:t>
            </w:r>
            <w:r w:rsidRPr="00E67F89">
              <w:lastRenderedPageBreak/>
              <w:t>de formation, d’équipement et de surveillance du personnel de sécurité</w:t>
            </w:r>
          </w:p>
        </w:tc>
        <w:tc>
          <w:tcPr>
            <w:tcW w:w="513" w:type="pct"/>
          </w:tcPr>
          <w:p w14:paraId="7F4FB450" w14:textId="77777777" w:rsidR="00E67F89" w:rsidRPr="00E67F89" w:rsidRDefault="00E67F89" w:rsidP="00E67F89">
            <w:r w:rsidRPr="00E67F89">
              <w:lastRenderedPageBreak/>
              <w:t>LOI N°2024 -014</w:t>
            </w:r>
          </w:p>
          <w:p w14:paraId="2FC560F7" w14:textId="77777777" w:rsidR="00E67F89" w:rsidRPr="00E67F89" w:rsidRDefault="00E67F89" w:rsidP="00E67F89">
            <w:r w:rsidRPr="00E67F89">
              <w:t>Code de Travail</w:t>
            </w:r>
          </w:p>
          <w:p w14:paraId="4225BFF8" w14:textId="77777777" w:rsidR="00E67F89" w:rsidRPr="00E67F89" w:rsidRDefault="00E67F89" w:rsidP="00E67F89"/>
        </w:tc>
        <w:tc>
          <w:tcPr>
            <w:tcW w:w="1162" w:type="pct"/>
          </w:tcPr>
          <w:p w14:paraId="3D425793" w14:textId="77777777" w:rsidR="00E67F89" w:rsidRPr="00E67F89" w:rsidRDefault="00E67F89" w:rsidP="00E67F89">
            <w:r w:rsidRPr="00E67F89">
              <w:t xml:space="preserve">L’employeur est tenu d’informer et de former les travailleurs sur les mesures de sécurité et de santé </w:t>
            </w:r>
            <w:r w:rsidRPr="00E67F89">
              <w:lastRenderedPageBreak/>
              <w:t>liées au poste de travail. [Article 168]</w:t>
            </w:r>
          </w:p>
        </w:tc>
        <w:tc>
          <w:tcPr>
            <w:tcW w:w="934" w:type="pct"/>
          </w:tcPr>
          <w:p w14:paraId="35266B02" w14:textId="77777777" w:rsidR="00E67F89" w:rsidRPr="00E67F89" w:rsidRDefault="00E67F89" w:rsidP="00E67F89">
            <w:r w:rsidRPr="00E67F89">
              <w:lastRenderedPageBreak/>
              <w:t>Le cadre national énonce des règles minimales.</w:t>
            </w:r>
          </w:p>
          <w:p w14:paraId="1DE405F1" w14:textId="77777777" w:rsidR="00E67F89" w:rsidRPr="00E67F89" w:rsidRDefault="00E67F89" w:rsidP="00E67F89">
            <w:r w:rsidRPr="00E67F89">
              <w:t>Le Projet se conformera à la NES 4.</w:t>
            </w:r>
          </w:p>
        </w:tc>
      </w:tr>
      <w:tr w:rsidR="00E67F89" w:rsidRPr="00E67F89" w14:paraId="47F8C5EC" w14:textId="77777777" w:rsidTr="00223F64">
        <w:tc>
          <w:tcPr>
            <w:tcW w:w="718" w:type="pct"/>
            <w:tcBorders>
              <w:bottom w:val="single" w:sz="4" w:space="0" w:color="000000" w:themeColor="text1"/>
            </w:tcBorders>
          </w:tcPr>
          <w:p w14:paraId="49880A2D" w14:textId="77777777" w:rsidR="00E67F89" w:rsidRPr="00E67F89" w:rsidRDefault="00E67F89" w:rsidP="00E67F89"/>
        </w:tc>
        <w:tc>
          <w:tcPr>
            <w:tcW w:w="427" w:type="pct"/>
          </w:tcPr>
          <w:p w14:paraId="02FB3073" w14:textId="77777777" w:rsidR="00E67F89" w:rsidRPr="00E67F89" w:rsidRDefault="00E67F89" w:rsidP="00E67F89">
            <w:r w:rsidRPr="00E67F89">
              <w:t>NO 24.2</w:t>
            </w:r>
          </w:p>
        </w:tc>
        <w:tc>
          <w:tcPr>
            <w:tcW w:w="1246" w:type="pct"/>
          </w:tcPr>
          <w:p w14:paraId="797E65EB" w14:textId="77777777" w:rsidR="00E67F89" w:rsidRPr="00E67F89" w:rsidRDefault="00E67F89" w:rsidP="00E67F89">
            <w:r w:rsidRPr="00E67F89">
              <w:t>Mettre en œuvre des dispositifs de sécurité proportionnés à la nature et à l’importance des risques de sécurité et à l’environnement opérationnel du projet</w:t>
            </w:r>
          </w:p>
          <w:p w14:paraId="0118E6C8" w14:textId="77777777" w:rsidR="00E67F89" w:rsidRPr="00E67F89" w:rsidRDefault="00E67F89" w:rsidP="00E67F89">
            <w:r w:rsidRPr="00E67F89">
              <w:t>Nécessité d’évaluer par an les risques pour la sécurité</w:t>
            </w:r>
          </w:p>
        </w:tc>
        <w:tc>
          <w:tcPr>
            <w:tcW w:w="513" w:type="pct"/>
          </w:tcPr>
          <w:p w14:paraId="335A3B2F" w14:textId="77777777" w:rsidR="00E67F89" w:rsidRPr="00E67F89" w:rsidRDefault="00E67F89" w:rsidP="00E67F89">
            <w:r w:rsidRPr="00E67F89">
              <w:t>LOI N°2024 -014</w:t>
            </w:r>
          </w:p>
          <w:p w14:paraId="279D3A37" w14:textId="77777777" w:rsidR="00E67F89" w:rsidRPr="00E67F89" w:rsidRDefault="00E67F89" w:rsidP="00E67F89">
            <w:r w:rsidRPr="00E67F89">
              <w:t>Code de Travail</w:t>
            </w:r>
          </w:p>
          <w:p w14:paraId="55CF218A" w14:textId="77777777" w:rsidR="00E67F89" w:rsidRPr="00E67F89" w:rsidRDefault="00E67F89" w:rsidP="00E67F89"/>
        </w:tc>
        <w:tc>
          <w:tcPr>
            <w:tcW w:w="1162" w:type="pct"/>
          </w:tcPr>
          <w:p w14:paraId="06468D41" w14:textId="77777777" w:rsidR="00E67F89" w:rsidRPr="00E67F89" w:rsidRDefault="00E67F89" w:rsidP="00E67F89">
            <w:r w:rsidRPr="00E67F89">
              <w:t>Devoir des employeurs des entreprises Franches, cahier de charges avec mention des dispositions pour assurer la sécurité du personnel et des biens</w:t>
            </w:r>
          </w:p>
        </w:tc>
        <w:tc>
          <w:tcPr>
            <w:tcW w:w="934" w:type="pct"/>
          </w:tcPr>
          <w:p w14:paraId="5BA5B7CD" w14:textId="77777777" w:rsidR="00E67F89" w:rsidRPr="00E67F89" w:rsidRDefault="00E67F89" w:rsidP="00E67F89">
            <w:r w:rsidRPr="00E67F89">
              <w:t>Absence de prise en compte de l’évaluation des risques de l’insécurité par le cadre national malagasy.</w:t>
            </w:r>
          </w:p>
          <w:p w14:paraId="7F890E5B" w14:textId="77777777" w:rsidR="00E67F89" w:rsidRPr="00E67F89" w:rsidRDefault="00E67F89" w:rsidP="00E67F89">
            <w:r w:rsidRPr="00E67F89">
              <w:t>Le Projet se conformera à la NES 4.</w:t>
            </w:r>
          </w:p>
        </w:tc>
      </w:tr>
      <w:tr w:rsidR="00E67F89" w:rsidRPr="00E67F89" w14:paraId="6C5C34E7" w14:textId="77777777" w:rsidTr="00223F64">
        <w:tc>
          <w:tcPr>
            <w:tcW w:w="718" w:type="pct"/>
            <w:tcBorders>
              <w:bottom w:val="nil"/>
            </w:tcBorders>
          </w:tcPr>
          <w:p w14:paraId="2DCDDB28" w14:textId="77777777" w:rsidR="00E67F89" w:rsidRPr="00E67F89" w:rsidRDefault="00E67F89" w:rsidP="00E67F89"/>
        </w:tc>
        <w:tc>
          <w:tcPr>
            <w:tcW w:w="427" w:type="pct"/>
          </w:tcPr>
          <w:p w14:paraId="4D5D6100" w14:textId="77777777" w:rsidR="00E67F89" w:rsidRPr="00E67F89" w:rsidRDefault="00E67F89" w:rsidP="00E67F89">
            <w:r w:rsidRPr="00E67F89">
              <w:t>NO 24.3</w:t>
            </w:r>
          </w:p>
        </w:tc>
        <w:tc>
          <w:tcPr>
            <w:tcW w:w="1246" w:type="pct"/>
          </w:tcPr>
          <w:p w14:paraId="125F242E" w14:textId="77777777" w:rsidR="00E67F89" w:rsidRPr="00E67F89" w:rsidRDefault="00E67F89" w:rsidP="00E67F89">
            <w:r w:rsidRPr="00E67F89">
              <w:t xml:space="preserve">Mise en place de mécanismes d’examen des plaintes sur les dispositifs et le personnel de sécurité </w:t>
            </w:r>
          </w:p>
        </w:tc>
        <w:tc>
          <w:tcPr>
            <w:tcW w:w="513" w:type="pct"/>
          </w:tcPr>
          <w:p w14:paraId="66FBB0C1" w14:textId="77777777" w:rsidR="00E67F89" w:rsidRPr="00E67F89" w:rsidRDefault="00E67F89" w:rsidP="00E67F89"/>
        </w:tc>
        <w:tc>
          <w:tcPr>
            <w:tcW w:w="1162" w:type="pct"/>
          </w:tcPr>
          <w:p w14:paraId="60B8D738" w14:textId="77777777" w:rsidR="00E67F89" w:rsidRPr="00E67F89" w:rsidRDefault="00E67F89" w:rsidP="00E67F89">
            <w:r w:rsidRPr="00E67F89">
              <w:t>Néant</w:t>
            </w:r>
          </w:p>
        </w:tc>
        <w:tc>
          <w:tcPr>
            <w:tcW w:w="934" w:type="pct"/>
          </w:tcPr>
          <w:p w14:paraId="2E2569E5" w14:textId="77777777" w:rsidR="00E67F89" w:rsidRPr="00E67F89" w:rsidRDefault="00E67F89" w:rsidP="00E67F89">
            <w:r w:rsidRPr="00E67F89">
              <w:t>Le Projet se conformera à la NES 4.</w:t>
            </w:r>
          </w:p>
        </w:tc>
      </w:tr>
      <w:tr w:rsidR="00E67F89" w:rsidRPr="00E67F89" w14:paraId="68A3504D" w14:textId="77777777" w:rsidTr="00223F64">
        <w:tc>
          <w:tcPr>
            <w:tcW w:w="718" w:type="pct"/>
            <w:tcBorders>
              <w:top w:val="nil"/>
              <w:left w:val="single" w:sz="4" w:space="0" w:color="auto"/>
              <w:bottom w:val="nil"/>
              <w:right w:val="single" w:sz="4" w:space="0" w:color="auto"/>
            </w:tcBorders>
          </w:tcPr>
          <w:p w14:paraId="28668365" w14:textId="77777777" w:rsidR="00E67F89" w:rsidRPr="00E67F89" w:rsidRDefault="00E67F89" w:rsidP="00E67F89"/>
        </w:tc>
        <w:tc>
          <w:tcPr>
            <w:tcW w:w="427" w:type="pct"/>
            <w:tcBorders>
              <w:left w:val="single" w:sz="4" w:space="0" w:color="auto"/>
            </w:tcBorders>
          </w:tcPr>
          <w:p w14:paraId="7FCB8EBB" w14:textId="77777777" w:rsidR="00E67F89" w:rsidRPr="00E67F89" w:rsidRDefault="00E67F89" w:rsidP="00E67F89">
            <w:r w:rsidRPr="00E67F89">
              <w:t>25</w:t>
            </w:r>
          </w:p>
        </w:tc>
        <w:tc>
          <w:tcPr>
            <w:tcW w:w="1246" w:type="pct"/>
          </w:tcPr>
          <w:p w14:paraId="3F2FA25B" w14:textId="77777777" w:rsidR="00E67F89" w:rsidRPr="00E67F89" w:rsidRDefault="00E67F89" w:rsidP="00E67F89">
            <w:r w:rsidRPr="00E67F89">
              <w:t xml:space="preserve">Possibilité de mise à disposition des agents de sécurité de l’Etat pour fournir des services de sécurité </w:t>
            </w:r>
          </w:p>
        </w:tc>
        <w:tc>
          <w:tcPr>
            <w:tcW w:w="513" w:type="pct"/>
          </w:tcPr>
          <w:p w14:paraId="217451CE" w14:textId="77777777" w:rsidR="00E67F89" w:rsidRPr="00E67F89" w:rsidRDefault="00E67F89" w:rsidP="00E67F89"/>
        </w:tc>
        <w:tc>
          <w:tcPr>
            <w:tcW w:w="1162" w:type="pct"/>
          </w:tcPr>
          <w:p w14:paraId="06731006" w14:textId="77777777" w:rsidR="00E67F89" w:rsidRPr="00E67F89" w:rsidRDefault="00E67F89" w:rsidP="00E67F89">
            <w:r w:rsidRPr="00E67F89">
              <w:t>Néant</w:t>
            </w:r>
          </w:p>
        </w:tc>
        <w:tc>
          <w:tcPr>
            <w:tcW w:w="934" w:type="pct"/>
          </w:tcPr>
          <w:p w14:paraId="073A74E6" w14:textId="77777777" w:rsidR="00E67F89" w:rsidRPr="00E67F89" w:rsidRDefault="00E67F89" w:rsidP="00E67F89">
            <w:r w:rsidRPr="00E67F89">
              <w:t>Le Projet se conformera à la NES 4.</w:t>
            </w:r>
          </w:p>
        </w:tc>
      </w:tr>
      <w:tr w:rsidR="00E67F89" w:rsidRPr="00E67F89" w14:paraId="3BFD8AE8" w14:textId="77777777" w:rsidTr="00223F64">
        <w:tc>
          <w:tcPr>
            <w:tcW w:w="718" w:type="pct"/>
            <w:tcBorders>
              <w:top w:val="nil"/>
              <w:left w:val="single" w:sz="4" w:space="0" w:color="auto"/>
              <w:bottom w:val="nil"/>
              <w:right w:val="single" w:sz="4" w:space="0" w:color="auto"/>
            </w:tcBorders>
          </w:tcPr>
          <w:p w14:paraId="5C4C9561" w14:textId="77777777" w:rsidR="00E67F89" w:rsidRPr="00E67F89" w:rsidRDefault="00E67F89" w:rsidP="00E67F89"/>
        </w:tc>
        <w:tc>
          <w:tcPr>
            <w:tcW w:w="427" w:type="pct"/>
            <w:tcBorders>
              <w:left w:val="single" w:sz="4" w:space="0" w:color="auto"/>
            </w:tcBorders>
          </w:tcPr>
          <w:p w14:paraId="010B8A4D" w14:textId="77777777" w:rsidR="00E67F89" w:rsidRPr="00E67F89" w:rsidRDefault="00E67F89" w:rsidP="00E67F89">
            <w:r w:rsidRPr="00E67F89">
              <w:t>26</w:t>
            </w:r>
          </w:p>
        </w:tc>
        <w:tc>
          <w:tcPr>
            <w:tcW w:w="1246" w:type="pct"/>
          </w:tcPr>
          <w:p w14:paraId="32C55A34" w14:textId="77777777" w:rsidR="00E67F89" w:rsidRPr="00E67F89" w:rsidRDefault="00E67F89" w:rsidP="00E67F89">
            <w:r w:rsidRPr="00E67F89">
              <w:t xml:space="preserve">Possibilité de mener des enquêtes en cas d’abus du personnel de sécurité </w:t>
            </w:r>
          </w:p>
        </w:tc>
        <w:tc>
          <w:tcPr>
            <w:tcW w:w="513" w:type="pct"/>
          </w:tcPr>
          <w:p w14:paraId="58225981" w14:textId="77777777" w:rsidR="00E67F89" w:rsidRPr="00E67F89" w:rsidRDefault="00E67F89" w:rsidP="00E67F89"/>
        </w:tc>
        <w:tc>
          <w:tcPr>
            <w:tcW w:w="1162" w:type="pct"/>
          </w:tcPr>
          <w:p w14:paraId="38D07C53" w14:textId="77777777" w:rsidR="00E67F89" w:rsidRPr="00E67F89" w:rsidRDefault="00E67F89" w:rsidP="00E67F89">
            <w:r w:rsidRPr="00E67F89">
              <w:t>Néant</w:t>
            </w:r>
          </w:p>
        </w:tc>
        <w:tc>
          <w:tcPr>
            <w:tcW w:w="934" w:type="pct"/>
          </w:tcPr>
          <w:p w14:paraId="313E3ED7" w14:textId="77777777" w:rsidR="00E67F89" w:rsidRPr="00E67F89" w:rsidRDefault="00E67F89" w:rsidP="00E67F89">
            <w:r w:rsidRPr="00E67F89">
              <w:t>Le Projet se conformera à la NES 4.</w:t>
            </w:r>
          </w:p>
        </w:tc>
      </w:tr>
      <w:tr w:rsidR="00E67F89" w:rsidRPr="00E67F89" w14:paraId="2C403388" w14:textId="77777777" w:rsidTr="00223F64">
        <w:tc>
          <w:tcPr>
            <w:tcW w:w="718" w:type="pct"/>
            <w:tcBorders>
              <w:top w:val="nil"/>
              <w:left w:val="single" w:sz="4" w:space="0" w:color="auto"/>
              <w:bottom w:val="nil"/>
              <w:right w:val="single" w:sz="4" w:space="0" w:color="auto"/>
            </w:tcBorders>
          </w:tcPr>
          <w:p w14:paraId="08C6C718" w14:textId="77777777" w:rsidR="00E67F89" w:rsidRPr="00E67F89" w:rsidRDefault="00E67F89" w:rsidP="00E67F89"/>
        </w:tc>
        <w:tc>
          <w:tcPr>
            <w:tcW w:w="427" w:type="pct"/>
            <w:tcBorders>
              <w:left w:val="single" w:sz="4" w:space="0" w:color="auto"/>
            </w:tcBorders>
          </w:tcPr>
          <w:p w14:paraId="4CD08AE8" w14:textId="77777777" w:rsidR="00E67F89" w:rsidRPr="00E67F89" w:rsidRDefault="00E67F89" w:rsidP="00E67F89">
            <w:r w:rsidRPr="00E67F89">
              <w:t>26</w:t>
            </w:r>
          </w:p>
        </w:tc>
        <w:tc>
          <w:tcPr>
            <w:tcW w:w="1246" w:type="pct"/>
          </w:tcPr>
          <w:p w14:paraId="776DC00B" w14:textId="77777777" w:rsidR="00E67F89" w:rsidRPr="00E67F89" w:rsidRDefault="00E67F89" w:rsidP="00E67F89">
            <w:r w:rsidRPr="00E67F89">
              <w:t xml:space="preserve">Code de conduite du personnel de sécurité </w:t>
            </w:r>
          </w:p>
        </w:tc>
        <w:tc>
          <w:tcPr>
            <w:tcW w:w="513" w:type="pct"/>
          </w:tcPr>
          <w:p w14:paraId="486D5710" w14:textId="77777777" w:rsidR="00E67F89" w:rsidRPr="00E67F89" w:rsidRDefault="00E67F89" w:rsidP="00E67F89"/>
        </w:tc>
        <w:tc>
          <w:tcPr>
            <w:tcW w:w="1162" w:type="pct"/>
          </w:tcPr>
          <w:p w14:paraId="25B1DE66" w14:textId="77777777" w:rsidR="00E67F89" w:rsidRPr="00E67F89" w:rsidRDefault="00E67F89" w:rsidP="00E67F89">
            <w:r w:rsidRPr="00E67F89">
              <w:t>Néant</w:t>
            </w:r>
          </w:p>
        </w:tc>
        <w:tc>
          <w:tcPr>
            <w:tcW w:w="934" w:type="pct"/>
          </w:tcPr>
          <w:p w14:paraId="33ADC3E0" w14:textId="77777777" w:rsidR="00E67F89" w:rsidRPr="00E67F89" w:rsidRDefault="00E67F89" w:rsidP="00E67F89">
            <w:r w:rsidRPr="00E67F89">
              <w:t>Le Projet se conformera à la NES 4.</w:t>
            </w:r>
          </w:p>
        </w:tc>
      </w:tr>
      <w:tr w:rsidR="00E67F89" w:rsidRPr="00E67F89" w14:paraId="42242FFD" w14:textId="77777777" w:rsidTr="00223F64">
        <w:tc>
          <w:tcPr>
            <w:tcW w:w="718" w:type="pct"/>
            <w:tcBorders>
              <w:top w:val="nil"/>
              <w:left w:val="single" w:sz="4" w:space="0" w:color="auto"/>
              <w:bottom w:val="single" w:sz="4" w:space="0" w:color="auto"/>
              <w:right w:val="single" w:sz="4" w:space="0" w:color="auto"/>
            </w:tcBorders>
          </w:tcPr>
          <w:p w14:paraId="3605A300" w14:textId="77777777" w:rsidR="00E67F89" w:rsidRPr="00E67F89" w:rsidRDefault="00E67F89" w:rsidP="00E67F89"/>
        </w:tc>
        <w:tc>
          <w:tcPr>
            <w:tcW w:w="427" w:type="pct"/>
            <w:tcBorders>
              <w:left w:val="single" w:sz="4" w:space="0" w:color="auto"/>
            </w:tcBorders>
          </w:tcPr>
          <w:p w14:paraId="114B127E" w14:textId="77777777" w:rsidR="00E67F89" w:rsidRPr="00E67F89" w:rsidRDefault="00E67F89" w:rsidP="00E67F89">
            <w:r w:rsidRPr="00E67F89">
              <w:t>26</w:t>
            </w:r>
          </w:p>
        </w:tc>
        <w:tc>
          <w:tcPr>
            <w:tcW w:w="1246" w:type="pct"/>
          </w:tcPr>
          <w:p w14:paraId="081116F0" w14:textId="77777777" w:rsidR="00E67F89" w:rsidRPr="00E67F89" w:rsidRDefault="00E67F89" w:rsidP="00E67F89">
            <w:r w:rsidRPr="00E67F89">
              <w:t xml:space="preserve">Octroi de formation au personnel de sécurité </w:t>
            </w:r>
          </w:p>
        </w:tc>
        <w:tc>
          <w:tcPr>
            <w:tcW w:w="513" w:type="pct"/>
          </w:tcPr>
          <w:p w14:paraId="12A99A48" w14:textId="77777777" w:rsidR="00E67F89" w:rsidRPr="00E67F89" w:rsidRDefault="00E67F89" w:rsidP="00E67F89"/>
        </w:tc>
        <w:tc>
          <w:tcPr>
            <w:tcW w:w="1162" w:type="pct"/>
          </w:tcPr>
          <w:p w14:paraId="0F906C43" w14:textId="77777777" w:rsidR="00E67F89" w:rsidRPr="00E67F89" w:rsidRDefault="00E67F89" w:rsidP="00E67F89">
            <w:r w:rsidRPr="00E67F89">
              <w:t>Néant</w:t>
            </w:r>
          </w:p>
        </w:tc>
        <w:tc>
          <w:tcPr>
            <w:tcW w:w="934" w:type="pct"/>
          </w:tcPr>
          <w:p w14:paraId="32961158" w14:textId="77777777" w:rsidR="00E67F89" w:rsidRPr="00E67F89" w:rsidRDefault="00E67F89" w:rsidP="00E67F89">
            <w:r w:rsidRPr="00E67F89">
              <w:t>Le Projet se conformera à la NES 4.</w:t>
            </w:r>
          </w:p>
        </w:tc>
      </w:tr>
    </w:tbl>
    <w:p w14:paraId="0151E0A5" w14:textId="77777777" w:rsidR="00E67F89" w:rsidRPr="00E67F89" w:rsidRDefault="00E67F89" w:rsidP="00E67F89">
      <w:r w:rsidRPr="00E67F89">
        <w:br w:type="page"/>
      </w:r>
    </w:p>
    <w:p w14:paraId="3D23C45A" w14:textId="77777777" w:rsidR="00E67F89" w:rsidRPr="00E67F89" w:rsidRDefault="00E67F89" w:rsidP="00E67F89">
      <w:bookmarkStart w:id="888" w:name="_Toc71831501"/>
      <w:bookmarkStart w:id="889" w:name="_Toc138414166"/>
      <w:bookmarkStart w:id="890" w:name="_Toc230426110"/>
      <w:r w:rsidRPr="00E67F89">
        <w:lastRenderedPageBreak/>
        <w:t xml:space="preserve">Annexe </w:t>
      </w:r>
      <w:r w:rsidRPr="00E67F89">
        <w:fldChar w:fldCharType="begin"/>
      </w:r>
      <w:r w:rsidRPr="00E67F89">
        <w:instrText>SEQ Annexe \* ARABIC</w:instrText>
      </w:r>
      <w:r w:rsidRPr="00E67F89">
        <w:fldChar w:fldCharType="separate"/>
      </w:r>
      <w:r w:rsidRPr="00E67F89">
        <w:t>5</w:t>
      </w:r>
      <w:r w:rsidRPr="00E67F89">
        <w:fldChar w:fldCharType="end"/>
      </w:r>
      <w:r w:rsidRPr="00E67F89">
        <w:t xml:space="preserve"> : Analyse comparative la NES N°5 et le cadre réglementaire national Malagasy</w:t>
      </w:r>
      <w:bookmarkEnd w:id="888"/>
      <w:bookmarkEnd w:id="889"/>
      <w:bookmarkEnd w:id="890"/>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14" w:type="dxa"/>
          <w:left w:w="101" w:type="dxa"/>
          <w:bottom w:w="14" w:type="dxa"/>
          <w:right w:w="101" w:type="dxa"/>
        </w:tblCellMar>
        <w:tblLook w:val="04A0" w:firstRow="1" w:lastRow="0" w:firstColumn="1" w:lastColumn="0" w:noHBand="0" w:noVBand="1"/>
      </w:tblPr>
      <w:tblGrid>
        <w:gridCol w:w="2615"/>
        <w:gridCol w:w="557"/>
        <w:gridCol w:w="3799"/>
        <w:gridCol w:w="1569"/>
        <w:gridCol w:w="3197"/>
        <w:gridCol w:w="3389"/>
      </w:tblGrid>
      <w:tr w:rsidR="00E67F89" w:rsidRPr="00E67F89" w14:paraId="0349D3A3" w14:textId="77777777" w:rsidTr="00223F64">
        <w:trPr>
          <w:tblHeader/>
        </w:trPr>
        <w:tc>
          <w:tcPr>
            <w:tcW w:w="0" w:type="auto"/>
            <w:vMerge w:val="restart"/>
            <w:shd w:val="clear" w:color="auto" w:fill="E2EFD9" w:themeFill="accent6" w:themeFillTint="33"/>
            <w:vAlign w:val="center"/>
          </w:tcPr>
          <w:p w14:paraId="20308332" w14:textId="77777777" w:rsidR="00E67F89" w:rsidRPr="00E67F89" w:rsidRDefault="00E67F89" w:rsidP="00E67F89">
            <w:r w:rsidRPr="00E67F89">
              <w:t>Thèmes</w:t>
            </w:r>
          </w:p>
        </w:tc>
        <w:tc>
          <w:tcPr>
            <w:tcW w:w="0" w:type="auto"/>
            <w:gridSpan w:val="2"/>
            <w:shd w:val="clear" w:color="auto" w:fill="E2EFD9" w:themeFill="accent6" w:themeFillTint="33"/>
            <w:vAlign w:val="center"/>
          </w:tcPr>
          <w:p w14:paraId="0025D395" w14:textId="77777777" w:rsidR="00E67F89" w:rsidRPr="00E67F89" w:rsidRDefault="00E67F89" w:rsidP="00E67F89">
            <w:r w:rsidRPr="00E67F89">
              <w:t>NES 5</w:t>
            </w:r>
          </w:p>
        </w:tc>
        <w:tc>
          <w:tcPr>
            <w:tcW w:w="0" w:type="auto"/>
            <w:gridSpan w:val="2"/>
            <w:shd w:val="clear" w:color="auto" w:fill="E2EFD9" w:themeFill="accent6" w:themeFillTint="33"/>
            <w:vAlign w:val="center"/>
          </w:tcPr>
          <w:p w14:paraId="4632BA5E" w14:textId="77777777" w:rsidR="00E67F89" w:rsidRPr="00E67F89" w:rsidRDefault="00E67F89" w:rsidP="00E67F89">
            <w:r w:rsidRPr="00E67F89">
              <w:t>Cadre législatif et national Malagasy</w:t>
            </w:r>
          </w:p>
        </w:tc>
        <w:tc>
          <w:tcPr>
            <w:tcW w:w="0" w:type="auto"/>
            <w:vMerge w:val="restart"/>
            <w:shd w:val="clear" w:color="auto" w:fill="E2EFD9" w:themeFill="accent6" w:themeFillTint="33"/>
            <w:vAlign w:val="center"/>
          </w:tcPr>
          <w:p w14:paraId="23248DAE" w14:textId="77777777" w:rsidR="00E67F89" w:rsidRPr="00E67F89" w:rsidRDefault="00E67F89" w:rsidP="00E67F89">
            <w:r w:rsidRPr="00E67F89">
              <w:t>Analyse des écarts</w:t>
            </w:r>
          </w:p>
          <w:p w14:paraId="4C5C12CB" w14:textId="77777777" w:rsidR="00E67F89" w:rsidRPr="00E67F89" w:rsidRDefault="00E67F89" w:rsidP="00E67F89">
            <w:r w:rsidRPr="00E67F89">
              <w:t>Implications pour le Projet</w:t>
            </w:r>
          </w:p>
        </w:tc>
      </w:tr>
      <w:tr w:rsidR="00E67F89" w:rsidRPr="00E67F89" w14:paraId="028A8F0C" w14:textId="77777777" w:rsidTr="00223F64">
        <w:trPr>
          <w:tblHeader/>
        </w:trPr>
        <w:tc>
          <w:tcPr>
            <w:tcW w:w="0" w:type="auto"/>
            <w:vMerge/>
            <w:shd w:val="clear" w:color="auto" w:fill="BDF9FF"/>
            <w:vAlign w:val="center"/>
          </w:tcPr>
          <w:p w14:paraId="4248B82E" w14:textId="77777777" w:rsidR="00E67F89" w:rsidRPr="00E67F89" w:rsidRDefault="00E67F89" w:rsidP="00E67F89"/>
        </w:tc>
        <w:tc>
          <w:tcPr>
            <w:tcW w:w="0" w:type="auto"/>
            <w:shd w:val="clear" w:color="auto" w:fill="E2EFD9" w:themeFill="accent6" w:themeFillTint="33"/>
            <w:vAlign w:val="center"/>
          </w:tcPr>
          <w:p w14:paraId="7ACE9DBE" w14:textId="77777777" w:rsidR="00E67F89" w:rsidRPr="00E67F89" w:rsidRDefault="00E67F89" w:rsidP="00E67F89">
            <w:r w:rsidRPr="00E67F89">
              <w:t>Réf</w:t>
            </w:r>
          </w:p>
        </w:tc>
        <w:tc>
          <w:tcPr>
            <w:tcW w:w="0" w:type="auto"/>
            <w:shd w:val="clear" w:color="auto" w:fill="E2EFD9" w:themeFill="accent6" w:themeFillTint="33"/>
            <w:vAlign w:val="center"/>
          </w:tcPr>
          <w:p w14:paraId="63867B7B" w14:textId="77777777" w:rsidR="00E67F89" w:rsidRPr="00E67F89" w:rsidRDefault="00E67F89" w:rsidP="00E67F89">
            <w:r w:rsidRPr="00E67F89">
              <w:t>Obligations/ Exigences</w:t>
            </w:r>
          </w:p>
        </w:tc>
        <w:tc>
          <w:tcPr>
            <w:tcW w:w="0" w:type="auto"/>
            <w:shd w:val="clear" w:color="auto" w:fill="E2EFD9" w:themeFill="accent6" w:themeFillTint="33"/>
            <w:vAlign w:val="center"/>
          </w:tcPr>
          <w:p w14:paraId="393C0875" w14:textId="77777777" w:rsidR="00E67F89" w:rsidRPr="00E67F89" w:rsidRDefault="00E67F89" w:rsidP="00E67F89">
            <w:r w:rsidRPr="00E67F89">
              <w:t>Référence</w:t>
            </w:r>
          </w:p>
        </w:tc>
        <w:tc>
          <w:tcPr>
            <w:tcW w:w="0" w:type="auto"/>
            <w:shd w:val="clear" w:color="auto" w:fill="E2EFD9" w:themeFill="accent6" w:themeFillTint="33"/>
            <w:vAlign w:val="center"/>
          </w:tcPr>
          <w:p w14:paraId="4F1D4420" w14:textId="77777777" w:rsidR="00E67F89" w:rsidRPr="00E67F89" w:rsidRDefault="00E67F89" w:rsidP="00E67F89">
            <w:r w:rsidRPr="00E67F89">
              <w:t>Dispositions</w:t>
            </w:r>
          </w:p>
        </w:tc>
        <w:tc>
          <w:tcPr>
            <w:tcW w:w="0" w:type="auto"/>
            <w:vMerge/>
            <w:shd w:val="clear" w:color="auto" w:fill="BDF9FF"/>
            <w:vAlign w:val="center"/>
          </w:tcPr>
          <w:p w14:paraId="30CB4E60" w14:textId="77777777" w:rsidR="00E67F89" w:rsidRPr="00E67F89" w:rsidRDefault="00E67F89" w:rsidP="00E67F89"/>
        </w:tc>
      </w:tr>
      <w:tr w:rsidR="00E67F89" w:rsidRPr="00E67F89" w14:paraId="110194EC" w14:textId="77777777" w:rsidTr="00223F64">
        <w:tc>
          <w:tcPr>
            <w:tcW w:w="0" w:type="auto"/>
            <w:gridSpan w:val="6"/>
            <w:shd w:val="clear" w:color="auto" w:fill="FFF2CC" w:themeFill="accent4" w:themeFillTint="33"/>
          </w:tcPr>
          <w:p w14:paraId="189E6E7E" w14:textId="77777777" w:rsidR="00E67F89" w:rsidRPr="00E67F89" w:rsidRDefault="00E67F89" w:rsidP="00E67F89">
            <w:r w:rsidRPr="00E67F89">
              <w:t>GENERALITES</w:t>
            </w:r>
          </w:p>
        </w:tc>
      </w:tr>
      <w:tr w:rsidR="00E67F89" w:rsidRPr="00E67F89" w14:paraId="0D86F652" w14:textId="77777777" w:rsidTr="00223F64">
        <w:tc>
          <w:tcPr>
            <w:tcW w:w="0" w:type="auto"/>
            <w:gridSpan w:val="6"/>
            <w:shd w:val="clear" w:color="auto" w:fill="FFF2CC" w:themeFill="accent4" w:themeFillTint="33"/>
          </w:tcPr>
          <w:p w14:paraId="04BACE3F" w14:textId="77777777" w:rsidR="00E67F89" w:rsidRPr="00E67F89" w:rsidRDefault="00E67F89" w:rsidP="00E67F89">
            <w:r w:rsidRPr="00E67F89">
              <w:t>Classification. Eligibilité</w:t>
            </w:r>
          </w:p>
        </w:tc>
      </w:tr>
      <w:tr w:rsidR="00E67F89" w:rsidRPr="00E67F89" w14:paraId="2AF8CC82" w14:textId="77777777" w:rsidTr="00223F64">
        <w:tc>
          <w:tcPr>
            <w:tcW w:w="0" w:type="auto"/>
          </w:tcPr>
          <w:p w14:paraId="0DA45A72" w14:textId="77777777" w:rsidR="00E67F89" w:rsidRPr="00E67F89" w:rsidRDefault="00E67F89" w:rsidP="00E67F89">
            <w:r w:rsidRPr="00E67F89">
              <w:t>Catégorisation des personnes affectées (personnes déplacées)</w:t>
            </w:r>
          </w:p>
        </w:tc>
        <w:tc>
          <w:tcPr>
            <w:tcW w:w="0" w:type="auto"/>
          </w:tcPr>
          <w:p w14:paraId="752E72CB" w14:textId="77777777" w:rsidR="00E67F89" w:rsidRPr="00E67F89" w:rsidRDefault="00E67F89" w:rsidP="00E67F89"/>
        </w:tc>
        <w:tc>
          <w:tcPr>
            <w:tcW w:w="0" w:type="auto"/>
          </w:tcPr>
          <w:p w14:paraId="11F6DC78" w14:textId="77777777" w:rsidR="00E67F89" w:rsidRPr="00E67F89" w:rsidRDefault="00E67F89" w:rsidP="00E67F89">
            <w:r w:rsidRPr="00E67F89">
              <w:t xml:space="preserve">(a) Qui ont des droits légaux formels sur les terres ou biens </w:t>
            </w:r>
          </w:p>
        </w:tc>
        <w:tc>
          <w:tcPr>
            <w:tcW w:w="0" w:type="auto"/>
          </w:tcPr>
          <w:p w14:paraId="4674B1D9" w14:textId="77777777" w:rsidR="00E67F89" w:rsidRPr="00E67F89" w:rsidRDefault="00E67F89" w:rsidP="00E67F89">
            <w:r w:rsidRPr="00E67F89">
              <w:t>Art.17, 20 a)</w:t>
            </w:r>
          </w:p>
          <w:p w14:paraId="05D7ABE6" w14:textId="77777777" w:rsidR="00E67F89" w:rsidRPr="00E67F89" w:rsidRDefault="00E67F89" w:rsidP="00E67F89">
            <w:r w:rsidRPr="00E67F89">
              <w:t>Ordonnance n°62- 023.</w:t>
            </w:r>
          </w:p>
          <w:p w14:paraId="3DEA56C5" w14:textId="77777777" w:rsidR="00E67F89" w:rsidRPr="00E67F89" w:rsidRDefault="00E67F89" w:rsidP="00E67F89">
            <w:r w:rsidRPr="00E67F89">
              <w:t>Art.28 Loi n°2005-019.</w:t>
            </w:r>
          </w:p>
        </w:tc>
        <w:tc>
          <w:tcPr>
            <w:tcW w:w="0" w:type="auto"/>
          </w:tcPr>
          <w:p w14:paraId="620F9097" w14:textId="77777777" w:rsidR="00E67F89" w:rsidRPr="00E67F89" w:rsidRDefault="00E67F89" w:rsidP="00E67F89">
            <w:r w:rsidRPr="00E67F89">
              <w:t>Propriétaires ayant des titres (titre foncier, cadastre, certificat foncier).</w:t>
            </w:r>
          </w:p>
          <w:p w14:paraId="0A2AE692" w14:textId="77777777" w:rsidR="00E67F89" w:rsidRPr="00E67F89" w:rsidRDefault="00E67F89" w:rsidP="00E67F89">
            <w:r w:rsidRPr="00E67F89">
              <w:t>Titulaires de droits réels immobiliers.</w:t>
            </w:r>
          </w:p>
          <w:p w14:paraId="2ADC303A" w14:textId="77777777" w:rsidR="00E67F89" w:rsidRPr="00E67F89" w:rsidRDefault="00E67F89" w:rsidP="00E67F89">
            <w:r w:rsidRPr="00E67F89">
              <w:t>Occupants réguliers (en possession d’acte contractuel – fermiers, locataires, … - ou d’acte domanial – concessionnaires, … -, occupations reconnues par le propriétaire).</w:t>
            </w:r>
          </w:p>
        </w:tc>
        <w:tc>
          <w:tcPr>
            <w:tcW w:w="0" w:type="auto"/>
            <w:vMerge w:val="restart"/>
          </w:tcPr>
          <w:p w14:paraId="5C32FBF5" w14:textId="77777777" w:rsidR="00E67F89" w:rsidRPr="00E67F89" w:rsidRDefault="00E67F89" w:rsidP="00E67F89">
            <w:r w:rsidRPr="00E67F89">
              <w:t>Il y a correspondance entre le cadre national et la NES 5 en ce qui concerne la catégorisation des personnes affectées</w:t>
            </w:r>
          </w:p>
        </w:tc>
      </w:tr>
      <w:tr w:rsidR="00E67F89" w:rsidRPr="00E67F89" w14:paraId="45C55F1A" w14:textId="77777777" w:rsidTr="00223F64">
        <w:trPr>
          <w:trHeight w:val="878"/>
        </w:trPr>
        <w:tc>
          <w:tcPr>
            <w:tcW w:w="0" w:type="auto"/>
          </w:tcPr>
          <w:p w14:paraId="25CA5D49" w14:textId="77777777" w:rsidR="00E67F89" w:rsidRPr="00E67F89" w:rsidRDefault="00E67F89" w:rsidP="00E67F89"/>
        </w:tc>
        <w:tc>
          <w:tcPr>
            <w:tcW w:w="0" w:type="auto"/>
          </w:tcPr>
          <w:p w14:paraId="5F698CFD" w14:textId="77777777" w:rsidR="00E67F89" w:rsidRPr="00E67F89" w:rsidRDefault="00E67F89" w:rsidP="00E67F89"/>
        </w:tc>
        <w:tc>
          <w:tcPr>
            <w:tcW w:w="0" w:type="auto"/>
          </w:tcPr>
          <w:p w14:paraId="6F52AD15" w14:textId="77777777" w:rsidR="00E67F89" w:rsidRPr="00E67F89" w:rsidRDefault="00E67F89" w:rsidP="00E67F89">
            <w:r w:rsidRPr="00E67F89">
              <w:t xml:space="preserve">(b)Qui n’ont pas de droits légaux formels sur les terres ou les biens, mais ont une revendication sur les terres ou les biens, qui est reconnue par le droit national ou susceptible de l’être </w:t>
            </w:r>
          </w:p>
        </w:tc>
        <w:tc>
          <w:tcPr>
            <w:tcW w:w="0" w:type="auto"/>
          </w:tcPr>
          <w:p w14:paraId="51C70367" w14:textId="77777777" w:rsidR="00E67F89" w:rsidRPr="00E67F89" w:rsidRDefault="00E67F89" w:rsidP="00E67F89">
            <w:r w:rsidRPr="00E67F89">
              <w:t>Art.20 b) Ordonnance n°62- 023.</w:t>
            </w:r>
          </w:p>
          <w:p w14:paraId="5ADA5B29" w14:textId="77777777" w:rsidR="00E67F89" w:rsidRPr="00E67F89" w:rsidRDefault="00E67F89" w:rsidP="00E67F89">
            <w:r w:rsidRPr="00E67F89">
              <w:t>Art.33 Loi n°2005-019.</w:t>
            </w:r>
          </w:p>
        </w:tc>
        <w:tc>
          <w:tcPr>
            <w:tcW w:w="0" w:type="auto"/>
          </w:tcPr>
          <w:p w14:paraId="05E81E72" w14:textId="77777777" w:rsidR="00E67F89" w:rsidRPr="00E67F89" w:rsidRDefault="00E67F89" w:rsidP="00E67F89">
            <w:r w:rsidRPr="00E67F89">
              <w:t>Propriétaires sans titre dont la détention est susceptible d’être reconnue comme droit de propriété : occupants traditionnels, « usagers notoires », ...</w:t>
            </w:r>
          </w:p>
        </w:tc>
        <w:tc>
          <w:tcPr>
            <w:tcW w:w="0" w:type="auto"/>
            <w:vMerge/>
          </w:tcPr>
          <w:p w14:paraId="34E4BA21" w14:textId="77777777" w:rsidR="00E67F89" w:rsidRPr="00E67F89" w:rsidRDefault="00E67F89" w:rsidP="00E67F89"/>
        </w:tc>
      </w:tr>
      <w:tr w:rsidR="00E67F89" w:rsidRPr="00E67F89" w14:paraId="2D7B5335" w14:textId="77777777" w:rsidTr="00223F64">
        <w:tc>
          <w:tcPr>
            <w:tcW w:w="0" w:type="auto"/>
          </w:tcPr>
          <w:p w14:paraId="3FDE3D7D" w14:textId="77777777" w:rsidR="00E67F89" w:rsidRPr="00E67F89" w:rsidRDefault="00E67F89" w:rsidP="00E67F89"/>
        </w:tc>
        <w:tc>
          <w:tcPr>
            <w:tcW w:w="0" w:type="auto"/>
          </w:tcPr>
          <w:p w14:paraId="4BE9C478" w14:textId="77777777" w:rsidR="00E67F89" w:rsidRPr="00E67F89" w:rsidRDefault="00E67F89" w:rsidP="00E67F89"/>
        </w:tc>
        <w:tc>
          <w:tcPr>
            <w:tcW w:w="0" w:type="auto"/>
          </w:tcPr>
          <w:p w14:paraId="62230430" w14:textId="77777777" w:rsidR="00E67F89" w:rsidRPr="00E67F89" w:rsidRDefault="00E67F89" w:rsidP="00E67F89">
            <w:r w:rsidRPr="00E67F89">
              <w:t>(c) Qui n’ont aucun droit légal ou revendication susceptible d’être reconnu sur les terres ou biens qu’elles occupent ou utilisent.</w:t>
            </w:r>
          </w:p>
        </w:tc>
        <w:tc>
          <w:tcPr>
            <w:tcW w:w="0" w:type="auto"/>
          </w:tcPr>
          <w:p w14:paraId="7464820C" w14:textId="77777777" w:rsidR="00E67F89" w:rsidRPr="00E67F89" w:rsidRDefault="00E67F89" w:rsidP="00E67F89">
            <w:r w:rsidRPr="00E67F89">
              <w:t>Art.2, 3 Loi n°66- 025.</w:t>
            </w:r>
          </w:p>
        </w:tc>
        <w:tc>
          <w:tcPr>
            <w:tcW w:w="0" w:type="auto"/>
          </w:tcPr>
          <w:p w14:paraId="4EDDF3AE" w14:textId="77777777" w:rsidR="00E67F89" w:rsidRPr="00E67F89" w:rsidRDefault="00E67F89" w:rsidP="00E67F89">
            <w:r w:rsidRPr="00E67F89">
              <w:t>Occupants de fait.</w:t>
            </w:r>
          </w:p>
          <w:p w14:paraId="33DA34A7" w14:textId="77777777" w:rsidR="00E67F89" w:rsidRPr="00E67F89" w:rsidRDefault="00E67F89" w:rsidP="00E67F89">
            <w:r w:rsidRPr="00E67F89">
              <w:t>Occupants illégaux (squatters, …)</w:t>
            </w:r>
          </w:p>
        </w:tc>
        <w:tc>
          <w:tcPr>
            <w:tcW w:w="0" w:type="auto"/>
            <w:vMerge/>
          </w:tcPr>
          <w:p w14:paraId="5522A75C" w14:textId="77777777" w:rsidR="00E67F89" w:rsidRPr="00E67F89" w:rsidRDefault="00E67F89" w:rsidP="00E67F89"/>
        </w:tc>
      </w:tr>
      <w:tr w:rsidR="00E67F89" w:rsidRPr="00E67F89" w14:paraId="4DABCAEC" w14:textId="77777777" w:rsidTr="00223F64">
        <w:tc>
          <w:tcPr>
            <w:tcW w:w="0" w:type="auto"/>
          </w:tcPr>
          <w:p w14:paraId="6F33E979" w14:textId="77777777" w:rsidR="00E67F89" w:rsidRPr="00E67F89" w:rsidRDefault="00E67F89" w:rsidP="00E67F89"/>
        </w:tc>
        <w:tc>
          <w:tcPr>
            <w:tcW w:w="0" w:type="auto"/>
          </w:tcPr>
          <w:p w14:paraId="3590C344" w14:textId="77777777" w:rsidR="00E67F89" w:rsidRPr="00E67F89" w:rsidRDefault="00E67F89" w:rsidP="00E67F89"/>
        </w:tc>
        <w:tc>
          <w:tcPr>
            <w:tcW w:w="0" w:type="auto"/>
          </w:tcPr>
          <w:p w14:paraId="0D9FC85F" w14:textId="77777777" w:rsidR="00E67F89" w:rsidRPr="00E67F89" w:rsidRDefault="00E67F89" w:rsidP="00E67F89">
            <w:r w:rsidRPr="00E67F89">
              <w:t>Le recensement décrit au paragraphe 20 déterminera le statut des personnes déplacées.</w:t>
            </w:r>
          </w:p>
        </w:tc>
        <w:tc>
          <w:tcPr>
            <w:tcW w:w="0" w:type="auto"/>
          </w:tcPr>
          <w:p w14:paraId="45D68E9F" w14:textId="77777777" w:rsidR="00E67F89" w:rsidRPr="00E67F89" w:rsidRDefault="00E67F89" w:rsidP="00E67F89">
            <w:r w:rsidRPr="00E67F89">
              <w:t>Art.4 Ordonnance n°62-023.</w:t>
            </w:r>
          </w:p>
          <w:p w14:paraId="532A46BF" w14:textId="77777777" w:rsidR="00E67F89" w:rsidRPr="00E67F89" w:rsidRDefault="00E67F89" w:rsidP="00E67F89">
            <w:r w:rsidRPr="00E67F89">
              <w:t>15.2 Guide EIS.</w:t>
            </w:r>
          </w:p>
        </w:tc>
        <w:tc>
          <w:tcPr>
            <w:tcW w:w="0" w:type="auto"/>
          </w:tcPr>
          <w:p w14:paraId="17E8F730" w14:textId="77777777" w:rsidR="00E67F89" w:rsidRPr="00E67F89" w:rsidRDefault="00E67F89" w:rsidP="00E67F89">
            <w:r w:rsidRPr="00E67F89">
              <w:t>L’enquête administrative détermine le statut des personnes susceptibles de prétendre à indemnisation.</w:t>
            </w:r>
          </w:p>
          <w:p w14:paraId="5F5FB232" w14:textId="77777777" w:rsidR="00E67F89" w:rsidRPr="00E67F89" w:rsidRDefault="00E67F89" w:rsidP="00E67F89">
            <w:r w:rsidRPr="00E67F89">
              <w:t>En sus de cette enquête ordonnée par la loi, « l’entretien préalable avec les autorités de proximité permet aux promoteurs de mieux cibler ensemble les catégories socio-économiques touchées par les impacts du projet » et plus particulièrement les personnes déplacées.</w:t>
            </w:r>
          </w:p>
        </w:tc>
        <w:tc>
          <w:tcPr>
            <w:tcW w:w="0" w:type="auto"/>
            <w:vMerge/>
          </w:tcPr>
          <w:p w14:paraId="7544061F" w14:textId="77777777" w:rsidR="00E67F89" w:rsidRPr="00E67F89" w:rsidRDefault="00E67F89" w:rsidP="00E67F89"/>
        </w:tc>
      </w:tr>
      <w:tr w:rsidR="00E67F89" w:rsidRPr="00E67F89" w14:paraId="2A4D28A5" w14:textId="77777777" w:rsidTr="00223F64">
        <w:tc>
          <w:tcPr>
            <w:tcW w:w="0" w:type="auto"/>
            <w:gridSpan w:val="6"/>
          </w:tcPr>
          <w:p w14:paraId="52949CB8" w14:textId="77777777" w:rsidR="00E67F89" w:rsidRPr="00E67F89" w:rsidRDefault="00E67F89" w:rsidP="00E67F89">
            <w:r w:rsidRPr="00E67F89">
              <w:t>Conception des projets</w:t>
            </w:r>
          </w:p>
        </w:tc>
      </w:tr>
      <w:tr w:rsidR="00E67F89" w:rsidRPr="00E67F89" w14:paraId="14711905" w14:textId="77777777" w:rsidTr="00223F64">
        <w:tc>
          <w:tcPr>
            <w:tcW w:w="0" w:type="auto"/>
          </w:tcPr>
          <w:p w14:paraId="6D1D07B2" w14:textId="77777777" w:rsidR="00E67F89" w:rsidRPr="00E67F89" w:rsidRDefault="00E67F89" w:rsidP="00E67F89">
            <w:r w:rsidRPr="00E67F89">
              <w:t>Limitation</w:t>
            </w:r>
            <w:r w:rsidRPr="00E67F89">
              <w:tab/>
              <w:t>de l’acquisition involontaire des terres - Conceptions alternatives du projet</w:t>
            </w:r>
          </w:p>
        </w:tc>
        <w:tc>
          <w:tcPr>
            <w:tcW w:w="0" w:type="auto"/>
          </w:tcPr>
          <w:p w14:paraId="0DBD3BFE" w14:textId="77777777" w:rsidR="00E67F89" w:rsidRPr="00E67F89" w:rsidRDefault="00E67F89" w:rsidP="00E67F89">
            <w:r w:rsidRPr="00E67F89">
              <w:t>11</w:t>
            </w:r>
          </w:p>
        </w:tc>
        <w:tc>
          <w:tcPr>
            <w:tcW w:w="0" w:type="auto"/>
          </w:tcPr>
          <w:p w14:paraId="2FB32A5C" w14:textId="77777777" w:rsidR="00E67F89" w:rsidRPr="00E67F89" w:rsidRDefault="00E67F89" w:rsidP="00E67F89">
            <w:r w:rsidRPr="00E67F89">
              <w:t>a) L’acquisition involontaire des terres ou les restrictions sur l’utilisation des terres sont limitées aux besoins directs du projet.</w:t>
            </w:r>
          </w:p>
          <w:p w14:paraId="076CCFE9" w14:textId="77777777" w:rsidR="00E67F89" w:rsidRPr="00E67F89" w:rsidRDefault="00E67F89" w:rsidP="00E67F89"/>
          <w:p w14:paraId="7470D1DE" w14:textId="77777777" w:rsidR="00E67F89" w:rsidRPr="00E67F89" w:rsidRDefault="00E67F89" w:rsidP="00E67F89">
            <w:r w:rsidRPr="00E67F89">
              <w:t>b) Etude des conceptions alternatives possibles du projet [afin d’éviter ou de minimiser l’acquisition de terres ou les restrictions sur l’utilisation des terres],</w:t>
            </w:r>
          </w:p>
          <w:p w14:paraId="273022A4" w14:textId="77777777" w:rsidR="00E67F89" w:rsidRPr="00E67F89" w:rsidRDefault="00E67F89" w:rsidP="00E67F89">
            <w:r w:rsidRPr="00E67F89">
              <w:t>en particulier lorsqu’elles entraînent un déplacement physique ou économique,</w:t>
            </w:r>
          </w:p>
          <w:p w14:paraId="7CADC41E" w14:textId="77777777" w:rsidR="00E67F89" w:rsidRPr="00E67F89" w:rsidRDefault="00E67F89" w:rsidP="00E67F89">
            <w:r w:rsidRPr="00E67F89">
              <w:t>tout en comparant les coûts et les avantages environnementaux, sociaux et financiers, et en accordant une attention particulière aux impacts sur l’égalité des sexes et sur les populations pauvres et vulnérables</w:t>
            </w:r>
          </w:p>
        </w:tc>
        <w:tc>
          <w:tcPr>
            <w:tcW w:w="0" w:type="auto"/>
          </w:tcPr>
          <w:p w14:paraId="3149AB3C" w14:textId="77777777" w:rsidR="00E67F89" w:rsidRPr="00E67F89" w:rsidRDefault="00E67F89" w:rsidP="00E67F89">
            <w:r w:rsidRPr="00E67F89">
              <w:lastRenderedPageBreak/>
              <w:t>a) Art.2, 3, 52, 84,85 Ordonnance n°62-023.</w:t>
            </w:r>
          </w:p>
          <w:p w14:paraId="723AEBD8" w14:textId="77777777" w:rsidR="00E67F89" w:rsidRPr="00E67F89" w:rsidRDefault="00E67F89" w:rsidP="00E67F89"/>
          <w:p w14:paraId="5976AF82" w14:textId="77777777" w:rsidR="00E67F89" w:rsidRPr="00E67F89" w:rsidRDefault="00E67F89" w:rsidP="00E67F89">
            <w:r w:rsidRPr="00E67F89">
              <w:t>b) §1.1 Directives EIE. 10.0 à10.3,</w:t>
            </w:r>
          </w:p>
          <w:p w14:paraId="3937F9C0" w14:textId="77777777" w:rsidR="00E67F89" w:rsidRPr="00E67F89" w:rsidRDefault="00E67F89" w:rsidP="00E67F89">
            <w:r w:rsidRPr="00E67F89">
              <w:t>Annexe 7 Guide EIS.</w:t>
            </w:r>
          </w:p>
        </w:tc>
        <w:tc>
          <w:tcPr>
            <w:tcW w:w="0" w:type="auto"/>
          </w:tcPr>
          <w:p w14:paraId="33750754" w14:textId="77777777" w:rsidR="00E67F89" w:rsidRPr="00E67F89" w:rsidRDefault="00E67F89" w:rsidP="00E67F89">
            <w:r w:rsidRPr="00E67F89">
              <w:lastRenderedPageBreak/>
              <w:t xml:space="preserve">(a) L’acquisition involontaire des terres et les restrictions sur l’utilisation des terres sont limitées aux travaux et opérations déclarés par décret </w:t>
            </w:r>
            <w:r w:rsidRPr="00E67F89">
              <w:lastRenderedPageBreak/>
              <w:t>d’utilité publique tels qu’indiqués respectivement à 8l’article 3 ou à9 l’article 84 de l’Ordonnance n°62- 023.10</w:t>
            </w:r>
          </w:p>
          <w:p w14:paraId="2BA6ED6B" w14:textId="77777777" w:rsidR="00E67F89" w:rsidRPr="00E67F89" w:rsidRDefault="00E67F89" w:rsidP="00E67F89">
            <w:r w:rsidRPr="00E67F89">
              <w:t>Dans le premier cas, il s’agit d’une expropriation.</w:t>
            </w:r>
          </w:p>
          <w:p w14:paraId="3DEEFBC9" w14:textId="77777777" w:rsidR="00E67F89" w:rsidRPr="00E67F89" w:rsidRDefault="00E67F89" w:rsidP="00E67F89">
            <w:r w:rsidRPr="00E67F89">
              <w:t>Dans le second cas, il s’agit des travaux ne nécessitant pas l’acquisition de terrains. Dans ce cas, il y a restriction et destination particulière d’utilisation dont les travaux peuvent apporter une plus-value sur l’immeuble. Le propriétaire est appelé par la suite au remboursement ou paiement de redevances pour cette plus-value. Toutefois, en cas de refus du propriétaire, il sera procédé à expropriation.</w:t>
            </w:r>
          </w:p>
          <w:p w14:paraId="143E26AA" w14:textId="77777777" w:rsidR="00E67F89" w:rsidRPr="00E67F89" w:rsidRDefault="00E67F89" w:rsidP="00E67F89">
            <w:r w:rsidRPr="00E67F89">
              <w:t xml:space="preserve">Le retour (avec conditions) de l’immeuble aux anciens propriétaires peut être prononcé si la destination </w:t>
            </w:r>
            <w:r w:rsidRPr="00E67F89">
              <w:lastRenderedPageBreak/>
              <w:t>d’utilité publique n’est pas respectée. (art.52)11</w:t>
            </w:r>
          </w:p>
          <w:p w14:paraId="2F5DF6AA" w14:textId="77777777" w:rsidR="00E67F89" w:rsidRPr="00E67F89" w:rsidRDefault="00E67F89" w:rsidP="00E67F89">
            <w:r w:rsidRPr="00E67F89">
              <w:t>(b) L’étude de conceptions alternatives n’est pas prévue par les textes législatifs et réglementaires.</w:t>
            </w:r>
          </w:p>
          <w:p w14:paraId="42CCA65C" w14:textId="77777777" w:rsidR="00E67F89" w:rsidRPr="00E67F89" w:rsidRDefault="00E67F89" w:rsidP="00E67F89">
            <w:r w:rsidRPr="00E67F89">
              <w:t>Cependant, de telle étude est préconisée et exigée lors de l’EIE, et de l’EIS. L’étude et le développement des alternatives réalisables en matière de déplacement de la population permettent des impacts moins dommageables à l’environnement et « d’éviter autant que faire se peut le déplacement involontaire de la population ».</w:t>
            </w:r>
          </w:p>
        </w:tc>
        <w:tc>
          <w:tcPr>
            <w:tcW w:w="0" w:type="auto"/>
          </w:tcPr>
          <w:p w14:paraId="4016DFA7" w14:textId="77777777" w:rsidR="00E67F89" w:rsidRPr="00E67F89" w:rsidRDefault="00E67F89" w:rsidP="00E67F89">
            <w:r w:rsidRPr="00E67F89">
              <w:lastRenderedPageBreak/>
              <w:t>En ce qui concerne la limitation de l’acquisition involontaire, il y a correspondance entre le cadre national et la NES.</w:t>
            </w:r>
          </w:p>
          <w:p w14:paraId="488EE767" w14:textId="77777777" w:rsidR="00E67F89" w:rsidRPr="00E67F89" w:rsidRDefault="00E67F89" w:rsidP="00E67F89"/>
          <w:p w14:paraId="2D503D2D" w14:textId="77777777" w:rsidR="00E67F89" w:rsidRPr="00E67F89" w:rsidRDefault="00E67F89" w:rsidP="00E67F89">
            <w:r w:rsidRPr="00E67F89">
              <w:t xml:space="preserve">Les exigences de la NES 5 insistent aussi sur la comparaison des avantages et l’attention particulière sur les questions de genre et de vulnérabilité lors de l’étude des conceptions alternatives possibles du projet et ont des dispositions plus favorables. </w:t>
            </w:r>
          </w:p>
          <w:p w14:paraId="7A47AA41" w14:textId="77777777" w:rsidR="00E67F89" w:rsidRPr="00E67F89" w:rsidRDefault="00E67F89" w:rsidP="00E67F89"/>
          <w:p w14:paraId="2A5B87AF" w14:textId="77777777" w:rsidR="00E67F89" w:rsidRPr="00E67F89" w:rsidRDefault="00E67F89" w:rsidP="00E67F89"/>
        </w:tc>
      </w:tr>
      <w:tr w:rsidR="00E67F89" w:rsidRPr="00E67F89" w14:paraId="2561E7F9" w14:textId="77777777" w:rsidTr="00223F64">
        <w:tc>
          <w:tcPr>
            <w:tcW w:w="0" w:type="auto"/>
            <w:gridSpan w:val="6"/>
          </w:tcPr>
          <w:p w14:paraId="51D9A37E" w14:textId="77777777" w:rsidR="00E67F89" w:rsidRPr="00E67F89" w:rsidRDefault="00E67F89" w:rsidP="00E67F89">
            <w:r w:rsidRPr="00E67F89">
              <w:lastRenderedPageBreak/>
              <w:t xml:space="preserve">Indemnisations et avantages pour les personnes affectées </w:t>
            </w:r>
          </w:p>
        </w:tc>
      </w:tr>
      <w:tr w:rsidR="00E67F89" w:rsidRPr="00E67F89" w14:paraId="0FC86E3B" w14:textId="77777777" w:rsidTr="00223F64">
        <w:tc>
          <w:tcPr>
            <w:tcW w:w="0" w:type="auto"/>
          </w:tcPr>
          <w:p w14:paraId="380D1512" w14:textId="77777777" w:rsidR="00E67F89" w:rsidRPr="00E67F89" w:rsidRDefault="00E67F89" w:rsidP="00E67F89">
            <w:r w:rsidRPr="00E67F89">
              <w:t xml:space="preserve">Nature et valeurs de l’indemnisation </w:t>
            </w:r>
          </w:p>
          <w:p w14:paraId="68EE36AB" w14:textId="77777777" w:rsidR="00E67F89" w:rsidRPr="00E67F89" w:rsidRDefault="00E67F89" w:rsidP="00E67F89"/>
          <w:p w14:paraId="15B423E0" w14:textId="77777777" w:rsidR="00E67F89" w:rsidRPr="00E67F89" w:rsidRDefault="00E67F89" w:rsidP="00E67F89">
            <w:r w:rsidRPr="00E67F89">
              <w:lastRenderedPageBreak/>
              <w:t>Aides pour le rétablissement des niveaux de vie ou des moyens de</w:t>
            </w:r>
          </w:p>
          <w:p w14:paraId="3AD1157A" w14:textId="77777777" w:rsidR="00E67F89" w:rsidRPr="00E67F89" w:rsidRDefault="00E67F89" w:rsidP="00E67F89">
            <w:r w:rsidRPr="00E67F89">
              <w:t>subsistance</w:t>
            </w:r>
          </w:p>
        </w:tc>
        <w:tc>
          <w:tcPr>
            <w:tcW w:w="0" w:type="auto"/>
          </w:tcPr>
          <w:p w14:paraId="0231BFA4" w14:textId="77777777" w:rsidR="00E67F89" w:rsidRPr="00E67F89" w:rsidRDefault="00E67F89" w:rsidP="00E67F89">
            <w:r w:rsidRPr="00E67F89">
              <w:lastRenderedPageBreak/>
              <w:t>12</w:t>
            </w:r>
          </w:p>
        </w:tc>
        <w:tc>
          <w:tcPr>
            <w:tcW w:w="0" w:type="auto"/>
          </w:tcPr>
          <w:p w14:paraId="4991B3A5" w14:textId="77777777" w:rsidR="00E67F89" w:rsidRPr="00E67F89" w:rsidRDefault="00E67F89" w:rsidP="00E67F89">
            <w:r w:rsidRPr="00E67F89">
              <w:t>Offrir aux communautés affectées une indemnisation :</w:t>
            </w:r>
          </w:p>
          <w:p w14:paraId="75A59C34" w14:textId="77777777" w:rsidR="00E67F89" w:rsidRPr="00E67F89" w:rsidRDefault="00E67F89" w:rsidP="00E67F89">
            <w:r w:rsidRPr="00E67F89">
              <w:t>au coût de remplacement intégral, ainsi que</w:t>
            </w:r>
          </w:p>
          <w:p w14:paraId="6D6670DF" w14:textId="77777777" w:rsidR="00E67F89" w:rsidRPr="00E67F89" w:rsidRDefault="00E67F89" w:rsidP="00E67F89">
            <w:r w:rsidRPr="00E67F89">
              <w:lastRenderedPageBreak/>
              <w:t>d’autres aides si nécessaires leur permettant d’améliorer ou, au moins, de rétablir leur niveau de vie ou moyen d’existence [comme prévu dans les dispositions des paragraphes 26 à 36 de la NES 5]</w:t>
            </w:r>
          </w:p>
        </w:tc>
        <w:tc>
          <w:tcPr>
            <w:tcW w:w="0" w:type="auto"/>
          </w:tcPr>
          <w:p w14:paraId="0E051021" w14:textId="77777777" w:rsidR="00E67F89" w:rsidRPr="00E67F89" w:rsidRDefault="00E67F89" w:rsidP="00E67F89">
            <w:r w:rsidRPr="00E67F89">
              <w:lastRenderedPageBreak/>
              <w:t>Art.34 Constitution.</w:t>
            </w:r>
          </w:p>
          <w:p w14:paraId="734871DD" w14:textId="77777777" w:rsidR="00E67F89" w:rsidRPr="00E67F89" w:rsidRDefault="00E67F89" w:rsidP="00E67F89">
            <w:r w:rsidRPr="00E67F89">
              <w:t xml:space="preserve">Art. 10, 17 ss., 28,44 </w:t>
            </w:r>
            <w:r w:rsidRPr="00E67F89">
              <w:lastRenderedPageBreak/>
              <w:t>Ordonnance n°62-023.</w:t>
            </w:r>
          </w:p>
          <w:p w14:paraId="3D452E1C" w14:textId="77777777" w:rsidR="00E67F89" w:rsidRPr="00E67F89" w:rsidRDefault="00E67F89" w:rsidP="00E67F89"/>
          <w:p w14:paraId="2206C7B5" w14:textId="77777777" w:rsidR="00E67F89" w:rsidRPr="00E67F89" w:rsidRDefault="00E67F89" w:rsidP="00E67F89">
            <w:r w:rsidRPr="00E67F89">
              <w:t>Annexe 7 Guide EIS.</w:t>
            </w:r>
          </w:p>
        </w:tc>
        <w:tc>
          <w:tcPr>
            <w:tcW w:w="0" w:type="auto"/>
          </w:tcPr>
          <w:p w14:paraId="792834EE" w14:textId="77777777" w:rsidR="00E67F89" w:rsidRPr="00E67F89" w:rsidRDefault="00E67F89" w:rsidP="00E67F89">
            <w:r w:rsidRPr="00E67F89">
              <w:lastRenderedPageBreak/>
              <w:t>Principe de juste et préalable indemnité.</w:t>
            </w:r>
          </w:p>
          <w:p w14:paraId="168387EC" w14:textId="77777777" w:rsidR="00E67F89" w:rsidRPr="00E67F89" w:rsidRDefault="00E67F89" w:rsidP="00E67F89">
            <w:r w:rsidRPr="00E67F89">
              <w:t xml:space="preserve">L’indemnité d’expropriation est fixée sur la base de la valeur </w:t>
            </w:r>
            <w:r w:rsidRPr="00E67F89">
              <w:lastRenderedPageBreak/>
              <w:t>actuelle à la date du décret déclaratif d’expropriation de la propriété et à sa valorisation directe (constructions, plantations, etc.), (par commission d’évaluation ou par voie judiciaire.)</w:t>
            </w:r>
          </w:p>
          <w:p w14:paraId="4F022D25" w14:textId="77777777" w:rsidR="00E67F89" w:rsidRPr="00E67F89" w:rsidRDefault="00E67F89" w:rsidP="00E67F89">
            <w:r w:rsidRPr="00E67F89">
              <w:t>L’indemnisation est effectuée en espèces ou autres formes de compensations conventionnelles (non déterminées par les textes).</w:t>
            </w:r>
          </w:p>
          <w:p w14:paraId="218AB810" w14:textId="77777777" w:rsidR="00E67F89" w:rsidRPr="00E67F89" w:rsidRDefault="00E67F89" w:rsidP="00E67F89">
            <w:r w:rsidRPr="00E67F89">
              <w:t>L’indemnité d’expropriation ne doit couvrir que le préjudice direct, matériel et certain causé par l’expropriation. Elle ne peut s’étendre au préjudice incertain et éventuel.</w:t>
            </w:r>
          </w:p>
          <w:p w14:paraId="61C40C8F" w14:textId="77777777" w:rsidR="00E67F89" w:rsidRPr="00E67F89" w:rsidRDefault="00E67F89" w:rsidP="00E67F89">
            <w:r w:rsidRPr="00E67F89">
              <w:t xml:space="preserve">L’expropriation pour cause d’utilité publique doit indemniser de façon juste les expropriés ; mais en aucun cas, il ne peut y avoir enrichissement sans cause des intéressés qui n’auront pas </w:t>
            </w:r>
            <w:r w:rsidRPr="00E67F89">
              <w:lastRenderedPageBreak/>
              <w:t>justifié d’une participation directe à la valorisation de la propriété.</w:t>
            </w:r>
          </w:p>
          <w:p w14:paraId="3922C67B" w14:textId="77777777" w:rsidR="00E67F89" w:rsidRPr="00E67F89" w:rsidRDefault="00E67F89" w:rsidP="00E67F89">
            <w:r w:rsidRPr="00E67F89">
              <w:t>L’étude EIS prescrit le coût de remplacement intégral et les aides visant au moins au rétablissement des moyens d’existence et du niveau de vie des personnes déplacées.</w:t>
            </w:r>
          </w:p>
        </w:tc>
        <w:tc>
          <w:tcPr>
            <w:tcW w:w="0" w:type="auto"/>
          </w:tcPr>
          <w:p w14:paraId="0625322E" w14:textId="77777777" w:rsidR="00E67F89" w:rsidRPr="00E67F89" w:rsidRDefault="00E67F89" w:rsidP="00E67F89">
            <w:r w:rsidRPr="00E67F89">
              <w:lastRenderedPageBreak/>
              <w:t>Les exigences de la NES 5 sont des dispositions plus favorables.</w:t>
            </w:r>
          </w:p>
          <w:p w14:paraId="5C02CBDA" w14:textId="77777777" w:rsidR="00E67F89" w:rsidRPr="00E67F89" w:rsidRDefault="00E67F89" w:rsidP="00E67F89"/>
          <w:p w14:paraId="72534C6C" w14:textId="77777777" w:rsidR="00E67F89" w:rsidRPr="00E67F89" w:rsidRDefault="00E67F89" w:rsidP="00E67F89">
            <w:r w:rsidRPr="00E67F89">
              <w:t>L’indemnisation ou la compensation concerne les biens ou les droits objets de l’expropriation. Elle ne tient pas compte d’autres situations des personnes non titulaires de droit quelconque sur les biens expropriés.</w:t>
            </w:r>
          </w:p>
          <w:p w14:paraId="00A7D076" w14:textId="77777777" w:rsidR="00E67F89" w:rsidRPr="00E67F89" w:rsidRDefault="00E67F89" w:rsidP="00E67F89">
            <w:r w:rsidRPr="00E67F89">
              <w:t>Toutefois, lorsqu’il s’agit d’expropriation, la commission et le tribunal seraient tenus au mode d’évaluation indiqué par la loi(art.28).</w:t>
            </w:r>
          </w:p>
          <w:p w14:paraId="40F4F0D8" w14:textId="77777777" w:rsidR="00E67F89" w:rsidRPr="00E67F89" w:rsidRDefault="00E67F89" w:rsidP="00E67F89">
            <w:r w:rsidRPr="00E67F89">
              <w:t>Par contre, les autres formes de compensation restent conventionnelles et établies sur une libre appréciation des parties. C’est dans ce cas que les exigences de la NES et du Guide EIS pourront être prises en considération (sinon il peut y avoir enrichissement sans cause : sans préjudice direct, matériel</w:t>
            </w:r>
            <w:r w:rsidRPr="00E67F89">
              <w:tab/>
              <w:t>et certain, indemnisation non numéraire.)</w:t>
            </w:r>
          </w:p>
        </w:tc>
      </w:tr>
      <w:tr w:rsidR="00E67F89" w:rsidRPr="00E67F89" w14:paraId="054E5173" w14:textId="77777777" w:rsidTr="00223F64">
        <w:tc>
          <w:tcPr>
            <w:tcW w:w="0" w:type="auto"/>
          </w:tcPr>
          <w:p w14:paraId="1739919F" w14:textId="77777777" w:rsidR="00E67F89" w:rsidRPr="00E67F89" w:rsidRDefault="00E67F89" w:rsidP="00E67F89"/>
        </w:tc>
        <w:tc>
          <w:tcPr>
            <w:tcW w:w="0" w:type="auto"/>
          </w:tcPr>
          <w:p w14:paraId="16943F7B" w14:textId="77777777" w:rsidR="00E67F89" w:rsidRPr="00E67F89" w:rsidRDefault="00E67F89" w:rsidP="00E67F89"/>
        </w:tc>
        <w:tc>
          <w:tcPr>
            <w:tcW w:w="0" w:type="auto"/>
          </w:tcPr>
          <w:p w14:paraId="5054066F" w14:textId="77777777" w:rsidR="00E67F89" w:rsidRPr="00E67F89" w:rsidRDefault="00E67F89" w:rsidP="00E67F89"/>
        </w:tc>
        <w:tc>
          <w:tcPr>
            <w:tcW w:w="0" w:type="auto"/>
          </w:tcPr>
          <w:p w14:paraId="4287A55E" w14:textId="77777777" w:rsidR="00E67F89" w:rsidRPr="00E67F89" w:rsidRDefault="00E67F89" w:rsidP="00E67F89">
            <w:r w:rsidRPr="00E67F89">
              <w:t>Art. 13 et suivant du Décret n°63- 030.</w:t>
            </w:r>
          </w:p>
        </w:tc>
        <w:tc>
          <w:tcPr>
            <w:tcW w:w="0" w:type="auto"/>
          </w:tcPr>
          <w:p w14:paraId="68DFE734" w14:textId="77777777" w:rsidR="00E67F89" w:rsidRPr="00E67F89" w:rsidRDefault="00E67F89" w:rsidP="00E67F89">
            <w:r w:rsidRPr="00E67F89">
              <w:t>Participation des parties expropriées à la négociation de prix d’acquisition et des autres modalités de compensation avec la Commission d’évaluation.</w:t>
            </w:r>
          </w:p>
        </w:tc>
        <w:tc>
          <w:tcPr>
            <w:tcW w:w="0" w:type="auto"/>
          </w:tcPr>
          <w:p w14:paraId="70B5B0D8" w14:textId="77777777" w:rsidR="00E67F89" w:rsidRPr="00E67F89" w:rsidRDefault="00E67F89" w:rsidP="00E67F89">
            <w:r w:rsidRPr="00E67F89">
              <w:t>La participation à la négociation du prix dès la phase d’évaluation prescrit parle cadre national est une disposition plus favorable et obligatoire.</w:t>
            </w:r>
          </w:p>
        </w:tc>
      </w:tr>
      <w:tr w:rsidR="00E67F89" w:rsidRPr="00E67F89" w14:paraId="4486DFCB" w14:textId="77777777" w:rsidTr="00223F64">
        <w:tc>
          <w:tcPr>
            <w:tcW w:w="0" w:type="auto"/>
          </w:tcPr>
          <w:p w14:paraId="2897495F" w14:textId="77777777" w:rsidR="00E67F89" w:rsidRPr="00E67F89" w:rsidRDefault="00E67F89" w:rsidP="00E67F89">
            <w:r w:rsidRPr="00E67F89">
              <w:t>Normes</w:t>
            </w:r>
            <w:r w:rsidRPr="00E67F89">
              <w:tab/>
              <w:t>et taux d’indemnisation</w:t>
            </w:r>
          </w:p>
        </w:tc>
        <w:tc>
          <w:tcPr>
            <w:tcW w:w="0" w:type="auto"/>
          </w:tcPr>
          <w:p w14:paraId="4EE69BE0" w14:textId="77777777" w:rsidR="00E67F89" w:rsidRPr="00E67F89" w:rsidRDefault="00E67F89" w:rsidP="00E67F89">
            <w:r w:rsidRPr="00E67F89">
              <w:t>13</w:t>
            </w:r>
          </w:p>
        </w:tc>
        <w:tc>
          <w:tcPr>
            <w:tcW w:w="0" w:type="auto"/>
          </w:tcPr>
          <w:p w14:paraId="7FF6BC75" w14:textId="77777777" w:rsidR="00E67F89" w:rsidRPr="00E67F89" w:rsidRDefault="00E67F89" w:rsidP="00E67F89">
            <w:r w:rsidRPr="00E67F89">
              <w:t>Les normes d’indemnisation pour les catégories de terres et d’immobilisations seront publiées et appliquées de manière cohérente.</w:t>
            </w:r>
          </w:p>
          <w:p w14:paraId="37A8DDC6" w14:textId="77777777" w:rsidR="00E67F89" w:rsidRPr="00E67F89" w:rsidRDefault="00E67F89" w:rsidP="00E67F89">
            <w:r w:rsidRPr="00E67F89">
              <w:t>Les taux d’indemnisation peuvent faire l’objet d’un ajustement à la hausse lorsque des stratégies de négociation sont employées.</w:t>
            </w:r>
          </w:p>
          <w:p w14:paraId="6450C5C7" w14:textId="77777777" w:rsidR="00E67F89" w:rsidRPr="00E67F89" w:rsidRDefault="00E67F89" w:rsidP="00E67F89">
            <w:r w:rsidRPr="00E67F89">
              <w:lastRenderedPageBreak/>
              <w:t>Dans tous les cas, une base claire pour le calcul de l’indemnisation sera documentée, et la compensation sera répartie selon des procédures transparentes.</w:t>
            </w:r>
          </w:p>
        </w:tc>
        <w:tc>
          <w:tcPr>
            <w:tcW w:w="0" w:type="auto"/>
          </w:tcPr>
          <w:p w14:paraId="09C03CC3" w14:textId="77777777" w:rsidR="00E67F89" w:rsidRPr="00E67F89" w:rsidRDefault="00E67F89" w:rsidP="00E67F89">
            <w:r w:rsidRPr="00E67F89">
              <w:lastRenderedPageBreak/>
              <w:t>Art.36 Ord.62- 023.</w:t>
            </w:r>
          </w:p>
        </w:tc>
        <w:tc>
          <w:tcPr>
            <w:tcW w:w="0" w:type="auto"/>
          </w:tcPr>
          <w:p w14:paraId="2EE7B3AC" w14:textId="77777777" w:rsidR="00E67F89" w:rsidRPr="00E67F89" w:rsidRDefault="00E67F89" w:rsidP="00E67F89">
            <w:r w:rsidRPr="00E67F89">
              <w:t>Le tribunal fixe les indemnités ou valeurs qui ne peuvent être inférieures aux offres de l’administration ni supérieures à la demande des expropriés.</w:t>
            </w:r>
          </w:p>
          <w:p w14:paraId="09E4951F" w14:textId="77777777" w:rsidR="00E67F89" w:rsidRPr="00E67F89" w:rsidRDefault="00E67F89" w:rsidP="00E67F89"/>
          <w:p w14:paraId="21396C41" w14:textId="77777777" w:rsidR="00E67F89" w:rsidRPr="00E67F89" w:rsidRDefault="00E67F89" w:rsidP="00E67F89">
            <w:r w:rsidRPr="00E67F89">
              <w:t xml:space="preserve">Toutefois, le tribunal doit prendre pour base de ses </w:t>
            </w:r>
            <w:r w:rsidRPr="00E67F89">
              <w:lastRenderedPageBreak/>
              <w:t>évaluations, notamment, en ce qui concerne les immeubles, la valeur résultant des déclarations faites par les contribuables ou des évaluations administratives non contestées ou devenues définitives en vertu des règlements fiscaux.</w:t>
            </w:r>
          </w:p>
        </w:tc>
        <w:tc>
          <w:tcPr>
            <w:tcW w:w="0" w:type="auto"/>
          </w:tcPr>
          <w:p w14:paraId="32FAB09D" w14:textId="77777777" w:rsidR="00E67F89" w:rsidRPr="00E67F89" w:rsidRDefault="00E67F89" w:rsidP="00E67F89">
            <w:r w:rsidRPr="00E67F89">
              <w:lastRenderedPageBreak/>
              <w:t xml:space="preserve">Les exigences de la NES 5 en matière de définition, de transparence, de publication et de documentation des normes et taux d’indemnisation sont des dispositions plus favorables. En tout cas, le cadre national n’indique pas les normes et critères à appliquer pour le </w:t>
            </w:r>
            <w:r w:rsidRPr="00E67F89">
              <w:lastRenderedPageBreak/>
              <w:t>Ministre chargé des finances pour approuver ou non l’évaluation proposée par la commission d’évaluation.</w:t>
            </w:r>
          </w:p>
          <w:p w14:paraId="565636F3" w14:textId="77777777" w:rsidR="00E67F89" w:rsidRPr="00E67F89" w:rsidRDefault="00E67F89" w:rsidP="00E67F89">
            <w:r w:rsidRPr="00E67F89">
              <w:t>Seul le tribunal est tenu de base son évaluation sur la base des références fiscales.</w:t>
            </w:r>
          </w:p>
        </w:tc>
      </w:tr>
      <w:tr w:rsidR="00E67F89" w:rsidRPr="00E67F89" w14:paraId="575D53C8" w14:textId="77777777" w:rsidTr="00223F64">
        <w:tc>
          <w:tcPr>
            <w:tcW w:w="0" w:type="auto"/>
          </w:tcPr>
          <w:p w14:paraId="05444E95" w14:textId="77777777" w:rsidR="00E67F89" w:rsidRPr="00E67F89" w:rsidRDefault="00E67F89" w:rsidP="00E67F89">
            <w:r w:rsidRPr="00E67F89">
              <w:t>Option</w:t>
            </w:r>
            <w:r w:rsidRPr="00E67F89">
              <w:tab/>
              <w:t>de</w:t>
            </w:r>
          </w:p>
          <w:p w14:paraId="288769D2" w14:textId="77777777" w:rsidR="00E67F89" w:rsidRPr="00E67F89" w:rsidRDefault="00E67F89" w:rsidP="00E67F89">
            <w:r w:rsidRPr="00E67F89">
              <w:t>remplacement</w:t>
            </w:r>
          </w:p>
        </w:tc>
        <w:tc>
          <w:tcPr>
            <w:tcW w:w="0" w:type="auto"/>
          </w:tcPr>
          <w:p w14:paraId="6DF35FE6" w14:textId="77777777" w:rsidR="00E67F89" w:rsidRPr="00E67F89" w:rsidRDefault="00E67F89" w:rsidP="00E67F89">
            <w:r w:rsidRPr="00E67F89">
              <w:t>14</w:t>
            </w:r>
          </w:p>
        </w:tc>
        <w:tc>
          <w:tcPr>
            <w:tcW w:w="0" w:type="auto"/>
          </w:tcPr>
          <w:p w14:paraId="2CB2E6C1" w14:textId="77777777" w:rsidR="00E67F89" w:rsidRPr="00E67F89" w:rsidRDefault="00E67F89" w:rsidP="00E67F89">
            <w:r w:rsidRPr="00E67F89">
              <w:t>Offre d’option de remplacement conforme au Paragraphe 35 (a) – sauf impossibilité.</w:t>
            </w:r>
          </w:p>
          <w:p w14:paraId="664B38AD" w14:textId="77777777" w:rsidR="00E67F89" w:rsidRPr="00E67F89" w:rsidRDefault="00E67F89" w:rsidP="00E67F89">
            <w:r w:rsidRPr="00E67F89">
              <w:t>Possibilité de tirer du projet des opportunités pour leur développement.</w:t>
            </w:r>
          </w:p>
          <w:p w14:paraId="6ECA3862" w14:textId="77777777" w:rsidR="00E67F89" w:rsidRPr="00E67F89" w:rsidRDefault="00E67F89" w:rsidP="00E67F89">
            <w:r w:rsidRPr="00E67F89">
              <w:t>Fourniture d’une aide à la réinstallation, en lieu et place d’indemnisation des terres, comme décrit dans les paragraphes 29 et 34(c).</w:t>
            </w:r>
          </w:p>
        </w:tc>
        <w:tc>
          <w:tcPr>
            <w:tcW w:w="0" w:type="auto"/>
          </w:tcPr>
          <w:p w14:paraId="5EE20B40" w14:textId="77777777" w:rsidR="00E67F89" w:rsidRPr="00E67F89" w:rsidRDefault="00E67F89" w:rsidP="00E67F89">
            <w:r w:rsidRPr="00E67F89">
              <w:t>Art.44 Ord.62- 023.</w:t>
            </w:r>
          </w:p>
        </w:tc>
        <w:tc>
          <w:tcPr>
            <w:tcW w:w="0" w:type="auto"/>
          </w:tcPr>
          <w:p w14:paraId="20D675A3" w14:textId="77777777" w:rsidR="00E67F89" w:rsidRPr="00E67F89" w:rsidRDefault="00E67F89" w:rsidP="00E67F89">
            <w:r w:rsidRPr="00E67F89">
              <w:t>La loi donne la possibilité d’autres types de compensation conventionnelle qu’en espèces, sans aucune autre précision.</w:t>
            </w:r>
          </w:p>
        </w:tc>
        <w:tc>
          <w:tcPr>
            <w:tcW w:w="0" w:type="auto"/>
          </w:tcPr>
          <w:p w14:paraId="5E6BAA75" w14:textId="77777777" w:rsidR="00E67F89" w:rsidRPr="00E67F89" w:rsidRDefault="00E67F89" w:rsidP="00E67F89">
            <w:r w:rsidRPr="00E67F89">
              <w:t>Les exigences de la NES 5 sont des dispositions plus précises concernant l’offre d’option de remplacement. En cas d’expropriation, elles sont applicables et non contraires aux textes malgaches.</w:t>
            </w:r>
          </w:p>
          <w:p w14:paraId="637725D7" w14:textId="77777777" w:rsidR="00E67F89" w:rsidRPr="00E67F89" w:rsidRDefault="00E67F89" w:rsidP="00E67F89"/>
          <w:p w14:paraId="6CF3930D" w14:textId="77777777" w:rsidR="00E67F89" w:rsidRPr="00E67F89" w:rsidRDefault="00E67F89" w:rsidP="00E67F89">
            <w:r w:rsidRPr="00E67F89">
              <w:t>Le cadre national ne prévoit aucune aide ou option pour les occupants sans titre ou irréguliers. Il s’agit d’un plus apporté par la NES 5, qui n’est pas contraire aux textes malgaches.</w:t>
            </w:r>
          </w:p>
        </w:tc>
      </w:tr>
      <w:tr w:rsidR="00E67F89" w:rsidRPr="00E67F89" w14:paraId="5944E7F3" w14:textId="77777777" w:rsidTr="00223F64">
        <w:tc>
          <w:tcPr>
            <w:tcW w:w="0" w:type="auto"/>
          </w:tcPr>
          <w:p w14:paraId="3263F573" w14:textId="77777777" w:rsidR="00E67F89" w:rsidRPr="00E67F89" w:rsidRDefault="00E67F89" w:rsidP="00E67F89">
            <w:r w:rsidRPr="00E67F89">
              <w:lastRenderedPageBreak/>
              <w:t>Conditions de prise de possession des terres et des actifs</w:t>
            </w:r>
          </w:p>
        </w:tc>
        <w:tc>
          <w:tcPr>
            <w:tcW w:w="0" w:type="auto"/>
          </w:tcPr>
          <w:p w14:paraId="3FCC15CB" w14:textId="77777777" w:rsidR="00E67F89" w:rsidRPr="00E67F89" w:rsidRDefault="00E67F89" w:rsidP="00E67F89">
            <w:r w:rsidRPr="00E67F89">
              <w:t>15</w:t>
            </w:r>
          </w:p>
        </w:tc>
        <w:tc>
          <w:tcPr>
            <w:tcW w:w="0" w:type="auto"/>
          </w:tcPr>
          <w:p w14:paraId="136CDE7F" w14:textId="77777777" w:rsidR="00E67F89" w:rsidRPr="00E67F89" w:rsidRDefault="00E67F89" w:rsidP="00E67F89">
            <w:r w:rsidRPr="00E67F89">
              <w:t>Prise de possession des terres et des actifs :</w:t>
            </w:r>
          </w:p>
          <w:p w14:paraId="52A06821" w14:textId="77777777" w:rsidR="00E67F89" w:rsidRPr="00E67F89" w:rsidRDefault="00E67F89" w:rsidP="00E67F89">
            <w:r w:rsidRPr="00E67F89">
              <w:t>après versement des indemnisations</w:t>
            </w:r>
          </w:p>
          <w:p w14:paraId="6EC7AA74" w14:textId="77777777" w:rsidR="00E67F89" w:rsidRPr="00E67F89" w:rsidRDefault="00E67F89" w:rsidP="00E67F89">
            <w:r w:rsidRPr="00E67F89">
              <w:t>après réinstallations</w:t>
            </w:r>
          </w:p>
          <w:p w14:paraId="7CE316A1" w14:textId="77777777" w:rsidR="00E67F89" w:rsidRPr="00E67F89" w:rsidRDefault="00E67F89" w:rsidP="00E67F89">
            <w:r w:rsidRPr="00E67F89">
              <w:t>après fourniture des indemnités de déplacement</w:t>
            </w:r>
          </w:p>
        </w:tc>
        <w:tc>
          <w:tcPr>
            <w:tcW w:w="0" w:type="auto"/>
          </w:tcPr>
          <w:p w14:paraId="2EE80D4F" w14:textId="77777777" w:rsidR="00E67F89" w:rsidRPr="00D42025" w:rsidRDefault="00E67F89" w:rsidP="00E67F89">
            <w:pPr>
              <w:rPr>
                <w:lang w:val="en-US"/>
              </w:rPr>
            </w:pPr>
            <w:r w:rsidRPr="00D42025">
              <w:rPr>
                <w:lang w:val="en-US"/>
              </w:rPr>
              <w:t>Art. 14 Constitution Art.11, 14al.3,</w:t>
            </w:r>
          </w:p>
          <w:p w14:paraId="17535C0E" w14:textId="77777777" w:rsidR="00E67F89" w:rsidRPr="00D42025" w:rsidRDefault="00E67F89" w:rsidP="00E67F89">
            <w:pPr>
              <w:rPr>
                <w:lang w:val="en-US"/>
              </w:rPr>
            </w:pPr>
            <w:r w:rsidRPr="00D42025">
              <w:rPr>
                <w:lang w:val="en-US"/>
              </w:rPr>
              <w:t>15, 18, 19 Ord. n°62-023.</w:t>
            </w:r>
          </w:p>
          <w:p w14:paraId="73FF3C15" w14:textId="77777777" w:rsidR="00E67F89" w:rsidRPr="002F0AD5" w:rsidRDefault="00E67F89" w:rsidP="00E67F89">
            <w:pPr>
              <w:rPr>
                <w:lang w:val="nl-NL"/>
              </w:rPr>
            </w:pPr>
            <w:r w:rsidRPr="002F0AD5">
              <w:rPr>
                <w:lang w:val="nl-NL"/>
              </w:rPr>
              <w:t>Art.44 al.2, 49 al .1 Ord. n°62- 023</w:t>
            </w:r>
          </w:p>
        </w:tc>
        <w:tc>
          <w:tcPr>
            <w:tcW w:w="0" w:type="auto"/>
          </w:tcPr>
          <w:p w14:paraId="21B0D7E9" w14:textId="77777777" w:rsidR="00E67F89" w:rsidRPr="00E67F89" w:rsidRDefault="00E67F89" w:rsidP="00E67F89">
            <w:r w:rsidRPr="00E67F89">
              <w:t>Indemnité juste et préalable. (Préalable en cas d’acceptation à l’amiable)</w:t>
            </w:r>
          </w:p>
          <w:p w14:paraId="1857B6E0" w14:textId="77777777" w:rsidR="00E67F89" w:rsidRPr="00E67F89" w:rsidRDefault="00E67F89" w:rsidP="00E67F89">
            <w:r w:rsidRPr="00E67F89">
              <w:t>Le montant de l’indemnité est consigné au Trésor dès l’approbation de l’évaluation par le Ministre chargé des finances.</w:t>
            </w:r>
          </w:p>
          <w:p w14:paraId="780F6FCF" w14:textId="77777777" w:rsidR="00E67F89" w:rsidRPr="00E67F89" w:rsidRDefault="00E67F89" w:rsidP="00E67F89">
            <w:r w:rsidRPr="00E67F89">
              <w:t>L’ordonnance d’expropriation est assortie de l’envoi en possession immédiate des propriétés au profit de l’expropriant [après constatation de la régularité de la procédure i.e. du processus d’enquête administrative, du décret de déclaration, de l’arrêté de cessibilité, de la procédure d’évaluation, de l’approbation par le Ministre chargé des finances].</w:t>
            </w:r>
          </w:p>
          <w:p w14:paraId="0341607F" w14:textId="77777777" w:rsidR="00E67F89" w:rsidRPr="00E67F89" w:rsidRDefault="00E67F89" w:rsidP="00E67F89">
            <w:r w:rsidRPr="00E67F89">
              <w:t xml:space="preserve">Le mandatement de l’indemnité se fait après l’acte </w:t>
            </w:r>
            <w:r w:rsidRPr="00E67F89">
              <w:lastRenderedPageBreak/>
              <w:t xml:space="preserve">amiable ou l’acceptation du jugement. (Art.44 al.2). </w:t>
            </w:r>
          </w:p>
          <w:p w14:paraId="7E1FAB32" w14:textId="77777777" w:rsidR="00E67F89" w:rsidRPr="00E67F89" w:rsidRDefault="00E67F89" w:rsidP="00E67F89">
            <w:r w:rsidRPr="00E67F89">
              <w:t>[L’inscription au livre foncier (art.18, 19) transforme le droit de propriété de l’exproprié en une créance d’indemnité. Elle purge d’office l’immeuble de tous les droits réels inscrits. (Art.49)]</w:t>
            </w:r>
          </w:p>
        </w:tc>
        <w:tc>
          <w:tcPr>
            <w:tcW w:w="0" w:type="auto"/>
          </w:tcPr>
          <w:p w14:paraId="1FF78CD0" w14:textId="77777777" w:rsidR="00E67F89" w:rsidRPr="00E67F89" w:rsidRDefault="00E67F89" w:rsidP="00E67F89">
            <w:r w:rsidRPr="00E67F89">
              <w:lastRenderedPageBreak/>
              <w:t xml:space="preserve">La prise de possession est possible dès la publication de l’ordonnance d’expropriation alors que l’exproprié n’a pas encore encaissé l’indemnité. Les exigences de la NES 5 sont des dispositions plus précises et plus en conformité avec le principe de la préalable indemnité reconnue par la Constitution. Elles sont applicables et non contraires aux textes malgaches. </w:t>
            </w:r>
          </w:p>
          <w:p w14:paraId="76E1C47A" w14:textId="77777777" w:rsidR="00E67F89" w:rsidRPr="00E67F89" w:rsidRDefault="00E67F89" w:rsidP="00E67F89">
            <w:r w:rsidRPr="00E67F89">
              <w:t>Dans ce cas, la prise de possession peut être considérée comme retardée volontairement ou conventionnellement par l’expropriant.</w:t>
            </w:r>
          </w:p>
          <w:p w14:paraId="4E3B7002" w14:textId="77777777" w:rsidR="00E67F89" w:rsidRPr="00E67F89" w:rsidRDefault="00E67F89" w:rsidP="00E67F89"/>
        </w:tc>
      </w:tr>
      <w:tr w:rsidR="00E67F89" w:rsidRPr="00E67F89" w14:paraId="66459EEA" w14:textId="77777777" w:rsidTr="00223F64">
        <w:tc>
          <w:tcPr>
            <w:tcW w:w="0" w:type="auto"/>
          </w:tcPr>
          <w:p w14:paraId="43832C58" w14:textId="77777777" w:rsidR="00E67F89" w:rsidRPr="00E67F89" w:rsidRDefault="00E67F89" w:rsidP="00E67F89">
            <w:r w:rsidRPr="00E67F89">
              <w:t>Accompagnement des PAPs - Mise en œuvre</w:t>
            </w:r>
            <w:r w:rsidRPr="00E67F89">
              <w:tab/>
              <w:t>des programmes de restauration et d’amélioration des moyens</w:t>
            </w:r>
            <w:r w:rsidRPr="00E67F89">
              <w:tab/>
              <w:t>de subsistance</w:t>
            </w:r>
          </w:p>
        </w:tc>
        <w:tc>
          <w:tcPr>
            <w:tcW w:w="0" w:type="auto"/>
          </w:tcPr>
          <w:p w14:paraId="1A49085C" w14:textId="77777777" w:rsidR="00E67F89" w:rsidRPr="00E67F89" w:rsidRDefault="00E67F89" w:rsidP="00E67F89"/>
        </w:tc>
        <w:tc>
          <w:tcPr>
            <w:tcW w:w="0" w:type="auto"/>
          </w:tcPr>
          <w:p w14:paraId="7ED26378" w14:textId="77777777" w:rsidR="00E67F89" w:rsidRPr="00E67F89" w:rsidRDefault="00E67F89" w:rsidP="00E67F89">
            <w:r w:rsidRPr="00E67F89">
              <w:t xml:space="preserve">Développement d’un programme d’amélioration des moyens de subsistance pour les déplacés économiques. </w:t>
            </w:r>
          </w:p>
          <w:p w14:paraId="683EFFAE" w14:textId="77777777" w:rsidR="00E67F89" w:rsidRPr="00E67F89" w:rsidRDefault="00E67F89" w:rsidP="00E67F89">
            <w:r w:rsidRPr="00E67F89">
              <w:t>Début de la mise en œuvre en temps opportun des programmes de restauration et d’amélioration des moyens de subsistance [suffisamment préparés pour pouvoir profiter des opportunités de subsistance alternatives selon les besoins]</w:t>
            </w:r>
          </w:p>
        </w:tc>
        <w:tc>
          <w:tcPr>
            <w:tcW w:w="0" w:type="auto"/>
          </w:tcPr>
          <w:p w14:paraId="53E3B79C" w14:textId="77777777" w:rsidR="00E67F89" w:rsidRPr="00E67F89" w:rsidRDefault="00E67F89" w:rsidP="00E67F89">
            <w:r w:rsidRPr="00E67F89">
              <w:t>N/P14</w:t>
            </w:r>
          </w:p>
        </w:tc>
        <w:tc>
          <w:tcPr>
            <w:tcW w:w="0" w:type="auto"/>
          </w:tcPr>
          <w:p w14:paraId="6207D01C" w14:textId="77777777" w:rsidR="00E67F89" w:rsidRPr="00E67F89" w:rsidRDefault="00E67F89" w:rsidP="00E67F89">
            <w:r w:rsidRPr="00E67F89">
              <w:t>Le cadre national ne prévoit pas ces points.</w:t>
            </w:r>
          </w:p>
        </w:tc>
        <w:tc>
          <w:tcPr>
            <w:tcW w:w="0" w:type="auto"/>
          </w:tcPr>
          <w:p w14:paraId="60C7A659" w14:textId="77777777" w:rsidR="00E67F89" w:rsidRPr="00E67F89" w:rsidRDefault="00E67F89" w:rsidP="00E67F89">
            <w:r w:rsidRPr="00E67F89">
              <w:t>Les exigences de la NES 5 sont des dispositions plus précises. Elles sont applicables et non contraires aux textes malgaches.</w:t>
            </w:r>
          </w:p>
        </w:tc>
      </w:tr>
      <w:tr w:rsidR="00E67F89" w:rsidRPr="00E67F89" w14:paraId="26F7F565" w14:textId="77777777" w:rsidTr="00223F64">
        <w:tc>
          <w:tcPr>
            <w:tcW w:w="0" w:type="auto"/>
          </w:tcPr>
          <w:p w14:paraId="17EE5725" w14:textId="77777777" w:rsidR="00E67F89" w:rsidRPr="00E67F89" w:rsidRDefault="00E67F89" w:rsidP="00E67F89">
            <w:r w:rsidRPr="00E67F89">
              <w:t>Résolution des difficultés liées à l’indemnisation</w:t>
            </w:r>
          </w:p>
        </w:tc>
        <w:tc>
          <w:tcPr>
            <w:tcW w:w="0" w:type="auto"/>
          </w:tcPr>
          <w:p w14:paraId="2D91DBA4" w14:textId="77777777" w:rsidR="00E67F89" w:rsidRPr="00E67F89" w:rsidRDefault="00E67F89" w:rsidP="00E67F89">
            <w:r w:rsidRPr="00E67F89">
              <w:t>16</w:t>
            </w:r>
          </w:p>
        </w:tc>
        <w:tc>
          <w:tcPr>
            <w:tcW w:w="0" w:type="auto"/>
          </w:tcPr>
          <w:p w14:paraId="4FA3FB11" w14:textId="77777777" w:rsidR="00E67F89" w:rsidRPr="00E67F89" w:rsidRDefault="00E67F89" w:rsidP="00E67F89">
            <w:r w:rsidRPr="00E67F89">
              <w:t xml:space="preserve">Déploiement de tous les efforts raisonnables pour résoudre les </w:t>
            </w:r>
            <w:r w:rsidRPr="00E67F89">
              <w:lastRenderedPageBreak/>
              <w:t>difficultés importantes liées à l’indemnisation :</w:t>
            </w:r>
          </w:p>
          <w:p w14:paraId="60E3A8DE" w14:textId="77777777" w:rsidR="00E67F89" w:rsidRPr="00E67F89" w:rsidRDefault="00E67F89" w:rsidP="00E67F89">
            <w:r w:rsidRPr="00E67F89">
              <w:t>- et à titre exceptionnel : fonds d’indemnisation (en plus d’un montant pour les urgences) sur compte séquestre [par exemple, lorsque des efforts répétés pour contacter les propriétaires absents ont échoué, lorsque les personnes affectées par le projet ont rejeté l’indemnisation qui leur a été proposée en conformité avec le plan approuvé, ou lorsque des plaintes concurrentes sur la propriété des terres ou des biens font l’objet de longs différends juridiques.]</w:t>
            </w:r>
          </w:p>
          <w:p w14:paraId="18D249DB" w14:textId="77777777" w:rsidR="00E67F89" w:rsidRPr="00E67F89" w:rsidRDefault="00E67F89" w:rsidP="00E67F89">
            <w:r w:rsidRPr="00E67F89">
              <w:t xml:space="preserve">À titre exceptionnel, avec l’accord préalable de la Banque et lorsque l’Emprunteur démontre que tous les efforts raisonnables pour résoudre ces questions ont été déployés, l’expropriant pourra déposer des fonds d’indemnisation, tel que requis par le plan (en plus d’un montant raisonnable pour les urgences) sur un </w:t>
            </w:r>
            <w:r w:rsidRPr="00E67F89">
              <w:lastRenderedPageBreak/>
              <w:t>compte séquestre ou sur tout autre compte de dépôt, et procéder aux activités pertinentes du projet. Toute indemnisation placée sous séquestre sera mise à la disposition des personnes éligibles en temps opportun dès que les problèmes seront résolus.</w:t>
            </w:r>
          </w:p>
        </w:tc>
        <w:tc>
          <w:tcPr>
            <w:tcW w:w="0" w:type="auto"/>
          </w:tcPr>
          <w:p w14:paraId="56681E0A" w14:textId="77777777" w:rsidR="00E67F89" w:rsidRPr="00E67F89" w:rsidRDefault="00E67F89" w:rsidP="00E67F89">
            <w:r w:rsidRPr="00E67F89">
              <w:lastRenderedPageBreak/>
              <w:t>Art.11, 39 Ord.</w:t>
            </w:r>
          </w:p>
          <w:p w14:paraId="73554A69" w14:textId="77777777" w:rsidR="00E67F89" w:rsidRPr="00E67F89" w:rsidRDefault="00E67F89" w:rsidP="00E67F89">
            <w:r w:rsidRPr="00E67F89">
              <w:t>62-023.</w:t>
            </w:r>
          </w:p>
        </w:tc>
        <w:tc>
          <w:tcPr>
            <w:tcW w:w="0" w:type="auto"/>
          </w:tcPr>
          <w:p w14:paraId="2A1483C0" w14:textId="77777777" w:rsidR="00E67F89" w:rsidRPr="00E67F89" w:rsidRDefault="00E67F89" w:rsidP="00E67F89">
            <w:r w:rsidRPr="00E67F89">
              <w:t xml:space="preserve">Les indemnités d’expropriation sont consignées au Trésor dès </w:t>
            </w:r>
            <w:r w:rsidRPr="00E67F89">
              <w:t>l’approbation de l’évaluation proposée par la commission.</w:t>
            </w:r>
          </w:p>
          <w:p w14:paraId="700F1BE9" w14:textId="77777777" w:rsidR="00E67F89" w:rsidRPr="00E67F89" w:rsidRDefault="00E67F89" w:rsidP="00E67F89">
            <w:r w:rsidRPr="00E67F89">
              <w:t>Il faut noter que « l’ordonnance d’expropriation est frappée de déchéance totale et considérée comme nulle et non avenue à l’égard des deux parties en cause » au cas où ni les parties expropriées connues mais n’ayant pas manifesté leur acceptation de l’indemnité proposée ou inconnues ni l’expropriant n’ont pas engagé une action régulière (auprès du tribunal) de fixation de l’indemnité dans un délai de deux (2) ans à compter de l’insertion au Journal officiel de l’ordonnance d’expropriation.</w:t>
            </w:r>
          </w:p>
        </w:tc>
        <w:tc>
          <w:tcPr>
            <w:tcW w:w="0" w:type="auto"/>
          </w:tcPr>
          <w:p w14:paraId="0EAEBE92" w14:textId="77777777" w:rsidR="00E67F89" w:rsidRPr="00E67F89" w:rsidRDefault="00E67F89" w:rsidP="00E67F89">
            <w:r w:rsidRPr="00E67F89">
              <w:lastRenderedPageBreak/>
              <w:t xml:space="preserve">La consignation au Trésor est obligatoire pour les indemnités </w:t>
            </w:r>
            <w:r w:rsidRPr="00E67F89">
              <w:lastRenderedPageBreak/>
              <w:t>approuvées au début du processus d’expropriation.</w:t>
            </w:r>
          </w:p>
          <w:p w14:paraId="60D1A381" w14:textId="77777777" w:rsidR="00E67F89" w:rsidRPr="00E67F89" w:rsidRDefault="00E67F89" w:rsidP="00E67F89"/>
          <w:p w14:paraId="657A7C1B" w14:textId="77777777" w:rsidR="00E67F89" w:rsidRPr="00E67F89" w:rsidRDefault="00E67F89" w:rsidP="00E67F89">
            <w:r w:rsidRPr="00E67F89">
              <w:t>Les exigences de la NES 5 peuvent compléter les prescriptions des textes malagasy s’il y a de suppléments d’indemnisation convenus ou admis par le projet. Elles sont applicables et non contraires aux textes malgaches.</w:t>
            </w:r>
          </w:p>
        </w:tc>
      </w:tr>
      <w:tr w:rsidR="00E67F89" w:rsidRPr="00E67F89" w14:paraId="0E8384BF" w14:textId="77777777" w:rsidTr="00223F64">
        <w:tc>
          <w:tcPr>
            <w:tcW w:w="0" w:type="auto"/>
            <w:gridSpan w:val="6"/>
          </w:tcPr>
          <w:p w14:paraId="118DF883" w14:textId="77777777" w:rsidR="00E67F89" w:rsidRPr="00E67F89" w:rsidRDefault="00E67F89" w:rsidP="00E67F89">
            <w:r w:rsidRPr="00E67F89">
              <w:lastRenderedPageBreak/>
              <w:t xml:space="preserve">Participation des communautés </w:t>
            </w:r>
          </w:p>
        </w:tc>
      </w:tr>
      <w:tr w:rsidR="00E67F89" w:rsidRPr="00E67F89" w14:paraId="334A2B3D" w14:textId="77777777" w:rsidTr="00223F64">
        <w:tc>
          <w:tcPr>
            <w:tcW w:w="0" w:type="auto"/>
          </w:tcPr>
          <w:p w14:paraId="66884DFB" w14:textId="77777777" w:rsidR="00E67F89" w:rsidRPr="00E67F89" w:rsidRDefault="00E67F89" w:rsidP="00E67F89">
            <w:r w:rsidRPr="00E67F89">
              <w:t>Modalités de</w:t>
            </w:r>
          </w:p>
          <w:p w14:paraId="162471AD" w14:textId="77777777" w:rsidR="00E67F89" w:rsidRPr="00E67F89" w:rsidRDefault="00E67F89" w:rsidP="00E67F89">
            <w:r w:rsidRPr="00E67F89">
              <w:t>processus de décision, accès à l’information</w:t>
            </w:r>
          </w:p>
        </w:tc>
        <w:tc>
          <w:tcPr>
            <w:tcW w:w="0" w:type="auto"/>
          </w:tcPr>
          <w:p w14:paraId="0F29A502" w14:textId="77777777" w:rsidR="00E67F89" w:rsidRPr="00E67F89" w:rsidRDefault="00E67F89" w:rsidP="00E67F89">
            <w:r w:rsidRPr="00E67F89">
              <w:t>17</w:t>
            </w:r>
          </w:p>
        </w:tc>
        <w:tc>
          <w:tcPr>
            <w:tcW w:w="0" w:type="auto"/>
          </w:tcPr>
          <w:p w14:paraId="4BAC092E" w14:textId="77777777" w:rsidR="00E67F89" w:rsidRPr="00E67F89" w:rsidRDefault="00E67F89" w:rsidP="00E67F89">
            <w:r w:rsidRPr="00E67F89">
              <w:t>Interaction avec les communautés affectées, les communautés hôtes par la mobilisation des parties prenantes (cf. NES 10).</w:t>
            </w:r>
          </w:p>
          <w:p w14:paraId="21E9002E" w14:textId="77777777" w:rsidR="00E67F89" w:rsidRPr="00E67F89" w:rsidRDefault="00E67F89" w:rsidP="00E67F89">
            <w:r w:rsidRPr="00E67F89">
              <w:t>- Processus de décisions relatifs à la réinstallation et à la restauration des moyens de subsistance : inclure des options et des alternatives que les personnes affectées pourront choisir.</w:t>
            </w:r>
          </w:p>
          <w:p w14:paraId="02B8AFB8" w14:textId="77777777" w:rsidR="00E67F89" w:rsidRPr="00E67F89" w:rsidRDefault="00E67F89" w:rsidP="00E67F89">
            <w:r w:rsidRPr="00E67F89">
              <w:t xml:space="preserve">L’accès à l’information pertinente et la participation significative des personnes et des communautés affectées se poursuivront :pendant l’examen de solutions alternatives à </w:t>
            </w:r>
            <w:r w:rsidRPr="00E67F89">
              <w:lastRenderedPageBreak/>
              <w:t>la conception du projet énoncées au paragraphe 11, puis</w:t>
            </w:r>
          </w:p>
          <w:p w14:paraId="0239D281" w14:textId="77777777" w:rsidR="00E67F89" w:rsidRPr="00E67F89" w:rsidRDefault="00E67F89" w:rsidP="00E67F89">
            <w:r w:rsidRPr="00E67F89">
              <w:t>tout au long de la planification, de la mise en œuvre, du suivi et de l’évaluation du processus d’indemnisation, des activités de restauration des moyens d’existence et du processus de réinstallation.</w:t>
            </w:r>
          </w:p>
        </w:tc>
        <w:tc>
          <w:tcPr>
            <w:tcW w:w="0" w:type="auto"/>
          </w:tcPr>
          <w:p w14:paraId="7F4D5C3A" w14:textId="77777777" w:rsidR="00E67F89" w:rsidRPr="00E67F89" w:rsidRDefault="00E67F89" w:rsidP="00E67F89">
            <w:r w:rsidRPr="00E67F89">
              <w:lastRenderedPageBreak/>
              <w:t>Art.7, 14 Loi n°2015-003</w:t>
            </w:r>
          </w:p>
          <w:p w14:paraId="55D82B34" w14:textId="77777777" w:rsidR="00E67F89" w:rsidRPr="00E67F89" w:rsidRDefault="00E67F89" w:rsidP="00E67F89">
            <w:r w:rsidRPr="00E67F89">
              <w:t>Annexe 7 Guide EIS.</w:t>
            </w:r>
          </w:p>
        </w:tc>
        <w:tc>
          <w:tcPr>
            <w:tcW w:w="0" w:type="auto"/>
          </w:tcPr>
          <w:p w14:paraId="60FE521D" w14:textId="77777777" w:rsidR="00E67F89" w:rsidRPr="00E67F89" w:rsidRDefault="00E67F89" w:rsidP="00E67F89">
            <w:r w:rsidRPr="00E67F89">
              <w:t>Le principe de l’accès à l’information environnementale et de la participation du public est consacré par la Charte environnementale. Il s’applique à toutes les parties prenantes dont les communautés affectées.</w:t>
            </w:r>
          </w:p>
          <w:p w14:paraId="17A115C7" w14:textId="77777777" w:rsidR="00E67F89" w:rsidRPr="00E67F89" w:rsidRDefault="00E67F89" w:rsidP="00E67F89"/>
          <w:p w14:paraId="19CD34B5" w14:textId="77777777" w:rsidR="00E67F89" w:rsidRPr="00E67F89" w:rsidRDefault="00E67F89" w:rsidP="00E67F89">
            <w:r w:rsidRPr="00E67F89">
              <w:t xml:space="preserve">Lors de l’EIES, le promoteur est tenu de respecter l’accès à l’information pertinente, la consultation et la participation à la planification, la mise en </w:t>
            </w:r>
            <w:r w:rsidRPr="00E67F89">
              <w:lastRenderedPageBreak/>
              <w:t>œuvre et le suivi de réinstallation, des personnes déplacées et leurs communautés ainsi que des communautés hôtes.</w:t>
            </w:r>
          </w:p>
        </w:tc>
        <w:tc>
          <w:tcPr>
            <w:tcW w:w="0" w:type="auto"/>
          </w:tcPr>
          <w:p w14:paraId="706BCD2E" w14:textId="77777777" w:rsidR="00E67F89" w:rsidRPr="00E67F89" w:rsidRDefault="00E67F89" w:rsidP="00E67F89">
            <w:r w:rsidRPr="00E67F89">
              <w:lastRenderedPageBreak/>
              <w:t>Les exigences de la NES 5 sont des dispositions plus précises en ce qui concerne les modalités de processus, de décision et d’accès à l’information des communautés.</w:t>
            </w:r>
          </w:p>
          <w:p w14:paraId="72AB5E36" w14:textId="77777777" w:rsidR="00E67F89" w:rsidRPr="00E67F89" w:rsidRDefault="00E67F89" w:rsidP="00E67F89">
            <w:r w:rsidRPr="00E67F89">
              <w:t>Elles sont applicables et non contraires au cadre national.</w:t>
            </w:r>
          </w:p>
        </w:tc>
      </w:tr>
      <w:tr w:rsidR="00E67F89" w:rsidRPr="00E67F89" w14:paraId="5F05075E" w14:textId="77777777" w:rsidTr="00223F64">
        <w:tc>
          <w:tcPr>
            <w:tcW w:w="0" w:type="auto"/>
          </w:tcPr>
          <w:p w14:paraId="3F69931C" w14:textId="77777777" w:rsidR="00E67F89" w:rsidRPr="00E67F89" w:rsidRDefault="00E67F89" w:rsidP="00E67F89">
            <w:r w:rsidRPr="00E67F89">
              <w:t>Participation des femmes au processus de consultation</w:t>
            </w:r>
          </w:p>
        </w:tc>
        <w:tc>
          <w:tcPr>
            <w:tcW w:w="0" w:type="auto"/>
          </w:tcPr>
          <w:p w14:paraId="503D6BBE" w14:textId="77777777" w:rsidR="00E67F89" w:rsidRPr="00E67F89" w:rsidRDefault="00E67F89" w:rsidP="00E67F89">
            <w:r w:rsidRPr="00E67F89">
              <w:t>18</w:t>
            </w:r>
          </w:p>
        </w:tc>
        <w:tc>
          <w:tcPr>
            <w:tcW w:w="0" w:type="auto"/>
          </w:tcPr>
          <w:p w14:paraId="5F5B384E" w14:textId="77777777" w:rsidR="00E67F89" w:rsidRPr="00E67F89" w:rsidRDefault="00E67F89" w:rsidP="00E67F89">
            <w:r w:rsidRPr="00E67F89">
              <w:t>Processus de consultation : permettre aux femmes de faire connaître leurs points de vue et de garantir la prise en compte de leurs intérêts dans tous les aspects de la planification et de l’exécution de la réinstallation.</w:t>
            </w:r>
          </w:p>
          <w:p w14:paraId="498BF1D6" w14:textId="77777777" w:rsidR="00E67F89" w:rsidRPr="00E67F89" w:rsidRDefault="00E67F89" w:rsidP="00E67F89">
            <w:r w:rsidRPr="00E67F89">
              <w:t>Evaluation des impacts sur les conditions de vie : nécessite une analyse au sein des ménages, si ces impacts ne sont pas les mêmes pour les femmes et les hommes.</w:t>
            </w:r>
          </w:p>
          <w:p w14:paraId="18C96EFE" w14:textId="77777777" w:rsidR="00E67F89" w:rsidRPr="00E67F89" w:rsidRDefault="00E67F89" w:rsidP="00E67F89">
            <w:r w:rsidRPr="00E67F89">
              <w:t xml:space="preserve">-Examine les préférences des hommes et des femmes, du point de vue des mécanismes d’indemnisation [comme par exemple la terre de remplacement ou l’accès alternatif à </w:t>
            </w:r>
            <w:r w:rsidRPr="00E67F89">
              <w:lastRenderedPageBreak/>
              <w:t>des ressources naturelles plutôt qu’à une indemnisation en espèces]</w:t>
            </w:r>
          </w:p>
        </w:tc>
        <w:tc>
          <w:tcPr>
            <w:tcW w:w="0" w:type="auto"/>
          </w:tcPr>
          <w:p w14:paraId="02B3CE5C" w14:textId="77777777" w:rsidR="00E67F89" w:rsidRPr="00E67F89" w:rsidRDefault="00E67F89" w:rsidP="00E67F89">
            <w:r w:rsidRPr="00E67F89">
              <w:lastRenderedPageBreak/>
              <w:t>Introduction, 15.3 Guide EIS.</w:t>
            </w:r>
          </w:p>
        </w:tc>
        <w:tc>
          <w:tcPr>
            <w:tcW w:w="0" w:type="auto"/>
          </w:tcPr>
          <w:p w14:paraId="470048DB" w14:textId="77777777" w:rsidR="00E67F89" w:rsidRPr="00E67F89" w:rsidRDefault="00E67F89" w:rsidP="00E67F89">
            <w:r w:rsidRPr="00E67F89">
              <w:t>L’approche genre est introduite dans toutes les étapes de l’EIS et notamment lors du processus de consultation en veillant à l’existence d’échantillonnages représentatifs des femmes.</w:t>
            </w:r>
          </w:p>
        </w:tc>
        <w:tc>
          <w:tcPr>
            <w:tcW w:w="0" w:type="auto"/>
          </w:tcPr>
          <w:p w14:paraId="70F7E48E" w14:textId="77777777" w:rsidR="00E67F89" w:rsidRPr="00E67F89" w:rsidRDefault="00E67F89" w:rsidP="00E67F89">
            <w:r w:rsidRPr="00E67F89">
              <w:t>Les exigences de la NES 5 sont des dispositions plus précises.</w:t>
            </w:r>
          </w:p>
          <w:p w14:paraId="71081B1C" w14:textId="77777777" w:rsidR="00E67F89" w:rsidRPr="00E67F89" w:rsidRDefault="00E67F89" w:rsidP="00E67F89">
            <w:r w:rsidRPr="00E67F89">
              <w:t>Elles sont applicables et non contraires aux textes malgaches.</w:t>
            </w:r>
          </w:p>
        </w:tc>
      </w:tr>
      <w:tr w:rsidR="00E67F89" w:rsidRPr="00E67F89" w14:paraId="7F6A785E" w14:textId="77777777" w:rsidTr="00223F64">
        <w:tc>
          <w:tcPr>
            <w:tcW w:w="0" w:type="auto"/>
            <w:gridSpan w:val="6"/>
          </w:tcPr>
          <w:p w14:paraId="5EF88746" w14:textId="77777777" w:rsidR="00E67F89" w:rsidRPr="00E67F89" w:rsidRDefault="00E67F89" w:rsidP="00E67F89">
            <w:r w:rsidRPr="00E67F89">
              <w:t xml:space="preserve">Mécanisme de gestion des plaintes </w:t>
            </w:r>
          </w:p>
        </w:tc>
      </w:tr>
      <w:tr w:rsidR="00E67F89" w:rsidRPr="00E67F89" w14:paraId="306AA392" w14:textId="77777777" w:rsidTr="00223F64">
        <w:tc>
          <w:tcPr>
            <w:tcW w:w="0" w:type="auto"/>
          </w:tcPr>
          <w:p w14:paraId="3298BC97" w14:textId="77777777" w:rsidR="00E67F89" w:rsidRPr="00E67F89" w:rsidRDefault="00E67F89" w:rsidP="00E67F89">
            <w:r w:rsidRPr="00E67F89">
              <w:t>Mise en place d’un mécanisme de gestion des plaintes</w:t>
            </w:r>
          </w:p>
        </w:tc>
        <w:tc>
          <w:tcPr>
            <w:tcW w:w="0" w:type="auto"/>
          </w:tcPr>
          <w:p w14:paraId="2887ABDF" w14:textId="77777777" w:rsidR="00E67F89" w:rsidRPr="00E67F89" w:rsidRDefault="00E67F89" w:rsidP="00E67F89">
            <w:r w:rsidRPr="00E67F89">
              <w:t>19</w:t>
            </w:r>
          </w:p>
        </w:tc>
        <w:tc>
          <w:tcPr>
            <w:tcW w:w="0" w:type="auto"/>
          </w:tcPr>
          <w:p w14:paraId="77D95AA2" w14:textId="77777777" w:rsidR="00E67F89" w:rsidRPr="00E67F89" w:rsidRDefault="00E67F89" w:rsidP="00E67F89">
            <w:r w:rsidRPr="00E67F89">
              <w:t>Mise en place d'un mécanisme de gestion des plaintes conformément à la NES 10 : dès que possible pendant la phase de préparation du projet pour traiter en temps opportun les préoccupations précises liées à l’indemnisation, la réinstallation ou la restauration des moyens de subsistance soulevées par les personnes déplacées (ou d’autres).</w:t>
            </w:r>
          </w:p>
          <w:p w14:paraId="6876E3C6" w14:textId="77777777" w:rsidR="00E67F89" w:rsidRPr="00E67F89" w:rsidRDefault="00E67F89" w:rsidP="00E67F89">
            <w:r w:rsidRPr="00E67F89">
              <w:t>Dans la mesure du possible, ces mécanismes de gestion des plaintes :</w:t>
            </w:r>
          </w:p>
          <w:p w14:paraId="340D0490" w14:textId="77777777" w:rsidR="00E67F89" w:rsidRPr="00E67F89" w:rsidRDefault="00E67F89" w:rsidP="00E67F89">
            <w:r w:rsidRPr="00E67F89">
              <w:t>utiliser ont les systèmes existants de gestion des plaintes formels ou informels appropriés aux fins du projet,</w:t>
            </w:r>
          </w:p>
          <w:p w14:paraId="7274D5C9" w14:textId="77777777" w:rsidR="00E67F89" w:rsidRPr="00E67F89" w:rsidRDefault="00E67F89" w:rsidP="00E67F89">
            <w:r w:rsidRPr="00E67F89">
              <w:t>complétés au besoin par les dispositions spécifiques du projet établies pour la résolution</w:t>
            </w:r>
          </w:p>
          <w:p w14:paraId="073A792F" w14:textId="77777777" w:rsidR="00E67F89" w:rsidRPr="00E67F89" w:rsidRDefault="00E67F89" w:rsidP="00E67F89">
            <w:r w:rsidRPr="00E67F89">
              <w:lastRenderedPageBreak/>
              <w:t>impartiale des litiges.</w:t>
            </w:r>
          </w:p>
        </w:tc>
        <w:tc>
          <w:tcPr>
            <w:tcW w:w="0" w:type="auto"/>
          </w:tcPr>
          <w:p w14:paraId="6947A89C" w14:textId="77777777" w:rsidR="00E67F89" w:rsidRPr="00E67F89" w:rsidRDefault="00E67F89" w:rsidP="00E67F89">
            <w:r w:rsidRPr="00E67F89">
              <w:lastRenderedPageBreak/>
              <w:t>Art.10, 23 Ord.62-023</w:t>
            </w:r>
          </w:p>
          <w:p w14:paraId="7D1C4CC6" w14:textId="77777777" w:rsidR="00E67F89" w:rsidRPr="00E67F89" w:rsidRDefault="00E67F89" w:rsidP="00E67F89">
            <w:r w:rsidRPr="00E67F89">
              <w:t>18.2, annexes 2 et 3 Guide EIS</w:t>
            </w:r>
          </w:p>
        </w:tc>
        <w:tc>
          <w:tcPr>
            <w:tcW w:w="0" w:type="auto"/>
          </w:tcPr>
          <w:p w14:paraId="41BA3B8B" w14:textId="77777777" w:rsidR="00E67F89" w:rsidRPr="00E67F89" w:rsidRDefault="00E67F89" w:rsidP="00E67F89">
            <w:r w:rsidRPr="00E67F89">
              <w:t>Aucune gestion des plaintes n’est prévue par le cadre national en dehors de la commission d’évaluation puis du tribunal.</w:t>
            </w:r>
          </w:p>
          <w:p w14:paraId="208B27D4" w14:textId="77777777" w:rsidR="00E67F89" w:rsidRPr="00E67F89" w:rsidRDefault="00E67F89" w:rsidP="00E67F89"/>
          <w:p w14:paraId="1583ABD0" w14:textId="77777777" w:rsidR="00E67F89" w:rsidRPr="00E67F89" w:rsidRDefault="00E67F89" w:rsidP="00E67F89">
            <w:r w:rsidRPr="00E67F89">
              <w:t>Lors de l’EIS, des modalités de prise en considération des plaintes doivent être mises en place dans le cadre du suivi du PGSP.</w:t>
            </w:r>
          </w:p>
        </w:tc>
        <w:tc>
          <w:tcPr>
            <w:tcW w:w="0" w:type="auto"/>
          </w:tcPr>
          <w:p w14:paraId="7762FC16" w14:textId="77777777" w:rsidR="00E67F89" w:rsidRPr="00E67F89" w:rsidRDefault="00E67F89" w:rsidP="00E67F89">
            <w:r w:rsidRPr="00E67F89">
              <w:t>La mise en place d’un recours au MARL (Modes alternatifs de règlement des litiges) est toujours une possibilité offerte par le cadre national. Les exigences de la NES 5 sont des dispositions complémentaires plus détaillées et précises quant à la conception des objectifs du mécanisme de gestion des plaintes.</w:t>
            </w:r>
          </w:p>
          <w:p w14:paraId="2B6DDAAB" w14:textId="77777777" w:rsidR="00E67F89" w:rsidRPr="00E67F89" w:rsidRDefault="00E67F89" w:rsidP="00E67F89">
            <w:r w:rsidRPr="00E67F89">
              <w:t>Elles sont applicables et non contraires aux textes malgaches.</w:t>
            </w:r>
          </w:p>
        </w:tc>
      </w:tr>
      <w:tr w:rsidR="00E67F89" w:rsidRPr="00E67F89" w14:paraId="7645DB44" w14:textId="77777777" w:rsidTr="00223F64">
        <w:tc>
          <w:tcPr>
            <w:tcW w:w="0" w:type="auto"/>
            <w:gridSpan w:val="6"/>
          </w:tcPr>
          <w:p w14:paraId="0611DC87" w14:textId="77777777" w:rsidR="00E67F89" w:rsidRPr="00E67F89" w:rsidRDefault="00E67F89" w:rsidP="00E67F89">
            <w:r w:rsidRPr="00E67F89">
              <w:t>Planification et mise en œuvre</w:t>
            </w:r>
          </w:p>
        </w:tc>
      </w:tr>
      <w:tr w:rsidR="00E67F89" w:rsidRPr="00E67F89" w14:paraId="5D927C9E" w14:textId="77777777" w:rsidTr="00223F64">
        <w:tc>
          <w:tcPr>
            <w:tcW w:w="0" w:type="auto"/>
          </w:tcPr>
          <w:p w14:paraId="70F9B0B1" w14:textId="77777777" w:rsidR="00E67F89" w:rsidRPr="00E67F89" w:rsidRDefault="00E67F89" w:rsidP="00E67F89">
            <w:r w:rsidRPr="00E67F89">
              <w:t>Recensement, inventaire, évaluation sociale pour l’identification des personnes affectées et les bénéficiaires des droits</w:t>
            </w:r>
          </w:p>
        </w:tc>
        <w:tc>
          <w:tcPr>
            <w:tcW w:w="0" w:type="auto"/>
          </w:tcPr>
          <w:p w14:paraId="35FC7335" w14:textId="77777777" w:rsidR="00E67F89" w:rsidRPr="00E67F89" w:rsidRDefault="00E67F89" w:rsidP="00E67F89">
            <w:r w:rsidRPr="00E67F89">
              <w:t>20 a)</w:t>
            </w:r>
          </w:p>
        </w:tc>
        <w:tc>
          <w:tcPr>
            <w:tcW w:w="0" w:type="auto"/>
          </w:tcPr>
          <w:p w14:paraId="30DC8A4D" w14:textId="77777777" w:rsidR="00E67F89" w:rsidRPr="00E67F89" w:rsidRDefault="00E67F89" w:rsidP="00E67F89">
            <w:r w:rsidRPr="00E67F89">
              <w:t>a) Lorsque l’acquisition des terres ou les restrictions sur l’utilisation des terres sont inévitables :</w:t>
            </w:r>
          </w:p>
          <w:p w14:paraId="17B281D8" w14:textId="77777777" w:rsidR="00E67F89" w:rsidRPr="00E67F89" w:rsidRDefault="00E67F89" w:rsidP="00E67F89">
            <w:r w:rsidRPr="00E67F89">
              <w:t>procéder à un recensement pour identifier les personnes qui seront affectées par le projet,</w:t>
            </w:r>
          </w:p>
          <w:p w14:paraId="362BF517" w14:textId="77777777" w:rsidR="00E67F89" w:rsidRPr="00E67F89" w:rsidRDefault="00E67F89" w:rsidP="00E67F89">
            <w:r w:rsidRPr="00E67F89">
              <w:t>établir un inventaire des terres et des actifs concernés dans le cadre de l’évaluation environnementale et sociale, afin d’identifier les personnes qui auront droit à une indemnisation et à une aide, et pour décourager les personnes, telles que les occupants opportunistes, qui ne sont pas admis à bénéficier de ces droits.</w:t>
            </w:r>
          </w:p>
          <w:p w14:paraId="4F6640FB" w14:textId="77777777" w:rsidR="00E67F89" w:rsidRPr="00E67F89" w:rsidRDefault="00E67F89" w:rsidP="00E67F89">
            <w:r w:rsidRPr="00E67F89">
              <w:t xml:space="preserve">L’évaluation sociale se penchera également sur les revendications des communautés ou des groupes qui, pour des raisons légitimes, sont susceptibles d’être absents de la zone du projet pendant la période de </w:t>
            </w:r>
            <w:r w:rsidRPr="00E67F89">
              <w:lastRenderedPageBreak/>
              <w:t>recensement, comme par exemple les exploitants de ressources saisonnières.</w:t>
            </w:r>
          </w:p>
        </w:tc>
        <w:tc>
          <w:tcPr>
            <w:tcW w:w="0" w:type="auto"/>
          </w:tcPr>
          <w:p w14:paraId="20D7BDEB" w14:textId="77777777" w:rsidR="00E67F89" w:rsidRPr="00D42025" w:rsidRDefault="00E67F89" w:rsidP="00E67F89">
            <w:pPr>
              <w:rPr>
                <w:lang w:val="en-US"/>
              </w:rPr>
            </w:pPr>
            <w:r w:rsidRPr="00D42025">
              <w:rPr>
                <w:lang w:val="en-US"/>
              </w:rPr>
              <w:lastRenderedPageBreak/>
              <w:t>Art. 4 Ord.62-</w:t>
            </w:r>
          </w:p>
          <w:p w14:paraId="0F9DA6F5" w14:textId="77777777" w:rsidR="00E67F89" w:rsidRPr="00D42025" w:rsidRDefault="00E67F89" w:rsidP="00E67F89">
            <w:pPr>
              <w:rPr>
                <w:lang w:val="en-US"/>
              </w:rPr>
            </w:pPr>
            <w:r w:rsidRPr="00D42025">
              <w:rPr>
                <w:lang w:val="en-US"/>
              </w:rPr>
              <w:t>023.</w:t>
            </w:r>
          </w:p>
          <w:p w14:paraId="2E1ABC87" w14:textId="77777777" w:rsidR="00E67F89" w:rsidRPr="00D42025" w:rsidRDefault="00E67F89" w:rsidP="00E67F89">
            <w:pPr>
              <w:rPr>
                <w:lang w:val="en-US"/>
              </w:rPr>
            </w:pPr>
            <w:r w:rsidRPr="00D42025">
              <w:rPr>
                <w:lang w:val="en-US"/>
              </w:rPr>
              <w:t>Art.3 Décret n°63-030.</w:t>
            </w:r>
          </w:p>
          <w:p w14:paraId="52BF515F" w14:textId="77777777" w:rsidR="00E67F89" w:rsidRPr="00E67F89" w:rsidRDefault="00E67F89" w:rsidP="00E67F89">
            <w:r w:rsidRPr="00E67F89">
              <w:t>15.2 Guide EIS.</w:t>
            </w:r>
          </w:p>
        </w:tc>
        <w:tc>
          <w:tcPr>
            <w:tcW w:w="0" w:type="auto"/>
          </w:tcPr>
          <w:p w14:paraId="10A18A8C" w14:textId="77777777" w:rsidR="00E67F89" w:rsidRPr="00E67F89" w:rsidRDefault="00E67F89" w:rsidP="00E67F89">
            <w:r w:rsidRPr="00E67F89">
              <w:t>Le recensement est effectué lors de l’enquête administrative, publique, parcellaire de commodo et incommodo ordonnée par arrêté.</w:t>
            </w:r>
          </w:p>
          <w:p w14:paraId="204CD8F4" w14:textId="77777777" w:rsidR="00E67F89" w:rsidRPr="00E67F89" w:rsidRDefault="00E67F89" w:rsidP="00E67F89"/>
          <w:p w14:paraId="3F2BD60B" w14:textId="77777777" w:rsidR="00E67F89" w:rsidRPr="00E67F89" w:rsidRDefault="00E67F89" w:rsidP="00E67F89">
            <w:r w:rsidRPr="00E67F89">
              <w:t>L’objet de cette enquête est de déterminer les parcelles intéressées par les futurs travaux, leurs propriétaires et toutes personnes susceptibles de prétendre à indemnisation à des titres divers et de susciter toutes observations que les intéressés jugent utiles de formuler.</w:t>
            </w:r>
          </w:p>
          <w:p w14:paraId="0FBF2FD4" w14:textId="77777777" w:rsidR="00E67F89" w:rsidRPr="00E67F89" w:rsidRDefault="00E67F89" w:rsidP="00E67F89"/>
          <w:p w14:paraId="349A8499" w14:textId="77777777" w:rsidR="00E67F89" w:rsidRPr="00E67F89" w:rsidRDefault="00E67F89" w:rsidP="00E67F89">
            <w:r w:rsidRPr="00E67F89">
              <w:t xml:space="preserve">Il est aussi prescrit au promoteur d’identifier les personnes concernées par les </w:t>
            </w:r>
            <w:r w:rsidRPr="00E67F89">
              <w:lastRenderedPageBreak/>
              <w:t>impacts du projet dans le cadre de l’EIS.</w:t>
            </w:r>
          </w:p>
        </w:tc>
        <w:tc>
          <w:tcPr>
            <w:tcW w:w="0" w:type="auto"/>
          </w:tcPr>
          <w:p w14:paraId="26DDBE58" w14:textId="77777777" w:rsidR="00E67F89" w:rsidRPr="00E67F89" w:rsidRDefault="00E67F89" w:rsidP="00E67F89">
            <w:r w:rsidRPr="00E67F89">
              <w:lastRenderedPageBreak/>
              <w:t xml:space="preserve">Les exigences de la NES 5 sont des dispositions plus précises et complémentaires aux prescriptions du cadre national. Elles sont applicables et non contraires aux textes malgaches. </w:t>
            </w:r>
          </w:p>
          <w:p w14:paraId="23DC0ADD" w14:textId="77777777" w:rsidR="00E67F89" w:rsidRPr="00E67F89" w:rsidRDefault="00E67F89" w:rsidP="00E67F89"/>
          <w:p w14:paraId="4B999268" w14:textId="77777777" w:rsidR="00E67F89" w:rsidRPr="00E67F89" w:rsidRDefault="00E67F89" w:rsidP="00E67F89">
            <w:r w:rsidRPr="00E67F89">
              <w:t>Complémentaires plus détaillées et précises quant à la conception des objectifs du mécanisme de gestion des plaintes. Elles sont applicables et non contraires aux textes malgaches.</w:t>
            </w:r>
          </w:p>
        </w:tc>
      </w:tr>
      <w:tr w:rsidR="00E67F89" w:rsidRPr="00E67F89" w14:paraId="2A3FF906" w14:textId="77777777" w:rsidTr="00223F64">
        <w:tc>
          <w:tcPr>
            <w:tcW w:w="0" w:type="auto"/>
          </w:tcPr>
          <w:p w14:paraId="57C39542" w14:textId="77777777" w:rsidR="00E67F89" w:rsidRPr="00E67F89" w:rsidRDefault="00E67F89" w:rsidP="00E67F89">
            <w:r w:rsidRPr="00E67F89">
              <w:t>Date limite</w:t>
            </w:r>
          </w:p>
          <w:p w14:paraId="0541F958" w14:textId="77777777" w:rsidR="00E67F89" w:rsidRPr="00E67F89" w:rsidRDefault="00E67F89" w:rsidP="00E67F89">
            <w:r w:rsidRPr="00E67F89">
              <w:t>d’éligibilité</w:t>
            </w:r>
          </w:p>
        </w:tc>
        <w:tc>
          <w:tcPr>
            <w:tcW w:w="0" w:type="auto"/>
          </w:tcPr>
          <w:p w14:paraId="4F075BD1" w14:textId="77777777" w:rsidR="00E67F89" w:rsidRPr="00E67F89" w:rsidRDefault="00E67F89" w:rsidP="00E67F89">
            <w:r w:rsidRPr="00E67F89">
              <w:t>20 b)</w:t>
            </w:r>
          </w:p>
        </w:tc>
        <w:tc>
          <w:tcPr>
            <w:tcW w:w="0" w:type="auto"/>
          </w:tcPr>
          <w:p w14:paraId="685A3944" w14:textId="77777777" w:rsidR="00E67F89" w:rsidRPr="00E67F89" w:rsidRDefault="00E67F89" w:rsidP="00E67F89">
            <w:r w:rsidRPr="00E67F89">
              <w:t>b) Parallèlement au recensement, fixer une date limite d’éligibilité : les informations relatives à la date limite seront bien documentées et diffusées dans toute la zone du projet à des intervalles réguliers, sous forme écrite et (le cas échéant) non écrite, et dans les langues locales pertinentes.</w:t>
            </w:r>
          </w:p>
          <w:p w14:paraId="6853C576" w14:textId="77777777" w:rsidR="00E67F89" w:rsidRPr="00E67F89" w:rsidRDefault="00E67F89" w:rsidP="00E67F89">
            <w:r w:rsidRPr="00E67F89">
              <w:t>Afficher des annonces informant que les personnes qui s’installeront dans la zone du projet après la date butoir seront susceptibles d’en être expulsées.</w:t>
            </w:r>
          </w:p>
        </w:tc>
        <w:tc>
          <w:tcPr>
            <w:tcW w:w="0" w:type="auto"/>
          </w:tcPr>
          <w:p w14:paraId="70CB1EF3" w14:textId="77777777" w:rsidR="00E67F89" w:rsidRPr="00D42025" w:rsidRDefault="00E67F89" w:rsidP="00E67F89">
            <w:pPr>
              <w:rPr>
                <w:lang w:val="en-US"/>
              </w:rPr>
            </w:pPr>
            <w:r w:rsidRPr="00D42025">
              <w:rPr>
                <w:lang w:val="en-US"/>
              </w:rPr>
              <w:t>Art. 20 in fine Ord. n°62-023.</w:t>
            </w:r>
          </w:p>
        </w:tc>
        <w:tc>
          <w:tcPr>
            <w:tcW w:w="0" w:type="auto"/>
          </w:tcPr>
          <w:p w14:paraId="3B6F3D60" w14:textId="77777777" w:rsidR="00E67F89" w:rsidRPr="00E67F89" w:rsidRDefault="00E67F89" w:rsidP="00E67F89">
            <w:r w:rsidRPr="00E67F89">
              <w:t>En cas d’expropriation, la date limite d’éligibilité à l’indemnisation est d’un (1) mois après la publication de l’ordonnance d’expropriation (délivré par le Président du Tribunal) dans le Journal officiel. Au-delà de cette date, toutes personnes voulant se faire indemniser sont déchues de ce droit.</w:t>
            </w:r>
          </w:p>
          <w:p w14:paraId="35925156" w14:textId="77777777" w:rsidR="00E67F89" w:rsidRPr="00E67F89" w:rsidRDefault="00E67F89" w:rsidP="00E67F89">
            <w:r w:rsidRPr="00E67F89">
              <w:t>Par contre, le cadre national ne prévoit aucune disposition concernant les informations relatives à la date limite.</w:t>
            </w:r>
          </w:p>
        </w:tc>
        <w:tc>
          <w:tcPr>
            <w:tcW w:w="0" w:type="auto"/>
          </w:tcPr>
          <w:p w14:paraId="49471254" w14:textId="77777777" w:rsidR="00E67F89" w:rsidRPr="00E67F89" w:rsidRDefault="00E67F89" w:rsidP="00E67F89">
            <w:r w:rsidRPr="00E67F89">
              <w:t>Les exigences de la NES 5 sont des dispositions plus précises. Toutefois, le délai fixé par la loi reste obligatoire en cas d’expropriation.</w:t>
            </w:r>
            <w:r w:rsidRPr="00E67F89">
              <w:tab/>
              <w:t>Son application peut impliquer une limitation importante à la possibilité offerte par la NES 5. Ici faut noter que l’Accord de crédit a une valeur supra légale en cas de contrariété</w:t>
            </w:r>
          </w:p>
          <w:p w14:paraId="4697024C" w14:textId="77777777" w:rsidR="00E67F89" w:rsidRPr="00E67F89" w:rsidRDefault="00E67F89" w:rsidP="00E67F89">
            <w:r w:rsidRPr="00E67F89">
              <w:t>avec le cadre national existant.</w:t>
            </w:r>
          </w:p>
        </w:tc>
      </w:tr>
      <w:tr w:rsidR="00E67F89" w:rsidRPr="00E67F89" w14:paraId="3B6DB76F" w14:textId="77777777" w:rsidTr="00223F64">
        <w:tc>
          <w:tcPr>
            <w:tcW w:w="0" w:type="auto"/>
          </w:tcPr>
          <w:p w14:paraId="734125BB" w14:textId="77777777" w:rsidR="00E67F89" w:rsidRPr="00E67F89" w:rsidRDefault="00E67F89" w:rsidP="00E67F89">
            <w:r w:rsidRPr="00E67F89">
              <w:t>Elaboration d’un plan compatible avec les risques et impacts associés au projet</w:t>
            </w:r>
          </w:p>
        </w:tc>
        <w:tc>
          <w:tcPr>
            <w:tcW w:w="0" w:type="auto"/>
          </w:tcPr>
          <w:p w14:paraId="25516CDF" w14:textId="77777777" w:rsidR="00E67F89" w:rsidRPr="00E67F89" w:rsidRDefault="00E67F89" w:rsidP="00E67F89">
            <w:r w:rsidRPr="00E67F89">
              <w:t>21</w:t>
            </w:r>
          </w:p>
        </w:tc>
        <w:tc>
          <w:tcPr>
            <w:tcW w:w="0" w:type="auto"/>
          </w:tcPr>
          <w:p w14:paraId="3FCA7D41" w14:textId="77777777" w:rsidR="00E67F89" w:rsidRPr="00E67F89" w:rsidRDefault="00E67F89" w:rsidP="00E67F89">
            <w:r w:rsidRPr="00E67F89">
              <w:t>Pour résoudre les problèmes identifiés dans l’évaluation environnementale et sociale, l’Emprunteur préparera un plan compatible aux risques et aux impacts associés au projet :</w:t>
            </w:r>
          </w:p>
          <w:p w14:paraId="56340313" w14:textId="77777777" w:rsidR="00E67F89" w:rsidRPr="00E67F89" w:rsidRDefault="00E67F89" w:rsidP="00E67F89">
            <w:r w:rsidRPr="00E67F89">
              <w:lastRenderedPageBreak/>
              <w:t>(a) Pour les projets dont l’acquisition de terres ou les restrictions sur l’utilisation des terres sont mineures, qui n’auront pas d’impact significatif sur les revenus ou les moyens de subsistance, le plan :</w:t>
            </w:r>
          </w:p>
          <w:p w14:paraId="2466CF4A" w14:textId="77777777" w:rsidR="00E67F89" w:rsidRPr="00E67F89" w:rsidRDefault="00E67F89" w:rsidP="00E67F89">
            <w:r w:rsidRPr="00E67F89">
              <w:t>permettra d’établir les critères d’admissibilité des personnes affectées,</w:t>
            </w:r>
          </w:p>
          <w:p w14:paraId="172B0621" w14:textId="77777777" w:rsidR="00E67F89" w:rsidRPr="00E67F89" w:rsidRDefault="00E67F89" w:rsidP="00E67F89">
            <w:r w:rsidRPr="00E67F89">
              <w:t>établira</w:t>
            </w:r>
            <w:r w:rsidRPr="00E67F89">
              <w:tab/>
              <w:t>les</w:t>
            </w:r>
            <w:r w:rsidRPr="00E67F89">
              <w:tab/>
              <w:t>modalités</w:t>
            </w:r>
            <w:r w:rsidRPr="00E67F89">
              <w:tab/>
              <w:t>et</w:t>
            </w:r>
            <w:r w:rsidRPr="00E67F89">
              <w:tab/>
              <w:t>les</w:t>
            </w:r>
            <w:r w:rsidRPr="00E67F89">
              <w:tab/>
              <w:t>normes d’indemnisation, et</w:t>
            </w:r>
          </w:p>
          <w:p w14:paraId="6896D4F6" w14:textId="77777777" w:rsidR="00E67F89" w:rsidRPr="00E67F89" w:rsidRDefault="00E67F89" w:rsidP="00E67F89">
            <w:r w:rsidRPr="00E67F89">
              <w:t>intègrera les dispositions relatives aux consultations, au suivi et à la gestion des plaintes ;</w:t>
            </w:r>
          </w:p>
          <w:p w14:paraId="7D74CB50" w14:textId="77777777" w:rsidR="00E67F89" w:rsidRPr="00E67F89" w:rsidRDefault="00E67F89" w:rsidP="00E67F89">
            <w:r w:rsidRPr="00E67F89">
              <w:t>(b) Pour les projets entraînant un déplacement physique : le plan définira les mesures complémentaires pertinentes pour la réinstallation des personnes affectées ;</w:t>
            </w:r>
          </w:p>
          <w:p w14:paraId="04A8B620" w14:textId="77777777" w:rsidR="00E67F89" w:rsidRPr="00E67F89" w:rsidRDefault="00E67F89" w:rsidP="00E67F89">
            <w:r w:rsidRPr="00E67F89">
              <w:t xml:space="preserve">(c) Pour les projets impliquant un déplacement économique avec des conséquences significatives sur les moyens de subsistance ou la </w:t>
            </w:r>
            <w:r w:rsidRPr="00E67F89">
              <w:lastRenderedPageBreak/>
              <w:t xml:space="preserve">génération de revenus : le plan définira les mesures complémentaires relatives à l’amélioration ou à la restauration des moyens de subsistance ; et </w:t>
            </w:r>
          </w:p>
          <w:p w14:paraId="575F990E" w14:textId="77777777" w:rsidR="00E67F89" w:rsidRPr="00E67F89" w:rsidRDefault="00E67F89" w:rsidP="00E67F89">
            <w:r w:rsidRPr="00E67F89">
              <w:t>(d) Pour les projets qui peuvent imposer des changements dans l’utilisation des terres, qui limitent l’accès aux ressources dans les parcs ou zones légalement protégées ou dans les autres ressources communes sur lesquelles les populations locales peuvent dépendre à des fins de subsistance : le plan mettra en place</w:t>
            </w:r>
          </w:p>
          <w:p w14:paraId="097F871B" w14:textId="77777777" w:rsidR="00E67F89" w:rsidRPr="00E67F89" w:rsidRDefault="00E67F89" w:rsidP="00E67F89">
            <w:r w:rsidRPr="00E67F89">
              <w:t>un processus participatif pour déterminer les restrictions appropriées sur l’utilisation et définir les mesures d’atténuation pour faire face aux impacts négatifs sur les moyens d’existence qui peuvent résulter de ces restrictions.</w:t>
            </w:r>
          </w:p>
        </w:tc>
        <w:tc>
          <w:tcPr>
            <w:tcW w:w="0" w:type="auto"/>
          </w:tcPr>
          <w:p w14:paraId="7C6EC230" w14:textId="77777777" w:rsidR="00E67F89" w:rsidRPr="00E67F89" w:rsidRDefault="00E67F89" w:rsidP="00E67F89">
            <w:r w:rsidRPr="00E67F89">
              <w:lastRenderedPageBreak/>
              <w:t>Annexe 7 Guide EIS</w:t>
            </w:r>
          </w:p>
        </w:tc>
        <w:tc>
          <w:tcPr>
            <w:tcW w:w="0" w:type="auto"/>
          </w:tcPr>
          <w:p w14:paraId="401CB229" w14:textId="77777777" w:rsidR="00E67F89" w:rsidRPr="00E67F89" w:rsidRDefault="00E67F89" w:rsidP="00E67F89">
            <w:r w:rsidRPr="00E67F89">
              <w:t>L’annexe7du Guide EIS exige la préparation d’un Plan de réinstallation.</w:t>
            </w:r>
          </w:p>
          <w:p w14:paraId="27EB9926" w14:textId="77777777" w:rsidR="00E67F89" w:rsidRPr="00E67F89" w:rsidRDefault="00E67F89" w:rsidP="00E67F89">
            <w:r w:rsidRPr="00E67F89">
              <w:t>Le plan de réinstallation inclut les mesures garantissant aux personnes déplacées :</w:t>
            </w:r>
          </w:p>
          <w:p w14:paraId="145F20DF" w14:textId="77777777" w:rsidR="00E67F89" w:rsidRPr="00E67F89" w:rsidRDefault="00E67F89" w:rsidP="00E67F89">
            <w:r w:rsidRPr="00E67F89">
              <w:t>l’information sur les options qui leur sont ouvertes et les droits se rattachant à la réinstallation, les consultations soumises à plusieurs choix et informations sur les alternatives réalisables aux plans technique et économique ; et la compensation effective au coût intégral de remplacement pour les pertes de biens directement attribuables au projet ;</w:t>
            </w:r>
          </w:p>
          <w:p w14:paraId="207CCB3A" w14:textId="77777777" w:rsidR="00E67F89" w:rsidRPr="00E67F89" w:rsidRDefault="00E67F89" w:rsidP="00E67F89">
            <w:r w:rsidRPr="00E67F89">
              <w:t xml:space="preserve">en cas de relocalisation physique l’aide (telles les indemnités de déplacement) pendant la réinstallation, un logement ou un terrain à bâtir, ou, selon les exigences posées, des terrains agricoles au moins équivalente aux avantages du site antérieur ; l’aide après le </w:t>
            </w:r>
            <w:r w:rsidRPr="00E67F89">
              <w:lastRenderedPageBreak/>
              <w:t>déplacement et l’aide au développement.</w:t>
            </w:r>
          </w:p>
        </w:tc>
        <w:tc>
          <w:tcPr>
            <w:tcW w:w="0" w:type="auto"/>
          </w:tcPr>
          <w:p w14:paraId="6E8D3D18" w14:textId="77777777" w:rsidR="00E67F89" w:rsidRPr="00E67F89" w:rsidRDefault="00E67F89" w:rsidP="00E67F89">
            <w:r w:rsidRPr="00E67F89">
              <w:lastRenderedPageBreak/>
              <w:t>Les exigences de la NES 5 sont des dispositions plus précises que le cadre national. Elles sont applicables et non contraires aux textes malgaches.</w:t>
            </w:r>
          </w:p>
        </w:tc>
      </w:tr>
      <w:tr w:rsidR="00E67F89" w:rsidRPr="00E67F89" w14:paraId="4C324E87" w14:textId="77777777" w:rsidTr="00223F64">
        <w:tc>
          <w:tcPr>
            <w:tcW w:w="0" w:type="auto"/>
          </w:tcPr>
          <w:p w14:paraId="7B22DE95" w14:textId="77777777" w:rsidR="00E67F89" w:rsidRPr="00E67F89" w:rsidRDefault="00E67F89" w:rsidP="00E67F89">
            <w:r w:rsidRPr="00E67F89">
              <w:lastRenderedPageBreak/>
              <w:t>Contenus du plan et traitement des coûts</w:t>
            </w:r>
          </w:p>
        </w:tc>
        <w:tc>
          <w:tcPr>
            <w:tcW w:w="0" w:type="auto"/>
          </w:tcPr>
          <w:p w14:paraId="03C2025A" w14:textId="77777777" w:rsidR="00E67F89" w:rsidRPr="00E67F89" w:rsidRDefault="00E67F89" w:rsidP="00E67F89">
            <w:r w:rsidRPr="00E67F89">
              <w:t>22</w:t>
            </w:r>
          </w:p>
        </w:tc>
        <w:tc>
          <w:tcPr>
            <w:tcW w:w="0" w:type="auto"/>
          </w:tcPr>
          <w:p w14:paraId="44E0F2DD" w14:textId="77777777" w:rsidR="00E67F89" w:rsidRPr="00E67F89" w:rsidRDefault="00E67F89" w:rsidP="00E67F89">
            <w:r w:rsidRPr="00E67F89">
              <w:t xml:space="preserve">Le plan établit les rôles et responsabilités en matière de </w:t>
            </w:r>
            <w:r w:rsidRPr="00E67F89">
              <w:lastRenderedPageBreak/>
              <w:t>financement et de mise en œuvre, et inclura :</w:t>
            </w:r>
          </w:p>
          <w:p w14:paraId="04D1DCA9" w14:textId="77777777" w:rsidR="00E67F89" w:rsidRPr="00E67F89" w:rsidRDefault="00E67F89" w:rsidP="00E67F89">
            <w:r w:rsidRPr="00E67F89">
              <w:t>les dispositions pour le financement d’urgence pour faire face aux dépenses imprévues, ainsi que</w:t>
            </w:r>
          </w:p>
          <w:p w14:paraId="020AE0BE" w14:textId="77777777" w:rsidR="00E67F89" w:rsidRPr="00E67F89" w:rsidRDefault="00E67F89" w:rsidP="00E67F89">
            <w:r w:rsidRPr="00E67F89">
              <w:t>les modalités d’intervention rapide et coordonnée aux circonstances imprévues qui entravent les progrès vers les résultats souhaités.</w:t>
            </w:r>
          </w:p>
        </w:tc>
        <w:tc>
          <w:tcPr>
            <w:tcW w:w="0" w:type="auto"/>
          </w:tcPr>
          <w:p w14:paraId="765C85FA" w14:textId="77777777" w:rsidR="00E67F89" w:rsidRPr="00E67F89" w:rsidRDefault="00E67F89" w:rsidP="00E67F89">
            <w:r w:rsidRPr="00E67F89">
              <w:lastRenderedPageBreak/>
              <w:t>N/P</w:t>
            </w:r>
          </w:p>
        </w:tc>
        <w:tc>
          <w:tcPr>
            <w:tcW w:w="0" w:type="auto"/>
          </w:tcPr>
          <w:p w14:paraId="568CC76D" w14:textId="77777777" w:rsidR="00E67F89" w:rsidRPr="00E67F89" w:rsidRDefault="00E67F89" w:rsidP="00E67F89">
            <w:r w:rsidRPr="00E67F89">
              <w:t>Le cadre national ne prévoit pas ces points.</w:t>
            </w:r>
          </w:p>
        </w:tc>
        <w:tc>
          <w:tcPr>
            <w:tcW w:w="0" w:type="auto"/>
          </w:tcPr>
          <w:p w14:paraId="71CB77E3" w14:textId="77777777" w:rsidR="00E67F89" w:rsidRPr="00E67F89" w:rsidRDefault="00E67F89" w:rsidP="00E67F89">
            <w:r w:rsidRPr="00E67F89">
              <w:t>Les exigences de la NES 5 sont des dispositions plus précises.</w:t>
            </w:r>
          </w:p>
          <w:p w14:paraId="25C330C2" w14:textId="77777777" w:rsidR="00E67F89" w:rsidRPr="00E67F89" w:rsidRDefault="00E67F89" w:rsidP="00E67F89">
            <w:r w:rsidRPr="00E67F89">
              <w:lastRenderedPageBreak/>
              <w:t>Elles sont applicables et non contraires aux textes malgaches.</w:t>
            </w:r>
          </w:p>
        </w:tc>
      </w:tr>
      <w:tr w:rsidR="00E67F89" w:rsidRPr="00E67F89" w14:paraId="50E8ABAE" w14:textId="77777777" w:rsidTr="00223F64">
        <w:tc>
          <w:tcPr>
            <w:tcW w:w="0" w:type="auto"/>
          </w:tcPr>
          <w:p w14:paraId="40FB78E5" w14:textId="77777777" w:rsidR="00E67F89" w:rsidRPr="00E67F89" w:rsidRDefault="00E67F89" w:rsidP="00E67F89"/>
        </w:tc>
        <w:tc>
          <w:tcPr>
            <w:tcW w:w="0" w:type="auto"/>
          </w:tcPr>
          <w:p w14:paraId="0A59B998" w14:textId="77777777" w:rsidR="00E67F89" w:rsidRPr="00E67F89" w:rsidRDefault="00E67F89" w:rsidP="00E67F89"/>
        </w:tc>
        <w:tc>
          <w:tcPr>
            <w:tcW w:w="0" w:type="auto"/>
          </w:tcPr>
          <w:p w14:paraId="2F31ABE0" w14:textId="77777777" w:rsidR="00E67F89" w:rsidRPr="00E67F89" w:rsidRDefault="00E67F89" w:rsidP="00E67F89">
            <w:r w:rsidRPr="00E67F89">
              <w:t>Les coûts totaux des activités de réinstallation nécessaires pour atteindre les objectifs du projet : inclus dans les coûts totaux du projet.</w:t>
            </w:r>
          </w:p>
          <w:p w14:paraId="1F9B77EF" w14:textId="77777777" w:rsidR="00E67F89" w:rsidRPr="00E67F89" w:rsidRDefault="00E67F89" w:rsidP="00E67F89">
            <w:r w:rsidRPr="00E67F89">
              <w:t>Les coûts de réinstallation, comme les coûts des autres activités du projet : traités comme une charge par rapport aux avantages économiques du projet</w:t>
            </w:r>
          </w:p>
          <w:p w14:paraId="2A54D136" w14:textId="77777777" w:rsidR="00E67F89" w:rsidRPr="00E67F89" w:rsidRDefault="00E67F89" w:rsidP="00E67F89">
            <w:r w:rsidRPr="00E67F89">
              <w:t>Tous les avantages nets pour les personnes réinstallées (par rapport à la situation « sans projet ») : ajoutés à l’ensemble des avantages du projet.</w:t>
            </w:r>
          </w:p>
        </w:tc>
        <w:tc>
          <w:tcPr>
            <w:tcW w:w="0" w:type="auto"/>
          </w:tcPr>
          <w:p w14:paraId="12EABFBD" w14:textId="77777777" w:rsidR="00E67F89" w:rsidRPr="00E67F89" w:rsidRDefault="00E67F89" w:rsidP="00E67F89">
            <w:r w:rsidRPr="00E67F89">
              <w:t>17.0 Guide EIS</w:t>
            </w:r>
          </w:p>
        </w:tc>
        <w:tc>
          <w:tcPr>
            <w:tcW w:w="0" w:type="auto"/>
          </w:tcPr>
          <w:p w14:paraId="52CA7533" w14:textId="77777777" w:rsidR="00E67F89" w:rsidRPr="00E67F89" w:rsidRDefault="00E67F89" w:rsidP="00E67F89">
            <w:r w:rsidRPr="00E67F89">
              <w:t>Le cadre national ne prévoit pas ces points.</w:t>
            </w:r>
          </w:p>
          <w:p w14:paraId="3BFF0091" w14:textId="77777777" w:rsidR="00E67F89" w:rsidRPr="00E67F89" w:rsidRDefault="00E67F89" w:rsidP="00E67F89">
            <w:r w:rsidRPr="00E67F89">
              <w:t>Une estimation des dépenses engagées, c’est-à-dire le coût des mesures envisagées, pour l’atténuation des impacts du projet doit figurer dans l’EIS, lorsqu’il est possible d’estimer ces coûts. Il n’y a pas de plus de précision pour le plan de réinstallation.</w:t>
            </w:r>
          </w:p>
        </w:tc>
        <w:tc>
          <w:tcPr>
            <w:tcW w:w="0" w:type="auto"/>
          </w:tcPr>
          <w:p w14:paraId="40C588C0" w14:textId="77777777" w:rsidR="00E67F89" w:rsidRPr="00E67F89" w:rsidRDefault="00E67F89" w:rsidP="00E67F89">
            <w:r w:rsidRPr="00E67F89">
              <w:t>Les exigences de la NES 5 sont des dispositions plus précises.</w:t>
            </w:r>
          </w:p>
          <w:p w14:paraId="751C11ED" w14:textId="77777777" w:rsidR="00E67F89" w:rsidRPr="00E67F89" w:rsidRDefault="00E67F89" w:rsidP="00E67F89">
            <w:r w:rsidRPr="00E67F89">
              <w:t>Elles sont applicables et non contraires aux textes malgaches.</w:t>
            </w:r>
          </w:p>
        </w:tc>
      </w:tr>
      <w:tr w:rsidR="00E67F89" w:rsidRPr="00E67F89" w14:paraId="2B4BDCC1" w14:textId="77777777" w:rsidTr="00223F64">
        <w:tc>
          <w:tcPr>
            <w:tcW w:w="0" w:type="auto"/>
          </w:tcPr>
          <w:p w14:paraId="090F1259" w14:textId="77777777" w:rsidR="00E67F89" w:rsidRPr="00E67F89" w:rsidRDefault="00E67F89" w:rsidP="00E67F89">
            <w:r w:rsidRPr="00E67F89">
              <w:lastRenderedPageBreak/>
              <w:t>Procédures de suivi et évaluation de la mise en œuvre des plans de réinstallation, rapports de suivi</w:t>
            </w:r>
          </w:p>
        </w:tc>
        <w:tc>
          <w:tcPr>
            <w:tcW w:w="0" w:type="auto"/>
          </w:tcPr>
          <w:p w14:paraId="223F9589" w14:textId="77777777" w:rsidR="00E67F89" w:rsidRPr="00E67F89" w:rsidRDefault="00E67F89" w:rsidP="00E67F89">
            <w:r w:rsidRPr="00E67F89">
              <w:t>23</w:t>
            </w:r>
          </w:p>
        </w:tc>
        <w:tc>
          <w:tcPr>
            <w:tcW w:w="0" w:type="auto"/>
          </w:tcPr>
          <w:p w14:paraId="7C585AE5" w14:textId="77777777" w:rsidR="00E67F89" w:rsidRPr="00E67F89" w:rsidRDefault="00E67F89" w:rsidP="00E67F89">
            <w:r w:rsidRPr="00E67F89">
              <w:t>Etablir les procédures pour suivre et évaluer l’exécution du plan :</w:t>
            </w:r>
          </w:p>
          <w:p w14:paraId="64A3F0E2" w14:textId="77777777" w:rsidR="00E67F89" w:rsidRPr="00E67F89" w:rsidRDefault="00E67F89" w:rsidP="00E67F89">
            <w:r w:rsidRPr="00E67F89">
              <w:t>Prendre, le cas échéant, les mesures correctives pendant la mise en œuvre pour atteindre les objectifs de la présente norme.</w:t>
            </w:r>
          </w:p>
          <w:p w14:paraId="005D0B50" w14:textId="77777777" w:rsidR="00E67F89" w:rsidRPr="00E67F89" w:rsidRDefault="00E67F89" w:rsidP="00E67F89">
            <w:r w:rsidRPr="00E67F89">
              <w:t>L’étendue des activités de surveillance : proportionnelle aux risques et aux impacts du projet.</w:t>
            </w:r>
          </w:p>
          <w:p w14:paraId="0C879D2F" w14:textId="77777777" w:rsidR="00E67F89" w:rsidRPr="00E67F89" w:rsidRDefault="00E67F89" w:rsidP="00E67F89">
            <w:r w:rsidRPr="00E67F89">
              <w:t>Pour les projets présentant des risques importants de réinstallation involontaire : recours aux services de spécialistes compétents dans les questions de réinstallation qui assureront le suivi de la mise en œuvre des plans de réinstallation, proposeront les mesures correctives nécessaires, fourniront des conseils en matière de conformité aux exigences de la présente NES et produiront des rapports réguliers de suivi.</w:t>
            </w:r>
          </w:p>
        </w:tc>
        <w:tc>
          <w:tcPr>
            <w:tcW w:w="0" w:type="auto"/>
          </w:tcPr>
          <w:p w14:paraId="49A5D27E" w14:textId="77777777" w:rsidR="00E67F89" w:rsidRPr="00E67F89" w:rsidRDefault="00E67F89" w:rsidP="00E67F89">
            <w:r w:rsidRPr="00E67F89">
              <w:t>18.0 à 18.2 Guide EIS</w:t>
            </w:r>
          </w:p>
        </w:tc>
        <w:tc>
          <w:tcPr>
            <w:tcW w:w="0" w:type="auto"/>
          </w:tcPr>
          <w:p w14:paraId="7988F963" w14:textId="77777777" w:rsidR="00E67F89" w:rsidRPr="00E67F89" w:rsidRDefault="00E67F89" w:rsidP="00E67F89">
            <w:r w:rsidRPr="00E67F89">
              <w:t>L’EIS doit prévoir un plan de surveillance et un plan de suivi lors de la préparation du PGSP sans plus de précision pour le plan de réinstallation.</w:t>
            </w:r>
          </w:p>
        </w:tc>
        <w:tc>
          <w:tcPr>
            <w:tcW w:w="0" w:type="auto"/>
          </w:tcPr>
          <w:p w14:paraId="16D442C7" w14:textId="77777777" w:rsidR="00E67F89" w:rsidRPr="00E67F89" w:rsidRDefault="00E67F89" w:rsidP="00E67F89">
            <w:r w:rsidRPr="00E67F89">
              <w:t>Les exigences de la NES 5 sont des dispositions plus précises.</w:t>
            </w:r>
          </w:p>
          <w:p w14:paraId="681290DA" w14:textId="77777777" w:rsidR="00E67F89" w:rsidRPr="00E67F89" w:rsidRDefault="00E67F89" w:rsidP="00E67F89">
            <w:r w:rsidRPr="00E67F89">
              <w:t>Elles sont applicables et non contraires aux textes malgaches.</w:t>
            </w:r>
          </w:p>
        </w:tc>
      </w:tr>
      <w:tr w:rsidR="00E67F89" w:rsidRPr="00E67F89" w14:paraId="3534F730" w14:textId="77777777" w:rsidTr="00223F64">
        <w:tc>
          <w:tcPr>
            <w:tcW w:w="0" w:type="auto"/>
          </w:tcPr>
          <w:p w14:paraId="18609EA0" w14:textId="77777777" w:rsidR="00E67F89" w:rsidRPr="00E67F89" w:rsidRDefault="00E67F89" w:rsidP="00E67F89"/>
        </w:tc>
        <w:tc>
          <w:tcPr>
            <w:tcW w:w="0" w:type="auto"/>
          </w:tcPr>
          <w:p w14:paraId="4DB210AE" w14:textId="77777777" w:rsidR="00E67F89" w:rsidRPr="00E67F89" w:rsidRDefault="00E67F89" w:rsidP="00E67F89"/>
        </w:tc>
        <w:tc>
          <w:tcPr>
            <w:tcW w:w="0" w:type="auto"/>
          </w:tcPr>
          <w:p w14:paraId="4336B1A9" w14:textId="77777777" w:rsidR="00E67F89" w:rsidRPr="00E67F89" w:rsidRDefault="00E67F89" w:rsidP="00E67F89">
            <w:r w:rsidRPr="00E67F89">
              <w:t>Les personnes concernées seront consultées au cours du processus de suivi.</w:t>
            </w:r>
          </w:p>
          <w:p w14:paraId="244A810E" w14:textId="77777777" w:rsidR="00E67F89" w:rsidRPr="00E67F89" w:rsidRDefault="00E67F89" w:rsidP="00E67F89">
            <w:r w:rsidRPr="00E67F89">
              <w:t>Des rapports périodiques de suivi seront préparés et les personnes concernées seront informées des résultats du suivi en temps opportun.</w:t>
            </w:r>
          </w:p>
        </w:tc>
        <w:tc>
          <w:tcPr>
            <w:tcW w:w="0" w:type="auto"/>
          </w:tcPr>
          <w:p w14:paraId="5945B5B3" w14:textId="77777777" w:rsidR="00E67F89" w:rsidRPr="00E67F89" w:rsidRDefault="00E67F89" w:rsidP="00E67F89">
            <w:r w:rsidRPr="00E67F89">
              <w:t>N/P</w:t>
            </w:r>
          </w:p>
        </w:tc>
        <w:tc>
          <w:tcPr>
            <w:tcW w:w="0" w:type="auto"/>
          </w:tcPr>
          <w:p w14:paraId="62587608" w14:textId="77777777" w:rsidR="00E67F89" w:rsidRPr="00E67F89" w:rsidRDefault="00E67F89" w:rsidP="00E67F89">
            <w:r w:rsidRPr="00E67F89">
              <w:t>Les textes ne prévoient pas particulièrement ces points.</w:t>
            </w:r>
          </w:p>
        </w:tc>
        <w:tc>
          <w:tcPr>
            <w:tcW w:w="0" w:type="auto"/>
          </w:tcPr>
          <w:p w14:paraId="76B50139" w14:textId="77777777" w:rsidR="00E67F89" w:rsidRPr="00E67F89" w:rsidRDefault="00E67F89" w:rsidP="00E67F89">
            <w:r w:rsidRPr="00E67F89">
              <w:t>Les exigences de la NES 5 sont des dispositions plus précises.</w:t>
            </w:r>
          </w:p>
          <w:p w14:paraId="18FCCC43" w14:textId="77777777" w:rsidR="00E67F89" w:rsidRPr="00E67F89" w:rsidRDefault="00E67F89" w:rsidP="00E67F89">
            <w:r w:rsidRPr="00E67F89">
              <w:t>Elles sont applicables et non contraires aux textes malgaches.</w:t>
            </w:r>
          </w:p>
        </w:tc>
      </w:tr>
      <w:tr w:rsidR="00E67F89" w:rsidRPr="00E67F89" w14:paraId="15C52BB9" w14:textId="77777777" w:rsidTr="00223F64">
        <w:tc>
          <w:tcPr>
            <w:tcW w:w="0" w:type="auto"/>
          </w:tcPr>
          <w:p w14:paraId="4BFBC5E7" w14:textId="77777777" w:rsidR="00E67F89" w:rsidRPr="00E67F89" w:rsidRDefault="00E67F89" w:rsidP="00E67F89">
            <w:r w:rsidRPr="00E67F89">
              <w:t>Achèvement de la mise en œuvre du plan et audit y relatif</w:t>
            </w:r>
          </w:p>
        </w:tc>
        <w:tc>
          <w:tcPr>
            <w:tcW w:w="0" w:type="auto"/>
          </w:tcPr>
          <w:p w14:paraId="14E4041D" w14:textId="77777777" w:rsidR="00E67F89" w:rsidRPr="00E67F89" w:rsidRDefault="00E67F89" w:rsidP="00E67F89">
            <w:r w:rsidRPr="00E67F89">
              <w:t>24</w:t>
            </w:r>
          </w:p>
        </w:tc>
        <w:tc>
          <w:tcPr>
            <w:tcW w:w="0" w:type="auto"/>
          </w:tcPr>
          <w:p w14:paraId="0A7E942C" w14:textId="77777777" w:rsidR="00E67F89" w:rsidRPr="00E67F89" w:rsidRDefault="00E67F89" w:rsidP="00E67F89">
            <w:r w:rsidRPr="00E67F89">
              <w:t>La mise en œuvre du plan sera considérée comme complète : lorsque les effets négatifs de la réinstallation auront été traités d’une manière conforme au plan pertinent ainsi qu’aux objectifs cités de la présente NES.</w:t>
            </w:r>
          </w:p>
          <w:p w14:paraId="350701F9" w14:textId="77777777" w:rsidR="00E67F89" w:rsidRPr="00E67F89" w:rsidRDefault="00E67F89" w:rsidP="00E67F89">
            <w:r w:rsidRPr="00E67F89">
              <w:t>Pour tous les projets ayant des impacts significatifs sur la réinstallation involontaire : l’Emprunteur commanditera un audit d’achèvement externe du plan lorsque toutes les mesures d’atténuation auront été achevées.</w:t>
            </w:r>
          </w:p>
          <w:p w14:paraId="68E38AD1" w14:textId="77777777" w:rsidR="00E67F89" w:rsidRPr="00E67F89" w:rsidRDefault="00E67F89" w:rsidP="00E67F89">
            <w:r w:rsidRPr="00E67F89">
              <w:t>L’audit d’achèvement :</w:t>
            </w:r>
          </w:p>
          <w:p w14:paraId="7C515A33" w14:textId="77777777" w:rsidR="00E67F89" w:rsidRPr="00E67F89" w:rsidRDefault="00E67F89" w:rsidP="00E67F89">
            <w:r w:rsidRPr="00E67F89">
              <w:lastRenderedPageBreak/>
              <w:t>effectué par des professionnels compétents de la réinstallation,</w:t>
            </w:r>
          </w:p>
          <w:p w14:paraId="57FE5468" w14:textId="77777777" w:rsidR="00E67F89" w:rsidRPr="00E67F89" w:rsidRDefault="00E67F89" w:rsidP="00E67F89">
            <w:r w:rsidRPr="00E67F89">
              <w:t>évaluer si les moyens de subsistance et les conditions de vie ont été améliorées ou au moins restaurées, selon le cas, et</w:t>
            </w:r>
          </w:p>
          <w:p w14:paraId="52F8F99D" w14:textId="77777777" w:rsidR="00E67F89" w:rsidRPr="00E67F89" w:rsidRDefault="00E67F89" w:rsidP="00E67F89">
            <w:r w:rsidRPr="00E67F89">
              <w:t>proposer des mesures correctives pour répondre aux objectifs qui n’ont pas été atteints.</w:t>
            </w:r>
          </w:p>
        </w:tc>
        <w:tc>
          <w:tcPr>
            <w:tcW w:w="0" w:type="auto"/>
          </w:tcPr>
          <w:p w14:paraId="348CE217" w14:textId="77777777" w:rsidR="00E67F89" w:rsidRPr="00E67F89" w:rsidRDefault="00E67F89" w:rsidP="00E67F89">
            <w:r w:rsidRPr="00E67F89">
              <w:lastRenderedPageBreak/>
              <w:t>N/P</w:t>
            </w:r>
          </w:p>
        </w:tc>
        <w:tc>
          <w:tcPr>
            <w:tcW w:w="0" w:type="auto"/>
          </w:tcPr>
          <w:p w14:paraId="1BCA4EF8" w14:textId="77777777" w:rsidR="00E67F89" w:rsidRPr="00E67F89" w:rsidRDefault="00E67F89" w:rsidP="00E67F89">
            <w:r w:rsidRPr="00E67F89">
              <w:t>Les textes ne prévoient pas ces points.</w:t>
            </w:r>
          </w:p>
        </w:tc>
        <w:tc>
          <w:tcPr>
            <w:tcW w:w="0" w:type="auto"/>
          </w:tcPr>
          <w:p w14:paraId="3B4445ED" w14:textId="77777777" w:rsidR="00E67F89" w:rsidRPr="00E67F89" w:rsidRDefault="00E67F89" w:rsidP="00E67F89">
            <w:r w:rsidRPr="00E67F89">
              <w:t>Les exigences de la NES 5 sont des dispositions plus précises.</w:t>
            </w:r>
          </w:p>
          <w:p w14:paraId="453B7A07" w14:textId="77777777" w:rsidR="00E67F89" w:rsidRPr="00E67F89" w:rsidRDefault="00E67F89" w:rsidP="00E67F89">
            <w:r w:rsidRPr="00E67F89">
              <w:t>Elles sont applicables et non contraires aux textes malgaches.</w:t>
            </w:r>
          </w:p>
        </w:tc>
      </w:tr>
      <w:tr w:rsidR="00E67F89" w:rsidRPr="00E67F89" w14:paraId="6386D426" w14:textId="77777777" w:rsidTr="00223F64">
        <w:tc>
          <w:tcPr>
            <w:tcW w:w="0" w:type="auto"/>
          </w:tcPr>
          <w:p w14:paraId="482B0F21" w14:textId="77777777" w:rsidR="00E67F89" w:rsidRPr="00E67F89" w:rsidRDefault="00E67F89" w:rsidP="00E67F89">
            <w:r w:rsidRPr="00E67F89">
              <w:t>Cadre de</w:t>
            </w:r>
          </w:p>
          <w:p w14:paraId="36F0444C" w14:textId="77777777" w:rsidR="00E67F89" w:rsidRPr="00E67F89" w:rsidRDefault="00E67F89" w:rsidP="00E67F89">
            <w:r w:rsidRPr="00E67F89">
              <w:t>réinstallation pour les impacts non encore définis</w:t>
            </w:r>
          </w:p>
        </w:tc>
        <w:tc>
          <w:tcPr>
            <w:tcW w:w="0" w:type="auto"/>
          </w:tcPr>
          <w:p w14:paraId="3A78F33F" w14:textId="77777777" w:rsidR="00E67F89" w:rsidRPr="00E67F89" w:rsidRDefault="00E67F89" w:rsidP="00E67F89">
            <w:r w:rsidRPr="00E67F89">
              <w:t>25</w:t>
            </w:r>
          </w:p>
        </w:tc>
        <w:tc>
          <w:tcPr>
            <w:tcW w:w="0" w:type="auto"/>
          </w:tcPr>
          <w:p w14:paraId="4D189758" w14:textId="77777777" w:rsidR="00E67F89" w:rsidRPr="00E67F89" w:rsidRDefault="00E67F89" w:rsidP="00E67F89">
            <w:r w:rsidRPr="00E67F89">
              <w:t>Lorsque la nature ou l’ampleur probable des acquisitions de terres ou des restrictions de l’utilisation des terres liées au projet susceptibles d’entraîner des déplacements physiques et/ou économiques sont inconnues pendant la phase de préparation du projet : élaborer un cadre dont les principes généraux seront compatibles avec la présente norme.</w:t>
            </w:r>
          </w:p>
          <w:p w14:paraId="4372F48B" w14:textId="77777777" w:rsidR="00E67F89" w:rsidRPr="00E67F89" w:rsidRDefault="00E67F89" w:rsidP="00E67F89">
            <w:r w:rsidRPr="00E67F89">
              <w:t xml:space="preserve">Une fois que les composantes individuelles du projet auront été définies et que l’information </w:t>
            </w:r>
            <w:r w:rsidRPr="00E67F89">
              <w:lastRenderedPageBreak/>
              <w:t>nécessaire sera rendue disponible : élargir le cadre</w:t>
            </w:r>
          </w:p>
          <w:p w14:paraId="2C1C4FB7" w14:textId="77777777" w:rsidR="00E67F89" w:rsidRPr="00E67F89" w:rsidRDefault="00E67F89" w:rsidP="00E67F89">
            <w:r w:rsidRPr="00E67F89">
              <w:t>en un ou plusieurs plans spécifiques,</w:t>
            </w:r>
          </w:p>
          <w:p w14:paraId="552AE371" w14:textId="77777777" w:rsidR="00E67F89" w:rsidRPr="00E67F89" w:rsidRDefault="00E67F89" w:rsidP="00E67F89">
            <w:r w:rsidRPr="00E67F89">
              <w:t>compatibles avec les risques et les impacts potentiels.</w:t>
            </w:r>
          </w:p>
          <w:p w14:paraId="69643639" w14:textId="77777777" w:rsidR="00E67F89" w:rsidRPr="00E67F89" w:rsidRDefault="00E67F89" w:rsidP="00E67F89">
            <w:r w:rsidRPr="00E67F89">
              <w:t>Aucun déplacement physique et / ou économique ne commencera tant que des plans exigés par la présente NES : avant leur finalisation par l’Emprunteur et leur approbation par la Banque.</w:t>
            </w:r>
          </w:p>
        </w:tc>
        <w:tc>
          <w:tcPr>
            <w:tcW w:w="0" w:type="auto"/>
          </w:tcPr>
          <w:p w14:paraId="4481102F" w14:textId="77777777" w:rsidR="00E67F89" w:rsidRPr="00E67F89" w:rsidRDefault="00E67F89" w:rsidP="00E67F89">
            <w:r w:rsidRPr="00E67F89">
              <w:lastRenderedPageBreak/>
              <w:t>N/P</w:t>
            </w:r>
          </w:p>
        </w:tc>
        <w:tc>
          <w:tcPr>
            <w:tcW w:w="0" w:type="auto"/>
          </w:tcPr>
          <w:p w14:paraId="2656AEFF" w14:textId="77777777" w:rsidR="00E67F89" w:rsidRPr="00E67F89" w:rsidRDefault="00E67F89" w:rsidP="00E67F89">
            <w:r w:rsidRPr="00E67F89">
              <w:t>Les textes ne prévoient pas ces points.</w:t>
            </w:r>
          </w:p>
        </w:tc>
        <w:tc>
          <w:tcPr>
            <w:tcW w:w="0" w:type="auto"/>
          </w:tcPr>
          <w:p w14:paraId="668430E5" w14:textId="77777777" w:rsidR="00E67F89" w:rsidRPr="00E67F89" w:rsidRDefault="00E67F89" w:rsidP="00E67F89">
            <w:r w:rsidRPr="00E67F89">
              <w:t>Les exigences de la NES 5 sont des dispositions plus précises.</w:t>
            </w:r>
          </w:p>
          <w:p w14:paraId="7854AD3C" w14:textId="77777777" w:rsidR="00E67F89" w:rsidRPr="00E67F89" w:rsidRDefault="00E67F89" w:rsidP="00E67F89">
            <w:r w:rsidRPr="00E67F89">
              <w:t>Elles sont applicables et non contraires aux textes malgaches. Toutefois, la fermeture de l’éligibilité légale doit être prise en considération comme il est commenté ci- dessus (rubrique 20 b).</w:t>
            </w:r>
          </w:p>
        </w:tc>
      </w:tr>
      <w:tr w:rsidR="00E67F89" w:rsidRPr="00E67F89" w14:paraId="7719E57B" w14:textId="77777777" w:rsidTr="00223F64">
        <w:tc>
          <w:tcPr>
            <w:tcW w:w="0" w:type="auto"/>
          </w:tcPr>
          <w:p w14:paraId="4685B1A9" w14:textId="77777777" w:rsidR="00E67F89" w:rsidRPr="00E67F89" w:rsidRDefault="00E67F89" w:rsidP="00E67F89">
            <w:r w:rsidRPr="00E67F89">
              <w:t xml:space="preserve">DEPLACEMENT </w:t>
            </w:r>
          </w:p>
        </w:tc>
        <w:tc>
          <w:tcPr>
            <w:tcW w:w="0" w:type="auto"/>
          </w:tcPr>
          <w:p w14:paraId="11FD83E7" w14:textId="77777777" w:rsidR="00E67F89" w:rsidRPr="00E67F89" w:rsidRDefault="00E67F89" w:rsidP="00E67F89"/>
        </w:tc>
        <w:tc>
          <w:tcPr>
            <w:tcW w:w="0" w:type="auto"/>
          </w:tcPr>
          <w:p w14:paraId="45B9F0C9" w14:textId="77777777" w:rsidR="00E67F89" w:rsidRPr="00E67F89" w:rsidRDefault="00E67F89" w:rsidP="00E67F89"/>
        </w:tc>
        <w:tc>
          <w:tcPr>
            <w:tcW w:w="0" w:type="auto"/>
          </w:tcPr>
          <w:p w14:paraId="09572DE2" w14:textId="77777777" w:rsidR="00E67F89" w:rsidRPr="00E67F89" w:rsidRDefault="00E67F89" w:rsidP="00E67F89"/>
        </w:tc>
        <w:tc>
          <w:tcPr>
            <w:tcW w:w="0" w:type="auto"/>
          </w:tcPr>
          <w:p w14:paraId="7087E8ED" w14:textId="77777777" w:rsidR="00E67F89" w:rsidRPr="00E67F89" w:rsidRDefault="00E67F89" w:rsidP="00E67F89"/>
        </w:tc>
        <w:tc>
          <w:tcPr>
            <w:tcW w:w="0" w:type="auto"/>
          </w:tcPr>
          <w:p w14:paraId="28FFC449" w14:textId="77777777" w:rsidR="00E67F89" w:rsidRPr="00E67F89" w:rsidRDefault="00E67F89" w:rsidP="00E67F89"/>
        </w:tc>
      </w:tr>
      <w:tr w:rsidR="00E67F89" w:rsidRPr="00E67F89" w14:paraId="33ACD7B7" w14:textId="77777777" w:rsidTr="00223F64">
        <w:tc>
          <w:tcPr>
            <w:tcW w:w="0" w:type="auto"/>
          </w:tcPr>
          <w:p w14:paraId="37858C08" w14:textId="77777777" w:rsidR="00E67F89" w:rsidRPr="00E67F89" w:rsidRDefault="00E67F89" w:rsidP="00E67F89">
            <w:r w:rsidRPr="00E67F89">
              <w:t>Groupes vulnérables</w:t>
            </w:r>
          </w:p>
        </w:tc>
        <w:tc>
          <w:tcPr>
            <w:tcW w:w="0" w:type="auto"/>
          </w:tcPr>
          <w:p w14:paraId="1959DB90" w14:textId="77777777" w:rsidR="00E67F89" w:rsidRPr="00E67F89" w:rsidRDefault="00E67F89" w:rsidP="00E67F89">
            <w:r w:rsidRPr="00E67F89">
              <w:t>26</w:t>
            </w:r>
          </w:p>
        </w:tc>
        <w:tc>
          <w:tcPr>
            <w:tcW w:w="0" w:type="auto"/>
          </w:tcPr>
          <w:p w14:paraId="2748CFD2" w14:textId="77777777" w:rsidR="00E67F89" w:rsidRPr="00E67F89" w:rsidRDefault="00E67F89" w:rsidP="00E67F89">
            <w:r w:rsidRPr="00E67F89">
              <w:t>Une attention particulière sera portée aux groupes vulnérables au sein des populations déplacées, notamment les personnes vivant en deçà du seuil de pauvreté, les travailleurs sans terre, les femmes chefs de ménage avec des enfants de bas âge, les personnes âgées sans soutien, les handicapés, les squatters ...</w:t>
            </w:r>
          </w:p>
        </w:tc>
        <w:tc>
          <w:tcPr>
            <w:tcW w:w="0" w:type="auto"/>
          </w:tcPr>
          <w:p w14:paraId="2F598115" w14:textId="77777777" w:rsidR="00E67F89" w:rsidRPr="00E67F89" w:rsidRDefault="00E67F89" w:rsidP="00E67F89">
            <w:r w:rsidRPr="00E67F89">
              <w:t>Annexe 7 Guide EIS</w:t>
            </w:r>
          </w:p>
        </w:tc>
        <w:tc>
          <w:tcPr>
            <w:tcW w:w="0" w:type="auto"/>
          </w:tcPr>
          <w:p w14:paraId="17B9DBA6" w14:textId="77777777" w:rsidR="00E67F89" w:rsidRPr="00E67F89" w:rsidRDefault="00E67F89" w:rsidP="00E67F89">
            <w:r w:rsidRPr="00E67F89">
              <w:t>La législation malagasy n’a pas prévu de dispositions spéciales concernant les groupes vulnérables. Toutefois, le guide EIS stipule que les promoteurs doivent prêter une attention particulière aux couches les plus vulnérables.</w:t>
            </w:r>
          </w:p>
        </w:tc>
        <w:tc>
          <w:tcPr>
            <w:tcW w:w="0" w:type="auto"/>
          </w:tcPr>
          <w:p w14:paraId="502C1AB0" w14:textId="77777777" w:rsidR="00E67F89" w:rsidRPr="00E67F89" w:rsidRDefault="00E67F89" w:rsidP="00E67F89">
            <w:r w:rsidRPr="00E67F89">
              <w:t xml:space="preserve">Les exigences de la NES 5 de la Banque sont des dispositions précises et seront appliquées car elle favorise une considération spécifique en faveur des groupes vulnérables. </w:t>
            </w:r>
          </w:p>
          <w:p w14:paraId="4708B24C" w14:textId="77777777" w:rsidR="00E67F89" w:rsidRPr="00E67F89" w:rsidRDefault="00E67F89" w:rsidP="00E67F89">
            <w:r w:rsidRPr="00E67F89">
              <w:t>Elles sont complémentaires au guide EIS.</w:t>
            </w:r>
          </w:p>
        </w:tc>
      </w:tr>
      <w:tr w:rsidR="00E67F89" w:rsidRPr="00E67F89" w14:paraId="07805022" w14:textId="77777777" w:rsidTr="00223F64">
        <w:tc>
          <w:tcPr>
            <w:tcW w:w="0" w:type="auto"/>
            <w:gridSpan w:val="6"/>
          </w:tcPr>
          <w:p w14:paraId="08DC539C" w14:textId="77777777" w:rsidR="00E67F89" w:rsidRPr="00E67F89" w:rsidRDefault="00E67F89" w:rsidP="00E67F89">
            <w:r w:rsidRPr="00E67F89">
              <w:t>Déplacement physique</w:t>
            </w:r>
          </w:p>
        </w:tc>
      </w:tr>
      <w:tr w:rsidR="00E67F89" w:rsidRPr="00E67F89" w14:paraId="543DC971" w14:textId="77777777" w:rsidTr="00223F64">
        <w:tc>
          <w:tcPr>
            <w:tcW w:w="0" w:type="auto"/>
          </w:tcPr>
          <w:p w14:paraId="608ECE43" w14:textId="77777777" w:rsidR="00E67F89" w:rsidRPr="00E67F89" w:rsidRDefault="00E67F89" w:rsidP="00E67F89">
            <w:r w:rsidRPr="00E67F89">
              <w:lastRenderedPageBreak/>
              <w:t>Mise en place d’un plan de réinstallation avec des exigences minimales, élaboration du budget et de l’échéancier, définition des droits des personnes déplacées</w:t>
            </w:r>
          </w:p>
        </w:tc>
        <w:tc>
          <w:tcPr>
            <w:tcW w:w="0" w:type="auto"/>
          </w:tcPr>
          <w:p w14:paraId="618BDD18" w14:textId="77777777" w:rsidR="00E67F89" w:rsidRPr="00E67F89" w:rsidRDefault="00E67F89" w:rsidP="00E67F89">
            <w:r w:rsidRPr="00E67F89">
              <w:t>26 a)</w:t>
            </w:r>
          </w:p>
        </w:tc>
        <w:tc>
          <w:tcPr>
            <w:tcW w:w="0" w:type="auto"/>
          </w:tcPr>
          <w:p w14:paraId="4DADCC1E" w14:textId="77777777" w:rsidR="00E67F89" w:rsidRPr="00E67F89" w:rsidRDefault="00E67F89" w:rsidP="00E67F89">
            <w:r w:rsidRPr="00E67F89">
              <w:t>Mise en place d’un plan de réinstallation : couvrir au minimum les exigences applicables de la présente norme, quel que soit le nombre de personnes affectées.</w:t>
            </w:r>
          </w:p>
          <w:p w14:paraId="1F7C720B" w14:textId="77777777" w:rsidR="00E67F89" w:rsidRPr="00E67F89" w:rsidRDefault="00E67F89" w:rsidP="00E67F89">
            <w:r w:rsidRPr="00E67F89">
              <w:t>Le plan sera conçu de manière :</w:t>
            </w:r>
          </w:p>
          <w:p w14:paraId="042FCCFE" w14:textId="77777777" w:rsidR="00E67F89" w:rsidRPr="00E67F89" w:rsidRDefault="00E67F89" w:rsidP="00E67F89">
            <w:r w:rsidRPr="00E67F89">
              <w:t>à atténuer les impacts négatifs du déplacement et</w:t>
            </w:r>
          </w:p>
          <w:p w14:paraId="38D7DA35" w14:textId="77777777" w:rsidR="00E67F89" w:rsidRPr="00E67F89" w:rsidRDefault="00E67F89" w:rsidP="00E67F89">
            <w:r w:rsidRPr="00E67F89">
              <w:t>à mettre en évidence les possibilités de développement.</w:t>
            </w:r>
          </w:p>
          <w:p w14:paraId="4BDAE3FE" w14:textId="77777777" w:rsidR="00E67F89" w:rsidRPr="00E67F89" w:rsidRDefault="00E67F89" w:rsidP="00E67F89">
            <w:r w:rsidRPr="00E67F89">
              <w:t>Elaborer un budget de réinstallation et un échéancier de mise en œuvre, et</w:t>
            </w:r>
          </w:p>
          <w:p w14:paraId="27695EB7" w14:textId="77777777" w:rsidR="00E67F89" w:rsidRPr="00E67F89" w:rsidRDefault="00E67F89" w:rsidP="00E67F89">
            <w:r w:rsidRPr="00E67F89">
              <w:t>Définir les droits de toutes les catégories de personnes affectées (y compris les communautés hôtes).</w:t>
            </w:r>
          </w:p>
          <w:p w14:paraId="10636B59" w14:textId="77777777" w:rsidR="00E67F89" w:rsidRPr="00E67F89" w:rsidRDefault="00E67F89" w:rsidP="00E67F89">
            <w:r w:rsidRPr="00E67F89">
              <w:t>Une attention particulière sera portée aux questions de genre et aux besoins des populations pauvres et des groupes vulnérables.</w:t>
            </w:r>
          </w:p>
        </w:tc>
        <w:tc>
          <w:tcPr>
            <w:tcW w:w="0" w:type="auto"/>
          </w:tcPr>
          <w:p w14:paraId="5119F924" w14:textId="77777777" w:rsidR="00E67F89" w:rsidRPr="00E67F89" w:rsidRDefault="00E67F89" w:rsidP="00E67F89">
            <w:r w:rsidRPr="00E67F89">
              <w:t>Annexe 7 Guide EIS</w:t>
            </w:r>
          </w:p>
        </w:tc>
        <w:tc>
          <w:tcPr>
            <w:tcW w:w="0" w:type="auto"/>
          </w:tcPr>
          <w:p w14:paraId="6C77C2AD" w14:textId="77777777" w:rsidR="00E67F89" w:rsidRPr="00E67F89" w:rsidRDefault="00E67F89" w:rsidP="00E67F89">
            <w:r w:rsidRPr="00E67F89">
              <w:t>Le Guide EIS donne une autre typologie de déplacement involontaire pour une durée déterminée ou temporaire, et définitive.</w:t>
            </w:r>
          </w:p>
          <w:p w14:paraId="49745691" w14:textId="77777777" w:rsidR="00E67F89" w:rsidRPr="00E67F89" w:rsidRDefault="00E67F89" w:rsidP="00E67F89">
            <w:r w:rsidRPr="00E67F89">
              <w:t>Le Guide EIS reprend les textes de l’OP 4.12 en ce qui concerne les objectifs, le champ d’application et les mesures requises.</w:t>
            </w:r>
          </w:p>
          <w:p w14:paraId="0F29CBED" w14:textId="77777777" w:rsidR="00E67F89" w:rsidRPr="00E67F89" w:rsidRDefault="00E67F89" w:rsidP="00E67F89">
            <w:r w:rsidRPr="00E67F89">
              <w:t>Les promoteurs doivent préparer un plan de réinstallation.</w:t>
            </w:r>
          </w:p>
          <w:p w14:paraId="5180EF01" w14:textId="77777777" w:rsidR="00E67F89" w:rsidRPr="00E67F89" w:rsidRDefault="00E67F89" w:rsidP="00E67F89">
            <w:r w:rsidRPr="00E67F89">
              <w:t>Pour cela, les promoteurs doivent prêter une attention particulière aux couches les plus vulnérables.</w:t>
            </w:r>
          </w:p>
        </w:tc>
        <w:tc>
          <w:tcPr>
            <w:tcW w:w="0" w:type="auto"/>
          </w:tcPr>
          <w:p w14:paraId="5A5DE423" w14:textId="77777777" w:rsidR="00E67F89" w:rsidRPr="00E67F89" w:rsidRDefault="00E67F89" w:rsidP="00E67F89">
            <w:r w:rsidRPr="00E67F89">
              <w:t xml:space="preserve">Les prescriptions du Guide EIS confondent les prescriptions concernant respectivement le déplacement physique et le déplacement économique. </w:t>
            </w:r>
          </w:p>
          <w:p w14:paraId="5F05E655" w14:textId="77777777" w:rsidR="00E67F89" w:rsidRPr="00E67F89" w:rsidRDefault="00E67F89" w:rsidP="00E67F89">
            <w:r w:rsidRPr="00E67F89">
              <w:t>Les exigences de la NES 5 sont des dispositions plus précises.</w:t>
            </w:r>
          </w:p>
          <w:p w14:paraId="00623FFF" w14:textId="77777777" w:rsidR="00E67F89" w:rsidRPr="00E67F89" w:rsidRDefault="00E67F89" w:rsidP="00E67F89">
            <w:r w:rsidRPr="00E67F89">
              <w:t>Elles sont applicables et non contraires aux textes malgaches.</w:t>
            </w:r>
          </w:p>
        </w:tc>
      </w:tr>
      <w:tr w:rsidR="00E67F89" w:rsidRPr="00E67F89" w14:paraId="0CF82E0F" w14:textId="77777777" w:rsidTr="00223F64">
        <w:tc>
          <w:tcPr>
            <w:tcW w:w="0" w:type="auto"/>
          </w:tcPr>
          <w:p w14:paraId="6165C98B" w14:textId="77777777" w:rsidR="00E67F89" w:rsidRPr="00E67F89" w:rsidRDefault="00E67F89" w:rsidP="00E67F89">
            <w:r w:rsidRPr="00E67F89">
              <w:t xml:space="preserve">Documentation des transactions et des mesures associées aux </w:t>
            </w:r>
            <w:r w:rsidRPr="00E67F89">
              <w:lastRenderedPageBreak/>
              <w:t>activités de réinstallation.</w:t>
            </w:r>
          </w:p>
        </w:tc>
        <w:tc>
          <w:tcPr>
            <w:tcW w:w="0" w:type="auto"/>
          </w:tcPr>
          <w:p w14:paraId="18F1CB64" w14:textId="77777777" w:rsidR="00E67F89" w:rsidRPr="00E67F89" w:rsidRDefault="00E67F89" w:rsidP="00E67F89">
            <w:r w:rsidRPr="00E67F89">
              <w:lastRenderedPageBreak/>
              <w:t>26 b)</w:t>
            </w:r>
          </w:p>
        </w:tc>
        <w:tc>
          <w:tcPr>
            <w:tcW w:w="0" w:type="auto"/>
          </w:tcPr>
          <w:p w14:paraId="0F147267" w14:textId="77777777" w:rsidR="00E67F89" w:rsidRPr="00E67F89" w:rsidRDefault="00E67F89" w:rsidP="00E67F89">
            <w:r w:rsidRPr="00E67F89">
              <w:t>Documenter :</w:t>
            </w:r>
          </w:p>
          <w:p w14:paraId="1E75A04D" w14:textId="77777777" w:rsidR="00E67F89" w:rsidRPr="00E67F89" w:rsidRDefault="00E67F89" w:rsidP="00E67F89">
            <w:r w:rsidRPr="00E67F89">
              <w:lastRenderedPageBreak/>
              <w:t>toutes les transactions d’acquisition des droits sur les terres, ainsi que</w:t>
            </w:r>
          </w:p>
          <w:p w14:paraId="21937D5F" w14:textId="77777777" w:rsidR="00E67F89" w:rsidRPr="00E67F89" w:rsidRDefault="00E67F89" w:rsidP="00E67F89">
            <w:r w:rsidRPr="00E67F89">
              <w:t>les mesures d’indemnisation</w:t>
            </w:r>
          </w:p>
          <w:p w14:paraId="323D5F5C" w14:textId="77777777" w:rsidR="00E67F89" w:rsidRPr="00E67F89" w:rsidRDefault="00E67F89" w:rsidP="00E67F89">
            <w:r w:rsidRPr="00E67F89">
              <w:t>ou toute autre assistance associée aux activités de réinstallation.</w:t>
            </w:r>
          </w:p>
        </w:tc>
        <w:tc>
          <w:tcPr>
            <w:tcW w:w="0" w:type="auto"/>
          </w:tcPr>
          <w:p w14:paraId="77800896" w14:textId="77777777" w:rsidR="00E67F89" w:rsidRPr="00E67F89" w:rsidRDefault="00E67F89" w:rsidP="00E67F89">
            <w:r w:rsidRPr="00E67F89">
              <w:lastRenderedPageBreak/>
              <w:t>Annexe 7 Guide EIS</w:t>
            </w:r>
          </w:p>
        </w:tc>
        <w:tc>
          <w:tcPr>
            <w:tcW w:w="0" w:type="auto"/>
          </w:tcPr>
          <w:p w14:paraId="05D65D3B" w14:textId="77777777" w:rsidR="00E67F89" w:rsidRPr="00E67F89" w:rsidRDefault="00E67F89" w:rsidP="00E67F89">
            <w:r w:rsidRPr="00E67F89">
              <w:t>Les textes ne prévoient pas ce point.</w:t>
            </w:r>
          </w:p>
        </w:tc>
        <w:tc>
          <w:tcPr>
            <w:tcW w:w="0" w:type="auto"/>
          </w:tcPr>
          <w:p w14:paraId="0BC341EE" w14:textId="77777777" w:rsidR="00E67F89" w:rsidRPr="00E67F89" w:rsidRDefault="00E67F89" w:rsidP="00E67F89">
            <w:r w:rsidRPr="00E67F89">
              <w:t>Les exigences de la NES 5 sont des dispositions plus précises.</w:t>
            </w:r>
          </w:p>
          <w:p w14:paraId="5CC5025A" w14:textId="77777777" w:rsidR="00E67F89" w:rsidRPr="00E67F89" w:rsidRDefault="00E67F89" w:rsidP="00E67F89">
            <w:r w:rsidRPr="00E67F89">
              <w:lastRenderedPageBreak/>
              <w:t>Elles sont applicables et non contraires aux textes malgaches.</w:t>
            </w:r>
          </w:p>
        </w:tc>
      </w:tr>
      <w:tr w:rsidR="00E67F89" w:rsidRPr="00E67F89" w14:paraId="506B5086" w14:textId="77777777" w:rsidTr="00223F64">
        <w:tc>
          <w:tcPr>
            <w:tcW w:w="0" w:type="auto"/>
          </w:tcPr>
          <w:p w14:paraId="280BB67D" w14:textId="77777777" w:rsidR="00E67F89" w:rsidRPr="00E67F89" w:rsidRDefault="00E67F89" w:rsidP="00E67F89">
            <w:r w:rsidRPr="00E67F89">
              <w:t>Options de</w:t>
            </w:r>
          </w:p>
          <w:p w14:paraId="6464A65C" w14:textId="77777777" w:rsidR="00E67F89" w:rsidRPr="00E67F89" w:rsidRDefault="00E67F89" w:rsidP="00E67F89">
            <w:r w:rsidRPr="00E67F89">
              <w:t>réinstallation suivant les catégories de personnes déplacées – Consultation de la population hôte</w:t>
            </w:r>
          </w:p>
        </w:tc>
        <w:tc>
          <w:tcPr>
            <w:tcW w:w="0" w:type="auto"/>
          </w:tcPr>
          <w:p w14:paraId="044F062B" w14:textId="77777777" w:rsidR="00E67F89" w:rsidRPr="00E67F89" w:rsidRDefault="00E67F89" w:rsidP="00E67F89">
            <w:r w:rsidRPr="00E67F89">
              <w:t>27-29</w:t>
            </w:r>
          </w:p>
        </w:tc>
        <w:tc>
          <w:tcPr>
            <w:tcW w:w="0" w:type="auto"/>
          </w:tcPr>
          <w:p w14:paraId="66AC64ED" w14:textId="77777777" w:rsidR="00E67F89" w:rsidRPr="00E67F89" w:rsidRDefault="00E67F89" w:rsidP="00E67F89">
            <w:r w:rsidRPr="00E67F89">
              <w:t>27. Si des populations qui vivent dans la zone du projet doivent se déplacer vers un autre lieu, l’Emprunteur doit : (a) offrir aux personnes déplacées un choix entre différentes options de réinstallation faisables, comprenant un logement de remplacement adéquat ou une indemnité monétaire, et (b) fournir une aide en matière de réinstallation appropriée aux besoins de chaque groupe de personnes déplacées.</w:t>
            </w:r>
          </w:p>
        </w:tc>
        <w:tc>
          <w:tcPr>
            <w:tcW w:w="0" w:type="auto"/>
          </w:tcPr>
          <w:p w14:paraId="7EA8D8F9" w14:textId="77777777" w:rsidR="00E67F89" w:rsidRPr="00E67F89" w:rsidRDefault="00E67F89" w:rsidP="00E67F89">
            <w:r w:rsidRPr="00E67F89">
              <w:t>Annexe 7 Guide EIS</w:t>
            </w:r>
          </w:p>
        </w:tc>
        <w:tc>
          <w:tcPr>
            <w:tcW w:w="0" w:type="auto"/>
          </w:tcPr>
          <w:p w14:paraId="2E98B27B" w14:textId="77777777" w:rsidR="00E67F89" w:rsidRPr="00E67F89" w:rsidRDefault="00E67F89" w:rsidP="00E67F89">
            <w:r w:rsidRPr="00E67F89">
              <w:t>Le plan de réinstallation inclut les mesures garantissant que les personnes déplacées sont :</w:t>
            </w:r>
          </w:p>
          <w:p w14:paraId="3303F36C" w14:textId="77777777" w:rsidR="00E67F89" w:rsidRPr="00E67F89" w:rsidRDefault="00E67F89" w:rsidP="00E67F89">
            <w:r w:rsidRPr="00E67F89">
              <w:t>1. informées des options qui leur sont ouvertes et des droits se rattachant à la réinstallation. L’option de rapatriement volontaire est généralement favorisée si les victimes le souhaitent.</w:t>
            </w:r>
          </w:p>
          <w:p w14:paraId="399E4ECD" w14:textId="77777777" w:rsidR="00E67F89" w:rsidRPr="00E67F89" w:rsidRDefault="00E67F89" w:rsidP="00E67F89">
            <w:r w:rsidRPr="00E67F89">
              <w:t>2. consultées, soumises à plusieurs choix et informées des alternatives réalisables aux plans technique et économique ; et</w:t>
            </w:r>
          </w:p>
          <w:p w14:paraId="0941DCC7" w14:textId="77777777" w:rsidR="00E67F89" w:rsidRPr="00E67F89" w:rsidRDefault="00E67F89" w:rsidP="00E67F89">
            <w:r w:rsidRPr="00E67F89">
              <w:t xml:space="preserve">En outre, au cas de relocalisation physique figure au nombre des impacts, le plan </w:t>
            </w:r>
            <w:r w:rsidRPr="00E67F89">
              <w:lastRenderedPageBreak/>
              <w:t>de réinstallation inclut les mesures garantissant que les personnes déplacées sont pourvues d’une aide (telles les indemnités de déplacement) pendant la réinstallation.</w:t>
            </w:r>
          </w:p>
        </w:tc>
        <w:tc>
          <w:tcPr>
            <w:tcW w:w="0" w:type="auto"/>
          </w:tcPr>
          <w:p w14:paraId="3EBF6AA7" w14:textId="77777777" w:rsidR="00E67F89" w:rsidRPr="00E67F89" w:rsidRDefault="00E67F89" w:rsidP="00E67F89">
            <w:r w:rsidRPr="00E67F89">
              <w:lastRenderedPageBreak/>
              <w:t>Les exigences de la NES 5 sont des dispositions plus précises. Elles sont applicables et non contraires aux textes malgaches.</w:t>
            </w:r>
          </w:p>
        </w:tc>
      </w:tr>
      <w:tr w:rsidR="00E67F89" w:rsidRPr="00E67F89" w14:paraId="4D588BDD" w14:textId="77777777" w:rsidTr="00223F64">
        <w:tc>
          <w:tcPr>
            <w:tcW w:w="0" w:type="auto"/>
          </w:tcPr>
          <w:p w14:paraId="3FFD05F0" w14:textId="77777777" w:rsidR="00E67F89" w:rsidRPr="00E67F89" w:rsidRDefault="00E67F89" w:rsidP="00E67F89"/>
        </w:tc>
        <w:tc>
          <w:tcPr>
            <w:tcW w:w="0" w:type="auto"/>
          </w:tcPr>
          <w:p w14:paraId="68D9992F" w14:textId="77777777" w:rsidR="00E67F89" w:rsidRPr="00E67F89" w:rsidRDefault="00E67F89" w:rsidP="00E67F89"/>
        </w:tc>
        <w:tc>
          <w:tcPr>
            <w:tcW w:w="0" w:type="auto"/>
          </w:tcPr>
          <w:p w14:paraId="7ED68779" w14:textId="77777777" w:rsidR="00E67F89" w:rsidRPr="00E67F89" w:rsidRDefault="00E67F89" w:rsidP="00E67F89">
            <w:r w:rsidRPr="00E67F89">
              <w:t>Les nouveaux sites construits pour les personnes déplacées offriront des conditions de vie au moins équivalentes à celles dont elles jouissaient ou conformes aux codes ou aux normes minimales en vigueur.</w:t>
            </w:r>
          </w:p>
          <w:p w14:paraId="07182047" w14:textId="77777777" w:rsidR="00E67F89" w:rsidRPr="00E67F89" w:rsidRDefault="00E67F89" w:rsidP="00E67F89">
            <w:r w:rsidRPr="00E67F89">
              <w:t>La meilleure option sera appliquée.</w:t>
            </w:r>
          </w:p>
          <w:p w14:paraId="439AE5E3" w14:textId="77777777" w:rsidR="00E67F89" w:rsidRPr="00E67F89" w:rsidRDefault="00E67F89" w:rsidP="00E67F89">
            <w:r w:rsidRPr="00E67F89">
              <w:t>Si de nouveaux sites de réinstallation doivent être préparés :</w:t>
            </w:r>
          </w:p>
          <w:p w14:paraId="287201BE" w14:textId="77777777" w:rsidR="00E67F89" w:rsidRPr="00E67F89" w:rsidRDefault="00E67F89" w:rsidP="00E67F89">
            <w:r w:rsidRPr="00E67F89">
              <w:t>les communautés hôtes seront consultées sur les options de planification et</w:t>
            </w:r>
          </w:p>
          <w:p w14:paraId="38B9AC6B" w14:textId="77777777" w:rsidR="00E67F89" w:rsidRPr="00E67F89" w:rsidRDefault="00E67F89" w:rsidP="00E67F89">
            <w:r w:rsidRPr="00E67F89">
              <w:t>les plans de réinstallation assureront un accès continu, au moins aux niveaux ou aux normes existantes, pour les communautés hôtes dans les établissements et services.</w:t>
            </w:r>
          </w:p>
          <w:p w14:paraId="461848E8" w14:textId="77777777" w:rsidR="00E67F89" w:rsidRPr="00E67F89" w:rsidRDefault="00E67F89" w:rsidP="00E67F89">
            <w:r w:rsidRPr="00E67F89">
              <w:lastRenderedPageBreak/>
              <w:t>Les préférences des personnes déplacées en matière de réinstallation dans des communautés et groupes déjà existants seront prises en considération, dans la mesure du possible.</w:t>
            </w:r>
          </w:p>
        </w:tc>
        <w:tc>
          <w:tcPr>
            <w:tcW w:w="0" w:type="auto"/>
          </w:tcPr>
          <w:p w14:paraId="2CB1C36D" w14:textId="77777777" w:rsidR="00E67F89" w:rsidRPr="00E67F89" w:rsidRDefault="00E67F89" w:rsidP="00E67F89">
            <w:r w:rsidRPr="00E67F89">
              <w:lastRenderedPageBreak/>
              <w:t>Annexe 7 Guide EIS</w:t>
            </w:r>
          </w:p>
        </w:tc>
        <w:tc>
          <w:tcPr>
            <w:tcW w:w="0" w:type="auto"/>
          </w:tcPr>
          <w:p w14:paraId="3AA2E997" w14:textId="77777777" w:rsidR="00E67F89" w:rsidRPr="00E67F89" w:rsidRDefault="00E67F89" w:rsidP="00E67F89">
            <w:r w:rsidRPr="00E67F89">
              <w:t>Pour les impacts de réinstallation de la population, les promoteurs sont également tenus de ce qui suit :</w:t>
            </w:r>
          </w:p>
          <w:p w14:paraId="16E81A27" w14:textId="77777777" w:rsidR="00E67F89" w:rsidRPr="00E67F89" w:rsidRDefault="00E67F89" w:rsidP="00E67F89">
            <w:r w:rsidRPr="00E67F89">
              <w:t>Les personnes déplacées et leurs communautés, ainsi que les communautés hôtes les accueillant, reçoivent à temps, une information pertinente, sont consultées sur les diverses options de réinstallation, et se voient offrir des possibilités de participation à la planification, la mise en œuvre, et le suivi de réinstallation. Des mécanismes appropriés et accessibles d’expression des doléances sont mis en place pour ces groupes</w:t>
            </w:r>
          </w:p>
          <w:p w14:paraId="61400AE8" w14:textId="77777777" w:rsidR="00E67F89" w:rsidRPr="00E67F89" w:rsidRDefault="00E67F89" w:rsidP="00E67F89">
            <w:r w:rsidRPr="00E67F89">
              <w:lastRenderedPageBreak/>
              <w:t>Sur les sites de réinstallation, ou dans les communautés hôtes, l’infrastructure et les services publics sont fournis en tant que de besoin, afin d’améliorer, reconstituer, ou maintenir l’accessibilité des personnes déplacées et des communautés hôtes aux services et les niveaux de ceux-ci. Des ressources alternatives ou comparables sont fournies pour compenser la perte d’accès aux ressources communautaires (telles que les zones piscicoles, les zones de pâturage, les zones énergétiques ou les fourrages.)</w:t>
            </w:r>
          </w:p>
          <w:p w14:paraId="70EF3DB8" w14:textId="77777777" w:rsidR="00E67F89" w:rsidRPr="00E67F89" w:rsidRDefault="00E67F89" w:rsidP="00E67F89">
            <w:r w:rsidRPr="00E67F89">
              <w:t xml:space="preserve">3. Les formes d’organisation communautaires adéquates aux nouvelles circonstances sont fonction des choix exercés par les personnes déplacées. Dans la mesure du possible, les structures sociales et culturelles des personnes </w:t>
            </w:r>
            <w:r w:rsidRPr="00E67F89">
              <w:lastRenderedPageBreak/>
              <w:t>réinstallées, ainsi que les communautés hôtes, sont préservées, et les préférences de personnes réinstallées, pour ce qui est de la relocalisation au sein des communautés et groupes préexistants, sont respectées</w:t>
            </w:r>
          </w:p>
        </w:tc>
        <w:tc>
          <w:tcPr>
            <w:tcW w:w="0" w:type="auto"/>
          </w:tcPr>
          <w:p w14:paraId="251FBB13" w14:textId="77777777" w:rsidR="00E67F89" w:rsidRPr="00E67F89" w:rsidRDefault="00E67F89" w:rsidP="00E67F89">
            <w:r w:rsidRPr="00E67F89">
              <w:lastRenderedPageBreak/>
              <w:t>Les exigences de la NES 5 sont des dispositions plus précises. Elles sont applicables et non contraires aux textes malgaches.</w:t>
            </w:r>
          </w:p>
        </w:tc>
      </w:tr>
      <w:tr w:rsidR="00E67F89" w:rsidRPr="00E67F89" w14:paraId="7491AD2B" w14:textId="77777777" w:rsidTr="00223F64">
        <w:tc>
          <w:tcPr>
            <w:tcW w:w="0" w:type="auto"/>
          </w:tcPr>
          <w:p w14:paraId="58FA6D75" w14:textId="77777777" w:rsidR="00E67F89" w:rsidRPr="00E67F89" w:rsidRDefault="00E67F89" w:rsidP="00E67F89"/>
        </w:tc>
        <w:tc>
          <w:tcPr>
            <w:tcW w:w="0" w:type="auto"/>
          </w:tcPr>
          <w:p w14:paraId="1A4608FC" w14:textId="77777777" w:rsidR="00E67F89" w:rsidRPr="00E67F89" w:rsidRDefault="00E67F89" w:rsidP="00E67F89"/>
        </w:tc>
        <w:tc>
          <w:tcPr>
            <w:tcW w:w="0" w:type="auto"/>
          </w:tcPr>
          <w:p w14:paraId="0BD3591B" w14:textId="77777777" w:rsidR="00E67F89" w:rsidRPr="00E67F89" w:rsidRDefault="00E67F89" w:rsidP="00E67F89">
            <w:r w:rsidRPr="00E67F89">
              <w:t>28. Dans le cas de déplacement physique de populations en vertu du paragraphe 10(a) ou (b), l’Emprunteur leur offrira le choix entre :</w:t>
            </w:r>
          </w:p>
          <w:p w14:paraId="460E2511" w14:textId="77777777" w:rsidR="00E67F89" w:rsidRPr="00E67F89" w:rsidRDefault="00E67F89" w:rsidP="00E67F89">
            <w:r w:rsidRPr="00E67F89">
              <w:t>un logement de remplacement d’une valeur égale ou supérieure, la sécurité d’occupation dans les lieux, des caractéristiques équivalentes ou meilleures, et des avantages en matière d’emplacement</w:t>
            </w:r>
          </w:p>
          <w:p w14:paraId="27B0E939" w14:textId="77777777" w:rsidR="00E67F89" w:rsidRPr="00E67F89" w:rsidRDefault="00E67F89" w:rsidP="00E67F89">
            <w:r w:rsidRPr="00E67F89">
              <w:t>ou une indemnisation en espèces au coût de remplacement.</w:t>
            </w:r>
          </w:p>
          <w:p w14:paraId="48F006B3" w14:textId="77777777" w:rsidR="00E67F89" w:rsidRPr="00E67F89" w:rsidRDefault="00E67F89" w:rsidP="00E67F89">
            <w:r w:rsidRPr="00E67F89">
              <w:lastRenderedPageBreak/>
              <w:t>Une indemnisation en nature sera considérée au lieu d’une indemnisation en espèces.</w:t>
            </w:r>
          </w:p>
        </w:tc>
        <w:tc>
          <w:tcPr>
            <w:tcW w:w="0" w:type="auto"/>
          </w:tcPr>
          <w:p w14:paraId="3B3DD672" w14:textId="77777777" w:rsidR="00E67F89" w:rsidRPr="00E67F89" w:rsidRDefault="00E67F89" w:rsidP="00E67F89">
            <w:r w:rsidRPr="00E67F89">
              <w:lastRenderedPageBreak/>
              <w:t>Annexe 7 Guide EIS</w:t>
            </w:r>
          </w:p>
        </w:tc>
        <w:tc>
          <w:tcPr>
            <w:tcW w:w="0" w:type="auto"/>
          </w:tcPr>
          <w:p w14:paraId="4E58AFF3" w14:textId="77777777" w:rsidR="00E67F89" w:rsidRPr="00E67F89" w:rsidRDefault="00E67F89" w:rsidP="00E67F89">
            <w:r w:rsidRPr="00E67F89">
              <w:t>Le Guide EIS ne fait pas de distinction selon la catégorie des personnes déplacées.</w:t>
            </w:r>
          </w:p>
          <w:p w14:paraId="3B62E3A1" w14:textId="77777777" w:rsidR="00E67F89" w:rsidRPr="00E67F89" w:rsidRDefault="00E67F89" w:rsidP="00E67F89">
            <w:r w:rsidRPr="00E67F89">
              <w:t xml:space="preserve">En cas de relocalisation physique figure au nombre des impacts, le plan de réinstallation inclut les mesures garantissant que les personnes déplacées sont pourvues de logements ou de terrains à bâtir, ou, selon les exigences posées, de terrains agricoles présentant une combinaison de potentiel productif, d’avantages géographiques et autres facteurs au moins </w:t>
            </w:r>
            <w:r w:rsidRPr="00E67F89">
              <w:lastRenderedPageBreak/>
              <w:t>équivalente aux avantages du site antérieur.</w:t>
            </w:r>
          </w:p>
        </w:tc>
        <w:tc>
          <w:tcPr>
            <w:tcW w:w="0" w:type="auto"/>
          </w:tcPr>
          <w:p w14:paraId="5BC375F9" w14:textId="77777777" w:rsidR="00E67F89" w:rsidRPr="00E67F89" w:rsidRDefault="00E67F89" w:rsidP="00E67F89">
            <w:r w:rsidRPr="00E67F89">
              <w:lastRenderedPageBreak/>
              <w:t>Les exigences de la NES 5 sont des dispositions plus précises. Elles sont applicables et non contraires aux textes malgaches.</w:t>
            </w:r>
          </w:p>
        </w:tc>
      </w:tr>
      <w:tr w:rsidR="00E67F89" w:rsidRPr="00E67F89" w14:paraId="3B2C1AC7" w14:textId="77777777" w:rsidTr="00223F64">
        <w:tc>
          <w:tcPr>
            <w:tcW w:w="0" w:type="auto"/>
          </w:tcPr>
          <w:p w14:paraId="13AD310D" w14:textId="77777777" w:rsidR="00E67F89" w:rsidRPr="00E67F89" w:rsidRDefault="00E67F89" w:rsidP="00E67F89"/>
        </w:tc>
        <w:tc>
          <w:tcPr>
            <w:tcW w:w="0" w:type="auto"/>
          </w:tcPr>
          <w:p w14:paraId="763F7EE2" w14:textId="77777777" w:rsidR="00E67F89" w:rsidRPr="00E67F89" w:rsidRDefault="00E67F89" w:rsidP="00E67F89"/>
        </w:tc>
        <w:tc>
          <w:tcPr>
            <w:tcW w:w="0" w:type="auto"/>
          </w:tcPr>
          <w:p w14:paraId="7CF3A905" w14:textId="77777777" w:rsidR="00E67F89" w:rsidRPr="00E67F89" w:rsidRDefault="00E67F89" w:rsidP="00E67F89">
            <w:r w:rsidRPr="00E67F89">
              <w:t>29. Dans le cas des personnes physiquement déplacées conformément au paragraphe 10(c), l’Emprunteur prendra des dispositions pour leur permettre d’obtenir un logement adéquat avec la sécurité d’occupation.</w:t>
            </w:r>
          </w:p>
          <w:p w14:paraId="2AA82E03" w14:textId="77777777" w:rsidR="00E67F89" w:rsidRPr="00E67F89" w:rsidRDefault="00E67F89" w:rsidP="00E67F89">
            <w:r w:rsidRPr="00E67F89">
              <w:t>Si ces personnes déplacées possèdent des structures : les indemniser pour la perte d’actifs autres que les terres, tels que les habitations et les autres mises en valeur des terres, au prix de remplacement intégral.</w:t>
            </w:r>
          </w:p>
          <w:p w14:paraId="10F9F30C" w14:textId="77777777" w:rsidR="00E67F89" w:rsidRPr="00E67F89" w:rsidRDefault="00E67F89" w:rsidP="00E67F89">
            <w:r w:rsidRPr="00E67F89">
              <w:t>Après consultation de ces personnes déplacées : fournir une aide à la réinstallation suffisante – pour leur permettre de rétablir leur niveau de vie sur un site de remplacement adéquat.</w:t>
            </w:r>
          </w:p>
        </w:tc>
        <w:tc>
          <w:tcPr>
            <w:tcW w:w="0" w:type="auto"/>
          </w:tcPr>
          <w:p w14:paraId="5FEDD18C" w14:textId="77777777" w:rsidR="00E67F89" w:rsidRPr="00E67F89" w:rsidRDefault="00E67F89" w:rsidP="00E67F89">
            <w:r w:rsidRPr="00E67F89">
              <w:t>N/P</w:t>
            </w:r>
          </w:p>
        </w:tc>
        <w:tc>
          <w:tcPr>
            <w:tcW w:w="0" w:type="auto"/>
          </w:tcPr>
          <w:p w14:paraId="418CDEEC" w14:textId="77777777" w:rsidR="00E67F89" w:rsidRPr="00E67F89" w:rsidRDefault="00E67F89" w:rsidP="00E67F89">
            <w:r w:rsidRPr="00E67F89">
              <w:t>Les textes ne prévoient pas ces points.</w:t>
            </w:r>
          </w:p>
        </w:tc>
        <w:tc>
          <w:tcPr>
            <w:tcW w:w="0" w:type="auto"/>
          </w:tcPr>
          <w:p w14:paraId="5450CF43" w14:textId="77777777" w:rsidR="00E67F89" w:rsidRPr="00E67F89" w:rsidRDefault="00E67F89" w:rsidP="00E67F89">
            <w:r w:rsidRPr="00E67F89">
              <w:t>Les exigences de la NES 5 sont des dispositions plus élargies. Elles sont applicables et non contraires aux textes malgaches.</w:t>
            </w:r>
          </w:p>
        </w:tc>
      </w:tr>
      <w:tr w:rsidR="00E67F89" w:rsidRPr="00E67F89" w14:paraId="0ABD3EA7" w14:textId="77777777" w:rsidTr="00223F64">
        <w:tc>
          <w:tcPr>
            <w:tcW w:w="0" w:type="auto"/>
          </w:tcPr>
          <w:p w14:paraId="260C0B2D" w14:textId="77777777" w:rsidR="00E67F89" w:rsidRPr="00E67F89" w:rsidRDefault="00E67F89" w:rsidP="00E67F89">
            <w:r w:rsidRPr="00E67F89">
              <w:t xml:space="preserve">Cas de personnes empiétant la zone du </w:t>
            </w:r>
            <w:r w:rsidRPr="00E67F89">
              <w:lastRenderedPageBreak/>
              <w:t>projet après la date limite d’éligibilité</w:t>
            </w:r>
          </w:p>
        </w:tc>
        <w:tc>
          <w:tcPr>
            <w:tcW w:w="0" w:type="auto"/>
          </w:tcPr>
          <w:p w14:paraId="371590BE" w14:textId="77777777" w:rsidR="00E67F89" w:rsidRPr="00E67F89" w:rsidRDefault="00E67F89" w:rsidP="00E67F89">
            <w:r w:rsidRPr="00E67F89">
              <w:lastRenderedPageBreak/>
              <w:t>30</w:t>
            </w:r>
          </w:p>
        </w:tc>
        <w:tc>
          <w:tcPr>
            <w:tcW w:w="0" w:type="auto"/>
          </w:tcPr>
          <w:p w14:paraId="515EA93B" w14:textId="77777777" w:rsidR="00E67F89" w:rsidRPr="00E67F89" w:rsidRDefault="00E67F89" w:rsidP="00E67F89">
            <w:r w:rsidRPr="00E67F89">
              <w:t xml:space="preserve">L’Emprunteur n’est pas tenu d’indemniser ni d’aider les personnes </w:t>
            </w:r>
            <w:r w:rsidRPr="00E67F89">
              <w:lastRenderedPageBreak/>
              <w:t>qui empiètent sur la zone du projet après la date limite d’éligibilité, à condition que la date limite ait clairement été établie et rendue publique.</w:t>
            </w:r>
          </w:p>
        </w:tc>
        <w:tc>
          <w:tcPr>
            <w:tcW w:w="0" w:type="auto"/>
          </w:tcPr>
          <w:p w14:paraId="378F1EF7" w14:textId="77777777" w:rsidR="00E67F89" w:rsidRPr="00E67F89" w:rsidRDefault="00E67F89" w:rsidP="00E67F89">
            <w:r w:rsidRPr="00E67F89">
              <w:lastRenderedPageBreak/>
              <w:t>N/P</w:t>
            </w:r>
          </w:p>
          <w:p w14:paraId="08A3BE1A" w14:textId="77777777" w:rsidR="00E67F89" w:rsidRPr="00E67F89" w:rsidRDefault="00E67F89" w:rsidP="00E67F89">
            <w:r w:rsidRPr="00E67F89">
              <w:lastRenderedPageBreak/>
              <w:t>Art.20 Ord. n°62- 023.</w:t>
            </w:r>
          </w:p>
        </w:tc>
        <w:tc>
          <w:tcPr>
            <w:tcW w:w="0" w:type="auto"/>
          </w:tcPr>
          <w:p w14:paraId="0CC0B328" w14:textId="77777777" w:rsidR="00E67F89" w:rsidRPr="00E67F89" w:rsidRDefault="00E67F89" w:rsidP="00E67F89">
            <w:r w:rsidRPr="00E67F89">
              <w:lastRenderedPageBreak/>
              <w:t xml:space="preserve">Les textes ne prévoient pas ces points. En tout cas, les </w:t>
            </w:r>
            <w:r w:rsidRPr="00E67F89">
              <w:lastRenderedPageBreak/>
              <w:t>personnes se présentant après la date d’éligibilité (art.20 in fine Loi n°62-023) sont déchues de tout droit à indemnité.</w:t>
            </w:r>
          </w:p>
        </w:tc>
        <w:tc>
          <w:tcPr>
            <w:tcW w:w="0" w:type="auto"/>
          </w:tcPr>
          <w:p w14:paraId="57A5B27D" w14:textId="77777777" w:rsidR="00E67F89" w:rsidRPr="00E67F89" w:rsidRDefault="00E67F89" w:rsidP="00E67F89">
            <w:r w:rsidRPr="00E67F89">
              <w:lastRenderedPageBreak/>
              <w:t xml:space="preserve">Les exigences de la NES 5 sont des dispositions plus précises. </w:t>
            </w:r>
            <w:r w:rsidRPr="00E67F89">
              <w:lastRenderedPageBreak/>
              <w:t>Elles sont applicables et non contraires aux textes malgaches.</w:t>
            </w:r>
          </w:p>
        </w:tc>
      </w:tr>
      <w:tr w:rsidR="00E67F89" w:rsidRPr="00E67F89" w14:paraId="5A12AD91" w14:textId="77777777" w:rsidTr="00223F64">
        <w:tc>
          <w:tcPr>
            <w:tcW w:w="0" w:type="auto"/>
          </w:tcPr>
          <w:p w14:paraId="19194CF6" w14:textId="77777777" w:rsidR="00E67F89" w:rsidRPr="00E67F89" w:rsidRDefault="00E67F89" w:rsidP="00E67F89">
            <w:r w:rsidRPr="00E67F89">
              <w:t>Cas de recours à l’expulsion forcée (au déguerpissement)</w:t>
            </w:r>
          </w:p>
        </w:tc>
        <w:tc>
          <w:tcPr>
            <w:tcW w:w="0" w:type="auto"/>
          </w:tcPr>
          <w:p w14:paraId="7AAA26FF" w14:textId="77777777" w:rsidR="00E67F89" w:rsidRPr="00E67F89" w:rsidRDefault="00E67F89" w:rsidP="00E67F89">
            <w:r w:rsidRPr="00E67F89">
              <w:t>31</w:t>
            </w:r>
          </w:p>
        </w:tc>
        <w:tc>
          <w:tcPr>
            <w:tcW w:w="0" w:type="auto"/>
          </w:tcPr>
          <w:p w14:paraId="6CA6F63A" w14:textId="77777777" w:rsidR="00E67F89" w:rsidRPr="00E67F89" w:rsidRDefault="00E67F89" w:rsidP="00E67F89">
            <w:r w:rsidRPr="00E67F89">
              <w:t>L’Emprunteur n’aura pas recours aux déguerpissements des personnes affectées.</w:t>
            </w:r>
          </w:p>
          <w:p w14:paraId="5C40F6FF" w14:textId="77777777" w:rsidR="00E67F89" w:rsidRPr="00E67F89" w:rsidRDefault="00E67F89" w:rsidP="00E67F89">
            <w:r w:rsidRPr="00E67F89">
              <w:t>L’expression « déguerpissement » est définie comme étant l’éviction permanente ou temporaire, contre leur volonté et sans qu’une protection juridique ou autre appropriée ait été assurée, de personnes, de familles ou de communautés, de leurs foyers ou des terres qu’elles occupent, y compris toutes les procédures et les principes applicables en vertu de la présente norme.</w:t>
            </w:r>
          </w:p>
        </w:tc>
        <w:tc>
          <w:tcPr>
            <w:tcW w:w="0" w:type="auto"/>
          </w:tcPr>
          <w:p w14:paraId="43506C14" w14:textId="77777777" w:rsidR="00E67F89" w:rsidRPr="00E67F89" w:rsidRDefault="00E67F89" w:rsidP="00E67F89">
            <w:r w:rsidRPr="00E67F89">
              <w:t>N/P</w:t>
            </w:r>
          </w:p>
        </w:tc>
        <w:tc>
          <w:tcPr>
            <w:tcW w:w="0" w:type="auto"/>
          </w:tcPr>
          <w:p w14:paraId="7F4F1421" w14:textId="77777777" w:rsidR="00E67F89" w:rsidRPr="00E67F89" w:rsidRDefault="00E67F89" w:rsidP="00E67F89">
            <w:r w:rsidRPr="00E67F89">
              <w:t>Les textes ne prévoient pas ces points.</w:t>
            </w:r>
          </w:p>
        </w:tc>
        <w:tc>
          <w:tcPr>
            <w:tcW w:w="0" w:type="auto"/>
          </w:tcPr>
          <w:p w14:paraId="17C4202A" w14:textId="77777777" w:rsidR="00E67F89" w:rsidRPr="00E67F89" w:rsidRDefault="00E67F89" w:rsidP="00E67F89">
            <w:r w:rsidRPr="00E67F89">
              <w:t>Les exigences de la NES 5 sont des dispositions plus précises. Elles sont applicables et non contraires aux textes malgaches.</w:t>
            </w:r>
          </w:p>
        </w:tc>
      </w:tr>
      <w:tr w:rsidR="00E67F89" w:rsidRPr="00E67F89" w14:paraId="2E899C9B" w14:textId="77777777" w:rsidTr="00223F64">
        <w:tc>
          <w:tcPr>
            <w:tcW w:w="0" w:type="auto"/>
          </w:tcPr>
          <w:p w14:paraId="19998A5D" w14:textId="77777777" w:rsidR="00E67F89" w:rsidRPr="00E67F89" w:rsidRDefault="00E67F89" w:rsidP="00E67F89"/>
        </w:tc>
        <w:tc>
          <w:tcPr>
            <w:tcW w:w="0" w:type="auto"/>
          </w:tcPr>
          <w:p w14:paraId="325DE0D6" w14:textId="77777777" w:rsidR="00E67F89" w:rsidRPr="00E67F89" w:rsidRDefault="00E67F89" w:rsidP="00E67F89"/>
        </w:tc>
        <w:tc>
          <w:tcPr>
            <w:tcW w:w="0" w:type="auto"/>
          </w:tcPr>
          <w:p w14:paraId="56873D6B" w14:textId="77777777" w:rsidR="00E67F89" w:rsidRPr="00E67F89" w:rsidRDefault="00E67F89" w:rsidP="00E67F89">
            <w:r w:rsidRPr="00E67F89">
              <w:t>L’exercice d’expropriation, d’acquisition forcée ou de pouvoirs semblables par un Emprunteur ne sera pas considéré comme une expulsion forcée à condition</w:t>
            </w:r>
          </w:p>
          <w:p w14:paraId="1D4C1D3F" w14:textId="77777777" w:rsidR="00E67F89" w:rsidRPr="00E67F89" w:rsidRDefault="00E67F89" w:rsidP="00E67F89">
            <w:r w:rsidRPr="00E67F89">
              <w:lastRenderedPageBreak/>
              <w:t>qu’il remplisse les exigences de la législation nationale et les dispositions de la présente NES, et</w:t>
            </w:r>
          </w:p>
          <w:p w14:paraId="0C0AB888" w14:textId="77777777" w:rsidR="00E67F89" w:rsidRPr="00E67F89" w:rsidRDefault="00E67F89" w:rsidP="00E67F89">
            <w:r w:rsidRPr="00E67F89">
              <w:t>soit mené d’une manière compatible avec les principes fondamentaux d’un processus équitable (y compris la fourniture d’un préavis suffisant, des opportunités réelles de déposer des plaintes, et le fait d’éviter le recours à la force inutile, disproportionnée ou excessive).</w:t>
            </w:r>
          </w:p>
        </w:tc>
        <w:tc>
          <w:tcPr>
            <w:tcW w:w="0" w:type="auto"/>
          </w:tcPr>
          <w:p w14:paraId="1255E731" w14:textId="77777777" w:rsidR="00E67F89" w:rsidRPr="00E67F89" w:rsidRDefault="00E67F89" w:rsidP="00E67F89">
            <w:r w:rsidRPr="00E67F89">
              <w:lastRenderedPageBreak/>
              <w:t>N/P</w:t>
            </w:r>
          </w:p>
        </w:tc>
        <w:tc>
          <w:tcPr>
            <w:tcW w:w="0" w:type="auto"/>
          </w:tcPr>
          <w:p w14:paraId="0492F59B" w14:textId="77777777" w:rsidR="00E67F89" w:rsidRPr="00E67F89" w:rsidRDefault="00E67F89" w:rsidP="00E67F89">
            <w:r w:rsidRPr="00E67F89">
              <w:t>Les textes ne prévoient pas ces points.</w:t>
            </w:r>
          </w:p>
        </w:tc>
        <w:tc>
          <w:tcPr>
            <w:tcW w:w="0" w:type="auto"/>
          </w:tcPr>
          <w:p w14:paraId="14E4F4A2" w14:textId="77777777" w:rsidR="00E67F89" w:rsidRPr="00E67F89" w:rsidRDefault="00E67F89" w:rsidP="00E67F89">
            <w:r w:rsidRPr="00E67F89">
              <w:t>Les exigences de la NES 5 sont des dispositions plus précises. Elles sont applicables et non contraires aux textes malgaches.</w:t>
            </w:r>
          </w:p>
        </w:tc>
      </w:tr>
      <w:tr w:rsidR="00E67F89" w:rsidRPr="00E67F89" w14:paraId="6B421117" w14:textId="77777777" w:rsidTr="00223F64">
        <w:tc>
          <w:tcPr>
            <w:tcW w:w="0" w:type="auto"/>
          </w:tcPr>
          <w:p w14:paraId="7049B129" w14:textId="77777777" w:rsidR="00E67F89" w:rsidRPr="00E67F89" w:rsidRDefault="00E67F89" w:rsidP="00E67F89">
            <w:r w:rsidRPr="00E67F89">
              <w:t>Négociation d’alternativeau déplacement</w:t>
            </w:r>
          </w:p>
        </w:tc>
        <w:tc>
          <w:tcPr>
            <w:tcW w:w="0" w:type="auto"/>
          </w:tcPr>
          <w:p w14:paraId="561E5D57" w14:textId="77777777" w:rsidR="00E67F89" w:rsidRPr="00E67F89" w:rsidRDefault="00E67F89" w:rsidP="00E67F89">
            <w:r w:rsidRPr="00E67F89">
              <w:t>32</w:t>
            </w:r>
          </w:p>
        </w:tc>
        <w:tc>
          <w:tcPr>
            <w:tcW w:w="0" w:type="auto"/>
          </w:tcPr>
          <w:p w14:paraId="65EFBEBA" w14:textId="77777777" w:rsidR="00E67F89" w:rsidRPr="00E67F89" w:rsidRDefault="00E67F89" w:rsidP="00E67F89">
            <w:r w:rsidRPr="00E67F89">
              <w:t>Comme alternative au déplacement, l’Emprunteur peut envisager de négocier in- situ des dispositions d’aménagement du territoire par lesquelles les personnes affectées peuvent choisir d’accepter</w:t>
            </w:r>
          </w:p>
          <w:p w14:paraId="3974C388" w14:textId="77777777" w:rsidR="00E67F89" w:rsidRPr="00E67F89" w:rsidRDefault="00E67F89" w:rsidP="00E67F89">
            <w:r w:rsidRPr="00E67F89">
              <w:t>une perte partielle de terres ou</w:t>
            </w:r>
          </w:p>
          <w:p w14:paraId="4F7E09B4" w14:textId="77777777" w:rsidR="00E67F89" w:rsidRPr="00E67F89" w:rsidRDefault="00E67F89" w:rsidP="00E67F89">
            <w:r w:rsidRPr="00E67F89">
              <w:t>la relocalisation en échange d’améliorations qui permettront d’accroître la valeur de leur propriété après le développement.</w:t>
            </w:r>
          </w:p>
        </w:tc>
        <w:tc>
          <w:tcPr>
            <w:tcW w:w="0" w:type="auto"/>
          </w:tcPr>
          <w:p w14:paraId="31471B4E" w14:textId="77777777" w:rsidR="00E67F89" w:rsidRPr="00E67F89" w:rsidRDefault="00E67F89" w:rsidP="00E67F89">
            <w:r w:rsidRPr="00E67F89">
              <w:t>art.71, 78 Ord. n°62-023.</w:t>
            </w:r>
          </w:p>
        </w:tc>
        <w:tc>
          <w:tcPr>
            <w:tcW w:w="0" w:type="auto"/>
          </w:tcPr>
          <w:p w14:paraId="0FEF3BCE" w14:textId="77777777" w:rsidR="00E67F89" w:rsidRPr="00E67F89" w:rsidRDefault="00E67F89" w:rsidP="00E67F89">
            <w:r w:rsidRPr="00E67F89">
              <w:t>Les textes ne prévoient pas des dispositions spécifiques concernant ces points.</w:t>
            </w:r>
          </w:p>
          <w:p w14:paraId="67D617B7" w14:textId="77777777" w:rsidR="00E67F89" w:rsidRPr="00E67F89" w:rsidRDefault="00E67F89" w:rsidP="00E67F89"/>
          <w:p w14:paraId="1B58A512" w14:textId="77777777" w:rsidR="00E67F89" w:rsidRPr="00E67F89" w:rsidRDefault="00E67F89" w:rsidP="00E67F89">
            <w:r w:rsidRPr="00E67F89">
              <w:t>Toutefois, il faut noter qu’en cas de plus-value de plus de 30% apportée à la valeur de la propriété, la loi exige le paiement d’une redevance évaluée au montant de l’amélioration.</w:t>
            </w:r>
          </w:p>
        </w:tc>
        <w:tc>
          <w:tcPr>
            <w:tcW w:w="0" w:type="auto"/>
          </w:tcPr>
          <w:p w14:paraId="32C151FF" w14:textId="77777777" w:rsidR="00E67F89" w:rsidRPr="00E67F89" w:rsidRDefault="00E67F89" w:rsidP="00E67F89">
            <w:r w:rsidRPr="00E67F89">
              <w:t>Les exigences de la NES 5 sont des dispositions plus précises.</w:t>
            </w:r>
          </w:p>
          <w:p w14:paraId="3D736ECA" w14:textId="77777777" w:rsidR="00E67F89" w:rsidRPr="00E67F89" w:rsidRDefault="00E67F89" w:rsidP="00E67F89"/>
          <w:p w14:paraId="106E1C58" w14:textId="77777777" w:rsidR="00E67F89" w:rsidRPr="00E67F89" w:rsidRDefault="00E67F89" w:rsidP="00E67F89">
            <w:r w:rsidRPr="00E67F89">
              <w:t>La relocalisation peut être une réponse au développement de la valeur de la propriété. Elles sont applicables et non contraires aux textes malgaches.</w:t>
            </w:r>
          </w:p>
        </w:tc>
      </w:tr>
      <w:tr w:rsidR="00E67F89" w:rsidRPr="00E67F89" w14:paraId="17815C9A" w14:textId="77777777" w:rsidTr="00223F64">
        <w:tc>
          <w:tcPr>
            <w:tcW w:w="0" w:type="auto"/>
          </w:tcPr>
          <w:p w14:paraId="6096973D" w14:textId="77777777" w:rsidR="00E67F89" w:rsidRPr="00E67F89" w:rsidRDefault="00E67F89" w:rsidP="00E67F89">
            <w:r w:rsidRPr="00E67F89">
              <w:lastRenderedPageBreak/>
              <w:t>(Non-participation à la négociation d’alternative au déplacement)</w:t>
            </w:r>
          </w:p>
        </w:tc>
        <w:tc>
          <w:tcPr>
            <w:tcW w:w="0" w:type="auto"/>
          </w:tcPr>
          <w:p w14:paraId="0C34F0FB" w14:textId="77777777" w:rsidR="00E67F89" w:rsidRPr="00E67F89" w:rsidRDefault="00E67F89" w:rsidP="00E67F89"/>
        </w:tc>
        <w:tc>
          <w:tcPr>
            <w:tcW w:w="0" w:type="auto"/>
          </w:tcPr>
          <w:p w14:paraId="660D7D49" w14:textId="77777777" w:rsidR="00E67F89" w:rsidRPr="00E67F89" w:rsidRDefault="00E67F89" w:rsidP="00E67F89">
            <w:r w:rsidRPr="00E67F89">
              <w:t>Toute personne, ne souhaitant pas participer, sera autorisée à opter pour :</w:t>
            </w:r>
          </w:p>
          <w:p w14:paraId="2E8C4AE3" w14:textId="77777777" w:rsidR="00E67F89" w:rsidRPr="00E67F89" w:rsidRDefault="00E67F89" w:rsidP="00E67F89">
            <w:r w:rsidRPr="00E67F89">
              <w:t>une indemnisation intégrale et</w:t>
            </w:r>
          </w:p>
          <w:p w14:paraId="5721B97C" w14:textId="77777777" w:rsidR="00E67F89" w:rsidRPr="00E67F89" w:rsidRDefault="00E67F89" w:rsidP="00E67F89">
            <w:r w:rsidRPr="00E67F89">
              <w:t>toute autre assistance conforme à la présente norme.</w:t>
            </w:r>
          </w:p>
        </w:tc>
        <w:tc>
          <w:tcPr>
            <w:tcW w:w="0" w:type="auto"/>
          </w:tcPr>
          <w:p w14:paraId="43D5ADC7" w14:textId="77777777" w:rsidR="00E67F89" w:rsidRPr="00E67F89" w:rsidRDefault="00E67F89" w:rsidP="00E67F89">
            <w:r w:rsidRPr="00E67F89">
              <w:t>N/P</w:t>
            </w:r>
          </w:p>
        </w:tc>
        <w:tc>
          <w:tcPr>
            <w:tcW w:w="0" w:type="auto"/>
          </w:tcPr>
          <w:p w14:paraId="77787C10" w14:textId="77777777" w:rsidR="00E67F89" w:rsidRPr="00E67F89" w:rsidRDefault="00E67F89" w:rsidP="00E67F89">
            <w:r w:rsidRPr="00E67F89">
              <w:t>Les textes ne prévoient pas ces points.</w:t>
            </w:r>
          </w:p>
        </w:tc>
        <w:tc>
          <w:tcPr>
            <w:tcW w:w="0" w:type="auto"/>
          </w:tcPr>
          <w:p w14:paraId="643C6AAC" w14:textId="77777777" w:rsidR="00E67F89" w:rsidRPr="00E67F89" w:rsidRDefault="00E67F89" w:rsidP="00E67F89">
            <w:r w:rsidRPr="00E67F89">
              <w:t>Les exigences de la NES 5 sont des dispositions plus précises. Elles sont applicables et non contraires aux textes</w:t>
            </w:r>
          </w:p>
          <w:p w14:paraId="7CD521DF" w14:textId="77777777" w:rsidR="00E67F89" w:rsidRPr="00E67F89" w:rsidRDefault="00E67F89" w:rsidP="00E67F89">
            <w:r w:rsidRPr="00E67F89">
              <w:t>malgaches.</w:t>
            </w:r>
          </w:p>
        </w:tc>
      </w:tr>
      <w:tr w:rsidR="00E67F89" w:rsidRPr="00E67F89" w14:paraId="63C6DE01" w14:textId="77777777" w:rsidTr="00223F64">
        <w:tc>
          <w:tcPr>
            <w:tcW w:w="0" w:type="auto"/>
            <w:gridSpan w:val="6"/>
          </w:tcPr>
          <w:p w14:paraId="58CA4BB2" w14:textId="77777777" w:rsidR="00E67F89" w:rsidRPr="00E67F89" w:rsidRDefault="00E67F89" w:rsidP="00E67F89">
            <w:r w:rsidRPr="00E67F89">
              <w:t xml:space="preserve">Déplacement économique </w:t>
            </w:r>
          </w:p>
        </w:tc>
      </w:tr>
      <w:tr w:rsidR="00E67F89" w:rsidRPr="00E67F89" w14:paraId="1D00E351" w14:textId="77777777" w:rsidTr="00223F64">
        <w:tc>
          <w:tcPr>
            <w:tcW w:w="0" w:type="auto"/>
          </w:tcPr>
          <w:p w14:paraId="5F3FAD3E" w14:textId="77777777" w:rsidR="00E67F89" w:rsidRPr="00E67F89" w:rsidRDefault="00E67F89" w:rsidP="00E67F89">
            <w:r w:rsidRPr="00E67F89">
              <w:t>Mise en place d’un plan d’amélioration ou de restauration des moyens de</w:t>
            </w:r>
          </w:p>
          <w:p w14:paraId="28E61E68" w14:textId="77777777" w:rsidR="00E67F89" w:rsidRPr="00E67F89" w:rsidRDefault="00E67F89" w:rsidP="00E67F89">
            <w:r w:rsidRPr="00E67F89">
              <w:t>subsistance</w:t>
            </w:r>
          </w:p>
        </w:tc>
        <w:tc>
          <w:tcPr>
            <w:tcW w:w="0" w:type="auto"/>
          </w:tcPr>
          <w:p w14:paraId="1F29516D" w14:textId="77777777" w:rsidR="00E67F89" w:rsidRPr="00E67F89" w:rsidRDefault="00E67F89" w:rsidP="00E67F89">
            <w:r w:rsidRPr="00E67F89">
              <w:t>33</w:t>
            </w:r>
          </w:p>
        </w:tc>
        <w:tc>
          <w:tcPr>
            <w:tcW w:w="0" w:type="auto"/>
          </w:tcPr>
          <w:p w14:paraId="0F258DAE" w14:textId="77777777" w:rsidR="00E67F89" w:rsidRPr="00E67F89" w:rsidRDefault="00E67F89" w:rsidP="00E67F89">
            <w:r w:rsidRPr="00E67F89">
              <w:t>Dans le cas de projets ayant un impact sur les moyens de subsistance ou la génération de revenus, l’Emprunteur mettra au point un plan visant à assurer que les personnes affectées puissent</w:t>
            </w:r>
          </w:p>
          <w:p w14:paraId="2EB8FFD7" w14:textId="77777777" w:rsidR="00E67F89" w:rsidRPr="00E67F89" w:rsidRDefault="00E67F89" w:rsidP="00E67F89">
            <w:r w:rsidRPr="00E67F89">
              <w:t>améliorer,</w:t>
            </w:r>
          </w:p>
          <w:p w14:paraId="0A3B945B" w14:textId="77777777" w:rsidR="00E67F89" w:rsidRPr="00E67F89" w:rsidRDefault="00E67F89" w:rsidP="00E67F89">
            <w:r w:rsidRPr="00E67F89">
              <w:t>ou tout au moins restaurer leurs revenus ou moyens de subsistance.</w:t>
            </w:r>
          </w:p>
          <w:p w14:paraId="2AB711D8" w14:textId="77777777" w:rsidR="00E67F89" w:rsidRPr="00E67F89" w:rsidRDefault="00E67F89" w:rsidP="00E67F89">
            <w:r w:rsidRPr="00E67F89">
              <w:t>Le plan :</w:t>
            </w:r>
          </w:p>
          <w:p w14:paraId="4C345A71" w14:textId="77777777" w:rsidR="00E67F89" w:rsidRPr="00E67F89" w:rsidRDefault="00E67F89" w:rsidP="00E67F89">
            <w:r w:rsidRPr="00E67F89">
              <w:t xml:space="preserve">fixera les droits des personnes et/ou des communautés affectées, en portant une attention particulière aux aspects liés au genre et aux besoins </w:t>
            </w:r>
            <w:r w:rsidRPr="00E67F89">
              <w:lastRenderedPageBreak/>
              <w:t>des segments vulnérables des communautés, et</w:t>
            </w:r>
          </w:p>
          <w:p w14:paraId="0F7E8C20" w14:textId="77777777" w:rsidR="00E67F89" w:rsidRPr="00E67F89" w:rsidRDefault="00E67F89" w:rsidP="00E67F89">
            <w:r w:rsidRPr="00E67F89">
              <w:t>veillera à ce que leur indemnisation soit versée de manière transparente, cohérente et équitable.</w:t>
            </w:r>
          </w:p>
          <w:p w14:paraId="04D270C2" w14:textId="77777777" w:rsidR="00E67F89" w:rsidRPr="00E67F89" w:rsidRDefault="00E67F89" w:rsidP="00E67F89">
            <w:r w:rsidRPr="00E67F89">
              <w:t>Le plan comportera des mécanismes pour surveiller :</w:t>
            </w:r>
          </w:p>
          <w:p w14:paraId="183C80BF" w14:textId="77777777" w:rsidR="00E67F89" w:rsidRPr="00E67F89" w:rsidRDefault="00E67F89" w:rsidP="00E67F89">
            <w:r w:rsidRPr="00E67F89">
              <w:t>l’efficacité des mesures de subsistance pendant la mise en œuvre, ainsi que</w:t>
            </w:r>
          </w:p>
          <w:p w14:paraId="6423D0B0" w14:textId="77777777" w:rsidR="00E67F89" w:rsidRPr="00E67F89" w:rsidRDefault="00E67F89" w:rsidP="00E67F89">
            <w:r w:rsidRPr="00E67F89">
              <w:t>l’évaluation une fois la mise en œuvre terminée.</w:t>
            </w:r>
          </w:p>
          <w:p w14:paraId="4D09DDB5" w14:textId="77777777" w:rsidR="00E67F89" w:rsidRPr="00E67F89" w:rsidRDefault="00E67F89" w:rsidP="00E67F89">
            <w:r w:rsidRPr="00E67F89">
              <w:t>L’atténuation d’un déplacement économique sera considérée comme achevée une fois que l’audit d’achèvement aura conclu que les personnes ou les communautés affectées ont reçu toutes les aides auxquelles elles ont droit, et qu’il sera établi qu’elles auront pu bénéficier de possibilités adéquates pour rétablir leurs moyens d’existence.</w:t>
            </w:r>
          </w:p>
        </w:tc>
        <w:tc>
          <w:tcPr>
            <w:tcW w:w="0" w:type="auto"/>
          </w:tcPr>
          <w:p w14:paraId="0E8B4691" w14:textId="77777777" w:rsidR="00E67F89" w:rsidRPr="00E67F89" w:rsidRDefault="00E67F89" w:rsidP="00E67F89">
            <w:r w:rsidRPr="00E67F89">
              <w:lastRenderedPageBreak/>
              <w:t>Annexe 7 Guide EIS</w:t>
            </w:r>
          </w:p>
        </w:tc>
        <w:tc>
          <w:tcPr>
            <w:tcW w:w="0" w:type="auto"/>
          </w:tcPr>
          <w:p w14:paraId="101EEC0A" w14:textId="77777777" w:rsidR="00E67F89" w:rsidRPr="00E67F89" w:rsidRDefault="00E67F89" w:rsidP="00E67F89">
            <w:r w:rsidRPr="00E67F89">
              <w:t>Les promoteurs doivent prêter une attention particulière aux couches les plus vulnérables c'est- à-dire celles qui vivent en-deçà du seuil de pauvreté, les travailleurs sans terre, les femmes et les enfants, les populations autochtones, les minorités ethniques et toutes autres personnes déplacées risquant de ne pas être protégées par la législation nationale relative à la compensation foncière.</w:t>
            </w:r>
          </w:p>
        </w:tc>
        <w:tc>
          <w:tcPr>
            <w:tcW w:w="0" w:type="auto"/>
          </w:tcPr>
          <w:p w14:paraId="0D51FA6D" w14:textId="77777777" w:rsidR="00E67F89" w:rsidRPr="00E67F89" w:rsidRDefault="00E67F89" w:rsidP="00E67F89">
            <w:r w:rsidRPr="00E67F89">
              <w:t>Les exigences de la NES 5 sont des dispositions plus précises. Elles sont applicables et non contraires aux textes malgaches.</w:t>
            </w:r>
          </w:p>
        </w:tc>
      </w:tr>
      <w:tr w:rsidR="00E67F89" w:rsidRPr="00E67F89" w14:paraId="53BA6B91" w14:textId="77777777" w:rsidTr="00223F64">
        <w:tc>
          <w:tcPr>
            <w:tcW w:w="0" w:type="auto"/>
          </w:tcPr>
          <w:p w14:paraId="461D6B59" w14:textId="77777777" w:rsidR="00E67F89" w:rsidRPr="00E67F89" w:rsidRDefault="00E67F89" w:rsidP="00E67F89">
            <w:r w:rsidRPr="00E67F89">
              <w:lastRenderedPageBreak/>
              <w:t>Mécanismes de l’indemnisation au coût de</w:t>
            </w:r>
          </w:p>
          <w:p w14:paraId="71AC15C3" w14:textId="77777777" w:rsidR="00E67F89" w:rsidRPr="00E67F89" w:rsidRDefault="00E67F89" w:rsidP="00E67F89">
            <w:r w:rsidRPr="00E67F89">
              <w:t>remplacement intégral suivant la catégorie des bénéficiaires</w:t>
            </w:r>
          </w:p>
        </w:tc>
        <w:tc>
          <w:tcPr>
            <w:tcW w:w="0" w:type="auto"/>
          </w:tcPr>
          <w:p w14:paraId="71CBD146" w14:textId="77777777" w:rsidR="00E67F89" w:rsidRPr="00E67F89" w:rsidRDefault="00E67F89" w:rsidP="00E67F89">
            <w:r w:rsidRPr="00E67F89">
              <w:t>34</w:t>
            </w:r>
          </w:p>
        </w:tc>
        <w:tc>
          <w:tcPr>
            <w:tcW w:w="0" w:type="auto"/>
          </w:tcPr>
          <w:p w14:paraId="332858F3" w14:textId="77777777" w:rsidR="00E67F89" w:rsidRPr="00E67F89" w:rsidRDefault="00E67F89" w:rsidP="00E67F89">
            <w:r w:rsidRPr="00E67F89">
              <w:t>Les personnes économiquement déplacées qui subissent la perte de biens ou d’accès à des biens seront indemnisées pour cette perte au coût de remplacement intégral :</w:t>
            </w:r>
          </w:p>
          <w:p w14:paraId="2DE9391F" w14:textId="77777777" w:rsidR="00E67F89" w:rsidRPr="00E67F89" w:rsidRDefault="00E67F89" w:rsidP="00E67F89">
            <w:r w:rsidRPr="00E67F89">
              <w:t>(a) Dans les cas où l’acquisition de terres ou les restrictions sur l’utilisation de terres touchent des structures commerciales, les propriétaires des entreprises concernées seront indemnisés pour :</w:t>
            </w:r>
          </w:p>
          <w:p w14:paraId="674121BE" w14:textId="77777777" w:rsidR="00E67F89" w:rsidRPr="00E67F89" w:rsidRDefault="00E67F89" w:rsidP="00E67F89">
            <w:r w:rsidRPr="00E67F89">
              <w:t>le coût d’identification d’un autre emplacement viable,</w:t>
            </w:r>
          </w:p>
          <w:p w14:paraId="48B85ACD" w14:textId="77777777" w:rsidR="00E67F89" w:rsidRPr="00E67F89" w:rsidRDefault="00E67F89" w:rsidP="00E67F89">
            <w:r w:rsidRPr="00E67F89">
              <w:t>la perte nette de revenus pendant la période de transition et</w:t>
            </w:r>
          </w:p>
          <w:p w14:paraId="63805013" w14:textId="77777777" w:rsidR="00E67F89" w:rsidRPr="00E67F89" w:rsidRDefault="00E67F89" w:rsidP="00E67F89">
            <w:r w:rsidRPr="00E67F89">
              <w:t>les coûts du transfert et de la réinstallation de leurs usines, de leurs machines ou de leurs autres équipements, et pour la restauration de leurs activités commerciales.</w:t>
            </w:r>
          </w:p>
          <w:p w14:paraId="4C8CCE6E" w14:textId="77777777" w:rsidR="00E67F89" w:rsidRPr="00E67F89" w:rsidRDefault="00E67F89" w:rsidP="00E67F89">
            <w:r w:rsidRPr="00E67F89">
              <w:t>Les employés affectés :</w:t>
            </w:r>
          </w:p>
          <w:p w14:paraId="50D83085" w14:textId="77777777" w:rsidR="00E67F89" w:rsidRPr="00E67F89" w:rsidRDefault="00E67F89" w:rsidP="00E67F89">
            <w:r w:rsidRPr="00E67F89">
              <w:lastRenderedPageBreak/>
              <w:t>recevront une aide pour la perte temporaire de salaires et, le cas échéant,</w:t>
            </w:r>
          </w:p>
          <w:p w14:paraId="10CA4100" w14:textId="77777777" w:rsidR="00E67F89" w:rsidRPr="00E67F89" w:rsidRDefault="00E67F89" w:rsidP="00E67F89">
            <w:r w:rsidRPr="00E67F89">
              <w:t>les aider à identifier des possibilités d’emploi ;</w:t>
            </w:r>
          </w:p>
          <w:p w14:paraId="3A2C58F1" w14:textId="77777777" w:rsidR="00E67F89" w:rsidRPr="00E67F89" w:rsidRDefault="00E67F89" w:rsidP="00E67F89">
            <w:r w:rsidRPr="00E67F89">
              <w:t>(b) Dans les cas des personnes disposant de droits légaux ou de revendications sur les terres qui sont reconnus ou susceptibles de l’être par le droit du pays (voir les paragraphes 10(a) et (b)) :</w:t>
            </w:r>
          </w:p>
          <w:p w14:paraId="525CFB61" w14:textId="77777777" w:rsidR="00E67F89" w:rsidRPr="00E67F89" w:rsidRDefault="00E67F89" w:rsidP="00E67F89">
            <w:r w:rsidRPr="00E67F89">
              <w:t>le remplacement du bien (par exemple, des sites agricoles ou commerciaux) par une valeur identique ou supérieure, le cas échéant,</w:t>
            </w:r>
          </w:p>
          <w:p w14:paraId="54248C4F" w14:textId="77777777" w:rsidR="00E67F89" w:rsidRPr="00E67F89" w:rsidRDefault="00E67F89" w:rsidP="00E67F89">
            <w:r w:rsidRPr="00E67F89">
              <w:t>une indemnisation en espèces au coût de remplacement intégral, sera fourni ; et</w:t>
            </w:r>
          </w:p>
          <w:p w14:paraId="192784E6" w14:textId="77777777" w:rsidR="00E67F89" w:rsidRPr="00E67F89" w:rsidRDefault="00E67F89" w:rsidP="00E67F89">
            <w:r w:rsidRPr="00E67F89">
              <w:t xml:space="preserve">(c) Les personnes déplacées économiquement sans revendications juridiques recevables en droit sur les </w:t>
            </w:r>
            <w:r w:rsidRPr="00E67F89">
              <w:lastRenderedPageBreak/>
              <w:t>terres (voir le paragraphe 10(c)) seront : indemnisées pour</w:t>
            </w:r>
          </w:p>
          <w:p w14:paraId="1C222900" w14:textId="77777777" w:rsidR="00E67F89" w:rsidRPr="00E67F89" w:rsidRDefault="00E67F89" w:rsidP="00E67F89">
            <w:r w:rsidRPr="00E67F89">
              <w:t>les actifs perdus autres que les terres (notamment les cultures,</w:t>
            </w:r>
          </w:p>
          <w:p w14:paraId="658B9660" w14:textId="77777777" w:rsidR="00E67F89" w:rsidRPr="00E67F89" w:rsidRDefault="00E67F89" w:rsidP="00E67F89">
            <w:r w:rsidRPr="00E67F89">
              <w:t>les infrastructures d’irrigation et</w:t>
            </w:r>
          </w:p>
          <w:p w14:paraId="3714D59D" w14:textId="77777777" w:rsidR="00E67F89" w:rsidRPr="00E67F89" w:rsidRDefault="00E67F89" w:rsidP="00E67F89">
            <w:r w:rsidRPr="00E67F89">
              <w:t>les autres améliorations apportées aux terres), au coût de remplacement.</w:t>
            </w:r>
          </w:p>
          <w:p w14:paraId="3553C1BA" w14:textId="77777777" w:rsidR="00E67F89" w:rsidRPr="00E67F89" w:rsidRDefault="00E67F89" w:rsidP="00E67F89">
            <w:r w:rsidRPr="00E67F89">
              <w:t>En outre, en lieu et place de l’indemnisation des terres : assistance suffisante pour fournir à ces personnes la possibilité de rétablir leurs moyens de subsistance ailleurs.</w:t>
            </w:r>
          </w:p>
          <w:p w14:paraId="693BC04E" w14:textId="77777777" w:rsidR="00E67F89" w:rsidRPr="00E67F89" w:rsidRDefault="00E67F89" w:rsidP="00E67F89">
            <w:r w:rsidRPr="00E67F89">
              <w:t>Les personnes qui empiètent sur la zone du projet après la date limite d’éligibilité : l’Emprunteur n’est pas tenu d’indemniser ni d’aider</w:t>
            </w:r>
          </w:p>
        </w:tc>
        <w:tc>
          <w:tcPr>
            <w:tcW w:w="0" w:type="auto"/>
          </w:tcPr>
          <w:p w14:paraId="344D51F8" w14:textId="77777777" w:rsidR="00E67F89" w:rsidRPr="00E67F89" w:rsidRDefault="00E67F89" w:rsidP="00E67F89">
            <w:r w:rsidRPr="00E67F89">
              <w:lastRenderedPageBreak/>
              <w:t>Annexe 7 Guide EIS</w:t>
            </w:r>
          </w:p>
        </w:tc>
        <w:tc>
          <w:tcPr>
            <w:tcW w:w="0" w:type="auto"/>
          </w:tcPr>
          <w:p w14:paraId="154E6493" w14:textId="77777777" w:rsidR="00E67F89" w:rsidRPr="00E67F89" w:rsidRDefault="00E67F89" w:rsidP="00E67F89">
            <w:r w:rsidRPr="00E67F89">
              <w:t>Le plan de réinstallation inclut les mesures garantissant que les personnes déplacées sont pourvues rapidement d’une compensation effective au coût intégral de remplacement pour les pertes de biens directement attribuables au projet.</w:t>
            </w:r>
          </w:p>
        </w:tc>
        <w:tc>
          <w:tcPr>
            <w:tcW w:w="0" w:type="auto"/>
          </w:tcPr>
          <w:p w14:paraId="7B7507D5" w14:textId="77777777" w:rsidR="00E67F89" w:rsidRPr="00E67F89" w:rsidRDefault="00E67F89" w:rsidP="00E67F89">
            <w:r w:rsidRPr="00E67F89">
              <w:t>Les exigences de la NES 5 sont des dispositions plus précises. Elles sont applicables et non contraires aux textes malgaches.</w:t>
            </w:r>
          </w:p>
        </w:tc>
      </w:tr>
      <w:tr w:rsidR="00E67F89" w:rsidRPr="00E67F89" w14:paraId="0C06CDA0" w14:textId="77777777" w:rsidTr="00223F64">
        <w:tc>
          <w:tcPr>
            <w:tcW w:w="0" w:type="auto"/>
          </w:tcPr>
          <w:p w14:paraId="31BD76D0" w14:textId="77777777" w:rsidR="00E67F89" w:rsidRPr="00E67F89" w:rsidRDefault="00E67F89" w:rsidP="00E67F89">
            <w:r w:rsidRPr="00E67F89">
              <w:lastRenderedPageBreak/>
              <w:t>Conditions d’indemnisation en cas de déplacement économique et types d’indemnisation</w:t>
            </w:r>
          </w:p>
        </w:tc>
        <w:tc>
          <w:tcPr>
            <w:tcW w:w="0" w:type="auto"/>
          </w:tcPr>
          <w:p w14:paraId="4C83DAEF" w14:textId="77777777" w:rsidR="00E67F89" w:rsidRPr="00E67F89" w:rsidRDefault="00E67F89" w:rsidP="00E67F89">
            <w:r w:rsidRPr="00E67F89">
              <w:t>35</w:t>
            </w:r>
          </w:p>
        </w:tc>
        <w:tc>
          <w:tcPr>
            <w:tcW w:w="0" w:type="auto"/>
          </w:tcPr>
          <w:p w14:paraId="7972E6B3" w14:textId="77777777" w:rsidR="00E67F89" w:rsidRPr="00E67F89" w:rsidRDefault="00E67F89" w:rsidP="00E67F89">
            <w:r w:rsidRPr="00E67F89">
              <w:t xml:space="preserve">Bénéfice des possibilités d’amélioration ou de rétablissement de la capacité à gagner un revenu, des niveaux de production et des niveaux de vie, ou autres options alternatives de génération de revenus. </w:t>
            </w:r>
          </w:p>
          <w:p w14:paraId="4809661A" w14:textId="77777777" w:rsidR="00E67F89" w:rsidRPr="00E67F89" w:rsidRDefault="00E67F89" w:rsidP="00E67F89">
            <w:r w:rsidRPr="00E67F89">
              <w:lastRenderedPageBreak/>
              <w:t>Les personnes déplacées économiquement devront bénéficier : des possibilités d’amélioration ou, au moins, de rétablissement</w:t>
            </w:r>
          </w:p>
          <w:p w14:paraId="2B9EBDB3" w14:textId="77777777" w:rsidR="00E67F89" w:rsidRPr="00E67F89" w:rsidRDefault="00E67F89" w:rsidP="00E67F89">
            <w:r w:rsidRPr="00E67F89">
              <w:t>de leur capacité à gagner un revenu,</w:t>
            </w:r>
          </w:p>
          <w:p w14:paraId="03E05618" w14:textId="77777777" w:rsidR="00E67F89" w:rsidRPr="00E67F89" w:rsidRDefault="00E67F89" w:rsidP="00E67F89">
            <w:r w:rsidRPr="00E67F89">
              <w:t>de leurs niveaux de production et</w:t>
            </w:r>
          </w:p>
          <w:p w14:paraId="505396EE" w14:textId="77777777" w:rsidR="00E67F89" w:rsidRPr="00E67F89" w:rsidRDefault="00E67F89" w:rsidP="00E67F89">
            <w:r w:rsidRPr="00E67F89">
              <w:t>de leurs niveaux de vie :</w:t>
            </w:r>
          </w:p>
          <w:p w14:paraId="31D21BDA" w14:textId="77777777" w:rsidR="00E67F89" w:rsidRPr="00E67F89" w:rsidRDefault="00E67F89" w:rsidP="00E67F89">
            <w:r w:rsidRPr="00E67F89">
              <w:t>(a) Fournir aux personnes dont les moyens d’existence dépendent des terres :- des terres de remplacement offrant à la fois</w:t>
            </w:r>
          </w:p>
          <w:p w14:paraId="6483498B" w14:textId="77777777" w:rsidR="00E67F89" w:rsidRPr="00E67F89" w:rsidRDefault="00E67F89" w:rsidP="00E67F89">
            <w:r w:rsidRPr="00E67F89">
              <w:t>des potentialités/opportunités de production,</w:t>
            </w:r>
          </w:p>
          <w:p w14:paraId="1BA9410D" w14:textId="77777777" w:rsidR="00E67F89" w:rsidRPr="00E67F89" w:rsidRDefault="00E67F89" w:rsidP="00E67F89">
            <w:r w:rsidRPr="00E67F89">
              <w:t>des avantages liés à l’emplacement et d’autres facteurs au moins équivalents aux facteurs qu’elles perdent lorsque cela est possible ;</w:t>
            </w:r>
          </w:p>
          <w:p w14:paraId="4731443F" w14:textId="77777777" w:rsidR="00E67F89" w:rsidRPr="00E67F89" w:rsidRDefault="00E67F89" w:rsidP="00E67F89">
            <w:r w:rsidRPr="00E67F89">
              <w:t xml:space="preserve">(b) Pour les personnes dont les moyens d’existence dépendent des ressources naturelles, et lorsque des restrictions d’accès liées au projet évoquées au paragraphe 4 </w:t>
            </w:r>
            <w:r w:rsidRPr="00E67F89">
              <w:lastRenderedPageBreak/>
              <w:t>s’appliquent, des mesures devront être mises en place pour permettre :</w:t>
            </w:r>
          </w:p>
          <w:p w14:paraId="48140B63" w14:textId="77777777" w:rsidR="00E67F89" w:rsidRPr="00E67F89" w:rsidRDefault="00E67F89" w:rsidP="00E67F89">
            <w:r w:rsidRPr="00E67F89">
              <w:t>soit un accès continu aux ressources concernées,</w:t>
            </w:r>
          </w:p>
          <w:p w14:paraId="4405C163" w14:textId="77777777" w:rsidR="00E67F89" w:rsidRPr="00E67F89" w:rsidRDefault="00E67F89" w:rsidP="00E67F89">
            <w:r w:rsidRPr="00E67F89">
              <w:t>soit un accès à des ressources alternatives ayant un potentiel de production de revenus et une accessibilité équivalente ;</w:t>
            </w:r>
          </w:p>
          <w:p w14:paraId="2BD8C670" w14:textId="77777777" w:rsidR="00E67F89" w:rsidRPr="00E67F89" w:rsidRDefault="00E67F89" w:rsidP="00E67F89">
            <w:r w:rsidRPr="00E67F89">
              <w:t>Lorsque des ressources communes sont affectées, les indemnisations et les avantages liés à l’utilisation des ressources naturelles pourront être de nature collective ; et</w:t>
            </w:r>
          </w:p>
          <w:p w14:paraId="36417780" w14:textId="77777777" w:rsidR="00E67F89" w:rsidRPr="00E67F89" w:rsidRDefault="00E67F89" w:rsidP="00E67F89">
            <w:r w:rsidRPr="00E67F89">
              <w:t>(c) S’il est démontré que des terres ou des ressources de remplacement ne sont pas disponibles, l’Emprunteur offrira aux personnes déplacées économiquement : des options alternatives de génération de revenus, telles que</w:t>
            </w:r>
          </w:p>
          <w:p w14:paraId="089247EA" w14:textId="77777777" w:rsidR="00E67F89" w:rsidRPr="00E67F89" w:rsidRDefault="00E67F89" w:rsidP="00E67F89">
            <w:r w:rsidRPr="00E67F89">
              <w:t>des facilités de crédit,</w:t>
            </w:r>
          </w:p>
          <w:p w14:paraId="6EDD8A63" w14:textId="77777777" w:rsidR="00E67F89" w:rsidRPr="00E67F89" w:rsidRDefault="00E67F89" w:rsidP="00E67F89">
            <w:r w:rsidRPr="00E67F89">
              <w:t>une formation professionnelle,</w:t>
            </w:r>
          </w:p>
          <w:p w14:paraId="4412E283" w14:textId="77777777" w:rsidR="00E67F89" w:rsidRPr="00E67F89" w:rsidRDefault="00E67F89" w:rsidP="00E67F89">
            <w:r w:rsidRPr="00E67F89">
              <w:lastRenderedPageBreak/>
              <w:t>une aide à la création d’entreprise,</w:t>
            </w:r>
          </w:p>
          <w:p w14:paraId="2388A0D2" w14:textId="77777777" w:rsidR="00E67F89" w:rsidRPr="00E67F89" w:rsidRDefault="00E67F89" w:rsidP="00E67F89">
            <w:r w:rsidRPr="00E67F89">
              <w:t>des possibilités d’emploi ou</w:t>
            </w:r>
          </w:p>
          <w:p w14:paraId="4B8E5AFA" w14:textId="77777777" w:rsidR="00E67F89" w:rsidRPr="00E67F89" w:rsidRDefault="00E67F89" w:rsidP="00E67F89">
            <w:r w:rsidRPr="00E67F89">
              <w:t>une aide en espèces en sus de l’indemnisation des actifs</w:t>
            </w:r>
          </w:p>
        </w:tc>
        <w:tc>
          <w:tcPr>
            <w:tcW w:w="0" w:type="auto"/>
          </w:tcPr>
          <w:p w14:paraId="2F44F5A0" w14:textId="77777777" w:rsidR="00E67F89" w:rsidRPr="00E67F89" w:rsidRDefault="00E67F89" w:rsidP="00E67F89">
            <w:r w:rsidRPr="00E67F89">
              <w:lastRenderedPageBreak/>
              <w:t>Art.44 Ord. 62-023</w:t>
            </w:r>
          </w:p>
        </w:tc>
        <w:tc>
          <w:tcPr>
            <w:tcW w:w="0" w:type="auto"/>
          </w:tcPr>
          <w:p w14:paraId="038FB593" w14:textId="77777777" w:rsidR="00E67F89" w:rsidRPr="00E67F89" w:rsidRDefault="00E67F89" w:rsidP="00E67F89">
            <w:r w:rsidRPr="00E67F89">
              <w:t>Possibilité d’autres types de compensation qu’en espèces.</w:t>
            </w:r>
          </w:p>
        </w:tc>
        <w:tc>
          <w:tcPr>
            <w:tcW w:w="0" w:type="auto"/>
          </w:tcPr>
          <w:p w14:paraId="3B356F97" w14:textId="77777777" w:rsidR="00E67F89" w:rsidRPr="00E67F89" w:rsidRDefault="00E67F89" w:rsidP="00E67F89">
            <w:r w:rsidRPr="00E67F89">
              <w:t>Les exigences de la NES 5 sont des dispositions plus précises. Elles sont applicables et non contraires aux textes malgaches.</w:t>
            </w:r>
          </w:p>
        </w:tc>
      </w:tr>
      <w:tr w:rsidR="00E67F89" w:rsidRPr="00E67F89" w14:paraId="79300594" w14:textId="77777777" w:rsidTr="00223F64">
        <w:tc>
          <w:tcPr>
            <w:tcW w:w="0" w:type="auto"/>
          </w:tcPr>
          <w:p w14:paraId="7C0B1776" w14:textId="77777777" w:rsidR="00E67F89" w:rsidRPr="00E67F89" w:rsidRDefault="00E67F89" w:rsidP="00E67F89"/>
        </w:tc>
        <w:tc>
          <w:tcPr>
            <w:tcW w:w="0" w:type="auto"/>
          </w:tcPr>
          <w:p w14:paraId="50900DBE" w14:textId="77777777" w:rsidR="00E67F89" w:rsidRPr="00E67F89" w:rsidRDefault="00E67F89" w:rsidP="00E67F89"/>
        </w:tc>
        <w:tc>
          <w:tcPr>
            <w:tcW w:w="0" w:type="auto"/>
          </w:tcPr>
          <w:p w14:paraId="416BFFE0" w14:textId="77777777" w:rsidR="00E67F89" w:rsidRPr="00E67F89" w:rsidRDefault="00E67F89" w:rsidP="00E67F89">
            <w:r w:rsidRPr="00E67F89">
              <w:t>L’indemnité monétaire seule est rarement un moyen efficace de fournir aux personnes affectées leurs moyens de production ou les compétences pour restaurer leur niveau de vie.</w:t>
            </w:r>
          </w:p>
        </w:tc>
        <w:tc>
          <w:tcPr>
            <w:tcW w:w="0" w:type="auto"/>
          </w:tcPr>
          <w:p w14:paraId="674403A6" w14:textId="77777777" w:rsidR="00E67F89" w:rsidRPr="00E67F89" w:rsidRDefault="00E67F89" w:rsidP="00E67F89">
            <w:r w:rsidRPr="00E67F89">
              <w:t>Annexe 7 Guide EIS</w:t>
            </w:r>
          </w:p>
        </w:tc>
        <w:tc>
          <w:tcPr>
            <w:tcW w:w="0" w:type="auto"/>
          </w:tcPr>
          <w:p w14:paraId="374CD7E3" w14:textId="77777777" w:rsidR="00E67F89" w:rsidRPr="00E67F89" w:rsidRDefault="00E67F89" w:rsidP="00E67F89">
            <w:r w:rsidRPr="00E67F89">
              <w:t>Le paiement en espèces d’une compensation pour perte de biens est acceptable dans le cas où :</w:t>
            </w:r>
          </w:p>
          <w:p w14:paraId="1A02FE7A" w14:textId="77777777" w:rsidR="00E67F89" w:rsidRPr="00E67F89" w:rsidRDefault="00E67F89" w:rsidP="00E67F89">
            <w:r w:rsidRPr="00E67F89">
              <w:t>les moyens d’existence étant tirés des ressources foncières, les terres prises par le projet ne représentent qu’une faible fraction de l’actif affecté et le reste de l’actif est économiquement viable ;</w:t>
            </w:r>
          </w:p>
          <w:p w14:paraId="7FE94E15" w14:textId="77777777" w:rsidR="00E67F89" w:rsidRPr="00E67F89" w:rsidRDefault="00E67F89" w:rsidP="00E67F89">
            <w:r w:rsidRPr="00E67F89">
              <w:t>des marchés actifs existent pour les terres, les logements et le travail, les personnes déplacées utilisent de tels marchés et il y a une offre disponible suffisante des terres et d’habitations ; ou enfin,</w:t>
            </w:r>
          </w:p>
          <w:p w14:paraId="34656B93" w14:textId="77777777" w:rsidR="00E67F89" w:rsidRPr="00E67F89" w:rsidRDefault="00E67F89" w:rsidP="00E67F89">
            <w:r w:rsidRPr="00E67F89">
              <w:lastRenderedPageBreak/>
              <w:t>les moyens d’existence sont fondés sur les ressources foncières. Les niveaux de compensation en espèces devront être suffisants pour financer le remplacement des terrains perdus et autres actifs au coût intégral de remplacement sur les marchés locaux.</w:t>
            </w:r>
          </w:p>
        </w:tc>
        <w:tc>
          <w:tcPr>
            <w:tcW w:w="0" w:type="auto"/>
          </w:tcPr>
          <w:p w14:paraId="31DCA844" w14:textId="77777777" w:rsidR="00E67F89" w:rsidRPr="00E67F89" w:rsidRDefault="00E67F89" w:rsidP="00E67F89">
            <w:r w:rsidRPr="00E67F89">
              <w:lastRenderedPageBreak/>
              <w:t>Le Guide EIS est plus explicite sur ce point.</w:t>
            </w:r>
          </w:p>
        </w:tc>
      </w:tr>
      <w:tr w:rsidR="00E67F89" w:rsidRPr="00E67F89" w14:paraId="15C670E3" w14:textId="77777777" w:rsidTr="00223F64">
        <w:tc>
          <w:tcPr>
            <w:tcW w:w="0" w:type="auto"/>
          </w:tcPr>
          <w:p w14:paraId="4252E68B" w14:textId="77777777" w:rsidR="00E67F89" w:rsidRPr="00E67F89" w:rsidRDefault="00E67F89" w:rsidP="00E67F89">
            <w:r w:rsidRPr="00E67F89">
              <w:t>Types d’accompagnement temporaire en cas de déplacement économique</w:t>
            </w:r>
          </w:p>
        </w:tc>
        <w:tc>
          <w:tcPr>
            <w:tcW w:w="0" w:type="auto"/>
          </w:tcPr>
          <w:p w14:paraId="01632C01" w14:textId="77777777" w:rsidR="00E67F89" w:rsidRPr="00E67F89" w:rsidRDefault="00E67F89" w:rsidP="00E67F89">
            <w:r w:rsidRPr="00E67F89">
              <w:t>36</w:t>
            </w:r>
          </w:p>
        </w:tc>
        <w:tc>
          <w:tcPr>
            <w:tcW w:w="0" w:type="auto"/>
          </w:tcPr>
          <w:p w14:paraId="549BDD1B" w14:textId="77777777" w:rsidR="00E67F89" w:rsidRPr="00E67F89" w:rsidRDefault="00E67F89" w:rsidP="00E67F89">
            <w:r w:rsidRPr="00E67F89">
              <w:t>Fourniture d’un appui temporaire pendant le temps nécessaire au rétablissement de la capacité à gagner un revenu, des niveaux de production et des niveaux de vie, à toutes les personnes déplacées économiquement, sur la foi d’une estimation raisonnable du temps nécessaire au rétablissement de leur capacité à gagner un revenu, de leurs niveaux de production et de leurs niveaux de vie : fourniture d’un appui temporaire, selon les besoins</w:t>
            </w:r>
          </w:p>
        </w:tc>
        <w:tc>
          <w:tcPr>
            <w:tcW w:w="0" w:type="auto"/>
          </w:tcPr>
          <w:p w14:paraId="7A7E3E3B" w14:textId="77777777" w:rsidR="00E67F89" w:rsidRPr="00E67F89" w:rsidRDefault="00E67F89" w:rsidP="00E67F89">
            <w:r w:rsidRPr="00E67F89">
              <w:t>Annexe 7 Guide EIS</w:t>
            </w:r>
          </w:p>
        </w:tc>
        <w:tc>
          <w:tcPr>
            <w:tcW w:w="0" w:type="auto"/>
          </w:tcPr>
          <w:p w14:paraId="5826588A" w14:textId="77777777" w:rsidR="00E67F89" w:rsidRPr="00E67F89" w:rsidRDefault="00E67F89" w:rsidP="00E67F89">
            <w:r w:rsidRPr="00E67F89">
              <w:t>Le plan inclut également des mesures garantissant que les personnes déplacées sont :</w:t>
            </w:r>
          </w:p>
          <w:p w14:paraId="521F90C1" w14:textId="77777777" w:rsidR="00E67F89" w:rsidRPr="00E67F89" w:rsidRDefault="00E67F89" w:rsidP="00E67F89">
            <w:r w:rsidRPr="00E67F89">
              <w:t>1. récipiendaires d’une aide après le déplacement, pour une période transitoire d’une durée fondée sur une estimation raisonnable du temps probable nécessaire au rétablissement de leurs moyens d’existence et de leur revenu</w:t>
            </w:r>
          </w:p>
          <w:p w14:paraId="2001282A" w14:textId="77777777" w:rsidR="00E67F89" w:rsidRPr="00E67F89" w:rsidRDefault="00E67F89" w:rsidP="00E67F89">
            <w:r w:rsidRPr="00E67F89">
              <w:t xml:space="preserve">2. pourvues d’une aide au développement qui s’ajouterait aux mesures de compensation telles que la viabilisation des </w:t>
            </w:r>
            <w:r w:rsidRPr="00E67F89">
              <w:lastRenderedPageBreak/>
              <w:t>terrains, des mécanismes de crédit, la formation ou des créations d’emploi</w:t>
            </w:r>
          </w:p>
        </w:tc>
        <w:tc>
          <w:tcPr>
            <w:tcW w:w="0" w:type="auto"/>
          </w:tcPr>
          <w:p w14:paraId="676E83E2" w14:textId="77777777" w:rsidR="00E67F89" w:rsidRPr="00E67F89" w:rsidRDefault="00E67F89" w:rsidP="00E67F89">
            <w:r w:rsidRPr="00E67F89">
              <w:lastRenderedPageBreak/>
              <w:t>Les exigences de la NES 5 sont des dispositions plus précises. Elles sont applicables et non contraires aux textes malgaches.</w:t>
            </w:r>
          </w:p>
        </w:tc>
      </w:tr>
      <w:tr w:rsidR="00E67F89" w:rsidRPr="00E67F89" w14:paraId="1438D592" w14:textId="77777777" w:rsidTr="00223F64">
        <w:tc>
          <w:tcPr>
            <w:tcW w:w="0" w:type="auto"/>
            <w:gridSpan w:val="6"/>
          </w:tcPr>
          <w:p w14:paraId="78E56AA3" w14:textId="77777777" w:rsidR="00E67F89" w:rsidRPr="00E67F89" w:rsidRDefault="00E67F89" w:rsidP="00E67F89">
            <w:r w:rsidRPr="00E67F89">
              <w:t>COLLABORATION AVEC LES AUTRES AGENCES ET AUTORITES LOCALES CONCERNEES</w:t>
            </w:r>
          </w:p>
        </w:tc>
      </w:tr>
      <w:tr w:rsidR="00E67F89" w:rsidRPr="00E67F89" w14:paraId="6083AC1C" w14:textId="77777777" w:rsidTr="00223F64">
        <w:tc>
          <w:tcPr>
            <w:tcW w:w="0" w:type="auto"/>
          </w:tcPr>
          <w:p w14:paraId="6365FA4F" w14:textId="77777777" w:rsidR="00E67F89" w:rsidRPr="00E67F89" w:rsidRDefault="00E67F89" w:rsidP="00E67F89">
            <w:r w:rsidRPr="00E67F89">
              <w:t>Dispositif institutionnel de la réinstallation</w:t>
            </w:r>
          </w:p>
        </w:tc>
        <w:tc>
          <w:tcPr>
            <w:tcW w:w="0" w:type="auto"/>
          </w:tcPr>
          <w:p w14:paraId="5A409259" w14:textId="77777777" w:rsidR="00E67F89" w:rsidRPr="00E67F89" w:rsidRDefault="00E67F89" w:rsidP="00E67F89">
            <w:r w:rsidRPr="00E67F89">
              <w:t>37</w:t>
            </w:r>
          </w:p>
        </w:tc>
        <w:tc>
          <w:tcPr>
            <w:tcW w:w="0" w:type="auto"/>
          </w:tcPr>
          <w:p w14:paraId="7A3B3E83" w14:textId="77777777" w:rsidR="00E67F89" w:rsidRPr="00E67F89" w:rsidRDefault="00E67F89" w:rsidP="00E67F89">
            <w:r w:rsidRPr="00E67F89">
              <w:t>Etablissement des moyens de collaboration entre l’agence du projet et les autorités publiques chargées de tous les aspects d’acquisition des terres, de planification de la réinstallation ou de fourniture d’assistance.</w:t>
            </w:r>
          </w:p>
          <w:p w14:paraId="4DDA3428" w14:textId="77777777" w:rsidR="00E67F89" w:rsidRPr="00E67F89" w:rsidRDefault="00E67F89" w:rsidP="00E67F89">
            <w:r w:rsidRPr="00E67F89">
              <w:t>Etablir les moyens de collaboration entre :</w:t>
            </w:r>
          </w:p>
          <w:p w14:paraId="470FB314" w14:textId="77777777" w:rsidR="00E67F89" w:rsidRPr="00E67F89" w:rsidRDefault="00E67F89" w:rsidP="00E67F89">
            <w:r w:rsidRPr="00E67F89">
              <w:t>l’agence ou l’entité chargée de la mise en œuvre du projet et</w:t>
            </w:r>
          </w:p>
          <w:p w14:paraId="4055EA38" w14:textId="77777777" w:rsidR="00E67F89" w:rsidRPr="00E67F89" w:rsidRDefault="00E67F89" w:rsidP="00E67F89">
            <w:r w:rsidRPr="00E67F89">
              <w:t>toute autre agence gouvernementale, autorité ou entité locale chargée de tous les aspects d’acquisition des terres, de planification de la réinstallation ou de fourniture d’assistance nécessaire.</w:t>
            </w:r>
          </w:p>
          <w:p w14:paraId="3B074C06" w14:textId="77777777" w:rsidR="00E67F89" w:rsidRPr="00E67F89" w:rsidRDefault="00E67F89" w:rsidP="00E67F89">
            <w:r w:rsidRPr="00E67F89">
              <w:t xml:space="preserve">En outre, lorsque la capacité des autres agences responsables est </w:t>
            </w:r>
            <w:r w:rsidRPr="00E67F89">
              <w:lastRenderedPageBreak/>
              <w:t>limitée : l’Emprunteur appuiera activement la planification, la mise en œuvre et le suivi de la réinstallation.</w:t>
            </w:r>
          </w:p>
          <w:p w14:paraId="21FC4851" w14:textId="77777777" w:rsidR="00E67F89" w:rsidRPr="00E67F89" w:rsidRDefault="00E67F89" w:rsidP="00E67F89">
            <w:r w:rsidRPr="00E67F89">
              <w:t>Si les procédures ou les normes des autres agences responsables ne répondent pas aux exigences de la présente NES :</w:t>
            </w:r>
          </w:p>
          <w:p w14:paraId="666EFF80" w14:textId="77777777" w:rsidR="00E67F89" w:rsidRPr="00E67F89" w:rsidRDefault="00E67F89" w:rsidP="00E67F89">
            <w:r w:rsidRPr="00E67F89">
              <w:t>l’Emprunteur préparera des dispositions supplémentaires qui seront incluses dans le plan de réinstallation pour combler les lacunes identifiées.</w:t>
            </w:r>
          </w:p>
          <w:p w14:paraId="4B4CB48E" w14:textId="77777777" w:rsidR="00E67F89" w:rsidRPr="00E67F89" w:rsidRDefault="00E67F89" w:rsidP="00E67F89">
            <w:r w:rsidRPr="00E67F89">
              <w:t>Le plan devra également préciser les responsabilités financières de chacune des agences concernées, le calendrier et la séquence appropriée des étapes de mise en œuvre et les modalités de coordination pour traiter les urgences financières ou répondre aux circonstances imprévues.</w:t>
            </w:r>
          </w:p>
        </w:tc>
        <w:tc>
          <w:tcPr>
            <w:tcW w:w="0" w:type="auto"/>
          </w:tcPr>
          <w:p w14:paraId="58B78A5E" w14:textId="77777777" w:rsidR="00E67F89" w:rsidRPr="00E67F89" w:rsidRDefault="00E67F89" w:rsidP="00E67F89">
            <w:r w:rsidRPr="00E67F89">
              <w:lastRenderedPageBreak/>
              <w:t>N/P</w:t>
            </w:r>
          </w:p>
        </w:tc>
        <w:tc>
          <w:tcPr>
            <w:tcW w:w="0" w:type="auto"/>
          </w:tcPr>
          <w:p w14:paraId="14442FBD" w14:textId="77777777" w:rsidR="00E67F89" w:rsidRPr="00E67F89" w:rsidRDefault="00E67F89" w:rsidP="00E67F89">
            <w:r w:rsidRPr="00E67F89">
              <w:t>Les textes ne prévoient pas ces points.</w:t>
            </w:r>
          </w:p>
        </w:tc>
        <w:tc>
          <w:tcPr>
            <w:tcW w:w="0" w:type="auto"/>
          </w:tcPr>
          <w:p w14:paraId="16E8153E" w14:textId="77777777" w:rsidR="00E67F89" w:rsidRPr="00E67F89" w:rsidRDefault="00E67F89" w:rsidP="00E67F89">
            <w:r w:rsidRPr="00E67F89">
              <w:t>Ces exigences de la NES 5 sont propres aux projets financés par la Banque Mondiale. Elles ne sont pas contraires aux textes malgaches.</w:t>
            </w:r>
          </w:p>
        </w:tc>
      </w:tr>
      <w:tr w:rsidR="00E67F89" w:rsidRPr="00E67F89" w14:paraId="4CB1C6BD" w14:textId="77777777" w:rsidTr="00223F64">
        <w:tc>
          <w:tcPr>
            <w:tcW w:w="0" w:type="auto"/>
            <w:gridSpan w:val="6"/>
          </w:tcPr>
          <w:p w14:paraId="366E9E0A" w14:textId="77777777" w:rsidR="00E67F89" w:rsidRPr="00E67F89" w:rsidRDefault="00E67F89" w:rsidP="00E67F89">
            <w:r w:rsidRPr="00E67F89">
              <w:t>ASSISTANCE TECHNIQUE ET FINANCIERE</w:t>
            </w:r>
          </w:p>
        </w:tc>
      </w:tr>
      <w:tr w:rsidR="00E67F89" w:rsidRPr="00E67F89" w14:paraId="3D6E56A8" w14:textId="77777777" w:rsidTr="00223F64">
        <w:tc>
          <w:tcPr>
            <w:tcW w:w="0" w:type="auto"/>
          </w:tcPr>
          <w:p w14:paraId="5B222A15" w14:textId="77777777" w:rsidR="00E67F89" w:rsidRPr="00E67F89" w:rsidRDefault="00E67F89" w:rsidP="00E67F89">
            <w:r w:rsidRPr="00E67F89">
              <w:lastRenderedPageBreak/>
              <w:t>Prise en charge des couts de</w:t>
            </w:r>
          </w:p>
          <w:p w14:paraId="48B55746" w14:textId="77777777" w:rsidR="00E67F89" w:rsidRPr="00E67F89" w:rsidRDefault="00E67F89" w:rsidP="00E67F89">
            <w:r w:rsidRPr="00E67F89">
              <w:t>réinstallation</w:t>
            </w:r>
          </w:p>
        </w:tc>
        <w:tc>
          <w:tcPr>
            <w:tcW w:w="0" w:type="auto"/>
          </w:tcPr>
          <w:p w14:paraId="6FE1E4A1" w14:textId="77777777" w:rsidR="00E67F89" w:rsidRPr="00E67F89" w:rsidRDefault="00E67F89" w:rsidP="00E67F89">
            <w:r w:rsidRPr="00E67F89">
              <w:t>38-39</w:t>
            </w:r>
          </w:p>
        </w:tc>
        <w:tc>
          <w:tcPr>
            <w:tcW w:w="0" w:type="auto"/>
          </w:tcPr>
          <w:p w14:paraId="480CEA46" w14:textId="77777777" w:rsidR="00E67F89" w:rsidRPr="00E67F89" w:rsidRDefault="00E67F89" w:rsidP="00E67F89">
            <w:r w:rsidRPr="00E67F89">
              <w:t>38. L’Emprunteur pourra demander l’assistance technique de la Banque pour renforcer :</w:t>
            </w:r>
          </w:p>
          <w:p w14:paraId="32846DF3" w14:textId="77777777" w:rsidR="00E67F89" w:rsidRPr="00E67F89" w:rsidRDefault="00E67F89" w:rsidP="00E67F89">
            <w:r w:rsidRPr="00E67F89">
              <w:t>les capacités de l’Emprunteur ou</w:t>
            </w:r>
          </w:p>
          <w:p w14:paraId="1D7ADA0C" w14:textId="77777777" w:rsidR="00E67F89" w:rsidRPr="00E67F89" w:rsidRDefault="00E67F89" w:rsidP="00E67F89">
            <w:r w:rsidRPr="00E67F89">
              <w:t>les capacités des autres agences responsables de la planification, de la mise en œuvre et du suivi de la réinstallation.</w:t>
            </w:r>
          </w:p>
          <w:p w14:paraId="0D0BBEE0" w14:textId="77777777" w:rsidR="00E67F89" w:rsidRPr="00E67F89" w:rsidRDefault="00E67F89" w:rsidP="00E67F89">
            <w:r w:rsidRPr="00E67F89">
              <w:t>Ces formes d’assistance pourront inclure :</w:t>
            </w:r>
          </w:p>
          <w:p w14:paraId="16A659EA" w14:textId="77777777" w:rsidR="00E67F89" w:rsidRPr="00E67F89" w:rsidRDefault="00E67F89" w:rsidP="00E67F89">
            <w:r w:rsidRPr="00E67F89">
              <w:t>la formation du personnel,</w:t>
            </w:r>
          </w:p>
          <w:p w14:paraId="06D424E0" w14:textId="77777777" w:rsidR="00E67F89" w:rsidRPr="00E67F89" w:rsidRDefault="00E67F89" w:rsidP="00E67F89">
            <w:r w:rsidRPr="00E67F89">
              <w:t>l’aide à l’élaboration de nouveaux règlements ou politiques sur l’acquisition des terres ou d’autres aspects de la réinstallation,</w:t>
            </w:r>
          </w:p>
          <w:p w14:paraId="13976810" w14:textId="77777777" w:rsidR="00E67F89" w:rsidRPr="00E67F89" w:rsidRDefault="00E67F89" w:rsidP="00E67F89">
            <w:r w:rsidRPr="00E67F89">
              <w:t xml:space="preserve">le financement des évaluations ou des autres coûts d’investissement associés à un déplacement physique ou économique, ou à d’autres fins. </w:t>
            </w:r>
          </w:p>
        </w:tc>
        <w:tc>
          <w:tcPr>
            <w:tcW w:w="0" w:type="auto"/>
          </w:tcPr>
          <w:p w14:paraId="327FFA9D" w14:textId="77777777" w:rsidR="00E67F89" w:rsidRPr="00E67F89" w:rsidRDefault="00E67F89" w:rsidP="00E67F89">
            <w:r w:rsidRPr="00E67F89">
              <w:t>N/P</w:t>
            </w:r>
          </w:p>
        </w:tc>
        <w:tc>
          <w:tcPr>
            <w:tcW w:w="0" w:type="auto"/>
          </w:tcPr>
          <w:p w14:paraId="72BE39D7" w14:textId="77777777" w:rsidR="00E67F89" w:rsidRPr="00E67F89" w:rsidRDefault="00E67F89" w:rsidP="00E67F89">
            <w:r w:rsidRPr="00E67F89">
              <w:t>Les textes ne prévoient pas ces points.</w:t>
            </w:r>
          </w:p>
        </w:tc>
        <w:tc>
          <w:tcPr>
            <w:tcW w:w="0" w:type="auto"/>
          </w:tcPr>
          <w:p w14:paraId="06BDE106" w14:textId="77777777" w:rsidR="00E67F89" w:rsidRPr="00E67F89" w:rsidRDefault="00E67F89" w:rsidP="00E67F89">
            <w:r w:rsidRPr="00E67F89">
              <w:t>Ces exigences de la NES 5 sont propres aux projets financés par la Banque Mondiale. Elles ne sont pas contraires aux textes malgaches.</w:t>
            </w:r>
          </w:p>
        </w:tc>
      </w:tr>
      <w:tr w:rsidR="00E67F89" w:rsidRPr="00E67F89" w14:paraId="56E64DBE" w14:textId="77777777" w:rsidTr="00223F64">
        <w:tc>
          <w:tcPr>
            <w:tcW w:w="0" w:type="auto"/>
          </w:tcPr>
          <w:p w14:paraId="4CFF3CB4" w14:textId="77777777" w:rsidR="00E67F89" w:rsidRPr="00E67F89" w:rsidRDefault="00E67F89" w:rsidP="00E67F89"/>
        </w:tc>
        <w:tc>
          <w:tcPr>
            <w:tcW w:w="0" w:type="auto"/>
          </w:tcPr>
          <w:p w14:paraId="76C89EC7" w14:textId="77777777" w:rsidR="00E67F89" w:rsidRPr="00E67F89" w:rsidRDefault="00E67F89" w:rsidP="00E67F89"/>
        </w:tc>
        <w:tc>
          <w:tcPr>
            <w:tcW w:w="0" w:type="auto"/>
          </w:tcPr>
          <w:p w14:paraId="09802CE3" w14:textId="77777777" w:rsidR="00E67F89" w:rsidRPr="00E67F89" w:rsidRDefault="00E67F89" w:rsidP="00E67F89">
            <w:r w:rsidRPr="00E67F89">
              <w:t>39. L’Emprunteur pourra demander à la Banque de financer soit :</w:t>
            </w:r>
          </w:p>
          <w:p w14:paraId="1546A5DB" w14:textId="77777777" w:rsidR="00E67F89" w:rsidRPr="00E67F89" w:rsidRDefault="00E67F89" w:rsidP="00E67F89">
            <w:r w:rsidRPr="00E67F89">
              <w:lastRenderedPageBreak/>
              <w:t>une composante de l’investissement principal entraînant le déplacement et nécessitant la réinstallation, ou</w:t>
            </w:r>
          </w:p>
          <w:p w14:paraId="52558E89" w14:textId="77777777" w:rsidR="00E67F89" w:rsidRPr="00E67F89" w:rsidRDefault="00E67F89" w:rsidP="00E67F89">
            <w:r w:rsidRPr="00E67F89">
              <w:t>un projet de réinstallation indépendant établi dans des conditions appropriées, traitées et mises en œuvre parallèlement à l’investissement qui a provoqué le déplacement.</w:t>
            </w:r>
          </w:p>
          <w:p w14:paraId="3749FEA7" w14:textId="77777777" w:rsidR="00E67F89" w:rsidRPr="00E67F89" w:rsidRDefault="00E67F89" w:rsidP="00E67F89">
            <w:r w:rsidRPr="00E67F89">
              <w:t>la réinstallation, même lorsqu’elle ne finance pas l’investissement principal à l’origine de la réinstallation.</w:t>
            </w:r>
          </w:p>
        </w:tc>
        <w:tc>
          <w:tcPr>
            <w:tcW w:w="0" w:type="auto"/>
          </w:tcPr>
          <w:p w14:paraId="2CBB2130" w14:textId="77777777" w:rsidR="00E67F89" w:rsidRPr="00E67F89" w:rsidRDefault="00E67F89" w:rsidP="00E67F89">
            <w:r w:rsidRPr="00E67F89">
              <w:lastRenderedPageBreak/>
              <w:t>N/P</w:t>
            </w:r>
          </w:p>
        </w:tc>
        <w:tc>
          <w:tcPr>
            <w:tcW w:w="0" w:type="auto"/>
          </w:tcPr>
          <w:p w14:paraId="21F50415" w14:textId="77777777" w:rsidR="00E67F89" w:rsidRPr="00E67F89" w:rsidRDefault="00E67F89" w:rsidP="00E67F89">
            <w:r w:rsidRPr="00E67F89">
              <w:t>Les textes ne prévoient pas ces points.</w:t>
            </w:r>
          </w:p>
        </w:tc>
        <w:tc>
          <w:tcPr>
            <w:tcW w:w="0" w:type="auto"/>
          </w:tcPr>
          <w:p w14:paraId="4FAA64B5" w14:textId="77777777" w:rsidR="00E67F89" w:rsidRPr="00E67F89" w:rsidRDefault="00E67F89" w:rsidP="00E67F89">
            <w:r w:rsidRPr="00E67F89">
              <w:t xml:space="preserve">. Ces exigences de la NES n°5 sont propres aux projets financés par la Banque Mondiale. Elles ne </w:t>
            </w:r>
            <w:r w:rsidRPr="00E67F89">
              <w:lastRenderedPageBreak/>
              <w:t>sont pas contraires aux textes malgaches.</w:t>
            </w:r>
          </w:p>
        </w:tc>
      </w:tr>
      <w:tr w:rsidR="00E67F89" w:rsidRPr="00E67F89" w14:paraId="50E58500" w14:textId="77777777" w:rsidTr="00223F64">
        <w:tc>
          <w:tcPr>
            <w:tcW w:w="0" w:type="auto"/>
            <w:gridSpan w:val="6"/>
          </w:tcPr>
          <w:p w14:paraId="5C4151A1" w14:textId="77777777" w:rsidR="00E67F89" w:rsidRPr="00E67F89" w:rsidRDefault="00E67F89" w:rsidP="00E67F89">
            <w:r w:rsidRPr="00E67F89">
              <w:t>MECANISME DE REINSTALLATION INVOLONTAIRE</w:t>
            </w:r>
          </w:p>
        </w:tc>
      </w:tr>
      <w:tr w:rsidR="00E67F89" w:rsidRPr="00E67F89" w14:paraId="551D2DB9" w14:textId="77777777" w:rsidTr="00223F64">
        <w:tc>
          <w:tcPr>
            <w:tcW w:w="0" w:type="auto"/>
          </w:tcPr>
          <w:p w14:paraId="102C1FFA" w14:textId="77777777" w:rsidR="00E67F89" w:rsidRPr="00E67F89" w:rsidRDefault="00E67F89" w:rsidP="00E67F89">
            <w:r w:rsidRPr="00E67F89">
              <w:t>Types de documents de sauvegarde encadrant la réinstallation</w:t>
            </w:r>
          </w:p>
        </w:tc>
        <w:tc>
          <w:tcPr>
            <w:tcW w:w="0" w:type="auto"/>
          </w:tcPr>
          <w:p w14:paraId="07D37E89" w14:textId="77777777" w:rsidR="00E67F89" w:rsidRPr="00E67F89" w:rsidRDefault="00E67F89" w:rsidP="00E67F89">
            <w:r w:rsidRPr="00E67F89">
              <w:t>A</w:t>
            </w:r>
          </w:p>
          <w:p w14:paraId="57A9F089" w14:textId="77777777" w:rsidR="00E67F89" w:rsidRPr="00E67F89" w:rsidRDefault="00E67F89" w:rsidP="00E67F89">
            <w:r w:rsidRPr="00E67F89">
              <w:t>BC</w:t>
            </w:r>
          </w:p>
        </w:tc>
        <w:tc>
          <w:tcPr>
            <w:tcW w:w="0" w:type="auto"/>
          </w:tcPr>
          <w:p w14:paraId="2D7D9C66" w14:textId="77777777" w:rsidR="00E67F89" w:rsidRPr="00E67F89" w:rsidRDefault="00E67F89" w:rsidP="00E67F89">
            <w:r w:rsidRPr="00E67F89">
              <w:t>A – Plan de réinstallation</w:t>
            </w:r>
          </w:p>
          <w:p w14:paraId="46E5CCB8" w14:textId="77777777" w:rsidR="00E67F89" w:rsidRPr="00E67F89" w:rsidRDefault="00E67F89" w:rsidP="00E67F89">
            <w:r w:rsidRPr="00E67F89">
              <w:t xml:space="preserve">B – Cadre de réinstallation </w:t>
            </w:r>
          </w:p>
          <w:p w14:paraId="78EB9C9C" w14:textId="77777777" w:rsidR="00E67F89" w:rsidRPr="00E67F89" w:rsidRDefault="00E67F89" w:rsidP="00E67F89">
            <w:r w:rsidRPr="00E67F89">
              <w:t>C – Cadre de procédure</w:t>
            </w:r>
          </w:p>
        </w:tc>
        <w:tc>
          <w:tcPr>
            <w:tcW w:w="0" w:type="auto"/>
          </w:tcPr>
          <w:p w14:paraId="01E410D9" w14:textId="77777777" w:rsidR="00E67F89" w:rsidRPr="00E67F89" w:rsidRDefault="00E67F89" w:rsidP="00E67F89">
            <w:r w:rsidRPr="00E67F89">
              <w:t>N/P</w:t>
            </w:r>
          </w:p>
        </w:tc>
        <w:tc>
          <w:tcPr>
            <w:tcW w:w="0" w:type="auto"/>
          </w:tcPr>
          <w:p w14:paraId="25671832" w14:textId="77777777" w:rsidR="00E67F89" w:rsidRPr="00E67F89" w:rsidRDefault="00E67F89" w:rsidP="00E67F89">
            <w:r w:rsidRPr="00E67F89">
              <w:t>Le cadre national ne prévoit pas ce document-type.</w:t>
            </w:r>
          </w:p>
        </w:tc>
        <w:tc>
          <w:tcPr>
            <w:tcW w:w="0" w:type="auto"/>
          </w:tcPr>
          <w:p w14:paraId="7F17F4F4" w14:textId="77777777" w:rsidR="00E67F89" w:rsidRPr="00E67F89" w:rsidRDefault="00E67F89" w:rsidP="00E67F89">
            <w:r w:rsidRPr="00E67F89">
              <w:t>Ce document annexe complète le cadre national et n’est pas contraire aux textes.</w:t>
            </w:r>
          </w:p>
        </w:tc>
      </w:tr>
    </w:tbl>
    <w:p w14:paraId="5B70006D" w14:textId="77777777" w:rsidR="00E67F89" w:rsidRPr="00E67F89" w:rsidRDefault="00E67F89" w:rsidP="00E67F89">
      <w:r w:rsidRPr="00E67F89">
        <w:br w:type="page"/>
      </w:r>
    </w:p>
    <w:p w14:paraId="72CD36DA" w14:textId="77777777" w:rsidR="00E67F89" w:rsidRPr="00E67F89" w:rsidRDefault="00E67F89" w:rsidP="00E67F89">
      <w:bookmarkStart w:id="891" w:name="_Toc71831502"/>
      <w:bookmarkStart w:id="892" w:name="_Toc138414167"/>
      <w:bookmarkStart w:id="893" w:name="_Toc230426111"/>
      <w:r w:rsidRPr="00E67F89">
        <w:lastRenderedPageBreak/>
        <w:t xml:space="preserve">Annexe </w:t>
      </w:r>
      <w:r w:rsidRPr="00E67F89">
        <w:fldChar w:fldCharType="begin"/>
      </w:r>
      <w:r w:rsidRPr="00E67F89">
        <w:instrText>SEQ Annexe \* ARABIC</w:instrText>
      </w:r>
      <w:r w:rsidRPr="00E67F89">
        <w:fldChar w:fldCharType="separate"/>
      </w:r>
      <w:r w:rsidRPr="00E67F89">
        <w:t>6</w:t>
      </w:r>
      <w:r w:rsidRPr="00E67F89">
        <w:fldChar w:fldCharType="end"/>
      </w:r>
      <w:r w:rsidRPr="00E67F89">
        <w:t xml:space="preserve"> : Analyse comparative entre la NES N°6 et le cadre réglementaire national Malagasy</w:t>
      </w:r>
      <w:bookmarkEnd w:id="891"/>
      <w:bookmarkEnd w:id="892"/>
      <w:bookmarkEnd w:id="893"/>
    </w:p>
    <w:tbl>
      <w:tblPr>
        <w:tblStyle w:val="TableGrid"/>
        <w:tblW w:w="0" w:type="auto"/>
        <w:tblLook w:val="04A0" w:firstRow="1" w:lastRow="0" w:firstColumn="1" w:lastColumn="0" w:noHBand="0" w:noVBand="1"/>
      </w:tblPr>
      <w:tblGrid>
        <w:gridCol w:w="2014"/>
        <w:gridCol w:w="1189"/>
        <w:gridCol w:w="3397"/>
        <w:gridCol w:w="2471"/>
        <w:gridCol w:w="3423"/>
        <w:gridCol w:w="2632"/>
      </w:tblGrid>
      <w:tr w:rsidR="00E67F89" w:rsidRPr="00E67F89" w14:paraId="1D3EDC59" w14:textId="77777777" w:rsidTr="00223F64">
        <w:trPr>
          <w:trHeight w:val="20"/>
          <w:tblHeader/>
        </w:trPr>
        <w:tc>
          <w:tcPr>
            <w:tcW w:w="0" w:type="auto"/>
            <w:vMerge w:val="restart"/>
            <w:shd w:val="clear" w:color="auto" w:fill="E2EFD9" w:themeFill="accent6" w:themeFillTint="33"/>
            <w:vAlign w:val="center"/>
          </w:tcPr>
          <w:p w14:paraId="45BE408E" w14:textId="77777777" w:rsidR="00E67F89" w:rsidRPr="00E67F89" w:rsidRDefault="00E67F89" w:rsidP="00E67F89">
            <w:r w:rsidRPr="00E67F89">
              <w:t>Thèmes</w:t>
            </w:r>
          </w:p>
        </w:tc>
        <w:tc>
          <w:tcPr>
            <w:tcW w:w="0" w:type="auto"/>
            <w:gridSpan w:val="2"/>
            <w:shd w:val="clear" w:color="auto" w:fill="E2EFD9" w:themeFill="accent6" w:themeFillTint="33"/>
            <w:vAlign w:val="center"/>
          </w:tcPr>
          <w:p w14:paraId="2EBF6F10" w14:textId="77777777" w:rsidR="00E67F89" w:rsidRPr="00E67F89" w:rsidRDefault="00E67F89" w:rsidP="00E67F89">
            <w:r w:rsidRPr="00E67F89">
              <w:t>NES 6</w:t>
            </w:r>
          </w:p>
        </w:tc>
        <w:tc>
          <w:tcPr>
            <w:tcW w:w="0" w:type="auto"/>
            <w:gridSpan w:val="2"/>
            <w:shd w:val="clear" w:color="auto" w:fill="E2EFD9" w:themeFill="accent6" w:themeFillTint="33"/>
            <w:vAlign w:val="center"/>
          </w:tcPr>
          <w:p w14:paraId="01148CBD" w14:textId="77777777" w:rsidR="00E67F89" w:rsidRPr="00E67F89" w:rsidRDefault="00E67F89" w:rsidP="00E67F89">
            <w:r w:rsidRPr="00E67F89">
              <w:t>Cadre législatif et national Malagasy</w:t>
            </w:r>
          </w:p>
        </w:tc>
        <w:tc>
          <w:tcPr>
            <w:tcW w:w="0" w:type="auto"/>
            <w:vMerge w:val="restart"/>
            <w:shd w:val="clear" w:color="auto" w:fill="E2EFD9" w:themeFill="accent6" w:themeFillTint="33"/>
            <w:vAlign w:val="center"/>
          </w:tcPr>
          <w:p w14:paraId="0C67CC8F" w14:textId="77777777" w:rsidR="00E67F89" w:rsidRPr="00E67F89" w:rsidRDefault="00E67F89" w:rsidP="00E67F89">
            <w:r w:rsidRPr="00E67F89">
              <w:t>Analyse des écarts</w:t>
            </w:r>
          </w:p>
          <w:p w14:paraId="051F4FA3" w14:textId="77777777" w:rsidR="00E67F89" w:rsidRPr="00E67F89" w:rsidRDefault="00E67F89" w:rsidP="00E67F89">
            <w:r w:rsidRPr="00E67F89">
              <w:t>Implications pour le Projet</w:t>
            </w:r>
          </w:p>
        </w:tc>
      </w:tr>
      <w:tr w:rsidR="00E67F89" w:rsidRPr="00E67F89" w14:paraId="3290C298" w14:textId="77777777" w:rsidTr="00223F64">
        <w:trPr>
          <w:trHeight w:val="20"/>
          <w:tblHeader/>
        </w:trPr>
        <w:tc>
          <w:tcPr>
            <w:tcW w:w="0" w:type="auto"/>
            <w:vMerge/>
            <w:shd w:val="clear" w:color="auto" w:fill="BDF9FF"/>
          </w:tcPr>
          <w:p w14:paraId="0F98000A" w14:textId="77777777" w:rsidR="00E67F89" w:rsidRPr="00E67F89" w:rsidRDefault="00E67F89" w:rsidP="00E67F89"/>
        </w:tc>
        <w:tc>
          <w:tcPr>
            <w:tcW w:w="0" w:type="auto"/>
            <w:shd w:val="clear" w:color="auto" w:fill="E2EFD9" w:themeFill="accent6" w:themeFillTint="33"/>
            <w:vAlign w:val="center"/>
          </w:tcPr>
          <w:p w14:paraId="55463638" w14:textId="77777777" w:rsidR="00E67F89" w:rsidRPr="00E67F89" w:rsidRDefault="00E67F89" w:rsidP="00E67F89">
            <w:r w:rsidRPr="00E67F89">
              <w:t>Référence</w:t>
            </w:r>
          </w:p>
        </w:tc>
        <w:tc>
          <w:tcPr>
            <w:tcW w:w="0" w:type="auto"/>
            <w:shd w:val="clear" w:color="auto" w:fill="E2EFD9" w:themeFill="accent6" w:themeFillTint="33"/>
            <w:vAlign w:val="center"/>
          </w:tcPr>
          <w:p w14:paraId="019AD57B" w14:textId="77777777" w:rsidR="00E67F89" w:rsidRPr="00E67F89" w:rsidRDefault="00E67F89" w:rsidP="00E67F89">
            <w:r w:rsidRPr="00E67F89">
              <w:t>Exigences</w:t>
            </w:r>
          </w:p>
        </w:tc>
        <w:tc>
          <w:tcPr>
            <w:tcW w:w="0" w:type="auto"/>
            <w:shd w:val="clear" w:color="auto" w:fill="E2EFD9" w:themeFill="accent6" w:themeFillTint="33"/>
            <w:vAlign w:val="center"/>
          </w:tcPr>
          <w:p w14:paraId="2BFC8449" w14:textId="77777777" w:rsidR="00E67F89" w:rsidRPr="00E67F89" w:rsidRDefault="00E67F89" w:rsidP="00E67F89">
            <w:r w:rsidRPr="00E67F89">
              <w:t>Textes de référence</w:t>
            </w:r>
          </w:p>
        </w:tc>
        <w:tc>
          <w:tcPr>
            <w:tcW w:w="0" w:type="auto"/>
            <w:shd w:val="clear" w:color="auto" w:fill="E2EFD9" w:themeFill="accent6" w:themeFillTint="33"/>
            <w:vAlign w:val="center"/>
          </w:tcPr>
          <w:p w14:paraId="116BABA1" w14:textId="77777777" w:rsidR="00E67F89" w:rsidRPr="00E67F89" w:rsidRDefault="00E67F89" w:rsidP="00E67F89">
            <w:r w:rsidRPr="00E67F89">
              <w:t>Dispositions</w:t>
            </w:r>
          </w:p>
        </w:tc>
        <w:tc>
          <w:tcPr>
            <w:tcW w:w="0" w:type="auto"/>
            <w:vMerge/>
            <w:shd w:val="clear" w:color="auto" w:fill="BDF9FF"/>
          </w:tcPr>
          <w:p w14:paraId="6AA40CED" w14:textId="77777777" w:rsidR="00E67F89" w:rsidRPr="00E67F89" w:rsidRDefault="00E67F89" w:rsidP="00E67F89"/>
        </w:tc>
      </w:tr>
      <w:tr w:rsidR="00E67F89" w:rsidRPr="00E67F89" w14:paraId="0D92F09F" w14:textId="77777777" w:rsidTr="00223F64">
        <w:trPr>
          <w:trHeight w:val="20"/>
        </w:trPr>
        <w:tc>
          <w:tcPr>
            <w:tcW w:w="0" w:type="auto"/>
            <w:gridSpan w:val="6"/>
          </w:tcPr>
          <w:p w14:paraId="7685FEF5" w14:textId="77777777" w:rsidR="00E67F89" w:rsidRPr="00E67F89" w:rsidRDefault="00E67F89" w:rsidP="00E67F89">
            <w:r w:rsidRPr="00E67F89">
              <w:t>Evaluation des risques et des effets (10)</w:t>
            </w:r>
          </w:p>
        </w:tc>
      </w:tr>
      <w:tr w:rsidR="00E67F89" w:rsidRPr="00E67F89" w14:paraId="3DAC5963" w14:textId="77777777" w:rsidTr="00223F64">
        <w:trPr>
          <w:trHeight w:val="20"/>
        </w:trPr>
        <w:tc>
          <w:tcPr>
            <w:tcW w:w="0" w:type="auto"/>
          </w:tcPr>
          <w:p w14:paraId="5925C1BA" w14:textId="77777777" w:rsidR="00E67F89" w:rsidRPr="00E67F89" w:rsidRDefault="00E67F89" w:rsidP="00E67F89">
            <w:r w:rsidRPr="00E67F89">
              <w:t>Eléments à étudier par l’EES</w:t>
            </w:r>
          </w:p>
        </w:tc>
        <w:tc>
          <w:tcPr>
            <w:tcW w:w="0" w:type="auto"/>
          </w:tcPr>
          <w:p w14:paraId="1885DEBB" w14:textId="77777777" w:rsidR="00E67F89" w:rsidRPr="00E67F89" w:rsidRDefault="00E67F89" w:rsidP="00E67F89">
            <w:r w:rsidRPr="00E67F89">
              <w:t>NO 11.1</w:t>
            </w:r>
          </w:p>
        </w:tc>
        <w:tc>
          <w:tcPr>
            <w:tcW w:w="0" w:type="auto"/>
          </w:tcPr>
          <w:p w14:paraId="62BE5D76" w14:textId="77777777" w:rsidR="00E67F89" w:rsidRPr="00E67F89" w:rsidRDefault="00E67F89" w:rsidP="00E67F89">
            <w:r w:rsidRPr="00E67F89">
              <w:t>Eléments touchés à décrire (obligatoirement) dans l’EES : a) Ecosystème, b) Espèces, c) Services écosystémiques, d) Statut de protection, f) Propriété et contrôle de site g) Niveau de référence des menaces, h) Risques et effets potentiels liés au projet</w:t>
            </w:r>
          </w:p>
        </w:tc>
        <w:tc>
          <w:tcPr>
            <w:tcW w:w="0" w:type="auto"/>
          </w:tcPr>
          <w:p w14:paraId="3C14542E" w14:textId="77777777" w:rsidR="00E67F89" w:rsidRPr="00E67F89" w:rsidRDefault="00E67F89" w:rsidP="00E67F89"/>
        </w:tc>
        <w:tc>
          <w:tcPr>
            <w:tcW w:w="0" w:type="auto"/>
          </w:tcPr>
          <w:p w14:paraId="72EE3A28" w14:textId="77777777" w:rsidR="00E67F89" w:rsidRPr="00E67F89" w:rsidRDefault="00E67F89" w:rsidP="00E67F89">
            <w:r w:rsidRPr="00E67F89">
              <w:t xml:space="preserve">Néant </w:t>
            </w:r>
          </w:p>
        </w:tc>
        <w:tc>
          <w:tcPr>
            <w:tcW w:w="0" w:type="auto"/>
            <w:vMerge w:val="restart"/>
          </w:tcPr>
          <w:p w14:paraId="3839FB61" w14:textId="77777777" w:rsidR="00E67F89" w:rsidRPr="00E67F89" w:rsidRDefault="00E67F89" w:rsidP="00E67F89">
            <w:r w:rsidRPr="00E67F89">
              <w:t>Le cadre national malagasy n’est pas précis sur la description des éléments de la biodiversité à décrire, tandis que les dispositions de la NES sont très strictes.</w:t>
            </w:r>
          </w:p>
          <w:p w14:paraId="236D92FA" w14:textId="77777777" w:rsidR="00E67F89" w:rsidRPr="00E67F89" w:rsidRDefault="00E67F89" w:rsidP="00E67F89">
            <w:r w:rsidRPr="00E67F89">
              <w:t>Application des dispositions de la NES 6 pour LE PROJET</w:t>
            </w:r>
          </w:p>
        </w:tc>
      </w:tr>
      <w:tr w:rsidR="00E67F89" w:rsidRPr="00E67F89" w14:paraId="02834895" w14:textId="77777777" w:rsidTr="00223F64">
        <w:trPr>
          <w:trHeight w:val="20"/>
        </w:trPr>
        <w:tc>
          <w:tcPr>
            <w:tcW w:w="0" w:type="auto"/>
          </w:tcPr>
          <w:p w14:paraId="17EDF945" w14:textId="77777777" w:rsidR="00E67F89" w:rsidRPr="00E67F89" w:rsidRDefault="00E67F89" w:rsidP="00E67F89">
            <w:r w:rsidRPr="00E67F89">
              <w:t>Données de référence sur la biodiversité</w:t>
            </w:r>
          </w:p>
        </w:tc>
        <w:tc>
          <w:tcPr>
            <w:tcW w:w="0" w:type="auto"/>
          </w:tcPr>
          <w:p w14:paraId="1F80786D" w14:textId="77777777" w:rsidR="00E67F89" w:rsidRPr="00E67F89" w:rsidRDefault="00E67F89" w:rsidP="00E67F89">
            <w:r w:rsidRPr="00E67F89">
              <w:t>NO 11.2</w:t>
            </w:r>
          </w:p>
        </w:tc>
        <w:tc>
          <w:tcPr>
            <w:tcW w:w="0" w:type="auto"/>
          </w:tcPr>
          <w:p w14:paraId="1E98B575" w14:textId="77777777" w:rsidR="00E67F89" w:rsidRPr="00E67F89" w:rsidRDefault="00E67F89" w:rsidP="00E67F89">
            <w:r w:rsidRPr="00E67F89">
              <w:t xml:space="preserve">Nécessité de déterminer les données de référence sur la biodiversité dont leur nature et leur niveau, à l’étape de cadrage de l’EES, en fonction de la nature et de l’importance des risques et des effets potentiels du projet </w:t>
            </w:r>
          </w:p>
        </w:tc>
        <w:tc>
          <w:tcPr>
            <w:tcW w:w="0" w:type="auto"/>
          </w:tcPr>
          <w:p w14:paraId="63760465" w14:textId="77777777" w:rsidR="00E67F89" w:rsidRPr="00E67F89" w:rsidRDefault="00E67F89" w:rsidP="00E67F89"/>
        </w:tc>
        <w:tc>
          <w:tcPr>
            <w:tcW w:w="0" w:type="auto"/>
          </w:tcPr>
          <w:p w14:paraId="41938E0D" w14:textId="77777777" w:rsidR="00E67F89" w:rsidRPr="00E67F89" w:rsidRDefault="00E67F89" w:rsidP="00E67F89">
            <w:r w:rsidRPr="00E67F89">
              <w:t>Néant</w:t>
            </w:r>
          </w:p>
        </w:tc>
        <w:tc>
          <w:tcPr>
            <w:tcW w:w="0" w:type="auto"/>
            <w:vMerge/>
          </w:tcPr>
          <w:p w14:paraId="54BD701F" w14:textId="77777777" w:rsidR="00E67F89" w:rsidRPr="00E67F89" w:rsidRDefault="00E67F89" w:rsidP="00E67F89"/>
        </w:tc>
      </w:tr>
      <w:tr w:rsidR="00E67F89" w:rsidRPr="00E67F89" w14:paraId="4A61F979" w14:textId="77777777" w:rsidTr="00223F64">
        <w:trPr>
          <w:trHeight w:val="20"/>
        </w:trPr>
        <w:tc>
          <w:tcPr>
            <w:tcW w:w="0" w:type="auto"/>
          </w:tcPr>
          <w:p w14:paraId="01841E27" w14:textId="77777777" w:rsidR="00E67F89" w:rsidRPr="00E67F89" w:rsidRDefault="00E67F89" w:rsidP="00E67F89">
            <w:r w:rsidRPr="00E67F89">
              <w:t>Approche de précaution</w:t>
            </w:r>
          </w:p>
        </w:tc>
        <w:tc>
          <w:tcPr>
            <w:tcW w:w="0" w:type="auto"/>
          </w:tcPr>
          <w:p w14:paraId="44855D1E" w14:textId="77777777" w:rsidR="00E67F89" w:rsidRPr="00E67F89" w:rsidRDefault="00E67F89" w:rsidP="00E67F89">
            <w:r w:rsidRPr="00E67F89">
              <w:t>NO 11.3</w:t>
            </w:r>
          </w:p>
          <w:p w14:paraId="4B52130C" w14:textId="77777777" w:rsidR="00E67F89" w:rsidRPr="00E67F89" w:rsidRDefault="00E67F89" w:rsidP="00E67F89">
            <w:r w:rsidRPr="00E67F89">
              <w:t>NO 12.3</w:t>
            </w:r>
          </w:p>
        </w:tc>
        <w:tc>
          <w:tcPr>
            <w:tcW w:w="0" w:type="auto"/>
          </w:tcPr>
          <w:p w14:paraId="26B18136" w14:textId="77777777" w:rsidR="00E67F89" w:rsidRPr="00E67F89" w:rsidRDefault="00E67F89" w:rsidP="00E67F89">
            <w:r w:rsidRPr="00E67F89">
              <w:t>Dans un contexte d’incertitude scientifique, mettre en œuvre des mesures d’atténuation présentant un bon rapport coût-efficacité</w:t>
            </w:r>
          </w:p>
          <w:p w14:paraId="02B6C3E5" w14:textId="77777777" w:rsidR="00E67F89" w:rsidRPr="00E67F89" w:rsidRDefault="00E67F89" w:rsidP="00E67F89"/>
          <w:p w14:paraId="3885E269" w14:textId="77777777" w:rsidR="00E67F89" w:rsidRPr="00E67F89" w:rsidRDefault="00E67F89" w:rsidP="00E67F89">
            <w:r w:rsidRPr="00E67F89">
              <w:t xml:space="preserve">En cas d’incertitude ou d’absence de preuves, ou d’incomplétude de certaines informations </w:t>
            </w:r>
            <w:r w:rsidRPr="00E67F89">
              <w:lastRenderedPageBreak/>
              <w:t>scientifiques, nécessité de laisser une marge d’erreur dans la prise de décisions sur les activités du projet.</w:t>
            </w:r>
          </w:p>
        </w:tc>
        <w:tc>
          <w:tcPr>
            <w:tcW w:w="0" w:type="auto"/>
          </w:tcPr>
          <w:p w14:paraId="034BB529" w14:textId="77777777" w:rsidR="00E67F89" w:rsidRPr="00E67F89" w:rsidRDefault="00E67F89" w:rsidP="00E67F89">
            <w:r w:rsidRPr="00E67F89">
              <w:lastRenderedPageBreak/>
              <w:t>LOI 2005-003</w:t>
            </w:r>
          </w:p>
          <w:p w14:paraId="0A71964D" w14:textId="77777777" w:rsidR="00E67F89" w:rsidRPr="00E67F89" w:rsidRDefault="00E67F89" w:rsidP="00E67F89">
            <w:r w:rsidRPr="00E67F89">
              <w:t xml:space="preserve">Charte de l’Environnement </w:t>
            </w:r>
          </w:p>
        </w:tc>
        <w:tc>
          <w:tcPr>
            <w:tcW w:w="0" w:type="auto"/>
          </w:tcPr>
          <w:p w14:paraId="429FC87D" w14:textId="77777777" w:rsidR="00E67F89" w:rsidRPr="00E67F89" w:rsidRDefault="00E67F89" w:rsidP="00E67F89">
            <w:r w:rsidRPr="00E67F89">
              <w:t>L’EIE détermine des mesures d’atténuation permettant d’assurer l’intégrité de l’environnement ….. à un coût économiquement acceptable [Article 4]</w:t>
            </w:r>
          </w:p>
          <w:p w14:paraId="06DB3CF2" w14:textId="77777777" w:rsidR="00E67F89" w:rsidRPr="00E67F89" w:rsidRDefault="00E67F89" w:rsidP="00E67F89">
            <w:r w:rsidRPr="00E67F89">
              <w:t xml:space="preserve">Respect du principe de précaution : </w:t>
            </w:r>
          </w:p>
          <w:p w14:paraId="23BDB66E" w14:textId="77777777" w:rsidR="00E67F89" w:rsidRPr="00E67F89" w:rsidRDefault="00E67F89" w:rsidP="00E67F89">
            <w:r w:rsidRPr="00E67F89">
              <w:lastRenderedPageBreak/>
              <w:t>L’absence de certitude ne doit pas retarder l’adoption de mesures effectives et proportionnées pour prévenir un risque de dommages graves et irréversibles à l’environnement à un coût économiquement acceptable [Article 11]</w:t>
            </w:r>
          </w:p>
        </w:tc>
        <w:tc>
          <w:tcPr>
            <w:tcW w:w="0" w:type="auto"/>
          </w:tcPr>
          <w:p w14:paraId="400C5B60" w14:textId="77777777" w:rsidR="00E67F89" w:rsidRPr="00E67F89" w:rsidRDefault="00E67F89" w:rsidP="00E67F89">
            <w:r w:rsidRPr="00E67F89">
              <w:lastRenderedPageBreak/>
              <w:t>Correspondance entre les deux cadres</w:t>
            </w:r>
          </w:p>
          <w:p w14:paraId="351A3B4E" w14:textId="77777777" w:rsidR="00E67F89" w:rsidRPr="00E67F89" w:rsidRDefault="00E67F89" w:rsidP="00E67F89"/>
        </w:tc>
      </w:tr>
      <w:tr w:rsidR="00E67F89" w:rsidRPr="00E67F89" w14:paraId="18DD9952" w14:textId="77777777" w:rsidTr="00223F64">
        <w:trPr>
          <w:trHeight w:val="20"/>
        </w:trPr>
        <w:tc>
          <w:tcPr>
            <w:tcW w:w="0" w:type="auto"/>
          </w:tcPr>
          <w:p w14:paraId="2BAC8481" w14:textId="77777777" w:rsidR="00E67F89" w:rsidRPr="00E67F89" w:rsidRDefault="00E67F89" w:rsidP="00E67F89">
            <w:r w:rsidRPr="00E67F89">
              <w:t xml:space="preserve">Gestion adaptative </w:t>
            </w:r>
          </w:p>
        </w:tc>
        <w:tc>
          <w:tcPr>
            <w:tcW w:w="0" w:type="auto"/>
          </w:tcPr>
          <w:p w14:paraId="146411C6" w14:textId="77777777" w:rsidR="00E67F89" w:rsidRPr="00E67F89" w:rsidRDefault="00E67F89" w:rsidP="00E67F89">
            <w:r w:rsidRPr="00E67F89">
              <w:t>NO 12.2</w:t>
            </w:r>
          </w:p>
          <w:p w14:paraId="5E0A824A" w14:textId="77777777" w:rsidR="00E67F89" w:rsidRPr="00E67F89" w:rsidRDefault="00E67F89" w:rsidP="00E67F89">
            <w:r w:rsidRPr="00E67F89">
              <w:t>NO 12.4</w:t>
            </w:r>
          </w:p>
        </w:tc>
        <w:tc>
          <w:tcPr>
            <w:tcW w:w="0" w:type="auto"/>
          </w:tcPr>
          <w:p w14:paraId="543534E9" w14:textId="77777777" w:rsidR="00E67F89" w:rsidRPr="00E67F89" w:rsidRDefault="00E67F89" w:rsidP="00E67F89">
            <w:r w:rsidRPr="00E67F89">
              <w:t>La gestion adaptative consiste à ajuster les mesures et les approches en fonction des résultats du suivi continu des effets</w:t>
            </w:r>
          </w:p>
          <w:p w14:paraId="183BBB4B" w14:textId="77777777" w:rsidR="00E67F89" w:rsidRPr="00E67F89" w:rsidRDefault="00E67F89" w:rsidP="00E67F89">
            <w:r w:rsidRPr="00E67F89">
              <w:t xml:space="preserve">Adopter une gestion adaptative en cas de circonstances imprévues ou évolutives conduisant à l’échec des mesures d’atténuation ou autres résultats imprévus. </w:t>
            </w:r>
          </w:p>
          <w:p w14:paraId="468CEE42" w14:textId="77777777" w:rsidR="00E67F89" w:rsidRPr="00E67F89" w:rsidRDefault="00E67F89" w:rsidP="00E67F89">
            <w:r w:rsidRPr="00E67F89">
              <w:t>Mise en place de suivi régulier des indicateurs environnementaux et sociaux (à mettre dans le PEES)</w:t>
            </w:r>
          </w:p>
        </w:tc>
        <w:tc>
          <w:tcPr>
            <w:tcW w:w="0" w:type="auto"/>
          </w:tcPr>
          <w:p w14:paraId="279D34CB" w14:textId="77777777" w:rsidR="00E67F89" w:rsidRPr="00E67F89" w:rsidRDefault="00E67F89" w:rsidP="00E67F89">
            <w:r w:rsidRPr="00E67F89">
              <w:t xml:space="preserve">Décret MECIE 2025_080 </w:t>
            </w:r>
          </w:p>
        </w:tc>
        <w:tc>
          <w:tcPr>
            <w:tcW w:w="0" w:type="auto"/>
          </w:tcPr>
          <w:p w14:paraId="54FF08EA" w14:textId="77777777" w:rsidR="00E67F89" w:rsidRPr="00E67F89" w:rsidRDefault="00E67F89" w:rsidP="00E67F89">
            <w:r w:rsidRPr="00E67F89">
              <w:t>En cas d’inadaptation de mesures initialement prises, l’investisseur doit prendre des mesures d’ajustement en vue de la mise en compatibilité permanente avec les nouvelles directives et les normes environnementales applicables en la matière [Article 113]</w:t>
            </w:r>
          </w:p>
        </w:tc>
        <w:tc>
          <w:tcPr>
            <w:tcW w:w="0" w:type="auto"/>
          </w:tcPr>
          <w:p w14:paraId="5705E98D" w14:textId="77777777" w:rsidR="00E67F89" w:rsidRPr="00E67F89" w:rsidRDefault="00E67F89" w:rsidP="00E67F89">
            <w:r w:rsidRPr="00E67F89">
              <w:t>Correspondance entre les deux cadres</w:t>
            </w:r>
          </w:p>
        </w:tc>
      </w:tr>
      <w:tr w:rsidR="00E67F89" w:rsidRPr="00E67F89" w14:paraId="7231CF46" w14:textId="77777777" w:rsidTr="00223F64">
        <w:trPr>
          <w:trHeight w:val="20"/>
        </w:trPr>
        <w:tc>
          <w:tcPr>
            <w:tcW w:w="0" w:type="auto"/>
            <w:gridSpan w:val="6"/>
          </w:tcPr>
          <w:p w14:paraId="084FA321" w14:textId="77777777" w:rsidR="00E67F89" w:rsidRPr="00E67F89" w:rsidRDefault="00E67F89" w:rsidP="00E67F89">
            <w:r w:rsidRPr="00E67F89">
              <w:t>Préservation de la biodiversité et des habitats</w:t>
            </w:r>
          </w:p>
        </w:tc>
      </w:tr>
      <w:tr w:rsidR="00E67F89" w:rsidRPr="00E67F89" w14:paraId="2C05C7DF" w14:textId="77777777" w:rsidTr="00223F64">
        <w:trPr>
          <w:trHeight w:val="20"/>
        </w:trPr>
        <w:tc>
          <w:tcPr>
            <w:tcW w:w="0" w:type="auto"/>
          </w:tcPr>
          <w:p w14:paraId="7BE9A9A9" w14:textId="77777777" w:rsidR="00E67F89" w:rsidRPr="00E67F89" w:rsidRDefault="00E67F89" w:rsidP="00E67F89">
            <w:r w:rsidRPr="00E67F89">
              <w:t>Notion d’habitat</w:t>
            </w:r>
          </w:p>
        </w:tc>
        <w:tc>
          <w:tcPr>
            <w:tcW w:w="0" w:type="auto"/>
          </w:tcPr>
          <w:p w14:paraId="4E1EB4B3" w14:textId="77777777" w:rsidR="00E67F89" w:rsidRPr="00E67F89" w:rsidRDefault="00E67F89" w:rsidP="00E67F89">
            <w:r w:rsidRPr="00E67F89">
              <w:t>13</w:t>
            </w:r>
          </w:p>
        </w:tc>
        <w:tc>
          <w:tcPr>
            <w:tcW w:w="0" w:type="auto"/>
          </w:tcPr>
          <w:p w14:paraId="0B071E0F" w14:textId="77777777" w:rsidR="00E67F89" w:rsidRPr="00E67F89" w:rsidRDefault="00E67F89" w:rsidP="00E67F89">
            <w:r w:rsidRPr="00E67F89">
              <w:t xml:space="preserve">L’habitat se définit comme une unité géographique terrestre, </w:t>
            </w:r>
            <w:r w:rsidRPr="00E67F89">
              <w:lastRenderedPageBreak/>
              <w:t>dulcicole ou marine, ou une voie aérienne, qui soutient des assemblages d’organismes vivants et leur interaction avec l’environnement non vivant.</w:t>
            </w:r>
          </w:p>
          <w:p w14:paraId="2B18CF8F" w14:textId="77777777" w:rsidR="00E67F89" w:rsidRPr="00E67F89" w:rsidRDefault="00E67F89" w:rsidP="00E67F89">
            <w:r w:rsidRPr="00E67F89">
              <w:t>Étant donné que, les plus grandes menaces qui pèsent sur la biodiversité sont la perte, la dégradation ou la fragmentation des habitats, une grande partie des initiatives en faveur de la biodiversité consiste à préserver ou restaurer les habitats indiqués</w:t>
            </w:r>
          </w:p>
        </w:tc>
        <w:tc>
          <w:tcPr>
            <w:tcW w:w="0" w:type="auto"/>
          </w:tcPr>
          <w:p w14:paraId="71DF7DEF" w14:textId="77777777" w:rsidR="00E67F89" w:rsidRPr="00E67F89" w:rsidRDefault="00E67F89" w:rsidP="00E67F89"/>
          <w:p w14:paraId="25EF23A0" w14:textId="77777777" w:rsidR="00E67F89" w:rsidRPr="00E67F89" w:rsidRDefault="00E67F89" w:rsidP="00E67F89"/>
          <w:p w14:paraId="623676E2" w14:textId="77777777" w:rsidR="00E67F89" w:rsidRPr="00E67F89" w:rsidRDefault="00E67F89" w:rsidP="00E67F89"/>
          <w:p w14:paraId="5E7B9A0F" w14:textId="77777777" w:rsidR="00E67F89" w:rsidRPr="00E67F89" w:rsidRDefault="00E67F89" w:rsidP="00E67F89"/>
          <w:p w14:paraId="46D2291C" w14:textId="77777777" w:rsidR="00E67F89" w:rsidRPr="00E67F89" w:rsidRDefault="00E67F89" w:rsidP="00E67F89"/>
          <w:p w14:paraId="077FF416" w14:textId="77777777" w:rsidR="00E67F89" w:rsidRPr="00E67F89" w:rsidRDefault="00E67F89" w:rsidP="00E67F89">
            <w:r w:rsidRPr="00E67F89">
              <w:t>LOI 2005-003</w:t>
            </w:r>
          </w:p>
          <w:p w14:paraId="52C3AC75" w14:textId="77777777" w:rsidR="00E67F89" w:rsidRPr="00E67F89" w:rsidRDefault="00E67F89" w:rsidP="00E67F89">
            <w:r w:rsidRPr="00E67F89">
              <w:t>Charte de l’Environnement</w:t>
            </w:r>
          </w:p>
        </w:tc>
        <w:tc>
          <w:tcPr>
            <w:tcW w:w="0" w:type="auto"/>
          </w:tcPr>
          <w:p w14:paraId="37BBF4BF" w14:textId="77777777" w:rsidR="00E67F89" w:rsidRPr="00E67F89" w:rsidRDefault="00E67F89" w:rsidP="00E67F89">
            <w:r w:rsidRPr="00E67F89">
              <w:lastRenderedPageBreak/>
              <w:t xml:space="preserve">Il n’existe pas de définition malagasy officielle de « habitat ». </w:t>
            </w:r>
            <w:r w:rsidRPr="00E67F89">
              <w:lastRenderedPageBreak/>
              <w:t xml:space="preserve">On fait souvent référence à « milieu » lorsqu’on parle de « habitat », dans les cadres réglementaires. Dans ce cas, on parle de milieu d’implantation, de milieu d’insertion ou de milieu récepteur. </w:t>
            </w:r>
          </w:p>
          <w:p w14:paraId="40A920F9" w14:textId="77777777" w:rsidR="00E67F89" w:rsidRPr="00E67F89" w:rsidRDefault="00E67F89" w:rsidP="00E67F89">
            <w:r w:rsidRPr="00E67F89">
              <w:t>La gestion de l’environnement consiste entre autres à restaurer les habitats écologiques dégradés [Article 19]</w:t>
            </w:r>
          </w:p>
        </w:tc>
        <w:tc>
          <w:tcPr>
            <w:tcW w:w="0" w:type="auto"/>
          </w:tcPr>
          <w:p w14:paraId="3362C547" w14:textId="77777777" w:rsidR="00E67F89" w:rsidRPr="00E67F89" w:rsidRDefault="00E67F89" w:rsidP="00E67F89">
            <w:r w:rsidRPr="00E67F89">
              <w:lastRenderedPageBreak/>
              <w:t xml:space="preserve">Le cadre national malagasy parle de « </w:t>
            </w:r>
            <w:r w:rsidRPr="00E67F89">
              <w:lastRenderedPageBreak/>
              <w:t>milieu » lorsqu’il s’agit d’« habitat » pour la NES 6</w:t>
            </w:r>
          </w:p>
          <w:p w14:paraId="6F36FFF2" w14:textId="77777777" w:rsidR="00E67F89" w:rsidRPr="00E67F89" w:rsidRDefault="00E67F89" w:rsidP="00E67F89">
            <w:r w:rsidRPr="00E67F89">
              <w:t>Correspondance entre les deux cadres</w:t>
            </w:r>
          </w:p>
        </w:tc>
      </w:tr>
      <w:tr w:rsidR="00E67F89" w:rsidRPr="00E67F89" w14:paraId="7A106625" w14:textId="77777777" w:rsidTr="00223F64">
        <w:trPr>
          <w:trHeight w:val="20"/>
        </w:trPr>
        <w:tc>
          <w:tcPr>
            <w:tcW w:w="0" w:type="auto"/>
          </w:tcPr>
          <w:p w14:paraId="74D191A5" w14:textId="77777777" w:rsidR="00E67F89" w:rsidRPr="00E67F89" w:rsidRDefault="00E67F89" w:rsidP="00E67F89">
            <w:r w:rsidRPr="00E67F89">
              <w:t xml:space="preserve">Classement des habitats </w:t>
            </w:r>
          </w:p>
        </w:tc>
        <w:tc>
          <w:tcPr>
            <w:tcW w:w="0" w:type="auto"/>
          </w:tcPr>
          <w:p w14:paraId="26CD6CC4" w14:textId="77777777" w:rsidR="00E67F89" w:rsidRPr="00E67F89" w:rsidRDefault="00E67F89" w:rsidP="00E67F89">
            <w:r w:rsidRPr="00E67F89">
              <w:t>14</w:t>
            </w:r>
          </w:p>
        </w:tc>
        <w:tc>
          <w:tcPr>
            <w:tcW w:w="0" w:type="auto"/>
          </w:tcPr>
          <w:p w14:paraId="31D25E91" w14:textId="77777777" w:rsidR="00E67F89" w:rsidRPr="00E67F89" w:rsidRDefault="00E67F89" w:rsidP="00E67F89">
            <w:r w:rsidRPr="00E67F89">
              <w:t>Approche de gestion différenciée des risques qui pèsent sur les habitats, en fonction de la sensibilité et de la valeur des habitats</w:t>
            </w:r>
          </w:p>
        </w:tc>
        <w:tc>
          <w:tcPr>
            <w:tcW w:w="0" w:type="auto"/>
          </w:tcPr>
          <w:p w14:paraId="6E829F77" w14:textId="77777777" w:rsidR="00E67F89" w:rsidRPr="00E67F89" w:rsidRDefault="00E67F89" w:rsidP="00E67F89">
            <w:r w:rsidRPr="00E67F89">
              <w:t>Décret MECIE 2025-080</w:t>
            </w:r>
          </w:p>
        </w:tc>
        <w:tc>
          <w:tcPr>
            <w:tcW w:w="0" w:type="auto"/>
          </w:tcPr>
          <w:p w14:paraId="242C7A50" w14:textId="77777777" w:rsidR="00E67F89" w:rsidRPr="00E67F89" w:rsidRDefault="00E67F89" w:rsidP="00E67F89">
            <w:r w:rsidRPr="00E67F89">
              <w:t>La conduite de l’EIE tient compte de la sensibilité de milieu d’implantation et de l’ampleur des projets à mettre en œuvre [Article 5]</w:t>
            </w:r>
          </w:p>
        </w:tc>
        <w:tc>
          <w:tcPr>
            <w:tcW w:w="0" w:type="auto"/>
          </w:tcPr>
          <w:p w14:paraId="595D200F" w14:textId="77777777" w:rsidR="00E67F89" w:rsidRPr="00E67F89" w:rsidRDefault="00E67F89" w:rsidP="00E67F89">
            <w:r w:rsidRPr="00E67F89">
              <w:t xml:space="preserve">Correspondance partielle entre les deux cadres. </w:t>
            </w:r>
          </w:p>
          <w:p w14:paraId="64A3C6D9" w14:textId="77777777" w:rsidR="00E67F89" w:rsidRPr="00E67F89" w:rsidRDefault="00E67F89" w:rsidP="00E67F89">
            <w:r w:rsidRPr="00E67F89">
              <w:t>Prise en compte du classement des habitats par le projet</w:t>
            </w:r>
          </w:p>
        </w:tc>
      </w:tr>
      <w:tr w:rsidR="00E67F89" w:rsidRPr="00E67F89" w14:paraId="21260312" w14:textId="77777777" w:rsidTr="00223F64">
        <w:trPr>
          <w:trHeight w:val="20"/>
        </w:trPr>
        <w:tc>
          <w:tcPr>
            <w:tcW w:w="0" w:type="auto"/>
          </w:tcPr>
          <w:p w14:paraId="622B882F" w14:textId="77777777" w:rsidR="00E67F89" w:rsidRPr="00E67F89" w:rsidRDefault="00E67F89" w:rsidP="00E67F89">
            <w:r w:rsidRPr="00E67F89">
              <w:t>Classement des habitats</w:t>
            </w:r>
          </w:p>
        </w:tc>
        <w:tc>
          <w:tcPr>
            <w:tcW w:w="0" w:type="auto"/>
          </w:tcPr>
          <w:p w14:paraId="3B145EE6" w14:textId="77777777" w:rsidR="00E67F89" w:rsidRPr="00E67F89" w:rsidRDefault="00E67F89" w:rsidP="00E67F89">
            <w:r w:rsidRPr="00E67F89">
              <w:t>14</w:t>
            </w:r>
          </w:p>
        </w:tc>
        <w:tc>
          <w:tcPr>
            <w:tcW w:w="0" w:type="auto"/>
          </w:tcPr>
          <w:p w14:paraId="17895FA5" w14:textId="77777777" w:rsidR="00E67F89" w:rsidRPr="00E67F89" w:rsidRDefault="00E67F89" w:rsidP="00E67F89">
            <w:r w:rsidRPr="00E67F89">
              <w:t>Classement des habitats en quatre catégories : a) Habitat modifié, b) Habitat naturel, c) Habitat critique, d) Zones protégées juridiquement et reconnues à l’échelle internationale ou régionale comme étant riches en biodiversité.</w:t>
            </w:r>
          </w:p>
          <w:p w14:paraId="0C26F85D" w14:textId="77777777" w:rsidR="00E67F89" w:rsidRPr="00E67F89" w:rsidRDefault="00E67F89" w:rsidP="00E67F89">
            <w:r w:rsidRPr="00E67F89">
              <w:lastRenderedPageBreak/>
              <w:t>Les habitats naturels et modifiés peuvent être classés comme habitats critiques.</w:t>
            </w:r>
          </w:p>
        </w:tc>
        <w:tc>
          <w:tcPr>
            <w:tcW w:w="0" w:type="auto"/>
          </w:tcPr>
          <w:p w14:paraId="4E12BCD5" w14:textId="77777777" w:rsidR="00E67F89" w:rsidRPr="00E67F89" w:rsidRDefault="00E67F89" w:rsidP="00E67F89"/>
        </w:tc>
        <w:tc>
          <w:tcPr>
            <w:tcW w:w="0" w:type="auto"/>
          </w:tcPr>
          <w:p w14:paraId="3FE3284C" w14:textId="77777777" w:rsidR="00E67F89" w:rsidRPr="00E67F89" w:rsidRDefault="00E67F89" w:rsidP="00E67F89">
            <w:r w:rsidRPr="00E67F89">
              <w:t>Absence de classement officiel de l’habitat ou de milieu selon leur sensibilité</w:t>
            </w:r>
          </w:p>
          <w:p w14:paraId="088DBB30" w14:textId="77777777" w:rsidR="00E67F89" w:rsidRPr="00E67F89" w:rsidRDefault="00E67F89" w:rsidP="00E67F89">
            <w:r w:rsidRPr="00E67F89">
              <w:t>Par contre l’aire protégée est une catégorie particulière, régie par un cadre réglementaire spécifique.</w:t>
            </w:r>
          </w:p>
        </w:tc>
        <w:tc>
          <w:tcPr>
            <w:tcW w:w="0" w:type="auto"/>
          </w:tcPr>
          <w:p w14:paraId="4052D02B" w14:textId="77777777" w:rsidR="00E67F89" w:rsidRPr="00E67F89" w:rsidRDefault="00E67F89" w:rsidP="00E67F89">
            <w:r w:rsidRPr="00E67F89">
              <w:t xml:space="preserve">Complémentarité entre les deux cadres. </w:t>
            </w:r>
          </w:p>
          <w:p w14:paraId="4408D025" w14:textId="77777777" w:rsidR="00E67F89" w:rsidRPr="00E67F89" w:rsidRDefault="00E67F89" w:rsidP="00E67F89">
            <w:r w:rsidRPr="00E67F89">
              <w:t>Le Projet prendra compte des différents classements d’ habitats, et non seulement les aires protégées dans l’EES.</w:t>
            </w:r>
          </w:p>
        </w:tc>
      </w:tr>
      <w:tr w:rsidR="00E67F89" w:rsidRPr="00E67F89" w14:paraId="4AEB1347" w14:textId="77777777" w:rsidTr="00223F64">
        <w:trPr>
          <w:trHeight w:val="20"/>
        </w:trPr>
        <w:tc>
          <w:tcPr>
            <w:tcW w:w="0" w:type="auto"/>
          </w:tcPr>
          <w:p w14:paraId="4A508508" w14:textId="77777777" w:rsidR="00E67F89" w:rsidRPr="00E67F89" w:rsidRDefault="00E67F89" w:rsidP="00E67F89">
            <w:r w:rsidRPr="00E67F89">
              <w:t>Compensation de la perte de la biodiversité</w:t>
            </w:r>
          </w:p>
        </w:tc>
        <w:tc>
          <w:tcPr>
            <w:tcW w:w="0" w:type="auto"/>
          </w:tcPr>
          <w:p w14:paraId="0E0C664A" w14:textId="77777777" w:rsidR="00E67F89" w:rsidRPr="00E67F89" w:rsidRDefault="00E67F89" w:rsidP="00E67F89">
            <w:r w:rsidRPr="00E67F89">
              <w:t>15</w:t>
            </w:r>
          </w:p>
        </w:tc>
        <w:tc>
          <w:tcPr>
            <w:tcW w:w="0" w:type="auto"/>
          </w:tcPr>
          <w:p w14:paraId="0CBCEB52" w14:textId="77777777" w:rsidR="00E67F89" w:rsidRPr="00E67F89" w:rsidRDefault="00E67F89" w:rsidP="00E67F89">
            <w:r w:rsidRPr="00E67F89">
              <w:t xml:space="preserve">On envisage la compensation pour la perte de la biodiversité lorsque les impacts négatifs sont considérables et qu’on n’a pas pu éviter et minimiser les pertes, alors qu’il faut toujours restaurer la biodiversité </w:t>
            </w:r>
          </w:p>
        </w:tc>
        <w:tc>
          <w:tcPr>
            <w:tcW w:w="0" w:type="auto"/>
          </w:tcPr>
          <w:p w14:paraId="469C5260" w14:textId="77777777" w:rsidR="00E67F89" w:rsidRPr="00E67F89" w:rsidRDefault="00E67F89" w:rsidP="00E67F89">
            <w:r w:rsidRPr="00E67F89">
              <w:t>LOI 2005-003</w:t>
            </w:r>
          </w:p>
          <w:p w14:paraId="7610FF71" w14:textId="77777777" w:rsidR="00E67F89" w:rsidRPr="00E67F89" w:rsidRDefault="00E67F89" w:rsidP="00E67F89">
            <w:r w:rsidRPr="00E67F89">
              <w:t>Charte de l’Environnement actualisée</w:t>
            </w:r>
          </w:p>
          <w:p w14:paraId="052498B3" w14:textId="77777777" w:rsidR="00E67F89" w:rsidRPr="00E67F89" w:rsidRDefault="00E67F89" w:rsidP="00E67F89"/>
          <w:p w14:paraId="6802CE3C" w14:textId="77777777" w:rsidR="00E67F89" w:rsidRPr="00E67F89" w:rsidRDefault="00E67F89" w:rsidP="00E67F89">
            <w:r w:rsidRPr="00E67F89">
              <w:t>Loi n°2015-005 COAP (refonte)</w:t>
            </w:r>
          </w:p>
        </w:tc>
        <w:tc>
          <w:tcPr>
            <w:tcW w:w="0" w:type="auto"/>
          </w:tcPr>
          <w:p w14:paraId="4EAED160" w14:textId="77777777" w:rsidR="00E67F89" w:rsidRPr="00E67F89" w:rsidRDefault="00E67F89" w:rsidP="00E67F89">
            <w:r w:rsidRPr="00E67F89">
              <w:t xml:space="preserve">Le principe de compensation est appliqué au pollueur de l’environnement [Article 10] </w:t>
            </w:r>
          </w:p>
          <w:p w14:paraId="23A33A33" w14:textId="77777777" w:rsidR="00E67F89" w:rsidRPr="00E67F89" w:rsidRDefault="00E67F89" w:rsidP="00E67F89">
            <w:r w:rsidRPr="00E67F89">
              <w:t>Le recours à la compensation de la biodiversité est appliqué dans le cadre des activités minières permises dans certaines catégories d’aire protégée [Article 40]</w:t>
            </w:r>
          </w:p>
          <w:p w14:paraId="47FC86B3" w14:textId="77777777" w:rsidR="00E67F89" w:rsidRPr="00E67F89" w:rsidRDefault="00E67F89" w:rsidP="00E67F89">
            <w:r w:rsidRPr="00E67F89">
              <w:t>On prévoit la mise en place de zone de compensation écologique dans le cadre des activités minières, à l’intérieur de l’aire protégée (Paysage harmonieux protégé Cat 5) [Article 20]</w:t>
            </w:r>
          </w:p>
        </w:tc>
        <w:tc>
          <w:tcPr>
            <w:tcW w:w="0" w:type="auto"/>
          </w:tcPr>
          <w:p w14:paraId="3DC86881" w14:textId="77777777" w:rsidR="00E67F89" w:rsidRPr="00E67F89" w:rsidRDefault="00E67F89" w:rsidP="00E67F89">
            <w:r w:rsidRPr="00E67F89">
              <w:t>Complémentarité entre les deux cadres, mais avec une plus-value pour la NES 6</w:t>
            </w:r>
          </w:p>
          <w:p w14:paraId="4C5DF0C8" w14:textId="77777777" w:rsidR="00E67F89" w:rsidRPr="00E67F89" w:rsidRDefault="00E67F89" w:rsidP="00E67F89">
            <w:r w:rsidRPr="00E67F89">
              <w:t>Le Projet appliquera les dispositions de la NES 6, donc on ne se limite pas réglementation régissant les activités dans les aires protégées.</w:t>
            </w:r>
          </w:p>
        </w:tc>
      </w:tr>
      <w:tr w:rsidR="00E67F89" w:rsidRPr="00E67F89" w14:paraId="3BBBBF4D" w14:textId="77777777" w:rsidTr="00223F64">
        <w:trPr>
          <w:trHeight w:val="20"/>
        </w:trPr>
        <w:tc>
          <w:tcPr>
            <w:tcW w:w="0" w:type="auto"/>
          </w:tcPr>
          <w:p w14:paraId="374F76D7" w14:textId="77777777" w:rsidR="00E67F89" w:rsidRPr="00E67F89" w:rsidRDefault="00E67F89" w:rsidP="00E67F89">
            <w:r w:rsidRPr="00E67F89">
              <w:t>Habitat modifié</w:t>
            </w:r>
          </w:p>
        </w:tc>
        <w:tc>
          <w:tcPr>
            <w:tcW w:w="0" w:type="auto"/>
          </w:tcPr>
          <w:p w14:paraId="7E8EED18" w14:textId="77777777" w:rsidR="00E67F89" w:rsidRPr="00E67F89" w:rsidRDefault="00E67F89" w:rsidP="00E67F89">
            <w:r w:rsidRPr="00E67F89">
              <w:t>19</w:t>
            </w:r>
          </w:p>
        </w:tc>
        <w:tc>
          <w:tcPr>
            <w:tcW w:w="0" w:type="auto"/>
          </w:tcPr>
          <w:p w14:paraId="4C2AAD80" w14:textId="77777777" w:rsidR="00E67F89" w:rsidRPr="00E67F89" w:rsidRDefault="00E67F89" w:rsidP="00E67F89">
            <w:r w:rsidRPr="00E67F89">
              <w:t>Habitat modifié : des zones qui peuvent abriter une large proportion d’espèces végétales et/ ou animales exotiques, et/ou dont l’activité humaine a considérablement modifié les fonctions écologiques primaires et la composition des espèces</w:t>
            </w:r>
          </w:p>
          <w:p w14:paraId="1C4EE40A" w14:textId="77777777" w:rsidR="00E67F89" w:rsidRPr="00E67F89" w:rsidRDefault="00E67F89" w:rsidP="00E67F89">
            <w:r w:rsidRPr="00E67F89">
              <w:lastRenderedPageBreak/>
              <w:t>Obligation : éviter et minimiser les impacts sur la biodiversité dans les zones d’habitat modifié et mettre en œuvre des mesures d’atténuation</w:t>
            </w:r>
          </w:p>
        </w:tc>
        <w:tc>
          <w:tcPr>
            <w:tcW w:w="0" w:type="auto"/>
          </w:tcPr>
          <w:p w14:paraId="198F13A0" w14:textId="77777777" w:rsidR="00E67F89" w:rsidRPr="00E67F89" w:rsidRDefault="00E67F89" w:rsidP="00E67F89">
            <w:r w:rsidRPr="00E67F89">
              <w:lastRenderedPageBreak/>
              <w:t>Loi n°2015-005 COAP (refonte)</w:t>
            </w:r>
          </w:p>
        </w:tc>
        <w:tc>
          <w:tcPr>
            <w:tcW w:w="0" w:type="auto"/>
          </w:tcPr>
          <w:p w14:paraId="20F09940" w14:textId="77777777" w:rsidR="00E67F89" w:rsidRPr="00E67F89" w:rsidRDefault="00E67F89" w:rsidP="00E67F89">
            <w:r w:rsidRPr="00E67F89">
              <w:t xml:space="preserve">Existence d’un statut d’aire protégée, nommé « Paysage harmonieux protégé » Cat 5 du SAPM, où l’interaction entre l’Homme la Nature contribuent au maintien de la biodiversité, et des valeurs esthétiques, culturelles et cultuelles et au </w:t>
            </w:r>
            <w:r w:rsidRPr="00E67F89">
              <w:lastRenderedPageBreak/>
              <w:t>développement économique et social.</w:t>
            </w:r>
          </w:p>
          <w:p w14:paraId="4933E199" w14:textId="77777777" w:rsidR="00E67F89" w:rsidRPr="00E67F89" w:rsidRDefault="00E67F89" w:rsidP="00E67F89">
            <w:r w:rsidRPr="00E67F89">
              <w:t>Obligation : Réglementer certaines activités dont les prélèvements des ressources naturelles renouvelables et non renouvelables dans l’AP, y compris la pêche traditionnelle et artisanale, selon un système de zonage [Article 19]</w:t>
            </w:r>
          </w:p>
        </w:tc>
        <w:tc>
          <w:tcPr>
            <w:tcW w:w="0" w:type="auto"/>
          </w:tcPr>
          <w:p w14:paraId="66629102" w14:textId="77777777" w:rsidR="00E67F89" w:rsidRPr="00E67F89" w:rsidRDefault="00E67F89" w:rsidP="00E67F89">
            <w:r w:rsidRPr="00E67F89">
              <w:lastRenderedPageBreak/>
              <w:t>Complémentarité entre les deux cadres, mais avec une plus-value pour la NES 6</w:t>
            </w:r>
          </w:p>
          <w:p w14:paraId="6E61DF2D" w14:textId="77777777" w:rsidR="00E67F89" w:rsidRPr="00E67F89" w:rsidRDefault="00E67F89" w:rsidP="00E67F89">
            <w:r w:rsidRPr="00E67F89">
              <w:t xml:space="preserve">Le Projet appliquera les dispositions de la NES 6, donc on ne se limite pas réglementation régissant </w:t>
            </w:r>
            <w:r w:rsidRPr="00E67F89">
              <w:lastRenderedPageBreak/>
              <w:t>les activités dans les aires protégées.</w:t>
            </w:r>
          </w:p>
        </w:tc>
      </w:tr>
      <w:tr w:rsidR="00E67F89" w:rsidRPr="00E67F89" w14:paraId="5C28C537" w14:textId="77777777" w:rsidTr="00223F64">
        <w:trPr>
          <w:trHeight w:val="20"/>
        </w:trPr>
        <w:tc>
          <w:tcPr>
            <w:tcW w:w="0" w:type="auto"/>
          </w:tcPr>
          <w:p w14:paraId="2CA6D3DA" w14:textId="77777777" w:rsidR="00E67F89" w:rsidRPr="00E67F89" w:rsidRDefault="00E67F89" w:rsidP="00E67F89">
            <w:r w:rsidRPr="00E67F89">
              <w:t>Habitat naturel</w:t>
            </w:r>
          </w:p>
        </w:tc>
        <w:tc>
          <w:tcPr>
            <w:tcW w:w="0" w:type="auto"/>
          </w:tcPr>
          <w:p w14:paraId="171A14BC" w14:textId="77777777" w:rsidR="00E67F89" w:rsidRPr="00E67F89" w:rsidRDefault="00E67F89" w:rsidP="00E67F89">
            <w:r w:rsidRPr="00E67F89">
              <w:t>21</w:t>
            </w:r>
          </w:p>
        </w:tc>
        <w:tc>
          <w:tcPr>
            <w:tcW w:w="0" w:type="auto"/>
          </w:tcPr>
          <w:p w14:paraId="5E9A2F29" w14:textId="77777777" w:rsidR="00E67F89" w:rsidRPr="00E67F89" w:rsidRDefault="00E67F89" w:rsidP="00E67F89">
            <w:r w:rsidRPr="00E67F89">
              <w:t>Habitats naturels : zones composées d’assemblages viables d’espèces végétales et/ou animales qui sont en grande partie indigènes, et/ou dont l’activité humaine n’a pas essentiellement modifié les principales fonctions écologiques et la composition des espèces</w:t>
            </w:r>
          </w:p>
          <w:p w14:paraId="5C1020F1" w14:textId="77777777" w:rsidR="00E67F89" w:rsidRPr="00E67F89" w:rsidRDefault="00E67F89" w:rsidP="00E67F89"/>
          <w:p w14:paraId="71CCB0B6" w14:textId="77777777" w:rsidR="00E67F89" w:rsidRPr="00E67F89" w:rsidRDefault="00E67F89" w:rsidP="00E67F89">
            <w:r w:rsidRPr="00E67F89">
              <w:t xml:space="preserve">Obligation : Aucune activité de projet ne devra être mise en œuvre dans les habitats naturels, sauf (1) Il n’existe pas d’autre solution techniquement et </w:t>
            </w:r>
            <w:r w:rsidRPr="00E67F89">
              <w:lastRenderedPageBreak/>
              <w:t>financièrement possible ; (2) Mise en place de mesures d’atténuation conformément au principe de la hiérarchie d’atténuation</w:t>
            </w:r>
          </w:p>
        </w:tc>
        <w:tc>
          <w:tcPr>
            <w:tcW w:w="0" w:type="auto"/>
          </w:tcPr>
          <w:p w14:paraId="54A43D49" w14:textId="77777777" w:rsidR="00E67F89" w:rsidRPr="00E67F89" w:rsidRDefault="00E67F89" w:rsidP="00E67F89"/>
        </w:tc>
        <w:tc>
          <w:tcPr>
            <w:tcW w:w="0" w:type="auto"/>
          </w:tcPr>
          <w:p w14:paraId="3BD00D6F" w14:textId="77777777" w:rsidR="00E67F89" w:rsidRPr="00E67F89" w:rsidRDefault="00E67F89" w:rsidP="00E67F89">
            <w:r w:rsidRPr="00E67F89">
              <w:t>Existence de statut d’aire protégée du SAPM, nommé la « Réserve de ressources naturelles » (Cat 6), qui est une aire gérée principalement à des fins d’utilisation durable des écosystèmes naturels. Le tiers de la superficie de l’aire est affecté à des activités d’utilisation durable des ressources naturelles. [Article 1]</w:t>
            </w:r>
          </w:p>
          <w:p w14:paraId="37A03517" w14:textId="77777777" w:rsidR="00E67F89" w:rsidRPr="00E67F89" w:rsidRDefault="00E67F89" w:rsidP="00E67F89">
            <w:r w:rsidRPr="00E67F89">
              <w:t xml:space="preserve">Obligation : Existence de réglementation et d’interdiction d’activités : Réglementation des prélèvements des ressources naturelles selon les prescriptions </w:t>
            </w:r>
            <w:r w:rsidRPr="00E67F89">
              <w:lastRenderedPageBreak/>
              <w:t xml:space="preserve">du plan d’aménagement et de gestion des RN [Article 23]. </w:t>
            </w:r>
          </w:p>
        </w:tc>
        <w:tc>
          <w:tcPr>
            <w:tcW w:w="0" w:type="auto"/>
          </w:tcPr>
          <w:p w14:paraId="18217E10" w14:textId="77777777" w:rsidR="00E67F89" w:rsidRPr="00E67F89" w:rsidRDefault="00E67F89" w:rsidP="00E67F89">
            <w:r w:rsidRPr="00E67F89">
              <w:lastRenderedPageBreak/>
              <w:t>Complémentarité entre les deux cadres, mais avec une plus-value pour la NES 6</w:t>
            </w:r>
          </w:p>
          <w:p w14:paraId="57EDE2F5" w14:textId="77777777" w:rsidR="00E67F89" w:rsidRPr="00E67F89" w:rsidRDefault="00E67F89" w:rsidP="00E67F89">
            <w:r w:rsidRPr="00E67F89">
              <w:t>Le Projet appliquera les dispositions de la NES 6, donc on ne se limite pas réglementation régissant les activités dans les aires protégées.</w:t>
            </w:r>
          </w:p>
        </w:tc>
      </w:tr>
      <w:tr w:rsidR="00E67F89" w:rsidRPr="00E67F89" w14:paraId="16295716" w14:textId="77777777" w:rsidTr="00223F64">
        <w:trPr>
          <w:trHeight w:val="20"/>
        </w:trPr>
        <w:tc>
          <w:tcPr>
            <w:tcW w:w="0" w:type="auto"/>
          </w:tcPr>
          <w:p w14:paraId="2322C49F" w14:textId="77777777" w:rsidR="00E67F89" w:rsidRPr="00E67F89" w:rsidRDefault="00E67F89" w:rsidP="00E67F89">
            <w:r w:rsidRPr="00E67F89">
              <w:t>Habitat critique</w:t>
            </w:r>
          </w:p>
        </w:tc>
        <w:tc>
          <w:tcPr>
            <w:tcW w:w="0" w:type="auto"/>
          </w:tcPr>
          <w:p w14:paraId="07DDC1FC" w14:textId="77777777" w:rsidR="00E67F89" w:rsidRPr="00E67F89" w:rsidRDefault="00E67F89" w:rsidP="00E67F89">
            <w:r w:rsidRPr="00E67F89">
              <w:t>23</w:t>
            </w:r>
          </w:p>
        </w:tc>
        <w:tc>
          <w:tcPr>
            <w:tcW w:w="0" w:type="auto"/>
          </w:tcPr>
          <w:p w14:paraId="61679931" w14:textId="77777777" w:rsidR="00E67F89" w:rsidRPr="00E67F89" w:rsidRDefault="00E67F89" w:rsidP="00E67F89">
            <w:r w:rsidRPr="00E67F89">
              <w:t>Habitat critique : zones contenant une biodiversité de grande importance ou valeur, dont :</w:t>
            </w:r>
          </w:p>
          <w:p w14:paraId="5E6CD2ED" w14:textId="77777777" w:rsidR="00E67F89" w:rsidRPr="00E67F89" w:rsidRDefault="00E67F89" w:rsidP="00E67F89">
            <w:r w:rsidRPr="00E67F89">
              <w:t>Des habitats d’une importance cruciale pour les espèces en danger critique d’extinction ou en danger d’extinction, tels qu’indiqués sur la Liste rouge des espèces menacées de l’Union internationale pour la conservation de la nature (UICN) ou en vertu d’approches nationales équivalentes</w:t>
            </w:r>
          </w:p>
          <w:p w14:paraId="0FE4BE0B" w14:textId="77777777" w:rsidR="00E67F89" w:rsidRPr="00E67F89" w:rsidRDefault="00E67F89" w:rsidP="00E67F89">
            <w:r w:rsidRPr="00E67F89">
              <w:t>Des habitats d’une importance cruciale pour les espèces endémiques ou à répartition limitée</w:t>
            </w:r>
          </w:p>
          <w:p w14:paraId="555B6DB5" w14:textId="77777777" w:rsidR="00E67F89" w:rsidRPr="00E67F89" w:rsidRDefault="00E67F89" w:rsidP="00E67F89">
            <w:r w:rsidRPr="00E67F89">
              <w:t xml:space="preserve">Des habitats abritant des concentrations d’espèces migratrices ou grégaires </w:t>
            </w:r>
            <w:r w:rsidRPr="00E67F89">
              <w:lastRenderedPageBreak/>
              <w:t>d’importance mondiale ou nationale</w:t>
            </w:r>
          </w:p>
          <w:p w14:paraId="2F8C9E0F" w14:textId="77777777" w:rsidR="00E67F89" w:rsidRPr="00E67F89" w:rsidRDefault="00E67F89" w:rsidP="00E67F89">
            <w:r w:rsidRPr="00E67F89">
              <w:t>Des systèmes gravement menacés ou uniques</w:t>
            </w:r>
          </w:p>
          <w:p w14:paraId="40986F1B" w14:textId="77777777" w:rsidR="00E67F89" w:rsidRPr="00E67F89" w:rsidRDefault="00E67F89" w:rsidP="00E67F89">
            <w:r w:rsidRPr="00E67F89">
              <w:t>Des fonctions ou des caractéristiques écologiques nécessaires pour préserver la viabilité des valeurs de la biodiversité</w:t>
            </w:r>
          </w:p>
          <w:p w14:paraId="32EB277D" w14:textId="77777777" w:rsidR="00E67F89" w:rsidRPr="00E67F89" w:rsidRDefault="00E67F89" w:rsidP="00E67F89">
            <w:r w:rsidRPr="00E67F89">
              <w:t xml:space="preserve">Obligation : Aucune mise en œuvre des activités liées au projet dans les zones d’habitat critique </w:t>
            </w:r>
          </w:p>
        </w:tc>
        <w:tc>
          <w:tcPr>
            <w:tcW w:w="0" w:type="auto"/>
          </w:tcPr>
          <w:p w14:paraId="0256C799" w14:textId="77777777" w:rsidR="00E67F89" w:rsidRPr="00E67F89" w:rsidRDefault="00E67F89" w:rsidP="00E67F89">
            <w:r w:rsidRPr="00E67F89">
              <w:lastRenderedPageBreak/>
              <w:t>Arrêté interministériel nº4355 /97 portant définition et délimitation des zones sensibles</w:t>
            </w:r>
          </w:p>
          <w:p w14:paraId="5633DC3F" w14:textId="77777777" w:rsidR="00E67F89" w:rsidRPr="00E67F89" w:rsidRDefault="00E67F89" w:rsidP="00E67F89"/>
        </w:tc>
        <w:tc>
          <w:tcPr>
            <w:tcW w:w="0" w:type="auto"/>
          </w:tcPr>
          <w:p w14:paraId="1E95486A" w14:textId="77777777" w:rsidR="00E67F89" w:rsidRPr="00E67F89" w:rsidRDefault="00E67F89" w:rsidP="00E67F89">
            <w:r w:rsidRPr="00E67F89">
              <w:t>Existence de zone sensible, qui se définit comme étant une zone constituée par un ou plusieurs éléments de nature biologique, écologique, climatique, physico-chimique, culturelle, socio-économique, et qui se caractérise par l’existence d’une valeur spécifique et une certaine fragilité vis-à-vis des activités humaines et des phénomènes naturels susceptibles de modifier lesdits éléments et /ou de dégrader voire de détruire ladite zone. [Article 2].</w:t>
            </w:r>
          </w:p>
          <w:p w14:paraId="6007C7B9" w14:textId="77777777" w:rsidR="00E67F89" w:rsidRPr="00E67F89" w:rsidRDefault="00E67F89" w:rsidP="00E67F89">
            <w:r w:rsidRPr="00E67F89">
              <w:t xml:space="preserve">On considère également les aires protégées dont les objectifs liés à leur statut sont davantage la conservation pure. Il s’agit de la Réserve Naturelle Intégrale (RNI- CAT 1), le Parc Naturel </w:t>
            </w:r>
            <w:r w:rsidRPr="00E67F89">
              <w:lastRenderedPageBreak/>
              <w:t>(PN- Cat 2) ; le Monument Naturel (MN6 Cat 3) et la Réserve Spéciale (RS- Cat 4).</w:t>
            </w:r>
          </w:p>
          <w:p w14:paraId="2585ED69" w14:textId="77777777" w:rsidR="00E67F89" w:rsidRPr="00E67F89" w:rsidRDefault="00E67F89" w:rsidP="00E67F89">
            <w:r w:rsidRPr="00E67F89">
              <w:t xml:space="preserve">La RNI est une aire représentative d’un écosystème particulier dont le but est de protéger des valeurs particulières, notamment biologiques et naturelles dans un périmètre délimité tenant compte dûment des spécificités et des coutumes malgaches. </w:t>
            </w:r>
          </w:p>
          <w:p w14:paraId="1DF18986" w14:textId="77777777" w:rsidR="00E67F89" w:rsidRPr="00E67F89" w:rsidRDefault="00E67F89" w:rsidP="00E67F89">
            <w:r w:rsidRPr="00E67F89">
              <w:t xml:space="preserve">Le Parc National est une aire affectée à la protection et à la conservation d’un patrimoine naturel et culturel original d’intérêt national, tout en offrant un cadre récréatif et éducatif </w:t>
            </w:r>
          </w:p>
          <w:p w14:paraId="56358BE1" w14:textId="77777777" w:rsidR="00E67F89" w:rsidRPr="00E67F89" w:rsidRDefault="00E67F89" w:rsidP="00E67F89">
            <w:r w:rsidRPr="00E67F89">
              <w:t>Le Monument naturel est une aire gérée principalement dans le but de préserver des éléments naturels spécifiques associés à la biodiversité</w:t>
            </w:r>
          </w:p>
          <w:p w14:paraId="5F442B66" w14:textId="77777777" w:rsidR="00E67F89" w:rsidRPr="00E67F89" w:rsidRDefault="00E67F89" w:rsidP="00E67F89">
            <w:r w:rsidRPr="00E67F89">
              <w:t xml:space="preserve">La Réserve Spéciale est une aire gérée principalement à des fins de </w:t>
            </w:r>
            <w:r w:rsidRPr="00E67F89">
              <w:lastRenderedPageBreak/>
              <w:t xml:space="preserve">conservation des habitats et/ ou des espèces </w:t>
            </w:r>
          </w:p>
        </w:tc>
        <w:tc>
          <w:tcPr>
            <w:tcW w:w="0" w:type="auto"/>
          </w:tcPr>
          <w:p w14:paraId="5541E123" w14:textId="77777777" w:rsidR="00E67F89" w:rsidRPr="00E67F89" w:rsidRDefault="00E67F89" w:rsidP="00E67F89">
            <w:r w:rsidRPr="00E67F89">
              <w:lastRenderedPageBreak/>
              <w:t>Complémentarité entre les deux cadres, mais avec une plus-value pour la NES 6</w:t>
            </w:r>
          </w:p>
          <w:p w14:paraId="5B66E9EF" w14:textId="77777777" w:rsidR="00E67F89" w:rsidRPr="00E67F89" w:rsidRDefault="00E67F89" w:rsidP="00E67F89">
            <w:r w:rsidRPr="00E67F89">
              <w:t>Le Projet appliquera les dispositions de la NES 6, donc on ne se limite pas réglementation régissant les activités dans les aires protégées.</w:t>
            </w:r>
          </w:p>
        </w:tc>
      </w:tr>
      <w:tr w:rsidR="00E67F89" w:rsidRPr="00E67F89" w14:paraId="2F71E796" w14:textId="77777777" w:rsidTr="00223F64">
        <w:trPr>
          <w:trHeight w:val="20"/>
        </w:trPr>
        <w:tc>
          <w:tcPr>
            <w:tcW w:w="0" w:type="auto"/>
          </w:tcPr>
          <w:p w14:paraId="4AFE91A0" w14:textId="77777777" w:rsidR="00E67F89" w:rsidRPr="00E67F89" w:rsidRDefault="00E67F89" w:rsidP="00E67F89">
            <w:r w:rsidRPr="00E67F89">
              <w:lastRenderedPageBreak/>
              <w:t>Zones protégées juridiquement et reconnues à l’échelle internationale comme étant riches en biodiversité.</w:t>
            </w:r>
          </w:p>
        </w:tc>
        <w:tc>
          <w:tcPr>
            <w:tcW w:w="0" w:type="auto"/>
          </w:tcPr>
          <w:p w14:paraId="23258E87" w14:textId="77777777" w:rsidR="00E67F89" w:rsidRPr="00E67F89" w:rsidRDefault="00E67F89" w:rsidP="00E67F89">
            <w:r w:rsidRPr="00E67F89">
              <w:t>26</w:t>
            </w:r>
          </w:p>
        </w:tc>
        <w:tc>
          <w:tcPr>
            <w:tcW w:w="0" w:type="auto"/>
          </w:tcPr>
          <w:p w14:paraId="72D99DFE" w14:textId="77777777" w:rsidR="00E67F89" w:rsidRPr="00E67F89" w:rsidRDefault="00E67F89" w:rsidP="00E67F89">
            <w:r w:rsidRPr="00E67F89">
              <w:t>Veiller à ce que toutes les activités entreprises soient compatibles avec le statut juridique de la zone protégée et les objectifs d’aménagement de la zone.</w:t>
            </w:r>
          </w:p>
          <w:p w14:paraId="218F0805" w14:textId="77777777" w:rsidR="00E67F89" w:rsidRPr="00E67F89" w:rsidRDefault="00E67F89" w:rsidP="00E67F89">
            <w:r w:rsidRPr="00E67F89">
              <w:t>Se conformer à tout plan d’aménagement agréé par les pouvoirs publics pour de telles zones</w:t>
            </w:r>
          </w:p>
          <w:p w14:paraId="07336D47" w14:textId="77777777" w:rsidR="00E67F89" w:rsidRPr="00E67F89" w:rsidRDefault="00E67F89" w:rsidP="00E67F89">
            <w:r w:rsidRPr="00E67F89">
              <w:t>Consulter les maîtres d’œuvre et les responsables de la zone protégée, les parties touchées par le projet, y compris les peuples autochtones, et les autres parties concernées, sur la formulation de plans concernant le projet proposé, sa conception, sa mise en œuvre, son suivi et son évaluation, et les associera à ces activités, le cas échéant</w:t>
            </w:r>
          </w:p>
        </w:tc>
        <w:tc>
          <w:tcPr>
            <w:tcW w:w="0" w:type="auto"/>
          </w:tcPr>
          <w:p w14:paraId="5AF3FEE1" w14:textId="77777777" w:rsidR="00E67F89" w:rsidRPr="00E67F89" w:rsidRDefault="00E67F89" w:rsidP="00E67F89">
            <w:r w:rsidRPr="00E67F89">
              <w:t>Loi N°2015-005 COAP (refonte)</w:t>
            </w:r>
          </w:p>
        </w:tc>
        <w:tc>
          <w:tcPr>
            <w:tcW w:w="0" w:type="auto"/>
          </w:tcPr>
          <w:p w14:paraId="5D85DF85" w14:textId="77777777" w:rsidR="00E67F89" w:rsidRPr="00E67F89" w:rsidRDefault="00E67F89" w:rsidP="00E67F89">
            <w:r w:rsidRPr="00E67F89">
              <w:t>L'Etat veille à assurer une protection juridique adéquate aux sites dotés de labels internationaux, tels que les sites Ramsar, les Réserves de la Biosphère et les Sites du Patrimoine Mondial qui ont vocation à être érigés en Aires protégées afin de promouvoir leur valeur universelle et garantir leur gestion efficiente dans le contexte national. [Article 2]</w:t>
            </w:r>
          </w:p>
          <w:p w14:paraId="73DCCCBA" w14:textId="77777777" w:rsidR="00E67F89" w:rsidRPr="00E67F89" w:rsidRDefault="00E67F89" w:rsidP="00E67F89">
            <w:r w:rsidRPr="00E67F89">
              <w:t>En conséquence, les règles qui s’appliquent aux aires protégées selon leur statut spécifique, s’applique à ce type d’habitat</w:t>
            </w:r>
          </w:p>
        </w:tc>
        <w:tc>
          <w:tcPr>
            <w:tcW w:w="0" w:type="auto"/>
          </w:tcPr>
          <w:p w14:paraId="78A6EC7C" w14:textId="77777777" w:rsidR="00E67F89" w:rsidRPr="00E67F89" w:rsidRDefault="00E67F89" w:rsidP="00E67F89">
            <w:r w:rsidRPr="00E67F89">
              <w:t xml:space="preserve">Il n’y a pas de divergence entre les deux cadres. Toutefois, on dénote une carence de dispositions pour le cadre national malagasy En conséquence, les obligations de la NES 6 font foi. </w:t>
            </w:r>
          </w:p>
          <w:p w14:paraId="36CB470F" w14:textId="77777777" w:rsidR="00E67F89" w:rsidRPr="00E67F89" w:rsidRDefault="00E67F89" w:rsidP="00E67F89">
            <w:r w:rsidRPr="00E67F89">
              <w:t xml:space="preserve">Cette note d’orientation se s’applique pas dans le cadre du Projet , en l’absence de cette catégorie d’habitat dans les sites d’intervention du Projet. </w:t>
            </w:r>
          </w:p>
        </w:tc>
      </w:tr>
      <w:tr w:rsidR="00E67F89" w:rsidRPr="00E67F89" w14:paraId="21A1AD12" w14:textId="77777777" w:rsidTr="00223F64">
        <w:trPr>
          <w:trHeight w:val="20"/>
        </w:trPr>
        <w:tc>
          <w:tcPr>
            <w:tcW w:w="0" w:type="auto"/>
          </w:tcPr>
          <w:p w14:paraId="3FCE36DD" w14:textId="77777777" w:rsidR="00E67F89" w:rsidRPr="00E67F89" w:rsidRDefault="00E67F89" w:rsidP="00E67F89">
            <w:r w:rsidRPr="00E67F89">
              <w:t xml:space="preserve">Espèces critiques envahissantes </w:t>
            </w:r>
          </w:p>
        </w:tc>
        <w:tc>
          <w:tcPr>
            <w:tcW w:w="0" w:type="auto"/>
          </w:tcPr>
          <w:p w14:paraId="651BA02A" w14:textId="77777777" w:rsidR="00E67F89" w:rsidRPr="00E67F89" w:rsidRDefault="00E67F89" w:rsidP="00E67F89">
            <w:r w:rsidRPr="00E67F89">
              <w:t>28</w:t>
            </w:r>
          </w:p>
        </w:tc>
        <w:tc>
          <w:tcPr>
            <w:tcW w:w="0" w:type="auto"/>
          </w:tcPr>
          <w:p w14:paraId="6FDC49F7" w14:textId="77777777" w:rsidR="00E67F89" w:rsidRPr="00E67F89" w:rsidRDefault="00E67F89" w:rsidP="00E67F89">
            <w:r w:rsidRPr="00E67F89">
              <w:t xml:space="preserve">Prendre les précautions voulues pour que les espèces envahissantes ne se propagent </w:t>
            </w:r>
            <w:r w:rsidRPr="00E67F89">
              <w:lastRenderedPageBreak/>
              <w:t>pas vers les zones qui n’en contiennent pas encore.</w:t>
            </w:r>
          </w:p>
          <w:p w14:paraId="710E7958" w14:textId="77777777" w:rsidR="00E67F89" w:rsidRPr="00E67F89" w:rsidRDefault="00E67F89" w:rsidP="00E67F89">
            <w:r w:rsidRPr="00E67F89">
              <w:t>Prendre des mesures pour éradiquer ces espèces dans les habitats naturels sur lesquels il exerce un contrôle.</w:t>
            </w:r>
          </w:p>
          <w:p w14:paraId="53522578" w14:textId="77777777" w:rsidR="00E67F89" w:rsidRPr="00E67F89" w:rsidRDefault="00E67F89" w:rsidP="00E67F89">
            <w:r w:rsidRPr="00E67F89">
              <w:t>Toute introduction d’espèces exotiques fera l’objet d’une évaluation des risques (dans le cadre de l’évaluation environnementale et sociale) pour déterminer s’il est possible que ces espèces deviennent envahissantes.</w:t>
            </w:r>
          </w:p>
        </w:tc>
        <w:tc>
          <w:tcPr>
            <w:tcW w:w="0" w:type="auto"/>
          </w:tcPr>
          <w:p w14:paraId="11745A38" w14:textId="77777777" w:rsidR="00E67F89" w:rsidRPr="00E67F89" w:rsidRDefault="00E67F89" w:rsidP="00E67F89">
            <w:r w:rsidRPr="00E67F89">
              <w:lastRenderedPageBreak/>
              <w:t xml:space="preserve">Loi 2015-003 </w:t>
            </w:r>
          </w:p>
          <w:p w14:paraId="37B5BFDB" w14:textId="77777777" w:rsidR="00E67F89" w:rsidRPr="00E67F89" w:rsidRDefault="00E67F89" w:rsidP="00E67F89">
            <w:r w:rsidRPr="00E67F89">
              <w:lastRenderedPageBreak/>
              <w:t>Charte de l’Environnement actualisée</w:t>
            </w:r>
          </w:p>
        </w:tc>
        <w:tc>
          <w:tcPr>
            <w:tcW w:w="0" w:type="auto"/>
          </w:tcPr>
          <w:p w14:paraId="528E0029" w14:textId="77777777" w:rsidR="00E67F89" w:rsidRPr="00E67F89" w:rsidRDefault="00E67F89" w:rsidP="00E67F89">
            <w:r w:rsidRPr="00E67F89">
              <w:lastRenderedPageBreak/>
              <w:t xml:space="preserve">Obligation de tenir compte dans les politique, programme, plans sectoriels, de la protection des </w:t>
            </w:r>
            <w:r w:rsidRPr="00E67F89">
              <w:lastRenderedPageBreak/>
              <w:t xml:space="preserve">ressources génétiques et biologiques face aux espèces envahissantes lesquels présentent des risques sérieux quant à la modification et à l’extinction des espèces et aussi pour la santé et l’environnement </w:t>
            </w:r>
          </w:p>
        </w:tc>
        <w:tc>
          <w:tcPr>
            <w:tcW w:w="0" w:type="auto"/>
          </w:tcPr>
          <w:p w14:paraId="2CA9094D" w14:textId="77777777" w:rsidR="00E67F89" w:rsidRPr="00E67F89" w:rsidRDefault="00E67F89" w:rsidP="00E67F89">
            <w:r w:rsidRPr="00E67F89">
              <w:lastRenderedPageBreak/>
              <w:t xml:space="preserve">Les exigences de la NES 6 sont plus explicites par </w:t>
            </w:r>
            <w:r w:rsidRPr="00E67F89">
              <w:lastRenderedPageBreak/>
              <w:t>rapport aux dispositions du cadre légal malagasy.</w:t>
            </w:r>
          </w:p>
          <w:p w14:paraId="6BD691BB" w14:textId="77777777" w:rsidR="00E67F89" w:rsidRPr="00E67F89" w:rsidRDefault="00E67F89" w:rsidP="00E67F89">
            <w:r w:rsidRPr="00E67F89">
              <w:t>Le Projet appliquera les directives de la NES 6.</w:t>
            </w:r>
          </w:p>
        </w:tc>
      </w:tr>
      <w:tr w:rsidR="00E67F89" w:rsidRPr="00E67F89" w14:paraId="10E648F5" w14:textId="77777777" w:rsidTr="00223F64">
        <w:trPr>
          <w:trHeight w:val="20"/>
        </w:trPr>
        <w:tc>
          <w:tcPr>
            <w:tcW w:w="0" w:type="auto"/>
            <w:gridSpan w:val="6"/>
          </w:tcPr>
          <w:p w14:paraId="52794203" w14:textId="77777777" w:rsidR="00E67F89" w:rsidRPr="00E67F89" w:rsidRDefault="00E67F89" w:rsidP="00E67F89">
            <w:r w:rsidRPr="00E67F89">
              <w:t>Gestion durable des ressources naturelles biologiques</w:t>
            </w:r>
          </w:p>
        </w:tc>
      </w:tr>
      <w:tr w:rsidR="00E67F89" w:rsidRPr="00E67F89" w14:paraId="2D94D7B9" w14:textId="77777777" w:rsidTr="00223F64">
        <w:trPr>
          <w:trHeight w:val="20"/>
        </w:trPr>
        <w:tc>
          <w:tcPr>
            <w:tcW w:w="0" w:type="auto"/>
          </w:tcPr>
          <w:p w14:paraId="6D8986A3" w14:textId="77777777" w:rsidR="00E67F89" w:rsidRPr="00E67F89" w:rsidRDefault="00E67F89" w:rsidP="00E67F89">
            <w:r w:rsidRPr="00E67F89">
              <w:t xml:space="preserve">Gestion durable des ressources naturelles biologiques </w:t>
            </w:r>
          </w:p>
        </w:tc>
        <w:tc>
          <w:tcPr>
            <w:tcW w:w="0" w:type="auto"/>
          </w:tcPr>
          <w:p w14:paraId="4FFF1ECA" w14:textId="77777777" w:rsidR="00E67F89" w:rsidRPr="00E67F89" w:rsidRDefault="00E67F89" w:rsidP="00E67F89">
            <w:r w:rsidRPr="00E67F89">
              <w:t>32</w:t>
            </w:r>
          </w:p>
        </w:tc>
        <w:tc>
          <w:tcPr>
            <w:tcW w:w="0" w:type="auto"/>
          </w:tcPr>
          <w:p w14:paraId="094D03BA" w14:textId="77777777" w:rsidR="00E67F89" w:rsidRPr="00E67F89" w:rsidRDefault="00E67F89" w:rsidP="00E67F89">
            <w:r w:rsidRPr="00E67F89">
              <w:t xml:space="preserve">Assurer une gestion durable des ressources naturelles biologiques, en adoptant des bonnes pratiques de gestion, et en ayant recours aux outils technologiques disponibles </w:t>
            </w:r>
          </w:p>
        </w:tc>
        <w:tc>
          <w:tcPr>
            <w:tcW w:w="0" w:type="auto"/>
          </w:tcPr>
          <w:p w14:paraId="6A94AFF7" w14:textId="77777777" w:rsidR="00E67F89" w:rsidRPr="00E67F89" w:rsidRDefault="00E67F89" w:rsidP="00E67F89">
            <w:r w:rsidRPr="00E67F89">
              <w:t xml:space="preserve">Loi 2015-003 </w:t>
            </w:r>
          </w:p>
          <w:p w14:paraId="652F75D0" w14:textId="77777777" w:rsidR="00E67F89" w:rsidRPr="00E67F89" w:rsidRDefault="00E67F89" w:rsidP="00E67F89">
            <w:r w:rsidRPr="00E67F89">
              <w:t>Charte de l’Environnement actualisée</w:t>
            </w:r>
          </w:p>
          <w:p w14:paraId="68C799A8" w14:textId="77777777" w:rsidR="00E67F89" w:rsidRPr="00E67F89" w:rsidRDefault="00E67F89" w:rsidP="00E67F89"/>
        </w:tc>
        <w:tc>
          <w:tcPr>
            <w:tcW w:w="0" w:type="auto"/>
          </w:tcPr>
          <w:p w14:paraId="4C5EADDA" w14:textId="77777777" w:rsidR="00E67F89" w:rsidRPr="00E67F89" w:rsidRDefault="00E67F89" w:rsidP="00E67F89">
            <w:r w:rsidRPr="00E67F89">
              <w:t>Obligation de tenir compte dans les politique, programme, plans sectoriels, de la gestion durable des ressources naturelles renouvelables et non renouvelables et dont l’utilisation n’est pas gratuite.</w:t>
            </w:r>
          </w:p>
        </w:tc>
        <w:tc>
          <w:tcPr>
            <w:tcW w:w="0" w:type="auto"/>
          </w:tcPr>
          <w:p w14:paraId="67406CA5" w14:textId="77777777" w:rsidR="00E67F89" w:rsidRPr="00E67F89" w:rsidRDefault="00E67F89" w:rsidP="00E67F89">
            <w:r w:rsidRPr="00E67F89">
              <w:t>Il y a correspondance entre les deux cadres.</w:t>
            </w:r>
          </w:p>
        </w:tc>
      </w:tr>
      <w:tr w:rsidR="00E67F89" w:rsidRPr="00E67F89" w14:paraId="363DA7FB" w14:textId="77777777" w:rsidTr="00223F64">
        <w:trPr>
          <w:trHeight w:val="20"/>
        </w:trPr>
        <w:tc>
          <w:tcPr>
            <w:tcW w:w="0" w:type="auto"/>
          </w:tcPr>
          <w:p w14:paraId="4224AF9F" w14:textId="77777777" w:rsidR="00E67F89" w:rsidRPr="00E67F89" w:rsidRDefault="00E67F89" w:rsidP="00E67F89">
            <w:r w:rsidRPr="00E67F89">
              <w:t>Gestion durable des ressources forestières</w:t>
            </w:r>
          </w:p>
        </w:tc>
        <w:tc>
          <w:tcPr>
            <w:tcW w:w="0" w:type="auto"/>
          </w:tcPr>
          <w:p w14:paraId="14723151" w14:textId="77777777" w:rsidR="00E67F89" w:rsidRPr="00E67F89" w:rsidRDefault="00E67F89" w:rsidP="00E67F89">
            <w:r w:rsidRPr="00E67F89">
              <w:t>34</w:t>
            </w:r>
          </w:p>
        </w:tc>
        <w:tc>
          <w:tcPr>
            <w:tcW w:w="0" w:type="auto"/>
          </w:tcPr>
          <w:p w14:paraId="7BDABFFF" w14:textId="77777777" w:rsidR="00E67F89" w:rsidRPr="00E67F89" w:rsidRDefault="00E67F89" w:rsidP="00E67F89">
            <w:r w:rsidRPr="00E67F89">
              <w:t xml:space="preserve">En cas de plantations forestières (en particulier les projets qui comportent des activités de défrichage ou de reboisement), </w:t>
            </w:r>
            <w:r w:rsidRPr="00E67F89">
              <w:lastRenderedPageBreak/>
              <w:t>implanter sur des terres déjà converties ou fortement dégradées (à l’exclusion des terres qui ont été converties en prévision du projet).</w:t>
            </w:r>
          </w:p>
        </w:tc>
        <w:tc>
          <w:tcPr>
            <w:tcW w:w="0" w:type="auto"/>
          </w:tcPr>
          <w:p w14:paraId="12049619" w14:textId="77777777" w:rsidR="00E67F89" w:rsidRPr="00E67F89" w:rsidRDefault="00E67F89" w:rsidP="00E67F89">
            <w:r w:rsidRPr="00E67F89">
              <w:lastRenderedPageBreak/>
              <w:t>DECRET N°2000 – 383 relatif au reboisement</w:t>
            </w:r>
          </w:p>
        </w:tc>
        <w:tc>
          <w:tcPr>
            <w:tcW w:w="0" w:type="auto"/>
          </w:tcPr>
          <w:p w14:paraId="54FEE551" w14:textId="77777777" w:rsidR="00E67F89" w:rsidRPr="00E67F89" w:rsidRDefault="00E67F89" w:rsidP="00E67F89">
            <w:r w:rsidRPr="00E67F89">
              <w:t xml:space="preserve">La zone reboisement est réglementé et doit être prévue dans les réserves foncières de reboisement : ce sont des zones </w:t>
            </w:r>
            <w:r w:rsidRPr="00E67F89">
              <w:lastRenderedPageBreak/>
              <w:t>délimitées telles que les terrains domaniaux, les périmètres de reboisement, le domaine forestier national, les anciennes zones d’action en faveur de l’arbre [Article 2]</w:t>
            </w:r>
          </w:p>
        </w:tc>
        <w:tc>
          <w:tcPr>
            <w:tcW w:w="0" w:type="auto"/>
          </w:tcPr>
          <w:p w14:paraId="51B04305" w14:textId="77777777" w:rsidR="00E67F89" w:rsidRPr="00E67F89" w:rsidRDefault="00E67F89" w:rsidP="00E67F89">
            <w:r w:rsidRPr="00E67F89">
              <w:lastRenderedPageBreak/>
              <w:t xml:space="preserve">Il y a une complémentarité des dispositions des deux cadres. </w:t>
            </w:r>
          </w:p>
          <w:p w14:paraId="7207F48D" w14:textId="77777777" w:rsidR="00E67F89" w:rsidRPr="00E67F89" w:rsidRDefault="00E67F89" w:rsidP="00E67F89">
            <w:r w:rsidRPr="00E67F89">
              <w:lastRenderedPageBreak/>
              <w:t>Le Projet considèrera les directives distinctes selon les deux cadres réglementaires.</w:t>
            </w:r>
          </w:p>
        </w:tc>
      </w:tr>
      <w:tr w:rsidR="00E67F89" w:rsidRPr="00E67F89" w14:paraId="3FABFF16" w14:textId="77777777" w:rsidTr="00223F64">
        <w:trPr>
          <w:trHeight w:val="20"/>
        </w:trPr>
        <w:tc>
          <w:tcPr>
            <w:tcW w:w="0" w:type="auto"/>
          </w:tcPr>
          <w:p w14:paraId="76620B3E" w14:textId="77777777" w:rsidR="00E67F89" w:rsidRPr="00E67F89" w:rsidRDefault="00E67F89" w:rsidP="00E67F89">
            <w:r w:rsidRPr="00E67F89">
              <w:t>Gestion durable des ressources forestières</w:t>
            </w:r>
          </w:p>
        </w:tc>
        <w:tc>
          <w:tcPr>
            <w:tcW w:w="0" w:type="auto"/>
          </w:tcPr>
          <w:p w14:paraId="2A56392B" w14:textId="77777777" w:rsidR="00E67F89" w:rsidRPr="00E67F89" w:rsidRDefault="00E67F89" w:rsidP="00E67F89">
            <w:r w:rsidRPr="00E67F89">
              <w:t>35</w:t>
            </w:r>
          </w:p>
        </w:tc>
        <w:tc>
          <w:tcPr>
            <w:tcW w:w="0" w:type="auto"/>
          </w:tcPr>
          <w:p w14:paraId="48DBF2F9" w14:textId="77777777" w:rsidR="00E67F89" w:rsidRPr="00E67F89" w:rsidRDefault="00E67F89" w:rsidP="00E67F89">
            <w:r w:rsidRPr="00E67F89">
              <w:t xml:space="preserve">Lorsque le projet exploite des forêts naturelles à des fins de production, ces forêts doivent être gérées d’une manière durable. </w:t>
            </w:r>
          </w:p>
        </w:tc>
        <w:tc>
          <w:tcPr>
            <w:tcW w:w="0" w:type="auto"/>
          </w:tcPr>
          <w:p w14:paraId="390517D2" w14:textId="77777777" w:rsidR="00E67F89" w:rsidRPr="00E67F89" w:rsidRDefault="00E67F89" w:rsidP="00E67F89"/>
        </w:tc>
        <w:tc>
          <w:tcPr>
            <w:tcW w:w="0" w:type="auto"/>
          </w:tcPr>
          <w:p w14:paraId="136F9335" w14:textId="77777777" w:rsidR="00E67F89" w:rsidRPr="00E67F89" w:rsidRDefault="00E67F89" w:rsidP="00E67F89">
            <w:r w:rsidRPr="00E67F89">
              <w:t xml:space="preserve">Disposition prévue dans le cadre de l’aire protégée « Réserve des ressources naturelles ». L’AP doit être suffisamment vaste pour assurer une utilisation durable des ressources naturelles sans porter préjudice dans le long terme à la qualité de l’aire protégée [Article 82] </w:t>
            </w:r>
          </w:p>
        </w:tc>
        <w:tc>
          <w:tcPr>
            <w:tcW w:w="0" w:type="auto"/>
          </w:tcPr>
          <w:p w14:paraId="3A6F0968" w14:textId="77777777" w:rsidR="00E67F89" w:rsidRPr="00E67F89" w:rsidRDefault="00E67F89" w:rsidP="00E67F89">
            <w:r w:rsidRPr="00E67F89">
              <w:t>Correspondance entre les deux cadres, même si le cadre légal concerne seulement les activités dans les aires protégées.</w:t>
            </w:r>
          </w:p>
          <w:p w14:paraId="50C8BA9D" w14:textId="77777777" w:rsidR="00E67F89" w:rsidRPr="00E67F89" w:rsidRDefault="00E67F89" w:rsidP="00E67F89">
            <w:r w:rsidRPr="00E67F89">
              <w:t>Ne s’applique pas au Projet , étant donné que le Projet n’exploite pas les forêts naturelles.</w:t>
            </w:r>
          </w:p>
        </w:tc>
      </w:tr>
      <w:tr w:rsidR="00E67F89" w:rsidRPr="00E67F89" w14:paraId="2121D459" w14:textId="77777777" w:rsidTr="00223F64">
        <w:trPr>
          <w:trHeight w:val="20"/>
        </w:trPr>
        <w:tc>
          <w:tcPr>
            <w:tcW w:w="0" w:type="auto"/>
          </w:tcPr>
          <w:p w14:paraId="4465D7F7" w14:textId="77777777" w:rsidR="00E67F89" w:rsidRPr="00E67F89" w:rsidRDefault="00E67F89" w:rsidP="00E67F89">
            <w:r w:rsidRPr="00E67F89">
              <w:t>Gestion durable des ressources forestières</w:t>
            </w:r>
          </w:p>
        </w:tc>
        <w:tc>
          <w:tcPr>
            <w:tcW w:w="0" w:type="auto"/>
          </w:tcPr>
          <w:p w14:paraId="121B0AEE" w14:textId="77777777" w:rsidR="00E67F89" w:rsidRPr="00E67F89" w:rsidRDefault="00E67F89" w:rsidP="00E67F89">
            <w:r w:rsidRPr="00E67F89">
              <w:t>35</w:t>
            </w:r>
          </w:p>
        </w:tc>
        <w:tc>
          <w:tcPr>
            <w:tcW w:w="0" w:type="auto"/>
          </w:tcPr>
          <w:p w14:paraId="327F0B07" w14:textId="77777777" w:rsidR="00E67F89" w:rsidRPr="00E67F89" w:rsidRDefault="00E67F89" w:rsidP="00E67F89">
            <w:r w:rsidRPr="00E67F89">
              <w:t>Pour les projets consistant en l’exploitation de forêts par de petits producteurs, par les communautés locales dans le cadre de la gestion d’une forêt communautaire, veillera à ce qu’ils atteignent un niveau de gestion forestière durable déterminée avec la participation effective des parties touchées par le projet</w:t>
            </w:r>
          </w:p>
        </w:tc>
        <w:tc>
          <w:tcPr>
            <w:tcW w:w="0" w:type="auto"/>
          </w:tcPr>
          <w:p w14:paraId="4ED6D8B8" w14:textId="77777777" w:rsidR="00E67F89" w:rsidRPr="00E67F89" w:rsidRDefault="00E67F89" w:rsidP="00E67F89">
            <w:r w:rsidRPr="00E67F89">
              <w:t>Décret d’application COAP</w:t>
            </w:r>
          </w:p>
        </w:tc>
        <w:tc>
          <w:tcPr>
            <w:tcW w:w="0" w:type="auto"/>
          </w:tcPr>
          <w:p w14:paraId="2344E822" w14:textId="77777777" w:rsidR="00E67F89" w:rsidRPr="00E67F89" w:rsidRDefault="00E67F89" w:rsidP="00E67F89">
            <w:r w:rsidRPr="00E67F89">
              <w:t>Le cadre légal prévoit le droit d’usage sur les ressources naturelles dans les aires protégées, et notamment de la convention de la gestion communautaire. [Article 206]</w:t>
            </w:r>
          </w:p>
        </w:tc>
        <w:tc>
          <w:tcPr>
            <w:tcW w:w="0" w:type="auto"/>
          </w:tcPr>
          <w:p w14:paraId="258A194D" w14:textId="77777777" w:rsidR="00E67F89" w:rsidRPr="00E67F89" w:rsidRDefault="00E67F89" w:rsidP="00E67F89">
            <w:r w:rsidRPr="00E67F89">
              <w:t>Correspondance entre les deux cadres.</w:t>
            </w:r>
          </w:p>
          <w:p w14:paraId="3DF9543F" w14:textId="77777777" w:rsidR="00E67F89" w:rsidRPr="00E67F89" w:rsidRDefault="00E67F89" w:rsidP="00E67F89">
            <w:r w:rsidRPr="00E67F89">
              <w:t>Ne s’applique pas au Projet , étant donné que le Projet n’exploite pas les forêts naturelles.</w:t>
            </w:r>
          </w:p>
        </w:tc>
      </w:tr>
      <w:tr w:rsidR="00E67F89" w:rsidRPr="00E67F89" w14:paraId="164B974D" w14:textId="77777777" w:rsidTr="00223F64">
        <w:trPr>
          <w:trHeight w:val="20"/>
        </w:trPr>
        <w:tc>
          <w:tcPr>
            <w:tcW w:w="0" w:type="auto"/>
          </w:tcPr>
          <w:p w14:paraId="29DC1D8B" w14:textId="77777777" w:rsidR="00E67F89" w:rsidRPr="00E67F89" w:rsidRDefault="00E67F89" w:rsidP="00E67F89">
            <w:r w:rsidRPr="00E67F89">
              <w:lastRenderedPageBreak/>
              <w:t>Gestion durable des ressources forestières</w:t>
            </w:r>
          </w:p>
        </w:tc>
        <w:tc>
          <w:tcPr>
            <w:tcW w:w="0" w:type="auto"/>
          </w:tcPr>
          <w:p w14:paraId="7C6634B6" w14:textId="77777777" w:rsidR="00E67F89" w:rsidRPr="00E67F89" w:rsidRDefault="00E67F89" w:rsidP="00E67F89">
            <w:r w:rsidRPr="00E67F89">
              <w:t>35</w:t>
            </w:r>
          </w:p>
        </w:tc>
        <w:tc>
          <w:tcPr>
            <w:tcW w:w="0" w:type="auto"/>
          </w:tcPr>
          <w:p w14:paraId="78011470" w14:textId="77777777" w:rsidR="00E67F89" w:rsidRPr="00E67F89" w:rsidRDefault="00E67F89" w:rsidP="00E67F89">
            <w:r w:rsidRPr="00E67F89">
              <w:t>Se conformer à un plan d’action assorti de délais pour atteindre le niveau de gestion forestière durable. Le plan d’action sera élaboré avec la participation effective des parties touchées par le projet</w:t>
            </w:r>
          </w:p>
        </w:tc>
        <w:tc>
          <w:tcPr>
            <w:tcW w:w="0" w:type="auto"/>
          </w:tcPr>
          <w:p w14:paraId="5C7A034C" w14:textId="77777777" w:rsidR="00E67F89" w:rsidRPr="00E67F89" w:rsidRDefault="00E67F89" w:rsidP="00E67F89"/>
        </w:tc>
        <w:tc>
          <w:tcPr>
            <w:tcW w:w="0" w:type="auto"/>
          </w:tcPr>
          <w:p w14:paraId="4FDD6921" w14:textId="77777777" w:rsidR="00E67F89" w:rsidRPr="00E67F89" w:rsidRDefault="00E67F89" w:rsidP="00E67F89">
            <w:r w:rsidRPr="00E67F89">
              <w:t>Une aire protégée doit disposer d’un Plan d’aménagement et de gestion (PAG). Ce document comporte les mesures spécifiques et les restrictions propres à assurer la conservation de l’aire protégée.</w:t>
            </w:r>
          </w:p>
          <w:p w14:paraId="7C16EDC0" w14:textId="77777777" w:rsidR="00E67F89" w:rsidRPr="00E67F89" w:rsidRDefault="00E67F89" w:rsidP="00E67F89">
            <w:r w:rsidRPr="00E67F89">
              <w:t>Existence de l’obligation de plan d’aménagement et de gestion et des règles d’exploitation des forêts [Article 6]</w:t>
            </w:r>
          </w:p>
        </w:tc>
        <w:tc>
          <w:tcPr>
            <w:tcW w:w="0" w:type="auto"/>
          </w:tcPr>
          <w:p w14:paraId="16ABEBFE" w14:textId="77777777" w:rsidR="00E67F89" w:rsidRPr="00E67F89" w:rsidRDefault="00E67F89" w:rsidP="00E67F89">
            <w:r w:rsidRPr="00E67F89">
              <w:t>Correspondance entre les deux cadres</w:t>
            </w:r>
          </w:p>
          <w:p w14:paraId="5C8931E2" w14:textId="77777777" w:rsidR="00E67F89" w:rsidRPr="00E67F89" w:rsidRDefault="00E67F89" w:rsidP="00E67F89">
            <w:r w:rsidRPr="00E67F89">
              <w:t>Ne s’applique pas au Projet , étant donné que le Projet n’exploite pas les forêts naturelles.</w:t>
            </w:r>
          </w:p>
        </w:tc>
      </w:tr>
      <w:tr w:rsidR="00E67F89" w:rsidRPr="00E67F89" w14:paraId="5D6CA5C7" w14:textId="77777777" w:rsidTr="00223F64">
        <w:trPr>
          <w:trHeight w:val="20"/>
        </w:trPr>
        <w:tc>
          <w:tcPr>
            <w:tcW w:w="0" w:type="auto"/>
          </w:tcPr>
          <w:p w14:paraId="6CF82389" w14:textId="77777777" w:rsidR="00E67F89" w:rsidRPr="00E67F89" w:rsidRDefault="00E67F89" w:rsidP="00E67F89">
            <w:r w:rsidRPr="00E67F89">
              <w:t>Gestion durable des ressources halieutiques</w:t>
            </w:r>
          </w:p>
        </w:tc>
        <w:tc>
          <w:tcPr>
            <w:tcW w:w="0" w:type="auto"/>
          </w:tcPr>
          <w:p w14:paraId="06783250" w14:textId="77777777" w:rsidR="00E67F89" w:rsidRPr="00E67F89" w:rsidRDefault="00E67F89" w:rsidP="00E67F89">
            <w:r w:rsidRPr="00E67F89">
              <w:t>35 c</w:t>
            </w:r>
          </w:p>
        </w:tc>
        <w:tc>
          <w:tcPr>
            <w:tcW w:w="0" w:type="auto"/>
          </w:tcPr>
          <w:p w14:paraId="4C2EDE22" w14:textId="77777777" w:rsidR="00E67F89" w:rsidRPr="00E67F89" w:rsidRDefault="00E67F89" w:rsidP="00E67F89">
            <w:r w:rsidRPr="00E67F89">
              <w:t xml:space="preserve">Pour les projets consistant en une exploitation industrielle de populations de poissons et de tout autre type d’organismes marins et dulcicoles : leurs activités sont menées d’une manière durable, conformément aux principes et critères d’exploitation durable. </w:t>
            </w:r>
          </w:p>
        </w:tc>
        <w:tc>
          <w:tcPr>
            <w:tcW w:w="0" w:type="auto"/>
          </w:tcPr>
          <w:p w14:paraId="3D0CAB99" w14:textId="77777777" w:rsidR="00E67F89" w:rsidRPr="00E67F89" w:rsidRDefault="00E67F89" w:rsidP="00E67F89">
            <w:r w:rsidRPr="00E67F89">
              <w:t>Arrêté n° 32099 – 2014 portant réglementation de l’aquaculture des crabes de mangroves (Scylla serrata) à Madagascar [ Article 4]</w:t>
            </w:r>
          </w:p>
          <w:p w14:paraId="2A1FDFFB" w14:textId="77777777" w:rsidR="00E67F89" w:rsidRPr="00E67F89" w:rsidRDefault="00E67F89" w:rsidP="00E67F89">
            <w:r w:rsidRPr="00E67F89">
              <w:t>Décret N°2016-1352 portant organisation des activités de préservation des ressources halieutiques et écosystèmes aquatiques [Article 17, 20, 24, 25, 27, 28]</w:t>
            </w:r>
          </w:p>
        </w:tc>
        <w:tc>
          <w:tcPr>
            <w:tcW w:w="0" w:type="auto"/>
          </w:tcPr>
          <w:p w14:paraId="23E05A08" w14:textId="77777777" w:rsidR="00E67F89" w:rsidRPr="00E67F89" w:rsidRDefault="00E67F89" w:rsidP="00E67F89">
            <w:r w:rsidRPr="00E67F89">
              <w:t>L’Etat Malagasy a défini de cadre réglementaire pour la préservation et la gestion durable des ressources halieutiques, parmi les ressources naturelles biologiques. Les crabes de mangroves et les écosystèmes aquatiques en font partie.</w:t>
            </w:r>
          </w:p>
          <w:p w14:paraId="70EAA112" w14:textId="77777777" w:rsidR="00E67F89" w:rsidRPr="00E67F89" w:rsidRDefault="00E67F89" w:rsidP="00E67F89">
            <w:r w:rsidRPr="00E67F89">
              <w:t xml:space="preserve">Les actions de préservations concernent : </w:t>
            </w:r>
          </w:p>
          <w:p w14:paraId="74322A45" w14:textId="77777777" w:rsidR="00E67F89" w:rsidRPr="00E67F89" w:rsidRDefault="00E67F89" w:rsidP="00E67F89">
            <w:r w:rsidRPr="00E67F89">
              <w:t xml:space="preserve">Les mesures techniques relatives de capture et de transport des ressources biologiques </w:t>
            </w:r>
          </w:p>
          <w:p w14:paraId="438C8749" w14:textId="77777777" w:rsidR="00E67F89" w:rsidRPr="00E67F89" w:rsidRDefault="00E67F89" w:rsidP="00E67F89">
            <w:r w:rsidRPr="00E67F89">
              <w:lastRenderedPageBreak/>
              <w:t>Autorisation légale par les autorités compétentes pour la pratique de l’activité</w:t>
            </w:r>
          </w:p>
          <w:p w14:paraId="012EDCDB" w14:textId="77777777" w:rsidR="00E67F89" w:rsidRPr="00E67F89" w:rsidRDefault="00E67F89" w:rsidP="00E67F89">
            <w:r w:rsidRPr="00E67F89">
              <w:t>Obligation de restauration et de gestion durable de l’écosystème aquatique, à travers des techniques spécifiques telles que le rempoissonnement périodique</w:t>
            </w:r>
          </w:p>
          <w:p w14:paraId="7DDB6F28" w14:textId="77777777" w:rsidR="00E67F89" w:rsidRPr="00E67F89" w:rsidRDefault="00E67F89" w:rsidP="00E67F89">
            <w:r w:rsidRPr="00E67F89">
              <w:t xml:space="preserve">Définition des techniques de pêche durable </w:t>
            </w:r>
          </w:p>
          <w:p w14:paraId="66445B2C" w14:textId="77777777" w:rsidR="00E67F89" w:rsidRPr="00E67F89" w:rsidRDefault="00E67F89" w:rsidP="00E67F89">
            <w:r w:rsidRPr="00E67F89">
              <w:t>Réglementation de la période de pêche pour une bonne gestion de stock des ressources halieutiques et marines</w:t>
            </w:r>
          </w:p>
          <w:p w14:paraId="676AA649" w14:textId="77777777" w:rsidR="00E67F89" w:rsidRPr="00E67F89" w:rsidRDefault="00E67F89" w:rsidP="00E67F89">
            <w:r w:rsidRPr="00E67F89">
              <w:t xml:space="preserve">Réglementation de la taille et de la quantité de prise des ressources halieutiques et marines </w:t>
            </w:r>
          </w:p>
          <w:p w14:paraId="017A2FAA" w14:textId="77777777" w:rsidR="00E67F89" w:rsidRPr="00E67F89" w:rsidRDefault="00E67F89" w:rsidP="00E67F89">
            <w:r w:rsidRPr="00E67F89">
              <w:t>Constitution des zones de réserves de pêche et des ressources et élaboration de plan d’aménagement de pêcherie</w:t>
            </w:r>
          </w:p>
          <w:p w14:paraId="47834AE0" w14:textId="77777777" w:rsidR="00E67F89" w:rsidRPr="00E67F89" w:rsidRDefault="00E67F89" w:rsidP="00E67F89"/>
        </w:tc>
        <w:tc>
          <w:tcPr>
            <w:tcW w:w="0" w:type="auto"/>
          </w:tcPr>
          <w:p w14:paraId="12DC3D1C" w14:textId="77777777" w:rsidR="00E67F89" w:rsidRPr="00E67F89" w:rsidRDefault="00E67F89" w:rsidP="00E67F89">
            <w:r w:rsidRPr="00E67F89">
              <w:lastRenderedPageBreak/>
              <w:t>Le cadre légal malagasy est plus explicite par rapport à la NES 6.</w:t>
            </w:r>
          </w:p>
          <w:p w14:paraId="26210FEC" w14:textId="77777777" w:rsidR="00E67F89" w:rsidRPr="00E67F89" w:rsidRDefault="00E67F89" w:rsidP="00E67F89">
            <w:r w:rsidRPr="00E67F89">
              <w:t>Le Projet n’applique pas cette disposition, compte tenu du fait que le Projet n’intervient pas dans le domaine de la pêche.</w:t>
            </w:r>
          </w:p>
        </w:tc>
      </w:tr>
    </w:tbl>
    <w:p w14:paraId="2C20A35A" w14:textId="77777777" w:rsidR="00E67F89" w:rsidRPr="00E67F89" w:rsidRDefault="00E67F89" w:rsidP="00E67F89"/>
    <w:p w14:paraId="7B278849" w14:textId="77777777" w:rsidR="00E67F89" w:rsidRPr="00E67F89" w:rsidRDefault="00E67F89" w:rsidP="00E67F89">
      <w:pPr>
        <w:sectPr w:rsidR="00E67F89" w:rsidRPr="00E67F89" w:rsidSect="00D42025">
          <w:pgSz w:w="16838" w:h="11906" w:orient="landscape"/>
          <w:pgMar w:top="1134" w:right="851" w:bottom="1134" w:left="851" w:header="709" w:footer="709" w:gutter="0"/>
          <w:pgNumType w:fmt="upperRoman"/>
          <w:cols w:space="708"/>
          <w:docGrid w:linePitch="360"/>
        </w:sectPr>
      </w:pPr>
    </w:p>
    <w:p w14:paraId="36A45B7F" w14:textId="77777777" w:rsidR="00E67F89" w:rsidRPr="00E67F89" w:rsidRDefault="00E67F89" w:rsidP="00E67F89">
      <w:bookmarkStart w:id="894" w:name="_Toc71831503"/>
      <w:bookmarkStart w:id="895" w:name="_Toc138414168"/>
      <w:bookmarkStart w:id="896" w:name="_Toc230426112"/>
      <w:r w:rsidRPr="00E67F89">
        <w:lastRenderedPageBreak/>
        <w:t xml:space="preserve">Annexe </w:t>
      </w:r>
      <w:r w:rsidRPr="00E67F89">
        <w:fldChar w:fldCharType="begin"/>
      </w:r>
      <w:r w:rsidRPr="00E67F89">
        <w:instrText>SEQ Annexe \* ARABIC</w:instrText>
      </w:r>
      <w:r w:rsidRPr="00E67F89">
        <w:fldChar w:fldCharType="separate"/>
      </w:r>
      <w:r w:rsidRPr="00E67F89">
        <w:t>7</w:t>
      </w:r>
      <w:r w:rsidRPr="00E67F89">
        <w:fldChar w:fldCharType="end"/>
      </w:r>
      <w:r w:rsidRPr="00E67F89">
        <w:t xml:space="preserve"> : Analyse comparative entre la NES N°8 et le cadre réglementaire national Malagasy</w:t>
      </w:r>
      <w:bookmarkEnd w:id="894"/>
      <w:bookmarkEnd w:id="895"/>
      <w:bookmarkEnd w:id="896"/>
    </w:p>
    <w:tbl>
      <w:tblPr>
        <w:tblStyle w:val="TableGrid"/>
        <w:tblW w:w="5000" w:type="pct"/>
        <w:tblLook w:val="04A0" w:firstRow="1" w:lastRow="0" w:firstColumn="1" w:lastColumn="0" w:noHBand="0" w:noVBand="1"/>
      </w:tblPr>
      <w:tblGrid>
        <w:gridCol w:w="1778"/>
        <w:gridCol w:w="1189"/>
        <w:gridCol w:w="3863"/>
        <w:gridCol w:w="1843"/>
        <w:gridCol w:w="3806"/>
        <w:gridCol w:w="2648"/>
      </w:tblGrid>
      <w:tr w:rsidR="00E67F89" w:rsidRPr="00E67F89" w14:paraId="5812C807" w14:textId="77777777" w:rsidTr="00223F64">
        <w:trPr>
          <w:trHeight w:val="63"/>
          <w:tblHeader/>
        </w:trPr>
        <w:tc>
          <w:tcPr>
            <w:tcW w:w="602" w:type="pct"/>
            <w:vMerge w:val="restart"/>
            <w:shd w:val="clear" w:color="auto" w:fill="E2EFD9" w:themeFill="accent6" w:themeFillTint="33"/>
            <w:vAlign w:val="center"/>
          </w:tcPr>
          <w:p w14:paraId="5A56DE18" w14:textId="77777777" w:rsidR="00E67F89" w:rsidRPr="00E67F89" w:rsidRDefault="00E67F89" w:rsidP="00E67F89">
            <w:r w:rsidRPr="00E67F89">
              <w:t>Thèmes</w:t>
            </w:r>
          </w:p>
        </w:tc>
        <w:tc>
          <w:tcPr>
            <w:tcW w:w="1673" w:type="pct"/>
            <w:gridSpan w:val="2"/>
            <w:shd w:val="clear" w:color="auto" w:fill="E2EFD9" w:themeFill="accent6" w:themeFillTint="33"/>
          </w:tcPr>
          <w:p w14:paraId="51931915" w14:textId="77777777" w:rsidR="00E67F89" w:rsidRPr="00E67F89" w:rsidRDefault="00E67F89" w:rsidP="00E67F89">
            <w:r w:rsidRPr="00E67F89">
              <w:t>NES 8</w:t>
            </w:r>
          </w:p>
        </w:tc>
        <w:tc>
          <w:tcPr>
            <w:tcW w:w="1836" w:type="pct"/>
            <w:gridSpan w:val="2"/>
            <w:shd w:val="clear" w:color="auto" w:fill="E2EFD9" w:themeFill="accent6" w:themeFillTint="33"/>
          </w:tcPr>
          <w:p w14:paraId="133616B8" w14:textId="77777777" w:rsidR="00E67F89" w:rsidRPr="00E67F89" w:rsidRDefault="00E67F89" w:rsidP="00E67F89">
            <w:r w:rsidRPr="00E67F89">
              <w:t>Cadre législatif et national Malagasy</w:t>
            </w:r>
          </w:p>
        </w:tc>
        <w:tc>
          <w:tcPr>
            <w:tcW w:w="889" w:type="pct"/>
            <w:vMerge w:val="restart"/>
            <w:shd w:val="clear" w:color="auto" w:fill="E2EFD9" w:themeFill="accent6" w:themeFillTint="33"/>
          </w:tcPr>
          <w:p w14:paraId="1D124D63" w14:textId="77777777" w:rsidR="00E67F89" w:rsidRPr="00E67F89" w:rsidRDefault="00E67F89" w:rsidP="00E67F89">
            <w:r w:rsidRPr="00E67F89">
              <w:t>Analyse des écarts</w:t>
            </w:r>
          </w:p>
          <w:p w14:paraId="622F9FD0" w14:textId="77777777" w:rsidR="00E67F89" w:rsidRPr="00E67F89" w:rsidRDefault="00E67F89" w:rsidP="00E67F89">
            <w:r w:rsidRPr="00E67F89">
              <w:t>Implications pour le Projet</w:t>
            </w:r>
          </w:p>
        </w:tc>
      </w:tr>
      <w:tr w:rsidR="00E67F89" w:rsidRPr="00E67F89" w14:paraId="1A84063E" w14:textId="77777777" w:rsidTr="00223F64">
        <w:trPr>
          <w:trHeight w:val="58"/>
          <w:tblHeader/>
        </w:trPr>
        <w:tc>
          <w:tcPr>
            <w:tcW w:w="602" w:type="pct"/>
            <w:vMerge/>
            <w:shd w:val="clear" w:color="auto" w:fill="BDF9FF"/>
          </w:tcPr>
          <w:p w14:paraId="639089BC" w14:textId="77777777" w:rsidR="00E67F89" w:rsidRPr="00E67F89" w:rsidRDefault="00E67F89" w:rsidP="00E67F89"/>
        </w:tc>
        <w:tc>
          <w:tcPr>
            <w:tcW w:w="382" w:type="pct"/>
            <w:shd w:val="clear" w:color="auto" w:fill="E2EFD9" w:themeFill="accent6" w:themeFillTint="33"/>
            <w:vAlign w:val="center"/>
          </w:tcPr>
          <w:p w14:paraId="3B00DF4B" w14:textId="77777777" w:rsidR="00E67F89" w:rsidRPr="00E67F89" w:rsidRDefault="00E67F89" w:rsidP="00E67F89">
            <w:r w:rsidRPr="00E67F89">
              <w:t>Référence</w:t>
            </w:r>
          </w:p>
        </w:tc>
        <w:tc>
          <w:tcPr>
            <w:tcW w:w="1290" w:type="pct"/>
            <w:shd w:val="clear" w:color="auto" w:fill="E2EFD9" w:themeFill="accent6" w:themeFillTint="33"/>
            <w:vAlign w:val="center"/>
          </w:tcPr>
          <w:p w14:paraId="2B830C99" w14:textId="77777777" w:rsidR="00E67F89" w:rsidRPr="00E67F89" w:rsidRDefault="00E67F89" w:rsidP="00E67F89">
            <w:r w:rsidRPr="00E67F89">
              <w:t>Exigences</w:t>
            </w:r>
          </w:p>
        </w:tc>
        <w:tc>
          <w:tcPr>
            <w:tcW w:w="564" w:type="pct"/>
            <w:shd w:val="clear" w:color="auto" w:fill="E2EFD9" w:themeFill="accent6" w:themeFillTint="33"/>
            <w:vAlign w:val="center"/>
          </w:tcPr>
          <w:p w14:paraId="5D8726F1" w14:textId="77777777" w:rsidR="00E67F89" w:rsidRPr="00E67F89" w:rsidRDefault="00E67F89" w:rsidP="00E67F89">
            <w:r w:rsidRPr="00E67F89">
              <w:t>Textes</w:t>
            </w:r>
          </w:p>
        </w:tc>
        <w:tc>
          <w:tcPr>
            <w:tcW w:w="1272" w:type="pct"/>
            <w:shd w:val="clear" w:color="auto" w:fill="E2EFD9" w:themeFill="accent6" w:themeFillTint="33"/>
            <w:vAlign w:val="center"/>
          </w:tcPr>
          <w:p w14:paraId="24EDD1D4" w14:textId="77777777" w:rsidR="00E67F89" w:rsidRPr="00E67F89" w:rsidRDefault="00E67F89" w:rsidP="00E67F89">
            <w:r w:rsidRPr="00E67F89">
              <w:t>Dispositions</w:t>
            </w:r>
          </w:p>
        </w:tc>
        <w:tc>
          <w:tcPr>
            <w:tcW w:w="889" w:type="pct"/>
            <w:vMerge/>
            <w:shd w:val="clear" w:color="auto" w:fill="BDF9FF"/>
          </w:tcPr>
          <w:p w14:paraId="52978988" w14:textId="77777777" w:rsidR="00E67F89" w:rsidRPr="00E67F89" w:rsidRDefault="00E67F89" w:rsidP="00E67F89"/>
        </w:tc>
      </w:tr>
      <w:tr w:rsidR="00E67F89" w:rsidRPr="00E67F89" w14:paraId="4A6374C8" w14:textId="77777777" w:rsidTr="00223F64">
        <w:tc>
          <w:tcPr>
            <w:tcW w:w="602" w:type="pct"/>
          </w:tcPr>
          <w:p w14:paraId="55F03836" w14:textId="77777777" w:rsidR="00E67F89" w:rsidRPr="00E67F89" w:rsidRDefault="00E67F89" w:rsidP="00E67F89">
            <w:r w:rsidRPr="00E67F89">
              <w:t>Notions de patrimoine culturel</w:t>
            </w:r>
          </w:p>
        </w:tc>
        <w:tc>
          <w:tcPr>
            <w:tcW w:w="382" w:type="pct"/>
            <w:vAlign w:val="center"/>
          </w:tcPr>
          <w:p w14:paraId="7BA95897" w14:textId="77777777" w:rsidR="00E67F89" w:rsidRPr="00E67F89" w:rsidRDefault="00E67F89" w:rsidP="00E67F89"/>
        </w:tc>
        <w:tc>
          <w:tcPr>
            <w:tcW w:w="1290" w:type="pct"/>
            <w:vAlign w:val="center"/>
          </w:tcPr>
          <w:p w14:paraId="2AB8850E" w14:textId="77777777" w:rsidR="00E67F89" w:rsidRPr="00E67F89" w:rsidRDefault="00E67F89" w:rsidP="00E67F89"/>
        </w:tc>
        <w:tc>
          <w:tcPr>
            <w:tcW w:w="564" w:type="pct"/>
          </w:tcPr>
          <w:p w14:paraId="03D528A8" w14:textId="77777777" w:rsidR="00E67F89" w:rsidRPr="00E67F89" w:rsidRDefault="00E67F89" w:rsidP="00E67F89">
            <w:r w:rsidRPr="00E67F89">
              <w:t>Définition officielle Malagasy</w:t>
            </w:r>
          </w:p>
          <w:p w14:paraId="23855BD9" w14:textId="77777777" w:rsidR="00E67F89" w:rsidRPr="00E67F89" w:rsidRDefault="00E67F89" w:rsidP="00E67F89"/>
          <w:p w14:paraId="4E214AC1" w14:textId="77777777" w:rsidR="00E67F89" w:rsidRPr="00E67F89" w:rsidRDefault="00E67F89" w:rsidP="00E67F89"/>
          <w:p w14:paraId="6E3DAD6B" w14:textId="77777777" w:rsidR="00E67F89" w:rsidRPr="00E67F89" w:rsidRDefault="00E67F89" w:rsidP="00E67F89"/>
          <w:p w14:paraId="4F32E3DF" w14:textId="77777777" w:rsidR="00E67F89" w:rsidRPr="00E67F89" w:rsidRDefault="00E67F89" w:rsidP="00E67F89"/>
          <w:p w14:paraId="6E5CC18B" w14:textId="77777777" w:rsidR="00E67F89" w:rsidRPr="00E67F89" w:rsidRDefault="00E67F89" w:rsidP="00E67F89">
            <w:r w:rsidRPr="00E67F89">
              <w:t>Ordonnance 82-029 du 06 novembre 1982</w:t>
            </w:r>
          </w:p>
          <w:p w14:paraId="7779E209" w14:textId="77777777" w:rsidR="00E67F89" w:rsidRPr="00E67F89" w:rsidRDefault="00E67F89" w:rsidP="00E67F89"/>
          <w:p w14:paraId="19E16CE1" w14:textId="77777777" w:rsidR="00E67F89" w:rsidRPr="00E67F89" w:rsidRDefault="00E67F89" w:rsidP="00E67F89">
            <w:r w:rsidRPr="00E67F89">
              <w:t>Charte de l’Environnement actualisée</w:t>
            </w:r>
          </w:p>
        </w:tc>
        <w:tc>
          <w:tcPr>
            <w:tcW w:w="1272" w:type="pct"/>
            <w:vAlign w:val="center"/>
          </w:tcPr>
          <w:p w14:paraId="781AC615" w14:textId="77777777" w:rsidR="00E67F89" w:rsidRPr="00E67F89" w:rsidRDefault="00E67F89" w:rsidP="00E67F89">
            <w:r w:rsidRPr="00E67F89">
              <w:t>La Culture est l`ensemble des traits distinctifs, spirituels, intellectuels et affectifs caractérisant une société ou un groupe social englobant outre les arts et les lettres, les modes de vie, les droits fondamentaux de l’être humain, les systèmes de valeur, les traditions et les croyances.</w:t>
            </w:r>
          </w:p>
          <w:p w14:paraId="362E055F" w14:textId="77777777" w:rsidR="00E67F89" w:rsidRPr="00E67F89" w:rsidRDefault="00E67F89" w:rsidP="00E67F89">
            <w:r w:rsidRPr="00E67F89">
              <w:t>Notion de patrimoine national qui comprend le patrimoine culturel et le patrimoine naturel, qui se répartit en bien meubles et en biens immeubles [Article 1]</w:t>
            </w:r>
          </w:p>
          <w:p w14:paraId="1E90DD2A" w14:textId="77777777" w:rsidR="00E67F89" w:rsidRPr="00E67F89" w:rsidRDefault="00E67F89" w:rsidP="00E67F89">
            <w:r w:rsidRPr="00E67F89">
              <w:t>Définition officielle malgache : Le patrimoine culturel comprend les richesses écologiques, faunistiques, floristiques, géologiques, minéralogiques ou paléontologiques [Article 1]</w:t>
            </w:r>
          </w:p>
          <w:p w14:paraId="36814AF5" w14:textId="77777777" w:rsidR="00E67F89" w:rsidRPr="00E67F89" w:rsidRDefault="00E67F89" w:rsidP="00E67F89">
            <w:r w:rsidRPr="00E67F89">
              <w:t>Le patrimoine naturel national fait partie de l’Environnement selon la Charte de l’Environnement [Article 1]</w:t>
            </w:r>
          </w:p>
        </w:tc>
        <w:tc>
          <w:tcPr>
            <w:tcW w:w="889" w:type="pct"/>
          </w:tcPr>
          <w:p w14:paraId="19256369" w14:textId="77777777" w:rsidR="00E67F89" w:rsidRPr="00E67F89" w:rsidRDefault="00E67F89" w:rsidP="00E67F89"/>
        </w:tc>
      </w:tr>
      <w:tr w:rsidR="00E67F89" w:rsidRPr="00E67F89" w14:paraId="75FDDE76" w14:textId="77777777" w:rsidTr="00223F64">
        <w:tc>
          <w:tcPr>
            <w:tcW w:w="602" w:type="pct"/>
          </w:tcPr>
          <w:p w14:paraId="6483FAFD" w14:textId="77777777" w:rsidR="00E67F89" w:rsidRPr="00E67F89" w:rsidRDefault="00E67F89" w:rsidP="00E67F89">
            <w:r w:rsidRPr="00E67F89">
              <w:lastRenderedPageBreak/>
              <w:t xml:space="preserve">Définitions relatives au Patrimoine culturel </w:t>
            </w:r>
          </w:p>
        </w:tc>
        <w:tc>
          <w:tcPr>
            <w:tcW w:w="382" w:type="pct"/>
          </w:tcPr>
          <w:p w14:paraId="3640B00D" w14:textId="77777777" w:rsidR="00E67F89" w:rsidRPr="00E67F89" w:rsidRDefault="00E67F89" w:rsidP="00E67F89">
            <w:r w:rsidRPr="00E67F89">
              <w:t>27</w:t>
            </w:r>
          </w:p>
          <w:p w14:paraId="6AAEAB07" w14:textId="77777777" w:rsidR="00E67F89" w:rsidRPr="00E67F89" w:rsidRDefault="00E67F89" w:rsidP="00E67F89"/>
          <w:p w14:paraId="49E4103F" w14:textId="77777777" w:rsidR="00E67F89" w:rsidRPr="00E67F89" w:rsidRDefault="00E67F89" w:rsidP="00E67F89"/>
          <w:p w14:paraId="4D501F85" w14:textId="77777777" w:rsidR="00E67F89" w:rsidRPr="00E67F89" w:rsidRDefault="00E67F89" w:rsidP="00E67F89"/>
          <w:p w14:paraId="15D61AF8" w14:textId="77777777" w:rsidR="00E67F89" w:rsidRPr="00E67F89" w:rsidRDefault="00E67F89" w:rsidP="00E67F89"/>
          <w:p w14:paraId="51D553EA" w14:textId="77777777" w:rsidR="00E67F89" w:rsidRPr="00E67F89" w:rsidRDefault="00E67F89" w:rsidP="00E67F89"/>
          <w:p w14:paraId="00011E37" w14:textId="77777777" w:rsidR="00E67F89" w:rsidRPr="00E67F89" w:rsidRDefault="00E67F89" w:rsidP="00E67F89"/>
          <w:p w14:paraId="45F0CE2A" w14:textId="77777777" w:rsidR="00E67F89" w:rsidRPr="00E67F89" w:rsidRDefault="00E67F89" w:rsidP="00E67F89"/>
          <w:p w14:paraId="42220537" w14:textId="77777777" w:rsidR="00E67F89" w:rsidRPr="00E67F89" w:rsidRDefault="00E67F89" w:rsidP="00E67F89">
            <w:r w:rsidRPr="00E67F89">
              <w:t>18</w:t>
            </w:r>
          </w:p>
          <w:p w14:paraId="2E2EDC28" w14:textId="77777777" w:rsidR="00E67F89" w:rsidRPr="00E67F89" w:rsidRDefault="00E67F89" w:rsidP="00E67F89"/>
          <w:p w14:paraId="56C0C7D1" w14:textId="77777777" w:rsidR="00E67F89" w:rsidRPr="00E67F89" w:rsidRDefault="00E67F89" w:rsidP="00E67F89"/>
          <w:p w14:paraId="3CBE7C3C" w14:textId="77777777" w:rsidR="00E67F89" w:rsidRPr="00E67F89" w:rsidRDefault="00E67F89" w:rsidP="00E67F89"/>
          <w:p w14:paraId="72B0E56E" w14:textId="77777777" w:rsidR="00E67F89" w:rsidRPr="00E67F89" w:rsidRDefault="00E67F89" w:rsidP="00E67F89"/>
          <w:p w14:paraId="075EB2C9" w14:textId="77777777" w:rsidR="00E67F89" w:rsidRPr="00E67F89" w:rsidRDefault="00E67F89" w:rsidP="00E67F89"/>
          <w:p w14:paraId="56FD8C61" w14:textId="77777777" w:rsidR="00E67F89" w:rsidRPr="00E67F89" w:rsidRDefault="00E67F89" w:rsidP="00E67F89"/>
          <w:p w14:paraId="57FF4A64" w14:textId="77777777" w:rsidR="00E67F89" w:rsidRPr="00E67F89" w:rsidRDefault="00E67F89" w:rsidP="00E67F89">
            <w:r w:rsidRPr="00E67F89">
              <w:t>NO 18.1</w:t>
            </w:r>
          </w:p>
          <w:p w14:paraId="77D5C068" w14:textId="77777777" w:rsidR="00E67F89" w:rsidRPr="00E67F89" w:rsidRDefault="00E67F89" w:rsidP="00E67F89"/>
          <w:p w14:paraId="5E434D11" w14:textId="77777777" w:rsidR="00E67F89" w:rsidRPr="00E67F89" w:rsidRDefault="00E67F89" w:rsidP="00E67F89">
            <w:r w:rsidRPr="00E67F89">
              <w:t>24</w:t>
            </w:r>
          </w:p>
          <w:p w14:paraId="56F0659B" w14:textId="77777777" w:rsidR="00E67F89" w:rsidRPr="00E67F89" w:rsidRDefault="00E67F89" w:rsidP="00E67F89"/>
          <w:p w14:paraId="5F76E2BE" w14:textId="77777777" w:rsidR="00E67F89" w:rsidRPr="00E67F89" w:rsidRDefault="00E67F89" w:rsidP="00E67F89"/>
          <w:p w14:paraId="6EE58164" w14:textId="77777777" w:rsidR="00E67F89" w:rsidRPr="00E67F89" w:rsidRDefault="00E67F89" w:rsidP="00E67F89"/>
          <w:p w14:paraId="75A1C885" w14:textId="77777777" w:rsidR="00E67F89" w:rsidRPr="00E67F89" w:rsidRDefault="00E67F89" w:rsidP="00E67F89"/>
          <w:p w14:paraId="5A96856F" w14:textId="77777777" w:rsidR="00E67F89" w:rsidRPr="00E67F89" w:rsidRDefault="00E67F89" w:rsidP="00E67F89"/>
          <w:p w14:paraId="5B89DB8C" w14:textId="77777777" w:rsidR="00E67F89" w:rsidRPr="00E67F89" w:rsidRDefault="00E67F89" w:rsidP="00E67F89"/>
          <w:p w14:paraId="52B87D19" w14:textId="77777777" w:rsidR="00E67F89" w:rsidRPr="00E67F89" w:rsidRDefault="00E67F89" w:rsidP="00E67F89">
            <w:r w:rsidRPr="00E67F89">
              <w:t>21</w:t>
            </w:r>
          </w:p>
          <w:p w14:paraId="0AA40FDC" w14:textId="77777777" w:rsidR="00E67F89" w:rsidRPr="00E67F89" w:rsidRDefault="00E67F89" w:rsidP="00E67F89"/>
          <w:p w14:paraId="5301345A" w14:textId="77777777" w:rsidR="00E67F89" w:rsidRPr="00E67F89" w:rsidRDefault="00E67F89" w:rsidP="00E67F89"/>
        </w:tc>
        <w:tc>
          <w:tcPr>
            <w:tcW w:w="1290" w:type="pct"/>
          </w:tcPr>
          <w:p w14:paraId="70423AD5" w14:textId="77777777" w:rsidR="00E67F89" w:rsidRPr="00E67F89" w:rsidRDefault="00E67F89" w:rsidP="00E67F89">
            <w:r w:rsidRPr="00E67F89">
              <w:lastRenderedPageBreak/>
              <w:t>Patrimoine culturel mobilier : Ce sont des objets tels que des livres et des manuscrits historiques ou rares ; des peintures, des dessins, des sculptures, des statuettes et des sculptures ; des objets religieux modernes ou historiques ; des costumes, des bijoux et des textiles historiques ; des fragments de monuments et de bâtiments historiques ; du matériel archéologique ; et des collections d’histoire naturelle comme des coquillages, de la flore ou des minéraux.</w:t>
            </w:r>
          </w:p>
          <w:p w14:paraId="37D7EAED" w14:textId="77777777" w:rsidR="00E67F89" w:rsidRPr="00E67F89" w:rsidRDefault="00E67F89" w:rsidP="00E67F89">
            <w:r w:rsidRPr="00E67F89">
              <w:t>Site archéologique : Combinaison de vestiges structuraux, d’artefacts et d’éléments humains ou écologiques, et peuvent être situés intégralement ou partiellement en surface, dans le sous-sol ou sous l’eau</w:t>
            </w:r>
          </w:p>
          <w:p w14:paraId="715C4F26" w14:textId="77777777" w:rsidR="00E67F89" w:rsidRPr="00E67F89" w:rsidRDefault="00E67F89" w:rsidP="00E67F89">
            <w:r w:rsidRPr="00E67F89">
              <w:t>Un site archéologique peut contenir des artefacts, des restes d’animaux ou de végétaux, des vestiges d’éléments structurels et des éléments pédologiques particuliers.</w:t>
            </w:r>
          </w:p>
          <w:p w14:paraId="7D5568D3" w14:textId="77777777" w:rsidR="00E67F89" w:rsidRPr="00E67F89" w:rsidRDefault="00E67F89" w:rsidP="00E67F89">
            <w:r w:rsidRPr="00E67F89">
              <w:lastRenderedPageBreak/>
              <w:t>Matériel archéologique : Ensemble des vestiges physiques d’activités humaines passées, et notamment d’établissements humains</w:t>
            </w:r>
          </w:p>
          <w:p w14:paraId="50A368F4" w14:textId="77777777" w:rsidR="00E67F89" w:rsidRPr="00E67F89" w:rsidRDefault="00E67F89" w:rsidP="00E67F89">
            <w:r w:rsidRPr="00E67F89">
              <w:t>La nature du matériel archéologique peut varier : il peut s’agir d’un établissement ancien de petite ou de grande taille, complètement ou partiellement enfoui sous la surface du sol ou d’autres sédiments, ou des vestiges de camps temporaires établis par des populations nomades ou résultant d’autres activités de courte durée</w:t>
            </w:r>
          </w:p>
          <w:p w14:paraId="27FE2DB0" w14:textId="77777777" w:rsidR="00E67F89" w:rsidRPr="00E67F89" w:rsidRDefault="00E67F89" w:rsidP="00E67F89">
            <w:r w:rsidRPr="00E67F89">
              <w:t xml:space="preserve">Ce sont des collines sacrées, des montagnes, des paysages, des ruisseaux, des fleuves, des chutes d’eau, des grottes et des rochers ; des arbres, des plantes, des forêts et des bosquets sacrés ; des sculptures ou des peintures sur les parois rocheuses exposées ou dans des grottes ; et des dépôts paléontologiques de restes d’hommes, d’animaux ou de fossiles primitifs. Un tel patrimoine peut avoir </w:t>
            </w:r>
            <w:r w:rsidRPr="00E67F89">
              <w:lastRenderedPageBreak/>
              <w:t>de l’importance pour de petits groupes communautaires ou minoritaires.</w:t>
            </w:r>
          </w:p>
          <w:p w14:paraId="5D2B72A1" w14:textId="77777777" w:rsidR="00E67F89" w:rsidRPr="00E67F89" w:rsidRDefault="00E67F89" w:rsidP="00E67F89">
            <w:r w:rsidRPr="00E67F89">
              <w:t>Patrimoine bâti : Un ou plusieurs ouvrages architecturaux dans leur milieu urbain ou rural, qui constituent des preuves de l’existence d’une civilisation donnée, d’une évolution significative ou d’un fait historique. Il comprend des groupes de bâtiments, des structures et des espaces ouverts représentant des établissements humains anciens ou modernes, qui ont une cohérence et une valeur reconnues du point de vue architectural, esthétique, spirituel ou socioculturel</w:t>
            </w:r>
          </w:p>
        </w:tc>
        <w:tc>
          <w:tcPr>
            <w:tcW w:w="564" w:type="pct"/>
            <w:vAlign w:val="center"/>
          </w:tcPr>
          <w:p w14:paraId="66D98572" w14:textId="77777777" w:rsidR="00E67F89" w:rsidRPr="00E67F89" w:rsidRDefault="00E67F89" w:rsidP="00E67F89">
            <w:r w:rsidRPr="00E67F89">
              <w:lastRenderedPageBreak/>
              <w:t>Ordonnance 82-029 du 06 novembre 1982</w:t>
            </w:r>
          </w:p>
        </w:tc>
        <w:tc>
          <w:tcPr>
            <w:tcW w:w="1272" w:type="pct"/>
          </w:tcPr>
          <w:p w14:paraId="41E14307" w14:textId="77777777" w:rsidR="00E67F89" w:rsidRPr="00E67F89" w:rsidRDefault="00E67F89" w:rsidP="00E67F89">
            <w:r w:rsidRPr="00E67F89">
              <w:t>[Article 1]</w:t>
            </w:r>
          </w:p>
          <w:p w14:paraId="79D52A7F" w14:textId="77777777" w:rsidR="00E67F89" w:rsidRPr="00E67F89" w:rsidRDefault="00E67F89" w:rsidP="00E67F89">
            <w:r w:rsidRPr="00E67F89">
              <w:t xml:space="preserve">Patrimoine culturel immeuble : </w:t>
            </w:r>
          </w:p>
          <w:p w14:paraId="01CC4ADE" w14:textId="77777777" w:rsidR="00E67F89" w:rsidRPr="00E67F89" w:rsidRDefault="00E67F89" w:rsidP="00E67F89">
            <w:r w:rsidRPr="00E67F89">
              <w:t>Sites, œuvres de l’homme ou œuvres conjuguées de l’homme et de la nature</w:t>
            </w:r>
          </w:p>
          <w:p w14:paraId="1560DC86" w14:textId="77777777" w:rsidR="00E67F89" w:rsidRPr="00E67F89" w:rsidRDefault="00E67F89" w:rsidP="00E67F89">
            <w:r w:rsidRPr="00E67F89">
              <w:t xml:space="preserve"> Monuments : œuvres architecturales, de sculpture, de peinture monumentales, éléments de structure de caractère archéologique, restes de constructions anciennes, inscriptions, groupes d’éléments, tombeaux,</w:t>
            </w:r>
          </w:p>
          <w:p w14:paraId="3FF8CB29" w14:textId="77777777" w:rsidR="00E67F89" w:rsidRPr="00E67F89" w:rsidRDefault="00E67F89" w:rsidP="00E67F89">
            <w:r w:rsidRPr="00E67F89">
              <w:t xml:space="preserve">Constructions ou restes de construction (maisons, habitations, tombeaux, bâtiment de culte,. ayant rapport avec des événements, ou de l’histoire de personnalités politiques, historiques, scientifiques, culturels, religieux, et plus particulièrement celles de plus de 150 ans d’ancienneté </w:t>
            </w:r>
          </w:p>
          <w:p w14:paraId="4696C381" w14:textId="77777777" w:rsidR="00E67F89" w:rsidRPr="00E67F89" w:rsidRDefault="00E67F89" w:rsidP="00E67F89">
            <w:r w:rsidRPr="00E67F89">
              <w:t>Ensemble : groupe de construction isolée ou réunie</w:t>
            </w:r>
          </w:p>
          <w:p w14:paraId="20D6FD03" w14:textId="77777777" w:rsidR="00E67F89" w:rsidRPr="00E67F89" w:rsidRDefault="00E67F89" w:rsidP="00E67F89">
            <w:r w:rsidRPr="00E67F89">
              <w:t xml:space="preserve">Construction sont la protection est nécessaire pour isoler, dégager, assainir ou mettre en valeur un bien </w:t>
            </w:r>
          </w:p>
          <w:p w14:paraId="72B52B10" w14:textId="77777777" w:rsidR="00E67F89" w:rsidRPr="00E67F89" w:rsidRDefault="00E67F89" w:rsidP="00E67F89">
            <w:r w:rsidRPr="00E67F89">
              <w:t xml:space="preserve">Patrimoine culturel meuble : </w:t>
            </w:r>
          </w:p>
          <w:p w14:paraId="2B41EFE3" w14:textId="77777777" w:rsidR="00E67F89" w:rsidRPr="00E67F89" w:rsidRDefault="00E67F89" w:rsidP="00E67F89">
            <w:r w:rsidRPr="00E67F89">
              <w:t xml:space="preserve">Eléments de quelque matière qu’ils soient, provenant de démembrement de monuments historiques, es constructions anciennes, et des sites archéologiques, scientifiques, artistiques, religieux et éléments constitutifs de tombeaux </w:t>
            </w:r>
          </w:p>
          <w:p w14:paraId="1B9CA0AC" w14:textId="77777777" w:rsidR="00E67F89" w:rsidRPr="00E67F89" w:rsidRDefault="00E67F89" w:rsidP="00E67F89">
            <w:r w:rsidRPr="00E67F89">
              <w:t xml:space="preserve">Produit de fouilles et de découvertes archéologiques ou paléontologiques </w:t>
            </w:r>
          </w:p>
          <w:p w14:paraId="62CCABB7" w14:textId="77777777" w:rsidR="00E67F89" w:rsidRPr="00E67F89" w:rsidRDefault="00E67F89" w:rsidP="00E67F89">
            <w:r w:rsidRPr="00E67F89">
              <w:t xml:space="preserve">Biens d’intérêt religieux ou ethnologique </w:t>
            </w:r>
          </w:p>
          <w:p w14:paraId="60E48563" w14:textId="77777777" w:rsidR="00E67F89" w:rsidRPr="00E67F89" w:rsidRDefault="00E67F89" w:rsidP="00E67F89">
            <w:r w:rsidRPr="00E67F89">
              <w:t>Pièces originales de l’artisanat de l’art</w:t>
            </w:r>
          </w:p>
          <w:p w14:paraId="39DE151C" w14:textId="77777777" w:rsidR="00E67F89" w:rsidRPr="00E67F89" w:rsidRDefault="00E67F89" w:rsidP="00E67F89">
            <w:r w:rsidRPr="00E67F89">
              <w:t xml:space="preserve">Meubles meublant, peintures, objet de collection de toute sorte dont la conservation présente au point de vue de l’histoire, l’art, la science, la technique, un intérêt national </w:t>
            </w:r>
          </w:p>
          <w:p w14:paraId="17DCAD77" w14:textId="77777777" w:rsidR="00E67F89" w:rsidRPr="00E67F89" w:rsidRDefault="00E67F89" w:rsidP="00E67F89">
            <w:r w:rsidRPr="00E67F89">
              <w:t xml:space="preserve">Collections scientifiques et collections de livres et documents à caractère historique, scientifique et d’une manière générale culturel, y compris les documents sonores, photographiques, et les microfilms </w:t>
            </w:r>
          </w:p>
          <w:p w14:paraId="07F75CFD" w14:textId="77777777" w:rsidR="00E67F89" w:rsidRPr="00E67F89" w:rsidRDefault="00E67F89" w:rsidP="00E67F89">
            <w:r w:rsidRPr="00E67F89">
              <w:t xml:space="preserve">Objets conservés dans les musées </w:t>
            </w:r>
          </w:p>
          <w:p w14:paraId="37B71693" w14:textId="77777777" w:rsidR="00E67F89" w:rsidRPr="00E67F89" w:rsidRDefault="00E67F89" w:rsidP="00E67F89">
            <w:r w:rsidRPr="00E67F89">
              <w:lastRenderedPageBreak/>
              <w:t>Documents conservés dans une bibliothèque</w:t>
            </w:r>
          </w:p>
          <w:p w14:paraId="05E9D5E1" w14:textId="77777777" w:rsidR="00E67F89" w:rsidRPr="00E67F89" w:rsidRDefault="00E67F89" w:rsidP="00E67F89">
            <w:r w:rsidRPr="00E67F89">
              <w:t xml:space="preserve">Biens importants concernant l’histoire, la technique et l’histoire de l’art </w:t>
            </w:r>
          </w:p>
          <w:p w14:paraId="76BECF5C" w14:textId="77777777" w:rsidR="00E67F89" w:rsidRPr="00E67F89" w:rsidRDefault="00E67F89" w:rsidP="00E67F89">
            <w:r w:rsidRPr="00E67F89">
              <w:t>On entend par "Patrimoine Culturel Immatériel": les pratiques, représentations, expressions, connaissances et savoir-faire ainsi que les instruments, objets et espaces culturels qui leur sont associés que les communautés, les groupes, les individus reconnaissent comme faisant partie de leur patrimoine culturel.</w:t>
            </w:r>
          </w:p>
        </w:tc>
        <w:tc>
          <w:tcPr>
            <w:tcW w:w="889" w:type="pct"/>
          </w:tcPr>
          <w:p w14:paraId="1125E639" w14:textId="77777777" w:rsidR="00E67F89" w:rsidRPr="00E67F89" w:rsidRDefault="00E67F89" w:rsidP="00E67F89">
            <w:r w:rsidRPr="00E67F89">
              <w:lastRenderedPageBreak/>
              <w:t>Correspondance entre le Cadre national malagasy et la NES 8</w:t>
            </w:r>
          </w:p>
        </w:tc>
      </w:tr>
      <w:tr w:rsidR="00E67F89" w:rsidRPr="00E67F89" w14:paraId="4090164F" w14:textId="77777777" w:rsidTr="00223F64">
        <w:tc>
          <w:tcPr>
            <w:tcW w:w="602" w:type="pct"/>
          </w:tcPr>
          <w:p w14:paraId="274C5931" w14:textId="77777777" w:rsidR="00E67F89" w:rsidRPr="00E67F89" w:rsidRDefault="00E67F89" w:rsidP="00E67F89">
            <w:r w:rsidRPr="00E67F89">
              <w:lastRenderedPageBreak/>
              <w:t>Généralités (A)</w:t>
            </w:r>
          </w:p>
        </w:tc>
        <w:tc>
          <w:tcPr>
            <w:tcW w:w="382" w:type="pct"/>
            <w:vAlign w:val="center"/>
          </w:tcPr>
          <w:p w14:paraId="37067E40" w14:textId="77777777" w:rsidR="00E67F89" w:rsidRPr="00E67F89" w:rsidRDefault="00E67F89" w:rsidP="00E67F89">
            <w:r w:rsidRPr="00E67F89">
              <w:t>8</w:t>
            </w:r>
          </w:p>
          <w:p w14:paraId="0F2621BD" w14:textId="77777777" w:rsidR="00E67F89" w:rsidRPr="00E67F89" w:rsidRDefault="00E67F89" w:rsidP="00E67F89">
            <w:r w:rsidRPr="00E67F89">
              <w:t xml:space="preserve">N0 8.1 </w:t>
            </w:r>
          </w:p>
          <w:p w14:paraId="44E903E3" w14:textId="77777777" w:rsidR="00E67F89" w:rsidRPr="00E67F89" w:rsidRDefault="00E67F89" w:rsidP="00E67F89"/>
          <w:p w14:paraId="3A46E618" w14:textId="77777777" w:rsidR="00E67F89" w:rsidRPr="00E67F89" w:rsidRDefault="00E67F89" w:rsidP="00E67F89">
            <w:r w:rsidRPr="00E67F89">
              <w:t>9</w:t>
            </w:r>
          </w:p>
        </w:tc>
        <w:tc>
          <w:tcPr>
            <w:tcW w:w="1290" w:type="pct"/>
          </w:tcPr>
          <w:p w14:paraId="4CF5FD43" w14:textId="77777777" w:rsidR="00E67F89" w:rsidRPr="00E67F89" w:rsidRDefault="00E67F89" w:rsidP="00E67F89">
            <w:r w:rsidRPr="00E67F89">
              <w:t>Eviter les impacts négatifs sur le patrimoine culturel</w:t>
            </w:r>
          </w:p>
          <w:p w14:paraId="1401C550" w14:textId="77777777" w:rsidR="00E67F89" w:rsidRPr="00E67F89" w:rsidRDefault="00E67F89" w:rsidP="00E67F89">
            <w:r w:rsidRPr="00E67F89">
              <w:t>Obligation d’examiner les impacts directs et indirects et cumulatifs du projet sur le patrimoine culturel, ainsi que les risques</w:t>
            </w:r>
          </w:p>
          <w:p w14:paraId="22FB5CF7" w14:textId="77777777" w:rsidR="00E67F89" w:rsidRPr="00E67F89" w:rsidRDefault="00E67F89" w:rsidP="00E67F89">
            <w:r w:rsidRPr="00E67F89">
              <w:t>Elaborer un plan de gestion de patrimoine culturel</w:t>
            </w:r>
          </w:p>
        </w:tc>
        <w:tc>
          <w:tcPr>
            <w:tcW w:w="564" w:type="pct"/>
            <w:vAlign w:val="center"/>
          </w:tcPr>
          <w:p w14:paraId="202A2D79" w14:textId="77777777" w:rsidR="00E67F89" w:rsidRPr="00E67F89" w:rsidRDefault="00E67F89" w:rsidP="00E67F89">
            <w:r w:rsidRPr="00E67F89">
              <w:t xml:space="preserve">Décret MECIE </w:t>
            </w:r>
          </w:p>
          <w:p w14:paraId="0D1F4836" w14:textId="77777777" w:rsidR="00E67F89" w:rsidRPr="00E67F89" w:rsidRDefault="00E67F89" w:rsidP="00E67F89">
            <w:r w:rsidRPr="00E67F89">
              <w:t xml:space="preserve">Charte de l’Environnement actualisée </w:t>
            </w:r>
          </w:p>
          <w:p w14:paraId="0421FD83" w14:textId="77777777" w:rsidR="00E67F89" w:rsidRPr="00E67F89" w:rsidRDefault="00E67F89" w:rsidP="00E67F89">
            <w:r w:rsidRPr="00E67F89">
              <w:t>Loi 2005-021 portant Code minier</w:t>
            </w:r>
          </w:p>
          <w:p w14:paraId="27073F6B" w14:textId="77777777" w:rsidR="00E67F89" w:rsidRPr="00E67F89" w:rsidRDefault="00E67F89" w:rsidP="00E67F89">
            <w:r w:rsidRPr="00E67F89">
              <w:t>Loi N° 97-024 du 14 août 1997</w:t>
            </w:r>
          </w:p>
        </w:tc>
        <w:tc>
          <w:tcPr>
            <w:tcW w:w="1272" w:type="pct"/>
            <w:vAlign w:val="center"/>
          </w:tcPr>
          <w:p w14:paraId="5C18A185" w14:textId="77777777" w:rsidR="00E67F89" w:rsidRPr="00E67F89" w:rsidRDefault="00E67F89" w:rsidP="00E67F89">
            <w:r w:rsidRPr="00E67F89">
              <w:t>En tant que composant de l’Environnement, le patrimoine culturel doit faire l’objet de l’étude d’impact environnemental, lorsqu’une activité donnée est susceptible d’avoir des impacts potentiels prévisibles [Article 2]</w:t>
            </w:r>
          </w:p>
          <w:p w14:paraId="37F94741" w14:textId="77777777" w:rsidR="00E67F89" w:rsidRPr="00E67F89" w:rsidRDefault="00E67F89" w:rsidP="00E67F89">
            <w:r w:rsidRPr="00E67F89">
              <w:t xml:space="preserve">La violation des sites culturels et cultuel à l’occasion des travaux miniers est passible de sanctions et de </w:t>
            </w:r>
            <w:r w:rsidRPr="00E67F89">
              <w:lastRenderedPageBreak/>
              <w:t>pénalités, de deux à cinq ans. [Article 169]</w:t>
            </w:r>
          </w:p>
          <w:p w14:paraId="712F5D94" w14:textId="77777777" w:rsidR="00E67F89" w:rsidRPr="00E67F89" w:rsidRDefault="00E67F89" w:rsidP="00E67F89">
            <w:r w:rsidRPr="00E67F89">
              <w:t>Interdiction d’activité et d’exploitation minière</w:t>
            </w:r>
            <w:r w:rsidRPr="00E67F89">
              <w:footnoteReference w:id="28"/>
            </w:r>
            <w:r w:rsidRPr="00E67F89">
              <w:t xml:space="preserve"> dans les sites archéologiques, les sites cultuels, les sites culturels et touristiques classés et des ouvrages d’art</w:t>
            </w:r>
          </w:p>
          <w:p w14:paraId="4125F638" w14:textId="77777777" w:rsidR="00E67F89" w:rsidRPr="00E67F89" w:rsidRDefault="00E67F89" w:rsidP="00E67F89">
            <w:r w:rsidRPr="00E67F89">
              <w:t>Obligation de norme nationale homologuée par décret, lorsqu’il s’agit de la protection du patrimoine national ayant une valeur artistique, culturelle, historique ou archéologique L’objectif est la normalisation du bien. [Article 7]</w:t>
            </w:r>
          </w:p>
        </w:tc>
        <w:tc>
          <w:tcPr>
            <w:tcW w:w="889" w:type="pct"/>
          </w:tcPr>
          <w:p w14:paraId="68639B22" w14:textId="77777777" w:rsidR="00E67F89" w:rsidRPr="00E67F89" w:rsidRDefault="00E67F89" w:rsidP="00E67F89">
            <w:r w:rsidRPr="00E67F89">
              <w:lastRenderedPageBreak/>
              <w:t>Correspondance entre la NES 8 et le cadre national malagasy</w:t>
            </w:r>
          </w:p>
          <w:p w14:paraId="50434A8E" w14:textId="77777777" w:rsidR="00E67F89" w:rsidRPr="00E67F89" w:rsidRDefault="00E67F89" w:rsidP="00E67F89"/>
        </w:tc>
      </w:tr>
      <w:tr w:rsidR="00E67F89" w:rsidRPr="00E67F89" w14:paraId="0F4366D1" w14:textId="77777777" w:rsidTr="00223F64">
        <w:tc>
          <w:tcPr>
            <w:tcW w:w="602" w:type="pct"/>
          </w:tcPr>
          <w:p w14:paraId="72B49DAD" w14:textId="77777777" w:rsidR="00E67F89" w:rsidRPr="00E67F89" w:rsidRDefault="00E67F89" w:rsidP="00E67F89">
            <w:r w:rsidRPr="00E67F89">
              <w:t>Aires protégées abritant un patrimoine culturel classé (C)</w:t>
            </w:r>
          </w:p>
        </w:tc>
        <w:tc>
          <w:tcPr>
            <w:tcW w:w="382" w:type="pct"/>
          </w:tcPr>
          <w:p w14:paraId="1611F2E8" w14:textId="77777777" w:rsidR="00E67F89" w:rsidRPr="00E67F89" w:rsidRDefault="00E67F89" w:rsidP="00E67F89">
            <w:r w:rsidRPr="00E67F89">
              <w:t>17</w:t>
            </w:r>
          </w:p>
        </w:tc>
        <w:tc>
          <w:tcPr>
            <w:tcW w:w="1290" w:type="pct"/>
          </w:tcPr>
          <w:p w14:paraId="49A067E7" w14:textId="77777777" w:rsidR="00E67F89" w:rsidRPr="00E67F89" w:rsidRDefault="00E67F89" w:rsidP="00E67F89">
            <w:r w:rsidRPr="00E67F89">
              <w:t>Dresser un inventaire des aires protégées touchées qui abritent un patrimoine culturel classé</w:t>
            </w:r>
          </w:p>
        </w:tc>
        <w:tc>
          <w:tcPr>
            <w:tcW w:w="564" w:type="pct"/>
          </w:tcPr>
          <w:p w14:paraId="29BED68C" w14:textId="77777777" w:rsidR="00E67F89" w:rsidRPr="00E67F89" w:rsidRDefault="00E67F89" w:rsidP="00E67F89">
            <w:r w:rsidRPr="00E67F89">
              <w:t>Décret d’application 2017-415 du COAP</w:t>
            </w:r>
          </w:p>
          <w:p w14:paraId="1939733B" w14:textId="77777777" w:rsidR="00E67F89" w:rsidRPr="00E67F89" w:rsidRDefault="00E67F89" w:rsidP="00E67F89"/>
          <w:p w14:paraId="4C066504" w14:textId="77777777" w:rsidR="00E67F89" w:rsidRPr="00E67F89" w:rsidRDefault="00E67F89" w:rsidP="00E67F89"/>
          <w:p w14:paraId="2C5E2857" w14:textId="77777777" w:rsidR="00E67F89" w:rsidRPr="00E67F89" w:rsidRDefault="00E67F89" w:rsidP="00E67F89"/>
          <w:p w14:paraId="333E5BEF" w14:textId="77777777" w:rsidR="00E67F89" w:rsidRPr="00E67F89" w:rsidRDefault="00E67F89" w:rsidP="00E67F89">
            <w:r w:rsidRPr="00E67F89">
              <w:lastRenderedPageBreak/>
              <w:t>Ordonnance 82-029 du 06 novembre 1982</w:t>
            </w:r>
          </w:p>
          <w:p w14:paraId="7A59C0DA" w14:textId="77777777" w:rsidR="00E67F89" w:rsidRPr="00E67F89" w:rsidRDefault="00E67F89" w:rsidP="00E67F89"/>
        </w:tc>
        <w:tc>
          <w:tcPr>
            <w:tcW w:w="1272" w:type="pct"/>
            <w:vAlign w:val="center"/>
          </w:tcPr>
          <w:p w14:paraId="60487403" w14:textId="77777777" w:rsidR="00E67F89" w:rsidRPr="00E67F89" w:rsidRDefault="00E67F89" w:rsidP="00E67F89">
            <w:r w:rsidRPr="00E67F89">
              <w:lastRenderedPageBreak/>
              <w:t>La protection de patrimoine naturel et culturel malgache est régie dans le cadre des aires protégées à Madagascar. Une aire protégée peut être créée et gérée en vue de la conservation des valeurs particulières du patrimoine naturel et culturel. [Article 110]</w:t>
            </w:r>
          </w:p>
          <w:p w14:paraId="56978B01" w14:textId="77777777" w:rsidR="00E67F89" w:rsidRPr="00E67F89" w:rsidRDefault="00E67F89" w:rsidP="00E67F89">
            <w:r w:rsidRPr="00E67F89">
              <w:lastRenderedPageBreak/>
              <w:t>Un des objectifs de Système des Aires protégées de Madagascar est la conservation des valeurs particulières du patrimoine naturel malgache que cela soit matériel ou immatériel ou subaquatique.</w:t>
            </w:r>
          </w:p>
          <w:p w14:paraId="0EBC7F21" w14:textId="77777777" w:rsidR="00E67F89" w:rsidRPr="00E67F89" w:rsidRDefault="00E67F89" w:rsidP="00E67F89">
            <w:r w:rsidRPr="00E67F89">
              <w:t>Le moyen d’assurer la protection et la conservation partielle ou totale de patrimoine national est d’ordonner l’inscription du bien sur l’inventaire ou le registre de national. Cette inscription est l’acte par lequel l’Etat reconnaît à certains biens une valeur particulière. [Article 4]</w:t>
            </w:r>
          </w:p>
        </w:tc>
        <w:tc>
          <w:tcPr>
            <w:tcW w:w="889" w:type="pct"/>
          </w:tcPr>
          <w:p w14:paraId="7065DFB0" w14:textId="77777777" w:rsidR="00E67F89" w:rsidRPr="00E67F89" w:rsidRDefault="00E67F89" w:rsidP="00E67F89">
            <w:r w:rsidRPr="00E67F89">
              <w:lastRenderedPageBreak/>
              <w:t>Complémentarité entre la NES 8 et le cadre national malagasy.</w:t>
            </w:r>
          </w:p>
        </w:tc>
      </w:tr>
      <w:tr w:rsidR="00E67F89" w:rsidRPr="00E67F89" w14:paraId="2381408D" w14:textId="77777777" w:rsidTr="00223F64">
        <w:tc>
          <w:tcPr>
            <w:tcW w:w="602" w:type="pct"/>
          </w:tcPr>
          <w:p w14:paraId="27CC076A" w14:textId="77777777" w:rsidR="00E67F89" w:rsidRPr="00E67F89" w:rsidRDefault="00E67F89" w:rsidP="00E67F89">
            <w:r w:rsidRPr="00E67F89">
              <w:t xml:space="preserve">Consultations des parties prenantes (B) </w:t>
            </w:r>
          </w:p>
        </w:tc>
        <w:tc>
          <w:tcPr>
            <w:tcW w:w="382" w:type="pct"/>
          </w:tcPr>
          <w:p w14:paraId="59453CC8" w14:textId="77777777" w:rsidR="00E67F89" w:rsidRPr="00E67F89" w:rsidRDefault="00E67F89" w:rsidP="00E67F89">
            <w:r w:rsidRPr="00E67F89">
              <w:t xml:space="preserve">NO 9.1 </w:t>
            </w:r>
          </w:p>
          <w:p w14:paraId="5039A53D" w14:textId="77777777" w:rsidR="00E67F89" w:rsidRPr="00E67F89" w:rsidRDefault="00E67F89" w:rsidP="00E67F89">
            <w:r w:rsidRPr="00E67F89">
              <w:t>NO 9.3</w:t>
            </w:r>
          </w:p>
        </w:tc>
        <w:tc>
          <w:tcPr>
            <w:tcW w:w="1290" w:type="pct"/>
          </w:tcPr>
          <w:p w14:paraId="4E84F42B" w14:textId="77777777" w:rsidR="00E67F89" w:rsidRPr="00E67F89" w:rsidRDefault="00E67F89" w:rsidP="00E67F89">
            <w:r w:rsidRPr="00E67F89">
              <w:t xml:space="preserve">Obligation de recueillir les avis des autorités compétentes en matière de patrimoine culturel </w:t>
            </w:r>
          </w:p>
        </w:tc>
        <w:tc>
          <w:tcPr>
            <w:tcW w:w="564" w:type="pct"/>
          </w:tcPr>
          <w:p w14:paraId="5D97FBBF" w14:textId="77777777" w:rsidR="00E67F89" w:rsidRPr="00E67F89" w:rsidRDefault="00E67F89" w:rsidP="00E67F89">
            <w:r w:rsidRPr="00E67F89">
              <w:t xml:space="preserve">LOI 99-022 portant sur le Code minier </w:t>
            </w:r>
          </w:p>
        </w:tc>
        <w:tc>
          <w:tcPr>
            <w:tcW w:w="1272" w:type="pct"/>
            <w:vAlign w:val="center"/>
          </w:tcPr>
          <w:p w14:paraId="2AA1BE55" w14:textId="77777777" w:rsidR="00E67F89" w:rsidRPr="00E67F89" w:rsidRDefault="00E67F89" w:rsidP="00E67F89">
            <w:r w:rsidRPr="00E67F89">
              <w:t xml:space="preserve">En cas d’activité et d’exploitation minière, une zone de protection est établie à 80 m de la zone de recherche ou d’exploitation qui peut porter préjudices aux édifices religieux, lieux de sépulture, lieux considérés comme sacré ou tabous. Pour cela, il y a une obligation de demander l’autorisation et le consentement des autorités des collectivités territoriales décentralisées et des propriétaires </w:t>
            </w:r>
            <w:r w:rsidRPr="00E67F89">
              <w:lastRenderedPageBreak/>
              <w:t xml:space="preserve">concernés en cas de, demande [Article 105] </w:t>
            </w:r>
          </w:p>
        </w:tc>
        <w:tc>
          <w:tcPr>
            <w:tcW w:w="889" w:type="pct"/>
          </w:tcPr>
          <w:p w14:paraId="1A0F8498" w14:textId="77777777" w:rsidR="00E67F89" w:rsidRPr="00E67F89" w:rsidRDefault="00E67F89" w:rsidP="00E67F89">
            <w:r w:rsidRPr="00E67F89">
              <w:lastRenderedPageBreak/>
              <w:t xml:space="preserve">Il y a un écart entre les deux cadres, mais aucune divergence. </w:t>
            </w:r>
          </w:p>
          <w:p w14:paraId="605E7A28" w14:textId="77777777" w:rsidR="00E67F89" w:rsidRPr="00E67F89" w:rsidRDefault="00E67F89" w:rsidP="00E67F89">
            <w:r w:rsidRPr="00E67F89">
              <w:t>Le Projet tiendra compte des dispositions de la NES 8, lesquelles sont plus générales et élargies.</w:t>
            </w:r>
          </w:p>
        </w:tc>
      </w:tr>
      <w:tr w:rsidR="00E67F89" w:rsidRPr="00E67F89" w14:paraId="06E60F18" w14:textId="77777777" w:rsidTr="00223F64">
        <w:tc>
          <w:tcPr>
            <w:tcW w:w="602" w:type="pct"/>
          </w:tcPr>
          <w:p w14:paraId="309629E8" w14:textId="77777777" w:rsidR="00E67F89" w:rsidRPr="00E67F89" w:rsidRDefault="00E67F89" w:rsidP="00E67F89">
            <w:r w:rsidRPr="00E67F89">
              <w:t xml:space="preserve">Procédure de découverte fortuite </w:t>
            </w:r>
          </w:p>
        </w:tc>
        <w:tc>
          <w:tcPr>
            <w:tcW w:w="382" w:type="pct"/>
            <w:vAlign w:val="center"/>
          </w:tcPr>
          <w:p w14:paraId="0BD2641A" w14:textId="77777777" w:rsidR="00E67F89" w:rsidRPr="00E67F89" w:rsidRDefault="00E67F89" w:rsidP="00E67F89">
            <w:r w:rsidRPr="00E67F89">
              <w:t>11</w:t>
            </w:r>
          </w:p>
          <w:p w14:paraId="2157037A" w14:textId="77777777" w:rsidR="00E67F89" w:rsidRPr="00E67F89" w:rsidRDefault="00E67F89" w:rsidP="00E67F89"/>
          <w:p w14:paraId="222D247B" w14:textId="77777777" w:rsidR="00E67F89" w:rsidRPr="00E67F89" w:rsidRDefault="00E67F89" w:rsidP="00E67F89"/>
          <w:p w14:paraId="38DD4F43" w14:textId="77777777" w:rsidR="00E67F89" w:rsidRPr="00E67F89" w:rsidRDefault="00E67F89" w:rsidP="00E67F89"/>
          <w:p w14:paraId="1D36893F" w14:textId="77777777" w:rsidR="00E67F89" w:rsidRPr="00E67F89" w:rsidRDefault="00E67F89" w:rsidP="00E67F89"/>
          <w:p w14:paraId="503BE970" w14:textId="77777777" w:rsidR="00E67F89" w:rsidRPr="00E67F89" w:rsidRDefault="00E67F89" w:rsidP="00E67F89"/>
          <w:p w14:paraId="25774654" w14:textId="77777777" w:rsidR="00E67F89" w:rsidRPr="00E67F89" w:rsidRDefault="00E67F89" w:rsidP="00E67F89">
            <w:r w:rsidRPr="00E67F89">
              <w:t>NO 11.2</w:t>
            </w:r>
          </w:p>
          <w:p w14:paraId="6BD1D9C8" w14:textId="77777777" w:rsidR="00E67F89" w:rsidRPr="00E67F89" w:rsidRDefault="00E67F89" w:rsidP="00E67F89">
            <w:r w:rsidRPr="00E67F89">
              <w:t>12</w:t>
            </w:r>
          </w:p>
        </w:tc>
        <w:tc>
          <w:tcPr>
            <w:tcW w:w="1290" w:type="pct"/>
            <w:vAlign w:val="center"/>
          </w:tcPr>
          <w:p w14:paraId="6C9CC29E" w14:textId="77777777" w:rsidR="00E67F89" w:rsidRPr="00E67F89" w:rsidRDefault="00E67F89" w:rsidP="00E67F89">
            <w:r w:rsidRPr="00E67F89">
              <w:t xml:space="preserve">Etapes de la procédure : A) Etude approfondie et contrôle des activités, B) Interruption temporaire des travaux, C) Mesures de protection des découvertes fortuites, D) Règles à respecter (instructions aux travailleurs), E) Description des mesures à prendre en cas de découverte fortuite, F) Système de suivi de la mise en œuvre des procédures, G) accord avec les autorités compétentes, H) Accords avec les représentants des populations </w:t>
            </w:r>
          </w:p>
          <w:p w14:paraId="54E31611" w14:textId="77777777" w:rsidR="00E67F89" w:rsidRPr="00E67F89" w:rsidRDefault="00E67F89" w:rsidP="00E67F89">
            <w:r w:rsidRPr="00E67F89">
              <w:t>A décrire dans le document de passation de marchés</w:t>
            </w:r>
          </w:p>
          <w:p w14:paraId="26D26EF5" w14:textId="77777777" w:rsidR="00E67F89" w:rsidRPr="00E67F89" w:rsidRDefault="00E67F89" w:rsidP="00E67F89">
            <w:r w:rsidRPr="00E67F89">
              <w:t>Possibilité de recours à l’expertise des experts compétents en matière de patrimoine culturel pour la réalisation de l’évaluation environnementale sociale</w:t>
            </w:r>
          </w:p>
        </w:tc>
        <w:tc>
          <w:tcPr>
            <w:tcW w:w="564" w:type="pct"/>
            <w:vAlign w:val="center"/>
          </w:tcPr>
          <w:p w14:paraId="71F76C3E" w14:textId="77777777" w:rsidR="00E67F89" w:rsidRPr="00E67F89" w:rsidRDefault="00E67F89" w:rsidP="00E67F89">
            <w:r w:rsidRPr="00E67F89">
              <w:t xml:space="preserve">Décret 83-116 </w:t>
            </w:r>
          </w:p>
        </w:tc>
        <w:tc>
          <w:tcPr>
            <w:tcW w:w="1272" w:type="pct"/>
          </w:tcPr>
          <w:p w14:paraId="3C006C0D" w14:textId="77777777" w:rsidR="00E67F89" w:rsidRPr="00E67F89" w:rsidRDefault="00E67F89" w:rsidP="00E67F89">
            <w:r w:rsidRPr="00E67F89">
              <w:t xml:space="preserve">En cas de découverte fortuite, il revient au Fokontany d’avertir les instances supérieures, en allant du service local en charge de la culture et du patrimoine, jusqu’au service central du Ministère concerné. [Article 24] </w:t>
            </w:r>
          </w:p>
          <w:p w14:paraId="773E0D5B" w14:textId="77777777" w:rsidR="00E67F89" w:rsidRPr="00E67F89" w:rsidRDefault="00E67F89" w:rsidP="00E67F89">
            <w:r w:rsidRPr="00E67F89">
              <w:t xml:space="preserve">Le cadre légal malagasy prévoit seulement les processus de transmission d’informations sur la découverte fortuite auprès des instances concernées. </w:t>
            </w:r>
          </w:p>
        </w:tc>
        <w:tc>
          <w:tcPr>
            <w:tcW w:w="889" w:type="pct"/>
          </w:tcPr>
          <w:p w14:paraId="229345B6" w14:textId="77777777" w:rsidR="00E67F89" w:rsidRPr="00E67F89" w:rsidRDefault="00E67F89" w:rsidP="00E67F89">
            <w:r w:rsidRPr="00E67F89">
              <w:t>Complémentarité entre la NES 8 et le cadre légal national.</w:t>
            </w:r>
          </w:p>
        </w:tc>
      </w:tr>
      <w:tr w:rsidR="00E67F89" w:rsidRPr="00E67F89" w14:paraId="32A117C1" w14:textId="77777777" w:rsidTr="00223F64">
        <w:tc>
          <w:tcPr>
            <w:tcW w:w="602" w:type="pct"/>
          </w:tcPr>
          <w:p w14:paraId="42DDB322" w14:textId="77777777" w:rsidR="00E67F89" w:rsidRPr="00E67F89" w:rsidRDefault="00E67F89" w:rsidP="00E67F89"/>
        </w:tc>
        <w:tc>
          <w:tcPr>
            <w:tcW w:w="382" w:type="pct"/>
            <w:vAlign w:val="center"/>
          </w:tcPr>
          <w:p w14:paraId="4E2DE7A8" w14:textId="77777777" w:rsidR="00E67F89" w:rsidRPr="00E67F89" w:rsidRDefault="00E67F89" w:rsidP="00E67F89">
            <w:r w:rsidRPr="00E67F89">
              <w:t>14</w:t>
            </w:r>
          </w:p>
        </w:tc>
        <w:tc>
          <w:tcPr>
            <w:tcW w:w="1290" w:type="pct"/>
            <w:vAlign w:val="center"/>
          </w:tcPr>
          <w:p w14:paraId="521CFCBC" w14:textId="77777777" w:rsidR="00E67F89" w:rsidRPr="00E67F89" w:rsidRDefault="00E67F89" w:rsidP="00E67F89">
            <w:r w:rsidRPr="00E67F89">
              <w:t xml:space="preserve">Mesurer l’importance du patrimoine culturel sur la base de système de valeur et des intérêts des parties touchées </w:t>
            </w:r>
          </w:p>
        </w:tc>
        <w:tc>
          <w:tcPr>
            <w:tcW w:w="564" w:type="pct"/>
            <w:vAlign w:val="center"/>
          </w:tcPr>
          <w:p w14:paraId="3D1896EF" w14:textId="77777777" w:rsidR="00E67F89" w:rsidRPr="00E67F89" w:rsidRDefault="00E67F89" w:rsidP="00E67F89">
            <w:r w:rsidRPr="00E67F89">
              <w:t>DECRET MECIE</w:t>
            </w:r>
          </w:p>
          <w:p w14:paraId="7363121B" w14:textId="77777777" w:rsidR="00E67F89" w:rsidRPr="00E67F89" w:rsidRDefault="00E67F89" w:rsidP="00E67F89">
            <w:r w:rsidRPr="00E67F89">
              <w:t xml:space="preserve">Décret d’application de </w:t>
            </w:r>
            <w:r w:rsidRPr="00E67F89">
              <w:lastRenderedPageBreak/>
              <w:t>l’Ordonnance 82_029</w:t>
            </w:r>
          </w:p>
        </w:tc>
        <w:tc>
          <w:tcPr>
            <w:tcW w:w="1272" w:type="pct"/>
            <w:vAlign w:val="center"/>
          </w:tcPr>
          <w:p w14:paraId="3ABA9A5B" w14:textId="77777777" w:rsidR="00E67F89" w:rsidRPr="00E67F89" w:rsidRDefault="00E67F89" w:rsidP="00E67F89">
            <w:r w:rsidRPr="00E67F89">
              <w:lastRenderedPageBreak/>
              <w:t xml:space="preserve">Le niveau d’acceptabilité pour assurer l’intégrité de l’environnement est apprécié sur la base … des coûts </w:t>
            </w:r>
            <w:r w:rsidRPr="00E67F89">
              <w:lastRenderedPageBreak/>
              <w:t>sociaux, culturels et économiques, et des pertes en patrimoines [Article 7]</w:t>
            </w:r>
          </w:p>
          <w:p w14:paraId="23C07B56" w14:textId="77777777" w:rsidR="00E67F89" w:rsidRPr="00E67F89" w:rsidRDefault="00E67F89" w:rsidP="00E67F89">
            <w:r w:rsidRPr="00E67F89">
              <w:t>La valeur d’un bien ou d’un patrimoine incombe aux instantes étatiques. Elle est faite à travers l’inscription du bien meuble ou immeuble concerné, sur proposition du Ministère en charge du patrimoine culturel et sur avis de la commission nationale d’inscription [Article 7]</w:t>
            </w:r>
          </w:p>
        </w:tc>
        <w:tc>
          <w:tcPr>
            <w:tcW w:w="889" w:type="pct"/>
          </w:tcPr>
          <w:p w14:paraId="2A4869C3" w14:textId="77777777" w:rsidR="00E67F89" w:rsidRPr="00E67F89" w:rsidRDefault="00E67F89" w:rsidP="00E67F89">
            <w:r w:rsidRPr="00E67F89">
              <w:lastRenderedPageBreak/>
              <w:t>Ecart entre les deux cadres</w:t>
            </w:r>
          </w:p>
          <w:p w14:paraId="370E1750" w14:textId="77777777" w:rsidR="00E67F89" w:rsidRPr="00E67F89" w:rsidRDefault="00E67F89" w:rsidP="00E67F89">
            <w:r w:rsidRPr="00E67F89">
              <w:t>Absence pour le cadre national</w:t>
            </w:r>
          </w:p>
        </w:tc>
      </w:tr>
      <w:tr w:rsidR="00E67F89" w:rsidRPr="00E67F89" w14:paraId="45C6198A" w14:textId="77777777" w:rsidTr="00223F64">
        <w:tc>
          <w:tcPr>
            <w:tcW w:w="602" w:type="pct"/>
          </w:tcPr>
          <w:p w14:paraId="691909B9" w14:textId="77777777" w:rsidR="00E67F89" w:rsidRPr="00E67F89" w:rsidRDefault="00E67F89" w:rsidP="00E67F89">
            <w:r w:rsidRPr="00E67F89">
              <w:t>Confidentialité des informations sur le patrimoine culturel</w:t>
            </w:r>
          </w:p>
        </w:tc>
        <w:tc>
          <w:tcPr>
            <w:tcW w:w="382" w:type="pct"/>
            <w:vAlign w:val="center"/>
          </w:tcPr>
          <w:p w14:paraId="0096EA68" w14:textId="77777777" w:rsidR="00E67F89" w:rsidRPr="00E67F89" w:rsidRDefault="00E67F89" w:rsidP="00E67F89">
            <w:r w:rsidRPr="00E67F89">
              <w:t>15</w:t>
            </w:r>
          </w:p>
        </w:tc>
        <w:tc>
          <w:tcPr>
            <w:tcW w:w="1290" w:type="pct"/>
            <w:vAlign w:val="center"/>
          </w:tcPr>
          <w:p w14:paraId="38AB5659" w14:textId="77777777" w:rsidR="00E67F89" w:rsidRPr="00E67F89" w:rsidRDefault="00E67F89" w:rsidP="00E67F89">
            <w:r w:rsidRPr="00E67F89">
              <w:t>Protéger les informations et les renseignements qui pourraient compromettre l’intégrité et la sécurité du patrimoine culturel</w:t>
            </w:r>
          </w:p>
        </w:tc>
        <w:tc>
          <w:tcPr>
            <w:tcW w:w="564" w:type="pct"/>
            <w:vAlign w:val="center"/>
          </w:tcPr>
          <w:p w14:paraId="201C6183" w14:textId="77777777" w:rsidR="00E67F89" w:rsidRPr="00E67F89" w:rsidRDefault="00E67F89" w:rsidP="00E67F89"/>
        </w:tc>
        <w:tc>
          <w:tcPr>
            <w:tcW w:w="1272" w:type="pct"/>
            <w:vAlign w:val="center"/>
          </w:tcPr>
          <w:p w14:paraId="7BD5A0F9" w14:textId="77777777" w:rsidR="00E67F89" w:rsidRPr="00E67F89" w:rsidRDefault="00E67F89" w:rsidP="00E67F89">
            <w:r w:rsidRPr="00E67F89">
              <w:t>Néant</w:t>
            </w:r>
          </w:p>
        </w:tc>
        <w:tc>
          <w:tcPr>
            <w:tcW w:w="889" w:type="pct"/>
          </w:tcPr>
          <w:p w14:paraId="4D8D6E1C" w14:textId="77777777" w:rsidR="00E67F89" w:rsidRPr="00E67F89" w:rsidRDefault="00E67F89" w:rsidP="00E67F89"/>
        </w:tc>
      </w:tr>
      <w:tr w:rsidR="00E67F89" w:rsidRPr="00E67F89" w14:paraId="1F6339E6" w14:textId="77777777" w:rsidTr="00223F64">
        <w:tc>
          <w:tcPr>
            <w:tcW w:w="5000" w:type="pct"/>
            <w:gridSpan w:val="6"/>
          </w:tcPr>
          <w:p w14:paraId="5BCE9627" w14:textId="77777777" w:rsidR="00E67F89" w:rsidRPr="00E67F89" w:rsidRDefault="00E67F89" w:rsidP="00E67F89">
            <w:r w:rsidRPr="00E67F89">
              <w:t>Dispositions spécifiques sur la patrimoine culturel (D)</w:t>
            </w:r>
          </w:p>
        </w:tc>
      </w:tr>
      <w:tr w:rsidR="00E67F89" w:rsidRPr="00E67F89" w14:paraId="0FF8E56C" w14:textId="77777777" w:rsidTr="00223F64">
        <w:tc>
          <w:tcPr>
            <w:tcW w:w="602" w:type="pct"/>
          </w:tcPr>
          <w:p w14:paraId="3CB0FD54" w14:textId="77777777" w:rsidR="00E67F89" w:rsidRPr="00E67F89" w:rsidRDefault="00E67F89" w:rsidP="00E67F89"/>
        </w:tc>
        <w:tc>
          <w:tcPr>
            <w:tcW w:w="382" w:type="pct"/>
          </w:tcPr>
          <w:p w14:paraId="6CF35202" w14:textId="77777777" w:rsidR="00E67F89" w:rsidRPr="00E67F89" w:rsidRDefault="00E67F89" w:rsidP="00E67F89">
            <w:r w:rsidRPr="00E67F89">
              <w:t>NO 22.1</w:t>
            </w:r>
          </w:p>
        </w:tc>
        <w:tc>
          <w:tcPr>
            <w:tcW w:w="1290" w:type="pct"/>
          </w:tcPr>
          <w:p w14:paraId="4D9E1667" w14:textId="77777777" w:rsidR="00E67F89" w:rsidRPr="00E67F89" w:rsidRDefault="00E67F89" w:rsidP="00E67F89">
            <w:r w:rsidRPr="00E67F89">
              <w:t>Obligation de tenir compte dans les mesures d’atténuation, les coutumes, les traditions et les pratiques, les méthodes et les matériaux locaux</w:t>
            </w:r>
          </w:p>
        </w:tc>
        <w:tc>
          <w:tcPr>
            <w:tcW w:w="564" w:type="pct"/>
          </w:tcPr>
          <w:p w14:paraId="44CE5B0A" w14:textId="77777777" w:rsidR="00E67F89" w:rsidRPr="00E67F89" w:rsidRDefault="00E67F89" w:rsidP="00E67F89">
            <w:r w:rsidRPr="00E67F89">
              <w:t>Loi COAP</w:t>
            </w:r>
          </w:p>
        </w:tc>
        <w:tc>
          <w:tcPr>
            <w:tcW w:w="1272" w:type="pct"/>
          </w:tcPr>
          <w:p w14:paraId="3B875E82" w14:textId="77777777" w:rsidR="00E67F89" w:rsidRPr="00E67F89" w:rsidRDefault="00E67F89" w:rsidP="00E67F89">
            <w:r w:rsidRPr="00E67F89">
              <w:t xml:space="preserve">Les règles de gestion de l’aire protégée doivent faire prévaloir autant que possible et en conformité avec les objectifs principaux de respect des normes et des pratiques traditionnelles (dina, fady, lieux sacrés forestiers, aquatiques, ou autres), observés par les </w:t>
            </w:r>
            <w:r w:rsidRPr="00E67F89">
              <w:lastRenderedPageBreak/>
              <w:t>communautés locales concernées. [Article 42]</w:t>
            </w:r>
          </w:p>
        </w:tc>
        <w:tc>
          <w:tcPr>
            <w:tcW w:w="889" w:type="pct"/>
          </w:tcPr>
          <w:p w14:paraId="53416CD4" w14:textId="77777777" w:rsidR="00E67F89" w:rsidRPr="00E67F89" w:rsidRDefault="00E67F89" w:rsidP="00E67F89">
            <w:r w:rsidRPr="00E67F89">
              <w:lastRenderedPageBreak/>
              <w:t>Complémentarité entre la NES 8 et le cadre national malagasy</w:t>
            </w:r>
          </w:p>
        </w:tc>
      </w:tr>
      <w:tr w:rsidR="00E67F89" w:rsidRPr="00E67F89" w14:paraId="58E5ED31" w14:textId="77777777" w:rsidTr="00223F64">
        <w:tc>
          <w:tcPr>
            <w:tcW w:w="602" w:type="pct"/>
          </w:tcPr>
          <w:p w14:paraId="5A8622FF" w14:textId="77777777" w:rsidR="00E67F89" w:rsidRPr="00E67F89" w:rsidRDefault="00E67F89" w:rsidP="00E67F89">
            <w:r w:rsidRPr="00E67F89">
              <w:t>Mise en valeur du patrimoine culturel à des fins commerciales (E)</w:t>
            </w:r>
          </w:p>
        </w:tc>
        <w:tc>
          <w:tcPr>
            <w:tcW w:w="382" w:type="pct"/>
            <w:vAlign w:val="center"/>
          </w:tcPr>
          <w:p w14:paraId="66F96468" w14:textId="77777777" w:rsidR="00E67F89" w:rsidRPr="00E67F89" w:rsidRDefault="00E67F89" w:rsidP="00E67F89">
            <w:r w:rsidRPr="00E67F89">
              <w:t>29</w:t>
            </w:r>
          </w:p>
          <w:p w14:paraId="088DC679" w14:textId="77777777" w:rsidR="00E67F89" w:rsidRPr="00E67F89" w:rsidRDefault="00E67F89" w:rsidP="00E67F89">
            <w:r w:rsidRPr="00E67F89">
              <w:t>30</w:t>
            </w:r>
          </w:p>
        </w:tc>
        <w:tc>
          <w:tcPr>
            <w:tcW w:w="1290" w:type="pct"/>
            <w:vAlign w:val="center"/>
          </w:tcPr>
          <w:p w14:paraId="4203B785" w14:textId="77777777" w:rsidR="00E67F89" w:rsidRPr="00E67F89" w:rsidRDefault="00E67F89" w:rsidP="00E67F89">
            <w:r w:rsidRPr="00E67F89">
              <w:t>Prise en compte des droits des parties prenantes sur les avantages de la mise en valeur du patrimoine culturel</w:t>
            </w:r>
          </w:p>
          <w:p w14:paraId="23A43F90" w14:textId="77777777" w:rsidR="00E67F89" w:rsidRPr="00E67F89" w:rsidRDefault="00E67F89" w:rsidP="00E67F89">
            <w:r w:rsidRPr="00E67F89">
              <w:t>Partage équitable et juste des avantages issus de la mise en valeur du patrimoine culturel à des fins commerciales</w:t>
            </w:r>
          </w:p>
        </w:tc>
        <w:tc>
          <w:tcPr>
            <w:tcW w:w="564" w:type="pct"/>
            <w:vAlign w:val="center"/>
          </w:tcPr>
          <w:p w14:paraId="6F272D68" w14:textId="77777777" w:rsidR="00E67F89" w:rsidRPr="00E67F89" w:rsidRDefault="00E67F89" w:rsidP="00E67F89">
            <w:r w:rsidRPr="00E67F89">
              <w:t>COAP</w:t>
            </w:r>
          </w:p>
          <w:p w14:paraId="4D05F487" w14:textId="77777777" w:rsidR="00E67F89" w:rsidRPr="00E67F89" w:rsidRDefault="00E67F89" w:rsidP="00E67F89"/>
          <w:p w14:paraId="7882C1B8" w14:textId="77777777" w:rsidR="00E67F89" w:rsidRPr="00E67F89" w:rsidRDefault="00E67F89" w:rsidP="00E67F89"/>
          <w:p w14:paraId="4B4EB883" w14:textId="77777777" w:rsidR="00E67F89" w:rsidRPr="00E67F89" w:rsidRDefault="00E67F89" w:rsidP="00E67F89">
            <w:r w:rsidRPr="00E67F89">
              <w:t>Charte de l’Environnement actualisée</w:t>
            </w:r>
          </w:p>
        </w:tc>
        <w:tc>
          <w:tcPr>
            <w:tcW w:w="1272" w:type="pct"/>
            <w:vAlign w:val="center"/>
          </w:tcPr>
          <w:p w14:paraId="26095F6B" w14:textId="77777777" w:rsidR="00E67F89" w:rsidRPr="00E67F89" w:rsidRDefault="00E67F89" w:rsidP="00E67F89">
            <w:r w:rsidRPr="00E67F89">
              <w:t>Obligation de respect d’un des principes de gouvernance de système des aires protégées : principe de partage équitable des avantages dans le cadre de la gestion des aires protégées [Article 6]</w:t>
            </w:r>
          </w:p>
          <w:p w14:paraId="509E5FF1" w14:textId="77777777" w:rsidR="00E67F89" w:rsidRPr="00E67F89" w:rsidRDefault="00E67F89" w:rsidP="00E67F89">
            <w:r w:rsidRPr="00E67F89">
              <w:t>L’Etat doit partager équitablement les coûts et bénéfices de la gestion de l’environnement et assurer un système de recours en cas de conflit ou de non-respect des principes de la Charte de l’Environnement [Article 16]</w:t>
            </w:r>
          </w:p>
        </w:tc>
        <w:tc>
          <w:tcPr>
            <w:tcW w:w="889" w:type="pct"/>
          </w:tcPr>
          <w:p w14:paraId="66D372BF" w14:textId="77777777" w:rsidR="00E67F89" w:rsidRPr="00E67F89" w:rsidRDefault="00E67F89" w:rsidP="00E67F89">
            <w:r w:rsidRPr="00E67F89">
              <w:t>Correspondance entre la NES 8 et le cadre national malagasy</w:t>
            </w:r>
          </w:p>
        </w:tc>
      </w:tr>
    </w:tbl>
    <w:p w14:paraId="07C9488C" w14:textId="77777777" w:rsidR="00E67F89" w:rsidRPr="00E67F89" w:rsidRDefault="00E67F89" w:rsidP="00E67F89"/>
    <w:p w14:paraId="4FF0CADF" w14:textId="77777777" w:rsidR="00E67F89" w:rsidRPr="00E67F89" w:rsidRDefault="00E67F89" w:rsidP="00E67F89">
      <w:pPr>
        <w:sectPr w:rsidR="00E67F89" w:rsidRPr="00E67F89" w:rsidSect="00E67F89">
          <w:pgSz w:w="16839" w:h="11907" w:orient="landscape" w:code="9"/>
          <w:pgMar w:top="1168" w:right="851" w:bottom="1134" w:left="851" w:header="425" w:footer="720" w:gutter="0"/>
          <w:paperSrc w:first="15" w:other="15"/>
          <w:cols w:space="708"/>
          <w:titlePg/>
          <w:docGrid w:linePitch="360"/>
        </w:sectPr>
      </w:pPr>
    </w:p>
    <w:p w14:paraId="63A3A6B3" w14:textId="77777777" w:rsidR="00E67F89" w:rsidRPr="00E67F89" w:rsidRDefault="00E67F89" w:rsidP="00E67F89">
      <w:bookmarkStart w:id="897" w:name="_Toc71267920"/>
      <w:bookmarkStart w:id="898" w:name="_Toc71831504"/>
      <w:bookmarkStart w:id="899" w:name="_Toc138414169"/>
      <w:bookmarkStart w:id="900" w:name="_Toc230426113"/>
      <w:r w:rsidRPr="00E67F89">
        <w:lastRenderedPageBreak/>
        <w:t xml:space="preserve">Annexe </w:t>
      </w:r>
      <w:r w:rsidRPr="00E67F89">
        <w:fldChar w:fldCharType="begin"/>
      </w:r>
      <w:r w:rsidRPr="00E67F89">
        <w:instrText>SEQ Annexe \* ARABIC</w:instrText>
      </w:r>
      <w:r w:rsidRPr="00E67F89">
        <w:fldChar w:fldCharType="separate"/>
      </w:r>
      <w:r w:rsidRPr="00E67F89">
        <w:t>8</w:t>
      </w:r>
      <w:r w:rsidRPr="00E67F89">
        <w:fldChar w:fldCharType="end"/>
      </w:r>
      <w:r w:rsidRPr="00E67F89">
        <w:t xml:space="preserve"> : Analyse comparative entre la NES 10 et cadre réglementaire national malagasy</w:t>
      </w:r>
      <w:bookmarkEnd w:id="897"/>
      <w:bookmarkEnd w:id="898"/>
      <w:bookmarkEnd w:id="899"/>
      <w:bookmarkEnd w:id="900"/>
    </w:p>
    <w:tbl>
      <w:tblPr>
        <w:tblStyle w:val="TableGrid"/>
        <w:tblW w:w="15744" w:type="dxa"/>
        <w:tblInd w:w="-176" w:type="dxa"/>
        <w:tblLook w:val="04A0" w:firstRow="1" w:lastRow="0" w:firstColumn="1" w:lastColumn="0" w:noHBand="0" w:noVBand="1"/>
      </w:tblPr>
      <w:tblGrid>
        <w:gridCol w:w="1296"/>
        <w:gridCol w:w="5377"/>
        <w:gridCol w:w="1846"/>
        <w:gridCol w:w="4667"/>
        <w:gridCol w:w="2549"/>
        <w:gridCol w:w="9"/>
      </w:tblGrid>
      <w:tr w:rsidR="00E67F89" w:rsidRPr="00E67F89" w14:paraId="7BC4FF02" w14:textId="77777777" w:rsidTr="00966173">
        <w:trPr>
          <w:tblHeader/>
        </w:trPr>
        <w:tc>
          <w:tcPr>
            <w:tcW w:w="6661" w:type="dxa"/>
            <w:gridSpan w:val="2"/>
            <w:shd w:val="clear" w:color="auto" w:fill="E2EFD9" w:themeFill="accent6" w:themeFillTint="33"/>
            <w:vAlign w:val="center"/>
          </w:tcPr>
          <w:p w14:paraId="183F0B21" w14:textId="77777777" w:rsidR="00E67F89" w:rsidRPr="00E67F89" w:rsidRDefault="00E67F89" w:rsidP="00E67F89">
            <w:r w:rsidRPr="00E67F89">
              <w:t>NES 10</w:t>
            </w:r>
          </w:p>
        </w:tc>
        <w:tc>
          <w:tcPr>
            <w:tcW w:w="6523" w:type="dxa"/>
            <w:gridSpan w:val="2"/>
            <w:shd w:val="clear" w:color="auto" w:fill="E2EFD9" w:themeFill="accent6" w:themeFillTint="33"/>
            <w:vAlign w:val="center"/>
          </w:tcPr>
          <w:p w14:paraId="459AAC42" w14:textId="77777777" w:rsidR="00E67F89" w:rsidRPr="00E67F89" w:rsidRDefault="00E67F89" w:rsidP="00E67F89">
            <w:r w:rsidRPr="00E67F89">
              <w:t>CADRE LEGISLATIF NATIONAL MALAGASY</w:t>
            </w:r>
          </w:p>
        </w:tc>
        <w:tc>
          <w:tcPr>
            <w:tcW w:w="2560" w:type="dxa"/>
            <w:gridSpan w:val="2"/>
            <w:vMerge w:val="restart"/>
            <w:shd w:val="clear" w:color="auto" w:fill="E2EFD9" w:themeFill="accent6" w:themeFillTint="33"/>
            <w:vAlign w:val="center"/>
          </w:tcPr>
          <w:p w14:paraId="59CF2D73" w14:textId="77777777" w:rsidR="00E67F89" w:rsidRPr="00E67F89" w:rsidRDefault="00E67F89" w:rsidP="00E67F89">
            <w:r w:rsidRPr="00E67F89">
              <w:t>Analyse des écarts</w:t>
            </w:r>
          </w:p>
          <w:p w14:paraId="7C0F8DEF" w14:textId="77777777" w:rsidR="00E67F89" w:rsidRPr="00E67F89" w:rsidRDefault="00E67F89" w:rsidP="00E67F89">
            <w:r w:rsidRPr="00E67F89">
              <w:t>Conclusions d’application au projet PNCM-1</w:t>
            </w:r>
          </w:p>
        </w:tc>
      </w:tr>
      <w:tr w:rsidR="00E67F89" w:rsidRPr="00E67F89" w14:paraId="7D903397" w14:textId="77777777" w:rsidTr="00966173">
        <w:trPr>
          <w:trHeight w:val="58"/>
          <w:tblHeader/>
        </w:trPr>
        <w:tc>
          <w:tcPr>
            <w:tcW w:w="1274" w:type="dxa"/>
            <w:shd w:val="clear" w:color="auto" w:fill="E2EFD9" w:themeFill="accent6" w:themeFillTint="33"/>
            <w:vAlign w:val="center"/>
          </w:tcPr>
          <w:p w14:paraId="4F77F33A" w14:textId="77777777" w:rsidR="00E67F89" w:rsidRPr="00E67F89" w:rsidRDefault="00E67F89" w:rsidP="00E67F89">
            <w:r w:rsidRPr="00E67F89">
              <w:t>Paragraphe</w:t>
            </w:r>
          </w:p>
        </w:tc>
        <w:tc>
          <w:tcPr>
            <w:tcW w:w="5387" w:type="dxa"/>
            <w:shd w:val="clear" w:color="auto" w:fill="E2EFD9" w:themeFill="accent6" w:themeFillTint="33"/>
            <w:vAlign w:val="center"/>
          </w:tcPr>
          <w:p w14:paraId="47BAC984" w14:textId="77777777" w:rsidR="00E67F89" w:rsidRPr="00E67F89" w:rsidRDefault="00E67F89" w:rsidP="00E67F89">
            <w:r w:rsidRPr="00E67F89">
              <w:t>Exigences NES 10</w:t>
            </w:r>
          </w:p>
        </w:tc>
        <w:tc>
          <w:tcPr>
            <w:tcW w:w="1848" w:type="dxa"/>
            <w:shd w:val="clear" w:color="auto" w:fill="E2EFD9" w:themeFill="accent6" w:themeFillTint="33"/>
            <w:vAlign w:val="center"/>
          </w:tcPr>
          <w:p w14:paraId="63D1B7CD" w14:textId="77777777" w:rsidR="00E67F89" w:rsidRPr="00E67F89" w:rsidRDefault="00E67F89" w:rsidP="00E67F89">
            <w:r w:rsidRPr="00E67F89">
              <w:t>Textes de référence</w:t>
            </w:r>
          </w:p>
        </w:tc>
        <w:tc>
          <w:tcPr>
            <w:tcW w:w="4675" w:type="dxa"/>
            <w:shd w:val="clear" w:color="auto" w:fill="E2EFD9" w:themeFill="accent6" w:themeFillTint="33"/>
            <w:vAlign w:val="center"/>
          </w:tcPr>
          <w:p w14:paraId="7F850E0F" w14:textId="77777777" w:rsidR="00E67F89" w:rsidRPr="00E67F89" w:rsidRDefault="00E67F89" w:rsidP="00E67F89">
            <w:r w:rsidRPr="00E67F89">
              <w:t>Dispositions nationales pertinentes</w:t>
            </w:r>
          </w:p>
        </w:tc>
        <w:tc>
          <w:tcPr>
            <w:tcW w:w="2560" w:type="dxa"/>
            <w:gridSpan w:val="2"/>
            <w:vMerge/>
            <w:shd w:val="clear" w:color="auto" w:fill="E2EFD9" w:themeFill="accent6" w:themeFillTint="33"/>
            <w:vAlign w:val="center"/>
          </w:tcPr>
          <w:p w14:paraId="2E794671" w14:textId="77777777" w:rsidR="00E67F89" w:rsidRPr="00E67F89" w:rsidRDefault="00E67F89" w:rsidP="00E67F89"/>
        </w:tc>
      </w:tr>
      <w:tr w:rsidR="00E67F89" w:rsidRPr="00E67F89" w14:paraId="47CFD74E" w14:textId="77777777" w:rsidTr="00966173">
        <w:trPr>
          <w:gridAfter w:val="1"/>
          <w:wAfter w:w="9" w:type="dxa"/>
        </w:trPr>
        <w:tc>
          <w:tcPr>
            <w:tcW w:w="1274" w:type="dxa"/>
          </w:tcPr>
          <w:p w14:paraId="20182031" w14:textId="77777777" w:rsidR="00E67F89" w:rsidRPr="00E67F89" w:rsidRDefault="00E67F89" w:rsidP="00E67F89">
            <w:r w:rsidRPr="00E67F89">
              <w:t>4</w:t>
            </w:r>
          </w:p>
        </w:tc>
        <w:tc>
          <w:tcPr>
            <w:tcW w:w="5387" w:type="dxa"/>
          </w:tcPr>
          <w:p w14:paraId="5897C6D9" w14:textId="77777777" w:rsidR="00E67F89" w:rsidRPr="00E67F89" w:rsidRDefault="00E67F89" w:rsidP="00E67F89">
            <w:r w:rsidRPr="00E67F89">
              <w:t>Mettre en place un processus de mobilisation des parties prenantes qui sera intégré à l’évaluation environnementale et sociale et à la conception et la mise en œuvre du projet, tel que préconisé dans la NES 1.</w:t>
            </w:r>
          </w:p>
        </w:tc>
        <w:tc>
          <w:tcPr>
            <w:tcW w:w="1848" w:type="dxa"/>
          </w:tcPr>
          <w:p w14:paraId="51B464DF" w14:textId="77777777" w:rsidR="00E67F89" w:rsidRPr="00E67F89" w:rsidRDefault="00E67F89" w:rsidP="00E67F89">
            <w:r w:rsidRPr="00E67F89">
              <w:t>Art. 31 à 39 : MECIE</w:t>
            </w:r>
          </w:p>
        </w:tc>
        <w:tc>
          <w:tcPr>
            <w:tcW w:w="4675" w:type="dxa"/>
          </w:tcPr>
          <w:p w14:paraId="108EAA63" w14:textId="77777777" w:rsidR="00E67F89" w:rsidRPr="00E67F89" w:rsidRDefault="00E67F89" w:rsidP="00E67F89">
            <w:r w:rsidRPr="00E67F89">
              <w:t>La participation du public à l’évaluation se fait soit par consultation sur place des documents, soit par enquête publique, soit par audience publique. Les résultats de la participation du public à l’évaluation constituent une partie intégrante de l’évaluation de l’EIES.</w:t>
            </w:r>
          </w:p>
          <w:p w14:paraId="4C2B569B" w14:textId="77777777" w:rsidR="00E67F89" w:rsidRPr="00E67F89" w:rsidRDefault="00E67F89" w:rsidP="00E67F89">
            <w:r w:rsidRPr="00E67F89">
              <w:t>Les procédures à suivre sont celles prévues par les articles 16 à 21 du présent Décret.</w:t>
            </w:r>
          </w:p>
        </w:tc>
        <w:tc>
          <w:tcPr>
            <w:tcW w:w="2551" w:type="dxa"/>
          </w:tcPr>
          <w:p w14:paraId="35A64C74" w14:textId="77777777" w:rsidR="00E67F89" w:rsidRPr="00E67F89" w:rsidRDefault="00E67F89" w:rsidP="00E67F89">
            <w:r w:rsidRPr="00E67F89">
              <w:t xml:space="preserve">Les exigences de la NES n°10 et du cadre législatif national sont complémentaires </w:t>
            </w:r>
          </w:p>
        </w:tc>
      </w:tr>
      <w:tr w:rsidR="00E67F89" w:rsidRPr="00E67F89" w14:paraId="0FAED9C6" w14:textId="77777777" w:rsidTr="00966173">
        <w:trPr>
          <w:gridAfter w:val="1"/>
          <w:wAfter w:w="9" w:type="dxa"/>
        </w:trPr>
        <w:tc>
          <w:tcPr>
            <w:tcW w:w="1274" w:type="dxa"/>
          </w:tcPr>
          <w:p w14:paraId="0B83AB06" w14:textId="77777777" w:rsidR="00E67F89" w:rsidRPr="00E67F89" w:rsidRDefault="00E67F89" w:rsidP="00E67F89">
            <w:r w:rsidRPr="00E67F89">
              <w:t>6</w:t>
            </w:r>
          </w:p>
        </w:tc>
        <w:tc>
          <w:tcPr>
            <w:tcW w:w="5387" w:type="dxa"/>
          </w:tcPr>
          <w:p w14:paraId="5544B6EE" w14:textId="77777777" w:rsidR="00E67F89" w:rsidRPr="00E67F89" w:rsidRDefault="00E67F89" w:rsidP="00E67F89">
            <w:r w:rsidRPr="00E67F89">
              <w:t>Mobiliser les parties prenantes pendant toute la durée de vie du projet, le plus tôt possible pendant l’élaboration du projet, et selon un calendrier qui permette des consultations approfondies avec les parties prenantes sur la conception du projet, et proportionner la nature, la portée et la fréquence de cette mobilisation à l’envergure et aux risques du projet.</w:t>
            </w:r>
          </w:p>
        </w:tc>
        <w:tc>
          <w:tcPr>
            <w:tcW w:w="1848" w:type="dxa"/>
          </w:tcPr>
          <w:p w14:paraId="482AB9AD" w14:textId="77777777" w:rsidR="00E67F89" w:rsidRPr="00E67F89" w:rsidRDefault="00E67F89" w:rsidP="00E67F89">
            <w:r w:rsidRPr="00E67F89">
              <w:t>Art.7 et 14 Loi n°2015-003 CEM actualisée</w:t>
            </w:r>
          </w:p>
          <w:p w14:paraId="2A220D4C" w14:textId="77777777" w:rsidR="00E67F89" w:rsidRPr="00E67F89" w:rsidRDefault="00E67F89" w:rsidP="00E67F89"/>
          <w:p w14:paraId="7764E237" w14:textId="77777777" w:rsidR="00E67F89" w:rsidRPr="002F0AD5" w:rsidRDefault="00E67F89" w:rsidP="00E67F89">
            <w:pPr>
              <w:rPr>
                <w:lang w:val="nl-NL"/>
              </w:rPr>
            </w:pPr>
            <w:r w:rsidRPr="002F0AD5">
              <w:rPr>
                <w:lang w:val="nl-NL"/>
              </w:rPr>
              <w:t>Chap.1.5 Directive EIE</w:t>
            </w:r>
          </w:p>
          <w:p w14:paraId="74474E5D" w14:textId="77777777" w:rsidR="00E67F89" w:rsidRPr="002F0AD5" w:rsidRDefault="00E67F89" w:rsidP="00E67F89">
            <w:pPr>
              <w:rPr>
                <w:lang w:val="nl-NL"/>
              </w:rPr>
            </w:pPr>
          </w:p>
          <w:p w14:paraId="6E9645AF" w14:textId="77777777" w:rsidR="00E67F89" w:rsidRPr="002F0AD5" w:rsidRDefault="00E67F89" w:rsidP="00E67F89">
            <w:pPr>
              <w:rPr>
                <w:lang w:val="nl-NL"/>
              </w:rPr>
            </w:pPr>
          </w:p>
          <w:p w14:paraId="15FC4D2D" w14:textId="77777777" w:rsidR="00E67F89" w:rsidRPr="002F0AD5" w:rsidRDefault="00E67F89" w:rsidP="00E67F89">
            <w:pPr>
              <w:rPr>
                <w:lang w:val="nl-NL"/>
              </w:rPr>
            </w:pPr>
            <w:r w:rsidRPr="002F0AD5">
              <w:rPr>
                <w:lang w:val="nl-NL"/>
              </w:rPr>
              <w:t>Chap 15.0 Guide EIS.</w:t>
            </w:r>
          </w:p>
        </w:tc>
        <w:tc>
          <w:tcPr>
            <w:tcW w:w="4675" w:type="dxa"/>
          </w:tcPr>
          <w:p w14:paraId="0B2981E8" w14:textId="77777777" w:rsidR="00E67F89" w:rsidRPr="00E67F89" w:rsidRDefault="00E67F89" w:rsidP="00E67F89">
            <w:r w:rsidRPr="00E67F89">
              <w:t>Principe de participation du public : droit d’accès aux informations, droit de participer à la prise des décisions.</w:t>
            </w:r>
          </w:p>
          <w:p w14:paraId="52694A7E" w14:textId="77777777" w:rsidR="00E67F89" w:rsidRPr="00E67F89" w:rsidRDefault="00E67F89" w:rsidP="00E67F89"/>
          <w:p w14:paraId="2C5B99DE" w14:textId="77777777" w:rsidR="00E67F89" w:rsidRPr="00E67F89" w:rsidRDefault="00E67F89" w:rsidP="00E67F89"/>
          <w:p w14:paraId="512AA82C" w14:textId="77777777" w:rsidR="00E67F89" w:rsidRPr="00E67F89" w:rsidRDefault="00E67F89" w:rsidP="00E67F89">
            <w:r w:rsidRPr="00E67F89">
              <w:t>Initier un processus de communication, en cours d’étude. La consultation et l’information au cours de la réalisation de l’EIE n’est pas une étape obligatoire</w:t>
            </w:r>
          </w:p>
          <w:p w14:paraId="6C82879C" w14:textId="77777777" w:rsidR="00E67F89" w:rsidRPr="00E67F89" w:rsidRDefault="00E67F89" w:rsidP="00E67F89"/>
          <w:p w14:paraId="66994D87" w14:textId="77777777" w:rsidR="00E67F89" w:rsidRPr="00E67F89" w:rsidRDefault="00E67F89" w:rsidP="00E67F89">
            <w:r w:rsidRPr="00E67F89">
              <w:t>Des étapes méthodologiques sont proposées au promoteur pour mener à bien la consultation des parties prenantes.</w:t>
            </w:r>
          </w:p>
        </w:tc>
        <w:tc>
          <w:tcPr>
            <w:tcW w:w="2551" w:type="dxa"/>
          </w:tcPr>
          <w:p w14:paraId="22401693" w14:textId="77777777" w:rsidR="00E67F89" w:rsidRPr="00E67F89" w:rsidRDefault="00E67F89" w:rsidP="00E67F89">
            <w:r w:rsidRPr="00E67F89">
              <w:t>Bien que le principe soit acquis, les exigences de la NES n°10 sont développées. Elles ne sont pas contraires aux textes nationaux</w:t>
            </w:r>
          </w:p>
        </w:tc>
      </w:tr>
      <w:tr w:rsidR="00E67F89" w:rsidRPr="00E67F89" w14:paraId="0371F32E" w14:textId="77777777" w:rsidTr="00966173">
        <w:trPr>
          <w:gridAfter w:val="1"/>
          <w:wAfter w:w="9" w:type="dxa"/>
        </w:trPr>
        <w:tc>
          <w:tcPr>
            <w:tcW w:w="1274" w:type="dxa"/>
          </w:tcPr>
          <w:p w14:paraId="41E548A3" w14:textId="77777777" w:rsidR="00E67F89" w:rsidRPr="00E67F89" w:rsidRDefault="00E67F89" w:rsidP="00E67F89">
            <w:r w:rsidRPr="00E67F89">
              <w:t>7</w:t>
            </w:r>
          </w:p>
        </w:tc>
        <w:tc>
          <w:tcPr>
            <w:tcW w:w="5387" w:type="dxa"/>
          </w:tcPr>
          <w:p w14:paraId="1420688A" w14:textId="77777777" w:rsidR="00E67F89" w:rsidRPr="00E67F89" w:rsidRDefault="00E67F89" w:rsidP="00E67F89">
            <w:r w:rsidRPr="00E67F89">
              <w:t xml:space="preserve">Mener des consultations approfondies avec l’ensemble des parties prenantes, leur communiquer des informations à jour, pertinentes, compréhensibles </w:t>
            </w:r>
            <w:r w:rsidRPr="00E67F89">
              <w:lastRenderedPageBreak/>
              <w:t>et accessibles, et les consulter d’une manière adaptée à leur culture et libre de toute manipulation, interférence, coercition, discrimination et intimidation.</w:t>
            </w:r>
          </w:p>
        </w:tc>
        <w:tc>
          <w:tcPr>
            <w:tcW w:w="1848" w:type="dxa"/>
          </w:tcPr>
          <w:p w14:paraId="3A572903" w14:textId="77777777" w:rsidR="00E67F89" w:rsidRPr="002F0AD5" w:rsidRDefault="00E67F89" w:rsidP="00E67F89">
            <w:pPr>
              <w:rPr>
                <w:lang w:val="nl-NL"/>
              </w:rPr>
            </w:pPr>
            <w:r w:rsidRPr="002F0AD5">
              <w:rPr>
                <w:lang w:val="nl-NL"/>
              </w:rPr>
              <w:lastRenderedPageBreak/>
              <w:t>Chap.1.5. Directive EIE.</w:t>
            </w:r>
          </w:p>
          <w:p w14:paraId="3CCD1861" w14:textId="77777777" w:rsidR="00E67F89" w:rsidRPr="002F0AD5" w:rsidRDefault="00E67F89" w:rsidP="00E67F89">
            <w:pPr>
              <w:rPr>
                <w:lang w:val="nl-NL"/>
              </w:rPr>
            </w:pPr>
          </w:p>
          <w:p w14:paraId="232D153C" w14:textId="77777777" w:rsidR="00E67F89" w:rsidRPr="002F0AD5" w:rsidRDefault="00E67F89" w:rsidP="00E67F89">
            <w:pPr>
              <w:rPr>
                <w:lang w:val="nl-NL"/>
              </w:rPr>
            </w:pPr>
            <w:r w:rsidRPr="002F0AD5">
              <w:rPr>
                <w:lang w:val="nl-NL"/>
              </w:rPr>
              <w:lastRenderedPageBreak/>
              <w:t>Chap.15.0 Guide EIS.</w:t>
            </w:r>
          </w:p>
        </w:tc>
        <w:tc>
          <w:tcPr>
            <w:tcW w:w="4675" w:type="dxa"/>
          </w:tcPr>
          <w:p w14:paraId="13946A07" w14:textId="77777777" w:rsidR="00E67F89" w:rsidRPr="00E67F89" w:rsidRDefault="00E67F89" w:rsidP="00E67F89">
            <w:r w:rsidRPr="00E67F89">
              <w:lastRenderedPageBreak/>
              <w:t>Mise à disposition du public des informations pertinentes.</w:t>
            </w:r>
          </w:p>
        </w:tc>
        <w:tc>
          <w:tcPr>
            <w:tcW w:w="2551" w:type="dxa"/>
          </w:tcPr>
          <w:p w14:paraId="3FB4501B" w14:textId="77777777" w:rsidR="00E67F89" w:rsidRPr="00E67F89" w:rsidRDefault="00E67F89" w:rsidP="00E67F89">
            <w:r w:rsidRPr="00E67F89">
              <w:t xml:space="preserve">Les exigences de la NES n°10 sont précises et non éparpillées. Elles ne </w:t>
            </w:r>
            <w:r w:rsidRPr="00E67F89">
              <w:lastRenderedPageBreak/>
              <w:t>sont pas contraires aux textes nationaux</w:t>
            </w:r>
          </w:p>
        </w:tc>
      </w:tr>
      <w:tr w:rsidR="00E67F89" w:rsidRPr="00E67F89" w14:paraId="11628A41" w14:textId="77777777" w:rsidTr="00966173">
        <w:trPr>
          <w:gridAfter w:val="1"/>
          <w:wAfter w:w="9" w:type="dxa"/>
        </w:trPr>
        <w:tc>
          <w:tcPr>
            <w:tcW w:w="1274" w:type="dxa"/>
          </w:tcPr>
          <w:p w14:paraId="458AD73F" w14:textId="77777777" w:rsidR="00E67F89" w:rsidRPr="00E67F89" w:rsidRDefault="00E67F89" w:rsidP="00E67F89">
            <w:r w:rsidRPr="00E67F89">
              <w:t>8</w:t>
            </w:r>
          </w:p>
        </w:tc>
        <w:tc>
          <w:tcPr>
            <w:tcW w:w="5387" w:type="dxa"/>
          </w:tcPr>
          <w:p w14:paraId="7A7053D1" w14:textId="77777777" w:rsidR="00E67F89" w:rsidRPr="00E67F89" w:rsidRDefault="00E67F89" w:rsidP="00E67F89">
            <w:r w:rsidRPr="00E67F89">
              <w:t>Impliquer les aspects suivants dans le processus de participation des parties prenantes, comme indiqué plus en détail dans la présente NES : (i) l’identification et l’analyse des parties prenantes ; (ii) la planification sur la manière dont la consultation avec les parties prenantes se produira ; (iii) la diffusion de l’information ; (iv) la consultation avec les parties prenantes ; (v) le traitement et la réponse aux plaintes ; et (vi) le retour d’information aux parties prenantes.</w:t>
            </w:r>
          </w:p>
        </w:tc>
        <w:tc>
          <w:tcPr>
            <w:tcW w:w="1848" w:type="dxa"/>
          </w:tcPr>
          <w:p w14:paraId="424C6127" w14:textId="77777777" w:rsidR="00E67F89" w:rsidRPr="00E67F89" w:rsidRDefault="00E67F89" w:rsidP="00E67F89">
            <w:r w:rsidRPr="00E67F89">
              <w:t>Chap.15.1 à 15.6 Guide EIS.</w:t>
            </w:r>
          </w:p>
        </w:tc>
        <w:tc>
          <w:tcPr>
            <w:tcW w:w="4675" w:type="dxa"/>
          </w:tcPr>
          <w:p w14:paraId="0737E220" w14:textId="77777777" w:rsidR="00E67F89" w:rsidRPr="00E67F89" w:rsidRDefault="00E67F89" w:rsidP="00E67F89">
            <w:r w:rsidRPr="00E67F89">
              <w:t>Etapes méthodologiques proposées pour mener la consultation des parties prenantes (i) Contacts des autorités de proximité ; (ii) Identification des groupes et population touchés par les impacts du projet ; (iii) Détermination des échantillons à enquêter ; (iv) Recrutement des enquêteurs locaux et (v) Réalisation de l’enquête /traitement et Établissement des bases des données.</w:t>
            </w:r>
          </w:p>
        </w:tc>
        <w:tc>
          <w:tcPr>
            <w:tcW w:w="2551" w:type="dxa"/>
          </w:tcPr>
          <w:p w14:paraId="05EA87A5" w14:textId="77777777" w:rsidR="00E67F89" w:rsidRPr="00E67F89" w:rsidRDefault="00E67F89" w:rsidP="00E67F89">
            <w:r w:rsidRPr="00E67F89">
              <w:t>Les exigences de la NES n°10 sont plus favorables. Elles ne sont pas contraires aux textes nationaux</w:t>
            </w:r>
          </w:p>
        </w:tc>
      </w:tr>
      <w:tr w:rsidR="00E67F89" w:rsidRPr="00E67F89" w14:paraId="4F849970" w14:textId="77777777" w:rsidTr="00966173">
        <w:trPr>
          <w:gridAfter w:val="1"/>
          <w:wAfter w:w="9" w:type="dxa"/>
          <w:trHeight w:val="139"/>
        </w:trPr>
        <w:tc>
          <w:tcPr>
            <w:tcW w:w="1274" w:type="dxa"/>
            <w:tcBorders>
              <w:bottom w:val="single" w:sz="4" w:space="0" w:color="auto"/>
            </w:tcBorders>
          </w:tcPr>
          <w:p w14:paraId="0C5E93C4" w14:textId="77777777" w:rsidR="00E67F89" w:rsidRPr="00E67F89" w:rsidRDefault="00E67F89" w:rsidP="00E67F89">
            <w:r w:rsidRPr="00E67F89">
              <w:t>9</w:t>
            </w:r>
          </w:p>
        </w:tc>
        <w:tc>
          <w:tcPr>
            <w:tcW w:w="5387" w:type="dxa"/>
            <w:tcBorders>
              <w:bottom w:val="single" w:sz="4" w:space="0" w:color="auto"/>
            </w:tcBorders>
          </w:tcPr>
          <w:p w14:paraId="235789DE" w14:textId="77777777" w:rsidR="00E67F89" w:rsidRPr="00E67F89" w:rsidRDefault="00E67F89" w:rsidP="00E67F89">
            <w:r w:rsidRPr="00E67F89">
              <w:t>Maintenir et publier dans le cadre de l’évaluation environnementale et sociale, un recueil de documents rendant compte de la mobilisation des parties prenantes, y compris une présentation des parties prenantes consultées, un résumé des réactions obtenues, et une brève explication de la manière dont ces réactions ont été prises en compte ou non.</w:t>
            </w:r>
          </w:p>
        </w:tc>
        <w:tc>
          <w:tcPr>
            <w:tcW w:w="1848" w:type="dxa"/>
            <w:tcBorders>
              <w:bottom w:val="single" w:sz="4" w:space="0" w:color="auto"/>
            </w:tcBorders>
          </w:tcPr>
          <w:p w14:paraId="7050BDF2" w14:textId="77777777" w:rsidR="00E67F89" w:rsidRPr="00E67F89" w:rsidRDefault="00E67F89" w:rsidP="00E67F89">
            <w:r w:rsidRPr="00E67F89">
              <w:t>Art. 31 à 39 MECIE.</w:t>
            </w:r>
          </w:p>
          <w:p w14:paraId="6493E4DF" w14:textId="77777777" w:rsidR="00E67F89" w:rsidRPr="00E67F89" w:rsidRDefault="00E67F89" w:rsidP="00E67F89">
            <w:r w:rsidRPr="00E67F89">
              <w:t>Arrêté 6830/2001. Art.44, 45 et 48</w:t>
            </w:r>
          </w:p>
        </w:tc>
        <w:tc>
          <w:tcPr>
            <w:tcW w:w="4675" w:type="dxa"/>
            <w:tcBorders>
              <w:bottom w:val="single" w:sz="4" w:space="0" w:color="auto"/>
            </w:tcBorders>
          </w:tcPr>
          <w:p w14:paraId="18C037E0" w14:textId="77777777" w:rsidR="00E67F89" w:rsidRPr="00E67F89" w:rsidRDefault="00E67F89" w:rsidP="00E67F89">
            <w:r w:rsidRPr="00E67F89">
              <w:t>(A l’issue de l’évaluation)</w:t>
            </w:r>
          </w:p>
          <w:p w14:paraId="212C3F54" w14:textId="77777777" w:rsidR="00E67F89" w:rsidRPr="00E67F89" w:rsidRDefault="00E67F89" w:rsidP="00E67F89">
            <w:r w:rsidRPr="00E67F89">
              <w:t>Consultation du public dans le cadre de l’évaluation de l’EIE(S) : consultation des documents, enquête publique, audience publique.</w:t>
            </w:r>
          </w:p>
          <w:p w14:paraId="398640C6" w14:textId="77777777" w:rsidR="00E67F89" w:rsidRPr="00E67F89" w:rsidRDefault="00E67F89" w:rsidP="00E67F89">
            <w:r w:rsidRPr="00E67F89">
              <w:t>Utilisation et disponibilité des résultats de la consultation.</w:t>
            </w:r>
          </w:p>
        </w:tc>
        <w:tc>
          <w:tcPr>
            <w:tcW w:w="2551" w:type="dxa"/>
          </w:tcPr>
          <w:p w14:paraId="6E6FBBCD" w14:textId="77777777" w:rsidR="00E67F89" w:rsidRPr="00E67F89" w:rsidRDefault="00E67F89" w:rsidP="00E67F89">
            <w:r w:rsidRPr="00E67F89">
              <w:t>Les exigences de la NES n°10 sont plus indicatives et développées. Elles ne sont pas contraires aux textes nationaux</w:t>
            </w:r>
          </w:p>
        </w:tc>
      </w:tr>
      <w:tr w:rsidR="00E67F89" w:rsidRPr="00E67F89" w14:paraId="159F6B50" w14:textId="77777777" w:rsidTr="00966173">
        <w:trPr>
          <w:gridAfter w:val="1"/>
          <w:wAfter w:w="9" w:type="dxa"/>
        </w:trPr>
        <w:tc>
          <w:tcPr>
            <w:tcW w:w="6661" w:type="dxa"/>
            <w:gridSpan w:val="2"/>
            <w:tcBorders>
              <w:bottom w:val="single" w:sz="4" w:space="0" w:color="auto"/>
              <w:right w:val="nil"/>
            </w:tcBorders>
          </w:tcPr>
          <w:p w14:paraId="2CFF422B" w14:textId="77777777" w:rsidR="00E67F89" w:rsidRPr="00E67F89" w:rsidRDefault="00E67F89" w:rsidP="00E67F89">
            <w:r w:rsidRPr="00E67F89">
              <w:t>A. Participation pendant la préparation du projet</w:t>
            </w:r>
          </w:p>
        </w:tc>
        <w:tc>
          <w:tcPr>
            <w:tcW w:w="1848" w:type="dxa"/>
            <w:tcBorders>
              <w:left w:val="nil"/>
              <w:bottom w:val="single" w:sz="4" w:space="0" w:color="auto"/>
              <w:right w:val="nil"/>
            </w:tcBorders>
          </w:tcPr>
          <w:p w14:paraId="579A3559" w14:textId="77777777" w:rsidR="00E67F89" w:rsidRPr="00E67F89" w:rsidRDefault="00E67F89" w:rsidP="00E67F89"/>
        </w:tc>
        <w:tc>
          <w:tcPr>
            <w:tcW w:w="4675" w:type="dxa"/>
            <w:tcBorders>
              <w:left w:val="nil"/>
              <w:bottom w:val="single" w:sz="4" w:space="0" w:color="auto"/>
              <w:right w:val="nil"/>
            </w:tcBorders>
          </w:tcPr>
          <w:p w14:paraId="51FD8D58" w14:textId="77777777" w:rsidR="00E67F89" w:rsidRPr="00E67F89" w:rsidRDefault="00E67F89" w:rsidP="00E67F89"/>
        </w:tc>
        <w:tc>
          <w:tcPr>
            <w:tcW w:w="2551" w:type="dxa"/>
            <w:tcBorders>
              <w:left w:val="nil"/>
            </w:tcBorders>
          </w:tcPr>
          <w:p w14:paraId="07244609" w14:textId="77777777" w:rsidR="00E67F89" w:rsidRPr="00E67F89" w:rsidRDefault="00E67F89" w:rsidP="00E67F89"/>
        </w:tc>
      </w:tr>
      <w:tr w:rsidR="00E67F89" w:rsidRPr="00E67F89" w14:paraId="2AAD051B" w14:textId="77777777" w:rsidTr="00966173">
        <w:trPr>
          <w:gridAfter w:val="1"/>
          <w:wAfter w:w="9" w:type="dxa"/>
        </w:trPr>
        <w:tc>
          <w:tcPr>
            <w:tcW w:w="6661" w:type="dxa"/>
            <w:gridSpan w:val="2"/>
            <w:tcBorders>
              <w:right w:val="nil"/>
            </w:tcBorders>
          </w:tcPr>
          <w:p w14:paraId="1FE49DB4" w14:textId="77777777" w:rsidR="00E67F89" w:rsidRPr="00E67F89" w:rsidRDefault="00E67F89" w:rsidP="00E67F89">
            <w:r w:rsidRPr="00E67F89">
              <w:t>Identification et analyse des parties prenantes</w:t>
            </w:r>
          </w:p>
        </w:tc>
        <w:tc>
          <w:tcPr>
            <w:tcW w:w="1848" w:type="dxa"/>
            <w:tcBorders>
              <w:left w:val="nil"/>
              <w:right w:val="nil"/>
            </w:tcBorders>
          </w:tcPr>
          <w:p w14:paraId="2082BA5D" w14:textId="77777777" w:rsidR="00E67F89" w:rsidRPr="00E67F89" w:rsidRDefault="00E67F89" w:rsidP="00E67F89"/>
        </w:tc>
        <w:tc>
          <w:tcPr>
            <w:tcW w:w="4675" w:type="dxa"/>
            <w:tcBorders>
              <w:left w:val="nil"/>
              <w:right w:val="nil"/>
            </w:tcBorders>
          </w:tcPr>
          <w:p w14:paraId="52344F8F" w14:textId="77777777" w:rsidR="00E67F89" w:rsidRPr="00E67F89" w:rsidRDefault="00E67F89" w:rsidP="00E67F89"/>
        </w:tc>
        <w:tc>
          <w:tcPr>
            <w:tcW w:w="2551" w:type="dxa"/>
            <w:tcBorders>
              <w:left w:val="nil"/>
            </w:tcBorders>
          </w:tcPr>
          <w:p w14:paraId="3BDD0F9E" w14:textId="77777777" w:rsidR="00E67F89" w:rsidRPr="00E67F89" w:rsidRDefault="00E67F89" w:rsidP="00E67F89"/>
        </w:tc>
      </w:tr>
      <w:tr w:rsidR="00E67F89" w:rsidRPr="00E67F89" w14:paraId="367ADEAD" w14:textId="77777777" w:rsidTr="00966173">
        <w:trPr>
          <w:gridAfter w:val="1"/>
          <w:wAfter w:w="9" w:type="dxa"/>
        </w:trPr>
        <w:tc>
          <w:tcPr>
            <w:tcW w:w="1274" w:type="dxa"/>
          </w:tcPr>
          <w:p w14:paraId="4AA99514" w14:textId="77777777" w:rsidR="00E67F89" w:rsidRPr="00E67F89" w:rsidRDefault="00E67F89" w:rsidP="00E67F89">
            <w:r w:rsidRPr="00E67F89">
              <w:t>10</w:t>
            </w:r>
          </w:p>
        </w:tc>
        <w:tc>
          <w:tcPr>
            <w:tcW w:w="5387" w:type="dxa"/>
          </w:tcPr>
          <w:p w14:paraId="66C909EA" w14:textId="77777777" w:rsidR="00E67F89" w:rsidRPr="00E67F89" w:rsidRDefault="00E67F89" w:rsidP="00E67F89">
            <w:r w:rsidRPr="00E67F89">
              <w:t xml:space="preserve">Identifier les différentes parties prenantes, aussi bien les parties touchées par le projet que les autres parties concernées, </w:t>
            </w:r>
          </w:p>
        </w:tc>
        <w:tc>
          <w:tcPr>
            <w:tcW w:w="1848" w:type="dxa"/>
          </w:tcPr>
          <w:p w14:paraId="498E3431" w14:textId="77777777" w:rsidR="00E67F89" w:rsidRPr="00E67F89" w:rsidRDefault="00E67F89" w:rsidP="00E67F89">
            <w:r w:rsidRPr="00E67F89">
              <w:t>Art.20 Loi n°2015-003. CEM actualisée</w:t>
            </w:r>
          </w:p>
        </w:tc>
        <w:tc>
          <w:tcPr>
            <w:tcW w:w="4675" w:type="dxa"/>
          </w:tcPr>
          <w:p w14:paraId="6F752200" w14:textId="77777777" w:rsidR="00E67F89" w:rsidRPr="00E67F89" w:rsidRDefault="00E67F89" w:rsidP="00E67F89">
            <w:r w:rsidRPr="00E67F89">
              <w:t xml:space="preserve">En matière de gestion environnementale, les parties prenantes concernées sont les secteurs publics, le secteur privé, les sociétés civiles, </w:t>
            </w:r>
            <w:r w:rsidRPr="00E67F89">
              <w:lastRenderedPageBreak/>
              <w:t>les communautés villageoises, la population en général.</w:t>
            </w:r>
          </w:p>
        </w:tc>
        <w:tc>
          <w:tcPr>
            <w:tcW w:w="2551" w:type="dxa"/>
          </w:tcPr>
          <w:p w14:paraId="7BA650E8" w14:textId="77777777" w:rsidR="00E67F89" w:rsidRPr="00E67F89" w:rsidRDefault="00E67F89" w:rsidP="00E67F89">
            <w:r w:rsidRPr="00E67F89">
              <w:lastRenderedPageBreak/>
              <w:t xml:space="preserve">Les exigences de la NES n°10 donnent une autre classification plus </w:t>
            </w:r>
            <w:r w:rsidRPr="00E67F89">
              <w:lastRenderedPageBreak/>
              <w:t>conforme à l’objectif de la NES. Elles ne sont pas contraires aux textes nationaux</w:t>
            </w:r>
          </w:p>
        </w:tc>
      </w:tr>
      <w:tr w:rsidR="00E67F89" w:rsidRPr="00E67F89" w14:paraId="2A4EE058" w14:textId="77777777" w:rsidTr="00966173">
        <w:trPr>
          <w:gridAfter w:val="1"/>
          <w:wAfter w:w="9" w:type="dxa"/>
        </w:trPr>
        <w:tc>
          <w:tcPr>
            <w:tcW w:w="1274" w:type="dxa"/>
          </w:tcPr>
          <w:p w14:paraId="22BD5935" w14:textId="77777777" w:rsidR="00E67F89" w:rsidRPr="00E67F89" w:rsidRDefault="00E67F89" w:rsidP="00E67F89">
            <w:r w:rsidRPr="00E67F89">
              <w:t>11</w:t>
            </w:r>
          </w:p>
        </w:tc>
        <w:tc>
          <w:tcPr>
            <w:tcW w:w="5387" w:type="dxa"/>
          </w:tcPr>
          <w:p w14:paraId="55140F3C" w14:textId="77777777" w:rsidR="00E67F89" w:rsidRPr="00E67F89" w:rsidRDefault="00E67F89" w:rsidP="00E67F89">
            <w:r w:rsidRPr="00E67F89">
              <w:t>Identifier les parties touchées par le projet (des individus ou des groupes) qui, en raison de leur situation particulière, peuvent être défavorisées ou vulnérables</w:t>
            </w:r>
            <w:r w:rsidRPr="00E67F89">
              <w:footnoteReference w:id="29"/>
            </w:r>
            <w:r w:rsidRPr="00E67F89">
              <w:t>.</w:t>
            </w:r>
          </w:p>
        </w:tc>
        <w:tc>
          <w:tcPr>
            <w:tcW w:w="1848" w:type="dxa"/>
          </w:tcPr>
          <w:p w14:paraId="7D99477C" w14:textId="77777777" w:rsidR="00E67F89" w:rsidRPr="00E67F89" w:rsidRDefault="00E67F89" w:rsidP="00E67F89">
            <w:r w:rsidRPr="00E67F89">
              <w:t>Chap.15.2 et annexe 7 Guide EIS.</w:t>
            </w:r>
          </w:p>
        </w:tc>
        <w:tc>
          <w:tcPr>
            <w:tcW w:w="4675" w:type="dxa"/>
          </w:tcPr>
          <w:p w14:paraId="7C586651" w14:textId="77777777" w:rsidR="00E67F89" w:rsidRPr="00E67F89" w:rsidRDefault="00E67F89" w:rsidP="00E67F89">
            <w:r w:rsidRPr="00E67F89">
              <w:t>Identifier les parties impactées avec une attention particulière aux couches les plus vulnérables.</w:t>
            </w:r>
          </w:p>
        </w:tc>
        <w:tc>
          <w:tcPr>
            <w:tcW w:w="2551" w:type="dxa"/>
          </w:tcPr>
          <w:p w14:paraId="665A1E72" w14:textId="77777777" w:rsidR="00E67F89" w:rsidRPr="00E67F89" w:rsidRDefault="00E67F89" w:rsidP="00E67F89">
            <w:r w:rsidRPr="00E67F89">
              <w:t>Les exigences de la NES n°10 sont plus développées. Elles ne sont pas contraires aux textes nationaux</w:t>
            </w:r>
          </w:p>
        </w:tc>
      </w:tr>
      <w:tr w:rsidR="00E67F89" w:rsidRPr="00E67F89" w14:paraId="1991A254" w14:textId="77777777" w:rsidTr="00966173">
        <w:trPr>
          <w:gridAfter w:val="1"/>
          <w:wAfter w:w="9" w:type="dxa"/>
        </w:trPr>
        <w:tc>
          <w:tcPr>
            <w:tcW w:w="1274" w:type="dxa"/>
            <w:tcBorders>
              <w:bottom w:val="single" w:sz="4" w:space="0" w:color="auto"/>
            </w:tcBorders>
          </w:tcPr>
          <w:p w14:paraId="2F015D25" w14:textId="77777777" w:rsidR="00E67F89" w:rsidRPr="00E67F89" w:rsidRDefault="00E67F89" w:rsidP="00E67F89">
            <w:r w:rsidRPr="00E67F89">
              <w:t>12</w:t>
            </w:r>
          </w:p>
        </w:tc>
        <w:tc>
          <w:tcPr>
            <w:tcW w:w="5387" w:type="dxa"/>
            <w:tcBorders>
              <w:bottom w:val="single" w:sz="4" w:space="0" w:color="auto"/>
            </w:tcBorders>
          </w:tcPr>
          <w:p w14:paraId="625F31BA" w14:textId="77777777" w:rsidR="00E67F89" w:rsidRPr="00E67F89" w:rsidRDefault="00E67F89" w:rsidP="00E67F89">
            <w:r w:rsidRPr="00E67F89">
              <w:t>En fonction de l’importance que pourraient avoir les risques et effets environnementaux et sociaux, engager des experts indépendants pour prêter leur concours à l’identification et l’analyse des parties prenantes en vue de couvrir toutes les parties concernées et de concevoir un processus de mobilisation sans exclusive.</w:t>
            </w:r>
          </w:p>
        </w:tc>
        <w:tc>
          <w:tcPr>
            <w:tcW w:w="1848" w:type="dxa"/>
            <w:tcBorders>
              <w:bottom w:val="single" w:sz="4" w:space="0" w:color="auto"/>
            </w:tcBorders>
          </w:tcPr>
          <w:p w14:paraId="79038BE0" w14:textId="77777777" w:rsidR="00E67F89" w:rsidRPr="00E67F89" w:rsidRDefault="00E67F89" w:rsidP="00E67F89">
            <w:r w:rsidRPr="00E67F89">
              <w:t>Arrêté 6830/2001</w:t>
            </w:r>
          </w:p>
        </w:tc>
        <w:tc>
          <w:tcPr>
            <w:tcW w:w="4675" w:type="dxa"/>
            <w:tcBorders>
              <w:bottom w:val="single" w:sz="4" w:space="0" w:color="auto"/>
            </w:tcBorders>
          </w:tcPr>
          <w:p w14:paraId="181A1261" w14:textId="77777777" w:rsidR="00E67F89" w:rsidRPr="00E67F89" w:rsidRDefault="00E67F89" w:rsidP="00E67F89">
            <w:r w:rsidRPr="00E67F89">
              <w:t>Peut faire appel à des consultants</w:t>
            </w:r>
          </w:p>
        </w:tc>
        <w:tc>
          <w:tcPr>
            <w:tcW w:w="2551" w:type="dxa"/>
          </w:tcPr>
          <w:p w14:paraId="3B3FCC69" w14:textId="77777777" w:rsidR="00E67F89" w:rsidRPr="00E67F89" w:rsidRDefault="00E67F89" w:rsidP="00E67F89">
            <w:r w:rsidRPr="00E67F89">
              <w:t>Les exigences de la NES n°10 sont plus précises. Elles ne sont pas contraires aux textes nationaux</w:t>
            </w:r>
          </w:p>
        </w:tc>
      </w:tr>
      <w:tr w:rsidR="00E67F89" w:rsidRPr="00E67F89" w14:paraId="6530A43A" w14:textId="77777777" w:rsidTr="00966173">
        <w:trPr>
          <w:gridAfter w:val="1"/>
          <w:wAfter w:w="9" w:type="dxa"/>
        </w:trPr>
        <w:tc>
          <w:tcPr>
            <w:tcW w:w="6661" w:type="dxa"/>
            <w:gridSpan w:val="2"/>
            <w:tcBorders>
              <w:right w:val="nil"/>
            </w:tcBorders>
          </w:tcPr>
          <w:p w14:paraId="030D1D40" w14:textId="77777777" w:rsidR="00E67F89" w:rsidRPr="00E67F89" w:rsidRDefault="00E67F89" w:rsidP="00E67F89">
            <w:r w:rsidRPr="00E67F89">
              <w:t>Plan de mobilisation des parties prenantes</w:t>
            </w:r>
          </w:p>
        </w:tc>
        <w:tc>
          <w:tcPr>
            <w:tcW w:w="1848" w:type="dxa"/>
            <w:tcBorders>
              <w:left w:val="nil"/>
              <w:right w:val="nil"/>
            </w:tcBorders>
          </w:tcPr>
          <w:p w14:paraId="2927E496" w14:textId="77777777" w:rsidR="00E67F89" w:rsidRPr="00E67F89" w:rsidRDefault="00E67F89" w:rsidP="00E67F89"/>
        </w:tc>
        <w:tc>
          <w:tcPr>
            <w:tcW w:w="4675" w:type="dxa"/>
            <w:tcBorders>
              <w:left w:val="nil"/>
              <w:right w:val="nil"/>
            </w:tcBorders>
          </w:tcPr>
          <w:p w14:paraId="7A791B25" w14:textId="77777777" w:rsidR="00E67F89" w:rsidRPr="00E67F89" w:rsidRDefault="00E67F89" w:rsidP="00E67F89"/>
        </w:tc>
        <w:tc>
          <w:tcPr>
            <w:tcW w:w="2551" w:type="dxa"/>
            <w:tcBorders>
              <w:left w:val="nil"/>
            </w:tcBorders>
          </w:tcPr>
          <w:p w14:paraId="13134451" w14:textId="77777777" w:rsidR="00E67F89" w:rsidRPr="00E67F89" w:rsidRDefault="00E67F89" w:rsidP="00E67F89"/>
        </w:tc>
      </w:tr>
      <w:tr w:rsidR="00E67F89" w:rsidRPr="00E67F89" w14:paraId="2EFB2B5E" w14:textId="77777777" w:rsidTr="00966173">
        <w:trPr>
          <w:gridAfter w:val="1"/>
          <w:wAfter w:w="9" w:type="dxa"/>
        </w:trPr>
        <w:tc>
          <w:tcPr>
            <w:tcW w:w="1274" w:type="dxa"/>
          </w:tcPr>
          <w:p w14:paraId="161925E1" w14:textId="77777777" w:rsidR="00E67F89" w:rsidRPr="00E67F89" w:rsidRDefault="00E67F89" w:rsidP="00E67F89">
            <w:r w:rsidRPr="00E67F89">
              <w:t>13</w:t>
            </w:r>
          </w:p>
        </w:tc>
        <w:tc>
          <w:tcPr>
            <w:tcW w:w="5387" w:type="dxa"/>
          </w:tcPr>
          <w:p w14:paraId="5DCEF64A" w14:textId="77777777" w:rsidR="00E67F89" w:rsidRPr="00E67F89" w:rsidRDefault="00E67F89" w:rsidP="00E67F89">
            <w:r w:rsidRPr="00E67F89">
              <w:t xml:space="preserve">Élaborer, mettre en œuvre et rendre public, le plus tôt possible, et préalablement à l’évaluation du projet, un Plan de mobilisation des parties prenantes (PMPP) </w:t>
            </w:r>
            <w:r w:rsidRPr="00E67F89">
              <w:lastRenderedPageBreak/>
              <w:t>proportionné à la nature et l’envergure du projet ainsi qu’aux risques et impacts potentiels.</w:t>
            </w:r>
          </w:p>
          <w:p w14:paraId="67CB4EA5" w14:textId="77777777" w:rsidR="00E67F89" w:rsidRPr="00E67F89" w:rsidRDefault="00E67F89" w:rsidP="00E67F89">
            <w:r w:rsidRPr="00E67F89">
              <w:t>Solliciter les opinions exprimées par les parties prenantes sur le PMPP,</w:t>
            </w:r>
          </w:p>
        </w:tc>
        <w:tc>
          <w:tcPr>
            <w:tcW w:w="1848" w:type="dxa"/>
          </w:tcPr>
          <w:p w14:paraId="7D950101" w14:textId="77777777" w:rsidR="00E67F89" w:rsidRPr="00E67F89" w:rsidRDefault="00E67F89" w:rsidP="00E67F89">
            <w:r w:rsidRPr="00E67F89">
              <w:lastRenderedPageBreak/>
              <w:t>N/P</w:t>
            </w:r>
          </w:p>
        </w:tc>
        <w:tc>
          <w:tcPr>
            <w:tcW w:w="4675" w:type="dxa"/>
          </w:tcPr>
          <w:p w14:paraId="5854873C" w14:textId="77777777" w:rsidR="00E67F89" w:rsidRPr="00E67F89" w:rsidRDefault="00E67F89" w:rsidP="00E67F89">
            <w:r w:rsidRPr="00E67F89">
              <w:t>Les textes ne prévoient pas l’élaboration de Plan de Mobilisation des Parties Prenantes (PMPP).</w:t>
            </w:r>
          </w:p>
        </w:tc>
        <w:tc>
          <w:tcPr>
            <w:tcW w:w="2551" w:type="dxa"/>
          </w:tcPr>
          <w:p w14:paraId="3DD4FD03" w14:textId="77777777" w:rsidR="00E67F89" w:rsidRPr="00E67F89" w:rsidRDefault="00E67F89" w:rsidP="00E67F89">
            <w:r w:rsidRPr="00E67F89">
              <w:t xml:space="preserve">Les exigences de la NES n°10 sont à appliquer au projet. Elles ne sont pas </w:t>
            </w:r>
            <w:r w:rsidRPr="00E67F89">
              <w:lastRenderedPageBreak/>
              <w:t>contraires aux textes nationaux</w:t>
            </w:r>
          </w:p>
        </w:tc>
      </w:tr>
      <w:tr w:rsidR="00E67F89" w:rsidRPr="00E67F89" w14:paraId="7790ADA4" w14:textId="77777777" w:rsidTr="00966173">
        <w:trPr>
          <w:gridAfter w:val="1"/>
          <w:wAfter w:w="9" w:type="dxa"/>
        </w:trPr>
        <w:tc>
          <w:tcPr>
            <w:tcW w:w="1274" w:type="dxa"/>
          </w:tcPr>
          <w:p w14:paraId="74BB6F5D" w14:textId="77777777" w:rsidR="00E67F89" w:rsidRPr="00E67F89" w:rsidRDefault="00E67F89" w:rsidP="00E67F89">
            <w:r w:rsidRPr="00E67F89">
              <w:t>14</w:t>
            </w:r>
          </w:p>
        </w:tc>
        <w:tc>
          <w:tcPr>
            <w:tcW w:w="5387" w:type="dxa"/>
          </w:tcPr>
          <w:p w14:paraId="55AC4828" w14:textId="77777777" w:rsidR="00E67F89" w:rsidRPr="00E67F89" w:rsidRDefault="00E67F89" w:rsidP="00E67F89">
            <w:r w:rsidRPr="00E67F89">
              <w:t>Pour le PMPP décrire le calendrier et les modalités de la consultation des parties prenantes tout au long du cycle de vie du projet, et faire la distinction entre les parties affectées par le projet et les autres parties intéressées.</w:t>
            </w:r>
          </w:p>
          <w:p w14:paraId="4D590CA8" w14:textId="77777777" w:rsidR="00E67F89" w:rsidRPr="00E67F89" w:rsidRDefault="00E67F89" w:rsidP="00E67F89">
            <w:r w:rsidRPr="00E67F89">
              <w:t>Décrire également l’éventail et le calendrier des informations à communiquer aux parties affectées par le projet et aux autres parties intéressées, ainsi que le type d’informations à leur demander.</w:t>
            </w:r>
          </w:p>
        </w:tc>
        <w:tc>
          <w:tcPr>
            <w:tcW w:w="1848" w:type="dxa"/>
          </w:tcPr>
          <w:p w14:paraId="6C4778F9" w14:textId="77777777" w:rsidR="00E67F89" w:rsidRPr="00E67F89" w:rsidRDefault="00E67F89" w:rsidP="00E67F89">
            <w:r w:rsidRPr="00E67F89">
              <w:t>N/P</w:t>
            </w:r>
          </w:p>
        </w:tc>
        <w:tc>
          <w:tcPr>
            <w:tcW w:w="4675" w:type="dxa"/>
          </w:tcPr>
          <w:p w14:paraId="0CF8D089" w14:textId="77777777" w:rsidR="00E67F89" w:rsidRPr="00E67F89" w:rsidRDefault="00E67F89" w:rsidP="00E67F89">
            <w:r w:rsidRPr="00E67F89">
              <w:t>Les textes ne prévoient pas ces points.</w:t>
            </w:r>
          </w:p>
        </w:tc>
        <w:tc>
          <w:tcPr>
            <w:tcW w:w="2551" w:type="dxa"/>
          </w:tcPr>
          <w:p w14:paraId="4064D6C9" w14:textId="77777777" w:rsidR="00E67F89" w:rsidRPr="00E67F89" w:rsidRDefault="00E67F89" w:rsidP="00E67F89">
            <w:r w:rsidRPr="00E67F89">
              <w:t>Les exigences de la NES n°10 sont plus précises et à appliquer au projet. Elles ne sont pas contraires aux textes nationaux</w:t>
            </w:r>
          </w:p>
        </w:tc>
      </w:tr>
      <w:tr w:rsidR="00E67F89" w:rsidRPr="00E67F89" w14:paraId="331B3ED2" w14:textId="77777777" w:rsidTr="00966173">
        <w:trPr>
          <w:gridAfter w:val="1"/>
          <w:wAfter w:w="9" w:type="dxa"/>
        </w:trPr>
        <w:tc>
          <w:tcPr>
            <w:tcW w:w="1274" w:type="dxa"/>
          </w:tcPr>
          <w:p w14:paraId="04625781" w14:textId="77777777" w:rsidR="00E67F89" w:rsidRPr="00E67F89" w:rsidRDefault="00E67F89" w:rsidP="00E67F89">
            <w:r w:rsidRPr="00E67F89">
              <w:t>15</w:t>
            </w:r>
          </w:p>
        </w:tc>
        <w:tc>
          <w:tcPr>
            <w:tcW w:w="5387" w:type="dxa"/>
          </w:tcPr>
          <w:p w14:paraId="4BC3AB22" w14:textId="77777777" w:rsidR="00E67F89" w:rsidRPr="00E67F89" w:rsidRDefault="00E67F89" w:rsidP="00E67F89">
            <w:r w:rsidRPr="00E67F89">
              <w:t>Adapter le PMPP pour tenir compte des principales caractéristiques et des intérêts des parties prenantes, et des différents niveaux d’engagement et de consultation qui seront appropriés pour les différentes parties prenantes.</w:t>
            </w:r>
          </w:p>
          <w:p w14:paraId="2C8904D4" w14:textId="77777777" w:rsidR="00E67F89" w:rsidRPr="00E67F89" w:rsidRDefault="00E67F89" w:rsidP="00E67F89">
            <w:r w:rsidRPr="00E67F89">
              <w:t>Décrire comment la communication avec les parties prenantes sera traitée tout au long de la préparation du projet et de sa mise en œuvre</w:t>
            </w:r>
          </w:p>
        </w:tc>
        <w:tc>
          <w:tcPr>
            <w:tcW w:w="1848" w:type="dxa"/>
          </w:tcPr>
          <w:p w14:paraId="1F8B0BD0" w14:textId="77777777" w:rsidR="00E67F89" w:rsidRPr="00E67F89" w:rsidRDefault="00E67F89" w:rsidP="00E67F89">
            <w:r w:rsidRPr="00E67F89">
              <w:t>N/P</w:t>
            </w:r>
          </w:p>
        </w:tc>
        <w:tc>
          <w:tcPr>
            <w:tcW w:w="4675" w:type="dxa"/>
          </w:tcPr>
          <w:p w14:paraId="3450F963" w14:textId="77777777" w:rsidR="00E67F89" w:rsidRPr="00E67F89" w:rsidRDefault="00E67F89" w:rsidP="00E67F89">
            <w:r w:rsidRPr="00E67F89">
              <w:t>Les textes ne prévoient pas ces points.</w:t>
            </w:r>
          </w:p>
        </w:tc>
        <w:tc>
          <w:tcPr>
            <w:tcW w:w="2551" w:type="dxa"/>
          </w:tcPr>
          <w:p w14:paraId="217C281A" w14:textId="77777777" w:rsidR="00E67F89" w:rsidRPr="00E67F89" w:rsidRDefault="00E67F89" w:rsidP="00E67F89">
            <w:r w:rsidRPr="00E67F89">
              <w:t>Les exigences de la NES n°10 sont plus précises et à appliquer au projet. Elles ne sont pas contraires aux textes nationaux</w:t>
            </w:r>
          </w:p>
        </w:tc>
      </w:tr>
      <w:tr w:rsidR="00E67F89" w:rsidRPr="00E67F89" w14:paraId="29C13916" w14:textId="77777777" w:rsidTr="00966173">
        <w:trPr>
          <w:gridAfter w:val="1"/>
          <w:wAfter w:w="9" w:type="dxa"/>
        </w:trPr>
        <w:tc>
          <w:tcPr>
            <w:tcW w:w="1274" w:type="dxa"/>
          </w:tcPr>
          <w:p w14:paraId="3745BBCE" w14:textId="77777777" w:rsidR="00E67F89" w:rsidRPr="00E67F89" w:rsidRDefault="00E67F89" w:rsidP="00E67F89">
            <w:r w:rsidRPr="00E67F89">
              <w:t>16</w:t>
            </w:r>
          </w:p>
        </w:tc>
        <w:tc>
          <w:tcPr>
            <w:tcW w:w="5387" w:type="dxa"/>
          </w:tcPr>
          <w:p w14:paraId="0942AC8D" w14:textId="77777777" w:rsidR="00E67F89" w:rsidRPr="00E67F89" w:rsidRDefault="00E67F89" w:rsidP="00E67F89">
            <w:r w:rsidRPr="00E67F89">
              <w:t xml:space="preserve">Décrire dans le PMPP, les mesures utilisées pour éliminer les obstacles à la participation et comment les points de vue des groupes différemment affectés seront pris en compte. Le cas échéant,  inclure des </w:t>
            </w:r>
            <w:r w:rsidRPr="00E67F89">
              <w:lastRenderedPageBreak/>
              <w:t>mesures différenciées pour permettre la participation effective des personnes identifiées comme défavorisées ou vulnérables.</w:t>
            </w:r>
          </w:p>
          <w:p w14:paraId="5DE2411D" w14:textId="77777777" w:rsidR="00E67F89" w:rsidRPr="00E67F89" w:rsidRDefault="00E67F89" w:rsidP="00E67F89">
            <w:r w:rsidRPr="00E67F89">
              <w:t>Des approches spécifiques et une augmentation du niveau des ressources peuvent être nécessaires pour la communication avec ces groupes différemment touchés afin qu’ils puissent obtenir l’information dont ils ont besoin sur les questions qui pourraient les affecter.</w:t>
            </w:r>
          </w:p>
        </w:tc>
        <w:tc>
          <w:tcPr>
            <w:tcW w:w="1848" w:type="dxa"/>
          </w:tcPr>
          <w:p w14:paraId="4BE8CF99" w14:textId="77777777" w:rsidR="00E67F89" w:rsidRPr="00E67F89" w:rsidRDefault="00E67F89" w:rsidP="00E67F89">
            <w:r w:rsidRPr="00E67F89">
              <w:lastRenderedPageBreak/>
              <w:t>N/P</w:t>
            </w:r>
          </w:p>
        </w:tc>
        <w:tc>
          <w:tcPr>
            <w:tcW w:w="4675" w:type="dxa"/>
          </w:tcPr>
          <w:p w14:paraId="3D710729" w14:textId="77777777" w:rsidR="00E67F89" w:rsidRPr="00E67F89" w:rsidRDefault="00E67F89" w:rsidP="00E67F89">
            <w:r w:rsidRPr="00E67F89">
              <w:t>Les textes ne prévoient pas ces points.</w:t>
            </w:r>
          </w:p>
        </w:tc>
        <w:tc>
          <w:tcPr>
            <w:tcW w:w="2551" w:type="dxa"/>
          </w:tcPr>
          <w:p w14:paraId="342C7CEC" w14:textId="77777777" w:rsidR="00E67F89" w:rsidRPr="00E67F89" w:rsidRDefault="00E67F89" w:rsidP="00E67F89">
            <w:r w:rsidRPr="00E67F89">
              <w:t xml:space="preserve">Les exigences de la NES n°10 sont plus précises et à appliquer au projet. Elles ne sont pas </w:t>
            </w:r>
            <w:r w:rsidRPr="00E67F89">
              <w:lastRenderedPageBreak/>
              <w:t>contraires aux textes nationaux</w:t>
            </w:r>
          </w:p>
        </w:tc>
      </w:tr>
      <w:tr w:rsidR="00E67F89" w:rsidRPr="00E67F89" w14:paraId="39EC4C2E" w14:textId="77777777" w:rsidTr="00966173">
        <w:trPr>
          <w:gridAfter w:val="1"/>
          <w:wAfter w:w="9" w:type="dxa"/>
        </w:trPr>
        <w:tc>
          <w:tcPr>
            <w:tcW w:w="1274" w:type="dxa"/>
          </w:tcPr>
          <w:p w14:paraId="74B7C22D" w14:textId="77777777" w:rsidR="00E67F89" w:rsidRPr="00E67F89" w:rsidRDefault="00E67F89" w:rsidP="00E67F89">
            <w:r w:rsidRPr="00E67F89">
              <w:t>17</w:t>
            </w:r>
          </w:p>
        </w:tc>
        <w:tc>
          <w:tcPr>
            <w:tcW w:w="5387" w:type="dxa"/>
          </w:tcPr>
          <w:p w14:paraId="48A13999" w14:textId="77777777" w:rsidR="00E67F89" w:rsidRPr="00E67F89" w:rsidRDefault="00E67F89" w:rsidP="00E67F89">
            <w:r w:rsidRPr="00E67F89">
              <w:t>Lorsque la participation des parties prenantes avec les personnes et les communautés locales dépend essentiellement des représentants de la communauté, s’assurer que ces personnes représentent véritablement les opinions des individus et communautés concernés, et qu’elles facilitent comme il convient le processus de communication6.</w:t>
            </w:r>
          </w:p>
        </w:tc>
        <w:tc>
          <w:tcPr>
            <w:tcW w:w="1848" w:type="dxa"/>
          </w:tcPr>
          <w:p w14:paraId="6C2B8928" w14:textId="77777777" w:rsidR="00E67F89" w:rsidRPr="00E67F89" w:rsidRDefault="00E67F89" w:rsidP="00E67F89">
            <w:r w:rsidRPr="00E67F89">
              <w:t>N/P</w:t>
            </w:r>
          </w:p>
        </w:tc>
        <w:tc>
          <w:tcPr>
            <w:tcW w:w="4675" w:type="dxa"/>
          </w:tcPr>
          <w:p w14:paraId="5D39B6EB" w14:textId="77777777" w:rsidR="00E67F89" w:rsidRPr="00E67F89" w:rsidRDefault="00E67F89" w:rsidP="00E67F89">
            <w:r w:rsidRPr="00E67F89">
              <w:t>Les textes ne prévoient pas ces points.</w:t>
            </w:r>
          </w:p>
        </w:tc>
        <w:tc>
          <w:tcPr>
            <w:tcW w:w="2551" w:type="dxa"/>
          </w:tcPr>
          <w:p w14:paraId="0A2B4B16" w14:textId="77777777" w:rsidR="00E67F89" w:rsidRPr="00E67F89" w:rsidRDefault="00E67F89" w:rsidP="00E67F89">
            <w:r w:rsidRPr="00E67F89">
              <w:t>Les exigences de la NES n°10 sont plus précises et à appliquer au projet. Elles ne sont pas contraires aux textes nationaux</w:t>
            </w:r>
          </w:p>
        </w:tc>
      </w:tr>
      <w:tr w:rsidR="00E67F89" w:rsidRPr="00E67F89" w14:paraId="5A463D21" w14:textId="77777777" w:rsidTr="00966173">
        <w:trPr>
          <w:gridAfter w:val="1"/>
          <w:wAfter w:w="9" w:type="dxa"/>
        </w:trPr>
        <w:tc>
          <w:tcPr>
            <w:tcW w:w="1274" w:type="dxa"/>
            <w:tcBorders>
              <w:bottom w:val="single" w:sz="4" w:space="0" w:color="auto"/>
            </w:tcBorders>
          </w:tcPr>
          <w:p w14:paraId="39335B9A" w14:textId="77777777" w:rsidR="00E67F89" w:rsidRPr="00E67F89" w:rsidRDefault="00E67F89" w:rsidP="00E67F89">
            <w:r w:rsidRPr="00E67F89">
              <w:t>18</w:t>
            </w:r>
          </w:p>
        </w:tc>
        <w:tc>
          <w:tcPr>
            <w:tcW w:w="5387" w:type="dxa"/>
            <w:tcBorders>
              <w:bottom w:val="single" w:sz="4" w:space="0" w:color="auto"/>
            </w:tcBorders>
          </w:tcPr>
          <w:p w14:paraId="024DE317" w14:textId="77777777" w:rsidR="00E67F89" w:rsidRPr="00E67F89" w:rsidRDefault="00E67F89" w:rsidP="00E67F89">
            <w:r w:rsidRPr="00E67F89">
              <w:t>Dans certaines circonstances, en fonction du niveau d’information disponible sur le projet, le PMPP aura le format d’un cadre, dans ce cas, décrire les principes généraux et la stratégie collaborative visant à identifier les parties prenante et planifier un processus de consultation conformément à la présente NES qui sera mis en œuvre une fois la localisation connue.</w:t>
            </w:r>
          </w:p>
        </w:tc>
        <w:tc>
          <w:tcPr>
            <w:tcW w:w="1848" w:type="dxa"/>
            <w:tcBorders>
              <w:bottom w:val="single" w:sz="4" w:space="0" w:color="auto"/>
            </w:tcBorders>
          </w:tcPr>
          <w:p w14:paraId="010D890E" w14:textId="77777777" w:rsidR="00E67F89" w:rsidRPr="00E67F89" w:rsidRDefault="00E67F89" w:rsidP="00E67F89">
            <w:r w:rsidRPr="00E67F89">
              <w:t>N/P</w:t>
            </w:r>
          </w:p>
        </w:tc>
        <w:tc>
          <w:tcPr>
            <w:tcW w:w="4675" w:type="dxa"/>
            <w:tcBorders>
              <w:bottom w:val="single" w:sz="4" w:space="0" w:color="auto"/>
            </w:tcBorders>
          </w:tcPr>
          <w:p w14:paraId="7F4F8B31" w14:textId="77777777" w:rsidR="00E67F89" w:rsidRPr="00E67F89" w:rsidRDefault="00E67F89" w:rsidP="00E67F89">
            <w:r w:rsidRPr="00E67F89">
              <w:t>Les textes ne prévoient pas ces points.</w:t>
            </w:r>
          </w:p>
        </w:tc>
        <w:tc>
          <w:tcPr>
            <w:tcW w:w="2551" w:type="dxa"/>
          </w:tcPr>
          <w:p w14:paraId="299BD4FA" w14:textId="77777777" w:rsidR="00E67F89" w:rsidRPr="00E67F89" w:rsidRDefault="00E67F89" w:rsidP="00E67F89">
            <w:r w:rsidRPr="00E67F89">
              <w:t>Les exigences de la NES n°10 sont plus précises et à appliquer au projet. Elles ne sont pas contraires aux textes nationaux</w:t>
            </w:r>
          </w:p>
        </w:tc>
      </w:tr>
      <w:tr w:rsidR="00E67F89" w:rsidRPr="00E67F89" w14:paraId="3D1460D7" w14:textId="77777777" w:rsidTr="00966173">
        <w:trPr>
          <w:gridAfter w:val="1"/>
          <w:wAfter w:w="9" w:type="dxa"/>
        </w:trPr>
        <w:tc>
          <w:tcPr>
            <w:tcW w:w="6661" w:type="dxa"/>
            <w:gridSpan w:val="2"/>
            <w:tcBorders>
              <w:right w:val="nil"/>
            </w:tcBorders>
            <w:vAlign w:val="center"/>
          </w:tcPr>
          <w:p w14:paraId="53A411AC" w14:textId="77777777" w:rsidR="00E67F89" w:rsidRPr="00E67F89" w:rsidRDefault="00E67F89" w:rsidP="00E67F89">
            <w:r w:rsidRPr="00E67F89">
              <w:t>Diffusion de l’information</w:t>
            </w:r>
          </w:p>
        </w:tc>
        <w:tc>
          <w:tcPr>
            <w:tcW w:w="1848" w:type="dxa"/>
            <w:tcBorders>
              <w:left w:val="nil"/>
              <w:right w:val="nil"/>
            </w:tcBorders>
          </w:tcPr>
          <w:p w14:paraId="5846E8E5" w14:textId="77777777" w:rsidR="00E67F89" w:rsidRPr="00E67F89" w:rsidRDefault="00E67F89" w:rsidP="00E67F89"/>
        </w:tc>
        <w:tc>
          <w:tcPr>
            <w:tcW w:w="4675" w:type="dxa"/>
            <w:tcBorders>
              <w:left w:val="nil"/>
              <w:right w:val="nil"/>
            </w:tcBorders>
          </w:tcPr>
          <w:p w14:paraId="33618B3C" w14:textId="77777777" w:rsidR="00E67F89" w:rsidRPr="00E67F89" w:rsidRDefault="00E67F89" w:rsidP="00E67F89"/>
        </w:tc>
        <w:tc>
          <w:tcPr>
            <w:tcW w:w="2551" w:type="dxa"/>
            <w:tcBorders>
              <w:left w:val="nil"/>
            </w:tcBorders>
          </w:tcPr>
          <w:p w14:paraId="402741CE" w14:textId="77777777" w:rsidR="00E67F89" w:rsidRPr="00E67F89" w:rsidRDefault="00E67F89" w:rsidP="00E67F89"/>
        </w:tc>
      </w:tr>
      <w:tr w:rsidR="00E67F89" w:rsidRPr="00E67F89" w14:paraId="7B98CFB3" w14:textId="77777777" w:rsidTr="00966173">
        <w:trPr>
          <w:gridAfter w:val="1"/>
          <w:wAfter w:w="9" w:type="dxa"/>
        </w:trPr>
        <w:tc>
          <w:tcPr>
            <w:tcW w:w="1274" w:type="dxa"/>
          </w:tcPr>
          <w:p w14:paraId="51D3EC40" w14:textId="77777777" w:rsidR="00E67F89" w:rsidRPr="00E67F89" w:rsidRDefault="00E67F89" w:rsidP="00E67F89">
            <w:r w:rsidRPr="00E67F89">
              <w:lastRenderedPageBreak/>
              <w:t>19</w:t>
            </w:r>
          </w:p>
        </w:tc>
        <w:tc>
          <w:tcPr>
            <w:tcW w:w="5387" w:type="dxa"/>
          </w:tcPr>
          <w:p w14:paraId="4A1B2C6A" w14:textId="77777777" w:rsidR="00E67F89" w:rsidRPr="00E67F89" w:rsidRDefault="00E67F89" w:rsidP="00E67F89">
            <w:r w:rsidRPr="00E67F89">
              <w:t>Diffuser les informations sur le projet pour permettre aux parties prenantes de comprendre les risques et les impacts du projet, et les opportunités potentielles.</w:t>
            </w:r>
          </w:p>
          <w:p w14:paraId="0F83BE32" w14:textId="77777777" w:rsidR="00E67F89" w:rsidRPr="00E67F89" w:rsidRDefault="00E67F89" w:rsidP="00E67F89">
            <w:r w:rsidRPr="00E67F89">
              <w:t>Fournir aux parties prenantes un accès aux informations suivantes le plus tôt possible avant l’évaluation du projet par la Banque, et selon un calendrier qui permet de mener des consultations significatives avec les parties prenantes sur la conception du projet :</w:t>
            </w:r>
          </w:p>
          <w:p w14:paraId="4C2435EB" w14:textId="77777777" w:rsidR="00E67F89" w:rsidRPr="00E67F89" w:rsidRDefault="00E67F89" w:rsidP="00E67F89">
            <w:r w:rsidRPr="00E67F89">
              <w:t>(a) L’objectif, la nature et la taille du projet ;</w:t>
            </w:r>
          </w:p>
          <w:p w14:paraId="2435433A" w14:textId="77777777" w:rsidR="00E67F89" w:rsidRPr="00E67F89" w:rsidRDefault="00E67F89" w:rsidP="00E67F89">
            <w:r w:rsidRPr="00E67F89">
              <w:t>(b) La durée des activités du projet proposé ;</w:t>
            </w:r>
          </w:p>
          <w:p w14:paraId="2A60CD28" w14:textId="77777777" w:rsidR="00E67F89" w:rsidRPr="00E67F89" w:rsidRDefault="00E67F89" w:rsidP="00E67F89">
            <w:r w:rsidRPr="00E67F89">
              <w:t>(c) Les risques et les impacts potentiels du projet sur les communautés locales, et les propositions pour les atténuer, en mettant en exergue les risques et les impacts potentiels qui pourraient affecter de manière disproportionnée les groupes vulnérables et défavorisés, et en décrivant les mesures différenciées prises pour les éviter et les minimiser ;</w:t>
            </w:r>
          </w:p>
          <w:p w14:paraId="5EAB3D23" w14:textId="77777777" w:rsidR="00E67F89" w:rsidRPr="00E67F89" w:rsidRDefault="00E67F89" w:rsidP="00E67F89">
            <w:r w:rsidRPr="00E67F89">
              <w:t>(d) Le processus de participation des parties prenantes envisagé, qui met en évidence les voies par lesquelles les parties prenantes peuvent participer ;</w:t>
            </w:r>
          </w:p>
          <w:p w14:paraId="6A555E19" w14:textId="77777777" w:rsidR="00E67F89" w:rsidRPr="00E67F89" w:rsidRDefault="00E67F89" w:rsidP="00E67F89">
            <w:r w:rsidRPr="00E67F89">
              <w:t>(e) La date et le lieu de toutes les réunions de consultation publiques envisagées, et le processus selon lequel les réunions sont annoncées et résumées, et les rapports publiés ; et</w:t>
            </w:r>
          </w:p>
          <w:p w14:paraId="6807E4FC" w14:textId="77777777" w:rsidR="00E67F89" w:rsidRPr="00E67F89" w:rsidRDefault="00E67F89" w:rsidP="00E67F89">
            <w:r w:rsidRPr="00E67F89">
              <w:lastRenderedPageBreak/>
              <w:t>(f) Le processus et les moyens par lesquels les préoccupations peuvent être soulevées et seront gérées.</w:t>
            </w:r>
          </w:p>
        </w:tc>
        <w:tc>
          <w:tcPr>
            <w:tcW w:w="1848" w:type="dxa"/>
          </w:tcPr>
          <w:p w14:paraId="11E873B6" w14:textId="77777777" w:rsidR="00E67F89" w:rsidRPr="00E67F89" w:rsidRDefault="00E67F89" w:rsidP="00E67F89">
            <w:r w:rsidRPr="00E67F89">
              <w:lastRenderedPageBreak/>
              <w:t>Art.7 et 14 Loi n°2015-003 CEM actualisée</w:t>
            </w:r>
          </w:p>
          <w:p w14:paraId="1DABD0A1" w14:textId="77777777" w:rsidR="00E67F89" w:rsidRPr="002F0AD5" w:rsidRDefault="00E67F89" w:rsidP="00E67F89">
            <w:pPr>
              <w:rPr>
                <w:lang w:val="nl-NL"/>
              </w:rPr>
            </w:pPr>
            <w:r w:rsidRPr="002F0AD5">
              <w:rPr>
                <w:lang w:val="nl-NL"/>
              </w:rPr>
              <w:t>Chap.1.5 Directive EIE</w:t>
            </w:r>
          </w:p>
          <w:p w14:paraId="636F7D37" w14:textId="77777777" w:rsidR="00E67F89" w:rsidRPr="002F0AD5" w:rsidRDefault="00E67F89" w:rsidP="00E67F89">
            <w:pPr>
              <w:rPr>
                <w:lang w:val="nl-NL"/>
              </w:rPr>
            </w:pPr>
            <w:r w:rsidRPr="002F0AD5">
              <w:rPr>
                <w:lang w:val="nl-NL"/>
              </w:rPr>
              <w:t>Chap.15.0 Guide</w:t>
            </w:r>
          </w:p>
          <w:p w14:paraId="472380D2" w14:textId="77777777" w:rsidR="00E67F89" w:rsidRPr="002F0AD5" w:rsidRDefault="00E67F89" w:rsidP="00E67F89">
            <w:pPr>
              <w:rPr>
                <w:lang w:val="nl-NL"/>
              </w:rPr>
            </w:pPr>
            <w:r w:rsidRPr="002F0AD5">
              <w:rPr>
                <w:lang w:val="nl-NL"/>
              </w:rPr>
              <w:t>EIS.</w:t>
            </w:r>
          </w:p>
        </w:tc>
        <w:tc>
          <w:tcPr>
            <w:tcW w:w="4675" w:type="dxa"/>
          </w:tcPr>
          <w:p w14:paraId="3811C9F6" w14:textId="77777777" w:rsidR="00E67F89" w:rsidRPr="00E67F89" w:rsidRDefault="00E67F89" w:rsidP="00E67F89">
            <w:r w:rsidRPr="00E67F89">
              <w:t>Le droit d'accéder aux informations concerne surtout celles susceptibles d’exercer quelques influences sur l’environnement, y compris sur le milieu social.</w:t>
            </w:r>
          </w:p>
        </w:tc>
        <w:tc>
          <w:tcPr>
            <w:tcW w:w="2551" w:type="dxa"/>
          </w:tcPr>
          <w:p w14:paraId="1D7DBBC2" w14:textId="77777777" w:rsidR="00E67F89" w:rsidRPr="00E67F89" w:rsidRDefault="00E67F89" w:rsidP="00E67F89">
            <w:r w:rsidRPr="00E67F89">
              <w:t>A défaut de textes d’application plus détaillés, de la loi nationale, les exigences de la NES n°10 sont plus précises et à appliquer au projet. Elles ne sont pas contraires aux textes nationaux</w:t>
            </w:r>
          </w:p>
        </w:tc>
      </w:tr>
      <w:tr w:rsidR="00E67F89" w:rsidRPr="00E67F89" w14:paraId="6E17C295" w14:textId="77777777" w:rsidTr="00966173">
        <w:trPr>
          <w:gridAfter w:val="1"/>
          <w:wAfter w:w="9" w:type="dxa"/>
        </w:trPr>
        <w:tc>
          <w:tcPr>
            <w:tcW w:w="1274" w:type="dxa"/>
          </w:tcPr>
          <w:p w14:paraId="3064F825" w14:textId="77777777" w:rsidR="00E67F89" w:rsidRPr="00E67F89" w:rsidRDefault="00E67F89" w:rsidP="00E67F89">
            <w:r w:rsidRPr="00E67F89">
              <w:t>20</w:t>
            </w:r>
          </w:p>
        </w:tc>
        <w:tc>
          <w:tcPr>
            <w:tcW w:w="5387" w:type="dxa"/>
          </w:tcPr>
          <w:p w14:paraId="2C906F7F" w14:textId="77777777" w:rsidR="00E67F89" w:rsidRPr="00E67F89" w:rsidRDefault="00E67F89" w:rsidP="00E67F89">
            <w:r w:rsidRPr="00E67F89">
              <w:t>L’information sera diffusée dans les langues locales pertinentes et d’une manière qui soit accessible et culturellement appropriée, en tenant compte des besoins spécifiques des groupes qui peuvent être affectés différemment ou de manière disproportionnée par le projet en raison de leur statut ou des groupes de la population ayant des besoins spécifiques d’information (tels que le handicap, l’alphabétisation, le sexe, la mobilité, les différences de langue ou d’accessibilité).</w:t>
            </w:r>
          </w:p>
        </w:tc>
        <w:tc>
          <w:tcPr>
            <w:tcW w:w="1848" w:type="dxa"/>
          </w:tcPr>
          <w:p w14:paraId="3C121CA0" w14:textId="77777777" w:rsidR="00E67F89" w:rsidRPr="00E67F89" w:rsidRDefault="00E67F89" w:rsidP="00E67F89">
            <w:r w:rsidRPr="00E67F89">
              <w:t>N/P</w:t>
            </w:r>
          </w:p>
        </w:tc>
        <w:tc>
          <w:tcPr>
            <w:tcW w:w="4675" w:type="dxa"/>
          </w:tcPr>
          <w:p w14:paraId="1DE0F687" w14:textId="77777777" w:rsidR="00E67F89" w:rsidRPr="00E67F89" w:rsidRDefault="00E67F89" w:rsidP="00E67F89">
            <w:r w:rsidRPr="00E67F89">
              <w:t>Les textes ne précisent pas ces points.</w:t>
            </w:r>
          </w:p>
        </w:tc>
        <w:tc>
          <w:tcPr>
            <w:tcW w:w="2551" w:type="dxa"/>
          </w:tcPr>
          <w:p w14:paraId="5A5E48B2" w14:textId="77777777" w:rsidR="00E67F89" w:rsidRPr="00E67F89" w:rsidRDefault="00E67F89" w:rsidP="00E67F89">
            <w:r w:rsidRPr="00E67F89">
              <w:t>Les exigences de la NES n°10 sont plus précises et à appliquer au projet. Elles ne sont pas contraires aux textes nationaux</w:t>
            </w:r>
          </w:p>
        </w:tc>
      </w:tr>
      <w:tr w:rsidR="00E67F89" w:rsidRPr="00E67F89" w14:paraId="5BC9A981" w14:textId="77777777" w:rsidTr="00966173">
        <w:trPr>
          <w:gridAfter w:val="1"/>
          <w:wAfter w:w="9" w:type="dxa"/>
        </w:trPr>
        <w:tc>
          <w:tcPr>
            <w:tcW w:w="6661" w:type="dxa"/>
            <w:gridSpan w:val="2"/>
          </w:tcPr>
          <w:p w14:paraId="2090B9E1" w14:textId="77777777" w:rsidR="00E67F89" w:rsidRPr="00E67F89" w:rsidRDefault="00E67F89" w:rsidP="00E67F89">
            <w:r w:rsidRPr="00E67F89">
              <w:t>Consultation significative</w:t>
            </w:r>
          </w:p>
        </w:tc>
        <w:tc>
          <w:tcPr>
            <w:tcW w:w="1848" w:type="dxa"/>
          </w:tcPr>
          <w:p w14:paraId="6B37A801" w14:textId="77777777" w:rsidR="00E67F89" w:rsidRPr="00E67F89" w:rsidRDefault="00E67F89" w:rsidP="00E67F89"/>
        </w:tc>
        <w:tc>
          <w:tcPr>
            <w:tcW w:w="4675" w:type="dxa"/>
          </w:tcPr>
          <w:p w14:paraId="51352234" w14:textId="77777777" w:rsidR="00E67F89" w:rsidRPr="00E67F89" w:rsidRDefault="00E67F89" w:rsidP="00E67F89"/>
        </w:tc>
        <w:tc>
          <w:tcPr>
            <w:tcW w:w="2551" w:type="dxa"/>
          </w:tcPr>
          <w:p w14:paraId="7E6DF7D5" w14:textId="77777777" w:rsidR="00E67F89" w:rsidRPr="00E67F89" w:rsidRDefault="00E67F89" w:rsidP="00E67F89"/>
        </w:tc>
      </w:tr>
      <w:tr w:rsidR="00E67F89" w:rsidRPr="00E67F89" w14:paraId="28EFAAF1" w14:textId="77777777" w:rsidTr="00966173">
        <w:trPr>
          <w:gridAfter w:val="1"/>
          <w:wAfter w:w="9" w:type="dxa"/>
        </w:trPr>
        <w:tc>
          <w:tcPr>
            <w:tcW w:w="1274" w:type="dxa"/>
          </w:tcPr>
          <w:p w14:paraId="62788EE8" w14:textId="77777777" w:rsidR="00E67F89" w:rsidRPr="00E67F89" w:rsidRDefault="00E67F89" w:rsidP="00E67F89">
            <w:r w:rsidRPr="00E67F89">
              <w:t>21</w:t>
            </w:r>
          </w:p>
        </w:tc>
        <w:tc>
          <w:tcPr>
            <w:tcW w:w="5387" w:type="dxa"/>
          </w:tcPr>
          <w:p w14:paraId="460F3A57" w14:textId="77777777" w:rsidR="00E67F89" w:rsidRPr="00E67F89" w:rsidRDefault="00E67F89" w:rsidP="00E67F89">
            <w:r w:rsidRPr="00E67F89">
              <w:t xml:space="preserve">Mettre en place un véritable processus de consultation de manière à permettre aux parties prenantes d’exprimer leurs points de vue sur les risques, les impacts et les mesures d’atténuation du projet, et de les examiner et d’y répondre. </w:t>
            </w:r>
          </w:p>
          <w:p w14:paraId="513DF033" w14:textId="77777777" w:rsidR="00E67F89" w:rsidRPr="00E67F89" w:rsidRDefault="00E67F89" w:rsidP="00E67F89">
            <w:r w:rsidRPr="00E67F89">
              <w:t>Effectuer une consultation significative sur une base permanente au fur et à mesure de l’évolution de la nature des enjeux, des impacts et des opportunités.</w:t>
            </w:r>
          </w:p>
        </w:tc>
        <w:tc>
          <w:tcPr>
            <w:tcW w:w="1848" w:type="dxa"/>
          </w:tcPr>
          <w:p w14:paraId="5034B123" w14:textId="77777777" w:rsidR="00E67F89" w:rsidRPr="00E67F89" w:rsidRDefault="00E67F89" w:rsidP="00E67F89">
            <w:r w:rsidRPr="00E67F89">
              <w:t>Chap.15.0 Guide EIS.</w:t>
            </w:r>
          </w:p>
        </w:tc>
        <w:tc>
          <w:tcPr>
            <w:tcW w:w="4675" w:type="dxa"/>
          </w:tcPr>
          <w:p w14:paraId="107C790A" w14:textId="77777777" w:rsidR="00E67F89" w:rsidRPr="00E67F89" w:rsidRDefault="00E67F89" w:rsidP="00E67F89">
            <w:r w:rsidRPr="00E67F89">
              <w:t>Utilisation des méthodologies de consultation (indiqué à la rubrique 8 plus haut). La notion de « consultation significative » n’est pas encore connue par le cadre national.</w:t>
            </w:r>
          </w:p>
        </w:tc>
        <w:tc>
          <w:tcPr>
            <w:tcW w:w="2551" w:type="dxa"/>
          </w:tcPr>
          <w:p w14:paraId="123C28A3" w14:textId="77777777" w:rsidR="00E67F89" w:rsidRPr="00E67F89" w:rsidRDefault="00E67F89" w:rsidP="00E67F89">
            <w:r w:rsidRPr="00E67F89">
              <w:t>Les exigences de la NES n°10 sont plus favorables. Elles ne sont pas contraires aux textes nationaux</w:t>
            </w:r>
          </w:p>
        </w:tc>
      </w:tr>
      <w:tr w:rsidR="00E67F89" w:rsidRPr="00E67F89" w14:paraId="3A174137" w14:textId="77777777" w:rsidTr="00966173">
        <w:trPr>
          <w:gridAfter w:val="1"/>
          <w:wAfter w:w="9" w:type="dxa"/>
        </w:trPr>
        <w:tc>
          <w:tcPr>
            <w:tcW w:w="1274" w:type="dxa"/>
          </w:tcPr>
          <w:p w14:paraId="0D7D9C19" w14:textId="77777777" w:rsidR="00E67F89" w:rsidRPr="00E67F89" w:rsidRDefault="00E67F89" w:rsidP="00E67F89">
            <w:r w:rsidRPr="00E67F89">
              <w:t>22</w:t>
            </w:r>
          </w:p>
        </w:tc>
        <w:tc>
          <w:tcPr>
            <w:tcW w:w="5387" w:type="dxa"/>
          </w:tcPr>
          <w:p w14:paraId="26DA1591" w14:textId="77777777" w:rsidR="00E67F89" w:rsidRPr="00E67F89" w:rsidRDefault="00E67F89" w:rsidP="00E67F89">
            <w:r w:rsidRPr="00E67F89">
              <w:t>Les consultations approfondies sont un processus à double sens qui :</w:t>
            </w:r>
          </w:p>
          <w:p w14:paraId="177A3525" w14:textId="77777777" w:rsidR="00E67F89" w:rsidRPr="00E67F89" w:rsidRDefault="00E67F89" w:rsidP="00E67F89">
            <w:r w:rsidRPr="00E67F89">
              <w:lastRenderedPageBreak/>
              <w:t>a) commence tôt dans la planification du projet pour recueillir les premiers avis sur l’idée de projet et guider</w:t>
            </w:r>
          </w:p>
          <w:p w14:paraId="46557B46" w14:textId="77777777" w:rsidR="00E67F89" w:rsidRPr="00E67F89" w:rsidRDefault="00E67F89" w:rsidP="00E67F89">
            <w:r w:rsidRPr="00E67F89">
              <w:t>la conception de celui-ci ;</w:t>
            </w:r>
          </w:p>
          <w:p w14:paraId="5866F40F" w14:textId="77777777" w:rsidR="00E67F89" w:rsidRPr="00E67F89" w:rsidRDefault="00E67F89" w:rsidP="00E67F89">
            <w:r w:rsidRPr="00E67F89">
              <w:t>b) encourage les retours d’information de la part des parties prenantes pour éclairer la conception du projet</w:t>
            </w:r>
          </w:p>
          <w:p w14:paraId="00ADD62B" w14:textId="77777777" w:rsidR="00E67F89" w:rsidRPr="00E67F89" w:rsidRDefault="00E67F89" w:rsidP="00E67F89">
            <w:r w:rsidRPr="00E67F89">
              <w:t>et guider leur participation à la détermination et l’atténuation des risques et effets environnementaux et sociaux ;</w:t>
            </w:r>
          </w:p>
          <w:p w14:paraId="27FDE69F" w14:textId="77777777" w:rsidR="00E67F89" w:rsidRPr="00E67F89" w:rsidRDefault="00E67F89" w:rsidP="00E67F89">
            <w:r w:rsidRPr="00E67F89">
              <w:t>c) se poursuit régulièrement à mesure que les risques et effets surviennent ;</w:t>
            </w:r>
          </w:p>
          <w:p w14:paraId="528521AD" w14:textId="77777777" w:rsidR="00E67F89" w:rsidRPr="00E67F89" w:rsidRDefault="00E67F89" w:rsidP="00E67F89">
            <w:r w:rsidRPr="00E67F89">
              <w:t>d) s’appuie sur la communication préalable et la diffusion d’informations pertinentes, transparentes, objectives, significatives et facilement accessibles, dans des délais qui permettent de véritables consultations avec les parties prenantes, dans une ou plusieurs langues locales, sous une forme adaptée à la culture des parties prenantes et facile à comprendre pour celles-ci ;</w:t>
            </w:r>
          </w:p>
          <w:p w14:paraId="5869CCDD" w14:textId="77777777" w:rsidR="00E67F89" w:rsidRPr="00E67F89" w:rsidRDefault="00E67F89" w:rsidP="00E67F89">
            <w:r w:rsidRPr="00E67F89">
              <w:t>e) prend en compte les observations des parties prenantes et y apporte des réponses ;</w:t>
            </w:r>
          </w:p>
          <w:p w14:paraId="6DE528BA" w14:textId="77777777" w:rsidR="00E67F89" w:rsidRPr="00E67F89" w:rsidRDefault="00E67F89" w:rsidP="00E67F89">
            <w:r w:rsidRPr="00E67F89">
              <w:t>f) favorise la mobilisation active et générale des parties touchées par le projet ;</w:t>
            </w:r>
          </w:p>
          <w:p w14:paraId="0B585DBC" w14:textId="77777777" w:rsidR="00E67F89" w:rsidRPr="00E67F89" w:rsidRDefault="00E67F89" w:rsidP="00E67F89">
            <w:r w:rsidRPr="00E67F89">
              <w:t>g) est libre de toute manipulation, interférence, coercition, discrimination et intimidation ; et</w:t>
            </w:r>
          </w:p>
          <w:p w14:paraId="5810BA01" w14:textId="77777777" w:rsidR="00E67F89" w:rsidRPr="00E67F89" w:rsidRDefault="00E67F89" w:rsidP="00E67F89">
            <w:r w:rsidRPr="00E67F89">
              <w:lastRenderedPageBreak/>
              <w:t>h) est consigné et rendu public par l’Emprunteur.</w:t>
            </w:r>
          </w:p>
        </w:tc>
        <w:tc>
          <w:tcPr>
            <w:tcW w:w="1848" w:type="dxa"/>
          </w:tcPr>
          <w:p w14:paraId="14BCA7DC" w14:textId="77777777" w:rsidR="00E67F89" w:rsidRPr="00E67F89" w:rsidRDefault="00E67F89" w:rsidP="00E67F89">
            <w:r w:rsidRPr="00E67F89">
              <w:lastRenderedPageBreak/>
              <w:t>N/P</w:t>
            </w:r>
          </w:p>
        </w:tc>
        <w:tc>
          <w:tcPr>
            <w:tcW w:w="4675" w:type="dxa"/>
          </w:tcPr>
          <w:p w14:paraId="24806130" w14:textId="77777777" w:rsidR="00E67F89" w:rsidRPr="00E67F89" w:rsidRDefault="00E67F89" w:rsidP="00E67F89">
            <w:r w:rsidRPr="00E67F89">
              <w:t>Les textes ne précisent pas ces points.</w:t>
            </w:r>
          </w:p>
        </w:tc>
        <w:tc>
          <w:tcPr>
            <w:tcW w:w="2551" w:type="dxa"/>
          </w:tcPr>
          <w:p w14:paraId="6C1D461A" w14:textId="77777777" w:rsidR="00E67F89" w:rsidRPr="00E67F89" w:rsidRDefault="00E67F89" w:rsidP="00E67F89">
            <w:r w:rsidRPr="00E67F89">
              <w:t xml:space="preserve">Les exigences de la NES n°10 sont plus détaillées et précises. Elles sont à </w:t>
            </w:r>
            <w:r w:rsidRPr="00E67F89">
              <w:t>appliquer au projet. Elles ne sont pas contraires aux textes nationaux</w:t>
            </w:r>
          </w:p>
        </w:tc>
      </w:tr>
      <w:tr w:rsidR="00E67F89" w:rsidRPr="00E67F89" w14:paraId="6C84BEA6" w14:textId="77777777" w:rsidTr="00966173">
        <w:trPr>
          <w:gridAfter w:val="1"/>
          <w:wAfter w:w="9" w:type="dxa"/>
        </w:trPr>
        <w:tc>
          <w:tcPr>
            <w:tcW w:w="8509" w:type="dxa"/>
            <w:gridSpan w:val="3"/>
          </w:tcPr>
          <w:p w14:paraId="292DB8DE" w14:textId="77777777" w:rsidR="00E67F89" w:rsidRPr="00E67F89" w:rsidRDefault="00E67F89" w:rsidP="00E67F89">
            <w:r w:rsidRPr="00E67F89">
              <w:lastRenderedPageBreak/>
              <w:t>B. Participation pendant la mise en œuvre du projet et rapports externes</w:t>
            </w:r>
          </w:p>
        </w:tc>
        <w:tc>
          <w:tcPr>
            <w:tcW w:w="4675" w:type="dxa"/>
          </w:tcPr>
          <w:p w14:paraId="5A19E6FA" w14:textId="77777777" w:rsidR="00E67F89" w:rsidRPr="00E67F89" w:rsidRDefault="00E67F89" w:rsidP="00E67F89"/>
        </w:tc>
        <w:tc>
          <w:tcPr>
            <w:tcW w:w="2551" w:type="dxa"/>
          </w:tcPr>
          <w:p w14:paraId="2EBEE5DB" w14:textId="77777777" w:rsidR="00E67F89" w:rsidRPr="00E67F89" w:rsidRDefault="00E67F89" w:rsidP="00E67F89"/>
        </w:tc>
      </w:tr>
      <w:tr w:rsidR="00E67F89" w:rsidRPr="00E67F89" w14:paraId="7F52704F" w14:textId="77777777" w:rsidTr="00966173">
        <w:trPr>
          <w:gridAfter w:val="1"/>
          <w:wAfter w:w="9" w:type="dxa"/>
        </w:trPr>
        <w:tc>
          <w:tcPr>
            <w:tcW w:w="1274" w:type="dxa"/>
          </w:tcPr>
          <w:p w14:paraId="3B92DA12" w14:textId="77777777" w:rsidR="00E67F89" w:rsidRPr="00E67F89" w:rsidRDefault="00E67F89" w:rsidP="00E67F89">
            <w:r w:rsidRPr="00E67F89">
              <w:t>23</w:t>
            </w:r>
          </w:p>
        </w:tc>
        <w:tc>
          <w:tcPr>
            <w:tcW w:w="5387" w:type="dxa"/>
          </w:tcPr>
          <w:p w14:paraId="0BC4B072" w14:textId="77777777" w:rsidR="00E67F89" w:rsidRPr="00E67F89" w:rsidRDefault="00E67F89" w:rsidP="00E67F89">
            <w:r w:rsidRPr="00E67F89">
              <w:t>Poursuivre la consultation avec les parties affectées par le projet et les autres parties intéressées pendant toute la durée de vie du projet, et leur fournir des informations de manière adaptée à la nature de leurs intérêts et aux risques et impacts environnementaux et sociaux potentiels du projet.</w:t>
            </w:r>
          </w:p>
        </w:tc>
        <w:tc>
          <w:tcPr>
            <w:tcW w:w="1848" w:type="dxa"/>
          </w:tcPr>
          <w:p w14:paraId="13B1B8F8" w14:textId="77777777" w:rsidR="00E67F89" w:rsidRPr="00E67F89" w:rsidRDefault="00E67F89" w:rsidP="00E67F89">
            <w:r w:rsidRPr="00E67F89">
              <w:t>Art.7 et 14 Loi n°2015-003 CEM actualisée</w:t>
            </w:r>
          </w:p>
          <w:p w14:paraId="2411B45F" w14:textId="77777777" w:rsidR="00E67F89" w:rsidRPr="00E67F89" w:rsidRDefault="00E67F89" w:rsidP="00E67F89"/>
          <w:p w14:paraId="564175C7" w14:textId="77777777" w:rsidR="00E67F89" w:rsidRPr="002F0AD5" w:rsidRDefault="00E67F89" w:rsidP="00E67F89">
            <w:pPr>
              <w:rPr>
                <w:lang w:val="nl-NL"/>
              </w:rPr>
            </w:pPr>
            <w:r w:rsidRPr="002F0AD5">
              <w:rPr>
                <w:lang w:val="nl-NL"/>
              </w:rPr>
              <w:t>Chap.1.5 Directive EIE</w:t>
            </w:r>
          </w:p>
          <w:p w14:paraId="28504842" w14:textId="77777777" w:rsidR="00E67F89" w:rsidRPr="002F0AD5" w:rsidRDefault="00E67F89" w:rsidP="00E67F89">
            <w:pPr>
              <w:rPr>
                <w:lang w:val="nl-NL"/>
              </w:rPr>
            </w:pPr>
          </w:p>
          <w:p w14:paraId="2AF0D436" w14:textId="77777777" w:rsidR="00E67F89" w:rsidRPr="002F0AD5" w:rsidRDefault="00E67F89" w:rsidP="00E67F89">
            <w:pPr>
              <w:rPr>
                <w:lang w:val="nl-NL"/>
              </w:rPr>
            </w:pPr>
          </w:p>
          <w:p w14:paraId="7409D2FD" w14:textId="77777777" w:rsidR="00E67F89" w:rsidRPr="002F0AD5" w:rsidRDefault="00E67F89" w:rsidP="00E67F89">
            <w:pPr>
              <w:rPr>
                <w:lang w:val="nl-NL"/>
              </w:rPr>
            </w:pPr>
            <w:r w:rsidRPr="002F0AD5">
              <w:rPr>
                <w:lang w:val="nl-NL"/>
              </w:rPr>
              <w:t>Chap 15.0 Guide EIS.</w:t>
            </w:r>
          </w:p>
        </w:tc>
        <w:tc>
          <w:tcPr>
            <w:tcW w:w="4675" w:type="dxa"/>
          </w:tcPr>
          <w:p w14:paraId="37F016AB" w14:textId="77777777" w:rsidR="00E67F89" w:rsidRPr="00E67F89" w:rsidRDefault="00E67F89" w:rsidP="00E67F89">
            <w:r w:rsidRPr="00E67F89">
              <w:t>Principe de participation du public : droit d’accès aux informations, droit de participer à la prise des décisions.</w:t>
            </w:r>
          </w:p>
          <w:p w14:paraId="10A2612F" w14:textId="77777777" w:rsidR="00E67F89" w:rsidRPr="00E67F89" w:rsidRDefault="00E67F89" w:rsidP="00E67F89"/>
          <w:p w14:paraId="4077115B" w14:textId="77777777" w:rsidR="00E67F89" w:rsidRPr="00E67F89" w:rsidRDefault="00E67F89" w:rsidP="00E67F89"/>
          <w:p w14:paraId="32E19C43" w14:textId="77777777" w:rsidR="00E67F89" w:rsidRPr="00E67F89" w:rsidRDefault="00E67F89" w:rsidP="00E67F89">
            <w:r w:rsidRPr="00E67F89">
              <w:t>Initier un processus de communication, en cours d’étude. La consultation et l’information au cours de la réalisation de l’EIE n’est pas une étape obligatoire</w:t>
            </w:r>
          </w:p>
          <w:p w14:paraId="143485C4" w14:textId="77777777" w:rsidR="00E67F89" w:rsidRPr="00E67F89" w:rsidRDefault="00E67F89" w:rsidP="00E67F89"/>
          <w:p w14:paraId="3DFC785C" w14:textId="77777777" w:rsidR="00E67F89" w:rsidRPr="00E67F89" w:rsidRDefault="00E67F89" w:rsidP="00E67F89">
            <w:r w:rsidRPr="00E67F89">
              <w:t>Des étapes méthodologiques sont proposées au promoteur pour mener à bien la consultation des parties prenantes.</w:t>
            </w:r>
          </w:p>
        </w:tc>
        <w:tc>
          <w:tcPr>
            <w:tcW w:w="2551" w:type="dxa"/>
          </w:tcPr>
          <w:p w14:paraId="19A23831" w14:textId="77777777" w:rsidR="00E67F89" w:rsidRPr="00E67F89" w:rsidRDefault="00E67F89" w:rsidP="00E67F89">
            <w:r w:rsidRPr="00E67F89">
              <w:t>Les exigences de la NES n°10 sont plus favorables. Elles ne sont pas contraires aux textes nationaux</w:t>
            </w:r>
          </w:p>
        </w:tc>
      </w:tr>
      <w:tr w:rsidR="00E67F89" w:rsidRPr="00E67F89" w14:paraId="3F7CC3ED" w14:textId="77777777" w:rsidTr="00966173">
        <w:trPr>
          <w:gridAfter w:val="1"/>
          <w:wAfter w:w="9" w:type="dxa"/>
        </w:trPr>
        <w:tc>
          <w:tcPr>
            <w:tcW w:w="1274" w:type="dxa"/>
          </w:tcPr>
          <w:p w14:paraId="18AB95F7" w14:textId="77777777" w:rsidR="00E67F89" w:rsidRPr="00E67F89" w:rsidRDefault="00E67F89" w:rsidP="00E67F89">
            <w:r w:rsidRPr="00E67F89">
              <w:t>24</w:t>
            </w:r>
          </w:p>
        </w:tc>
        <w:tc>
          <w:tcPr>
            <w:tcW w:w="5387" w:type="dxa"/>
          </w:tcPr>
          <w:p w14:paraId="09A4E399" w14:textId="77777777" w:rsidR="00E67F89" w:rsidRPr="00E67F89" w:rsidRDefault="00E67F89" w:rsidP="00E67F89">
            <w:r w:rsidRPr="00E67F89">
              <w:t xml:space="preserve">Poursuivre la mobilisation des parties prenantes, conformément au PMPP et se baser sur les canaux de communication et d’engagement déjà établis avec les parties prenantes. </w:t>
            </w:r>
          </w:p>
          <w:p w14:paraId="15BC2745" w14:textId="77777777" w:rsidR="00E67F89" w:rsidRPr="00E67F89" w:rsidRDefault="00E67F89" w:rsidP="00E67F89">
            <w:r w:rsidRPr="00E67F89">
              <w:t>En particulier, solliciter les commentaires des parties prenantes sur la performance environnementale et sociale du projet, et la mise en œuvre des mesures d’atténuation dans le PEES</w:t>
            </w:r>
          </w:p>
        </w:tc>
        <w:tc>
          <w:tcPr>
            <w:tcW w:w="1848" w:type="dxa"/>
          </w:tcPr>
          <w:p w14:paraId="6E3B4EDE" w14:textId="77777777" w:rsidR="00E67F89" w:rsidRPr="00E67F89" w:rsidRDefault="00E67F89" w:rsidP="00E67F89">
            <w:r w:rsidRPr="00E67F89">
              <w:t>N/P</w:t>
            </w:r>
          </w:p>
        </w:tc>
        <w:tc>
          <w:tcPr>
            <w:tcW w:w="4675" w:type="dxa"/>
          </w:tcPr>
          <w:p w14:paraId="744D7B74" w14:textId="77777777" w:rsidR="00E67F89" w:rsidRPr="00E67F89" w:rsidRDefault="00E67F89" w:rsidP="00E67F89">
            <w:r w:rsidRPr="00E67F89">
              <w:t>Les textes ne précisent pas ces points.</w:t>
            </w:r>
          </w:p>
        </w:tc>
        <w:tc>
          <w:tcPr>
            <w:tcW w:w="2551" w:type="dxa"/>
          </w:tcPr>
          <w:p w14:paraId="5B86050E" w14:textId="77777777" w:rsidR="00E67F89" w:rsidRPr="00E67F89" w:rsidRDefault="00E67F89" w:rsidP="00E67F89">
            <w:r w:rsidRPr="00E67F89">
              <w:t>Les exigences de la NES n°10 sont plus précises et à appliquer au projet. Elles ne sont pas contraires aux textes nationaux</w:t>
            </w:r>
          </w:p>
        </w:tc>
      </w:tr>
      <w:tr w:rsidR="00E67F89" w:rsidRPr="00E67F89" w14:paraId="7B2262D8" w14:textId="77777777" w:rsidTr="00966173">
        <w:trPr>
          <w:gridAfter w:val="1"/>
          <w:wAfter w:w="9" w:type="dxa"/>
        </w:trPr>
        <w:tc>
          <w:tcPr>
            <w:tcW w:w="1274" w:type="dxa"/>
          </w:tcPr>
          <w:p w14:paraId="30752CC5" w14:textId="77777777" w:rsidR="00E67F89" w:rsidRPr="00E67F89" w:rsidRDefault="00E67F89" w:rsidP="00E67F89">
            <w:r w:rsidRPr="00E67F89">
              <w:t>25</w:t>
            </w:r>
          </w:p>
        </w:tc>
        <w:tc>
          <w:tcPr>
            <w:tcW w:w="5387" w:type="dxa"/>
          </w:tcPr>
          <w:p w14:paraId="1A435AF5" w14:textId="77777777" w:rsidR="00E67F89" w:rsidRPr="00E67F89" w:rsidRDefault="00E67F89" w:rsidP="00E67F89">
            <w:r w:rsidRPr="00E67F89">
              <w:t xml:space="preserve">Informer les parties affectées par le projet des risques et des impacts supplémentaires préoccupants lorsque </w:t>
            </w:r>
            <w:r w:rsidRPr="00E67F89">
              <w:lastRenderedPageBreak/>
              <w:t xml:space="preserve">des changements importants sont apportés au projet et les consulter sur la manière dont ces risques et ces impacts seront atténués. </w:t>
            </w:r>
          </w:p>
          <w:p w14:paraId="2505373B" w14:textId="77777777" w:rsidR="00E67F89" w:rsidRPr="00E67F89" w:rsidRDefault="00E67F89" w:rsidP="00E67F89">
            <w:r w:rsidRPr="00E67F89">
              <w:t>Communiquer un PEES mis à jour comportant toute mesure d’atténuation supplémentaire.</w:t>
            </w:r>
          </w:p>
        </w:tc>
        <w:tc>
          <w:tcPr>
            <w:tcW w:w="1848" w:type="dxa"/>
          </w:tcPr>
          <w:p w14:paraId="54249E2F" w14:textId="77777777" w:rsidR="00E67F89" w:rsidRPr="00E67F89" w:rsidRDefault="00E67F89" w:rsidP="00E67F89"/>
        </w:tc>
        <w:tc>
          <w:tcPr>
            <w:tcW w:w="4675" w:type="dxa"/>
          </w:tcPr>
          <w:p w14:paraId="1BD5636B" w14:textId="77777777" w:rsidR="00E67F89" w:rsidRPr="00E67F89" w:rsidRDefault="00E67F89" w:rsidP="00E67F89">
            <w:r w:rsidRPr="00E67F89">
              <w:t>Les textes ne précisent pas ces points.</w:t>
            </w:r>
          </w:p>
        </w:tc>
        <w:tc>
          <w:tcPr>
            <w:tcW w:w="2551" w:type="dxa"/>
          </w:tcPr>
          <w:p w14:paraId="6453BA63" w14:textId="77777777" w:rsidR="00E67F89" w:rsidRPr="00E67F89" w:rsidRDefault="00E67F89" w:rsidP="00E67F89">
            <w:r w:rsidRPr="00E67F89">
              <w:t xml:space="preserve">Les exigences de la NES n°10 sont plus précises </w:t>
            </w:r>
            <w:r w:rsidRPr="00E67F89">
              <w:lastRenderedPageBreak/>
              <w:t>et à appliquer au projet. Elles ne sont pas contraires aux textes nationaux</w:t>
            </w:r>
          </w:p>
        </w:tc>
      </w:tr>
      <w:tr w:rsidR="00E67F89" w:rsidRPr="00E67F89" w14:paraId="3626248D" w14:textId="77777777" w:rsidTr="00966173">
        <w:trPr>
          <w:gridAfter w:val="1"/>
          <w:wAfter w:w="9" w:type="dxa"/>
        </w:trPr>
        <w:tc>
          <w:tcPr>
            <w:tcW w:w="6661" w:type="dxa"/>
            <w:gridSpan w:val="2"/>
          </w:tcPr>
          <w:p w14:paraId="7136F479" w14:textId="77777777" w:rsidR="00E67F89" w:rsidRPr="00E67F89" w:rsidRDefault="00E67F89" w:rsidP="00E67F89">
            <w:r w:rsidRPr="00E67F89">
              <w:t>C. Mécanisme de gestion des plaintes</w:t>
            </w:r>
          </w:p>
        </w:tc>
        <w:tc>
          <w:tcPr>
            <w:tcW w:w="1848" w:type="dxa"/>
          </w:tcPr>
          <w:p w14:paraId="644DB779" w14:textId="77777777" w:rsidR="00E67F89" w:rsidRPr="00E67F89" w:rsidRDefault="00E67F89" w:rsidP="00E67F89"/>
        </w:tc>
        <w:tc>
          <w:tcPr>
            <w:tcW w:w="4675" w:type="dxa"/>
          </w:tcPr>
          <w:p w14:paraId="14847DFE" w14:textId="77777777" w:rsidR="00E67F89" w:rsidRPr="00E67F89" w:rsidRDefault="00E67F89" w:rsidP="00E67F89"/>
        </w:tc>
        <w:tc>
          <w:tcPr>
            <w:tcW w:w="2551" w:type="dxa"/>
          </w:tcPr>
          <w:p w14:paraId="39E2355E" w14:textId="77777777" w:rsidR="00E67F89" w:rsidRPr="00E67F89" w:rsidRDefault="00E67F89" w:rsidP="00E67F89"/>
        </w:tc>
      </w:tr>
      <w:tr w:rsidR="00E67F89" w:rsidRPr="00E67F89" w14:paraId="3407A199" w14:textId="77777777" w:rsidTr="00966173">
        <w:trPr>
          <w:gridAfter w:val="1"/>
          <w:wAfter w:w="9" w:type="dxa"/>
        </w:trPr>
        <w:tc>
          <w:tcPr>
            <w:tcW w:w="1274" w:type="dxa"/>
          </w:tcPr>
          <w:p w14:paraId="7055010C" w14:textId="77777777" w:rsidR="00E67F89" w:rsidRPr="00E67F89" w:rsidRDefault="00E67F89" w:rsidP="00E67F89">
            <w:r w:rsidRPr="00E67F89">
              <w:t>26</w:t>
            </w:r>
          </w:p>
        </w:tc>
        <w:tc>
          <w:tcPr>
            <w:tcW w:w="5387" w:type="dxa"/>
          </w:tcPr>
          <w:p w14:paraId="081622AC" w14:textId="77777777" w:rsidR="00E67F89" w:rsidRPr="00E67F89" w:rsidRDefault="00E67F89" w:rsidP="00E67F89">
            <w:r w:rsidRPr="00E67F89">
              <w:t>Répondre dans les meilleurs délais aux préoccupations et aux plaintes des parties touchées par le projet concernant la performance du projet en matière environnementale et sociale. À cette fin, proposer et mettre en œuvre un mécanisme de gestion des plaintes pour entendre ces préoccupations et recevoir ces plaintes et en faciliter le règlement.</w:t>
            </w:r>
          </w:p>
        </w:tc>
        <w:tc>
          <w:tcPr>
            <w:tcW w:w="1848" w:type="dxa"/>
          </w:tcPr>
          <w:p w14:paraId="543CD6F5" w14:textId="77777777" w:rsidR="00E67F89" w:rsidRPr="00E67F89" w:rsidRDefault="00E67F89" w:rsidP="00E67F89">
            <w:r w:rsidRPr="00E67F89">
              <w:t>Loi n°2005- 019 : Statut des terres</w:t>
            </w:r>
          </w:p>
          <w:p w14:paraId="3D0F50DE" w14:textId="77777777" w:rsidR="00E67F89" w:rsidRPr="00E67F89" w:rsidRDefault="00E67F89" w:rsidP="00E67F89">
            <w:r w:rsidRPr="00E67F89">
              <w:t>Code de procédure civile.</w:t>
            </w:r>
          </w:p>
          <w:p w14:paraId="0F9E22A7" w14:textId="77777777" w:rsidR="00E67F89" w:rsidRPr="00E67F89" w:rsidRDefault="00E67F89" w:rsidP="00E67F89">
            <w:r w:rsidRPr="00E67F89">
              <w:t xml:space="preserve">Guide EIS. </w:t>
            </w:r>
          </w:p>
        </w:tc>
        <w:tc>
          <w:tcPr>
            <w:tcW w:w="4675" w:type="dxa"/>
          </w:tcPr>
          <w:p w14:paraId="40A41784" w14:textId="77777777" w:rsidR="00E67F89" w:rsidRPr="00E67F89" w:rsidRDefault="00E67F89" w:rsidP="00E67F89">
            <w:r w:rsidRPr="00E67F89">
              <w:t>Prévoir, d’une manière générale, l’analyse des plaintes, reçues de la population pendant la mise en œuvre du projet.</w:t>
            </w:r>
          </w:p>
          <w:p w14:paraId="7226FB4A" w14:textId="77777777" w:rsidR="00E67F89" w:rsidRPr="00E67F89" w:rsidRDefault="00E67F89" w:rsidP="00E67F89">
            <w:r w:rsidRPr="00E67F89">
              <w:t>Le recours aux MARL</w:t>
            </w:r>
            <w:r w:rsidRPr="00E67F89">
              <w:footnoteReference w:id="30"/>
            </w:r>
            <w:r w:rsidRPr="00E67F89">
              <w:t xml:space="preserve"> est possible.</w:t>
            </w:r>
          </w:p>
        </w:tc>
        <w:tc>
          <w:tcPr>
            <w:tcW w:w="2551" w:type="dxa"/>
          </w:tcPr>
          <w:p w14:paraId="5C834C01" w14:textId="77777777" w:rsidR="00E67F89" w:rsidRPr="00E67F89" w:rsidRDefault="00E67F89" w:rsidP="00E67F89">
            <w:r w:rsidRPr="00E67F89">
              <w:t>Les exigences de la NES n°10 sont plus détaillées et précises. Elles ne sont pas contraires aux textes nationaux</w:t>
            </w:r>
          </w:p>
        </w:tc>
      </w:tr>
      <w:tr w:rsidR="00E67F89" w:rsidRPr="00E67F89" w14:paraId="022CAC24" w14:textId="77777777" w:rsidTr="00966173">
        <w:trPr>
          <w:gridAfter w:val="1"/>
          <w:wAfter w:w="9" w:type="dxa"/>
        </w:trPr>
        <w:tc>
          <w:tcPr>
            <w:tcW w:w="1274" w:type="dxa"/>
          </w:tcPr>
          <w:p w14:paraId="23CF3F41" w14:textId="77777777" w:rsidR="00E67F89" w:rsidRPr="00E67F89" w:rsidRDefault="00E67F89" w:rsidP="00E67F89">
            <w:r w:rsidRPr="00E67F89">
              <w:t>27</w:t>
            </w:r>
          </w:p>
        </w:tc>
        <w:tc>
          <w:tcPr>
            <w:tcW w:w="5387" w:type="dxa"/>
          </w:tcPr>
          <w:p w14:paraId="60BA5DD4" w14:textId="77777777" w:rsidR="00E67F89" w:rsidRPr="00E67F89" w:rsidRDefault="00E67F89" w:rsidP="00E67F89">
            <w:r w:rsidRPr="00E67F89">
              <w:t xml:space="preserve">Adapter le mécanisme de gestion des plaintes aux risques et aux impacts négatifs potentiels du projet, et doit être accessible et inclusif. Lorsque cela est faisable et adapté au projet, utiliser le mécanisme de gestion des plaintes existant, formel ou informel approprié au projet et compléter au besoin par des dispositions spécifiques au projet. </w:t>
            </w:r>
          </w:p>
          <w:p w14:paraId="68AE7736" w14:textId="77777777" w:rsidR="00E67F89" w:rsidRPr="00E67F89" w:rsidRDefault="00E67F89" w:rsidP="00E67F89">
            <w:r w:rsidRPr="00E67F89">
              <w:t>Des détails supplémentaires sur les mécanismes de gestion des plaintes sont énoncés à l’Annexe 1</w:t>
            </w:r>
          </w:p>
        </w:tc>
        <w:tc>
          <w:tcPr>
            <w:tcW w:w="1848" w:type="dxa"/>
          </w:tcPr>
          <w:p w14:paraId="082053B9" w14:textId="77777777" w:rsidR="00E67F89" w:rsidRPr="00E67F89" w:rsidRDefault="00E67F89" w:rsidP="00E67F89">
            <w:r w:rsidRPr="00E67F89">
              <w:t>N/P</w:t>
            </w:r>
          </w:p>
        </w:tc>
        <w:tc>
          <w:tcPr>
            <w:tcW w:w="4675" w:type="dxa"/>
          </w:tcPr>
          <w:p w14:paraId="5B389268" w14:textId="77777777" w:rsidR="00E67F89" w:rsidRPr="00E67F89" w:rsidRDefault="00E67F89" w:rsidP="00E67F89">
            <w:r w:rsidRPr="00E67F89">
              <w:t>Les textes ne précisent pas ces points.</w:t>
            </w:r>
          </w:p>
        </w:tc>
        <w:tc>
          <w:tcPr>
            <w:tcW w:w="2551" w:type="dxa"/>
          </w:tcPr>
          <w:p w14:paraId="24559472" w14:textId="77777777" w:rsidR="00E67F89" w:rsidRPr="00E67F89" w:rsidRDefault="00E67F89" w:rsidP="00E67F89">
            <w:r w:rsidRPr="00E67F89">
              <w:t>Les exigences de la NES n°10 sont plus détaillées et précises. Elles sont à appliquer au projet. Elles ne sont pas contraires aux textes nationaux</w:t>
            </w:r>
          </w:p>
        </w:tc>
      </w:tr>
      <w:tr w:rsidR="00E67F89" w:rsidRPr="00E67F89" w14:paraId="5E455B36" w14:textId="77777777" w:rsidTr="00966173">
        <w:trPr>
          <w:gridAfter w:val="1"/>
          <w:wAfter w:w="9" w:type="dxa"/>
        </w:trPr>
        <w:tc>
          <w:tcPr>
            <w:tcW w:w="6661" w:type="dxa"/>
            <w:gridSpan w:val="2"/>
          </w:tcPr>
          <w:p w14:paraId="06D48293" w14:textId="77777777" w:rsidR="00E67F89" w:rsidRPr="00E67F89" w:rsidRDefault="00E67F89" w:rsidP="00E67F89">
            <w:r w:rsidRPr="00E67F89">
              <w:t>NES 10 : Annexe 1 : Mécanisme de gestion des plaintes</w:t>
            </w:r>
          </w:p>
        </w:tc>
        <w:tc>
          <w:tcPr>
            <w:tcW w:w="1848" w:type="dxa"/>
          </w:tcPr>
          <w:p w14:paraId="21A1FC4D" w14:textId="77777777" w:rsidR="00E67F89" w:rsidRPr="00E67F89" w:rsidRDefault="00E67F89" w:rsidP="00E67F89"/>
        </w:tc>
        <w:tc>
          <w:tcPr>
            <w:tcW w:w="4675" w:type="dxa"/>
          </w:tcPr>
          <w:p w14:paraId="5E58D799" w14:textId="77777777" w:rsidR="00E67F89" w:rsidRPr="00E67F89" w:rsidRDefault="00E67F89" w:rsidP="00E67F89"/>
        </w:tc>
        <w:tc>
          <w:tcPr>
            <w:tcW w:w="2551" w:type="dxa"/>
            <w:tcBorders>
              <w:bottom w:val="single" w:sz="4" w:space="0" w:color="auto"/>
            </w:tcBorders>
          </w:tcPr>
          <w:p w14:paraId="1153FE09" w14:textId="77777777" w:rsidR="00E67F89" w:rsidRPr="00E67F89" w:rsidRDefault="00E67F89" w:rsidP="00E67F89"/>
        </w:tc>
      </w:tr>
      <w:tr w:rsidR="00E67F89" w:rsidRPr="00E67F89" w14:paraId="39371E5A" w14:textId="77777777" w:rsidTr="00966173">
        <w:trPr>
          <w:gridAfter w:val="1"/>
          <w:wAfter w:w="9" w:type="dxa"/>
          <w:trHeight w:val="200"/>
        </w:trPr>
        <w:tc>
          <w:tcPr>
            <w:tcW w:w="1274" w:type="dxa"/>
            <w:tcBorders>
              <w:bottom w:val="single" w:sz="4" w:space="0" w:color="auto"/>
            </w:tcBorders>
          </w:tcPr>
          <w:p w14:paraId="25C90C72" w14:textId="77777777" w:rsidR="00E67F89" w:rsidRPr="00E67F89" w:rsidRDefault="00E67F89" w:rsidP="00E67F89">
            <w:r w:rsidRPr="00E67F89">
              <w:lastRenderedPageBreak/>
              <w:t>1</w:t>
            </w:r>
          </w:p>
        </w:tc>
        <w:tc>
          <w:tcPr>
            <w:tcW w:w="5387" w:type="dxa"/>
          </w:tcPr>
          <w:p w14:paraId="2CEF457C" w14:textId="77777777" w:rsidR="00E67F89" w:rsidRPr="00E67F89" w:rsidRDefault="00E67F89" w:rsidP="00E67F89">
            <w:r w:rsidRPr="00E67F89">
              <w:t>La portée, l’ampleur et le type de mécanisme de gestion des plaintes requis seront proportionnels à la nature et à l’ampleur des risques et des impacts négatifs potentiels du projet.</w:t>
            </w:r>
          </w:p>
        </w:tc>
        <w:tc>
          <w:tcPr>
            <w:tcW w:w="1848" w:type="dxa"/>
            <w:tcBorders>
              <w:bottom w:val="single" w:sz="4" w:space="0" w:color="auto"/>
            </w:tcBorders>
          </w:tcPr>
          <w:p w14:paraId="7249783E" w14:textId="77777777" w:rsidR="00E67F89" w:rsidRPr="00E67F89" w:rsidRDefault="00E67F89" w:rsidP="00E67F89">
            <w:r w:rsidRPr="00E67F89">
              <w:t>Loi n°2005- 019 : Statut des terres</w:t>
            </w:r>
          </w:p>
        </w:tc>
        <w:tc>
          <w:tcPr>
            <w:tcW w:w="4675" w:type="dxa"/>
            <w:tcBorders>
              <w:bottom w:val="single" w:sz="4" w:space="0" w:color="auto"/>
            </w:tcBorders>
          </w:tcPr>
          <w:p w14:paraId="0796C655" w14:textId="77777777" w:rsidR="00E67F89" w:rsidRPr="00E67F89" w:rsidRDefault="00E67F89" w:rsidP="00E67F89">
            <w:r w:rsidRPr="00E67F89">
              <w:t>Le cadre national prévoit l’utilisation des MARL avant ou en substitution de recours devant la justice :</w:t>
            </w:r>
          </w:p>
        </w:tc>
        <w:tc>
          <w:tcPr>
            <w:tcW w:w="2551" w:type="dxa"/>
            <w:tcBorders>
              <w:bottom w:val="nil"/>
            </w:tcBorders>
          </w:tcPr>
          <w:p w14:paraId="3E435C42" w14:textId="77777777" w:rsidR="00E67F89" w:rsidRPr="00E67F89" w:rsidRDefault="00E67F89" w:rsidP="00E67F89">
            <w:r w:rsidRPr="00E67F89">
              <w:t>Le document de la CES n°10 et le cadre national sont complémentaires quant au type du MGP.</w:t>
            </w:r>
          </w:p>
        </w:tc>
      </w:tr>
      <w:tr w:rsidR="00E67F89" w:rsidRPr="00E67F89" w14:paraId="7EB01167" w14:textId="77777777" w:rsidTr="00966173">
        <w:trPr>
          <w:gridAfter w:val="1"/>
          <w:wAfter w:w="9" w:type="dxa"/>
        </w:trPr>
        <w:tc>
          <w:tcPr>
            <w:tcW w:w="1274" w:type="dxa"/>
            <w:tcBorders>
              <w:bottom w:val="single" w:sz="4" w:space="0" w:color="auto"/>
            </w:tcBorders>
          </w:tcPr>
          <w:p w14:paraId="12943C63" w14:textId="77777777" w:rsidR="00E67F89" w:rsidRPr="00E67F89" w:rsidRDefault="00E67F89" w:rsidP="00E67F89">
            <w:r w:rsidRPr="00E67F89">
              <w:t>2 et 3</w:t>
            </w:r>
          </w:p>
        </w:tc>
        <w:tc>
          <w:tcPr>
            <w:tcW w:w="5387" w:type="dxa"/>
          </w:tcPr>
          <w:p w14:paraId="5BDD65B3" w14:textId="77777777" w:rsidR="00E67F89" w:rsidRPr="00E67F89" w:rsidRDefault="00E67F89" w:rsidP="00E67F89">
            <w:r w:rsidRPr="00E67F89">
              <w:t>Le mécanisme de gestion des plaintes peut comprendre les éléments suivants :</w:t>
            </w:r>
          </w:p>
          <w:p w14:paraId="579365A8" w14:textId="77777777" w:rsidR="00E67F89" w:rsidRPr="00E67F89" w:rsidRDefault="00E67F89" w:rsidP="00E67F89">
            <w:r w:rsidRPr="00E67F89">
              <w:t>a) Différentes manières par lesquelles les usagers peuvent déposer plainte, y compris en personne, par téléphone, par message court, par courrier, par courriel ou sur un site web ;</w:t>
            </w:r>
          </w:p>
          <w:p w14:paraId="4CAFD1DF" w14:textId="77777777" w:rsidR="00E67F89" w:rsidRPr="00E67F89" w:rsidRDefault="00E67F89" w:rsidP="00E67F89">
            <w:r w:rsidRPr="00E67F89">
              <w:t>b) Un registre écrit pour l’inscription des plaintes qui sera conservé comme une base de données ;</w:t>
            </w:r>
          </w:p>
          <w:p w14:paraId="10132AD0" w14:textId="77777777" w:rsidR="00E67F89" w:rsidRPr="00E67F89" w:rsidRDefault="00E67F89" w:rsidP="00E67F89">
            <w:r w:rsidRPr="00E67F89">
              <w:t>c) Des procédures annoncées publiquement, fixant les délais d’accusé de réception, de réponse et de traitement des plaintes ;</w:t>
            </w:r>
          </w:p>
          <w:p w14:paraId="4A5E1606" w14:textId="77777777" w:rsidR="00E67F89" w:rsidRPr="00E67F89" w:rsidRDefault="00E67F89" w:rsidP="00E67F89">
            <w:r w:rsidRPr="00E67F89">
              <w:t>d) La transparence sur la procédure d’examen des plaintes, la structure de gouvernance et les décideurs ; et</w:t>
            </w:r>
          </w:p>
          <w:p w14:paraId="167FC152" w14:textId="77777777" w:rsidR="00E67F89" w:rsidRPr="00E67F89" w:rsidRDefault="00E67F89" w:rsidP="00E67F89">
            <w:r w:rsidRPr="00E67F89">
              <w:t>e) Les actions en recours (y compris dans le système judiciaire national) que les plaignants insatisfaits peuvent engager lorsque leurs préoccupations n’ont pas trouvé de réponse.</w:t>
            </w:r>
          </w:p>
          <w:p w14:paraId="3E2811CC" w14:textId="77777777" w:rsidR="00E67F89" w:rsidRPr="00E67F89" w:rsidRDefault="00E67F89" w:rsidP="00E67F89"/>
          <w:p w14:paraId="223FA2FE" w14:textId="77777777" w:rsidR="00E67F89" w:rsidRPr="00E67F89" w:rsidRDefault="00E67F89" w:rsidP="00E67F89">
            <w:r w:rsidRPr="00E67F89">
              <w:lastRenderedPageBreak/>
              <w:t>L’Emprunteur peut offrir des services de médiation lorsque les usagers ne sont pas satisfaits de la solution proposée.</w:t>
            </w:r>
          </w:p>
        </w:tc>
        <w:tc>
          <w:tcPr>
            <w:tcW w:w="1848" w:type="dxa"/>
            <w:tcBorders>
              <w:bottom w:val="single" w:sz="4" w:space="0" w:color="auto"/>
            </w:tcBorders>
          </w:tcPr>
          <w:p w14:paraId="7E5CA29E" w14:textId="77777777" w:rsidR="00E67F89" w:rsidRPr="00E67F89" w:rsidRDefault="00E67F89" w:rsidP="00E67F89">
            <w:r w:rsidRPr="00E67F89">
              <w:lastRenderedPageBreak/>
              <w:t>Code de procédure civile.</w:t>
            </w:r>
          </w:p>
        </w:tc>
        <w:tc>
          <w:tcPr>
            <w:tcW w:w="4675" w:type="dxa"/>
            <w:tcBorders>
              <w:top w:val="nil"/>
              <w:bottom w:val="single" w:sz="4" w:space="0" w:color="auto"/>
            </w:tcBorders>
          </w:tcPr>
          <w:p w14:paraId="42D77804" w14:textId="77777777" w:rsidR="00E67F89" w:rsidRPr="00E67F89" w:rsidRDefault="00E67F89" w:rsidP="00E67F89">
            <w:r w:rsidRPr="00E67F89">
              <w:t>Conciliation par le président du conseil des CTD pour les questions foncières.</w:t>
            </w:r>
          </w:p>
          <w:p w14:paraId="5F240B97" w14:textId="77777777" w:rsidR="00E67F89" w:rsidRPr="00E67F89" w:rsidRDefault="00E67F89" w:rsidP="00E67F89">
            <w:r w:rsidRPr="00E67F89">
              <w:t>Conciliation en général.</w:t>
            </w:r>
          </w:p>
          <w:p w14:paraId="04DD8D68" w14:textId="77777777" w:rsidR="00E67F89" w:rsidRPr="00E67F89" w:rsidRDefault="00E67F89" w:rsidP="00E67F89">
            <w:r w:rsidRPr="00E67F89">
              <w:t>Médiation.</w:t>
            </w:r>
          </w:p>
          <w:p w14:paraId="42867153" w14:textId="77777777" w:rsidR="00E67F89" w:rsidRPr="00E67F89" w:rsidRDefault="00E67F89" w:rsidP="00E67F89">
            <w:r w:rsidRPr="00E67F89">
              <w:t>Arbitrage lorsque permis par la loi, pour lequel l’exécution (forcée) des sentences est soumise à l’exequatur du juge.</w:t>
            </w:r>
          </w:p>
        </w:tc>
        <w:tc>
          <w:tcPr>
            <w:tcW w:w="2551" w:type="dxa"/>
            <w:tcBorders>
              <w:top w:val="nil"/>
              <w:bottom w:val="single" w:sz="4" w:space="0" w:color="auto"/>
            </w:tcBorders>
          </w:tcPr>
          <w:p w14:paraId="3AB64CE0" w14:textId="77777777" w:rsidR="00E67F89" w:rsidRPr="00E67F89" w:rsidRDefault="00E67F89" w:rsidP="00E67F89"/>
        </w:tc>
      </w:tr>
    </w:tbl>
    <w:p w14:paraId="43988910" w14:textId="77777777" w:rsidR="00E67F89" w:rsidRPr="00E67F89" w:rsidRDefault="00E67F89" w:rsidP="00E67F89"/>
    <w:p w14:paraId="4DCF1356" w14:textId="77777777" w:rsidR="00E67F89" w:rsidRPr="00E67F89" w:rsidRDefault="00E67F89" w:rsidP="00E67F89">
      <w:pPr>
        <w:sectPr w:rsidR="00E67F89" w:rsidRPr="00E67F89" w:rsidSect="00E67F89">
          <w:pgSz w:w="16839" w:h="11907" w:orient="landscape" w:code="9"/>
          <w:pgMar w:top="1168" w:right="851" w:bottom="1134" w:left="851" w:header="425" w:footer="720" w:gutter="0"/>
          <w:paperSrc w:first="15" w:other="15"/>
          <w:cols w:space="708"/>
          <w:titlePg/>
          <w:docGrid w:linePitch="360"/>
        </w:sectPr>
      </w:pPr>
    </w:p>
    <w:p w14:paraId="1C25B2FF" w14:textId="77777777" w:rsidR="00E67F89" w:rsidRPr="00E67F89" w:rsidRDefault="00E67F89" w:rsidP="00E67F89">
      <w:bookmarkStart w:id="901" w:name="_Toc138414170"/>
      <w:bookmarkStart w:id="902" w:name="_Toc230426114"/>
      <w:r w:rsidRPr="00E67F89">
        <w:lastRenderedPageBreak/>
        <w:t xml:space="preserve">Annexe </w:t>
      </w:r>
      <w:r w:rsidRPr="00E67F89">
        <w:fldChar w:fldCharType="begin"/>
      </w:r>
      <w:r w:rsidRPr="00E67F89">
        <w:instrText>SEQ Annexe \* ARABIC</w:instrText>
      </w:r>
      <w:r w:rsidRPr="00E67F89">
        <w:fldChar w:fldCharType="separate"/>
      </w:r>
      <w:r w:rsidRPr="00E67F89">
        <w:t>9</w:t>
      </w:r>
      <w:r w:rsidRPr="00E67F89">
        <w:fldChar w:fldCharType="end"/>
      </w:r>
      <w:r w:rsidRPr="00E67F89">
        <w:t> : Sources et types de dégradation des routes</w:t>
      </w:r>
      <w:bookmarkEnd w:id="901"/>
      <w:bookmarkEnd w:id="902"/>
    </w:p>
    <w:p w14:paraId="6D509190" w14:textId="77777777" w:rsidR="00E67F89" w:rsidRPr="00E67F89" w:rsidRDefault="00E67F89" w:rsidP="00E67F89">
      <w:r w:rsidRPr="00E67F89">
        <w:t>SOURCES DE DEGRADATION DES ROUTES</w:t>
      </w:r>
    </w:p>
    <w:p w14:paraId="46ED329B" w14:textId="77777777" w:rsidR="00E67F89" w:rsidRPr="00E67F89" w:rsidRDefault="00E67F89" w:rsidP="00E67F89">
      <w:r w:rsidRPr="00E67F89">
        <w:t>Les structures routières sont assujetties à des sollicitations externes dues au trafic de véhicules et aux agressions climatiques. Ces sollicitations, couplées à d'autres phénomènes comme le vieillissement du bitume, la présence d'eau ou autres, mèneront à la dégradation des revêtements routiers. Les phénomènes défavorables à la durabilité des revêtements routiers peuvent être classés comme suit :</w:t>
      </w:r>
    </w:p>
    <w:p w14:paraId="14BB305D" w14:textId="77777777" w:rsidR="00E67F89" w:rsidRPr="00E67F89" w:rsidRDefault="00E67F89" w:rsidP="00E67F89">
      <w:r w:rsidRPr="00E67F89">
        <w:t>Sollicitations liées au trafic</w:t>
      </w:r>
    </w:p>
    <w:p w14:paraId="6C3B2145" w14:textId="77777777" w:rsidR="00E67F89" w:rsidRPr="00E67F89" w:rsidRDefault="00E67F89" w:rsidP="00E67F89">
      <w:r w:rsidRPr="00E67F89">
        <w:t>Il s'agit plus particulièrement des sollicitations induites par les passages de véhicules lourds qui engendrent des effets dynamiques en mouvement (trafic fluide) ou des effets quasi statiques (parking ou trafic lent). En effet, la chaussée peut être assimilée à un assemblage de poutres, qui peuvent être collées ou non, et qui subissent des efforts dans plusieurs directions. Ces sollicitations peuvent mener à des dégradations par fatigue et à l'accumulation de déformations permanentes (orniérage), mais aussi au polissage des granulats en couche de roulement, à la perte de granulats (arrachement) ou à l'apparition de trous dans le revêtement (nid de poule qui, à la longue, peuvent devenir des nids d’hippopotame)</w:t>
      </w:r>
    </w:p>
    <w:p w14:paraId="33784AD4" w14:textId="77777777" w:rsidR="00E67F89" w:rsidRPr="00E67F89" w:rsidRDefault="00E67F89" w:rsidP="00E67F89">
      <w:r w:rsidRPr="00E67F89">
        <w:t>Sollicitations liées au climat</w:t>
      </w:r>
    </w:p>
    <w:p w14:paraId="28DB7D1C" w14:textId="77777777" w:rsidR="00E67F89" w:rsidRPr="00E67F89" w:rsidRDefault="00E67F89" w:rsidP="00E67F89">
      <w:r w:rsidRPr="00E67F89">
        <w:t>Madagascar étant un pays tropical, les pluies abondantes peuvent être conjuguées avec la température (comme dans l’Est et le Sud-est) ou, dans certains cas (comme dans le Sud), uniquement à la température. Tout au long de sa vie, une chaussée est donc exposée à des conditions climatiques différentes et variées. Les pluies abondantes peuvent déformer le sol et s’attaquer à la structure de la route et finir par la déformer. Les couches de bitume, saturées en eau, se gonflent et se saturent.</w:t>
      </w:r>
    </w:p>
    <w:p w14:paraId="075B69B3" w14:textId="77777777" w:rsidR="00E67F89" w:rsidRPr="00E67F89" w:rsidRDefault="00E67F89" w:rsidP="00E67F89">
      <w:r w:rsidRPr="00E67F89">
        <w:t xml:space="preserve">Les chaussées évoluent et se dégradent essentiellement sous l’effet du trafic lourd et des conditions climatiques. La rapidité de cette évolution et les désordres qui apparaissent sont également liées à la nature et à l'épaisseur des matériaux utilisés et à leurs conditions de fabrication et de mise en œuvre. Certains désordres consécutifs à l'instabilité du support de la chaussée (remblai ou terrain naturel) peuvent apparaître indépendamment du trafic et du climat. </w:t>
      </w:r>
    </w:p>
    <w:p w14:paraId="58F2B94A" w14:textId="77777777" w:rsidR="00E67F89" w:rsidRPr="00E67F89" w:rsidRDefault="00E67F89" w:rsidP="00E67F89">
      <w:r w:rsidRPr="00E67F89">
        <w:t xml:space="preserve">Conditions techniques </w:t>
      </w:r>
    </w:p>
    <w:p w14:paraId="72BB2DBD" w14:textId="77777777" w:rsidR="00E67F89" w:rsidRPr="00E67F89" w:rsidRDefault="00E67F89" w:rsidP="00E67F89">
      <w:r w:rsidRPr="00E67F89">
        <w:t>Les routes se dégradent un peu plus vite dans certaines régions que dans d’autres à cause des conditions géologiques (à l’exemple des argiles gonflantes de la RN2), même si les conditions techniques utilisées sont les mêmes. Pour résoudre ce type de problème, il faut donc étudier les caractéristiques des sols, de temps … sur chaque section pour mieux adapter les normes techniques à utiliser.</w:t>
      </w:r>
    </w:p>
    <w:p w14:paraId="11D68E0B" w14:textId="77777777" w:rsidR="00E67F89" w:rsidRPr="00E67F89" w:rsidRDefault="00E67F89" w:rsidP="00E67F89">
      <w:r w:rsidRPr="00E67F89">
        <w:t>TYPES DE DEGRADATIONS</w:t>
      </w:r>
    </w:p>
    <w:p w14:paraId="6F140280" w14:textId="77777777" w:rsidR="00E67F89" w:rsidRPr="00E67F89" w:rsidRDefault="00E67F89" w:rsidP="00E67F89">
      <w:r w:rsidRPr="00E67F89">
        <w:t xml:space="preserve">Les dégradations les plus couramment rencontrées se classent en deux grandes familles : les dégradations structurelles et les dégradations superficielles. Les premières apparaissent au sein de la structure de chaussée ou de son support et remettent en cause le patrimoine. Les secondes </w:t>
      </w:r>
      <w:r w:rsidRPr="00E67F89">
        <w:lastRenderedPageBreak/>
        <w:t>prennent naissance dans la couche de surface de la chaussée et affectent d'abord ses qualités superficielles.</w:t>
      </w:r>
    </w:p>
    <w:p w14:paraId="6DB0E5C7" w14:textId="77777777" w:rsidR="00E67F89" w:rsidRPr="00E67F89" w:rsidRDefault="00E67F89" w:rsidP="00E67F89">
      <w:r w:rsidRPr="00E67F89">
        <w:t>Les dégradations non structurelles</w:t>
      </w:r>
    </w:p>
    <w:p w14:paraId="366BF81B" w14:textId="77777777" w:rsidR="00E67F89" w:rsidRPr="00E67F89" w:rsidRDefault="00E67F89" w:rsidP="00E67F89">
      <w:r w:rsidRPr="00E67F89">
        <w:t>Encore appelées « dégradations superficielles », elles engendrent des réparations qui, généralement, ne sont pas liées à la capacité structurelle de la chaussée. Leur origine est soit un défaut de mise en œuvre, soit un défaut de qualité d'un produit, soit une condition locale particulière que le trafic peut accentuer. Dans les dégradations de type H, on distingue : Les fissurations (hors fatigue), les arrachements et les mouvements de matériaux.</w:t>
      </w:r>
    </w:p>
    <w:p w14:paraId="671A048A" w14:textId="77777777" w:rsidR="00E67F89" w:rsidRPr="00E67F89" w:rsidRDefault="00E67F89" w:rsidP="00E67F89">
      <w:r w:rsidRPr="00E67F89">
        <w:br w:type="page"/>
      </w:r>
    </w:p>
    <w:p w14:paraId="6C2D0F14" w14:textId="77777777" w:rsidR="00E67F89" w:rsidRPr="00E67F89" w:rsidRDefault="00E67F89" w:rsidP="00E67F89">
      <w:r w:rsidRPr="00E67F89">
        <w:lastRenderedPageBreak/>
        <w:t>Les dégradations structurelles</w:t>
      </w:r>
    </w:p>
    <w:p w14:paraId="17A85027" w14:textId="77777777" w:rsidR="00E67F89" w:rsidRPr="00E67F89" w:rsidRDefault="00E67F89" w:rsidP="00E67F89">
      <w:r w:rsidRPr="00E67F89">
        <w:t>Elles caractérisent un état structurel de la chaussée qui est, soit lié à l'ensemble des couches et du sol, soit uniquement lié à la couche de surface. Ce sont des dégradations issues d'une insuffisance de capacité structurelle de la chaussée. On y trouve essentiellement les déformations et les fissurations par fatigue</w:t>
      </w:r>
    </w:p>
    <w:p w14:paraId="2F17B293" w14:textId="77777777" w:rsidR="00E67F89" w:rsidRPr="00E67F89" w:rsidRDefault="00E67F89" w:rsidP="00E67F89">
      <w:r w:rsidRPr="00E67F89">
        <w:t>On différencie les dégradations sur les routes revêtues à travers quatre grands groupes (ou familles), à savoir :</w:t>
      </w:r>
    </w:p>
    <w:p w14:paraId="3B2A730A" w14:textId="77777777" w:rsidR="00E67F89" w:rsidRPr="00E67F89" w:rsidRDefault="00E67F89" w:rsidP="00E67F89">
      <w:r w:rsidRPr="00E67F89">
        <w:t>Les déformations</w:t>
      </w:r>
    </w:p>
    <w:p w14:paraId="668C24F7" w14:textId="77777777" w:rsidR="00E67F89" w:rsidRPr="00E67F89" w:rsidRDefault="00E67F89" w:rsidP="00E67F89">
      <w:r w:rsidRPr="00E67F89">
        <w:t>Ce sont des dépressions ou ondulations de la route qui prennent généralement naissance dans le corps de chaussée ou dans le sol support et qui se manifestent sur la couche de roulement. On les différencie suivant leur forme et leur localisation. Dans ce type de dégradations, on distingue : les affaissements, les ornières et les bourrelets.</w:t>
      </w:r>
    </w:p>
    <w:p w14:paraId="29730BDF" w14:textId="77777777" w:rsidR="00E67F89" w:rsidRPr="00E67F89" w:rsidRDefault="00E67F89" w:rsidP="00E67F89">
      <w:r w:rsidRPr="00E67F89">
        <w:t>Les affaissements : Ce sont des dépressions très prononcées et souvent assez étendues, localisées soit en rive (affaissements de rive) ou en pleine largeur de la chaussée (affaissements hors rive). Ces derniers prennent le nom de « flashes » lorsqu'ils présentent une forme circulaire.</w:t>
      </w:r>
    </w:p>
    <w:p w14:paraId="3D9B3251" w14:textId="77777777" w:rsidR="00E67F89" w:rsidRPr="00E67F89" w:rsidRDefault="00E67F89" w:rsidP="00E67F89">
      <w:r w:rsidRPr="00E67F89">
        <w:t xml:space="preserve">Causes possibles : </w:t>
      </w:r>
    </w:p>
    <w:p w14:paraId="05E63222" w14:textId="77777777" w:rsidR="00E67F89" w:rsidRPr="00E67F89" w:rsidRDefault="00E67F89" w:rsidP="00E67F89">
      <w:r w:rsidRPr="00E67F89">
        <w:t>Sous dimensionnement du corps de chaussée (épaisseurs insuffisantes) ;</w:t>
      </w:r>
    </w:p>
    <w:p w14:paraId="6B1DFA9F" w14:textId="77777777" w:rsidR="00E67F89" w:rsidRPr="00E67F89" w:rsidRDefault="00E67F89" w:rsidP="00E67F89">
      <w:r w:rsidRPr="00E67F89">
        <w:t xml:space="preserve">Tassements différentiels (défaut de portance du sol); </w:t>
      </w:r>
    </w:p>
    <w:p w14:paraId="78248F68" w14:textId="77777777" w:rsidR="00E67F89" w:rsidRPr="00E67F89" w:rsidRDefault="00E67F89" w:rsidP="00E67F89">
      <w:r w:rsidRPr="00E67F89">
        <w:t>Zone de déblai argileux ou secteurs marécageux ;</w:t>
      </w:r>
    </w:p>
    <w:p w14:paraId="2D9E8D7B" w14:textId="77777777" w:rsidR="00E67F89" w:rsidRPr="00E67F89" w:rsidRDefault="00E67F89" w:rsidP="00E67F89">
      <w:r w:rsidRPr="00E67F89">
        <w:t xml:space="preserve">Constructions défectueuses, </w:t>
      </w:r>
    </w:p>
    <w:p w14:paraId="36A67589" w14:textId="77777777" w:rsidR="00E67F89" w:rsidRPr="00E67F89" w:rsidRDefault="00E67F89" w:rsidP="00E67F89">
      <w:r w:rsidRPr="00E67F89">
        <w:t xml:space="preserve">Drainage insuffisant ; </w:t>
      </w:r>
    </w:p>
    <w:p w14:paraId="2AF7D80C" w14:textId="77777777" w:rsidR="00E67F89" w:rsidRPr="00E67F89" w:rsidRDefault="00E67F89" w:rsidP="00E67F89">
      <w:r w:rsidRPr="00E67F89">
        <w:t xml:space="preserve">Chaussée non butée en rive ; </w:t>
      </w:r>
    </w:p>
    <w:p w14:paraId="0127FE95" w14:textId="77777777" w:rsidR="00E67F89" w:rsidRPr="00E67F89" w:rsidRDefault="00E67F89" w:rsidP="00E67F89">
      <w:r w:rsidRPr="00E67F89">
        <w:t xml:space="preserve">Présence d'eau consécutive à la perméabilité des couches supérieures ; </w:t>
      </w:r>
    </w:p>
    <w:p w14:paraId="765E52C6" w14:textId="77777777" w:rsidR="00E67F89" w:rsidRPr="00E67F89" w:rsidRDefault="00E67F89" w:rsidP="00E67F89">
      <w:r w:rsidRPr="00E67F89">
        <w:t>Chaussée étroite.</w:t>
      </w:r>
    </w:p>
    <w:p w14:paraId="1B9A5C10" w14:textId="77777777" w:rsidR="00E67F89" w:rsidRPr="00E67F89" w:rsidRDefault="00E67F89" w:rsidP="00E67F89">
      <w:r w:rsidRPr="00E67F89">
        <w:t>Évolutions possibles : L'une des premières conséquences des affaissements est la rétention d'eau pouvant entraîner une diminution de l'adhérence. Il s'en suit une infiltration d'eau dans le corps de chaussée puis un désenrobage des granulats. Les flashes aboutissent enfin à des faïençages évoluant vers du nid de poule par départ de matériaux. La dégradation peut aboutir à une rupture de la chaussée en saison de pluies.</w:t>
      </w:r>
    </w:p>
    <w:p w14:paraId="0BCA80A5" w14:textId="77777777" w:rsidR="00E67F89" w:rsidRPr="00E67F89" w:rsidRDefault="00E67F89" w:rsidP="00E67F89">
      <w:r w:rsidRPr="00E67F89">
        <w:t>Solutions : Les principales solutions préconisées sont : le déflashage (pour les affaissements de moins de 5 cm) et la réfection localisée du corps de chaussée (pour les affaissements de forte hauteur)</w:t>
      </w:r>
    </w:p>
    <w:p w14:paraId="72B60192" w14:textId="77777777" w:rsidR="00E67F89" w:rsidRPr="00E67F89" w:rsidRDefault="00E67F89" w:rsidP="00E67F89">
      <w:r w:rsidRPr="00E67F89">
        <w:t xml:space="preserve">L'orniérage : C'est une dépression localisée apparaissant sous le passage des véhicules et pouvant affecter, soit la couche de roulement, soit le corps de chaussée et pouvant s'étendre sur d'assez grandes longueurs. Dans certaines conditions, une ornière profonde est dangereuse, la circulation </w:t>
      </w:r>
      <w:r w:rsidRPr="00E67F89">
        <w:lastRenderedPageBreak/>
        <w:t>y devenant risquée. Le phénomène est aussi fonction de la vitesse des véhicules, des types de pneus, de l'usure des pneus, de la pente transversale de la chaussée...</w:t>
      </w:r>
    </w:p>
    <w:p w14:paraId="4B6730C1" w14:textId="77777777" w:rsidR="00E67F89" w:rsidRPr="00E67F89" w:rsidRDefault="00E67F89" w:rsidP="00E67F89">
      <w:r w:rsidRPr="00E67F89">
        <w:t xml:space="preserve">Causes possibles : </w:t>
      </w:r>
    </w:p>
    <w:p w14:paraId="50C6398C" w14:textId="77777777" w:rsidR="00E67F89" w:rsidRPr="00E67F89" w:rsidRDefault="00E67F89" w:rsidP="00E67F89">
      <w:r w:rsidRPr="00E67F89">
        <w:t xml:space="preserve">Sous dimensionnement du corps de chaussée lui proférant une résistance insuffisante ; </w:t>
      </w:r>
    </w:p>
    <w:p w14:paraId="5F9A9D1A" w14:textId="77777777" w:rsidR="00E67F89" w:rsidRPr="00E67F89" w:rsidRDefault="00E67F89" w:rsidP="00E67F89">
      <w:r w:rsidRPr="00E67F89">
        <w:t xml:space="preserve">Compactage insuffisant lors de la réalisation ; </w:t>
      </w:r>
    </w:p>
    <w:p w14:paraId="4989E834" w14:textId="77777777" w:rsidR="00E67F89" w:rsidRPr="00E67F89" w:rsidRDefault="00E67F89" w:rsidP="00E67F89">
      <w:r w:rsidRPr="00E67F89">
        <w:t xml:space="preserve">Perte de portance des couches sous-jacentes du revêtement ; </w:t>
      </w:r>
    </w:p>
    <w:p w14:paraId="4A9DF319" w14:textId="77777777" w:rsidR="00E67F89" w:rsidRPr="00E67F89" w:rsidRDefault="00E67F89" w:rsidP="00E67F89">
      <w:r w:rsidRPr="00E67F89">
        <w:t>Insuffisances du revêtement : bitume trop mou ou surdosé, enrobé trop faible pour résister au trafic lourd, compactage insuffisant de l'enrobé lors de la mise en place …</w:t>
      </w:r>
    </w:p>
    <w:p w14:paraId="2883E89D" w14:textId="77777777" w:rsidR="00E67F89" w:rsidRPr="00E67F89" w:rsidRDefault="00E67F89" w:rsidP="00E67F89">
      <w:r w:rsidRPr="00E67F89">
        <w:t>Évolutions possibles : Les ornières sont parfois accompagnées de fissures qui sont d'autant plus ouvertes que le défaut est profond. En effet, si l'eau pénètre dans le corps de la chaussée, l'orniérage va s'accélérer et risque d'entrainer une fissuration et une rupture de la chaussée.</w:t>
      </w:r>
    </w:p>
    <w:p w14:paraId="677FA367" w14:textId="77777777" w:rsidR="00E67F89" w:rsidRPr="00E67F89" w:rsidRDefault="00E67F89" w:rsidP="00E67F89">
      <w:r w:rsidRPr="00E67F89">
        <w:t>Solutions : Les principales techniques d'entretien sont le reprofilage dans les ornières avec des matériaux bitumineux (orniérage inférieur à 5 cm) et le rechargement (orniérage supérieur à 5 cm)</w:t>
      </w:r>
    </w:p>
    <w:p w14:paraId="26AC947D" w14:textId="77777777" w:rsidR="00E67F89" w:rsidRPr="00E67F89" w:rsidRDefault="00E67F89" w:rsidP="00E67F89">
      <w:r w:rsidRPr="00E67F89">
        <w:t>Les bourrelets : Ce sont des déplacements horizontaux du revêtement de la chaussée, créant un renflement allongé dans la direction du trafic. Ils sont généralement accompagnés d'ornières.</w:t>
      </w:r>
    </w:p>
    <w:p w14:paraId="45C952BB" w14:textId="77777777" w:rsidR="00E67F89" w:rsidRPr="00E67F89" w:rsidRDefault="00E67F89" w:rsidP="00E67F89">
      <w:r w:rsidRPr="00E67F89">
        <w:t xml:space="preserve">Causes : </w:t>
      </w:r>
    </w:p>
    <w:p w14:paraId="5777A92C" w14:textId="77777777" w:rsidR="00E67F89" w:rsidRPr="00E67F89" w:rsidRDefault="00E67F89" w:rsidP="00E67F89">
      <w:r w:rsidRPr="00E67F89">
        <w:t xml:space="preserve">Fatigue de la chaussée due au passage de véhicules trop lourds pour la structure de la chaussée ; </w:t>
      </w:r>
    </w:p>
    <w:p w14:paraId="24A1E3A3" w14:textId="77777777" w:rsidR="00E67F89" w:rsidRPr="00E67F89" w:rsidRDefault="00E67F89" w:rsidP="00E67F89">
      <w:r w:rsidRPr="00E67F89">
        <w:t xml:space="preserve">Tassement des couches inférieures ; </w:t>
      </w:r>
    </w:p>
    <w:p w14:paraId="71A6B835" w14:textId="77777777" w:rsidR="00E67F89" w:rsidRPr="00E67F89" w:rsidRDefault="00E67F89" w:rsidP="00E67F89">
      <w:r w:rsidRPr="00E67F89">
        <w:t xml:space="preserve">Défaut de compactage à la construction ; </w:t>
      </w:r>
    </w:p>
    <w:p w14:paraId="23F5BAD9" w14:textId="77777777" w:rsidR="00E67F89" w:rsidRPr="00E67F89" w:rsidRDefault="00E67F89" w:rsidP="00E67F89">
      <w:r w:rsidRPr="00E67F89">
        <w:t xml:space="preserve">Entrée d'eau entrainant une diminution de la portance du corps de chaussée; • Matériaux de mauvaise qualité; </w:t>
      </w:r>
    </w:p>
    <w:p w14:paraId="250DD865" w14:textId="77777777" w:rsidR="00E67F89" w:rsidRPr="00E67F89" w:rsidRDefault="00E67F89" w:rsidP="00E67F89">
      <w:r w:rsidRPr="00E67F89">
        <w:t xml:space="preserve">Qualité inadéquate du revêtement bitumineux ; </w:t>
      </w:r>
    </w:p>
    <w:p w14:paraId="1F33720F" w14:textId="77777777" w:rsidR="00E67F89" w:rsidRPr="00E67F89" w:rsidRDefault="00E67F89" w:rsidP="00E67F89">
      <w:r w:rsidRPr="00E67F89">
        <w:t>Manque de liaison entre le revêtement bitumineux et la couche sous-jacent</w:t>
      </w:r>
    </w:p>
    <w:p w14:paraId="13AB7B59" w14:textId="77777777" w:rsidR="00E67F89" w:rsidRPr="00E67F89" w:rsidRDefault="00E67F89" w:rsidP="00E67F89">
      <w:r w:rsidRPr="00E67F89">
        <w:t xml:space="preserve">Evolutions possibles : L'évolution du bourrelet est en rapport avec celle de l'orniérage. Ainsi, ils sont fréquemment accompagnés d'extrusion de matériaux mous sous l'effet de la déformation et d'une destruction progressive de la chaussée. TI peut aussi en résulter une fissuration et ou arrachement de la couche de surface. Un défaut d'uni est aussi souvent constaté. </w:t>
      </w:r>
    </w:p>
    <w:p w14:paraId="34A7CD44" w14:textId="77777777" w:rsidR="00E67F89" w:rsidRPr="00E67F89" w:rsidRDefault="00E67F89" w:rsidP="00E67F89">
      <w:r w:rsidRPr="00E67F89">
        <w:t>Solutions : Comme pour les flaches, les solutions préconisées sont: le déflachage (pour les bourrelets de faibles hauteurs) et la réfection localisée (pour les bourrelets de fortes hauteurs).</w:t>
      </w:r>
    </w:p>
    <w:p w14:paraId="247A6B91" w14:textId="77777777" w:rsidR="00E67F89" w:rsidRPr="00E67F89" w:rsidRDefault="00E67F89" w:rsidP="00E67F89">
      <w:r w:rsidRPr="00E67F89">
        <w:t>Les fissurations</w:t>
      </w:r>
    </w:p>
    <w:p w14:paraId="077D668E" w14:textId="77777777" w:rsidR="00E67F89" w:rsidRPr="00E67F89" w:rsidRDefault="00E67F89" w:rsidP="00E67F89">
      <w:r w:rsidRPr="00E67F89">
        <w:t>Les fissures transversales : Ce sont des cassures sensiblement perpendiculaires à l'axe de la chaussée, isolées ou périodiques, d'espacement variable, intéressant tout ou partie de la largeur de la chaussée. Suivant la cause et le mode d'apparition, on les distinguera en fissures de retrait, fissures de joints et en fissures de fatigue.</w:t>
      </w:r>
    </w:p>
    <w:p w14:paraId="70D416FF" w14:textId="77777777" w:rsidR="00E67F89" w:rsidRPr="00E67F89" w:rsidRDefault="00E67F89" w:rsidP="00E67F89">
      <w:r w:rsidRPr="00E67F89">
        <w:lastRenderedPageBreak/>
        <w:t xml:space="preserve">Causes : </w:t>
      </w:r>
    </w:p>
    <w:p w14:paraId="1383246F" w14:textId="77777777" w:rsidR="00E67F89" w:rsidRPr="00E67F89" w:rsidRDefault="00E67F89" w:rsidP="00E67F89">
      <w:r w:rsidRPr="00E67F89">
        <w:t xml:space="preserve">Retrait dû à la prise de l'assise traitée aux liants hydrauliques sous l'effet des variations de température ; la fissure remonte au travers de la couche de surface ; </w:t>
      </w:r>
    </w:p>
    <w:p w14:paraId="29196A1A" w14:textId="77777777" w:rsidR="00E67F89" w:rsidRPr="00E67F89" w:rsidRDefault="00E67F89" w:rsidP="00E67F89">
      <w:r w:rsidRPr="00E67F89">
        <w:t xml:space="preserve">Défaut de mise en œuvre de la couche de roulement (par exemple un mauvais collage entre bandes lors d'une reprise de répendage pour les fissures de joint); </w:t>
      </w:r>
    </w:p>
    <w:p w14:paraId="4F082EA0" w14:textId="77777777" w:rsidR="00E67F89" w:rsidRPr="00E67F89" w:rsidRDefault="00E67F89" w:rsidP="00E67F89">
      <w:r w:rsidRPr="00E67F89">
        <w:t xml:space="preserve">Vieillissement du liant ou une sensibilité du bitume aux variations thermiques ; </w:t>
      </w:r>
    </w:p>
    <w:p w14:paraId="07F19F66" w14:textId="77777777" w:rsidR="00E67F89" w:rsidRPr="00E67F89" w:rsidRDefault="00E67F89" w:rsidP="00E67F89">
      <w:r w:rsidRPr="00E67F89">
        <w:t xml:space="preserve">La fatigue avancée de la chaussée due à la répétition des efforts ou un sous dimensionnement d'une ou de plusieurs couches ; </w:t>
      </w:r>
    </w:p>
    <w:p w14:paraId="5B7CB56A" w14:textId="77777777" w:rsidR="00E67F89" w:rsidRPr="00E67F89" w:rsidRDefault="00E67F89" w:rsidP="00E67F89">
      <w:r w:rsidRPr="00E67F89">
        <w:t>Diminution de portance du sol support (drainage déficient, défaut d'étanchéité de la surface)</w:t>
      </w:r>
    </w:p>
    <w:p w14:paraId="5A488789" w14:textId="77777777" w:rsidR="00E67F89" w:rsidRPr="00E67F89" w:rsidRDefault="00E67F89" w:rsidP="00E67F89">
      <w:r w:rsidRPr="00E67F89">
        <w:t>Evolutions possibles : Les fissures transversales apparaissent soit directement en pleine largeur, soit au droit du passage des roues des véhicules pour s'étendre sur la totalité du profil en travers. Elles peuvent par conséquent augmenter avec le temps. D'abord fines, ces fissures peuvent se ramifier avec épaufrèrent des lèvres et évoluent vers les faïençages, les flaches et les départs de matériaux conduisant ainsi à une destruction généralisée ou localisée de la chaussée.</w:t>
      </w:r>
    </w:p>
    <w:p w14:paraId="2B847F6B" w14:textId="77777777" w:rsidR="00E67F89" w:rsidRPr="00E67F89" w:rsidRDefault="00E67F89" w:rsidP="00E67F89">
      <w:r w:rsidRPr="00E67F89">
        <w:t>Solutions techniques : Les solutions préconisées sont : l'imperméabilisation localisée du revêtement ou colmatage des fissures (pour les fissures superficielles et les fissures du corps de chaussée) et la réfection localisée du corps de chaussée (en cas de graves fissurations sur le corps de la chaussée). L'application d'un enduit superficiel ou de tapis d'enrobé est aussi une alternative.</w:t>
      </w:r>
    </w:p>
    <w:p w14:paraId="1518EDE3" w14:textId="77777777" w:rsidR="00E67F89" w:rsidRPr="00E67F89" w:rsidRDefault="00E67F89" w:rsidP="00E67F89">
      <w:r w:rsidRPr="00E67F89">
        <w:t>Les fissures longitudinales : C’est une famille de dégradations de surface caractérisée par une ligne de rupture apparaissant à la surface de la chaussée sensiblement parallèle à l'axe.</w:t>
      </w:r>
    </w:p>
    <w:p w14:paraId="786AD1E9" w14:textId="77777777" w:rsidR="00E67F89" w:rsidRPr="00E67F89" w:rsidRDefault="00E67F89" w:rsidP="00E67F89">
      <w:r w:rsidRPr="00E67F89">
        <w:t xml:space="preserve">Causes : </w:t>
      </w:r>
    </w:p>
    <w:p w14:paraId="3503DD8B" w14:textId="77777777" w:rsidR="00E67F89" w:rsidRPr="00E67F89" w:rsidRDefault="00E67F89" w:rsidP="00E67F89">
      <w:r w:rsidRPr="00E67F89">
        <w:t xml:space="preserve">Mauvaise construction du joint longitudinal entre deux bandes d’enrobés ; </w:t>
      </w:r>
    </w:p>
    <w:p w14:paraId="7056E7BF" w14:textId="77777777" w:rsidR="00E67F89" w:rsidRPr="00E67F89" w:rsidRDefault="00E67F89" w:rsidP="00E67F89">
      <w:r w:rsidRPr="00E67F89">
        <w:t xml:space="preserve">Mouvement différentiel dans le cas d'élargissement de la chaussée ; </w:t>
      </w:r>
    </w:p>
    <w:p w14:paraId="51058AD0" w14:textId="77777777" w:rsidR="00E67F89" w:rsidRPr="00E67F89" w:rsidRDefault="00E67F89" w:rsidP="00E67F89">
      <w:r w:rsidRPr="00E67F89">
        <w:t xml:space="preserve">Fatigue de la chaussée due à une structure insuffisante vis-à-vis du trafic ou une portance du sol support insuffisante ; </w:t>
      </w:r>
    </w:p>
    <w:p w14:paraId="5CAB344A" w14:textId="77777777" w:rsidR="00E67F89" w:rsidRPr="00E67F89" w:rsidRDefault="00E67F89" w:rsidP="00E67F89">
      <w:r w:rsidRPr="00E67F89">
        <w:t>Les caractéristiques du sol: tassement, retrait du sol argileux à la suite d'une longue période de sécheresse (Assèchement)</w:t>
      </w:r>
    </w:p>
    <w:p w14:paraId="2F01D5D9" w14:textId="77777777" w:rsidR="00E67F89" w:rsidRPr="00E67F89" w:rsidRDefault="00E67F89" w:rsidP="00E67F89">
      <w:r w:rsidRPr="00E67F89">
        <w:t>Evolutions possibles : Elles évoluent vers une épaufrure des bords de fissure favorisant la pénétration de l'eau, une ramification puis un dédoublement de la fissure avec ouverture des lèvres liée au départ de matériaux en bord de fissure. L'évolution aboutit à un faïençage à mailles fines, à un orniérage et des nids de poules lorsque les fissures sont dues à une résistance insuffisante des matériaux d'assise.</w:t>
      </w:r>
    </w:p>
    <w:p w14:paraId="7475ACF0" w14:textId="77777777" w:rsidR="00E67F89" w:rsidRPr="00E67F89" w:rsidRDefault="00E67F89" w:rsidP="00E67F89">
      <w:r w:rsidRPr="00E67F89">
        <w:t>Remèdes : Les solutions préconisées sont les mêmes que celles pour les fissures transversales.</w:t>
      </w:r>
    </w:p>
    <w:p w14:paraId="61785B7C" w14:textId="77777777" w:rsidR="00E67F89" w:rsidRPr="00E67F89" w:rsidRDefault="00E67F89" w:rsidP="00E67F89">
      <w:r w:rsidRPr="00E67F89">
        <w:t>Faïençage : Il s'agit d'un ensemble de fissures entrelacées ou maillées, plus ou moins larges au niveau de la surface de roulement. Les mailles peuvent apparaitre sous forme circulaire ou polygonale communément appelée « peau de crocodile ».</w:t>
      </w:r>
    </w:p>
    <w:p w14:paraId="615A9E41" w14:textId="77777777" w:rsidR="00E67F89" w:rsidRPr="00E67F89" w:rsidRDefault="00E67F89" w:rsidP="00E67F89">
      <w:r w:rsidRPr="00E67F89">
        <w:lastRenderedPageBreak/>
        <w:t xml:space="preserve">Causes : </w:t>
      </w:r>
    </w:p>
    <w:p w14:paraId="6C760744" w14:textId="77777777" w:rsidR="00E67F89" w:rsidRPr="00E67F89" w:rsidRDefault="00E67F89" w:rsidP="00E67F89">
      <w:r w:rsidRPr="00E67F89">
        <w:t xml:space="preserve">Mauvaise mise en œuvre ; </w:t>
      </w:r>
    </w:p>
    <w:p w14:paraId="0701ABE0" w14:textId="77777777" w:rsidR="00E67F89" w:rsidRPr="00E67F89" w:rsidRDefault="00E67F89" w:rsidP="00E67F89">
      <w:r w:rsidRPr="00E67F89">
        <w:t xml:space="preserve">Sous dimensionnement du corps de chaussée (épaisseurs insuffisantes) ; </w:t>
      </w:r>
    </w:p>
    <w:p w14:paraId="662B60B4" w14:textId="77777777" w:rsidR="00E67F89" w:rsidRPr="00E67F89" w:rsidRDefault="00E67F89" w:rsidP="00E67F89">
      <w:r w:rsidRPr="00E67F89">
        <w:t xml:space="preserve">Fatigue de la couche de roulement ou de la totalité de la chaussée (Contraintes de cisaillement excessives engendrées par le trafic lourd) ; </w:t>
      </w:r>
    </w:p>
    <w:p w14:paraId="2929B94D" w14:textId="77777777" w:rsidR="00E67F89" w:rsidRPr="00E67F89" w:rsidRDefault="00E67F89" w:rsidP="00E67F89">
      <w:r w:rsidRPr="00E67F89">
        <w:t xml:space="preserve">Vieillissement du liant caractérisé par un durcissement et un retrait de l’enrobé ; </w:t>
      </w:r>
    </w:p>
    <w:p w14:paraId="40B685A1" w14:textId="77777777" w:rsidR="00E67F89" w:rsidRPr="00E67F89" w:rsidRDefault="00E67F89" w:rsidP="00E67F89">
      <w:r w:rsidRPr="00E67F89">
        <w:t>Non-accrochage de la couche de roulement sur la couche de base</w:t>
      </w:r>
    </w:p>
    <w:p w14:paraId="35315658" w14:textId="77777777" w:rsidR="00E67F89" w:rsidRPr="00E67F89" w:rsidRDefault="00E67F89" w:rsidP="00E67F89">
      <w:r w:rsidRPr="00E67F89">
        <w:t xml:space="preserve">Évolutions possibles : Si aucune opération d'entretien n'est effectuée, on assistera à une augmentation des zones faïencées devenant plus serrées. Le faïençage évolue alors vers un départ de matériaux (entrainant la formation de pelades ou encore de nids de poule) et/ou la chute de portance due à la pénétration de l'eau dans le corps de chaussée. </w:t>
      </w:r>
    </w:p>
    <w:p w14:paraId="40CA342D" w14:textId="77777777" w:rsidR="00E67F89" w:rsidRPr="00E67F89" w:rsidRDefault="00E67F89" w:rsidP="00E67F89">
      <w:r w:rsidRPr="00E67F89">
        <w:t>Remèdes : Dans le cas où le corps de chaussée n'est pas affecté, les solutions préconisées sont la réfection localisée ou la réalisation d'un enduit superficiel qui permet de rétablir l'imperméabilité de la couche de surface. On peut aussi procéder au décapage de la couche de roulement et à la mise en œuvre d'une couche d'enrobé à chaud (après couche d'accrochage). Dans le cas contraire, il faut se résigner à une reprise de la partie concernée.</w:t>
      </w:r>
    </w:p>
    <w:p w14:paraId="284083C2" w14:textId="77777777" w:rsidR="00E67F89" w:rsidRPr="00E67F89" w:rsidRDefault="00E67F89" w:rsidP="00E67F89">
      <w:r w:rsidRPr="00E67F89">
        <w:t>Les arrachements</w:t>
      </w:r>
    </w:p>
    <w:p w14:paraId="4E0B620C" w14:textId="77777777" w:rsidR="00E67F89" w:rsidRPr="00E67F89" w:rsidRDefault="00E67F89" w:rsidP="00E67F89">
      <w:r w:rsidRPr="00E67F89">
        <w:t>Le désenrobage, le plumage et le peignage : Il s'agit de trois phénomènes extrêmement liés pour être traités séparément. Le désenrobage consiste en une disparition du liant enveloppant les granulats d'une couche de revêtement en enrobé. Sous l'effet du trafic, on assiste à un arrachement des gravillons rendant ainsi la surface de roulement rugueuse : c'est le plumage. Quant au peignage, il s'agit aussi d'un arrachement des gravillons du revêtement suivant des lignes parallèles à l'axe de la chaussée.</w:t>
      </w:r>
    </w:p>
    <w:p w14:paraId="25BD4585" w14:textId="77777777" w:rsidR="00E67F89" w:rsidRPr="00E67F89" w:rsidRDefault="00E67F89" w:rsidP="00E67F89">
      <w:r w:rsidRPr="00E67F89">
        <w:br w:type="page"/>
      </w:r>
    </w:p>
    <w:p w14:paraId="6920CD04" w14:textId="77777777" w:rsidR="00E67F89" w:rsidRPr="00E67F89" w:rsidRDefault="00E67F89" w:rsidP="00E67F89">
      <w:r w:rsidRPr="00E67F89">
        <w:lastRenderedPageBreak/>
        <w:t xml:space="preserve">Causes : </w:t>
      </w:r>
    </w:p>
    <w:p w14:paraId="2A65FA28" w14:textId="77777777" w:rsidR="00E67F89" w:rsidRPr="00E67F89" w:rsidRDefault="00E67F89" w:rsidP="00E67F89">
      <w:r w:rsidRPr="00E67F89">
        <w:t xml:space="preserve">Mauvaise qualité des enrobés (Sous-dosage du bitume ou mauvais enrobage) ; </w:t>
      </w:r>
    </w:p>
    <w:p w14:paraId="253A92FF" w14:textId="77777777" w:rsidR="00E67F89" w:rsidRPr="00E67F89" w:rsidRDefault="00E67F89" w:rsidP="00E67F89">
      <w:r w:rsidRPr="00E67F89">
        <w:t xml:space="preserve">Mauvaise adhésivité liant-granulat ; </w:t>
      </w:r>
    </w:p>
    <w:p w14:paraId="5325F888" w14:textId="77777777" w:rsidR="00E67F89" w:rsidRPr="00E67F89" w:rsidRDefault="00E67F89" w:rsidP="00E67F89">
      <w:r w:rsidRPr="00E67F89">
        <w:t xml:space="preserve">Utilisation de granulats hydrophiles ; </w:t>
      </w:r>
    </w:p>
    <w:p w14:paraId="72BC6693" w14:textId="77777777" w:rsidR="00E67F89" w:rsidRPr="00E67F89" w:rsidRDefault="00E67F89" w:rsidP="00E67F89">
      <w:r w:rsidRPr="00E67F89">
        <w:t>Vieillissement du liant à travers le temps ;</w:t>
      </w:r>
    </w:p>
    <w:p w14:paraId="40B80831" w14:textId="77777777" w:rsidR="00E67F89" w:rsidRPr="00E67F89" w:rsidRDefault="00E67F89" w:rsidP="00E67F89">
      <w:r w:rsidRPr="00E67F89">
        <w:t xml:space="preserve">Évolutions possibles : Si aucune opération d'entretien n'est effectuée, le désenrobage évolue en surface et en profondeur. On assiste alors à un arrachement des gravillons, puis à l'apparition de nids de poule. </w:t>
      </w:r>
    </w:p>
    <w:p w14:paraId="6F1F2421" w14:textId="77777777" w:rsidR="00E67F89" w:rsidRPr="00E67F89" w:rsidRDefault="00E67F89" w:rsidP="00E67F89">
      <w:r w:rsidRPr="00E67F89">
        <w:t xml:space="preserve">Remèdes : La solution préconisée est la méthode dite des emplois partiels. Elle permet de traiter aussi bien les plumages que les pelades. Elle consiste, après délimitation et balayage de la zone à traiter, à deux options au choix : </w:t>
      </w:r>
    </w:p>
    <w:p w14:paraId="18B9E826" w14:textId="77777777" w:rsidR="00E67F89" w:rsidRPr="00E67F89" w:rsidRDefault="00E67F89" w:rsidP="00E67F89">
      <w:r w:rsidRPr="00E67F89">
        <w:t>L'imperméabilisation est réalisée avec une émulsion à froid ou du bitume fluidifié à chaud après avoir appliqué une couche d'accrochage. On répand ensuite des gravillons (dimensions 6 à 10 mm) jusqu'à une couverture complète. Enfin, à l'aide d'un petit compacteur, on fait pénétrer les gravillons dans le bitume.</w:t>
      </w:r>
    </w:p>
    <w:p w14:paraId="2F0BAB7C" w14:textId="77777777" w:rsidR="00E67F89" w:rsidRPr="00E67F89" w:rsidRDefault="00E67F89" w:rsidP="00E67F89">
      <w:r w:rsidRPr="00E67F89">
        <w:t>L'application d’enrobé consiste à appliquer sur la zone à réparer du bitume fluidifié à chaud ou une émulsion de bitume afin de constituer une couche d'accrochage. On répand ensuite de l’enrober fin à froid (constitué de gravillons inférieurs à 6 mm) sur la surface à traiter et on compacte à l'aide d'un petit compacteur vibrant ou une dame à la main jusqu'à égalisation de la surface environnante.</w:t>
      </w:r>
    </w:p>
    <w:p w14:paraId="6DBE77EE" w14:textId="77777777" w:rsidR="00E67F89" w:rsidRPr="00E67F89" w:rsidRDefault="00E67F89" w:rsidP="00E67F89">
      <w:r w:rsidRPr="00E67F89">
        <w:t>Pelade : il s'agit d'un décollement du revêtement par plaques plus ou moins grandes.</w:t>
      </w:r>
    </w:p>
    <w:p w14:paraId="3F0BD508" w14:textId="77777777" w:rsidR="00E67F89" w:rsidRPr="00E67F89" w:rsidRDefault="00E67F89" w:rsidP="00E67F89">
      <w:r w:rsidRPr="00E67F89">
        <w:t xml:space="preserve">Causes : </w:t>
      </w:r>
    </w:p>
    <w:p w14:paraId="43F85937" w14:textId="77777777" w:rsidR="00E67F89" w:rsidRPr="00E67F89" w:rsidRDefault="00E67F89" w:rsidP="00E67F89">
      <w:r w:rsidRPr="00E67F89">
        <w:t xml:space="preserve">Défaut d'accrochage de la couche de roulement (nettoyage insuffisant avant la mise en œuvre, mauvaise exécution, présence d'eau à l'interface) ; </w:t>
      </w:r>
    </w:p>
    <w:p w14:paraId="29836D7F" w14:textId="77777777" w:rsidR="00E67F89" w:rsidRPr="00E67F89" w:rsidRDefault="00E67F89" w:rsidP="00E67F89">
      <w:r w:rsidRPr="00E67F89">
        <w:t xml:space="preserve">Absence ou insuffisance de la couche d'accrochage ; </w:t>
      </w:r>
    </w:p>
    <w:p w14:paraId="320C64CC" w14:textId="77777777" w:rsidR="00E67F89" w:rsidRPr="00E67F89" w:rsidRDefault="00E67F89" w:rsidP="00E67F89">
      <w:r w:rsidRPr="00E67F89">
        <w:t>Épaisseur insuffisante de la couche de surface ;</w:t>
      </w:r>
    </w:p>
    <w:p w14:paraId="2083C0C6" w14:textId="77777777" w:rsidR="00E67F89" w:rsidRPr="00E67F89" w:rsidRDefault="00E67F89" w:rsidP="00E67F89">
      <w:r w:rsidRPr="00E67F89">
        <w:t>Évolutions possibles : La pelade évolue vers un arrachement progressif de la couche de surface. Elle s'accompagne aussi d'une altération de l'étanchéité et de l'uni. Elle aboutit enfin vers des nids de poule si elle n'est pas traitée à temps.</w:t>
      </w:r>
    </w:p>
    <w:p w14:paraId="79873D86" w14:textId="77777777" w:rsidR="00E67F89" w:rsidRPr="00E67F89" w:rsidRDefault="00E67F89" w:rsidP="00E67F89">
      <w:r w:rsidRPr="00E67F89">
        <w:t>Remèdes : Lorsque les surfaces concernées ne sont pas importantes, l'entretien consiste en un bouchage aux enrobés adaptés, précédé d'une couche d'accrochage à l'émulsion. Cependant, si la dégradation se généralise, on procédera par reprofilage en enrobé à chaud avec toujours une couche d'accrochage. Une autre solution consiste en l'application d'enduits superficiels.</w:t>
      </w:r>
    </w:p>
    <w:p w14:paraId="54503677" w14:textId="77777777" w:rsidR="00E67F89" w:rsidRPr="00E67F89" w:rsidRDefault="00E67F89" w:rsidP="00E67F89">
      <w:r w:rsidRPr="00E67F89">
        <w:t xml:space="preserve">Nids de poule : Ce sont des désagrégations localisées du revêtement sur toute son épaisseur formant des trous de forme généralement arrondie, au contour bien défini, de tailles et de profondeurs variables. Ils représentent le stade final d'un faïençage, d'une flache, d'un plumage ou </w:t>
      </w:r>
      <w:r w:rsidRPr="00E67F89">
        <w:lastRenderedPageBreak/>
        <w:t>d'une pelade. Plus qu'une gêne, ils constituent souvent en fait un danger sérieux pour la circulation et présentent un réel inconvénient pour l'assainissement</w:t>
      </w:r>
    </w:p>
    <w:p w14:paraId="24464594" w14:textId="77777777" w:rsidR="00E67F89" w:rsidRPr="00E67F89" w:rsidRDefault="00E67F89" w:rsidP="00E67F89">
      <w:r w:rsidRPr="00E67F89">
        <w:t xml:space="preserve">Causes : </w:t>
      </w:r>
    </w:p>
    <w:p w14:paraId="36E80A25" w14:textId="77777777" w:rsidR="00E67F89" w:rsidRPr="00E67F89" w:rsidRDefault="00E67F89" w:rsidP="00E67F89">
      <w:r w:rsidRPr="00E67F89">
        <w:t xml:space="preserve">Défaut localisé de la couche de roulement ou de base lors de la fabrication ou de la mise en œuvre des matériaux ; </w:t>
      </w:r>
    </w:p>
    <w:p w14:paraId="7ED9FCF0" w14:textId="77777777" w:rsidR="00E67F89" w:rsidRPr="00E67F89" w:rsidRDefault="00E67F89" w:rsidP="00E67F89">
      <w:r w:rsidRPr="00E67F89">
        <w:t xml:space="preserve">Épaisseur insuffisante du revêtement ; </w:t>
      </w:r>
    </w:p>
    <w:p w14:paraId="0BC978AE" w14:textId="77777777" w:rsidR="00E67F89" w:rsidRPr="00E67F89" w:rsidRDefault="00E67F89" w:rsidP="00E67F89">
      <w:r w:rsidRPr="00E67F89">
        <w:t xml:space="preserve">Forte perméabilité de la couche de roulement ; </w:t>
      </w:r>
    </w:p>
    <w:p w14:paraId="4B27577E" w14:textId="77777777" w:rsidR="00E67F89" w:rsidRPr="00E67F89" w:rsidRDefault="00E67F89" w:rsidP="00E67F89">
      <w:r w:rsidRPr="00E67F89">
        <w:t xml:space="preserve">Désagrégation et départ de matériaux dus à une mauvaise qualité de la chaussée ; </w:t>
      </w:r>
    </w:p>
    <w:p w14:paraId="3F546406" w14:textId="77777777" w:rsidR="00E67F89" w:rsidRPr="00E67F89" w:rsidRDefault="00E67F89" w:rsidP="00E67F89">
      <w:r w:rsidRPr="00E67F89">
        <w:t>Très souvent, ils correspondent au stade ultime d'autres dégradations (faïençage, flache, désenrobages, pelades...).</w:t>
      </w:r>
    </w:p>
    <w:p w14:paraId="238E1F8F" w14:textId="77777777" w:rsidR="00E67F89" w:rsidRPr="00E67F89" w:rsidRDefault="00E67F89" w:rsidP="00E67F89">
      <w:r w:rsidRPr="00E67F89">
        <w:t>Évolution : Les nids de poule peuvent évoluer vers une augmentation en taille et en nombre des trous et vers la ruine totale de la chaussée. On note aussi une infiltration massive d'eau dans le corps de chaussée. C'est pourquoi, les zones détruites doivent être traitées le plus rapidement possible.</w:t>
      </w:r>
    </w:p>
    <w:p w14:paraId="1E5D8193" w14:textId="77777777" w:rsidR="00E67F89" w:rsidRPr="00E67F89" w:rsidRDefault="00E67F89" w:rsidP="00E67F89">
      <w:r w:rsidRPr="00E67F89">
        <w:t>Remède : Le bouchage de nids de poule consiste à rendre à la chaussée son état initial en rebouchant les nids de poule dès la constatation de leur apparition. Il procède par découpage (bords verticaux), élimination des parties non liées (ce qui implique décapage et nettoyage), accrochage (épandage d'émulsion), remplissage, compactage (intense) et enfin traitement de la surface.</w:t>
      </w:r>
    </w:p>
    <w:p w14:paraId="0440A8F7" w14:textId="77777777" w:rsidR="00E67F89" w:rsidRPr="00E67F89" w:rsidRDefault="00E67F89" w:rsidP="00E67F89">
      <w:r w:rsidRPr="00E67F89">
        <w:t xml:space="preserve">Dentelles de rives : Encore appelées « épaufrures », ce sont des cassures des bords de la chaussée causant ainsi une nette réduction de la largeur de chaussée jusqu'à sa disparition même. </w:t>
      </w:r>
    </w:p>
    <w:p w14:paraId="3F9EC6ED" w14:textId="77777777" w:rsidR="00E67F89" w:rsidRPr="00E67F89" w:rsidRDefault="00E67F89" w:rsidP="00E67F89">
      <w:r w:rsidRPr="00E67F89">
        <w:t xml:space="preserve">Causes : </w:t>
      </w:r>
    </w:p>
    <w:p w14:paraId="4942389B" w14:textId="77777777" w:rsidR="00E67F89" w:rsidRPr="00E67F89" w:rsidRDefault="00E67F89" w:rsidP="00E67F89">
      <w:r w:rsidRPr="00E67F89">
        <w:t xml:space="preserve">Erosion de la couche de roulement à partir des bords de la chaussée ; </w:t>
      </w:r>
    </w:p>
    <w:p w14:paraId="0C82693B" w14:textId="77777777" w:rsidR="00E67F89" w:rsidRPr="00E67F89" w:rsidRDefault="00E67F89" w:rsidP="00E67F89">
      <w:r w:rsidRPr="00E67F89">
        <w:t xml:space="preserve">Mauvais drainage des eaux : l'effet de bord entraine une perte de portance aux abords de l'accotement ; </w:t>
      </w:r>
    </w:p>
    <w:p w14:paraId="020BA486" w14:textId="77777777" w:rsidR="00E67F89" w:rsidRPr="00E67F89" w:rsidRDefault="00E67F89" w:rsidP="00E67F89">
      <w:r w:rsidRPr="00E67F89">
        <w:t xml:space="preserve">Absence de butée latérale ; </w:t>
      </w:r>
    </w:p>
    <w:p w14:paraId="13B362FA" w14:textId="77777777" w:rsidR="00E67F89" w:rsidRPr="00E67F89" w:rsidRDefault="00E67F89" w:rsidP="00E67F89">
      <w:r w:rsidRPr="00E67F89">
        <w:t xml:space="preserve">Compactage insuffisant des rives ; </w:t>
      </w:r>
    </w:p>
    <w:p w14:paraId="63E8D06F" w14:textId="77777777" w:rsidR="00E67F89" w:rsidRPr="00E67F89" w:rsidRDefault="00E67F89" w:rsidP="00E67F89">
      <w:r w:rsidRPr="00E67F89">
        <w:t xml:space="preserve">Chaussée trop étroite : les véhicules circulent sur les accotements ; </w:t>
      </w:r>
    </w:p>
    <w:p w14:paraId="75912B55" w14:textId="77777777" w:rsidR="00E67F89" w:rsidRPr="00E67F89" w:rsidRDefault="00E67F89" w:rsidP="00E67F89">
      <w:r w:rsidRPr="00E67F89">
        <w:t xml:space="preserve">Arrêts fréquents de véhicules sur les accotements ; </w:t>
      </w:r>
    </w:p>
    <w:p w14:paraId="5D384321" w14:textId="77777777" w:rsidR="00E67F89" w:rsidRPr="00E67F89" w:rsidRDefault="00E67F89" w:rsidP="00E67F89">
      <w:r w:rsidRPr="00E67F89">
        <w:t xml:space="preserve">Mauvaise courbure des virages : les virages trop serrés obligent les conducteurs à emprunter les accotements entrainant une usure transversale ; </w:t>
      </w:r>
    </w:p>
    <w:p w14:paraId="52742E84" w14:textId="77777777" w:rsidR="00E67F89" w:rsidRPr="00E67F89" w:rsidRDefault="00E67F89" w:rsidP="00E67F89">
      <w:r w:rsidRPr="00E67F89">
        <w:t>Vieillissement accentué du revêtement ;</w:t>
      </w:r>
    </w:p>
    <w:p w14:paraId="4E295C83" w14:textId="77777777" w:rsidR="00E67F89" w:rsidRPr="00E67F89" w:rsidRDefault="00E67F89" w:rsidP="00E67F89">
      <w:r w:rsidRPr="00E67F89">
        <w:t xml:space="preserve">Évolutions possibles : L'évolution peut revêtir différentes formes : ravinement de la couche de roulement et des couches inférieures mettant en grave péril la partie de la chaussée. Ce ravinement se poursuit dans le temps pour aboutir à un enlèvement pur et simple de la couche de roulement. </w:t>
      </w:r>
    </w:p>
    <w:p w14:paraId="23CEF046" w14:textId="77777777" w:rsidR="00E67F89" w:rsidRPr="00E67F89" w:rsidRDefault="00E67F89" w:rsidP="00E67F89">
      <w:r w:rsidRPr="00E67F89">
        <w:lastRenderedPageBreak/>
        <w:t>Remèdes : Des solutions préventives visant à retarder le phénomène doivent être prises durant la mise en œuvre. Il s'agit de veiller au bon compactage des couches mais surtout du sol support notamment dans les accotements. Aussi, une attention particulière doit être accordée à la protection des accotements contre les effets de l'eau particulièrement l'érosion et du trafic. Dans les solutions curatives, on retiendra la réfection localisée du corps de chaussée et la reprise des conditions de drainage (mise en place de butées).</w:t>
      </w:r>
    </w:p>
    <w:p w14:paraId="54E4695F" w14:textId="77777777" w:rsidR="00E67F89" w:rsidRPr="00E67F89" w:rsidRDefault="00E67F89" w:rsidP="00E67F89">
      <w:r w:rsidRPr="00E67F89">
        <w:t>Réparations : Il s'agit de réparations ponctuelles, concernant une ou plusieurs couches de chaussée et présentant des dégradations plus ou moins importantes sur leur surface ou sur leur contour. Leur nombre, leur étendue et leur fréquence dans le temps sont des éléments du diagnostic.</w:t>
      </w:r>
    </w:p>
    <w:p w14:paraId="59AB4757" w14:textId="77777777" w:rsidR="00E67F89" w:rsidRPr="00E67F89" w:rsidRDefault="00E67F89" w:rsidP="00E67F89">
      <w:r w:rsidRPr="00E67F89">
        <w:t xml:space="preserve">Causes possibles : </w:t>
      </w:r>
    </w:p>
    <w:p w14:paraId="1ADCA8AD" w14:textId="77777777" w:rsidR="00E67F89" w:rsidRPr="00E67F89" w:rsidRDefault="00E67F89" w:rsidP="00E67F89">
      <w:r w:rsidRPr="00E67F89">
        <w:t>Défaut de mise en œuvre des matériaux d'apport (défaut de compactage fréquent)</w:t>
      </w:r>
    </w:p>
    <w:p w14:paraId="1E3FC70C" w14:textId="77777777" w:rsidR="00E67F89" w:rsidRPr="00E67F89" w:rsidRDefault="00E67F89" w:rsidP="00E67F89">
      <w:r w:rsidRPr="00E67F89">
        <w:t xml:space="preserve">Évolutions possibles : Elles sont identiques à celles qui prévalent pour les dégradations apparaissant à la surface de la réparation. </w:t>
      </w:r>
    </w:p>
    <w:p w14:paraId="0FC3D4CE" w14:textId="77777777" w:rsidR="00E67F89" w:rsidRPr="00E67F89" w:rsidRDefault="00E67F89" w:rsidP="00E67F89">
      <w:r w:rsidRPr="00E67F89">
        <w:t>Remèdes : Pour pallier les défauts sur les réparations, on peut procéder au découpage soigné du contour de la dégradation, puis à son rabotage et évacuation des produits. On procède enfin à la mise en œuvre d'enrobé à chaud (couche d'accrochage préalable)</w:t>
      </w:r>
    </w:p>
    <w:p w14:paraId="66C79436" w14:textId="77777777" w:rsidR="00E67F89" w:rsidRPr="00E67F89" w:rsidRDefault="00E67F89" w:rsidP="00E67F89"/>
    <w:p w14:paraId="118DD05C" w14:textId="77777777" w:rsidR="00E67F89" w:rsidRPr="00E67F89" w:rsidRDefault="00E67F89" w:rsidP="00E67F89">
      <w:pPr>
        <w:sectPr w:rsidR="00E67F89" w:rsidRPr="00E67F89" w:rsidSect="00D42025">
          <w:pgSz w:w="11906" w:h="16838"/>
          <w:pgMar w:top="1418" w:right="1134" w:bottom="1134" w:left="1418" w:header="708" w:footer="708" w:gutter="0"/>
          <w:pgNumType w:fmt="upperRoman"/>
          <w:cols w:space="708"/>
          <w:docGrid w:linePitch="360"/>
        </w:sectPr>
      </w:pPr>
    </w:p>
    <w:p w14:paraId="087F0CC0" w14:textId="77777777" w:rsidR="00E67F89" w:rsidRPr="00E67F89" w:rsidRDefault="00E67F89" w:rsidP="00E67F89">
      <w:bookmarkStart w:id="903" w:name="_Toc71770523"/>
      <w:bookmarkStart w:id="904" w:name="_Toc138414171"/>
      <w:bookmarkStart w:id="905" w:name="_Toc230426115"/>
      <w:r w:rsidRPr="00E67F89">
        <w:lastRenderedPageBreak/>
        <w:t xml:space="preserve">Annexe </w:t>
      </w:r>
      <w:r w:rsidRPr="00E67F89">
        <w:fldChar w:fldCharType="begin"/>
      </w:r>
      <w:r w:rsidRPr="00E67F89">
        <w:instrText>SEQ Annexe \* ARABIC</w:instrText>
      </w:r>
      <w:r w:rsidRPr="00E67F89">
        <w:fldChar w:fldCharType="separate"/>
      </w:r>
      <w:r w:rsidRPr="00E67F89">
        <w:t>10</w:t>
      </w:r>
      <w:r w:rsidRPr="00E67F89">
        <w:fldChar w:fldCharType="end"/>
      </w:r>
      <w:r w:rsidRPr="00E67F89">
        <w:t> : INFORMATIONS SUR LE PORT DE MAHAJANGA</w:t>
      </w:r>
      <w:bookmarkEnd w:id="905"/>
    </w:p>
    <w:p w14:paraId="0D18E57D" w14:textId="77777777" w:rsidR="00E67F89" w:rsidRPr="00E67F89" w:rsidRDefault="00E67F89" w:rsidP="00E67F89">
      <w:r w:rsidRPr="00E67F89">
        <w:t>CONTEXTE</w:t>
      </w:r>
    </w:p>
    <w:p w14:paraId="0F28A7AF" w14:textId="77777777" w:rsidR="00E67F89" w:rsidRPr="00E67F89" w:rsidRDefault="00E67F89" w:rsidP="00E67F89">
      <w:r w:rsidRPr="00E67F89">
        <w:t>Les Ports de Madagascar constituent des vecteurs économiques extrêmement importants pour l’économie ainsi que pour la vie quotidienne des régions de l’île. En effet, compte tenu des problèmes actuels pour le déplacement de personnes et de marchandises au travers de l’île, le commerce intérieur et le commerce extérieur de Madagascar demeurent problématiques aujourd’hui. Malgré sa situation insulaire, et hormis le transport par voie aérienne, la voie maritime est aujourd’hui l’épine dorsale de l’économie de Madagascar. Cette voie maritime nécessite une offre portuaire adaptée aux besoins du transport. C’est pourquoi les ports secondaires de Madagascar se doivent d’offrir des services adéquats aux navires et aux marchandises, afin d’optimiser la compétitivité du commerce extérieur de l’île, et afin de na pas surenchérir les couts finaux de livraisons des produits transportés par navires en cabotage ou au long cours.</w:t>
      </w:r>
    </w:p>
    <w:p w14:paraId="25B58BB0" w14:textId="77777777" w:rsidR="00E67F89" w:rsidRPr="00E67F89" w:rsidRDefault="00E67F89" w:rsidP="00E67F89">
      <w:r w:rsidRPr="00E67F89">
        <w:t>Le port de Mahajanga est un port long courrier secondaire où les navires sont opérés sur rade par batelage. Mahajanga assure une desserte maritime de la région d’Antananarivo et est également un port de transbordement pour l’ensemble des ports de cabotages de la côte Ouest.</w:t>
      </w:r>
    </w:p>
    <w:p w14:paraId="40BCB1BC" w14:textId="77777777" w:rsidR="00E67F89" w:rsidRPr="00E67F89" w:rsidRDefault="00E67F89" w:rsidP="00E67F89">
      <w:r w:rsidRPr="00E67F89">
        <w:t>Les zones principales pouvant être affectées par les travaux de réhabilitation du port comprennent les aires décrites ci-après. Du point de vue biophysique, principalement la zone du port elle-même, qui forme une petite baie dans l’embouchure de la Betsiboka :</w:t>
      </w:r>
    </w:p>
    <w:p w14:paraId="21FB4820" w14:textId="77777777" w:rsidR="00E67F89" w:rsidRPr="00E67F89" w:rsidRDefault="00E67F89" w:rsidP="00E67F89">
      <w:r w:rsidRPr="00E67F89">
        <w:t>A moindre échelle l’embouchure de la Betsiboka elle-même</w:t>
      </w:r>
    </w:p>
    <w:p w14:paraId="400AAA66" w14:textId="77777777" w:rsidR="00E67F89" w:rsidRPr="00E67F89" w:rsidRDefault="00E67F89" w:rsidP="00E67F89">
      <w:r w:rsidRPr="00E67F89">
        <w:t>La ville de Mahajanga, et en particulier les alentours du port et ses accès</w:t>
      </w:r>
    </w:p>
    <w:p w14:paraId="7437DC6D" w14:textId="77777777" w:rsidR="00E67F89" w:rsidRPr="00E67F89" w:rsidRDefault="00E67F89" w:rsidP="00E67F89">
      <w:r w:rsidRPr="00E67F89">
        <w:t>La zone des carrières et emprunts pour la fourniture des matériaux nécessaires</w:t>
      </w:r>
    </w:p>
    <w:p w14:paraId="1E10257B" w14:textId="77777777" w:rsidR="00E67F89" w:rsidRPr="00E67F89" w:rsidRDefault="00E67F89" w:rsidP="00E67F89">
      <w:r w:rsidRPr="00E67F89">
        <w:t>Le site de dépôt des produits de drague ainsi que la route d’accès vers ce site (principalement la RNP4)</w:t>
      </w:r>
    </w:p>
    <w:p w14:paraId="6C7A981A" w14:textId="77777777" w:rsidR="00E67F89" w:rsidRPr="00E67F89" w:rsidRDefault="00E67F89" w:rsidP="00E67F89">
      <w:r w:rsidRPr="00E67F89">
        <w:t>L’Hinterland du port</w:t>
      </w:r>
    </w:p>
    <w:p w14:paraId="362A1508" w14:textId="77777777" w:rsidR="00E67F89" w:rsidRPr="00E67F89" w:rsidRDefault="00E67F89" w:rsidP="00E67F89">
      <w:r w:rsidRPr="00E67F89">
        <w:t>Les infrastructures au port de Mahajanga sont très dégradées et elles ne sont pas épargnées à chaque période cyclonique. C’est dans ce sens que les conditions techniques et logistiques ne correspondent pas aujourd’hui aux attentes des clients, chargeurs et armateurs.</w:t>
      </w:r>
    </w:p>
    <w:p w14:paraId="0775A9DA" w14:textId="77777777" w:rsidR="00E67F89" w:rsidRPr="00E67F89" w:rsidRDefault="00E67F89" w:rsidP="00E67F89">
      <w:r w:rsidRPr="00E67F89">
        <w:t>HISTORIQUE DU PORT DE MAHAJANGA</w:t>
      </w:r>
    </w:p>
    <w:p w14:paraId="4801D0C9" w14:textId="77777777" w:rsidR="00E67F89" w:rsidRPr="00E67F89" w:rsidRDefault="00E67F89" w:rsidP="00E67F89">
      <w:r w:rsidRPr="00E67F89">
        <w:t xml:space="preserve">Le port de batelage se compose de l’ancien port aux boutres (133 m) et de 755 mètres de quais construits au fil du temps, accostables pour les chalands, les petits caboteurs et les unités de faible tirant d’eau. Le Port de Mahajanga a été construit depuis les années 30 : Quai Orsini (154 m – 1934) ; Quai Coste (96 m – prolongement du quai Orsini) ; Quai Vuillemin (154 m – 1950) ; Quai Barriquand construit en 2 phase (Ouest 120 m en 1950 – Est 60 m en 1972) et nouveau quai (172 m – 2001). </w:t>
      </w:r>
    </w:p>
    <w:p w14:paraId="08B37887" w14:textId="77777777" w:rsidR="00E67F89" w:rsidRPr="00E67F89" w:rsidRDefault="00E67F89" w:rsidP="00E67F89">
      <w:r w:rsidRPr="00E67F89">
        <w:t>Le port a fait l’objet de réparation en 1985, suite au passage du cyclone Kamisy dans la région. En 1990, des travaux de réhabilitation ont été effectués dans le cadre du premier projet portuaire financé par la Banque Mondiale.</w:t>
      </w:r>
    </w:p>
    <w:p w14:paraId="68238DC9" w14:textId="77777777" w:rsidR="00E67F89" w:rsidRPr="00E67F89" w:rsidRDefault="00E67F89" w:rsidP="00E67F89">
      <w:r w:rsidRPr="00E67F89">
        <w:lastRenderedPageBreak/>
        <w:t>En 2001, le Port a connu une forte croissance de conteneurisation. Un nouveau quai de 172 ml et un terre-plein en arrière du quai de 12.000 m² ont été réalisés sur financement Banque Mondiale (APL1) afin de permettre au port de s’adapter au trafic conteneurs.</w:t>
      </w:r>
    </w:p>
    <w:p w14:paraId="37034172" w14:textId="77777777" w:rsidR="00E67F89" w:rsidRPr="00E67F89" w:rsidRDefault="00E67F89" w:rsidP="00E67F89">
      <w:r w:rsidRPr="00E67F89">
        <w:t xml:space="preserve">La conteneurisation s’intensifie de plus en plus et en 2003, il s’avérait nécessaire d’augmenter la surface de terre-plein pour les conteneurs. En effet, les terre-pleins réhabilités en 1990 n’étaient pas conçus pour supporter les engins de manutention des conteneurs. Une superficie de terre-plein de 11.800 m² a été confortée. </w:t>
      </w:r>
    </w:p>
    <w:p w14:paraId="12F27BB2" w14:textId="77777777" w:rsidR="00E67F89" w:rsidRPr="00E67F89" w:rsidRDefault="00E67F89" w:rsidP="00E67F89">
      <w:r w:rsidRPr="00E67F89">
        <w:t>Les quais (autre que le quai de 2001) très dégradés ont été programmées pour être réhabilités dans le cadre de l’APL3 de la Banque Mondiale en 2004. Mais par insuffisance de crédit, le programme a été ajourné.</w:t>
      </w:r>
    </w:p>
    <w:p w14:paraId="7B8027DD" w14:textId="77777777" w:rsidR="00E67F89" w:rsidRPr="00E67F89" w:rsidRDefault="00E67F89" w:rsidP="00E67F89">
      <w:r w:rsidRPr="00E67F89">
        <w:t>Le nouveau quai construit en 2001 nécessite actuellement des travaux de réparation.</w:t>
      </w:r>
    </w:p>
    <w:p w14:paraId="7E863F12" w14:textId="77777777" w:rsidR="00E67F89" w:rsidRPr="00E67F89" w:rsidRDefault="00E67F89" w:rsidP="00E67F89">
      <w:r w:rsidRPr="00E67F89">
        <w:t>La structure des terre-pleins confortée auparavant ne supporte plus le trafic et les engins répondant au traitement des trafics et conditionnement actuel.</w:t>
      </w:r>
    </w:p>
    <w:p w14:paraId="7F2E840E" w14:textId="77777777" w:rsidR="00E67F89" w:rsidRPr="00E67F89" w:rsidRDefault="00E67F89" w:rsidP="00E67F89">
      <w:r w:rsidRPr="00E67F89">
        <w:t>Les passages de cyclones ont accentué, de beaucoup, la dégradation très avancée des quais et des terre-pleins, de telle sorte qu’une intervention urgente est nécessaire pour qu’il n’y ait pas d’effondrement des ouvrages.</w:t>
      </w:r>
    </w:p>
    <w:p w14:paraId="368D0A4B" w14:textId="77777777" w:rsidR="00E67F89" w:rsidRPr="00E67F89" w:rsidRDefault="00E67F89" w:rsidP="00E67F89">
      <w:r w:rsidRPr="00E67F89">
        <w:t>SYNTHESE DES PRINCIPALES OBSERVATIONS RELATIVES AUX INFRASTRUCTURES</w:t>
      </w:r>
    </w:p>
    <w:p w14:paraId="5BD0A6CD" w14:textId="77777777" w:rsidR="00E67F89" w:rsidRPr="00E67F89" w:rsidRDefault="00E67F89" w:rsidP="00E67F89">
      <w:r w:rsidRPr="00E67F89">
        <w:t>L’état du quai Coste (96 m) est extrêmement préoccupant : Les palplanches et les réparations de fortunes faites dessus au début des années 1990 sont totalement corrodées / dégradées ; ce quai menace de s’effondrer à tout moment. Dans une moindre mesure, une situation similaire est constatée au quai Barriquand II (60 m) dont les pieux métalliques sont totalement corrodés, avec là aussi un risque d’effondrement réel ;</w:t>
      </w:r>
    </w:p>
    <w:p w14:paraId="6E9BF238" w14:textId="77777777" w:rsidR="00E67F89" w:rsidRPr="00E67F89" w:rsidRDefault="00E67F89" w:rsidP="00E67F89">
      <w:r w:rsidRPr="00E67F89">
        <w:t>Le quai Vuillemin d’une longueur totale de 154 m, formant un angle saillant avec le quai Coste et ayant une profondeur d’eau à quai de 1,00 m (marée basse de vive eau), est un quai sur pieux en béton armé surmonté d’une dalle en béton armé. À l’exception de l’escalier et des deux pieux effondrés, la structure maritime ne semble pas en péril bien qu’elle nécessite des réparations urgentes (parement en béton armé éclaté avec corrosion de certains aciers) ainsi que la mise en place d’équipements de quais appropriées ;</w:t>
      </w:r>
    </w:p>
    <w:p w14:paraId="6FA82FD3" w14:textId="77777777" w:rsidR="00E67F89" w:rsidRPr="00E67F89" w:rsidRDefault="00E67F89" w:rsidP="00E67F89">
      <w:r w:rsidRPr="00E67F89">
        <w:t xml:space="preserve">Les principaux problèmes rencontrés au niveau du quai Vuillemin sont les suivants : </w:t>
      </w:r>
    </w:p>
    <w:p w14:paraId="223F97A2" w14:textId="77777777" w:rsidR="00E67F89" w:rsidRPr="00E67F89" w:rsidRDefault="00E67F89" w:rsidP="00E67F89">
      <w:r w:rsidRPr="00E67F89">
        <w:t>La structure du quai (et notamment de la dalle qui le surmonte) n’a pas été conçue pour supporter du trafic lourd et notamment de conteneurs ; ceci est la raison pour laquelle, lors des études antérieures, Il a été préconisé son rempiètement (reconstruction totale) de façon à ce qu’il puisse être utilisé pour la manutention des conteneurs ;</w:t>
      </w:r>
    </w:p>
    <w:p w14:paraId="7CA8DD91" w14:textId="77777777" w:rsidR="00E67F89" w:rsidRPr="00E67F89" w:rsidRDefault="00E67F89" w:rsidP="00E67F89">
      <w:r w:rsidRPr="00E67F89">
        <w:t>Il y a également un problème structurel au niveau de l’arrière de la dalle de quai sous laquelle se trouve un talus en enrochement. Cette protection en enrochement en désordre et qui a besoin de rechargement a pour conséquence une fuite importante des matériaux du terre-plein et un très fort affaissement de celui-ci derrière la dalle dépasse une vingtaine de centimètres.</w:t>
      </w:r>
    </w:p>
    <w:p w14:paraId="7548FAF5" w14:textId="77777777" w:rsidR="00E67F89" w:rsidRPr="00E67F89" w:rsidRDefault="00E67F89" w:rsidP="00E67F89">
      <w:r w:rsidRPr="00E67F89">
        <w:lastRenderedPageBreak/>
        <w:t xml:space="preserve">L’état catastrophique d’une grande partie des terre-pleins, notamment bord à quai et qui présentent de très fortes déformations, complique les conditions d’exploitation ; conduisant à dégrader les engins de manutention. </w:t>
      </w:r>
    </w:p>
    <w:p w14:paraId="0BD08FCE" w14:textId="77777777" w:rsidR="00E67F89" w:rsidRPr="00E67F89" w:rsidRDefault="00E67F89" w:rsidP="00E67F89">
      <w:r w:rsidRPr="00E67F89">
        <w:t>Les opérations portuaires sont handicapées par la limitation des profondeurs due à la sédimentation.</w:t>
      </w:r>
    </w:p>
    <w:p w14:paraId="5B297C9E" w14:textId="77777777" w:rsidR="00E67F89" w:rsidRPr="00E67F89" w:rsidRDefault="00E67F89" w:rsidP="00E67F89">
      <w:r w:rsidRPr="00E67F89">
        <w:t>DESCRIPTION SUCCINTE DU SOUS-PROJET</w:t>
      </w:r>
    </w:p>
    <w:p w14:paraId="619EAEBC" w14:textId="77777777" w:rsidR="00E67F89" w:rsidRPr="00E67F89" w:rsidRDefault="00E67F89" w:rsidP="00E67F89">
      <w:r w:rsidRPr="00E67F89">
        <w:t>Le sous-Projet comprendrait les travaux à réaliser pour éviter tout risque d’interruption des opérations portuaires (reconstruction du quai Coste et quai Vuillemin) tout en offrant des conditions d’exploitation qui soient conformes aux standards internationaux (réhabilitation / renforcement des terre-pleins) aux opérations terrestres :</w:t>
      </w:r>
    </w:p>
    <w:p w14:paraId="1FA24D5F" w14:textId="77777777" w:rsidR="00E67F89" w:rsidRPr="00E67F89" w:rsidRDefault="00E67F89" w:rsidP="00E67F89">
      <w:r w:rsidRPr="00E67F89">
        <w:t xml:space="preserve">La reconstruction du quai Coste est urgentissime du fait des risques réels d’effondrement à court terme ; en même temps; </w:t>
      </w:r>
    </w:p>
    <w:p w14:paraId="307EFEA5" w14:textId="77777777" w:rsidR="00E67F89" w:rsidRPr="00E67F89" w:rsidRDefault="00E67F89" w:rsidP="00E67F89">
      <w:r w:rsidRPr="00E67F89">
        <w:t>Au quai Vuillemin, les travaux concernent :</w:t>
      </w:r>
    </w:p>
    <w:p w14:paraId="12FBBE36" w14:textId="77777777" w:rsidR="00E67F89" w:rsidRPr="00E67F89" w:rsidRDefault="00E67F89" w:rsidP="00E67F89">
      <w:r w:rsidRPr="00E67F89">
        <w:t>La reprise de la zone en arrière de la dalle du quai avec construction d’un mur de soutènement (en béton ou en palplanches) destiné à éviter les fuites de matériaux au niveau du talus situé sous le quai ;</w:t>
      </w:r>
    </w:p>
    <w:p w14:paraId="5EBCCEEB" w14:textId="77777777" w:rsidR="00E67F89" w:rsidRPr="00E67F89" w:rsidRDefault="00E67F89" w:rsidP="00E67F89">
      <w:r w:rsidRPr="00E67F89">
        <w:t>La réparation du quai (poutre de couronnement, pieux) avec reconstruction des deux pieux effondrés ;</w:t>
      </w:r>
    </w:p>
    <w:p w14:paraId="0C5AFB25" w14:textId="77777777" w:rsidR="00E67F89" w:rsidRPr="00E67F89" w:rsidRDefault="00E67F89" w:rsidP="00E67F89">
      <w:r w:rsidRPr="00E67F89">
        <w:t>La fourniture d’équipements appropriés du quai.</w:t>
      </w:r>
    </w:p>
    <w:p w14:paraId="196171E4" w14:textId="77777777" w:rsidR="00E67F89" w:rsidRPr="00E67F89" w:rsidRDefault="00E67F89" w:rsidP="00E67F89">
      <w:r w:rsidRPr="00E67F89">
        <w:t>La réhabilitation / renforcement de tous les terre-pleins en pavé de béton bord à quai et derrière les quais avec une structure lourde adaptée au trafic et aux engins utilisés (pavés de béton sur couche de base épaisse en grave ciment et couche de fondation épaisse en graves non traitées) ;</w:t>
      </w:r>
    </w:p>
    <w:p w14:paraId="4A5AFB30" w14:textId="77777777" w:rsidR="00E67F89" w:rsidRPr="00E67F89" w:rsidRDefault="00E67F89" w:rsidP="00E67F89">
      <w:r w:rsidRPr="00E67F89">
        <w:t>Le tableau ci-après résume les types d’activités à entreprendre pour chaque type de travaux</w:t>
      </w:r>
    </w:p>
    <w:tbl>
      <w:tblPr>
        <w:tblStyle w:val="TableGrid"/>
        <w:tblW w:w="0" w:type="auto"/>
        <w:tblLook w:val="04A0" w:firstRow="1" w:lastRow="0" w:firstColumn="1" w:lastColumn="0" w:noHBand="0" w:noVBand="1"/>
      </w:tblPr>
      <w:tblGrid>
        <w:gridCol w:w="3002"/>
        <w:gridCol w:w="6344"/>
      </w:tblGrid>
      <w:tr w:rsidR="00E67F89" w:rsidRPr="00E67F89" w14:paraId="26452F1D" w14:textId="77777777" w:rsidTr="00223F64">
        <w:tc>
          <w:tcPr>
            <w:tcW w:w="2740" w:type="dxa"/>
            <w:shd w:val="clear" w:color="auto" w:fill="D9E2F3" w:themeFill="accent1" w:themeFillTint="33"/>
          </w:tcPr>
          <w:p w14:paraId="1F634598" w14:textId="77777777" w:rsidR="00E67F89" w:rsidRPr="00E67F89" w:rsidRDefault="00E67F89" w:rsidP="00E67F89">
            <w:r w:rsidRPr="00E67F89">
              <w:t>TRAVAUX</w:t>
            </w:r>
          </w:p>
        </w:tc>
        <w:tc>
          <w:tcPr>
            <w:tcW w:w="6832" w:type="dxa"/>
            <w:shd w:val="clear" w:color="auto" w:fill="D9E2F3" w:themeFill="accent1" w:themeFillTint="33"/>
          </w:tcPr>
          <w:p w14:paraId="3E7193F0" w14:textId="77777777" w:rsidR="00E67F89" w:rsidRPr="00E67F89" w:rsidRDefault="00E67F89" w:rsidP="00E67F89">
            <w:r w:rsidRPr="00E67F89">
              <w:t>ACTIVITES A REALISER</w:t>
            </w:r>
          </w:p>
        </w:tc>
      </w:tr>
      <w:tr w:rsidR="00E67F89" w:rsidRPr="00E67F89" w14:paraId="671916E2" w14:textId="77777777" w:rsidTr="00223F64">
        <w:tc>
          <w:tcPr>
            <w:tcW w:w="2740" w:type="dxa"/>
          </w:tcPr>
          <w:p w14:paraId="472D259B" w14:textId="77777777" w:rsidR="00E67F89" w:rsidRPr="00E67F89" w:rsidRDefault="00E67F89" w:rsidP="00E67F89">
            <w:r w:rsidRPr="00E67F89">
              <w:t>Reconstruction quai Coste et quai Vuillemin</w:t>
            </w:r>
          </w:p>
        </w:tc>
        <w:tc>
          <w:tcPr>
            <w:tcW w:w="6832" w:type="dxa"/>
          </w:tcPr>
          <w:p w14:paraId="2A087C62" w14:textId="77777777" w:rsidR="00E67F89" w:rsidRPr="00E67F89" w:rsidRDefault="00E67F89" w:rsidP="00E67F89">
            <w:r w:rsidRPr="00E67F89">
              <w:t>Battage de rideau de palplanche depuis le quai existant</w:t>
            </w:r>
          </w:p>
          <w:p w14:paraId="2298839C" w14:textId="77777777" w:rsidR="00E67F89" w:rsidRPr="00E67F89" w:rsidRDefault="00E67F89" w:rsidP="00E67F89">
            <w:r w:rsidRPr="00E67F89">
              <w:t>Réalisation talus de retour</w:t>
            </w:r>
          </w:p>
          <w:p w14:paraId="4FFDC080" w14:textId="77777777" w:rsidR="00E67F89" w:rsidRPr="00E67F89" w:rsidRDefault="00E67F89" w:rsidP="00E67F89">
            <w:r w:rsidRPr="00E67F89">
              <w:t>Démolition et évacuation des structures existantes</w:t>
            </w:r>
          </w:p>
          <w:p w14:paraId="54CEDD9E" w14:textId="77777777" w:rsidR="00E67F89" w:rsidRPr="00E67F89" w:rsidRDefault="00E67F89" w:rsidP="00E67F89">
            <w:r w:rsidRPr="00E67F89">
              <w:t>Remblaiements à l’intérieur de la zone délimitée par le rideau de palplanche et le talus de retour</w:t>
            </w:r>
          </w:p>
          <w:p w14:paraId="1F18DE8D" w14:textId="77777777" w:rsidR="00E67F89" w:rsidRPr="00E67F89" w:rsidRDefault="00E67F89" w:rsidP="00E67F89">
            <w:r w:rsidRPr="00E67F89">
              <w:t>Déblai des matériaux du terre-plein en arrière du quai actuel</w:t>
            </w:r>
          </w:p>
          <w:p w14:paraId="181E8D22" w14:textId="77777777" w:rsidR="00E67F89" w:rsidRPr="00E67F89" w:rsidRDefault="00E67F89" w:rsidP="00E67F89">
            <w:r w:rsidRPr="00E67F89">
              <w:t>Finalisation du quai et du terre-plein</w:t>
            </w:r>
          </w:p>
        </w:tc>
      </w:tr>
      <w:tr w:rsidR="00E67F89" w:rsidRPr="00E67F89" w14:paraId="0F3FA937" w14:textId="77777777" w:rsidTr="00223F64">
        <w:tc>
          <w:tcPr>
            <w:tcW w:w="2740" w:type="dxa"/>
          </w:tcPr>
          <w:p w14:paraId="488FCB85" w14:textId="77777777" w:rsidR="00E67F89" w:rsidRPr="00E67F89" w:rsidRDefault="00E67F89" w:rsidP="00E67F89">
            <w:r w:rsidRPr="00E67F89">
              <w:t>Fourniture d’équipement du quai</w:t>
            </w:r>
          </w:p>
        </w:tc>
        <w:tc>
          <w:tcPr>
            <w:tcW w:w="6832" w:type="dxa"/>
          </w:tcPr>
          <w:p w14:paraId="4F7F8AFA" w14:textId="77777777" w:rsidR="00E67F89" w:rsidRPr="00E67F89" w:rsidRDefault="00E67F89" w:rsidP="00E67F89">
            <w:r w:rsidRPr="00E67F89">
              <w:t>Poutre de couronnement équipée de bollards régulièrement espacés</w:t>
            </w:r>
          </w:p>
          <w:p w14:paraId="6B03749B" w14:textId="77777777" w:rsidR="00E67F89" w:rsidRPr="00E67F89" w:rsidRDefault="00E67F89" w:rsidP="00E67F89">
            <w:r w:rsidRPr="00E67F89">
              <w:t>Poutre de couronnement équipée d’organeaux régulièrement espacés</w:t>
            </w:r>
          </w:p>
          <w:p w14:paraId="7E9D4BB3" w14:textId="77777777" w:rsidR="00E67F89" w:rsidRPr="00E67F89" w:rsidRDefault="00E67F89" w:rsidP="00E67F89">
            <w:r w:rsidRPr="00E67F89">
              <w:t xml:space="preserve">Défenses de parements cylindriques suspendues aux organeaux </w:t>
            </w:r>
          </w:p>
          <w:p w14:paraId="736E19B8" w14:textId="77777777" w:rsidR="00E67F89" w:rsidRPr="00E67F89" w:rsidRDefault="00E67F89" w:rsidP="00E67F89">
            <w:r w:rsidRPr="00E67F89">
              <w:t>Défenses en profilés métalliques</w:t>
            </w:r>
          </w:p>
          <w:p w14:paraId="61DDA63F" w14:textId="77777777" w:rsidR="00E67F89" w:rsidRPr="00E67F89" w:rsidRDefault="00E67F89" w:rsidP="00E67F89">
            <w:r w:rsidRPr="00E67F89">
              <w:t>Echelles régulièrement espacées</w:t>
            </w:r>
          </w:p>
        </w:tc>
      </w:tr>
      <w:tr w:rsidR="00E67F89" w:rsidRPr="00E67F89" w14:paraId="62C1B5D2" w14:textId="77777777" w:rsidTr="00223F64">
        <w:tc>
          <w:tcPr>
            <w:tcW w:w="2740" w:type="dxa"/>
          </w:tcPr>
          <w:p w14:paraId="184B4CCB" w14:textId="77777777" w:rsidR="00E67F89" w:rsidRPr="00E67F89" w:rsidRDefault="00E67F89" w:rsidP="00E67F89">
            <w:r w:rsidRPr="00E67F89">
              <w:lastRenderedPageBreak/>
              <w:t>Réhabilitation/Renforcement des terre-pleins</w:t>
            </w:r>
          </w:p>
        </w:tc>
        <w:tc>
          <w:tcPr>
            <w:tcW w:w="6832" w:type="dxa"/>
          </w:tcPr>
          <w:p w14:paraId="1BCDC8DC" w14:textId="77777777" w:rsidR="00E67F89" w:rsidRPr="00E67F89" w:rsidRDefault="00E67F89" w:rsidP="00E67F89">
            <w:r w:rsidRPr="00E67F89">
              <w:t>Purge vase de surface</w:t>
            </w:r>
          </w:p>
          <w:p w14:paraId="409F73D8" w14:textId="77777777" w:rsidR="00E67F89" w:rsidRPr="00E67F89" w:rsidRDefault="00E67F89" w:rsidP="00E67F89">
            <w:r w:rsidRPr="00E67F89">
              <w:t>Réalisation des talus périphériques</w:t>
            </w:r>
          </w:p>
          <w:p w14:paraId="402BE9BB" w14:textId="77777777" w:rsidR="00E67F89" w:rsidRPr="00E67F89" w:rsidRDefault="00E67F89" w:rsidP="00E67F89">
            <w:r w:rsidRPr="00E67F89">
              <w:t>Remblaiement de la zone</w:t>
            </w:r>
          </w:p>
          <w:p w14:paraId="6FB2709D" w14:textId="77777777" w:rsidR="00E67F89" w:rsidRPr="00E67F89" w:rsidRDefault="00E67F89" w:rsidP="00E67F89">
            <w:r w:rsidRPr="00E67F89">
              <w:t>Mise en place de revêtement léger de surface</w:t>
            </w:r>
          </w:p>
          <w:p w14:paraId="2B973464" w14:textId="77777777" w:rsidR="00E67F89" w:rsidRPr="00E67F89" w:rsidRDefault="00E67F89" w:rsidP="00E67F89">
            <w:r w:rsidRPr="00E67F89">
              <w:t>Equipement en VRD</w:t>
            </w:r>
          </w:p>
        </w:tc>
      </w:tr>
    </w:tbl>
    <w:p w14:paraId="3C691CCB" w14:textId="77777777" w:rsidR="00E67F89" w:rsidRPr="00E67F89" w:rsidRDefault="00E67F89" w:rsidP="00E67F89"/>
    <w:p w14:paraId="278279FB" w14:textId="77777777" w:rsidR="00E67F89" w:rsidRPr="00E67F89" w:rsidRDefault="00E67F89" w:rsidP="00E67F89">
      <w:r w:rsidRPr="00E67F89">
        <w:t>POINTS D’ATTENTION PARTICULIERE</w:t>
      </w:r>
    </w:p>
    <w:p w14:paraId="538E4AAE" w14:textId="77777777" w:rsidR="00E67F89" w:rsidRPr="00E67F89" w:rsidRDefault="00E67F89" w:rsidP="00E67F89">
      <w:r w:rsidRPr="00E67F89">
        <w:t>Le sous-projet travaux sur le port de Mahajanga doit être assujetti à une étude d’impact environnemental au vu de l’ampleur des travaux à entreprendre. Ainsi, les points ci-après doit faire l’objet d’une attention particulière afin de minimiser les impacts des travaux sur l’environnement, le milieu physique et le milieu social :</w:t>
      </w:r>
    </w:p>
    <w:p w14:paraId="14D3CD68" w14:textId="77777777" w:rsidR="00E67F89" w:rsidRPr="00E67F89" w:rsidRDefault="00E67F89" w:rsidP="00E67F89">
      <w:r w:rsidRPr="00E67F89">
        <w:t>Les sites de dépôts des produits de fouille : que ce soit les produits de démolition des quais existants et les produits de fouille de l’actuel terre-plein, ces produits seront stockés dans une chambre confinée au niveau du quai Barriquand et seront retournés à son emplacement d’origine comme partie des remblais. Le transport de ces produits se font par bateau à fond plat du type barge. Ainsi, les risques de déversement accidentel de ces produits au niveau de la mer durant les travaux seront à considérer spécifiquement durant l’élaboration de l’EIES afférent à ce sous-projet.</w:t>
      </w:r>
    </w:p>
    <w:p w14:paraId="1C7BBA3E" w14:textId="77777777" w:rsidR="00E67F89" w:rsidRPr="00E67F89" w:rsidRDefault="00E67F89" w:rsidP="00E67F89">
      <w:r w:rsidRPr="00E67F89">
        <w:t>La sécurisation du trafic : Comme mentionné ci-haut, les zones potentielles pour l’emplacement des sites de dépôt se situent sur la RNP4. Actuellement, la route menant à la sortie de la ville de Mahajanga est assujettie à des embouteillages permanents suite à la prolifération des tricycles et des bus collectifs qui ne respectent pas du tout la règle de la circulation. Aussi, les mouvements fréquents des camions pour le transport des matériaux utiles pour les travaux ainsi que pour le transport des produits de fouille vont renforcer ces embouteillages. Des mesures de sécurité stricte et des plans de gestion des trafics feront l’objet d’une attention particulière pour minimiser les gènes occasionnés par les travaux envers les riverains.</w:t>
      </w:r>
    </w:p>
    <w:p w14:paraId="51A49D7C" w14:textId="77777777" w:rsidR="00E67F89" w:rsidRPr="00E67F89" w:rsidRDefault="00E67F89" w:rsidP="00E67F89">
      <w:r w:rsidRPr="00E67F89">
        <w:t>La gestion des déchets : les zones de travaux se situent dans la proximité immédiate de la mer. Aussi, la gestion des déchets générés par les travaux est à tenir en compte très particulièrement dans l’élaboration de l’EIES et durant la mise en œuvre des travaux afin de minimiser les risques de pollutions de la mer par les travaux à entreprendre.</w:t>
      </w:r>
    </w:p>
    <w:p w14:paraId="333A8A65" w14:textId="77777777" w:rsidR="00E67F89" w:rsidRPr="00E67F89" w:rsidRDefault="00E67F89" w:rsidP="00E67F89">
      <w:r w:rsidRPr="00E67F89">
        <w:t>Le bon voisinage : Etant donné que le port de Mahajanga se situe dans l’agglomération de la ville de Mahajanga, et d’autres activités portuaires se font en simultané avec les travaux (existence d’autres quais encore fonctionnels), le respect du bon voisinage constitue l’un des points d’attention particulière que ce soit dans l’élaboration des outils de Gestion environnementale (EIES par exemple) que durant la conduite des travaux. Le respect du bon voisinage se traduit par la facilitation de la communication avec les riverains et l’évitement des conflits sociaux. C’est dans ce sens que les campagnes d’information auprès des riverains et la mise en place des mécanismes de gestion des plaintes serviront des moyens efficaces afin d’asseoir un bon voisinage durant la conduite des travaux.</w:t>
      </w:r>
    </w:p>
    <w:p w14:paraId="67DC1131" w14:textId="77777777" w:rsidR="00E67F89" w:rsidRPr="00E67F89" w:rsidRDefault="00E67F89" w:rsidP="00E67F89">
      <w:r w:rsidRPr="00E67F89">
        <w:br w:type="page"/>
      </w:r>
    </w:p>
    <w:p w14:paraId="008C701A" w14:textId="77777777" w:rsidR="00E67F89" w:rsidRPr="00E67F89" w:rsidRDefault="00E67F89" w:rsidP="00E67F89">
      <w:bookmarkStart w:id="906" w:name="_Toc230426116"/>
      <w:r w:rsidRPr="00E67F89">
        <w:lastRenderedPageBreak/>
        <w:t xml:space="preserve">Annexe </w:t>
      </w:r>
      <w:r w:rsidRPr="00E67F89">
        <w:fldChar w:fldCharType="begin"/>
      </w:r>
      <w:r w:rsidRPr="00E67F89">
        <w:instrText xml:space="preserve"> SEQ Annexe \* ARABIC </w:instrText>
      </w:r>
      <w:r w:rsidRPr="00E67F89">
        <w:fldChar w:fldCharType="separate"/>
      </w:r>
      <w:r w:rsidRPr="00E67F89">
        <w:t>11</w:t>
      </w:r>
      <w:r w:rsidRPr="00E67F89">
        <w:fldChar w:fldCharType="end"/>
      </w:r>
      <w:r w:rsidRPr="00E67F89">
        <w:t> : Modèle de Fiche d’examen environnemental et social préliminaire</w:t>
      </w:r>
      <w:bookmarkEnd w:id="903"/>
      <w:bookmarkEnd w:id="904"/>
      <w:bookmarkEnd w:id="906"/>
    </w:p>
    <w:p w14:paraId="26B54D1E" w14:textId="77777777" w:rsidR="00E67F89" w:rsidRPr="00E67F89" w:rsidRDefault="00E67F89" w:rsidP="00E67F89"/>
    <w:p w14:paraId="145C502B" w14:textId="77777777" w:rsidR="00E67F89" w:rsidRPr="00E67F89" w:rsidRDefault="00E67F89" w:rsidP="00E67F89">
      <w:r w:rsidRPr="00E67F89">
        <w:t>1.</w:t>
      </w:r>
      <w:r w:rsidRPr="00E67F89">
        <w:tab/>
        <w:t>INFORMATIONS GENERALES</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20" w:firstRow="1" w:lastRow="0" w:firstColumn="0" w:lastColumn="0" w:noHBand="0" w:noVBand="1"/>
      </w:tblPr>
      <w:tblGrid>
        <w:gridCol w:w="4361"/>
        <w:gridCol w:w="283"/>
        <w:gridCol w:w="4962"/>
      </w:tblGrid>
      <w:tr w:rsidR="00E67F89" w:rsidRPr="00E67F89" w14:paraId="61C6815F" w14:textId="77777777" w:rsidTr="00223F64">
        <w:trPr>
          <w:trHeight w:val="392"/>
        </w:trPr>
        <w:tc>
          <w:tcPr>
            <w:tcW w:w="4361" w:type="dxa"/>
            <w:tcBorders>
              <w:right w:val="nil"/>
            </w:tcBorders>
            <w:vAlign w:val="center"/>
          </w:tcPr>
          <w:p w14:paraId="347C3F8D" w14:textId="77777777" w:rsidR="00E67F89" w:rsidRPr="00E67F89" w:rsidRDefault="00E67F89" w:rsidP="00E67F89">
            <w:r w:rsidRPr="00E67F89">
              <w:t xml:space="preserve">Initiateur du projet </w:t>
            </w:r>
          </w:p>
        </w:tc>
        <w:tc>
          <w:tcPr>
            <w:tcW w:w="283" w:type="dxa"/>
            <w:tcBorders>
              <w:left w:val="nil"/>
              <w:right w:val="nil"/>
            </w:tcBorders>
            <w:vAlign w:val="center"/>
          </w:tcPr>
          <w:p w14:paraId="1D9ECFB7" w14:textId="77777777" w:rsidR="00E67F89" w:rsidRPr="00E67F89" w:rsidRDefault="00E67F89" w:rsidP="00E67F89">
            <w:r w:rsidRPr="00E67F89">
              <w:t>:</w:t>
            </w:r>
          </w:p>
        </w:tc>
        <w:tc>
          <w:tcPr>
            <w:tcW w:w="4962" w:type="dxa"/>
            <w:tcBorders>
              <w:left w:val="nil"/>
            </w:tcBorders>
            <w:vAlign w:val="center"/>
          </w:tcPr>
          <w:p w14:paraId="7093663F" w14:textId="77777777" w:rsidR="00E67F89" w:rsidRPr="00E67F89" w:rsidRDefault="00E67F89" w:rsidP="00E67F89"/>
        </w:tc>
      </w:tr>
      <w:tr w:rsidR="00E67F89" w:rsidRPr="00E67F89" w14:paraId="72B42254" w14:textId="77777777" w:rsidTr="00223F64">
        <w:trPr>
          <w:trHeight w:val="392"/>
        </w:trPr>
        <w:tc>
          <w:tcPr>
            <w:tcW w:w="4361" w:type="dxa"/>
            <w:tcBorders>
              <w:right w:val="nil"/>
            </w:tcBorders>
            <w:vAlign w:val="center"/>
          </w:tcPr>
          <w:p w14:paraId="175E1320" w14:textId="77777777" w:rsidR="00E67F89" w:rsidRPr="00E67F89" w:rsidRDefault="00E67F89" w:rsidP="00E67F89">
            <w:r w:rsidRPr="00E67F89">
              <w:t xml:space="preserve">Nom du responsable technique du sous-projet </w:t>
            </w:r>
          </w:p>
        </w:tc>
        <w:tc>
          <w:tcPr>
            <w:tcW w:w="283" w:type="dxa"/>
            <w:tcBorders>
              <w:left w:val="nil"/>
              <w:right w:val="nil"/>
            </w:tcBorders>
            <w:vAlign w:val="center"/>
          </w:tcPr>
          <w:p w14:paraId="0F105E89" w14:textId="77777777" w:rsidR="00E67F89" w:rsidRPr="00E67F89" w:rsidRDefault="00E67F89" w:rsidP="00E67F89">
            <w:r w:rsidRPr="00E67F89">
              <w:t>:</w:t>
            </w:r>
          </w:p>
        </w:tc>
        <w:tc>
          <w:tcPr>
            <w:tcW w:w="4962" w:type="dxa"/>
            <w:tcBorders>
              <w:left w:val="nil"/>
            </w:tcBorders>
            <w:vAlign w:val="center"/>
          </w:tcPr>
          <w:p w14:paraId="0207722F" w14:textId="77777777" w:rsidR="00E67F89" w:rsidRPr="00E67F89" w:rsidRDefault="00E67F89" w:rsidP="00E67F89"/>
        </w:tc>
      </w:tr>
      <w:tr w:rsidR="00E67F89" w:rsidRPr="00E67F89" w14:paraId="6A254D9E" w14:textId="77777777" w:rsidTr="00223F64">
        <w:trPr>
          <w:trHeight w:val="392"/>
        </w:trPr>
        <w:tc>
          <w:tcPr>
            <w:tcW w:w="4361" w:type="dxa"/>
            <w:tcBorders>
              <w:right w:val="nil"/>
            </w:tcBorders>
            <w:vAlign w:val="center"/>
          </w:tcPr>
          <w:p w14:paraId="0395E5A3" w14:textId="77777777" w:rsidR="00E67F89" w:rsidRPr="00E67F89" w:rsidRDefault="00E67F89" w:rsidP="00E67F89">
            <w:r w:rsidRPr="00E67F89">
              <w:t xml:space="preserve">Titre du sous-projet </w:t>
            </w:r>
          </w:p>
        </w:tc>
        <w:tc>
          <w:tcPr>
            <w:tcW w:w="283" w:type="dxa"/>
            <w:tcBorders>
              <w:left w:val="nil"/>
              <w:right w:val="nil"/>
            </w:tcBorders>
            <w:vAlign w:val="center"/>
          </w:tcPr>
          <w:p w14:paraId="28973EA9" w14:textId="77777777" w:rsidR="00E67F89" w:rsidRPr="00E67F89" w:rsidRDefault="00E67F89" w:rsidP="00E67F89">
            <w:r w:rsidRPr="00E67F89">
              <w:t>:</w:t>
            </w:r>
          </w:p>
        </w:tc>
        <w:tc>
          <w:tcPr>
            <w:tcW w:w="4962" w:type="dxa"/>
            <w:tcBorders>
              <w:left w:val="nil"/>
            </w:tcBorders>
            <w:vAlign w:val="center"/>
          </w:tcPr>
          <w:p w14:paraId="4D4BA5D2" w14:textId="77777777" w:rsidR="00E67F89" w:rsidRPr="00E67F89" w:rsidRDefault="00E67F89" w:rsidP="00E67F89"/>
        </w:tc>
      </w:tr>
      <w:tr w:rsidR="00E67F89" w:rsidRPr="00E67F89" w14:paraId="73582B4C" w14:textId="77777777" w:rsidTr="00223F64">
        <w:trPr>
          <w:trHeight w:val="392"/>
        </w:trPr>
        <w:tc>
          <w:tcPr>
            <w:tcW w:w="4361" w:type="dxa"/>
            <w:tcBorders>
              <w:right w:val="nil"/>
            </w:tcBorders>
            <w:vAlign w:val="center"/>
          </w:tcPr>
          <w:p w14:paraId="341F888E" w14:textId="77777777" w:rsidR="00E67F89" w:rsidRPr="00E67F89" w:rsidRDefault="00E67F89" w:rsidP="00E67F89">
            <w:r w:rsidRPr="00E67F89">
              <w:t xml:space="preserve">Localisation </w:t>
            </w:r>
          </w:p>
        </w:tc>
        <w:tc>
          <w:tcPr>
            <w:tcW w:w="283" w:type="dxa"/>
            <w:tcBorders>
              <w:left w:val="nil"/>
              <w:right w:val="nil"/>
            </w:tcBorders>
            <w:vAlign w:val="center"/>
          </w:tcPr>
          <w:p w14:paraId="38C6877A" w14:textId="77777777" w:rsidR="00E67F89" w:rsidRPr="00E67F89" w:rsidRDefault="00E67F89" w:rsidP="00E67F89">
            <w:r w:rsidRPr="00E67F89">
              <w:t>:</w:t>
            </w:r>
          </w:p>
        </w:tc>
        <w:tc>
          <w:tcPr>
            <w:tcW w:w="4962" w:type="dxa"/>
            <w:tcBorders>
              <w:left w:val="nil"/>
            </w:tcBorders>
            <w:vAlign w:val="center"/>
          </w:tcPr>
          <w:p w14:paraId="33482FA2" w14:textId="77777777" w:rsidR="00E67F89" w:rsidRPr="00E67F89" w:rsidRDefault="00E67F89" w:rsidP="00E67F89"/>
        </w:tc>
      </w:tr>
    </w:tbl>
    <w:p w14:paraId="1881ED76" w14:textId="77777777" w:rsidR="00E67F89" w:rsidRPr="00E67F89" w:rsidRDefault="00E67F89" w:rsidP="00E67F89"/>
    <w:p w14:paraId="4B7F7C3E" w14:textId="77777777" w:rsidR="00E67F89" w:rsidRPr="00E67F89" w:rsidRDefault="00E67F89" w:rsidP="00E67F89">
      <w:r w:rsidRPr="00E67F89">
        <w:t>2.</w:t>
      </w:r>
      <w:r w:rsidRPr="00E67F89">
        <w:tab/>
        <w:t>DESCRIPTION ET JUSTIFICATION DU SOUS-PROJET</w:t>
      </w:r>
    </w:p>
    <w:p w14:paraId="74CE2F16" w14:textId="77777777" w:rsidR="00E67F89" w:rsidRPr="00E67F89" w:rsidRDefault="00E67F89" w:rsidP="00E67F89">
      <w:r w:rsidRPr="00E67F89">
        <w:t>Brève description du projet</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20" w:firstRow="1" w:lastRow="0" w:firstColumn="0" w:lastColumn="0" w:noHBand="0" w:noVBand="1"/>
      </w:tblPr>
      <w:tblGrid>
        <w:gridCol w:w="4606"/>
        <w:gridCol w:w="5000"/>
      </w:tblGrid>
      <w:tr w:rsidR="00E67F89" w:rsidRPr="00E67F89" w14:paraId="349561D7" w14:textId="77777777" w:rsidTr="00223F64">
        <w:trPr>
          <w:trHeight w:val="353"/>
        </w:trPr>
        <w:tc>
          <w:tcPr>
            <w:tcW w:w="4606" w:type="dxa"/>
            <w:vAlign w:val="center"/>
          </w:tcPr>
          <w:p w14:paraId="24F153A8" w14:textId="77777777" w:rsidR="00E67F89" w:rsidRPr="00E67F89" w:rsidRDefault="00E67F89" w:rsidP="00E67F89">
            <w:r w:rsidRPr="00E67F89">
              <w:t>Localisation du projet</w:t>
            </w:r>
          </w:p>
        </w:tc>
        <w:tc>
          <w:tcPr>
            <w:tcW w:w="5000" w:type="dxa"/>
            <w:vAlign w:val="center"/>
          </w:tcPr>
          <w:p w14:paraId="592326D3" w14:textId="77777777" w:rsidR="00E67F89" w:rsidRPr="00E67F89" w:rsidRDefault="00E67F89" w:rsidP="00E67F89"/>
        </w:tc>
      </w:tr>
      <w:tr w:rsidR="00E67F89" w:rsidRPr="00E67F89" w14:paraId="31D26612" w14:textId="77777777" w:rsidTr="00223F64">
        <w:trPr>
          <w:trHeight w:val="353"/>
        </w:trPr>
        <w:tc>
          <w:tcPr>
            <w:tcW w:w="4606" w:type="dxa"/>
            <w:vAlign w:val="center"/>
          </w:tcPr>
          <w:p w14:paraId="61D7523D" w14:textId="77777777" w:rsidR="00E67F89" w:rsidRPr="00E67F89" w:rsidRDefault="00E67F89" w:rsidP="00E67F89">
            <w:r w:rsidRPr="00E67F89">
              <w:t>Différentes composantes du projet</w:t>
            </w:r>
          </w:p>
        </w:tc>
        <w:tc>
          <w:tcPr>
            <w:tcW w:w="5000" w:type="dxa"/>
            <w:vAlign w:val="center"/>
          </w:tcPr>
          <w:p w14:paraId="1C7AE5E6" w14:textId="77777777" w:rsidR="00E67F89" w:rsidRPr="00E67F89" w:rsidRDefault="00E67F89" w:rsidP="00E67F89"/>
        </w:tc>
      </w:tr>
      <w:tr w:rsidR="00E67F89" w:rsidRPr="00E67F89" w14:paraId="1BB94301" w14:textId="77777777" w:rsidTr="00223F64">
        <w:trPr>
          <w:trHeight w:val="353"/>
        </w:trPr>
        <w:tc>
          <w:tcPr>
            <w:tcW w:w="4606" w:type="dxa"/>
            <w:vAlign w:val="center"/>
          </w:tcPr>
          <w:p w14:paraId="6FA29F3F" w14:textId="77777777" w:rsidR="00E67F89" w:rsidRPr="00E67F89" w:rsidRDefault="00E67F89" w:rsidP="00E67F89">
            <w:r w:rsidRPr="00E67F89">
              <w:t>Activités de construction</w:t>
            </w:r>
          </w:p>
        </w:tc>
        <w:tc>
          <w:tcPr>
            <w:tcW w:w="5000" w:type="dxa"/>
            <w:vAlign w:val="center"/>
          </w:tcPr>
          <w:p w14:paraId="4CC42481" w14:textId="77777777" w:rsidR="00E67F89" w:rsidRPr="00E67F89" w:rsidRDefault="00E67F89" w:rsidP="00E67F89"/>
        </w:tc>
      </w:tr>
      <w:tr w:rsidR="00E67F89" w:rsidRPr="00E67F89" w14:paraId="147569EE" w14:textId="77777777" w:rsidTr="00223F64">
        <w:trPr>
          <w:trHeight w:val="353"/>
        </w:trPr>
        <w:tc>
          <w:tcPr>
            <w:tcW w:w="4606" w:type="dxa"/>
            <w:vAlign w:val="center"/>
          </w:tcPr>
          <w:p w14:paraId="2D4C448C" w14:textId="77777777" w:rsidR="00E67F89" w:rsidRPr="00E67F89" w:rsidRDefault="00E67F89" w:rsidP="00E67F89">
            <w:r w:rsidRPr="00E67F89">
              <w:t>Main d’œuvre</w:t>
            </w:r>
          </w:p>
        </w:tc>
        <w:tc>
          <w:tcPr>
            <w:tcW w:w="5000" w:type="dxa"/>
            <w:vAlign w:val="center"/>
          </w:tcPr>
          <w:p w14:paraId="61EE77C3" w14:textId="77777777" w:rsidR="00E67F89" w:rsidRPr="00E67F89" w:rsidRDefault="00E67F89" w:rsidP="00E67F89"/>
        </w:tc>
      </w:tr>
      <w:tr w:rsidR="00E67F89" w:rsidRPr="00E67F89" w14:paraId="6AF3CC97" w14:textId="77777777" w:rsidTr="00223F64">
        <w:trPr>
          <w:trHeight w:val="353"/>
        </w:trPr>
        <w:tc>
          <w:tcPr>
            <w:tcW w:w="4606" w:type="dxa"/>
            <w:vAlign w:val="center"/>
          </w:tcPr>
          <w:p w14:paraId="776D8D20" w14:textId="77777777" w:rsidR="00E67F89" w:rsidRPr="00E67F89" w:rsidRDefault="00E67F89" w:rsidP="00E67F89">
            <w:r w:rsidRPr="00E67F89">
              <w:t>Origine et utilisation des matières premières</w:t>
            </w:r>
          </w:p>
        </w:tc>
        <w:tc>
          <w:tcPr>
            <w:tcW w:w="5000" w:type="dxa"/>
            <w:vAlign w:val="center"/>
          </w:tcPr>
          <w:p w14:paraId="40CBF145" w14:textId="77777777" w:rsidR="00E67F89" w:rsidRPr="00E67F89" w:rsidRDefault="00E67F89" w:rsidP="00E67F89"/>
        </w:tc>
      </w:tr>
      <w:tr w:rsidR="00E67F89" w:rsidRPr="00E67F89" w14:paraId="45F8589D" w14:textId="77777777" w:rsidTr="00223F64">
        <w:trPr>
          <w:trHeight w:val="353"/>
        </w:trPr>
        <w:tc>
          <w:tcPr>
            <w:tcW w:w="4606" w:type="dxa"/>
            <w:vAlign w:val="center"/>
          </w:tcPr>
          <w:p w14:paraId="25FCA59B" w14:textId="77777777" w:rsidR="00E67F89" w:rsidRPr="00E67F89" w:rsidRDefault="00E67F89" w:rsidP="00E67F89">
            <w:r w:rsidRPr="00E67F89">
              <w:t>Méthodes de production</w:t>
            </w:r>
          </w:p>
        </w:tc>
        <w:tc>
          <w:tcPr>
            <w:tcW w:w="5000" w:type="dxa"/>
            <w:vAlign w:val="center"/>
          </w:tcPr>
          <w:p w14:paraId="686A02BF" w14:textId="77777777" w:rsidR="00E67F89" w:rsidRPr="00E67F89" w:rsidRDefault="00E67F89" w:rsidP="00E67F89"/>
        </w:tc>
      </w:tr>
      <w:tr w:rsidR="00E67F89" w:rsidRPr="00E67F89" w14:paraId="7A99E0E9" w14:textId="77777777" w:rsidTr="00223F64">
        <w:trPr>
          <w:trHeight w:val="353"/>
        </w:trPr>
        <w:tc>
          <w:tcPr>
            <w:tcW w:w="4606" w:type="dxa"/>
            <w:vAlign w:val="center"/>
          </w:tcPr>
          <w:p w14:paraId="636C6935" w14:textId="77777777" w:rsidR="00E67F89" w:rsidRPr="00E67F89" w:rsidRDefault="00E67F89" w:rsidP="00E67F89">
            <w:r w:rsidRPr="00E67F89">
              <w:t>Produits, rejets liquides, solides et gazeux anticipés</w:t>
            </w:r>
          </w:p>
        </w:tc>
        <w:tc>
          <w:tcPr>
            <w:tcW w:w="5000" w:type="dxa"/>
            <w:vAlign w:val="center"/>
          </w:tcPr>
          <w:p w14:paraId="510CFEDA" w14:textId="77777777" w:rsidR="00E67F89" w:rsidRPr="00E67F89" w:rsidRDefault="00E67F89" w:rsidP="00E67F89"/>
        </w:tc>
      </w:tr>
      <w:tr w:rsidR="00E67F89" w:rsidRPr="00E67F89" w14:paraId="694975CC" w14:textId="77777777" w:rsidTr="00223F64">
        <w:trPr>
          <w:trHeight w:val="353"/>
        </w:trPr>
        <w:tc>
          <w:tcPr>
            <w:tcW w:w="4606" w:type="dxa"/>
            <w:vAlign w:val="center"/>
          </w:tcPr>
          <w:p w14:paraId="7C56442D" w14:textId="77777777" w:rsidR="00E67F89" w:rsidRPr="00E67F89" w:rsidRDefault="00E67F89" w:rsidP="00E67F89">
            <w:r w:rsidRPr="00E67F89">
              <w:t>Sources de nuisances tels le bruit et les odeurs</w:t>
            </w:r>
          </w:p>
        </w:tc>
        <w:tc>
          <w:tcPr>
            <w:tcW w:w="5000" w:type="dxa"/>
            <w:vAlign w:val="center"/>
          </w:tcPr>
          <w:p w14:paraId="1482642B" w14:textId="77777777" w:rsidR="00E67F89" w:rsidRPr="00E67F89" w:rsidRDefault="00E67F89" w:rsidP="00E67F89"/>
        </w:tc>
      </w:tr>
      <w:tr w:rsidR="00E67F89" w:rsidRPr="00E67F89" w14:paraId="35B5582B" w14:textId="77777777" w:rsidTr="00223F64">
        <w:trPr>
          <w:trHeight w:val="353"/>
        </w:trPr>
        <w:tc>
          <w:tcPr>
            <w:tcW w:w="4606" w:type="dxa"/>
            <w:vAlign w:val="center"/>
          </w:tcPr>
          <w:p w14:paraId="42390B72" w14:textId="77777777" w:rsidR="00E67F89" w:rsidRPr="00E67F89" w:rsidRDefault="00E67F89" w:rsidP="00E67F89">
            <w:r w:rsidRPr="00E67F89">
              <w:t>Programme des travaux</w:t>
            </w:r>
          </w:p>
        </w:tc>
        <w:tc>
          <w:tcPr>
            <w:tcW w:w="5000" w:type="dxa"/>
            <w:vAlign w:val="center"/>
          </w:tcPr>
          <w:p w14:paraId="2178E351" w14:textId="77777777" w:rsidR="00E67F89" w:rsidRPr="00E67F89" w:rsidRDefault="00E67F89" w:rsidP="00E67F89"/>
        </w:tc>
      </w:tr>
      <w:tr w:rsidR="00E67F89" w:rsidRPr="00E67F89" w14:paraId="54D024E4" w14:textId="77777777" w:rsidTr="00223F64">
        <w:trPr>
          <w:trHeight w:val="353"/>
        </w:trPr>
        <w:tc>
          <w:tcPr>
            <w:tcW w:w="4606" w:type="dxa"/>
            <w:vAlign w:val="center"/>
          </w:tcPr>
          <w:p w14:paraId="090436E0" w14:textId="77777777" w:rsidR="00E67F89" w:rsidRPr="00E67F89" w:rsidRDefault="00E67F89" w:rsidP="00E67F89">
            <w:r w:rsidRPr="00E67F89">
              <w:t>Budget prévu</w:t>
            </w:r>
          </w:p>
        </w:tc>
        <w:tc>
          <w:tcPr>
            <w:tcW w:w="5000" w:type="dxa"/>
            <w:vAlign w:val="center"/>
          </w:tcPr>
          <w:p w14:paraId="01B9ED45" w14:textId="77777777" w:rsidR="00E67F89" w:rsidRPr="00E67F89" w:rsidRDefault="00E67F89" w:rsidP="00E67F89"/>
        </w:tc>
      </w:tr>
    </w:tbl>
    <w:p w14:paraId="50241AD7" w14:textId="77777777" w:rsidR="00E67F89" w:rsidRPr="00E67F89" w:rsidRDefault="00E67F89" w:rsidP="00E67F89">
      <w:r w:rsidRPr="00E67F89">
        <w:t>Planification du projet</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06"/>
        <w:gridCol w:w="5000"/>
      </w:tblGrid>
      <w:tr w:rsidR="00E67F89" w:rsidRPr="00E67F89" w14:paraId="3B55D341" w14:textId="77777777" w:rsidTr="00223F64">
        <w:tc>
          <w:tcPr>
            <w:tcW w:w="4606" w:type="dxa"/>
          </w:tcPr>
          <w:p w14:paraId="14269D0C" w14:textId="77777777" w:rsidR="00E67F89" w:rsidRPr="00E67F89" w:rsidRDefault="00E67F89" w:rsidP="00E67F89">
            <w:r w:rsidRPr="00E67F89">
              <w:t>Adéquation du projet dans la planification régionale ou urbaine concernée et sa cohérence avec ces plans.</w:t>
            </w:r>
          </w:p>
          <w:p w14:paraId="2863A143" w14:textId="77777777" w:rsidR="00E67F89" w:rsidRPr="00E67F89" w:rsidRDefault="00E67F89" w:rsidP="00E67F89">
            <w:r w:rsidRPr="00E67F89">
              <w:t xml:space="preserve">Activités de planification environnementale du projet pour minimiser les impacts environnementaux et sociaux du sous- projet, notamment en termes de réinstallation involontaire, et optimiser le choix du site. </w:t>
            </w:r>
          </w:p>
        </w:tc>
        <w:tc>
          <w:tcPr>
            <w:tcW w:w="5000" w:type="dxa"/>
          </w:tcPr>
          <w:p w14:paraId="112E6142" w14:textId="77777777" w:rsidR="00E67F89" w:rsidRPr="00E67F89" w:rsidRDefault="00E67F89" w:rsidP="00E67F89"/>
        </w:tc>
      </w:tr>
    </w:tbl>
    <w:p w14:paraId="669639E1" w14:textId="77777777" w:rsidR="00E67F89" w:rsidRPr="00E67F89" w:rsidRDefault="00E67F89" w:rsidP="00E67F89">
      <w:r w:rsidRPr="00E67F89">
        <w:t>Justification du sous-projet</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06"/>
        <w:gridCol w:w="5000"/>
      </w:tblGrid>
      <w:tr w:rsidR="00E67F89" w:rsidRPr="00E67F89" w14:paraId="5853F77F" w14:textId="77777777" w:rsidTr="00223F64">
        <w:tc>
          <w:tcPr>
            <w:tcW w:w="4606" w:type="dxa"/>
          </w:tcPr>
          <w:p w14:paraId="2C3761B4" w14:textId="77777777" w:rsidR="00E67F89" w:rsidRPr="00E67F89" w:rsidRDefault="00E67F89" w:rsidP="00E67F89">
            <w:r w:rsidRPr="00E67F89">
              <w:lastRenderedPageBreak/>
              <w:t>Situation actuelle du secteur concerné, problèmes ou besoins qui nécessitent d’être satisfaits par le projet et contraintes liées à sa mise en œuvre</w:t>
            </w:r>
          </w:p>
        </w:tc>
        <w:tc>
          <w:tcPr>
            <w:tcW w:w="5000" w:type="dxa"/>
          </w:tcPr>
          <w:p w14:paraId="63ABFE9F" w14:textId="77777777" w:rsidR="00E67F89" w:rsidRPr="00E67F89" w:rsidRDefault="00E67F89" w:rsidP="00E67F89"/>
        </w:tc>
      </w:tr>
    </w:tbl>
    <w:p w14:paraId="284AA5E5" w14:textId="77777777" w:rsidR="00E67F89" w:rsidRPr="00E67F89" w:rsidRDefault="00E67F89" w:rsidP="00E67F89">
      <w:r w:rsidRPr="00E67F89">
        <w:br w:type="page"/>
      </w:r>
    </w:p>
    <w:p w14:paraId="52CB051A" w14:textId="77777777" w:rsidR="00E67F89" w:rsidRPr="00E67F89" w:rsidRDefault="00E67F89" w:rsidP="00E67F89">
      <w:r w:rsidRPr="00E67F89">
        <w:lastRenderedPageBreak/>
        <w:t>3.</w:t>
      </w:r>
      <w:r w:rsidRPr="00E67F89">
        <w:tab/>
        <w:t>IDENTIFICATION DES IMPACTS ENVIRONNEMENTAUX ET SOCIAUX</w:t>
      </w:r>
    </w:p>
    <w:p w14:paraId="518F9827" w14:textId="77777777" w:rsidR="00E67F89" w:rsidRPr="00E67F89" w:rsidRDefault="00E67F89" w:rsidP="00E67F89">
      <w:r w:rsidRPr="00E67F89">
        <w:t xml:space="preserve">Identification des impacts sur les travaux de réhabilitation : </w:t>
      </w:r>
    </w:p>
    <w:tbl>
      <w:tblPr>
        <w:tblW w:w="97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211"/>
        <w:gridCol w:w="706"/>
        <w:gridCol w:w="707"/>
        <w:gridCol w:w="3099"/>
      </w:tblGrid>
      <w:tr w:rsidR="00E67F89" w:rsidRPr="00E67F89" w14:paraId="19C995C4" w14:textId="77777777" w:rsidTr="00223F64">
        <w:trPr>
          <w:tblHeader/>
        </w:trPr>
        <w:tc>
          <w:tcPr>
            <w:tcW w:w="5211" w:type="dxa"/>
            <w:shd w:val="clear" w:color="auto" w:fill="D9D9D9" w:themeFill="background1" w:themeFillShade="D9"/>
            <w:vAlign w:val="center"/>
          </w:tcPr>
          <w:p w14:paraId="0CCCE49E" w14:textId="77777777" w:rsidR="00E67F89" w:rsidRPr="00E67F89" w:rsidRDefault="00E67F89" w:rsidP="00E67F89">
            <w:r w:rsidRPr="00E67F89">
              <w:t>QUESTIONS</w:t>
            </w:r>
          </w:p>
        </w:tc>
        <w:tc>
          <w:tcPr>
            <w:tcW w:w="706" w:type="dxa"/>
            <w:shd w:val="clear" w:color="auto" w:fill="D9D9D9" w:themeFill="background1" w:themeFillShade="D9"/>
            <w:vAlign w:val="center"/>
          </w:tcPr>
          <w:p w14:paraId="2B6B29B6" w14:textId="77777777" w:rsidR="00E67F89" w:rsidRPr="00E67F89" w:rsidRDefault="00E67F89" w:rsidP="00E67F89">
            <w:r w:rsidRPr="00E67F89">
              <w:t>OUI</w:t>
            </w:r>
          </w:p>
        </w:tc>
        <w:tc>
          <w:tcPr>
            <w:tcW w:w="707" w:type="dxa"/>
            <w:shd w:val="clear" w:color="auto" w:fill="D9D9D9" w:themeFill="background1" w:themeFillShade="D9"/>
            <w:vAlign w:val="center"/>
          </w:tcPr>
          <w:p w14:paraId="492BFA51" w14:textId="77777777" w:rsidR="00E67F89" w:rsidRPr="00E67F89" w:rsidRDefault="00E67F89" w:rsidP="00E67F89">
            <w:r w:rsidRPr="00E67F89">
              <w:t>NON</w:t>
            </w:r>
          </w:p>
        </w:tc>
        <w:tc>
          <w:tcPr>
            <w:tcW w:w="3094" w:type="dxa"/>
            <w:shd w:val="clear" w:color="auto" w:fill="D9D9D9" w:themeFill="background1" w:themeFillShade="D9"/>
            <w:vAlign w:val="center"/>
          </w:tcPr>
          <w:p w14:paraId="372ECF0A" w14:textId="77777777" w:rsidR="00E67F89" w:rsidRPr="00E67F89" w:rsidRDefault="00E67F89" w:rsidP="00E67F89">
            <w:r w:rsidRPr="00E67F89">
              <w:t>OBSERVATIONS</w:t>
            </w:r>
          </w:p>
        </w:tc>
      </w:tr>
      <w:tr w:rsidR="00E67F89" w:rsidRPr="00E67F89" w14:paraId="772B7751" w14:textId="77777777" w:rsidTr="00223F64">
        <w:tc>
          <w:tcPr>
            <w:tcW w:w="9723" w:type="dxa"/>
            <w:gridSpan w:val="4"/>
            <w:vAlign w:val="center"/>
          </w:tcPr>
          <w:p w14:paraId="65833F97" w14:textId="77777777" w:rsidR="00E67F89" w:rsidRPr="00E67F89" w:rsidRDefault="00E67F89" w:rsidP="00E67F89">
            <w:r w:rsidRPr="00E67F89">
              <w:t>Diversité Biologique</w:t>
            </w:r>
          </w:p>
        </w:tc>
      </w:tr>
      <w:tr w:rsidR="00E67F89" w:rsidRPr="00E67F89" w14:paraId="22E9CCCC" w14:textId="77777777" w:rsidTr="00223F64">
        <w:tc>
          <w:tcPr>
            <w:tcW w:w="5211" w:type="dxa"/>
            <w:vAlign w:val="center"/>
          </w:tcPr>
          <w:p w14:paraId="598D5B1B" w14:textId="77777777" w:rsidR="00E67F89" w:rsidRPr="00E67F89" w:rsidRDefault="00E67F89" w:rsidP="00E67F89">
            <w:r w:rsidRPr="00E67F89">
              <w:t>Le projet risque-t-il de causer des effets sur des espèces rares, vulnérables et/ou importants du point de vue économique, écologique, culturel</w:t>
            </w:r>
          </w:p>
        </w:tc>
        <w:tc>
          <w:tcPr>
            <w:tcW w:w="706" w:type="dxa"/>
            <w:vAlign w:val="center"/>
          </w:tcPr>
          <w:p w14:paraId="1EECFE3E" w14:textId="77777777" w:rsidR="00E67F89" w:rsidRPr="00E67F89" w:rsidRDefault="00E67F89" w:rsidP="00E67F89"/>
        </w:tc>
        <w:tc>
          <w:tcPr>
            <w:tcW w:w="707" w:type="dxa"/>
            <w:vAlign w:val="center"/>
          </w:tcPr>
          <w:p w14:paraId="04E2456D" w14:textId="77777777" w:rsidR="00E67F89" w:rsidRPr="00E67F89" w:rsidRDefault="00E67F89" w:rsidP="00E67F89"/>
        </w:tc>
        <w:tc>
          <w:tcPr>
            <w:tcW w:w="3094" w:type="dxa"/>
            <w:vAlign w:val="center"/>
          </w:tcPr>
          <w:p w14:paraId="778E2336" w14:textId="77777777" w:rsidR="00E67F89" w:rsidRPr="00E67F89" w:rsidRDefault="00E67F89" w:rsidP="00E67F89"/>
        </w:tc>
      </w:tr>
      <w:tr w:rsidR="00E67F89" w:rsidRPr="00E67F89" w14:paraId="02326ABB" w14:textId="77777777" w:rsidTr="00223F64">
        <w:tc>
          <w:tcPr>
            <w:tcW w:w="5211" w:type="dxa"/>
            <w:vAlign w:val="center"/>
          </w:tcPr>
          <w:p w14:paraId="7E628373" w14:textId="77777777" w:rsidR="00E67F89" w:rsidRPr="00E67F89" w:rsidRDefault="00E67F89" w:rsidP="00E67F89">
            <w:r w:rsidRPr="00E67F89">
              <w:t>Y a-t-il des zones de sensibilité environnementale qui pourraient être affectées négativement par le projet ? forêt, zones humides (lacs, rivières, zones d'inondation saisonnières)</w:t>
            </w:r>
          </w:p>
        </w:tc>
        <w:tc>
          <w:tcPr>
            <w:tcW w:w="706" w:type="dxa"/>
            <w:vAlign w:val="center"/>
          </w:tcPr>
          <w:p w14:paraId="2459CEB6" w14:textId="77777777" w:rsidR="00E67F89" w:rsidRPr="00E67F89" w:rsidRDefault="00E67F89" w:rsidP="00E67F89"/>
        </w:tc>
        <w:tc>
          <w:tcPr>
            <w:tcW w:w="707" w:type="dxa"/>
            <w:vAlign w:val="center"/>
          </w:tcPr>
          <w:p w14:paraId="245BE061" w14:textId="77777777" w:rsidR="00E67F89" w:rsidRPr="00E67F89" w:rsidRDefault="00E67F89" w:rsidP="00E67F89"/>
        </w:tc>
        <w:tc>
          <w:tcPr>
            <w:tcW w:w="3094" w:type="dxa"/>
            <w:vAlign w:val="center"/>
          </w:tcPr>
          <w:p w14:paraId="73BBAEEB" w14:textId="77777777" w:rsidR="00E67F89" w:rsidRPr="00E67F89" w:rsidRDefault="00E67F89" w:rsidP="00E67F89"/>
        </w:tc>
      </w:tr>
      <w:tr w:rsidR="00E67F89" w:rsidRPr="00E67F89" w14:paraId="0B8E4453" w14:textId="77777777" w:rsidTr="00223F64">
        <w:tc>
          <w:tcPr>
            <w:tcW w:w="9723" w:type="dxa"/>
            <w:gridSpan w:val="4"/>
            <w:vAlign w:val="center"/>
          </w:tcPr>
          <w:p w14:paraId="63353710" w14:textId="77777777" w:rsidR="00E67F89" w:rsidRPr="00E67F89" w:rsidRDefault="00E67F89" w:rsidP="00E67F89">
            <w:r w:rsidRPr="00E67F89">
              <w:t>Zone Protégée et sensible</w:t>
            </w:r>
          </w:p>
        </w:tc>
      </w:tr>
      <w:tr w:rsidR="00E67F89" w:rsidRPr="00E67F89" w14:paraId="244D4CB7" w14:textId="77777777" w:rsidTr="00223F64">
        <w:tc>
          <w:tcPr>
            <w:tcW w:w="5211" w:type="dxa"/>
            <w:vAlign w:val="center"/>
          </w:tcPr>
          <w:p w14:paraId="6BDFD0A8" w14:textId="77777777" w:rsidR="00E67F89" w:rsidRPr="00E67F89" w:rsidRDefault="00E67F89" w:rsidP="00E67F89">
            <w:r w:rsidRPr="00E67F89">
              <w:t>La zone du projet (ou de ses composantes) comprend-t-elle des aires protégées (parcs nationaux, réserve, forêt protégée, site de patrimoine mondial, etc.)</w:t>
            </w:r>
          </w:p>
        </w:tc>
        <w:tc>
          <w:tcPr>
            <w:tcW w:w="706" w:type="dxa"/>
            <w:vAlign w:val="center"/>
          </w:tcPr>
          <w:p w14:paraId="0454B931" w14:textId="77777777" w:rsidR="00E67F89" w:rsidRPr="00E67F89" w:rsidRDefault="00E67F89" w:rsidP="00E67F89"/>
        </w:tc>
        <w:tc>
          <w:tcPr>
            <w:tcW w:w="707" w:type="dxa"/>
            <w:vAlign w:val="center"/>
          </w:tcPr>
          <w:p w14:paraId="41513F87" w14:textId="77777777" w:rsidR="00E67F89" w:rsidRPr="00E67F89" w:rsidRDefault="00E67F89" w:rsidP="00E67F89"/>
        </w:tc>
        <w:tc>
          <w:tcPr>
            <w:tcW w:w="3094" w:type="dxa"/>
            <w:vAlign w:val="center"/>
          </w:tcPr>
          <w:p w14:paraId="64FEF6C2" w14:textId="77777777" w:rsidR="00E67F89" w:rsidRPr="00E67F89" w:rsidRDefault="00E67F89" w:rsidP="00E67F89"/>
        </w:tc>
      </w:tr>
      <w:tr w:rsidR="00E67F89" w:rsidRPr="00E67F89" w14:paraId="0E6E1F1A" w14:textId="77777777" w:rsidTr="00223F64">
        <w:tc>
          <w:tcPr>
            <w:tcW w:w="5211" w:type="dxa"/>
            <w:vAlign w:val="center"/>
          </w:tcPr>
          <w:p w14:paraId="4484D2F6" w14:textId="77777777" w:rsidR="00E67F89" w:rsidRPr="00E67F89" w:rsidRDefault="00E67F89" w:rsidP="00E67F89">
            <w:r w:rsidRPr="00E67F89">
              <w:t>Si le projet est en dehors, mais à faible distance, de zones protégées, pourrait-il affecter négativement l'écologie dans la zone protégée ?</w:t>
            </w:r>
          </w:p>
          <w:p w14:paraId="369DEFF9" w14:textId="77777777" w:rsidR="00E67F89" w:rsidRPr="00E67F89" w:rsidRDefault="00E67F89" w:rsidP="00E67F89">
            <w:r w:rsidRPr="00E67F89">
              <w:t>(P.ex. interférence avec les vols d'oiseau, avec les migrations de mammifères)</w:t>
            </w:r>
          </w:p>
        </w:tc>
        <w:tc>
          <w:tcPr>
            <w:tcW w:w="706" w:type="dxa"/>
            <w:vAlign w:val="center"/>
          </w:tcPr>
          <w:p w14:paraId="640BFDAB" w14:textId="77777777" w:rsidR="00E67F89" w:rsidRPr="00E67F89" w:rsidRDefault="00E67F89" w:rsidP="00E67F89"/>
        </w:tc>
        <w:tc>
          <w:tcPr>
            <w:tcW w:w="707" w:type="dxa"/>
            <w:vAlign w:val="center"/>
          </w:tcPr>
          <w:p w14:paraId="3B0F7DA3" w14:textId="77777777" w:rsidR="00E67F89" w:rsidRPr="00E67F89" w:rsidRDefault="00E67F89" w:rsidP="00E67F89"/>
        </w:tc>
        <w:tc>
          <w:tcPr>
            <w:tcW w:w="3094" w:type="dxa"/>
            <w:vAlign w:val="center"/>
          </w:tcPr>
          <w:p w14:paraId="5C539AFF" w14:textId="77777777" w:rsidR="00E67F89" w:rsidRPr="00E67F89" w:rsidRDefault="00E67F89" w:rsidP="00E67F89"/>
        </w:tc>
      </w:tr>
      <w:tr w:rsidR="00E67F89" w:rsidRPr="00E67F89" w14:paraId="3489AE36" w14:textId="77777777" w:rsidTr="00223F64">
        <w:tc>
          <w:tcPr>
            <w:tcW w:w="5211" w:type="dxa"/>
            <w:vAlign w:val="center"/>
          </w:tcPr>
          <w:p w14:paraId="31ABE297" w14:textId="77777777" w:rsidR="00E67F89" w:rsidRPr="00E67F89" w:rsidRDefault="00E67F89" w:rsidP="00E67F89">
            <w:r w:rsidRPr="00E67F89">
              <w:t>Le projet conduit-il à terme à une destruction d’écosystème ?</w:t>
            </w:r>
          </w:p>
        </w:tc>
        <w:tc>
          <w:tcPr>
            <w:tcW w:w="706" w:type="dxa"/>
            <w:vAlign w:val="center"/>
          </w:tcPr>
          <w:p w14:paraId="2A2092E6" w14:textId="77777777" w:rsidR="00E67F89" w:rsidRPr="00E67F89" w:rsidRDefault="00E67F89" w:rsidP="00E67F89"/>
        </w:tc>
        <w:tc>
          <w:tcPr>
            <w:tcW w:w="707" w:type="dxa"/>
            <w:vAlign w:val="center"/>
          </w:tcPr>
          <w:p w14:paraId="3EB04571" w14:textId="77777777" w:rsidR="00E67F89" w:rsidRPr="00E67F89" w:rsidRDefault="00E67F89" w:rsidP="00E67F89"/>
        </w:tc>
        <w:tc>
          <w:tcPr>
            <w:tcW w:w="3094" w:type="dxa"/>
            <w:vAlign w:val="center"/>
          </w:tcPr>
          <w:p w14:paraId="0B64C942" w14:textId="77777777" w:rsidR="00E67F89" w:rsidRPr="00E67F89" w:rsidRDefault="00E67F89" w:rsidP="00E67F89"/>
        </w:tc>
      </w:tr>
      <w:tr w:rsidR="00E67F89" w:rsidRPr="00E67F89" w14:paraId="612AED38" w14:textId="77777777" w:rsidTr="00223F64">
        <w:tc>
          <w:tcPr>
            <w:tcW w:w="5211" w:type="dxa"/>
            <w:vAlign w:val="center"/>
          </w:tcPr>
          <w:p w14:paraId="20ED212A" w14:textId="77777777" w:rsidR="00E67F89" w:rsidRPr="00E67F89" w:rsidRDefault="00E67F89" w:rsidP="00E67F89">
            <w:r w:rsidRPr="00E67F89">
              <w:t>Le projet conduit-il à une perturbation de l’écoulement d’eau de surface, de zones humides ?</w:t>
            </w:r>
          </w:p>
        </w:tc>
        <w:tc>
          <w:tcPr>
            <w:tcW w:w="706" w:type="dxa"/>
            <w:vAlign w:val="center"/>
          </w:tcPr>
          <w:p w14:paraId="441E100A" w14:textId="77777777" w:rsidR="00E67F89" w:rsidRPr="00E67F89" w:rsidRDefault="00E67F89" w:rsidP="00E67F89"/>
        </w:tc>
        <w:tc>
          <w:tcPr>
            <w:tcW w:w="707" w:type="dxa"/>
            <w:vAlign w:val="center"/>
          </w:tcPr>
          <w:p w14:paraId="505A29EC" w14:textId="77777777" w:rsidR="00E67F89" w:rsidRPr="00E67F89" w:rsidRDefault="00E67F89" w:rsidP="00E67F89"/>
        </w:tc>
        <w:tc>
          <w:tcPr>
            <w:tcW w:w="3094" w:type="dxa"/>
            <w:vAlign w:val="center"/>
          </w:tcPr>
          <w:p w14:paraId="2E0717DB" w14:textId="77777777" w:rsidR="00E67F89" w:rsidRPr="00E67F89" w:rsidRDefault="00E67F89" w:rsidP="00E67F89"/>
        </w:tc>
      </w:tr>
      <w:tr w:rsidR="00E67F89" w:rsidRPr="00E67F89" w14:paraId="6C04E5B2" w14:textId="77777777" w:rsidTr="00223F64">
        <w:tc>
          <w:tcPr>
            <w:tcW w:w="9723" w:type="dxa"/>
            <w:gridSpan w:val="4"/>
            <w:vAlign w:val="center"/>
          </w:tcPr>
          <w:p w14:paraId="46DB742E" w14:textId="77777777" w:rsidR="00E67F89" w:rsidRPr="00E67F89" w:rsidRDefault="00E67F89" w:rsidP="00E67F89">
            <w:r w:rsidRPr="00E67F89">
              <w:t>Paysage I esthétique</w:t>
            </w:r>
          </w:p>
        </w:tc>
      </w:tr>
      <w:tr w:rsidR="00E67F89" w:rsidRPr="00E67F89" w14:paraId="1DDE379D" w14:textId="77777777" w:rsidTr="00223F64">
        <w:tc>
          <w:tcPr>
            <w:tcW w:w="5211" w:type="dxa"/>
            <w:vAlign w:val="center"/>
          </w:tcPr>
          <w:p w14:paraId="12ECC777" w14:textId="77777777" w:rsidR="00E67F89" w:rsidRPr="00E67F89" w:rsidRDefault="00E67F89" w:rsidP="00E67F89">
            <w:r w:rsidRPr="00E67F89">
              <w:t>Le projet aurait-t-il un effet adverse sur la valeur esthétique du paysage ?</w:t>
            </w:r>
          </w:p>
        </w:tc>
        <w:tc>
          <w:tcPr>
            <w:tcW w:w="706" w:type="dxa"/>
            <w:vAlign w:val="center"/>
          </w:tcPr>
          <w:p w14:paraId="20ACE5FE" w14:textId="77777777" w:rsidR="00E67F89" w:rsidRPr="00E67F89" w:rsidRDefault="00E67F89" w:rsidP="00E67F89"/>
        </w:tc>
        <w:tc>
          <w:tcPr>
            <w:tcW w:w="707" w:type="dxa"/>
            <w:vAlign w:val="center"/>
          </w:tcPr>
          <w:p w14:paraId="23FFF8DF" w14:textId="77777777" w:rsidR="00E67F89" w:rsidRPr="00E67F89" w:rsidRDefault="00E67F89" w:rsidP="00E67F89"/>
        </w:tc>
        <w:tc>
          <w:tcPr>
            <w:tcW w:w="3094" w:type="dxa"/>
            <w:vAlign w:val="center"/>
          </w:tcPr>
          <w:p w14:paraId="2DFB544F" w14:textId="77777777" w:rsidR="00E67F89" w:rsidRPr="00E67F89" w:rsidRDefault="00E67F89" w:rsidP="00E67F89"/>
        </w:tc>
      </w:tr>
      <w:tr w:rsidR="00E67F89" w:rsidRPr="00E67F89" w14:paraId="6452A4BE" w14:textId="77777777" w:rsidTr="00223F64">
        <w:tc>
          <w:tcPr>
            <w:tcW w:w="9723" w:type="dxa"/>
            <w:gridSpan w:val="4"/>
            <w:vAlign w:val="center"/>
          </w:tcPr>
          <w:p w14:paraId="71083E80" w14:textId="77777777" w:rsidR="00E67F89" w:rsidRPr="00E67F89" w:rsidRDefault="00E67F89" w:rsidP="00E67F89">
            <w:r w:rsidRPr="00E67F89">
              <w:t>Sites historiques, archéologiques ou culturels</w:t>
            </w:r>
          </w:p>
        </w:tc>
      </w:tr>
      <w:tr w:rsidR="00E67F89" w:rsidRPr="00E67F89" w14:paraId="51257350" w14:textId="77777777" w:rsidTr="00223F64">
        <w:tc>
          <w:tcPr>
            <w:tcW w:w="5211" w:type="dxa"/>
            <w:vAlign w:val="center"/>
          </w:tcPr>
          <w:p w14:paraId="5186EAC2" w14:textId="77777777" w:rsidR="00E67F89" w:rsidRPr="00E67F89" w:rsidRDefault="00E67F89" w:rsidP="00E67F89">
            <w:r w:rsidRPr="00E67F89">
              <w:t>Le projet pourrait-il changer un ou plusieurs sites historiques, archéologique, ou culturel, ou nécessiter des excavations ?</w:t>
            </w:r>
          </w:p>
        </w:tc>
        <w:tc>
          <w:tcPr>
            <w:tcW w:w="706" w:type="dxa"/>
            <w:vAlign w:val="center"/>
          </w:tcPr>
          <w:p w14:paraId="3FE8F73B" w14:textId="77777777" w:rsidR="00E67F89" w:rsidRPr="00E67F89" w:rsidRDefault="00E67F89" w:rsidP="00E67F89"/>
        </w:tc>
        <w:tc>
          <w:tcPr>
            <w:tcW w:w="707" w:type="dxa"/>
            <w:vAlign w:val="center"/>
          </w:tcPr>
          <w:p w14:paraId="67617BB5" w14:textId="77777777" w:rsidR="00E67F89" w:rsidRPr="00E67F89" w:rsidRDefault="00E67F89" w:rsidP="00E67F89"/>
        </w:tc>
        <w:tc>
          <w:tcPr>
            <w:tcW w:w="3094" w:type="dxa"/>
            <w:vAlign w:val="center"/>
          </w:tcPr>
          <w:p w14:paraId="21D3B076" w14:textId="77777777" w:rsidR="00E67F89" w:rsidRPr="00E67F89" w:rsidRDefault="00E67F89" w:rsidP="00E67F89"/>
        </w:tc>
      </w:tr>
      <w:tr w:rsidR="00E67F89" w:rsidRPr="00E67F89" w14:paraId="4A9B2BDC" w14:textId="77777777" w:rsidTr="00223F64">
        <w:tc>
          <w:tcPr>
            <w:tcW w:w="9723" w:type="dxa"/>
            <w:gridSpan w:val="4"/>
            <w:vAlign w:val="center"/>
          </w:tcPr>
          <w:p w14:paraId="24C592BD" w14:textId="77777777" w:rsidR="00E67F89" w:rsidRPr="00E67F89" w:rsidRDefault="00E67F89" w:rsidP="00E67F89">
            <w:r w:rsidRPr="00E67F89">
              <w:t xml:space="preserve">Pollution </w:t>
            </w:r>
          </w:p>
        </w:tc>
      </w:tr>
      <w:tr w:rsidR="00E67F89" w:rsidRPr="00E67F89" w14:paraId="4D600C88" w14:textId="77777777" w:rsidTr="00223F64">
        <w:tc>
          <w:tcPr>
            <w:tcW w:w="5211" w:type="dxa"/>
            <w:vAlign w:val="center"/>
          </w:tcPr>
          <w:p w14:paraId="3DEE7089" w14:textId="77777777" w:rsidR="00E67F89" w:rsidRPr="00E67F89" w:rsidRDefault="00E67F89" w:rsidP="00E67F89">
            <w:r w:rsidRPr="00E67F89">
              <w:lastRenderedPageBreak/>
              <w:t>Le projet conduit-il à un accroissement de nuisance sonore ?</w:t>
            </w:r>
          </w:p>
        </w:tc>
        <w:tc>
          <w:tcPr>
            <w:tcW w:w="706" w:type="dxa"/>
            <w:vAlign w:val="center"/>
          </w:tcPr>
          <w:p w14:paraId="7F601AE5" w14:textId="77777777" w:rsidR="00E67F89" w:rsidRPr="00E67F89" w:rsidRDefault="00E67F89" w:rsidP="00E67F89"/>
        </w:tc>
        <w:tc>
          <w:tcPr>
            <w:tcW w:w="707" w:type="dxa"/>
            <w:vAlign w:val="center"/>
          </w:tcPr>
          <w:p w14:paraId="24F4CF4F" w14:textId="77777777" w:rsidR="00E67F89" w:rsidRPr="00E67F89" w:rsidRDefault="00E67F89" w:rsidP="00E67F89"/>
        </w:tc>
        <w:tc>
          <w:tcPr>
            <w:tcW w:w="3094" w:type="dxa"/>
            <w:vAlign w:val="center"/>
          </w:tcPr>
          <w:p w14:paraId="5EC1D6F3" w14:textId="77777777" w:rsidR="00E67F89" w:rsidRPr="00E67F89" w:rsidRDefault="00E67F89" w:rsidP="00E67F89"/>
        </w:tc>
      </w:tr>
      <w:tr w:rsidR="00E67F89" w:rsidRPr="00E67F89" w14:paraId="5EB65DC6" w14:textId="77777777" w:rsidTr="00223F64">
        <w:tc>
          <w:tcPr>
            <w:tcW w:w="5211" w:type="dxa"/>
            <w:vAlign w:val="center"/>
          </w:tcPr>
          <w:p w14:paraId="78CD9897" w14:textId="77777777" w:rsidR="00E67F89" w:rsidRPr="00E67F89" w:rsidRDefault="00E67F89" w:rsidP="00E67F89">
            <w:r w:rsidRPr="00E67F89">
              <w:t>Le projet conduit-il à un accroissement du niveau d’émission atmosphérique ?</w:t>
            </w:r>
          </w:p>
        </w:tc>
        <w:tc>
          <w:tcPr>
            <w:tcW w:w="706" w:type="dxa"/>
            <w:vAlign w:val="center"/>
          </w:tcPr>
          <w:p w14:paraId="0263DB3C" w14:textId="77777777" w:rsidR="00E67F89" w:rsidRPr="00E67F89" w:rsidRDefault="00E67F89" w:rsidP="00E67F89"/>
        </w:tc>
        <w:tc>
          <w:tcPr>
            <w:tcW w:w="707" w:type="dxa"/>
            <w:vAlign w:val="center"/>
          </w:tcPr>
          <w:p w14:paraId="4BDE425F" w14:textId="77777777" w:rsidR="00E67F89" w:rsidRPr="00E67F89" w:rsidRDefault="00E67F89" w:rsidP="00E67F89"/>
        </w:tc>
        <w:tc>
          <w:tcPr>
            <w:tcW w:w="3094" w:type="dxa"/>
            <w:vAlign w:val="center"/>
          </w:tcPr>
          <w:p w14:paraId="28A50B7C" w14:textId="77777777" w:rsidR="00E67F89" w:rsidRPr="00E67F89" w:rsidRDefault="00E67F89" w:rsidP="00E67F89"/>
        </w:tc>
      </w:tr>
      <w:tr w:rsidR="00E67F89" w:rsidRPr="00E67F89" w14:paraId="0A5A3347" w14:textId="77777777" w:rsidTr="00223F64">
        <w:tc>
          <w:tcPr>
            <w:tcW w:w="5211" w:type="dxa"/>
            <w:vAlign w:val="center"/>
          </w:tcPr>
          <w:p w14:paraId="15386AF2" w14:textId="77777777" w:rsidR="00E67F89" w:rsidRPr="00E67F89" w:rsidRDefault="00E67F89" w:rsidP="00E67F89">
            <w:r w:rsidRPr="00E67F89">
              <w:t>Le projet risque –t-il de générer des déchets solides et liquides ?</w:t>
            </w:r>
          </w:p>
        </w:tc>
        <w:tc>
          <w:tcPr>
            <w:tcW w:w="706" w:type="dxa"/>
            <w:vAlign w:val="center"/>
          </w:tcPr>
          <w:p w14:paraId="306B7C9D" w14:textId="77777777" w:rsidR="00E67F89" w:rsidRPr="00E67F89" w:rsidRDefault="00E67F89" w:rsidP="00E67F89"/>
        </w:tc>
        <w:tc>
          <w:tcPr>
            <w:tcW w:w="707" w:type="dxa"/>
            <w:vAlign w:val="center"/>
          </w:tcPr>
          <w:p w14:paraId="26985D71" w14:textId="77777777" w:rsidR="00E67F89" w:rsidRPr="00E67F89" w:rsidRDefault="00E67F89" w:rsidP="00E67F89"/>
        </w:tc>
        <w:tc>
          <w:tcPr>
            <w:tcW w:w="3094" w:type="dxa"/>
            <w:vAlign w:val="center"/>
          </w:tcPr>
          <w:p w14:paraId="3E4579B0" w14:textId="77777777" w:rsidR="00E67F89" w:rsidRPr="00E67F89" w:rsidRDefault="00E67F89" w:rsidP="00E67F89"/>
        </w:tc>
      </w:tr>
      <w:tr w:rsidR="00E67F89" w:rsidRPr="00E67F89" w14:paraId="776D159E" w14:textId="77777777" w:rsidTr="00223F64">
        <w:tc>
          <w:tcPr>
            <w:tcW w:w="5211" w:type="dxa"/>
            <w:vAlign w:val="center"/>
          </w:tcPr>
          <w:p w14:paraId="416DD235" w14:textId="77777777" w:rsidR="00E67F89" w:rsidRPr="00E67F89" w:rsidRDefault="00E67F89" w:rsidP="00E67F89">
            <w:r w:rsidRPr="00E67F89">
              <w:t>Si « oui » l’infrastructure dispose-t-elle d’un plan pour leur collecte et élimination</w:t>
            </w:r>
          </w:p>
        </w:tc>
        <w:tc>
          <w:tcPr>
            <w:tcW w:w="706" w:type="dxa"/>
            <w:vAlign w:val="center"/>
          </w:tcPr>
          <w:p w14:paraId="2D260390" w14:textId="77777777" w:rsidR="00E67F89" w:rsidRPr="00E67F89" w:rsidRDefault="00E67F89" w:rsidP="00E67F89"/>
        </w:tc>
        <w:tc>
          <w:tcPr>
            <w:tcW w:w="707" w:type="dxa"/>
            <w:vAlign w:val="center"/>
          </w:tcPr>
          <w:p w14:paraId="266369A8" w14:textId="77777777" w:rsidR="00E67F89" w:rsidRPr="00E67F89" w:rsidRDefault="00E67F89" w:rsidP="00E67F89"/>
        </w:tc>
        <w:tc>
          <w:tcPr>
            <w:tcW w:w="3094" w:type="dxa"/>
            <w:vAlign w:val="center"/>
          </w:tcPr>
          <w:p w14:paraId="4ED90A4D" w14:textId="77777777" w:rsidR="00E67F89" w:rsidRPr="00E67F89" w:rsidRDefault="00E67F89" w:rsidP="00E67F89"/>
        </w:tc>
      </w:tr>
      <w:tr w:rsidR="00E67F89" w:rsidRPr="00E67F89" w14:paraId="70848C07" w14:textId="77777777" w:rsidTr="00223F64">
        <w:tc>
          <w:tcPr>
            <w:tcW w:w="5211" w:type="dxa"/>
            <w:vAlign w:val="center"/>
          </w:tcPr>
          <w:p w14:paraId="2EE352F3" w14:textId="77777777" w:rsidR="00E67F89" w:rsidRPr="00E67F89" w:rsidRDefault="00E67F89" w:rsidP="00E67F89">
            <w:r w:rsidRPr="00E67F89">
              <w:t>Si « oui » Y a-t-il des équipements et infrastructures pour leur gestion ?</w:t>
            </w:r>
          </w:p>
        </w:tc>
        <w:tc>
          <w:tcPr>
            <w:tcW w:w="706" w:type="dxa"/>
            <w:vAlign w:val="center"/>
          </w:tcPr>
          <w:p w14:paraId="61F1F430" w14:textId="77777777" w:rsidR="00E67F89" w:rsidRPr="00E67F89" w:rsidRDefault="00E67F89" w:rsidP="00E67F89"/>
        </w:tc>
        <w:tc>
          <w:tcPr>
            <w:tcW w:w="707" w:type="dxa"/>
            <w:vAlign w:val="center"/>
          </w:tcPr>
          <w:p w14:paraId="1A31D352" w14:textId="77777777" w:rsidR="00E67F89" w:rsidRPr="00E67F89" w:rsidRDefault="00E67F89" w:rsidP="00E67F89"/>
        </w:tc>
        <w:tc>
          <w:tcPr>
            <w:tcW w:w="3094" w:type="dxa"/>
            <w:vAlign w:val="center"/>
          </w:tcPr>
          <w:p w14:paraId="0484AA43" w14:textId="77777777" w:rsidR="00E67F89" w:rsidRPr="00E67F89" w:rsidRDefault="00E67F89" w:rsidP="00E67F89"/>
        </w:tc>
      </w:tr>
      <w:tr w:rsidR="00E67F89" w:rsidRPr="00E67F89" w14:paraId="635AAF72" w14:textId="77777777" w:rsidTr="00223F64">
        <w:tc>
          <w:tcPr>
            <w:tcW w:w="5211" w:type="dxa"/>
            <w:vAlign w:val="center"/>
          </w:tcPr>
          <w:p w14:paraId="27FCD185" w14:textId="77777777" w:rsidR="00E67F89" w:rsidRPr="00E67F89" w:rsidRDefault="00E67F89" w:rsidP="00E67F89">
            <w:r w:rsidRPr="00E67F89">
              <w:t>Le projet risque pourrait-il affecter la qualité des eaux de surface, souterraine, sources d’eau potable</w:t>
            </w:r>
          </w:p>
        </w:tc>
        <w:tc>
          <w:tcPr>
            <w:tcW w:w="706" w:type="dxa"/>
            <w:vAlign w:val="center"/>
          </w:tcPr>
          <w:p w14:paraId="28FEA13A" w14:textId="77777777" w:rsidR="00E67F89" w:rsidRPr="00E67F89" w:rsidRDefault="00E67F89" w:rsidP="00E67F89"/>
        </w:tc>
        <w:tc>
          <w:tcPr>
            <w:tcW w:w="707" w:type="dxa"/>
            <w:vAlign w:val="center"/>
          </w:tcPr>
          <w:p w14:paraId="4B7BF39A" w14:textId="77777777" w:rsidR="00E67F89" w:rsidRPr="00E67F89" w:rsidRDefault="00E67F89" w:rsidP="00E67F89"/>
        </w:tc>
        <w:tc>
          <w:tcPr>
            <w:tcW w:w="3094" w:type="dxa"/>
            <w:vAlign w:val="center"/>
          </w:tcPr>
          <w:p w14:paraId="6D3D4A5C" w14:textId="77777777" w:rsidR="00E67F89" w:rsidRPr="00E67F89" w:rsidRDefault="00E67F89" w:rsidP="00E67F89"/>
        </w:tc>
      </w:tr>
      <w:tr w:rsidR="00E67F89" w:rsidRPr="00E67F89" w14:paraId="2EBA3AF8" w14:textId="77777777" w:rsidTr="00223F64">
        <w:tc>
          <w:tcPr>
            <w:tcW w:w="5211" w:type="dxa"/>
            <w:vAlign w:val="center"/>
          </w:tcPr>
          <w:p w14:paraId="2909845A" w14:textId="77777777" w:rsidR="00E67F89" w:rsidRPr="00E67F89" w:rsidRDefault="00E67F89" w:rsidP="00E67F89">
            <w:r w:rsidRPr="00E67F89">
              <w:t>Le projet envisage-t-il le transport et stockage de produits dangereux ?</w:t>
            </w:r>
          </w:p>
        </w:tc>
        <w:tc>
          <w:tcPr>
            <w:tcW w:w="706" w:type="dxa"/>
            <w:vAlign w:val="center"/>
          </w:tcPr>
          <w:p w14:paraId="6D2745A9" w14:textId="77777777" w:rsidR="00E67F89" w:rsidRPr="00E67F89" w:rsidRDefault="00E67F89" w:rsidP="00E67F89"/>
        </w:tc>
        <w:tc>
          <w:tcPr>
            <w:tcW w:w="707" w:type="dxa"/>
            <w:vAlign w:val="center"/>
          </w:tcPr>
          <w:p w14:paraId="16A863DA" w14:textId="77777777" w:rsidR="00E67F89" w:rsidRPr="00E67F89" w:rsidRDefault="00E67F89" w:rsidP="00E67F89"/>
        </w:tc>
        <w:tc>
          <w:tcPr>
            <w:tcW w:w="3094" w:type="dxa"/>
            <w:vAlign w:val="center"/>
          </w:tcPr>
          <w:p w14:paraId="550B549F" w14:textId="77777777" w:rsidR="00E67F89" w:rsidRPr="00E67F89" w:rsidRDefault="00E67F89" w:rsidP="00E67F89"/>
        </w:tc>
      </w:tr>
      <w:tr w:rsidR="00E67F89" w:rsidRPr="00E67F89" w14:paraId="58EBE51F" w14:textId="77777777" w:rsidTr="00223F64">
        <w:tc>
          <w:tcPr>
            <w:tcW w:w="9723" w:type="dxa"/>
            <w:gridSpan w:val="4"/>
            <w:vAlign w:val="center"/>
          </w:tcPr>
          <w:p w14:paraId="39750274" w14:textId="77777777" w:rsidR="00E67F89" w:rsidRPr="00E67F89" w:rsidRDefault="00E67F89" w:rsidP="00E67F89">
            <w:r w:rsidRPr="00E67F89">
              <w:t>Condition de vie de la population</w:t>
            </w:r>
          </w:p>
        </w:tc>
      </w:tr>
      <w:tr w:rsidR="00E67F89" w:rsidRPr="00E67F89" w14:paraId="422C346D" w14:textId="77777777" w:rsidTr="00223F64">
        <w:tc>
          <w:tcPr>
            <w:tcW w:w="5211" w:type="dxa"/>
            <w:vAlign w:val="center"/>
          </w:tcPr>
          <w:p w14:paraId="6CC1ACF4" w14:textId="77777777" w:rsidR="00E67F89" w:rsidRPr="00E67F89" w:rsidRDefault="00E67F89" w:rsidP="00E67F89">
            <w:r w:rsidRPr="00E67F89">
              <w:t>Le projet peut-il entraîner des altérations du mode de vie des populations locales ?</w:t>
            </w:r>
          </w:p>
        </w:tc>
        <w:tc>
          <w:tcPr>
            <w:tcW w:w="706" w:type="dxa"/>
            <w:vAlign w:val="center"/>
          </w:tcPr>
          <w:p w14:paraId="5D14EC8C" w14:textId="77777777" w:rsidR="00E67F89" w:rsidRPr="00E67F89" w:rsidRDefault="00E67F89" w:rsidP="00E67F89"/>
        </w:tc>
        <w:tc>
          <w:tcPr>
            <w:tcW w:w="707" w:type="dxa"/>
            <w:vAlign w:val="center"/>
          </w:tcPr>
          <w:p w14:paraId="06C3A3E2" w14:textId="77777777" w:rsidR="00E67F89" w:rsidRPr="00E67F89" w:rsidRDefault="00E67F89" w:rsidP="00E67F89"/>
        </w:tc>
        <w:tc>
          <w:tcPr>
            <w:tcW w:w="3094" w:type="dxa"/>
            <w:vAlign w:val="center"/>
          </w:tcPr>
          <w:p w14:paraId="1A72D398" w14:textId="77777777" w:rsidR="00E67F89" w:rsidRPr="00E67F89" w:rsidRDefault="00E67F89" w:rsidP="00E67F89"/>
        </w:tc>
      </w:tr>
      <w:tr w:rsidR="00E67F89" w:rsidRPr="00E67F89" w14:paraId="55CF357A" w14:textId="77777777" w:rsidTr="00223F64">
        <w:tc>
          <w:tcPr>
            <w:tcW w:w="5211" w:type="dxa"/>
            <w:vAlign w:val="center"/>
          </w:tcPr>
          <w:p w14:paraId="34E41B01" w14:textId="77777777" w:rsidR="00E67F89" w:rsidRPr="00E67F89" w:rsidRDefault="00E67F89" w:rsidP="00E67F89">
            <w:r w:rsidRPr="00E67F89">
              <w:t>Le projet peut-il entraîner une accentuation des inégalités sociales ?</w:t>
            </w:r>
          </w:p>
        </w:tc>
        <w:tc>
          <w:tcPr>
            <w:tcW w:w="706" w:type="dxa"/>
            <w:vAlign w:val="center"/>
          </w:tcPr>
          <w:p w14:paraId="2DECD44D" w14:textId="77777777" w:rsidR="00E67F89" w:rsidRPr="00E67F89" w:rsidRDefault="00E67F89" w:rsidP="00E67F89"/>
        </w:tc>
        <w:tc>
          <w:tcPr>
            <w:tcW w:w="707" w:type="dxa"/>
            <w:vAlign w:val="center"/>
          </w:tcPr>
          <w:p w14:paraId="719946C4" w14:textId="77777777" w:rsidR="00E67F89" w:rsidRPr="00E67F89" w:rsidRDefault="00E67F89" w:rsidP="00E67F89"/>
        </w:tc>
        <w:tc>
          <w:tcPr>
            <w:tcW w:w="3094" w:type="dxa"/>
            <w:vAlign w:val="center"/>
          </w:tcPr>
          <w:p w14:paraId="203CC145" w14:textId="77777777" w:rsidR="00E67F89" w:rsidRPr="00E67F89" w:rsidRDefault="00E67F89" w:rsidP="00E67F89"/>
        </w:tc>
      </w:tr>
      <w:tr w:rsidR="00E67F89" w:rsidRPr="00E67F89" w14:paraId="34FA0107" w14:textId="77777777" w:rsidTr="00223F64">
        <w:tc>
          <w:tcPr>
            <w:tcW w:w="5211" w:type="dxa"/>
            <w:vAlign w:val="center"/>
          </w:tcPr>
          <w:p w14:paraId="0943791E" w14:textId="77777777" w:rsidR="00E67F89" w:rsidRPr="00E67F89" w:rsidRDefault="00E67F89" w:rsidP="00E67F89">
            <w:r w:rsidRPr="00E67F89">
              <w:t>Le projet est-il susceptible de nécessiter des réinstallations ?</w:t>
            </w:r>
          </w:p>
        </w:tc>
        <w:tc>
          <w:tcPr>
            <w:tcW w:w="706" w:type="dxa"/>
            <w:vAlign w:val="center"/>
          </w:tcPr>
          <w:p w14:paraId="7C8A27AC" w14:textId="77777777" w:rsidR="00E67F89" w:rsidRPr="00E67F89" w:rsidRDefault="00E67F89" w:rsidP="00E67F89"/>
        </w:tc>
        <w:tc>
          <w:tcPr>
            <w:tcW w:w="707" w:type="dxa"/>
            <w:vAlign w:val="center"/>
          </w:tcPr>
          <w:p w14:paraId="5B20DF07" w14:textId="77777777" w:rsidR="00E67F89" w:rsidRPr="00E67F89" w:rsidRDefault="00E67F89" w:rsidP="00E67F89"/>
        </w:tc>
        <w:tc>
          <w:tcPr>
            <w:tcW w:w="3094" w:type="dxa"/>
            <w:vAlign w:val="center"/>
          </w:tcPr>
          <w:p w14:paraId="1718FEF7" w14:textId="77777777" w:rsidR="00E67F89" w:rsidRPr="00E67F89" w:rsidRDefault="00E67F89" w:rsidP="00E67F89"/>
        </w:tc>
      </w:tr>
      <w:tr w:rsidR="00E67F89" w:rsidRPr="00E67F89" w14:paraId="7A239F4C" w14:textId="77777777" w:rsidTr="00223F64">
        <w:tc>
          <w:tcPr>
            <w:tcW w:w="5211" w:type="dxa"/>
            <w:vAlign w:val="center"/>
          </w:tcPr>
          <w:p w14:paraId="76064554" w14:textId="77777777" w:rsidR="00E67F89" w:rsidRPr="00E67F89" w:rsidRDefault="00E67F89" w:rsidP="00E67F89">
            <w:r w:rsidRPr="00E67F89">
              <w:t>La relocalisation est-elle prévue ?</w:t>
            </w:r>
          </w:p>
        </w:tc>
        <w:tc>
          <w:tcPr>
            <w:tcW w:w="706" w:type="dxa"/>
            <w:vAlign w:val="center"/>
          </w:tcPr>
          <w:p w14:paraId="699E94E9" w14:textId="77777777" w:rsidR="00E67F89" w:rsidRPr="00E67F89" w:rsidRDefault="00E67F89" w:rsidP="00E67F89"/>
        </w:tc>
        <w:tc>
          <w:tcPr>
            <w:tcW w:w="707" w:type="dxa"/>
            <w:vAlign w:val="center"/>
          </w:tcPr>
          <w:p w14:paraId="03C38FFB" w14:textId="77777777" w:rsidR="00E67F89" w:rsidRPr="00E67F89" w:rsidRDefault="00E67F89" w:rsidP="00E67F89"/>
        </w:tc>
        <w:tc>
          <w:tcPr>
            <w:tcW w:w="3094" w:type="dxa"/>
            <w:vAlign w:val="center"/>
          </w:tcPr>
          <w:p w14:paraId="007741CA" w14:textId="77777777" w:rsidR="00E67F89" w:rsidRPr="00E67F89" w:rsidRDefault="00E67F89" w:rsidP="00E67F89"/>
        </w:tc>
      </w:tr>
      <w:tr w:rsidR="00E67F89" w:rsidRPr="00E67F89" w14:paraId="68206F30" w14:textId="77777777" w:rsidTr="00223F64">
        <w:tc>
          <w:tcPr>
            <w:tcW w:w="5211" w:type="dxa"/>
            <w:vAlign w:val="center"/>
          </w:tcPr>
          <w:p w14:paraId="43A31A4D" w14:textId="77777777" w:rsidR="00E67F89" w:rsidRPr="00E67F89" w:rsidRDefault="00E67F89" w:rsidP="00E67F89">
            <w:r w:rsidRPr="00E67F89">
              <w:t>Le projet peut-il entraîner des utilisations incompatibles ou des conflits sociaux entre les différents usagers ?</w:t>
            </w:r>
          </w:p>
        </w:tc>
        <w:tc>
          <w:tcPr>
            <w:tcW w:w="706" w:type="dxa"/>
            <w:vAlign w:val="center"/>
          </w:tcPr>
          <w:p w14:paraId="6334CC5E" w14:textId="77777777" w:rsidR="00E67F89" w:rsidRPr="00E67F89" w:rsidRDefault="00E67F89" w:rsidP="00E67F89"/>
        </w:tc>
        <w:tc>
          <w:tcPr>
            <w:tcW w:w="707" w:type="dxa"/>
            <w:vAlign w:val="center"/>
          </w:tcPr>
          <w:p w14:paraId="7B912E87" w14:textId="77777777" w:rsidR="00E67F89" w:rsidRPr="00E67F89" w:rsidRDefault="00E67F89" w:rsidP="00E67F89"/>
        </w:tc>
        <w:tc>
          <w:tcPr>
            <w:tcW w:w="3094" w:type="dxa"/>
            <w:vAlign w:val="center"/>
          </w:tcPr>
          <w:p w14:paraId="0BB2DEF7" w14:textId="77777777" w:rsidR="00E67F89" w:rsidRPr="00E67F89" w:rsidRDefault="00E67F89" w:rsidP="00E67F89"/>
        </w:tc>
      </w:tr>
      <w:tr w:rsidR="00E67F89" w:rsidRPr="00E67F89" w14:paraId="719C223E" w14:textId="77777777" w:rsidTr="00223F64">
        <w:tc>
          <w:tcPr>
            <w:tcW w:w="9723" w:type="dxa"/>
            <w:gridSpan w:val="4"/>
            <w:vAlign w:val="center"/>
          </w:tcPr>
          <w:p w14:paraId="3F566CE3" w14:textId="77777777" w:rsidR="00E67F89" w:rsidRPr="00E67F89" w:rsidRDefault="00E67F89" w:rsidP="00E67F89">
            <w:r w:rsidRPr="00E67F89">
              <w:t xml:space="preserve">Santé et sécurité </w:t>
            </w:r>
          </w:p>
        </w:tc>
      </w:tr>
      <w:tr w:rsidR="00E67F89" w:rsidRPr="00E67F89" w14:paraId="578D4B4C" w14:textId="77777777" w:rsidTr="00223F64">
        <w:tc>
          <w:tcPr>
            <w:tcW w:w="5211" w:type="dxa"/>
            <w:vAlign w:val="center"/>
          </w:tcPr>
          <w:p w14:paraId="0DDAA64D" w14:textId="77777777" w:rsidR="00E67F89" w:rsidRPr="00E67F89" w:rsidRDefault="00E67F89" w:rsidP="00E67F89">
            <w:r w:rsidRPr="00E67F89">
              <w:t>Le projet peut-il induire des risques d’accidents des travailleurs et des populations ?</w:t>
            </w:r>
          </w:p>
        </w:tc>
        <w:tc>
          <w:tcPr>
            <w:tcW w:w="706" w:type="dxa"/>
            <w:vAlign w:val="center"/>
          </w:tcPr>
          <w:p w14:paraId="182AA287" w14:textId="77777777" w:rsidR="00E67F89" w:rsidRPr="00E67F89" w:rsidRDefault="00E67F89" w:rsidP="00E67F89"/>
        </w:tc>
        <w:tc>
          <w:tcPr>
            <w:tcW w:w="707" w:type="dxa"/>
            <w:vAlign w:val="center"/>
          </w:tcPr>
          <w:p w14:paraId="36A9E49E" w14:textId="77777777" w:rsidR="00E67F89" w:rsidRPr="00E67F89" w:rsidRDefault="00E67F89" w:rsidP="00E67F89"/>
        </w:tc>
        <w:tc>
          <w:tcPr>
            <w:tcW w:w="3094" w:type="dxa"/>
            <w:vAlign w:val="center"/>
          </w:tcPr>
          <w:p w14:paraId="2EB4577E" w14:textId="77777777" w:rsidR="00E67F89" w:rsidRPr="00E67F89" w:rsidRDefault="00E67F89" w:rsidP="00E67F89"/>
        </w:tc>
      </w:tr>
      <w:tr w:rsidR="00E67F89" w:rsidRPr="00E67F89" w14:paraId="3E34F97B" w14:textId="77777777" w:rsidTr="00223F64">
        <w:tc>
          <w:tcPr>
            <w:tcW w:w="5211" w:type="dxa"/>
            <w:vAlign w:val="center"/>
          </w:tcPr>
          <w:p w14:paraId="628E8A3C" w14:textId="77777777" w:rsidR="00E67F89" w:rsidRPr="00E67F89" w:rsidRDefault="00E67F89" w:rsidP="00E67F89">
            <w:r w:rsidRPr="00E67F89">
              <w:t>Le projet peut-il entraîner une augmentation de la population des vecteurs de maladies ?</w:t>
            </w:r>
          </w:p>
        </w:tc>
        <w:tc>
          <w:tcPr>
            <w:tcW w:w="706" w:type="dxa"/>
            <w:vAlign w:val="center"/>
          </w:tcPr>
          <w:p w14:paraId="115A01A8" w14:textId="77777777" w:rsidR="00E67F89" w:rsidRPr="00E67F89" w:rsidRDefault="00E67F89" w:rsidP="00E67F89"/>
        </w:tc>
        <w:tc>
          <w:tcPr>
            <w:tcW w:w="707" w:type="dxa"/>
            <w:vAlign w:val="center"/>
          </w:tcPr>
          <w:p w14:paraId="44FE460D" w14:textId="77777777" w:rsidR="00E67F89" w:rsidRPr="00E67F89" w:rsidRDefault="00E67F89" w:rsidP="00E67F89"/>
        </w:tc>
        <w:tc>
          <w:tcPr>
            <w:tcW w:w="3094" w:type="dxa"/>
            <w:vAlign w:val="center"/>
          </w:tcPr>
          <w:p w14:paraId="69D22727" w14:textId="77777777" w:rsidR="00E67F89" w:rsidRPr="00E67F89" w:rsidRDefault="00E67F89" w:rsidP="00E67F89"/>
        </w:tc>
      </w:tr>
      <w:tr w:rsidR="00E67F89" w:rsidRPr="00E67F89" w14:paraId="77C15860" w14:textId="77777777" w:rsidTr="00223F64">
        <w:tc>
          <w:tcPr>
            <w:tcW w:w="5211" w:type="dxa"/>
          </w:tcPr>
          <w:p w14:paraId="1153B642" w14:textId="77777777" w:rsidR="00E67F89" w:rsidRPr="00E67F89" w:rsidRDefault="00E67F89" w:rsidP="00E67F89">
            <w:r w:rsidRPr="00E67F89">
              <w:t xml:space="preserve">A-t-il besoin d'un personnel compétent et un niveau important de gestion, information et formation en </w:t>
            </w:r>
            <w:r w:rsidRPr="00E67F89">
              <w:lastRenderedPageBreak/>
              <w:t>matière de santé et sécurité (législation et pratiques professionnelles en matière d’exploitation minière et manipulation d’explosifs, système d’avertissement de la population pour les explosifs) ?</w:t>
            </w:r>
          </w:p>
        </w:tc>
        <w:tc>
          <w:tcPr>
            <w:tcW w:w="706" w:type="dxa"/>
          </w:tcPr>
          <w:p w14:paraId="5383BBE5" w14:textId="77777777" w:rsidR="00E67F89" w:rsidRPr="00E67F89" w:rsidRDefault="00E67F89" w:rsidP="00E67F89"/>
        </w:tc>
        <w:tc>
          <w:tcPr>
            <w:tcW w:w="707" w:type="dxa"/>
          </w:tcPr>
          <w:p w14:paraId="7FCC29B0" w14:textId="77777777" w:rsidR="00E67F89" w:rsidRPr="00E67F89" w:rsidRDefault="00E67F89" w:rsidP="00E67F89"/>
        </w:tc>
        <w:tc>
          <w:tcPr>
            <w:tcW w:w="3094" w:type="dxa"/>
          </w:tcPr>
          <w:p w14:paraId="56683B8C" w14:textId="77777777" w:rsidR="00E67F89" w:rsidRPr="00E67F89" w:rsidRDefault="00E67F89" w:rsidP="00E67F89"/>
        </w:tc>
      </w:tr>
      <w:tr w:rsidR="00E67F89" w:rsidRPr="00E67F89" w14:paraId="71050563" w14:textId="77777777" w:rsidTr="00223F64">
        <w:tc>
          <w:tcPr>
            <w:tcW w:w="9723" w:type="dxa"/>
            <w:gridSpan w:val="4"/>
            <w:vAlign w:val="center"/>
          </w:tcPr>
          <w:p w14:paraId="4F685801" w14:textId="77777777" w:rsidR="00E67F89" w:rsidRPr="00E67F89" w:rsidRDefault="00E67F89" w:rsidP="00E67F89">
            <w:r w:rsidRPr="00E67F89">
              <w:t>Perte d’actifs et autres</w:t>
            </w:r>
          </w:p>
        </w:tc>
      </w:tr>
      <w:tr w:rsidR="00E67F89" w:rsidRPr="00E67F89" w14:paraId="597A8D15" w14:textId="77777777" w:rsidTr="00223F64">
        <w:tc>
          <w:tcPr>
            <w:tcW w:w="5211" w:type="dxa"/>
            <w:vAlign w:val="center"/>
          </w:tcPr>
          <w:p w14:paraId="68AC9DCD" w14:textId="77777777" w:rsidR="00E67F89" w:rsidRPr="00E67F89" w:rsidRDefault="00E67F89" w:rsidP="00E67F89">
            <w:r w:rsidRPr="00E67F89">
              <w:t>Est-ce que le projet déclenchera la perte temporaire ou permanente d’habitat, de cultures, de terres agricoles, de pâturage, d'arbres fruitiers et d'infrastructures domestiques ?</w:t>
            </w:r>
          </w:p>
        </w:tc>
        <w:tc>
          <w:tcPr>
            <w:tcW w:w="706" w:type="dxa"/>
            <w:vAlign w:val="center"/>
          </w:tcPr>
          <w:p w14:paraId="412E9E9C" w14:textId="77777777" w:rsidR="00E67F89" w:rsidRPr="00E67F89" w:rsidRDefault="00E67F89" w:rsidP="00E67F89"/>
        </w:tc>
        <w:tc>
          <w:tcPr>
            <w:tcW w:w="707" w:type="dxa"/>
            <w:vAlign w:val="center"/>
          </w:tcPr>
          <w:p w14:paraId="3487980C" w14:textId="77777777" w:rsidR="00E67F89" w:rsidRPr="00E67F89" w:rsidRDefault="00E67F89" w:rsidP="00E67F89"/>
        </w:tc>
        <w:tc>
          <w:tcPr>
            <w:tcW w:w="3094" w:type="dxa"/>
            <w:vAlign w:val="center"/>
          </w:tcPr>
          <w:p w14:paraId="50E0C1E0" w14:textId="77777777" w:rsidR="00E67F89" w:rsidRPr="00E67F89" w:rsidRDefault="00E67F89" w:rsidP="00E67F89"/>
        </w:tc>
      </w:tr>
      <w:tr w:rsidR="00E67F89" w:rsidRPr="00E67F89" w14:paraId="1E2D70D8" w14:textId="77777777" w:rsidTr="00223F64">
        <w:tc>
          <w:tcPr>
            <w:tcW w:w="5211" w:type="dxa"/>
            <w:vAlign w:val="center"/>
          </w:tcPr>
          <w:p w14:paraId="4D834F3F" w14:textId="77777777" w:rsidR="00E67F89" w:rsidRPr="00E67F89" w:rsidRDefault="00E67F89" w:rsidP="00E67F89">
            <w:r w:rsidRPr="00E67F89">
              <w:t>Est-ce que le projet déclenchera la perte d’infrastructure publique (école publique, Centre de Santé, borne fontaine …)</w:t>
            </w:r>
          </w:p>
        </w:tc>
        <w:tc>
          <w:tcPr>
            <w:tcW w:w="706" w:type="dxa"/>
            <w:vAlign w:val="center"/>
          </w:tcPr>
          <w:p w14:paraId="4183FDF3" w14:textId="77777777" w:rsidR="00E67F89" w:rsidRPr="00E67F89" w:rsidRDefault="00E67F89" w:rsidP="00E67F89"/>
        </w:tc>
        <w:tc>
          <w:tcPr>
            <w:tcW w:w="707" w:type="dxa"/>
            <w:vAlign w:val="center"/>
          </w:tcPr>
          <w:p w14:paraId="7FB239DA" w14:textId="77777777" w:rsidR="00E67F89" w:rsidRPr="00E67F89" w:rsidRDefault="00E67F89" w:rsidP="00E67F89"/>
        </w:tc>
        <w:tc>
          <w:tcPr>
            <w:tcW w:w="3094" w:type="dxa"/>
            <w:vAlign w:val="center"/>
          </w:tcPr>
          <w:p w14:paraId="73625395" w14:textId="77777777" w:rsidR="00E67F89" w:rsidRPr="00E67F89" w:rsidRDefault="00E67F89" w:rsidP="00E67F89"/>
        </w:tc>
      </w:tr>
      <w:tr w:rsidR="00E67F89" w:rsidRPr="00E67F89" w14:paraId="0B86AF0A" w14:textId="77777777" w:rsidTr="00223F64">
        <w:tc>
          <w:tcPr>
            <w:tcW w:w="5211" w:type="dxa"/>
            <w:vAlign w:val="center"/>
          </w:tcPr>
          <w:p w14:paraId="504ECFBB" w14:textId="77777777" w:rsidR="00E67F89" w:rsidRPr="00E67F89" w:rsidRDefault="00E67F89" w:rsidP="00E67F89">
            <w:r w:rsidRPr="00E67F89">
              <w:t>Est-ce que le projet affect il les activités économique de la population</w:t>
            </w:r>
          </w:p>
        </w:tc>
        <w:tc>
          <w:tcPr>
            <w:tcW w:w="706" w:type="dxa"/>
            <w:vAlign w:val="center"/>
          </w:tcPr>
          <w:p w14:paraId="7A841AC9" w14:textId="77777777" w:rsidR="00E67F89" w:rsidRPr="00E67F89" w:rsidRDefault="00E67F89" w:rsidP="00E67F89"/>
        </w:tc>
        <w:tc>
          <w:tcPr>
            <w:tcW w:w="707" w:type="dxa"/>
            <w:vAlign w:val="center"/>
          </w:tcPr>
          <w:p w14:paraId="390499C4" w14:textId="77777777" w:rsidR="00E67F89" w:rsidRPr="00E67F89" w:rsidRDefault="00E67F89" w:rsidP="00E67F89"/>
        </w:tc>
        <w:tc>
          <w:tcPr>
            <w:tcW w:w="3094" w:type="dxa"/>
            <w:vAlign w:val="center"/>
          </w:tcPr>
          <w:p w14:paraId="008BBAB7" w14:textId="77777777" w:rsidR="00E67F89" w:rsidRPr="00E67F89" w:rsidRDefault="00E67F89" w:rsidP="00E67F89"/>
        </w:tc>
      </w:tr>
      <w:tr w:rsidR="00E67F89" w:rsidRPr="00E67F89" w14:paraId="16091101" w14:textId="77777777" w:rsidTr="00223F64">
        <w:tc>
          <w:tcPr>
            <w:tcW w:w="9723" w:type="dxa"/>
            <w:gridSpan w:val="4"/>
            <w:vAlign w:val="center"/>
          </w:tcPr>
          <w:p w14:paraId="48F5BAB8" w14:textId="77777777" w:rsidR="00E67F89" w:rsidRPr="00E67F89" w:rsidRDefault="00E67F89" w:rsidP="00E67F89">
            <w:r w:rsidRPr="00E67F89">
              <w:t xml:space="preserve">Revenus locaux </w:t>
            </w:r>
          </w:p>
        </w:tc>
      </w:tr>
      <w:tr w:rsidR="00E67F89" w:rsidRPr="00E67F89" w14:paraId="794B25D8" w14:textId="77777777" w:rsidTr="00223F64">
        <w:tc>
          <w:tcPr>
            <w:tcW w:w="5211" w:type="dxa"/>
            <w:vAlign w:val="center"/>
          </w:tcPr>
          <w:p w14:paraId="74DE2196" w14:textId="77777777" w:rsidR="00E67F89" w:rsidRPr="00E67F89" w:rsidRDefault="00E67F89" w:rsidP="00E67F89">
            <w:r w:rsidRPr="00E67F89">
              <w:t>Le projet permet-il la création d’emplois ?</w:t>
            </w:r>
          </w:p>
        </w:tc>
        <w:tc>
          <w:tcPr>
            <w:tcW w:w="706" w:type="dxa"/>
            <w:vAlign w:val="center"/>
          </w:tcPr>
          <w:p w14:paraId="08BB699D" w14:textId="77777777" w:rsidR="00E67F89" w:rsidRPr="00E67F89" w:rsidRDefault="00E67F89" w:rsidP="00E67F89"/>
        </w:tc>
        <w:tc>
          <w:tcPr>
            <w:tcW w:w="707" w:type="dxa"/>
            <w:vAlign w:val="center"/>
          </w:tcPr>
          <w:p w14:paraId="18CF51BA" w14:textId="77777777" w:rsidR="00E67F89" w:rsidRPr="00E67F89" w:rsidRDefault="00E67F89" w:rsidP="00E67F89"/>
        </w:tc>
        <w:tc>
          <w:tcPr>
            <w:tcW w:w="3094" w:type="dxa"/>
            <w:vAlign w:val="center"/>
          </w:tcPr>
          <w:p w14:paraId="647F0E0E" w14:textId="77777777" w:rsidR="00E67F89" w:rsidRPr="00E67F89" w:rsidRDefault="00E67F89" w:rsidP="00E67F89"/>
        </w:tc>
      </w:tr>
      <w:tr w:rsidR="00E67F89" w:rsidRPr="00E67F89" w14:paraId="2AA8264D" w14:textId="77777777" w:rsidTr="00223F64">
        <w:tc>
          <w:tcPr>
            <w:tcW w:w="5211" w:type="dxa"/>
            <w:vAlign w:val="center"/>
          </w:tcPr>
          <w:p w14:paraId="52F7CBD9" w14:textId="77777777" w:rsidR="00E67F89" w:rsidRPr="00E67F89" w:rsidRDefault="00E67F89" w:rsidP="00E67F89">
            <w:r w:rsidRPr="00E67F89">
              <w:t>Le projet favorise-t-il l’augmentation des productions agricoles et autres ?</w:t>
            </w:r>
          </w:p>
        </w:tc>
        <w:tc>
          <w:tcPr>
            <w:tcW w:w="706" w:type="dxa"/>
            <w:vAlign w:val="center"/>
          </w:tcPr>
          <w:p w14:paraId="075431C1" w14:textId="77777777" w:rsidR="00E67F89" w:rsidRPr="00E67F89" w:rsidRDefault="00E67F89" w:rsidP="00E67F89"/>
        </w:tc>
        <w:tc>
          <w:tcPr>
            <w:tcW w:w="707" w:type="dxa"/>
            <w:vAlign w:val="center"/>
          </w:tcPr>
          <w:p w14:paraId="44057E7F" w14:textId="77777777" w:rsidR="00E67F89" w:rsidRPr="00E67F89" w:rsidRDefault="00E67F89" w:rsidP="00E67F89"/>
        </w:tc>
        <w:tc>
          <w:tcPr>
            <w:tcW w:w="3094" w:type="dxa"/>
            <w:vAlign w:val="center"/>
          </w:tcPr>
          <w:p w14:paraId="21D2AF9F" w14:textId="77777777" w:rsidR="00E67F89" w:rsidRPr="00E67F89" w:rsidRDefault="00E67F89" w:rsidP="00E67F89"/>
        </w:tc>
      </w:tr>
      <w:tr w:rsidR="00E67F89" w:rsidRPr="00E67F89" w14:paraId="0DFBC82B" w14:textId="77777777" w:rsidTr="00223F64">
        <w:tc>
          <w:tcPr>
            <w:tcW w:w="9723" w:type="dxa"/>
            <w:gridSpan w:val="4"/>
            <w:vAlign w:val="center"/>
          </w:tcPr>
          <w:p w14:paraId="0FD23304" w14:textId="77777777" w:rsidR="00E67F89" w:rsidRPr="00E67F89" w:rsidRDefault="00E67F89" w:rsidP="00E67F89">
            <w:r w:rsidRPr="00E67F89">
              <w:t>Préoccupations du genre</w:t>
            </w:r>
          </w:p>
        </w:tc>
      </w:tr>
      <w:tr w:rsidR="00E67F89" w:rsidRPr="00E67F89" w14:paraId="522EE807" w14:textId="77777777" w:rsidTr="00223F64">
        <w:tc>
          <w:tcPr>
            <w:tcW w:w="5211" w:type="dxa"/>
            <w:vAlign w:val="center"/>
          </w:tcPr>
          <w:p w14:paraId="0F3AD771" w14:textId="77777777" w:rsidR="00E67F89" w:rsidRPr="00E67F89" w:rsidRDefault="00E67F89" w:rsidP="00E67F89">
            <w:r w:rsidRPr="00E67F89">
              <w:t>Le projet favorise-t-il une intégration des femmes et autres couches vulnérables ?</w:t>
            </w:r>
          </w:p>
        </w:tc>
        <w:tc>
          <w:tcPr>
            <w:tcW w:w="706" w:type="dxa"/>
            <w:vAlign w:val="center"/>
          </w:tcPr>
          <w:p w14:paraId="5F67B7E8" w14:textId="77777777" w:rsidR="00E67F89" w:rsidRPr="00E67F89" w:rsidRDefault="00E67F89" w:rsidP="00E67F89"/>
        </w:tc>
        <w:tc>
          <w:tcPr>
            <w:tcW w:w="707" w:type="dxa"/>
            <w:vAlign w:val="center"/>
          </w:tcPr>
          <w:p w14:paraId="29071F6A" w14:textId="77777777" w:rsidR="00E67F89" w:rsidRPr="00E67F89" w:rsidRDefault="00E67F89" w:rsidP="00E67F89"/>
        </w:tc>
        <w:tc>
          <w:tcPr>
            <w:tcW w:w="3094" w:type="dxa"/>
            <w:vAlign w:val="center"/>
          </w:tcPr>
          <w:p w14:paraId="114D0113" w14:textId="77777777" w:rsidR="00E67F89" w:rsidRPr="00E67F89" w:rsidRDefault="00E67F89" w:rsidP="00E67F89"/>
        </w:tc>
      </w:tr>
      <w:tr w:rsidR="00E67F89" w:rsidRPr="00E67F89" w14:paraId="7E30F560" w14:textId="77777777" w:rsidTr="00223F64">
        <w:tc>
          <w:tcPr>
            <w:tcW w:w="5211" w:type="dxa"/>
            <w:vAlign w:val="center"/>
          </w:tcPr>
          <w:p w14:paraId="6C88423C" w14:textId="77777777" w:rsidR="00E67F89" w:rsidRPr="00E67F89" w:rsidRDefault="00E67F89" w:rsidP="00E67F89">
            <w:r w:rsidRPr="00E67F89">
              <w:t>Le projet prend-t-il en charge les préoccupations des femmes et favorise-t-il leur implication dans la prise de décision ?</w:t>
            </w:r>
          </w:p>
        </w:tc>
        <w:tc>
          <w:tcPr>
            <w:tcW w:w="706" w:type="dxa"/>
            <w:vAlign w:val="center"/>
          </w:tcPr>
          <w:p w14:paraId="4261F501" w14:textId="77777777" w:rsidR="00E67F89" w:rsidRPr="00E67F89" w:rsidRDefault="00E67F89" w:rsidP="00E67F89"/>
        </w:tc>
        <w:tc>
          <w:tcPr>
            <w:tcW w:w="707" w:type="dxa"/>
            <w:vAlign w:val="center"/>
          </w:tcPr>
          <w:p w14:paraId="4300EEEC" w14:textId="77777777" w:rsidR="00E67F89" w:rsidRPr="00E67F89" w:rsidRDefault="00E67F89" w:rsidP="00E67F89"/>
        </w:tc>
        <w:tc>
          <w:tcPr>
            <w:tcW w:w="3094" w:type="dxa"/>
            <w:vAlign w:val="center"/>
          </w:tcPr>
          <w:p w14:paraId="15DA991F" w14:textId="77777777" w:rsidR="00E67F89" w:rsidRPr="00E67F89" w:rsidRDefault="00E67F89" w:rsidP="00E67F89"/>
        </w:tc>
      </w:tr>
      <w:tr w:rsidR="00E67F89" w:rsidRPr="00E67F89" w14:paraId="0B738170" w14:textId="77777777" w:rsidTr="00223F64">
        <w:tc>
          <w:tcPr>
            <w:tcW w:w="5211" w:type="dxa"/>
            <w:vAlign w:val="center"/>
          </w:tcPr>
          <w:p w14:paraId="37427024" w14:textId="77777777" w:rsidR="00E67F89" w:rsidRPr="00E67F89" w:rsidRDefault="00E67F89" w:rsidP="00E67F89">
            <w:r w:rsidRPr="00E67F89">
              <w:t>Le projet risque-t-il de favoriser le travail des enfants mineurs ?</w:t>
            </w:r>
          </w:p>
        </w:tc>
        <w:tc>
          <w:tcPr>
            <w:tcW w:w="706" w:type="dxa"/>
            <w:vAlign w:val="center"/>
          </w:tcPr>
          <w:p w14:paraId="0AD4F01F" w14:textId="77777777" w:rsidR="00E67F89" w:rsidRPr="00E67F89" w:rsidRDefault="00E67F89" w:rsidP="00E67F89"/>
        </w:tc>
        <w:tc>
          <w:tcPr>
            <w:tcW w:w="707" w:type="dxa"/>
            <w:vAlign w:val="center"/>
          </w:tcPr>
          <w:p w14:paraId="260C7CFA" w14:textId="77777777" w:rsidR="00E67F89" w:rsidRPr="00E67F89" w:rsidRDefault="00E67F89" w:rsidP="00E67F89"/>
        </w:tc>
        <w:tc>
          <w:tcPr>
            <w:tcW w:w="3094" w:type="dxa"/>
            <w:vAlign w:val="center"/>
          </w:tcPr>
          <w:p w14:paraId="482340A3" w14:textId="77777777" w:rsidR="00E67F89" w:rsidRPr="00E67F89" w:rsidRDefault="00E67F89" w:rsidP="00E67F89"/>
        </w:tc>
      </w:tr>
      <w:tr w:rsidR="00E67F89" w:rsidRPr="00E67F89" w14:paraId="590FE711" w14:textId="77777777" w:rsidTr="00223F64">
        <w:tc>
          <w:tcPr>
            <w:tcW w:w="9723" w:type="dxa"/>
            <w:gridSpan w:val="4"/>
            <w:vAlign w:val="center"/>
          </w:tcPr>
          <w:p w14:paraId="69395F74" w14:textId="77777777" w:rsidR="00E67F89" w:rsidRPr="00E67F89" w:rsidRDefault="00E67F89" w:rsidP="00E67F89">
            <w:r w:rsidRPr="00E67F89">
              <w:t xml:space="preserve">Perturbations sociales </w:t>
            </w:r>
          </w:p>
        </w:tc>
      </w:tr>
      <w:tr w:rsidR="00E67F89" w:rsidRPr="00E67F89" w14:paraId="387FEA79" w14:textId="77777777" w:rsidTr="00223F64">
        <w:tc>
          <w:tcPr>
            <w:tcW w:w="5211" w:type="dxa"/>
            <w:vAlign w:val="center"/>
          </w:tcPr>
          <w:p w14:paraId="52204FAA" w14:textId="77777777" w:rsidR="00E67F89" w:rsidRPr="00E67F89" w:rsidRDefault="00E67F89" w:rsidP="00E67F89">
            <w:r w:rsidRPr="00E67F89">
              <w:t>Occupation ou planification d’utilisation de sol affectée : existe-t-il de litiges autour du projet ?</w:t>
            </w:r>
          </w:p>
        </w:tc>
        <w:tc>
          <w:tcPr>
            <w:tcW w:w="706" w:type="dxa"/>
            <w:vAlign w:val="center"/>
          </w:tcPr>
          <w:p w14:paraId="3C9D1A74" w14:textId="77777777" w:rsidR="00E67F89" w:rsidRPr="00E67F89" w:rsidRDefault="00E67F89" w:rsidP="00E67F89"/>
        </w:tc>
        <w:tc>
          <w:tcPr>
            <w:tcW w:w="707" w:type="dxa"/>
            <w:vAlign w:val="center"/>
          </w:tcPr>
          <w:p w14:paraId="720CAAFB" w14:textId="77777777" w:rsidR="00E67F89" w:rsidRPr="00E67F89" w:rsidRDefault="00E67F89" w:rsidP="00E67F89"/>
        </w:tc>
        <w:tc>
          <w:tcPr>
            <w:tcW w:w="3094" w:type="dxa"/>
            <w:vAlign w:val="center"/>
          </w:tcPr>
          <w:p w14:paraId="6B084D07" w14:textId="77777777" w:rsidR="00E67F89" w:rsidRPr="00E67F89" w:rsidRDefault="00E67F89" w:rsidP="00E67F89"/>
        </w:tc>
      </w:tr>
      <w:tr w:rsidR="00E67F89" w:rsidRPr="00E67F89" w14:paraId="2C282020" w14:textId="77777777" w:rsidTr="00223F64">
        <w:tc>
          <w:tcPr>
            <w:tcW w:w="5211" w:type="dxa"/>
            <w:vAlign w:val="center"/>
          </w:tcPr>
          <w:p w14:paraId="1E52F136" w14:textId="77777777" w:rsidR="00E67F89" w:rsidRPr="00E67F89" w:rsidRDefault="00E67F89" w:rsidP="00E67F89">
            <w:r w:rsidRPr="00E67F89">
              <w:t>Le projet entraîne –t-il une perturbation de propriété foncière, affecte des accès ?</w:t>
            </w:r>
          </w:p>
        </w:tc>
        <w:tc>
          <w:tcPr>
            <w:tcW w:w="706" w:type="dxa"/>
            <w:vAlign w:val="center"/>
          </w:tcPr>
          <w:p w14:paraId="6EFC6281" w14:textId="77777777" w:rsidR="00E67F89" w:rsidRPr="00E67F89" w:rsidRDefault="00E67F89" w:rsidP="00E67F89"/>
        </w:tc>
        <w:tc>
          <w:tcPr>
            <w:tcW w:w="707" w:type="dxa"/>
            <w:vAlign w:val="center"/>
          </w:tcPr>
          <w:p w14:paraId="635BF06A" w14:textId="77777777" w:rsidR="00E67F89" w:rsidRPr="00E67F89" w:rsidRDefault="00E67F89" w:rsidP="00E67F89"/>
        </w:tc>
        <w:tc>
          <w:tcPr>
            <w:tcW w:w="3094" w:type="dxa"/>
            <w:vAlign w:val="center"/>
          </w:tcPr>
          <w:p w14:paraId="5922EE98" w14:textId="77777777" w:rsidR="00E67F89" w:rsidRPr="00E67F89" w:rsidRDefault="00E67F89" w:rsidP="00E67F89"/>
        </w:tc>
      </w:tr>
      <w:tr w:rsidR="00E67F89" w:rsidRPr="00E67F89" w14:paraId="62EFF192" w14:textId="77777777" w:rsidTr="00223F64">
        <w:tc>
          <w:tcPr>
            <w:tcW w:w="5211" w:type="dxa"/>
            <w:vAlign w:val="center"/>
          </w:tcPr>
          <w:p w14:paraId="1A653C7A" w14:textId="77777777" w:rsidR="00E67F89" w:rsidRPr="00E67F89" w:rsidRDefault="00E67F89" w:rsidP="00E67F89">
            <w:r w:rsidRPr="00E67F89">
              <w:lastRenderedPageBreak/>
              <w:t>Le projet occasionnera-t-il une interruption de la circulation routière ?</w:t>
            </w:r>
          </w:p>
        </w:tc>
        <w:tc>
          <w:tcPr>
            <w:tcW w:w="706" w:type="dxa"/>
            <w:vAlign w:val="center"/>
          </w:tcPr>
          <w:p w14:paraId="38CDC76C" w14:textId="77777777" w:rsidR="00E67F89" w:rsidRPr="00E67F89" w:rsidRDefault="00E67F89" w:rsidP="00E67F89"/>
        </w:tc>
        <w:tc>
          <w:tcPr>
            <w:tcW w:w="707" w:type="dxa"/>
            <w:vAlign w:val="center"/>
          </w:tcPr>
          <w:p w14:paraId="49684F6D" w14:textId="77777777" w:rsidR="00E67F89" w:rsidRPr="00E67F89" w:rsidRDefault="00E67F89" w:rsidP="00E67F89"/>
        </w:tc>
        <w:tc>
          <w:tcPr>
            <w:tcW w:w="3094" w:type="dxa"/>
            <w:vAlign w:val="center"/>
          </w:tcPr>
          <w:p w14:paraId="41BBF698" w14:textId="77777777" w:rsidR="00E67F89" w:rsidRPr="00E67F89" w:rsidRDefault="00E67F89" w:rsidP="00E67F89"/>
        </w:tc>
      </w:tr>
    </w:tbl>
    <w:p w14:paraId="2A134B67" w14:textId="77777777" w:rsidR="00E67F89" w:rsidRPr="00E67F89" w:rsidRDefault="00E67F89" w:rsidP="00E67F89">
      <w:r w:rsidRPr="00E67F89">
        <w:t>Impacts liés aux sites d’extraction (carrières pour produits rocheux, gîtes et emprunts)</w:t>
      </w:r>
    </w:p>
    <w:tbl>
      <w:tblPr>
        <w:tblW w:w="97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193"/>
        <w:gridCol w:w="709"/>
        <w:gridCol w:w="736"/>
        <w:gridCol w:w="3109"/>
        <w:gridCol w:w="6"/>
      </w:tblGrid>
      <w:tr w:rsidR="00E67F89" w:rsidRPr="00E67F89" w14:paraId="40B304E9" w14:textId="77777777" w:rsidTr="00223F64">
        <w:trPr>
          <w:gridAfter w:val="1"/>
          <w:wAfter w:w="6" w:type="dxa"/>
          <w:tblHeader/>
        </w:trPr>
        <w:tc>
          <w:tcPr>
            <w:tcW w:w="5211" w:type="dxa"/>
            <w:shd w:val="clear" w:color="auto" w:fill="D9D9D9"/>
            <w:vAlign w:val="center"/>
          </w:tcPr>
          <w:p w14:paraId="41406E55" w14:textId="77777777" w:rsidR="00E67F89" w:rsidRPr="00E67F89" w:rsidRDefault="00E67F89" w:rsidP="00E67F89">
            <w:r w:rsidRPr="00E67F89">
              <w:t>Questions</w:t>
            </w:r>
          </w:p>
        </w:tc>
        <w:tc>
          <w:tcPr>
            <w:tcW w:w="709" w:type="dxa"/>
            <w:shd w:val="clear" w:color="auto" w:fill="D9D9D9"/>
            <w:vAlign w:val="center"/>
          </w:tcPr>
          <w:p w14:paraId="5FD58A65" w14:textId="77777777" w:rsidR="00E67F89" w:rsidRPr="00E67F89" w:rsidRDefault="00E67F89" w:rsidP="00E67F89">
            <w:r w:rsidRPr="00E67F89">
              <w:t>OUI</w:t>
            </w:r>
          </w:p>
        </w:tc>
        <w:tc>
          <w:tcPr>
            <w:tcW w:w="709" w:type="dxa"/>
            <w:shd w:val="clear" w:color="auto" w:fill="D9D9D9"/>
            <w:vAlign w:val="center"/>
          </w:tcPr>
          <w:p w14:paraId="1E2B2487" w14:textId="77777777" w:rsidR="00E67F89" w:rsidRPr="00E67F89" w:rsidRDefault="00E67F89" w:rsidP="00E67F89">
            <w:r w:rsidRPr="00E67F89">
              <w:t>NON</w:t>
            </w:r>
          </w:p>
        </w:tc>
        <w:tc>
          <w:tcPr>
            <w:tcW w:w="3118" w:type="dxa"/>
            <w:shd w:val="clear" w:color="auto" w:fill="D9D9D9"/>
            <w:vAlign w:val="center"/>
          </w:tcPr>
          <w:p w14:paraId="78250EBB" w14:textId="77777777" w:rsidR="00E67F89" w:rsidRPr="00E67F89" w:rsidRDefault="00E67F89" w:rsidP="00E67F89">
            <w:r w:rsidRPr="00E67F89">
              <w:t>Observations</w:t>
            </w:r>
          </w:p>
        </w:tc>
      </w:tr>
      <w:tr w:rsidR="00E67F89" w:rsidRPr="00E67F89" w14:paraId="02172120" w14:textId="77777777" w:rsidTr="00223F64">
        <w:trPr>
          <w:trHeight w:val="386"/>
        </w:trPr>
        <w:tc>
          <w:tcPr>
            <w:tcW w:w="9753" w:type="dxa"/>
            <w:gridSpan w:val="5"/>
            <w:vAlign w:val="center"/>
          </w:tcPr>
          <w:p w14:paraId="2ED0248E" w14:textId="77777777" w:rsidR="00E67F89" w:rsidRPr="00E67F89" w:rsidRDefault="00E67F89" w:rsidP="00E67F89">
            <w:r w:rsidRPr="00E67F89">
              <w:t>Utilisation du site d’extraction</w:t>
            </w:r>
          </w:p>
        </w:tc>
      </w:tr>
      <w:tr w:rsidR="00E67F89" w:rsidRPr="00E67F89" w14:paraId="6F5A9FB3" w14:textId="77777777" w:rsidTr="00223F64">
        <w:trPr>
          <w:gridAfter w:val="1"/>
          <w:wAfter w:w="6" w:type="dxa"/>
        </w:trPr>
        <w:tc>
          <w:tcPr>
            <w:tcW w:w="5211" w:type="dxa"/>
          </w:tcPr>
          <w:p w14:paraId="4C5E6B51" w14:textId="77777777" w:rsidR="00E67F89" w:rsidRPr="00E67F89" w:rsidRDefault="00E67F89" w:rsidP="00E67F89">
            <w:r w:rsidRPr="00E67F89">
              <w:t>Porte-t-il sur l'emprunt de volumes importants de matériaux (graviers, roches, sable) ?</w:t>
            </w:r>
          </w:p>
        </w:tc>
        <w:tc>
          <w:tcPr>
            <w:tcW w:w="709" w:type="dxa"/>
          </w:tcPr>
          <w:p w14:paraId="5D47E016" w14:textId="77777777" w:rsidR="00E67F89" w:rsidRPr="00E67F89" w:rsidRDefault="00E67F89" w:rsidP="00E67F89"/>
        </w:tc>
        <w:tc>
          <w:tcPr>
            <w:tcW w:w="709" w:type="dxa"/>
          </w:tcPr>
          <w:p w14:paraId="296C9EC9" w14:textId="77777777" w:rsidR="00E67F89" w:rsidRPr="00E67F89" w:rsidRDefault="00E67F89" w:rsidP="00E67F89"/>
        </w:tc>
        <w:tc>
          <w:tcPr>
            <w:tcW w:w="3118" w:type="dxa"/>
          </w:tcPr>
          <w:p w14:paraId="471442FC" w14:textId="77777777" w:rsidR="00E67F89" w:rsidRPr="00E67F89" w:rsidRDefault="00E67F89" w:rsidP="00E67F89"/>
        </w:tc>
      </w:tr>
      <w:tr w:rsidR="00E67F89" w:rsidRPr="00E67F89" w14:paraId="6EC69AC5" w14:textId="77777777" w:rsidTr="00223F64">
        <w:trPr>
          <w:gridAfter w:val="1"/>
          <w:wAfter w:w="6" w:type="dxa"/>
        </w:trPr>
        <w:tc>
          <w:tcPr>
            <w:tcW w:w="5211" w:type="dxa"/>
          </w:tcPr>
          <w:p w14:paraId="02AD9449" w14:textId="77777777" w:rsidR="00E67F89" w:rsidRPr="00E67F89" w:rsidRDefault="00E67F89" w:rsidP="00E67F89">
            <w:r w:rsidRPr="00E67F89">
              <w:t>Nécessitera-t-il l'acquisition ou la conversion de superficies importantes de terrains pour les excavations en surface et le concassage des matériaux (ex: &gt; 20 ha) ?</w:t>
            </w:r>
          </w:p>
        </w:tc>
        <w:tc>
          <w:tcPr>
            <w:tcW w:w="709" w:type="dxa"/>
          </w:tcPr>
          <w:p w14:paraId="581E6A8B" w14:textId="77777777" w:rsidR="00E67F89" w:rsidRPr="00E67F89" w:rsidRDefault="00E67F89" w:rsidP="00E67F89"/>
        </w:tc>
        <w:tc>
          <w:tcPr>
            <w:tcW w:w="709" w:type="dxa"/>
          </w:tcPr>
          <w:p w14:paraId="21EA2EEA" w14:textId="77777777" w:rsidR="00E67F89" w:rsidRPr="00E67F89" w:rsidRDefault="00E67F89" w:rsidP="00E67F89"/>
        </w:tc>
        <w:tc>
          <w:tcPr>
            <w:tcW w:w="3118" w:type="dxa"/>
          </w:tcPr>
          <w:p w14:paraId="30169E60" w14:textId="77777777" w:rsidR="00E67F89" w:rsidRPr="00E67F89" w:rsidRDefault="00E67F89" w:rsidP="00E67F89"/>
        </w:tc>
      </w:tr>
      <w:tr w:rsidR="00E67F89" w:rsidRPr="00E67F89" w14:paraId="5FC94857" w14:textId="77777777" w:rsidTr="00223F64">
        <w:trPr>
          <w:gridAfter w:val="1"/>
          <w:wAfter w:w="6" w:type="dxa"/>
        </w:trPr>
        <w:tc>
          <w:tcPr>
            <w:tcW w:w="5211" w:type="dxa"/>
          </w:tcPr>
          <w:p w14:paraId="542C65DC" w14:textId="77777777" w:rsidR="00E67F89" w:rsidRPr="00E67F89" w:rsidRDefault="00E67F89" w:rsidP="00E67F89">
            <w:r w:rsidRPr="00E67F89">
              <w:t>Nécessitera-t-il de nouveaux accès ou une amélioration ou élargissement significatifs de routes ou pistes existantes ?</w:t>
            </w:r>
          </w:p>
        </w:tc>
        <w:tc>
          <w:tcPr>
            <w:tcW w:w="709" w:type="dxa"/>
          </w:tcPr>
          <w:p w14:paraId="464C9126" w14:textId="77777777" w:rsidR="00E67F89" w:rsidRPr="00E67F89" w:rsidRDefault="00E67F89" w:rsidP="00E67F89"/>
        </w:tc>
        <w:tc>
          <w:tcPr>
            <w:tcW w:w="709" w:type="dxa"/>
          </w:tcPr>
          <w:p w14:paraId="02692BAF" w14:textId="77777777" w:rsidR="00E67F89" w:rsidRPr="00E67F89" w:rsidRDefault="00E67F89" w:rsidP="00E67F89"/>
        </w:tc>
        <w:tc>
          <w:tcPr>
            <w:tcW w:w="3118" w:type="dxa"/>
          </w:tcPr>
          <w:p w14:paraId="17BD99FD" w14:textId="77777777" w:rsidR="00E67F89" w:rsidRPr="00E67F89" w:rsidRDefault="00E67F89" w:rsidP="00E67F89"/>
        </w:tc>
      </w:tr>
      <w:tr w:rsidR="00E67F89" w:rsidRPr="00E67F89" w14:paraId="7DD72886" w14:textId="77777777" w:rsidTr="00223F64">
        <w:trPr>
          <w:gridAfter w:val="1"/>
          <w:wAfter w:w="6" w:type="dxa"/>
        </w:trPr>
        <w:tc>
          <w:tcPr>
            <w:tcW w:w="5211" w:type="dxa"/>
          </w:tcPr>
          <w:p w14:paraId="47E922BF" w14:textId="77777777" w:rsidR="00E67F89" w:rsidRPr="00E67F89" w:rsidRDefault="00E67F89" w:rsidP="00E67F89">
            <w:r w:rsidRPr="00E67F89">
              <w:t>Nécessitera-t-il le transport, la manipulation et l’utilisation d’explosifs ?</w:t>
            </w:r>
          </w:p>
        </w:tc>
        <w:tc>
          <w:tcPr>
            <w:tcW w:w="709" w:type="dxa"/>
          </w:tcPr>
          <w:p w14:paraId="55E6DDDD" w14:textId="77777777" w:rsidR="00E67F89" w:rsidRPr="00E67F89" w:rsidRDefault="00E67F89" w:rsidP="00E67F89"/>
        </w:tc>
        <w:tc>
          <w:tcPr>
            <w:tcW w:w="709" w:type="dxa"/>
          </w:tcPr>
          <w:p w14:paraId="14DA5761" w14:textId="77777777" w:rsidR="00E67F89" w:rsidRPr="00E67F89" w:rsidRDefault="00E67F89" w:rsidP="00E67F89"/>
        </w:tc>
        <w:tc>
          <w:tcPr>
            <w:tcW w:w="3118" w:type="dxa"/>
          </w:tcPr>
          <w:p w14:paraId="1756F3E4" w14:textId="77777777" w:rsidR="00E67F89" w:rsidRPr="00E67F89" w:rsidRDefault="00E67F89" w:rsidP="00E67F89"/>
        </w:tc>
      </w:tr>
      <w:tr w:rsidR="00E67F89" w:rsidRPr="00E67F89" w14:paraId="326C5365" w14:textId="77777777" w:rsidTr="00223F64">
        <w:trPr>
          <w:gridAfter w:val="1"/>
          <w:wAfter w:w="6" w:type="dxa"/>
        </w:trPr>
        <w:tc>
          <w:tcPr>
            <w:tcW w:w="5211" w:type="dxa"/>
          </w:tcPr>
          <w:p w14:paraId="423A8D72" w14:textId="77777777" w:rsidR="00E67F89" w:rsidRPr="00E67F89" w:rsidRDefault="00E67F89" w:rsidP="00E67F89">
            <w:r w:rsidRPr="00E67F89">
              <w:t>Entraînera-t-il des volumes de sols stériles importants ?</w:t>
            </w:r>
          </w:p>
        </w:tc>
        <w:tc>
          <w:tcPr>
            <w:tcW w:w="709" w:type="dxa"/>
          </w:tcPr>
          <w:p w14:paraId="5B51367D" w14:textId="77777777" w:rsidR="00E67F89" w:rsidRPr="00E67F89" w:rsidRDefault="00E67F89" w:rsidP="00E67F89"/>
        </w:tc>
        <w:tc>
          <w:tcPr>
            <w:tcW w:w="709" w:type="dxa"/>
          </w:tcPr>
          <w:p w14:paraId="55A43EB6" w14:textId="77777777" w:rsidR="00E67F89" w:rsidRPr="00E67F89" w:rsidRDefault="00E67F89" w:rsidP="00E67F89"/>
        </w:tc>
        <w:tc>
          <w:tcPr>
            <w:tcW w:w="3118" w:type="dxa"/>
          </w:tcPr>
          <w:p w14:paraId="1906BC23" w14:textId="77777777" w:rsidR="00E67F89" w:rsidRPr="00E67F89" w:rsidRDefault="00E67F89" w:rsidP="00E67F89"/>
        </w:tc>
      </w:tr>
      <w:tr w:rsidR="00E67F89" w:rsidRPr="00E67F89" w14:paraId="4A50B70A" w14:textId="77777777" w:rsidTr="00223F64">
        <w:trPr>
          <w:gridAfter w:val="1"/>
          <w:wAfter w:w="6" w:type="dxa"/>
        </w:trPr>
        <w:tc>
          <w:tcPr>
            <w:tcW w:w="5211" w:type="dxa"/>
          </w:tcPr>
          <w:p w14:paraId="00C82AE1" w14:textId="77777777" w:rsidR="00E67F89" w:rsidRPr="00E67F89" w:rsidRDefault="00E67F89" w:rsidP="00E67F89">
            <w:r w:rsidRPr="00E67F89">
              <w:t>Nécessitera-t-il des niveaux importants d'installation d'hébergements ou de services destinés à la main-d'œuvre pendant l’exploitation (ex &gt; 100 ouvriers manuels) ?</w:t>
            </w:r>
          </w:p>
        </w:tc>
        <w:tc>
          <w:tcPr>
            <w:tcW w:w="709" w:type="dxa"/>
          </w:tcPr>
          <w:p w14:paraId="1A219D68" w14:textId="77777777" w:rsidR="00E67F89" w:rsidRPr="00E67F89" w:rsidRDefault="00E67F89" w:rsidP="00E67F89"/>
        </w:tc>
        <w:tc>
          <w:tcPr>
            <w:tcW w:w="709" w:type="dxa"/>
          </w:tcPr>
          <w:p w14:paraId="16A063F2" w14:textId="77777777" w:rsidR="00E67F89" w:rsidRPr="00E67F89" w:rsidRDefault="00E67F89" w:rsidP="00E67F89"/>
        </w:tc>
        <w:tc>
          <w:tcPr>
            <w:tcW w:w="3118" w:type="dxa"/>
          </w:tcPr>
          <w:p w14:paraId="2226ECA2" w14:textId="77777777" w:rsidR="00E67F89" w:rsidRPr="00E67F89" w:rsidRDefault="00E67F89" w:rsidP="00E67F89"/>
        </w:tc>
      </w:tr>
      <w:tr w:rsidR="00E67F89" w:rsidRPr="00E67F89" w14:paraId="0A18A6C1" w14:textId="77777777" w:rsidTr="00223F64">
        <w:trPr>
          <w:trHeight w:val="412"/>
        </w:trPr>
        <w:tc>
          <w:tcPr>
            <w:tcW w:w="9753" w:type="dxa"/>
            <w:gridSpan w:val="5"/>
            <w:vAlign w:val="center"/>
          </w:tcPr>
          <w:p w14:paraId="158AD4F6" w14:textId="77777777" w:rsidR="00E67F89" w:rsidRPr="00E67F89" w:rsidRDefault="00E67F89" w:rsidP="00E67F89">
            <w:r w:rsidRPr="00E67F89">
              <w:t>Zone protégée et sensible. Biodiversité</w:t>
            </w:r>
          </w:p>
        </w:tc>
      </w:tr>
      <w:tr w:rsidR="00E67F89" w:rsidRPr="00E67F89" w14:paraId="5DB4D79C" w14:textId="77777777" w:rsidTr="00223F64">
        <w:trPr>
          <w:gridAfter w:val="1"/>
          <w:wAfter w:w="6" w:type="dxa"/>
        </w:trPr>
        <w:tc>
          <w:tcPr>
            <w:tcW w:w="5211" w:type="dxa"/>
          </w:tcPr>
          <w:p w14:paraId="6EC1F53B" w14:textId="77777777" w:rsidR="00E67F89" w:rsidRPr="00E67F89" w:rsidRDefault="00E67F89" w:rsidP="00E67F89">
            <w:r w:rsidRPr="00E67F89">
              <w:t>Se trouve –t- il dans une zone protégée (Aires Protégées) ou des zones sensibles ?</w:t>
            </w:r>
          </w:p>
        </w:tc>
        <w:tc>
          <w:tcPr>
            <w:tcW w:w="709" w:type="dxa"/>
          </w:tcPr>
          <w:p w14:paraId="21E9BE57" w14:textId="77777777" w:rsidR="00E67F89" w:rsidRPr="00E67F89" w:rsidRDefault="00E67F89" w:rsidP="00E67F89"/>
        </w:tc>
        <w:tc>
          <w:tcPr>
            <w:tcW w:w="709" w:type="dxa"/>
          </w:tcPr>
          <w:p w14:paraId="1F37C448" w14:textId="77777777" w:rsidR="00E67F89" w:rsidRPr="00E67F89" w:rsidRDefault="00E67F89" w:rsidP="00E67F89"/>
        </w:tc>
        <w:tc>
          <w:tcPr>
            <w:tcW w:w="3118" w:type="dxa"/>
          </w:tcPr>
          <w:p w14:paraId="3971CC3B" w14:textId="77777777" w:rsidR="00E67F89" w:rsidRPr="00E67F89" w:rsidRDefault="00E67F89" w:rsidP="00E67F89"/>
        </w:tc>
      </w:tr>
      <w:tr w:rsidR="00E67F89" w:rsidRPr="00E67F89" w14:paraId="2577E1CA" w14:textId="77777777" w:rsidTr="00223F64">
        <w:trPr>
          <w:gridAfter w:val="1"/>
          <w:wAfter w:w="6" w:type="dxa"/>
        </w:trPr>
        <w:tc>
          <w:tcPr>
            <w:tcW w:w="5211" w:type="dxa"/>
          </w:tcPr>
          <w:p w14:paraId="7DC07640" w14:textId="77777777" w:rsidR="00E67F89" w:rsidRPr="00E67F89" w:rsidRDefault="00E67F89" w:rsidP="00E67F89">
            <w:r w:rsidRPr="00E67F89">
              <w:t>Faudra-t-il effectuer des excavations, ou la construction d'une infrastructure de transports dans ou à proximité de cours/plan d’eau, zones humides naturelles ou converties, voies de drainage, canaux, zones à fort risque d’inondation ?</w:t>
            </w:r>
          </w:p>
        </w:tc>
        <w:tc>
          <w:tcPr>
            <w:tcW w:w="709" w:type="dxa"/>
          </w:tcPr>
          <w:p w14:paraId="5B857BBF" w14:textId="77777777" w:rsidR="00E67F89" w:rsidRPr="00E67F89" w:rsidRDefault="00E67F89" w:rsidP="00E67F89"/>
        </w:tc>
        <w:tc>
          <w:tcPr>
            <w:tcW w:w="709" w:type="dxa"/>
          </w:tcPr>
          <w:p w14:paraId="2AE92A07" w14:textId="77777777" w:rsidR="00E67F89" w:rsidRPr="00E67F89" w:rsidRDefault="00E67F89" w:rsidP="00E67F89"/>
        </w:tc>
        <w:tc>
          <w:tcPr>
            <w:tcW w:w="3118" w:type="dxa"/>
          </w:tcPr>
          <w:p w14:paraId="4DFE07A3" w14:textId="77777777" w:rsidR="00E67F89" w:rsidRPr="00E67F89" w:rsidRDefault="00E67F89" w:rsidP="00E67F89"/>
        </w:tc>
      </w:tr>
      <w:tr w:rsidR="00E67F89" w:rsidRPr="00E67F89" w14:paraId="46650E9D" w14:textId="77777777" w:rsidTr="00223F64">
        <w:trPr>
          <w:gridAfter w:val="1"/>
          <w:wAfter w:w="6" w:type="dxa"/>
        </w:trPr>
        <w:tc>
          <w:tcPr>
            <w:tcW w:w="5211" w:type="dxa"/>
          </w:tcPr>
          <w:p w14:paraId="031DD99A" w14:textId="77777777" w:rsidR="00E67F89" w:rsidRPr="00E67F89" w:rsidRDefault="00E67F89" w:rsidP="00E67F89">
            <w:r w:rsidRPr="00E67F89">
              <w:t>Faudra-t-il effectuer des excavations, ou la construction d'une infrastructure de transports dans des zones à fort risque d’érosion ?</w:t>
            </w:r>
          </w:p>
        </w:tc>
        <w:tc>
          <w:tcPr>
            <w:tcW w:w="709" w:type="dxa"/>
          </w:tcPr>
          <w:p w14:paraId="2B31ACE8" w14:textId="77777777" w:rsidR="00E67F89" w:rsidRPr="00E67F89" w:rsidRDefault="00E67F89" w:rsidP="00E67F89"/>
        </w:tc>
        <w:tc>
          <w:tcPr>
            <w:tcW w:w="709" w:type="dxa"/>
          </w:tcPr>
          <w:p w14:paraId="2BC31075" w14:textId="77777777" w:rsidR="00E67F89" w:rsidRPr="00E67F89" w:rsidRDefault="00E67F89" w:rsidP="00E67F89"/>
        </w:tc>
        <w:tc>
          <w:tcPr>
            <w:tcW w:w="3118" w:type="dxa"/>
          </w:tcPr>
          <w:p w14:paraId="755B309E" w14:textId="77777777" w:rsidR="00E67F89" w:rsidRPr="00E67F89" w:rsidRDefault="00E67F89" w:rsidP="00E67F89"/>
        </w:tc>
      </w:tr>
      <w:tr w:rsidR="00E67F89" w:rsidRPr="00E67F89" w14:paraId="7A1E06A7" w14:textId="77777777" w:rsidTr="00223F64">
        <w:trPr>
          <w:gridAfter w:val="1"/>
          <w:wAfter w:w="6" w:type="dxa"/>
        </w:trPr>
        <w:tc>
          <w:tcPr>
            <w:tcW w:w="5211" w:type="dxa"/>
          </w:tcPr>
          <w:p w14:paraId="2DEE888F" w14:textId="77777777" w:rsidR="00E67F89" w:rsidRPr="00E67F89" w:rsidRDefault="00E67F89" w:rsidP="00E67F89">
            <w:r w:rsidRPr="00E67F89">
              <w:lastRenderedPageBreak/>
              <w:t>Faudra-t-il effectuer des excavations, le concassage de matériaux, ou la construction d'une infrastructure de transports dans des zones à fortes activités, fort potentiel économique ou à forte pressions sur les ressources naturelles ?</w:t>
            </w:r>
          </w:p>
        </w:tc>
        <w:tc>
          <w:tcPr>
            <w:tcW w:w="709" w:type="dxa"/>
          </w:tcPr>
          <w:p w14:paraId="32F9A287" w14:textId="77777777" w:rsidR="00E67F89" w:rsidRPr="00E67F89" w:rsidRDefault="00E67F89" w:rsidP="00E67F89"/>
        </w:tc>
        <w:tc>
          <w:tcPr>
            <w:tcW w:w="709" w:type="dxa"/>
          </w:tcPr>
          <w:p w14:paraId="2DDCE0F2" w14:textId="77777777" w:rsidR="00E67F89" w:rsidRPr="00E67F89" w:rsidRDefault="00E67F89" w:rsidP="00E67F89"/>
        </w:tc>
        <w:tc>
          <w:tcPr>
            <w:tcW w:w="3118" w:type="dxa"/>
          </w:tcPr>
          <w:p w14:paraId="0DAE7DD5" w14:textId="77777777" w:rsidR="00E67F89" w:rsidRPr="00E67F89" w:rsidRDefault="00E67F89" w:rsidP="00E67F89"/>
        </w:tc>
      </w:tr>
      <w:tr w:rsidR="00E67F89" w:rsidRPr="00E67F89" w14:paraId="5942EA8B" w14:textId="77777777" w:rsidTr="00223F64">
        <w:trPr>
          <w:gridAfter w:val="1"/>
          <w:wAfter w:w="6" w:type="dxa"/>
        </w:trPr>
        <w:tc>
          <w:tcPr>
            <w:tcW w:w="5211" w:type="dxa"/>
          </w:tcPr>
          <w:p w14:paraId="6CF2304C" w14:textId="77777777" w:rsidR="00E67F89" w:rsidRPr="00E67F89" w:rsidRDefault="00E67F89" w:rsidP="00E67F89">
            <w:r w:rsidRPr="00E67F89">
              <w:t>Entraînera-t-il une dégradation esthétique du paysage naturel, rural ou urbain ?</w:t>
            </w:r>
          </w:p>
        </w:tc>
        <w:tc>
          <w:tcPr>
            <w:tcW w:w="709" w:type="dxa"/>
          </w:tcPr>
          <w:p w14:paraId="2233C8B9" w14:textId="77777777" w:rsidR="00E67F89" w:rsidRPr="00E67F89" w:rsidRDefault="00E67F89" w:rsidP="00E67F89"/>
        </w:tc>
        <w:tc>
          <w:tcPr>
            <w:tcW w:w="709" w:type="dxa"/>
          </w:tcPr>
          <w:p w14:paraId="37A83773" w14:textId="77777777" w:rsidR="00E67F89" w:rsidRPr="00E67F89" w:rsidRDefault="00E67F89" w:rsidP="00E67F89"/>
        </w:tc>
        <w:tc>
          <w:tcPr>
            <w:tcW w:w="3118" w:type="dxa"/>
          </w:tcPr>
          <w:p w14:paraId="4B64133D" w14:textId="77777777" w:rsidR="00E67F89" w:rsidRPr="00E67F89" w:rsidRDefault="00E67F89" w:rsidP="00E67F89"/>
        </w:tc>
      </w:tr>
      <w:tr w:rsidR="00E67F89" w:rsidRPr="00E67F89" w14:paraId="09C5F5C9" w14:textId="77777777" w:rsidTr="00223F64">
        <w:trPr>
          <w:trHeight w:val="342"/>
        </w:trPr>
        <w:tc>
          <w:tcPr>
            <w:tcW w:w="9753" w:type="dxa"/>
            <w:gridSpan w:val="5"/>
            <w:vAlign w:val="center"/>
          </w:tcPr>
          <w:p w14:paraId="772CB919" w14:textId="77777777" w:rsidR="00E67F89" w:rsidRPr="00E67F89" w:rsidRDefault="00E67F89" w:rsidP="00E67F89">
            <w:r w:rsidRPr="00E67F89">
              <w:t>Pollution</w:t>
            </w:r>
          </w:p>
        </w:tc>
      </w:tr>
      <w:tr w:rsidR="00E67F89" w:rsidRPr="00E67F89" w14:paraId="0A43A9F5" w14:textId="77777777" w:rsidTr="00223F64">
        <w:trPr>
          <w:gridAfter w:val="1"/>
          <w:wAfter w:w="6" w:type="dxa"/>
        </w:trPr>
        <w:tc>
          <w:tcPr>
            <w:tcW w:w="5211" w:type="dxa"/>
          </w:tcPr>
          <w:p w14:paraId="0A72E3AF" w14:textId="77777777" w:rsidR="00E67F89" w:rsidRPr="00E67F89" w:rsidRDefault="00E67F89" w:rsidP="00E67F89">
            <w:r w:rsidRPr="00E67F89">
              <w:t>Entraînera-t-il des problèmes importants d’érosion ou déstabilisation des sols, et envasement ou ensablement des cours/plans d’eau et zones humides ?</w:t>
            </w:r>
          </w:p>
        </w:tc>
        <w:tc>
          <w:tcPr>
            <w:tcW w:w="709" w:type="dxa"/>
          </w:tcPr>
          <w:p w14:paraId="749564DF" w14:textId="77777777" w:rsidR="00E67F89" w:rsidRPr="00E67F89" w:rsidRDefault="00E67F89" w:rsidP="00E67F89"/>
        </w:tc>
        <w:tc>
          <w:tcPr>
            <w:tcW w:w="709" w:type="dxa"/>
          </w:tcPr>
          <w:p w14:paraId="224BB6F9" w14:textId="77777777" w:rsidR="00E67F89" w:rsidRPr="00E67F89" w:rsidRDefault="00E67F89" w:rsidP="00E67F89"/>
        </w:tc>
        <w:tc>
          <w:tcPr>
            <w:tcW w:w="3118" w:type="dxa"/>
          </w:tcPr>
          <w:p w14:paraId="4DB740F4" w14:textId="77777777" w:rsidR="00E67F89" w:rsidRPr="00E67F89" w:rsidRDefault="00E67F89" w:rsidP="00E67F89"/>
        </w:tc>
      </w:tr>
      <w:tr w:rsidR="00E67F89" w:rsidRPr="00E67F89" w14:paraId="2F042867" w14:textId="77777777" w:rsidTr="00223F64">
        <w:trPr>
          <w:gridAfter w:val="1"/>
          <w:wAfter w:w="6" w:type="dxa"/>
        </w:trPr>
        <w:tc>
          <w:tcPr>
            <w:tcW w:w="5211" w:type="dxa"/>
          </w:tcPr>
          <w:p w14:paraId="60DBE342" w14:textId="77777777" w:rsidR="00E67F89" w:rsidRPr="00E67F89" w:rsidRDefault="00E67F89" w:rsidP="00E67F89">
            <w:r w:rsidRPr="00E67F89">
              <w:t>Traversera-t-il ou affectera-t-il des zones connues pour les problèmes de feux de brousse ?</w:t>
            </w:r>
          </w:p>
        </w:tc>
        <w:tc>
          <w:tcPr>
            <w:tcW w:w="709" w:type="dxa"/>
          </w:tcPr>
          <w:p w14:paraId="6EAA5136" w14:textId="77777777" w:rsidR="00E67F89" w:rsidRPr="00E67F89" w:rsidRDefault="00E67F89" w:rsidP="00E67F89"/>
        </w:tc>
        <w:tc>
          <w:tcPr>
            <w:tcW w:w="709" w:type="dxa"/>
          </w:tcPr>
          <w:p w14:paraId="16FA7696" w14:textId="77777777" w:rsidR="00E67F89" w:rsidRPr="00E67F89" w:rsidRDefault="00E67F89" w:rsidP="00E67F89"/>
        </w:tc>
        <w:tc>
          <w:tcPr>
            <w:tcW w:w="3118" w:type="dxa"/>
          </w:tcPr>
          <w:p w14:paraId="21A4169C" w14:textId="77777777" w:rsidR="00E67F89" w:rsidRPr="00E67F89" w:rsidRDefault="00E67F89" w:rsidP="00E67F89"/>
        </w:tc>
      </w:tr>
      <w:tr w:rsidR="00E67F89" w:rsidRPr="00E67F89" w14:paraId="5BEF2945" w14:textId="77777777" w:rsidTr="00223F64">
        <w:trPr>
          <w:gridAfter w:val="1"/>
          <w:wAfter w:w="6" w:type="dxa"/>
        </w:trPr>
        <w:tc>
          <w:tcPr>
            <w:tcW w:w="5211" w:type="dxa"/>
          </w:tcPr>
          <w:p w14:paraId="4D8EC711" w14:textId="77777777" w:rsidR="00E67F89" w:rsidRPr="00E67F89" w:rsidRDefault="00E67F89" w:rsidP="00E67F89">
            <w:r w:rsidRPr="00E67F89">
              <w:t>Entraînera-t-il des problèmes importants d’érosion ou déstabilisation des sols, et envasement ou ensablement des cours/plans d’eau et zones humides ?</w:t>
            </w:r>
          </w:p>
        </w:tc>
        <w:tc>
          <w:tcPr>
            <w:tcW w:w="709" w:type="dxa"/>
          </w:tcPr>
          <w:p w14:paraId="7977B43C" w14:textId="77777777" w:rsidR="00E67F89" w:rsidRPr="00E67F89" w:rsidRDefault="00E67F89" w:rsidP="00E67F89"/>
        </w:tc>
        <w:tc>
          <w:tcPr>
            <w:tcW w:w="709" w:type="dxa"/>
          </w:tcPr>
          <w:p w14:paraId="004A5291" w14:textId="77777777" w:rsidR="00E67F89" w:rsidRPr="00E67F89" w:rsidRDefault="00E67F89" w:rsidP="00E67F89"/>
        </w:tc>
        <w:tc>
          <w:tcPr>
            <w:tcW w:w="3118" w:type="dxa"/>
          </w:tcPr>
          <w:p w14:paraId="3E4E4663" w14:textId="77777777" w:rsidR="00E67F89" w:rsidRPr="00E67F89" w:rsidRDefault="00E67F89" w:rsidP="00E67F89"/>
        </w:tc>
      </w:tr>
      <w:tr w:rsidR="00E67F89" w:rsidRPr="00E67F89" w14:paraId="63192476" w14:textId="77777777" w:rsidTr="00223F64">
        <w:trPr>
          <w:gridAfter w:val="1"/>
          <w:wAfter w:w="6" w:type="dxa"/>
        </w:trPr>
        <w:tc>
          <w:tcPr>
            <w:tcW w:w="5211" w:type="dxa"/>
          </w:tcPr>
          <w:p w14:paraId="010F141C" w14:textId="77777777" w:rsidR="00E67F89" w:rsidRPr="00E67F89" w:rsidRDefault="00E67F89" w:rsidP="00E67F89">
            <w:r w:rsidRPr="00E67F89">
              <w:t>Entraînera-t-il des pollutions significatives de l’air, de l’eau ou des sols ou bien des bruits et vibrations ?</w:t>
            </w:r>
          </w:p>
        </w:tc>
        <w:tc>
          <w:tcPr>
            <w:tcW w:w="709" w:type="dxa"/>
          </w:tcPr>
          <w:p w14:paraId="3A833A0F" w14:textId="77777777" w:rsidR="00E67F89" w:rsidRPr="00E67F89" w:rsidRDefault="00E67F89" w:rsidP="00E67F89"/>
        </w:tc>
        <w:tc>
          <w:tcPr>
            <w:tcW w:w="709" w:type="dxa"/>
          </w:tcPr>
          <w:p w14:paraId="57571AA7" w14:textId="77777777" w:rsidR="00E67F89" w:rsidRPr="00E67F89" w:rsidRDefault="00E67F89" w:rsidP="00E67F89"/>
        </w:tc>
        <w:tc>
          <w:tcPr>
            <w:tcW w:w="3118" w:type="dxa"/>
          </w:tcPr>
          <w:p w14:paraId="43A66FBB" w14:textId="77777777" w:rsidR="00E67F89" w:rsidRPr="00E67F89" w:rsidRDefault="00E67F89" w:rsidP="00E67F89"/>
        </w:tc>
      </w:tr>
      <w:tr w:rsidR="00E67F89" w:rsidRPr="00E67F89" w14:paraId="6141732D" w14:textId="77777777" w:rsidTr="00223F64">
        <w:trPr>
          <w:gridAfter w:val="1"/>
          <w:wAfter w:w="6" w:type="dxa"/>
        </w:trPr>
        <w:tc>
          <w:tcPr>
            <w:tcW w:w="5211" w:type="dxa"/>
          </w:tcPr>
          <w:p w14:paraId="5698A04D" w14:textId="77777777" w:rsidR="00E67F89" w:rsidRPr="00E67F89" w:rsidRDefault="00E67F89" w:rsidP="00E67F89">
            <w:r w:rsidRPr="00E67F89">
              <w:t>Entraînera-t-il la disparition, fragilisation ou segmentation significative d’écosystèmes qui valent la peine d'être protégés ?</w:t>
            </w:r>
          </w:p>
        </w:tc>
        <w:tc>
          <w:tcPr>
            <w:tcW w:w="709" w:type="dxa"/>
          </w:tcPr>
          <w:p w14:paraId="384A9738" w14:textId="77777777" w:rsidR="00E67F89" w:rsidRPr="00E67F89" w:rsidRDefault="00E67F89" w:rsidP="00E67F89"/>
        </w:tc>
        <w:tc>
          <w:tcPr>
            <w:tcW w:w="709" w:type="dxa"/>
          </w:tcPr>
          <w:p w14:paraId="209812BE" w14:textId="77777777" w:rsidR="00E67F89" w:rsidRPr="00E67F89" w:rsidRDefault="00E67F89" w:rsidP="00E67F89"/>
        </w:tc>
        <w:tc>
          <w:tcPr>
            <w:tcW w:w="3118" w:type="dxa"/>
          </w:tcPr>
          <w:p w14:paraId="0513BCDF" w14:textId="77777777" w:rsidR="00E67F89" w:rsidRPr="00E67F89" w:rsidRDefault="00E67F89" w:rsidP="00E67F89"/>
        </w:tc>
      </w:tr>
      <w:tr w:rsidR="00E67F89" w:rsidRPr="00E67F89" w14:paraId="5D6BA7F3" w14:textId="77777777" w:rsidTr="00223F64">
        <w:trPr>
          <w:gridAfter w:val="1"/>
          <w:wAfter w:w="6" w:type="dxa"/>
        </w:trPr>
        <w:tc>
          <w:tcPr>
            <w:tcW w:w="5211" w:type="dxa"/>
          </w:tcPr>
          <w:p w14:paraId="26EC8015" w14:textId="77777777" w:rsidR="00E67F89" w:rsidRPr="00E67F89" w:rsidRDefault="00E67F89" w:rsidP="00E67F89">
            <w:r w:rsidRPr="00E67F89">
              <w:t>Entraînera-t-il la disparition d’espèces sensibles ou rares devant être protégées ?</w:t>
            </w:r>
          </w:p>
        </w:tc>
        <w:tc>
          <w:tcPr>
            <w:tcW w:w="709" w:type="dxa"/>
          </w:tcPr>
          <w:p w14:paraId="59FA6D56" w14:textId="77777777" w:rsidR="00E67F89" w:rsidRPr="00E67F89" w:rsidRDefault="00E67F89" w:rsidP="00E67F89"/>
        </w:tc>
        <w:tc>
          <w:tcPr>
            <w:tcW w:w="709" w:type="dxa"/>
          </w:tcPr>
          <w:p w14:paraId="77414F8F" w14:textId="77777777" w:rsidR="00E67F89" w:rsidRPr="00E67F89" w:rsidRDefault="00E67F89" w:rsidP="00E67F89"/>
        </w:tc>
        <w:tc>
          <w:tcPr>
            <w:tcW w:w="3118" w:type="dxa"/>
          </w:tcPr>
          <w:p w14:paraId="1F96208E" w14:textId="77777777" w:rsidR="00E67F89" w:rsidRPr="00E67F89" w:rsidRDefault="00E67F89" w:rsidP="00E67F89"/>
        </w:tc>
      </w:tr>
      <w:tr w:rsidR="00E67F89" w:rsidRPr="00E67F89" w14:paraId="390B41A2" w14:textId="77777777" w:rsidTr="00223F64">
        <w:trPr>
          <w:trHeight w:val="466"/>
        </w:trPr>
        <w:tc>
          <w:tcPr>
            <w:tcW w:w="9753" w:type="dxa"/>
            <w:gridSpan w:val="5"/>
            <w:vAlign w:val="center"/>
          </w:tcPr>
          <w:p w14:paraId="0616F03F" w14:textId="77777777" w:rsidR="00E67F89" w:rsidRPr="00E67F89" w:rsidRDefault="00E67F89" w:rsidP="00E67F89">
            <w:r w:rsidRPr="00E67F89">
              <w:t>Condition de vie de la Population</w:t>
            </w:r>
          </w:p>
        </w:tc>
      </w:tr>
      <w:tr w:rsidR="00E67F89" w:rsidRPr="00E67F89" w14:paraId="2D6C6E89" w14:textId="77777777" w:rsidTr="00223F64">
        <w:trPr>
          <w:gridAfter w:val="1"/>
          <w:wAfter w:w="6" w:type="dxa"/>
        </w:trPr>
        <w:tc>
          <w:tcPr>
            <w:tcW w:w="5211" w:type="dxa"/>
          </w:tcPr>
          <w:p w14:paraId="7FE1A5C9" w14:textId="77777777" w:rsidR="00E67F89" w:rsidRPr="00E67F89" w:rsidRDefault="00E67F89" w:rsidP="00E67F89">
            <w:r w:rsidRPr="00E67F89">
              <w:t>Les gisements rocheux sont-ils proche d’un village ?</w:t>
            </w:r>
          </w:p>
        </w:tc>
        <w:tc>
          <w:tcPr>
            <w:tcW w:w="709" w:type="dxa"/>
          </w:tcPr>
          <w:p w14:paraId="0EA20A3B" w14:textId="77777777" w:rsidR="00E67F89" w:rsidRPr="00E67F89" w:rsidRDefault="00E67F89" w:rsidP="00E67F89"/>
        </w:tc>
        <w:tc>
          <w:tcPr>
            <w:tcW w:w="709" w:type="dxa"/>
          </w:tcPr>
          <w:p w14:paraId="796F36CC" w14:textId="77777777" w:rsidR="00E67F89" w:rsidRPr="00E67F89" w:rsidRDefault="00E67F89" w:rsidP="00E67F89"/>
        </w:tc>
        <w:tc>
          <w:tcPr>
            <w:tcW w:w="3118" w:type="dxa"/>
          </w:tcPr>
          <w:p w14:paraId="3A96273F" w14:textId="77777777" w:rsidR="00E67F89" w:rsidRPr="00E67F89" w:rsidRDefault="00E67F89" w:rsidP="00E67F89"/>
        </w:tc>
      </w:tr>
      <w:tr w:rsidR="00E67F89" w:rsidRPr="00E67F89" w14:paraId="294C7342" w14:textId="77777777" w:rsidTr="00223F64">
        <w:trPr>
          <w:gridAfter w:val="1"/>
          <w:wAfter w:w="6" w:type="dxa"/>
        </w:trPr>
        <w:tc>
          <w:tcPr>
            <w:tcW w:w="5211" w:type="dxa"/>
          </w:tcPr>
          <w:p w14:paraId="33D93EA9" w14:textId="77777777" w:rsidR="00E67F89" w:rsidRPr="00E67F89" w:rsidRDefault="00E67F89" w:rsidP="00E67F89">
            <w:r w:rsidRPr="00E67F89">
              <w:t>Les gisements touchés sont- ils proches de zones sacrées « tombeau, …)</w:t>
            </w:r>
          </w:p>
        </w:tc>
        <w:tc>
          <w:tcPr>
            <w:tcW w:w="709" w:type="dxa"/>
          </w:tcPr>
          <w:p w14:paraId="30459869" w14:textId="77777777" w:rsidR="00E67F89" w:rsidRPr="00E67F89" w:rsidRDefault="00E67F89" w:rsidP="00E67F89"/>
        </w:tc>
        <w:tc>
          <w:tcPr>
            <w:tcW w:w="709" w:type="dxa"/>
          </w:tcPr>
          <w:p w14:paraId="78F4C4C4" w14:textId="77777777" w:rsidR="00E67F89" w:rsidRPr="00E67F89" w:rsidRDefault="00E67F89" w:rsidP="00E67F89"/>
        </w:tc>
        <w:tc>
          <w:tcPr>
            <w:tcW w:w="3118" w:type="dxa"/>
          </w:tcPr>
          <w:p w14:paraId="612D7E20" w14:textId="77777777" w:rsidR="00E67F89" w:rsidRPr="00E67F89" w:rsidRDefault="00E67F89" w:rsidP="00E67F89"/>
        </w:tc>
      </w:tr>
      <w:tr w:rsidR="00E67F89" w:rsidRPr="00E67F89" w14:paraId="51BD4E34" w14:textId="77777777" w:rsidTr="00223F64">
        <w:trPr>
          <w:gridAfter w:val="1"/>
          <w:wAfter w:w="6" w:type="dxa"/>
        </w:trPr>
        <w:tc>
          <w:tcPr>
            <w:tcW w:w="5211" w:type="dxa"/>
          </w:tcPr>
          <w:p w14:paraId="74EE7873" w14:textId="77777777" w:rsidR="00E67F89" w:rsidRPr="00E67F89" w:rsidRDefault="00E67F89" w:rsidP="00E67F89">
            <w:r w:rsidRPr="00E67F89">
              <w:t>Entraînera-t-il une dégradation des ressources naturelles utilisées par la population ?</w:t>
            </w:r>
          </w:p>
        </w:tc>
        <w:tc>
          <w:tcPr>
            <w:tcW w:w="709" w:type="dxa"/>
          </w:tcPr>
          <w:p w14:paraId="7B8FCCEF" w14:textId="77777777" w:rsidR="00E67F89" w:rsidRPr="00E67F89" w:rsidRDefault="00E67F89" w:rsidP="00E67F89"/>
        </w:tc>
        <w:tc>
          <w:tcPr>
            <w:tcW w:w="709" w:type="dxa"/>
          </w:tcPr>
          <w:p w14:paraId="56B5E216" w14:textId="77777777" w:rsidR="00E67F89" w:rsidRPr="00E67F89" w:rsidRDefault="00E67F89" w:rsidP="00E67F89"/>
        </w:tc>
        <w:tc>
          <w:tcPr>
            <w:tcW w:w="3118" w:type="dxa"/>
          </w:tcPr>
          <w:p w14:paraId="1AAF4A2D" w14:textId="77777777" w:rsidR="00E67F89" w:rsidRPr="00E67F89" w:rsidRDefault="00E67F89" w:rsidP="00E67F89"/>
        </w:tc>
      </w:tr>
      <w:tr w:rsidR="00E67F89" w:rsidRPr="00E67F89" w14:paraId="69A5E95C" w14:textId="77777777" w:rsidTr="00223F64">
        <w:trPr>
          <w:gridAfter w:val="1"/>
          <w:wAfter w:w="6" w:type="dxa"/>
        </w:trPr>
        <w:tc>
          <w:tcPr>
            <w:tcW w:w="5211" w:type="dxa"/>
          </w:tcPr>
          <w:p w14:paraId="666E0106" w14:textId="77777777" w:rsidR="00E67F89" w:rsidRPr="00E67F89" w:rsidRDefault="00E67F89" w:rsidP="00E67F89">
            <w:r w:rsidRPr="00E67F89">
              <w:t>Entraînera-t-il des transferts importants de population ou le versement de compensations à la population ?</w:t>
            </w:r>
          </w:p>
        </w:tc>
        <w:tc>
          <w:tcPr>
            <w:tcW w:w="709" w:type="dxa"/>
          </w:tcPr>
          <w:p w14:paraId="252A1EBE" w14:textId="77777777" w:rsidR="00E67F89" w:rsidRPr="00E67F89" w:rsidRDefault="00E67F89" w:rsidP="00E67F89"/>
        </w:tc>
        <w:tc>
          <w:tcPr>
            <w:tcW w:w="709" w:type="dxa"/>
          </w:tcPr>
          <w:p w14:paraId="5BEA3783" w14:textId="77777777" w:rsidR="00E67F89" w:rsidRPr="00E67F89" w:rsidRDefault="00E67F89" w:rsidP="00E67F89"/>
        </w:tc>
        <w:tc>
          <w:tcPr>
            <w:tcW w:w="3118" w:type="dxa"/>
          </w:tcPr>
          <w:p w14:paraId="43608A49" w14:textId="77777777" w:rsidR="00E67F89" w:rsidRPr="00E67F89" w:rsidRDefault="00E67F89" w:rsidP="00E67F89"/>
        </w:tc>
      </w:tr>
      <w:tr w:rsidR="00E67F89" w:rsidRPr="00E67F89" w14:paraId="323E817C" w14:textId="77777777" w:rsidTr="00223F64">
        <w:trPr>
          <w:trHeight w:val="439"/>
        </w:trPr>
        <w:tc>
          <w:tcPr>
            <w:tcW w:w="9753" w:type="dxa"/>
            <w:gridSpan w:val="5"/>
            <w:vAlign w:val="center"/>
          </w:tcPr>
          <w:p w14:paraId="1CF65C45" w14:textId="77777777" w:rsidR="00E67F89" w:rsidRPr="00E67F89" w:rsidRDefault="00E67F89" w:rsidP="00E67F89">
            <w:r w:rsidRPr="00E67F89">
              <w:lastRenderedPageBreak/>
              <w:t xml:space="preserve">Santé et sécurité </w:t>
            </w:r>
          </w:p>
        </w:tc>
      </w:tr>
      <w:tr w:rsidR="00E67F89" w:rsidRPr="00E67F89" w14:paraId="680FAFC5" w14:textId="77777777" w:rsidTr="00223F64">
        <w:trPr>
          <w:gridAfter w:val="1"/>
          <w:wAfter w:w="6" w:type="dxa"/>
        </w:trPr>
        <w:tc>
          <w:tcPr>
            <w:tcW w:w="5211" w:type="dxa"/>
          </w:tcPr>
          <w:p w14:paraId="22FA314A" w14:textId="77777777" w:rsidR="00E67F89" w:rsidRPr="00E67F89" w:rsidRDefault="00E67F89" w:rsidP="00E67F89">
            <w:r w:rsidRPr="00E67F89">
              <w:t>Le piste d’accès au gisement passe t- il à travers des zones à forte population</w:t>
            </w:r>
          </w:p>
        </w:tc>
        <w:tc>
          <w:tcPr>
            <w:tcW w:w="709" w:type="dxa"/>
          </w:tcPr>
          <w:p w14:paraId="7341A30B" w14:textId="77777777" w:rsidR="00E67F89" w:rsidRPr="00E67F89" w:rsidRDefault="00E67F89" w:rsidP="00E67F89"/>
        </w:tc>
        <w:tc>
          <w:tcPr>
            <w:tcW w:w="709" w:type="dxa"/>
          </w:tcPr>
          <w:p w14:paraId="3818E1EB" w14:textId="77777777" w:rsidR="00E67F89" w:rsidRPr="00E67F89" w:rsidRDefault="00E67F89" w:rsidP="00E67F89"/>
        </w:tc>
        <w:tc>
          <w:tcPr>
            <w:tcW w:w="3118" w:type="dxa"/>
          </w:tcPr>
          <w:p w14:paraId="2D9FD734" w14:textId="77777777" w:rsidR="00E67F89" w:rsidRPr="00E67F89" w:rsidRDefault="00E67F89" w:rsidP="00E67F89"/>
        </w:tc>
      </w:tr>
      <w:tr w:rsidR="00E67F89" w:rsidRPr="00E67F89" w14:paraId="53C21E0E" w14:textId="77777777" w:rsidTr="00223F64">
        <w:trPr>
          <w:gridAfter w:val="1"/>
          <w:wAfter w:w="6" w:type="dxa"/>
        </w:trPr>
        <w:tc>
          <w:tcPr>
            <w:tcW w:w="5211" w:type="dxa"/>
            <w:vAlign w:val="center"/>
          </w:tcPr>
          <w:p w14:paraId="3CD6F627" w14:textId="77777777" w:rsidR="00E67F89" w:rsidRPr="00E67F89" w:rsidRDefault="00E67F89" w:rsidP="00E67F89">
            <w:r w:rsidRPr="00E67F89">
              <w:t>Le projet peut-il induire des risques d’accidents des travailleurs et des populations ?</w:t>
            </w:r>
          </w:p>
        </w:tc>
        <w:tc>
          <w:tcPr>
            <w:tcW w:w="709" w:type="dxa"/>
          </w:tcPr>
          <w:p w14:paraId="1DAE0AFD" w14:textId="77777777" w:rsidR="00E67F89" w:rsidRPr="00E67F89" w:rsidRDefault="00E67F89" w:rsidP="00E67F89"/>
        </w:tc>
        <w:tc>
          <w:tcPr>
            <w:tcW w:w="709" w:type="dxa"/>
          </w:tcPr>
          <w:p w14:paraId="38E85710" w14:textId="77777777" w:rsidR="00E67F89" w:rsidRPr="00E67F89" w:rsidRDefault="00E67F89" w:rsidP="00E67F89"/>
        </w:tc>
        <w:tc>
          <w:tcPr>
            <w:tcW w:w="3118" w:type="dxa"/>
          </w:tcPr>
          <w:p w14:paraId="4460E1C5" w14:textId="77777777" w:rsidR="00E67F89" w:rsidRPr="00E67F89" w:rsidRDefault="00E67F89" w:rsidP="00E67F89"/>
        </w:tc>
      </w:tr>
      <w:tr w:rsidR="00E67F89" w:rsidRPr="00E67F89" w14:paraId="6466613A" w14:textId="77777777" w:rsidTr="00223F64">
        <w:trPr>
          <w:gridAfter w:val="1"/>
          <w:wAfter w:w="6" w:type="dxa"/>
        </w:trPr>
        <w:tc>
          <w:tcPr>
            <w:tcW w:w="5211" w:type="dxa"/>
            <w:vAlign w:val="center"/>
          </w:tcPr>
          <w:p w14:paraId="5907D09B" w14:textId="77777777" w:rsidR="00E67F89" w:rsidRPr="00E67F89" w:rsidRDefault="00E67F89" w:rsidP="00E67F89">
            <w:r w:rsidRPr="00E67F89">
              <w:t>Présentera-t-il un risque pour la santé des populations locales ?</w:t>
            </w:r>
          </w:p>
        </w:tc>
        <w:tc>
          <w:tcPr>
            <w:tcW w:w="709" w:type="dxa"/>
          </w:tcPr>
          <w:p w14:paraId="1BDABC21" w14:textId="77777777" w:rsidR="00E67F89" w:rsidRPr="00E67F89" w:rsidRDefault="00E67F89" w:rsidP="00E67F89"/>
        </w:tc>
        <w:tc>
          <w:tcPr>
            <w:tcW w:w="709" w:type="dxa"/>
          </w:tcPr>
          <w:p w14:paraId="316FEE18" w14:textId="77777777" w:rsidR="00E67F89" w:rsidRPr="00E67F89" w:rsidRDefault="00E67F89" w:rsidP="00E67F89"/>
        </w:tc>
        <w:tc>
          <w:tcPr>
            <w:tcW w:w="3118" w:type="dxa"/>
          </w:tcPr>
          <w:p w14:paraId="2E0DD9B9" w14:textId="77777777" w:rsidR="00E67F89" w:rsidRPr="00E67F89" w:rsidRDefault="00E67F89" w:rsidP="00E67F89"/>
        </w:tc>
      </w:tr>
      <w:tr w:rsidR="00E67F89" w:rsidRPr="00E67F89" w14:paraId="0C642F94" w14:textId="77777777" w:rsidTr="00223F64">
        <w:trPr>
          <w:gridAfter w:val="1"/>
          <w:wAfter w:w="6" w:type="dxa"/>
        </w:trPr>
        <w:tc>
          <w:tcPr>
            <w:tcW w:w="5211" w:type="dxa"/>
            <w:vAlign w:val="center"/>
          </w:tcPr>
          <w:p w14:paraId="46ACD1CD" w14:textId="77777777" w:rsidR="00E67F89" w:rsidRPr="00E67F89" w:rsidRDefault="00E67F89" w:rsidP="00E67F89">
            <w:r w:rsidRPr="00E67F89">
              <w:t>Entraînera-t-il des conflits d’intérêt avec d’autres activités ou groupes de population (par exemple dégradation esthétique d’un lieu touristique, conflits fonciers, épuisement de matériaux exploités de façon informelle par la population locale) ?</w:t>
            </w:r>
          </w:p>
        </w:tc>
        <w:tc>
          <w:tcPr>
            <w:tcW w:w="709" w:type="dxa"/>
          </w:tcPr>
          <w:p w14:paraId="6EF9763E" w14:textId="77777777" w:rsidR="00E67F89" w:rsidRPr="00E67F89" w:rsidRDefault="00E67F89" w:rsidP="00E67F89"/>
        </w:tc>
        <w:tc>
          <w:tcPr>
            <w:tcW w:w="709" w:type="dxa"/>
          </w:tcPr>
          <w:p w14:paraId="733A2161" w14:textId="77777777" w:rsidR="00E67F89" w:rsidRPr="00E67F89" w:rsidRDefault="00E67F89" w:rsidP="00E67F89"/>
        </w:tc>
        <w:tc>
          <w:tcPr>
            <w:tcW w:w="3118" w:type="dxa"/>
          </w:tcPr>
          <w:p w14:paraId="181F85FE" w14:textId="77777777" w:rsidR="00E67F89" w:rsidRPr="00E67F89" w:rsidRDefault="00E67F89" w:rsidP="00E67F89"/>
        </w:tc>
      </w:tr>
      <w:tr w:rsidR="00E67F89" w:rsidRPr="00E67F89" w14:paraId="5D08254D" w14:textId="77777777" w:rsidTr="00223F64">
        <w:trPr>
          <w:gridAfter w:val="1"/>
          <w:wAfter w:w="6" w:type="dxa"/>
        </w:trPr>
        <w:tc>
          <w:tcPr>
            <w:tcW w:w="5211" w:type="dxa"/>
          </w:tcPr>
          <w:p w14:paraId="7A81ED1F" w14:textId="77777777" w:rsidR="00E67F89" w:rsidRPr="00E67F89" w:rsidRDefault="00E67F89" w:rsidP="00E67F89">
            <w:r w:rsidRPr="00E67F89">
              <w:t>A-t-il besoin d'un personnel compétent et un niveau important de gestion, information et formation en matière de santé et sécurité (législation et pratiques professionnelles en matière d’exploitation minière et manipulation d’explosifs, système d’avertissement de la population pour les explosifs) ?</w:t>
            </w:r>
          </w:p>
        </w:tc>
        <w:tc>
          <w:tcPr>
            <w:tcW w:w="709" w:type="dxa"/>
          </w:tcPr>
          <w:p w14:paraId="6572AC7B" w14:textId="77777777" w:rsidR="00E67F89" w:rsidRPr="00E67F89" w:rsidRDefault="00E67F89" w:rsidP="00E67F89"/>
        </w:tc>
        <w:tc>
          <w:tcPr>
            <w:tcW w:w="709" w:type="dxa"/>
          </w:tcPr>
          <w:p w14:paraId="7B4FCC03" w14:textId="77777777" w:rsidR="00E67F89" w:rsidRPr="00E67F89" w:rsidRDefault="00E67F89" w:rsidP="00E67F89"/>
        </w:tc>
        <w:tc>
          <w:tcPr>
            <w:tcW w:w="3118" w:type="dxa"/>
          </w:tcPr>
          <w:p w14:paraId="3F528D6B" w14:textId="77777777" w:rsidR="00E67F89" w:rsidRPr="00E67F89" w:rsidRDefault="00E67F89" w:rsidP="00E67F89"/>
        </w:tc>
      </w:tr>
      <w:tr w:rsidR="00E67F89" w:rsidRPr="00E67F89" w14:paraId="3BA69EC7" w14:textId="77777777" w:rsidTr="00223F64">
        <w:trPr>
          <w:trHeight w:val="402"/>
        </w:trPr>
        <w:tc>
          <w:tcPr>
            <w:tcW w:w="9753" w:type="dxa"/>
            <w:gridSpan w:val="5"/>
            <w:vAlign w:val="center"/>
          </w:tcPr>
          <w:p w14:paraId="1C8BD63D" w14:textId="77777777" w:rsidR="00E67F89" w:rsidRPr="00E67F89" w:rsidRDefault="00E67F89" w:rsidP="00E67F89">
            <w:r w:rsidRPr="00E67F89">
              <w:t>Sites historiques, archéologiques ou culturels</w:t>
            </w:r>
          </w:p>
        </w:tc>
      </w:tr>
      <w:tr w:rsidR="00E67F89" w:rsidRPr="00E67F89" w14:paraId="08702FD2" w14:textId="77777777" w:rsidTr="00223F64">
        <w:trPr>
          <w:gridAfter w:val="1"/>
          <w:wAfter w:w="6" w:type="dxa"/>
        </w:trPr>
        <w:tc>
          <w:tcPr>
            <w:tcW w:w="5211" w:type="dxa"/>
          </w:tcPr>
          <w:p w14:paraId="0226101D" w14:textId="77777777" w:rsidR="00E67F89" w:rsidRPr="00E67F89" w:rsidRDefault="00E67F89" w:rsidP="00E67F89">
            <w:r w:rsidRPr="00E67F89">
              <w:t>Faudra-t-il effectuer des excavations, le concassage de matériaux, dans des zones qui abritent des sites d'importance archéologique, historique ou culturelle (par exemple, sites sacrés, architecture ancienne) ?</w:t>
            </w:r>
          </w:p>
        </w:tc>
        <w:tc>
          <w:tcPr>
            <w:tcW w:w="709" w:type="dxa"/>
          </w:tcPr>
          <w:p w14:paraId="0944D785" w14:textId="77777777" w:rsidR="00E67F89" w:rsidRPr="00E67F89" w:rsidRDefault="00E67F89" w:rsidP="00E67F89"/>
        </w:tc>
        <w:tc>
          <w:tcPr>
            <w:tcW w:w="709" w:type="dxa"/>
          </w:tcPr>
          <w:p w14:paraId="310CB886" w14:textId="77777777" w:rsidR="00E67F89" w:rsidRPr="00E67F89" w:rsidRDefault="00E67F89" w:rsidP="00E67F89"/>
        </w:tc>
        <w:tc>
          <w:tcPr>
            <w:tcW w:w="3118" w:type="dxa"/>
          </w:tcPr>
          <w:p w14:paraId="500FC7C8" w14:textId="77777777" w:rsidR="00E67F89" w:rsidRPr="00E67F89" w:rsidRDefault="00E67F89" w:rsidP="00E67F89"/>
        </w:tc>
      </w:tr>
      <w:tr w:rsidR="00E67F89" w:rsidRPr="00E67F89" w14:paraId="707D0284" w14:textId="77777777" w:rsidTr="00223F64">
        <w:trPr>
          <w:gridAfter w:val="1"/>
          <w:wAfter w:w="6" w:type="dxa"/>
        </w:trPr>
        <w:tc>
          <w:tcPr>
            <w:tcW w:w="5211" w:type="dxa"/>
          </w:tcPr>
          <w:p w14:paraId="52E73326" w14:textId="77777777" w:rsidR="00E67F89" w:rsidRPr="00E67F89" w:rsidRDefault="00E67F89" w:rsidP="00E67F89">
            <w:r w:rsidRPr="00E67F89">
              <w:t>Entraînera-t-il une destruction du patrimoine archéologique, historique ou culturel ?</w:t>
            </w:r>
          </w:p>
        </w:tc>
        <w:tc>
          <w:tcPr>
            <w:tcW w:w="709" w:type="dxa"/>
          </w:tcPr>
          <w:p w14:paraId="0AA22AED" w14:textId="77777777" w:rsidR="00E67F89" w:rsidRPr="00E67F89" w:rsidRDefault="00E67F89" w:rsidP="00E67F89"/>
        </w:tc>
        <w:tc>
          <w:tcPr>
            <w:tcW w:w="709" w:type="dxa"/>
          </w:tcPr>
          <w:p w14:paraId="0A556BB7" w14:textId="77777777" w:rsidR="00E67F89" w:rsidRPr="00E67F89" w:rsidRDefault="00E67F89" w:rsidP="00E67F89"/>
        </w:tc>
        <w:tc>
          <w:tcPr>
            <w:tcW w:w="3118" w:type="dxa"/>
          </w:tcPr>
          <w:p w14:paraId="0A120601" w14:textId="77777777" w:rsidR="00E67F89" w:rsidRPr="00E67F89" w:rsidRDefault="00E67F89" w:rsidP="00E67F89"/>
        </w:tc>
      </w:tr>
    </w:tbl>
    <w:p w14:paraId="06D67DF7" w14:textId="77777777" w:rsidR="00E67F89" w:rsidRPr="00E67F89" w:rsidRDefault="00E67F89" w:rsidP="00E67F89"/>
    <w:p w14:paraId="6DAB1185" w14:textId="77777777" w:rsidR="00E67F89" w:rsidRPr="00E67F89" w:rsidRDefault="00E67F89" w:rsidP="00E67F89">
      <w:r w:rsidRPr="00E67F89">
        <w:t>4. CONSULTATION DU PUBLIC</w:t>
      </w:r>
    </w:p>
    <w:p w14:paraId="56CBFC46" w14:textId="77777777" w:rsidR="00E67F89" w:rsidRPr="00E67F89" w:rsidRDefault="00E67F89" w:rsidP="00E67F89">
      <w:r w:rsidRPr="00E67F89">
        <w:t>La consultation et la participation du public sont-elles recherchées ?</w:t>
      </w:r>
    </w:p>
    <w:p w14:paraId="6A99E511" w14:textId="77777777" w:rsidR="00E67F89" w:rsidRPr="00E67F89" w:rsidRDefault="00E67F89" w:rsidP="00E67F89">
      <w:r w:rsidRPr="00E67F89">
        <w:t>OUI : NON</w:t>
      </w:r>
    </w:p>
    <w:p w14:paraId="2CF59CA3" w14:textId="77777777" w:rsidR="00E67F89" w:rsidRPr="00E67F89" w:rsidRDefault="00E67F89" w:rsidP="00E67F89">
      <w:r w:rsidRPr="00E67F89">
        <w:t>Si “Oui”, décrire brièvement les mesures qui seront prises à cet effet.</w:t>
      </w:r>
    </w:p>
    <w:p w14:paraId="6586DC6C" w14:textId="77777777" w:rsidR="00E67F89" w:rsidRPr="00E67F89" w:rsidRDefault="00E67F89" w:rsidP="00E67F89"/>
    <w:p w14:paraId="01C318D1" w14:textId="77777777" w:rsidR="00E67F89" w:rsidRPr="00E67F89" w:rsidRDefault="00E67F89" w:rsidP="00E67F89">
      <w:r w:rsidRPr="00E67F89">
        <w:t xml:space="preserve">5. </w:t>
      </w:r>
      <w:r w:rsidRPr="00E67F89">
        <w:tab/>
        <w:t>NES DE LA BANQUE MONDIALE PRETINENTES POUR LE PROJET ENVISAGE</w:t>
      </w:r>
    </w:p>
    <w:p w14:paraId="349BCDE3" w14:textId="77777777" w:rsidR="00E67F89" w:rsidRPr="00E67F89" w:rsidRDefault="00E67F89" w:rsidP="00E67F89">
      <w:r w:rsidRPr="00E67F89">
        <w:lastRenderedPageBreak/>
        <w:t>Selon les enjeux environnementaux et sociaux du sous-projet, sélectionner les politiques de la Banque Mondiale qui sont pertinentes pour le sous-projet considéré :</w:t>
      </w:r>
    </w:p>
    <w:tbl>
      <w:tblPr>
        <w:tblStyle w:val="Trameclaire-Accent51"/>
        <w:tblW w:w="9639" w:type="dxa"/>
        <w:tblInd w:w="108" w:type="dxa"/>
        <w:tblLayout w:type="fixed"/>
        <w:tblLook w:val="04A0" w:firstRow="1" w:lastRow="0" w:firstColumn="1" w:lastColumn="0" w:noHBand="0" w:noVBand="1"/>
      </w:tblPr>
      <w:tblGrid>
        <w:gridCol w:w="1018"/>
        <w:gridCol w:w="6070"/>
        <w:gridCol w:w="2551"/>
      </w:tblGrid>
      <w:tr w:rsidR="00E67F89" w:rsidRPr="00E67F89" w14:paraId="521CCB84" w14:textId="77777777" w:rsidTr="00223F6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088" w:type="dxa"/>
            <w:gridSpan w:val="2"/>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E2EFD9" w:themeFill="accent6" w:themeFillTint="33"/>
          </w:tcPr>
          <w:p w14:paraId="58364DA4" w14:textId="77777777" w:rsidR="00E67F89" w:rsidRPr="00E67F89" w:rsidRDefault="00E67F89" w:rsidP="00E67F89">
            <w:r w:rsidRPr="00E67F89">
              <w:t>Normes environnementales et sociales</w:t>
            </w:r>
          </w:p>
        </w:tc>
        <w:tc>
          <w:tcPr>
            <w:tcW w:w="2551"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E2EFD9" w:themeFill="accent6" w:themeFillTint="33"/>
          </w:tcPr>
          <w:p w14:paraId="364D64B2" w14:textId="77777777" w:rsidR="00E67F89" w:rsidRPr="00E67F89" w:rsidRDefault="00E67F89" w:rsidP="00E67F89">
            <w:pPr>
              <w:cnfStyle w:val="100000000000" w:firstRow="1" w:lastRow="0" w:firstColumn="0" w:lastColumn="0" w:oddVBand="0" w:evenVBand="0" w:oddHBand="0" w:evenHBand="0" w:firstRowFirstColumn="0" w:firstRowLastColumn="0" w:lastRowFirstColumn="0" w:lastRowLastColumn="0"/>
            </w:pPr>
            <w:r w:rsidRPr="00E67F89">
              <w:t>Pertinence</w:t>
            </w:r>
          </w:p>
        </w:tc>
      </w:tr>
      <w:tr w:rsidR="00E67F89" w:rsidRPr="00E67F89" w14:paraId="40C45737" w14:textId="77777777" w:rsidTr="00223F64">
        <w:trPr>
          <w:cnfStyle w:val="000000100000" w:firstRow="0" w:lastRow="0" w:firstColumn="0" w:lastColumn="0" w:oddVBand="0" w:evenVBand="0" w:oddHBand="1" w:evenHBand="0" w:firstRowFirstColumn="0" w:firstRowLastColumn="0" w:lastRowFirstColumn="0" w:lastRowLastColumn="0"/>
          <w:trHeight w:val="138"/>
        </w:trPr>
        <w:tc>
          <w:tcPr>
            <w:cnfStyle w:val="001000000000" w:firstRow="0" w:lastRow="0" w:firstColumn="1" w:lastColumn="0" w:oddVBand="0" w:evenVBand="0" w:oddHBand="0" w:evenHBand="0" w:firstRowFirstColumn="0" w:firstRowLastColumn="0" w:lastRowFirstColumn="0" w:lastRowLastColumn="0"/>
            <w:tcW w:w="1018" w:type="dxa"/>
            <w:tcBorders>
              <w:top w:val="single" w:sz="4" w:space="0" w:color="2F5496" w:themeColor="accent1" w:themeShade="BF"/>
              <w:left w:val="single" w:sz="4" w:space="0" w:color="2F5496" w:themeColor="accent1" w:themeShade="BF"/>
              <w:bottom w:val="single" w:sz="4" w:space="0" w:color="2F5496" w:themeColor="accent1" w:themeShade="BF"/>
            </w:tcBorders>
            <w:shd w:val="clear" w:color="auto" w:fill="FFFFFF" w:themeFill="background1"/>
          </w:tcPr>
          <w:p w14:paraId="35B87267" w14:textId="77777777" w:rsidR="00E67F89" w:rsidRPr="00E67F89" w:rsidRDefault="00E67F89" w:rsidP="00E67F89">
            <w:r w:rsidRPr="00E67F89">
              <w:t>NES 1</w:t>
            </w:r>
          </w:p>
        </w:tc>
        <w:tc>
          <w:tcPr>
            <w:tcW w:w="6070" w:type="dxa"/>
            <w:tcBorders>
              <w:top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00099F08" w14:textId="77777777" w:rsidR="00E67F89" w:rsidRPr="00E67F89" w:rsidRDefault="00E67F89" w:rsidP="00E67F89">
            <w:pPr>
              <w:cnfStyle w:val="000000100000" w:firstRow="0" w:lastRow="0" w:firstColumn="0" w:lastColumn="0" w:oddVBand="0" w:evenVBand="0" w:oddHBand="1" w:evenHBand="0" w:firstRowFirstColumn="0" w:firstRowLastColumn="0" w:lastRowFirstColumn="0" w:lastRowLastColumn="0"/>
            </w:pPr>
            <w:r w:rsidRPr="00E67F89">
              <w:t>: Evaluation et gestion des risques et des impacts environnementaux et sociaux</w:t>
            </w:r>
          </w:p>
        </w:tc>
        <w:tc>
          <w:tcPr>
            <w:tcW w:w="2551"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0C269F92" w14:textId="77777777" w:rsidR="00E67F89" w:rsidRPr="00E67F89" w:rsidRDefault="00E67F89" w:rsidP="00E67F89">
            <w:pPr>
              <w:cnfStyle w:val="000000100000" w:firstRow="0" w:lastRow="0" w:firstColumn="0" w:lastColumn="0" w:oddVBand="0" w:evenVBand="0" w:oddHBand="1" w:evenHBand="0" w:firstRowFirstColumn="0" w:firstRowLastColumn="0" w:lastRowFirstColumn="0" w:lastRowLastColumn="0"/>
            </w:pPr>
          </w:p>
        </w:tc>
      </w:tr>
      <w:tr w:rsidR="00E67F89" w:rsidRPr="00E67F89" w14:paraId="5554FE78" w14:textId="77777777" w:rsidTr="00223F64">
        <w:trPr>
          <w:trHeight w:val="58"/>
        </w:trPr>
        <w:tc>
          <w:tcPr>
            <w:cnfStyle w:val="001000000000" w:firstRow="0" w:lastRow="0" w:firstColumn="1" w:lastColumn="0" w:oddVBand="0" w:evenVBand="0" w:oddHBand="0" w:evenHBand="0" w:firstRowFirstColumn="0" w:firstRowLastColumn="0" w:lastRowFirstColumn="0" w:lastRowLastColumn="0"/>
            <w:tcW w:w="1018" w:type="dxa"/>
            <w:tcBorders>
              <w:top w:val="single" w:sz="4" w:space="0" w:color="2F5496" w:themeColor="accent1" w:themeShade="BF"/>
              <w:left w:val="single" w:sz="4" w:space="0" w:color="2F5496" w:themeColor="accent1" w:themeShade="BF"/>
              <w:bottom w:val="single" w:sz="4" w:space="0" w:color="2F5496" w:themeColor="accent1" w:themeShade="BF"/>
              <w:right w:val="nil"/>
            </w:tcBorders>
            <w:shd w:val="clear" w:color="auto" w:fill="FFFFFF" w:themeFill="background1"/>
          </w:tcPr>
          <w:p w14:paraId="4752C2CC" w14:textId="77777777" w:rsidR="00E67F89" w:rsidRPr="00E67F89" w:rsidRDefault="00E67F89" w:rsidP="00E67F89">
            <w:r w:rsidRPr="00E67F89">
              <w:t>NES 2</w:t>
            </w:r>
          </w:p>
        </w:tc>
        <w:tc>
          <w:tcPr>
            <w:tcW w:w="6070" w:type="dxa"/>
            <w:tcBorders>
              <w:top w:val="single" w:sz="4" w:space="0" w:color="2F5496" w:themeColor="accent1" w:themeShade="BF"/>
              <w:left w:val="nil"/>
              <w:bottom w:val="single" w:sz="4" w:space="0" w:color="2F5496" w:themeColor="accent1" w:themeShade="BF"/>
              <w:right w:val="single" w:sz="4" w:space="0" w:color="2F5496" w:themeColor="accent1" w:themeShade="BF"/>
            </w:tcBorders>
            <w:shd w:val="clear" w:color="auto" w:fill="FFFFFF" w:themeFill="background1"/>
          </w:tcPr>
          <w:p w14:paraId="4D07F05D" w14:textId="77777777" w:rsidR="00E67F89" w:rsidRPr="00E67F89" w:rsidRDefault="00E67F89" w:rsidP="00E67F89">
            <w:pPr>
              <w:cnfStyle w:val="000000000000" w:firstRow="0" w:lastRow="0" w:firstColumn="0" w:lastColumn="0" w:oddVBand="0" w:evenVBand="0" w:oddHBand="0" w:evenHBand="0" w:firstRowFirstColumn="0" w:firstRowLastColumn="0" w:lastRowFirstColumn="0" w:lastRowLastColumn="0"/>
            </w:pPr>
            <w:r w:rsidRPr="00E67F89">
              <w:t>: Emploi et conditions de travail</w:t>
            </w:r>
          </w:p>
        </w:tc>
        <w:tc>
          <w:tcPr>
            <w:tcW w:w="2551"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449CFAF9" w14:textId="77777777" w:rsidR="00E67F89" w:rsidRPr="00E67F89" w:rsidRDefault="00E67F89" w:rsidP="00E67F89">
            <w:pPr>
              <w:cnfStyle w:val="000000000000" w:firstRow="0" w:lastRow="0" w:firstColumn="0" w:lastColumn="0" w:oddVBand="0" w:evenVBand="0" w:oddHBand="0" w:evenHBand="0" w:firstRowFirstColumn="0" w:firstRowLastColumn="0" w:lastRowFirstColumn="0" w:lastRowLastColumn="0"/>
            </w:pPr>
          </w:p>
        </w:tc>
      </w:tr>
      <w:tr w:rsidR="00E67F89" w:rsidRPr="00E67F89" w14:paraId="0BF14273" w14:textId="77777777" w:rsidTr="00223F64">
        <w:trPr>
          <w:cnfStyle w:val="000000100000" w:firstRow="0" w:lastRow="0" w:firstColumn="0" w:lastColumn="0" w:oddVBand="0" w:evenVBand="0" w:oddHBand="1" w:evenHBand="0" w:firstRowFirstColumn="0" w:firstRowLastColumn="0" w:lastRowFirstColumn="0" w:lastRowLastColumn="0"/>
          <w:trHeight w:val="137"/>
        </w:trPr>
        <w:tc>
          <w:tcPr>
            <w:cnfStyle w:val="001000000000" w:firstRow="0" w:lastRow="0" w:firstColumn="1" w:lastColumn="0" w:oddVBand="0" w:evenVBand="0" w:oddHBand="0" w:evenHBand="0" w:firstRowFirstColumn="0" w:firstRowLastColumn="0" w:lastRowFirstColumn="0" w:lastRowLastColumn="0"/>
            <w:tcW w:w="1018" w:type="dxa"/>
            <w:tcBorders>
              <w:top w:val="single" w:sz="4" w:space="0" w:color="2F5496" w:themeColor="accent1" w:themeShade="BF"/>
              <w:left w:val="single" w:sz="4" w:space="0" w:color="2F5496" w:themeColor="accent1" w:themeShade="BF"/>
              <w:bottom w:val="single" w:sz="4" w:space="0" w:color="2F5496" w:themeColor="accent1" w:themeShade="BF"/>
            </w:tcBorders>
            <w:shd w:val="clear" w:color="auto" w:fill="FFFFFF" w:themeFill="background1"/>
          </w:tcPr>
          <w:p w14:paraId="38B31D88" w14:textId="77777777" w:rsidR="00E67F89" w:rsidRPr="00E67F89" w:rsidRDefault="00E67F89" w:rsidP="00E67F89">
            <w:r w:rsidRPr="00E67F89">
              <w:t>NES 3</w:t>
            </w:r>
          </w:p>
        </w:tc>
        <w:tc>
          <w:tcPr>
            <w:tcW w:w="6070" w:type="dxa"/>
            <w:tcBorders>
              <w:top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4A80BF60" w14:textId="77777777" w:rsidR="00E67F89" w:rsidRPr="00E67F89" w:rsidRDefault="00E67F89" w:rsidP="00E67F89">
            <w:pPr>
              <w:cnfStyle w:val="000000100000" w:firstRow="0" w:lastRow="0" w:firstColumn="0" w:lastColumn="0" w:oddVBand="0" w:evenVBand="0" w:oddHBand="1" w:evenHBand="0" w:firstRowFirstColumn="0" w:firstRowLastColumn="0" w:lastRowFirstColumn="0" w:lastRowLastColumn="0"/>
            </w:pPr>
            <w:r w:rsidRPr="00E67F89">
              <w:t>: Utilisation rationnelle des ressources et prévention et gestion de la pollution</w:t>
            </w:r>
          </w:p>
        </w:tc>
        <w:tc>
          <w:tcPr>
            <w:tcW w:w="2551"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483A9EF7" w14:textId="77777777" w:rsidR="00E67F89" w:rsidRPr="00E67F89" w:rsidRDefault="00E67F89" w:rsidP="00E67F89">
            <w:pPr>
              <w:cnfStyle w:val="000000100000" w:firstRow="0" w:lastRow="0" w:firstColumn="0" w:lastColumn="0" w:oddVBand="0" w:evenVBand="0" w:oddHBand="1" w:evenHBand="0" w:firstRowFirstColumn="0" w:firstRowLastColumn="0" w:lastRowFirstColumn="0" w:lastRowLastColumn="0"/>
            </w:pPr>
          </w:p>
        </w:tc>
      </w:tr>
      <w:tr w:rsidR="00E67F89" w:rsidRPr="00E67F89" w14:paraId="7A4F985B" w14:textId="77777777" w:rsidTr="00223F64">
        <w:trPr>
          <w:trHeight w:val="335"/>
        </w:trPr>
        <w:tc>
          <w:tcPr>
            <w:cnfStyle w:val="001000000000" w:firstRow="0" w:lastRow="0" w:firstColumn="1" w:lastColumn="0" w:oddVBand="0" w:evenVBand="0" w:oddHBand="0" w:evenHBand="0" w:firstRowFirstColumn="0" w:firstRowLastColumn="0" w:lastRowFirstColumn="0" w:lastRowLastColumn="0"/>
            <w:tcW w:w="1018" w:type="dxa"/>
            <w:tcBorders>
              <w:top w:val="single" w:sz="4" w:space="0" w:color="2F5496" w:themeColor="accent1" w:themeShade="BF"/>
              <w:left w:val="single" w:sz="4" w:space="0" w:color="2F5496" w:themeColor="accent1" w:themeShade="BF"/>
              <w:bottom w:val="single" w:sz="4" w:space="0" w:color="2F5496" w:themeColor="accent1" w:themeShade="BF"/>
              <w:right w:val="nil"/>
            </w:tcBorders>
            <w:shd w:val="clear" w:color="auto" w:fill="FFFFFF" w:themeFill="background1"/>
          </w:tcPr>
          <w:p w14:paraId="418EEBA7" w14:textId="77777777" w:rsidR="00E67F89" w:rsidRPr="00E67F89" w:rsidRDefault="00E67F89" w:rsidP="00E67F89">
            <w:r w:rsidRPr="00E67F89">
              <w:t>NES 4</w:t>
            </w:r>
          </w:p>
        </w:tc>
        <w:tc>
          <w:tcPr>
            <w:tcW w:w="6070" w:type="dxa"/>
            <w:tcBorders>
              <w:top w:val="single" w:sz="4" w:space="0" w:color="2F5496" w:themeColor="accent1" w:themeShade="BF"/>
              <w:left w:val="nil"/>
              <w:bottom w:val="single" w:sz="4" w:space="0" w:color="2F5496" w:themeColor="accent1" w:themeShade="BF"/>
              <w:right w:val="single" w:sz="4" w:space="0" w:color="2F5496" w:themeColor="accent1" w:themeShade="BF"/>
            </w:tcBorders>
            <w:shd w:val="clear" w:color="auto" w:fill="FFFFFF" w:themeFill="background1"/>
          </w:tcPr>
          <w:p w14:paraId="22F33026" w14:textId="77777777" w:rsidR="00E67F89" w:rsidRPr="00E67F89" w:rsidRDefault="00E67F89" w:rsidP="00E67F89">
            <w:pPr>
              <w:cnfStyle w:val="000000000000" w:firstRow="0" w:lastRow="0" w:firstColumn="0" w:lastColumn="0" w:oddVBand="0" w:evenVBand="0" w:oddHBand="0" w:evenHBand="0" w:firstRowFirstColumn="0" w:firstRowLastColumn="0" w:lastRowFirstColumn="0" w:lastRowLastColumn="0"/>
            </w:pPr>
            <w:r w:rsidRPr="00E67F89">
              <w:t>: Santé et sécurité des populations</w:t>
            </w:r>
          </w:p>
        </w:tc>
        <w:tc>
          <w:tcPr>
            <w:tcW w:w="2551"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668AEA68" w14:textId="77777777" w:rsidR="00E67F89" w:rsidRPr="00E67F89" w:rsidRDefault="00E67F89" w:rsidP="00E67F89">
            <w:pPr>
              <w:cnfStyle w:val="000000000000" w:firstRow="0" w:lastRow="0" w:firstColumn="0" w:lastColumn="0" w:oddVBand="0" w:evenVBand="0" w:oddHBand="0" w:evenHBand="0" w:firstRowFirstColumn="0" w:firstRowLastColumn="0" w:lastRowFirstColumn="0" w:lastRowLastColumn="0"/>
            </w:pPr>
          </w:p>
        </w:tc>
      </w:tr>
      <w:tr w:rsidR="00E67F89" w:rsidRPr="00E67F89" w14:paraId="2E60662B" w14:textId="77777777" w:rsidTr="00223F64">
        <w:trPr>
          <w:cnfStyle w:val="000000100000" w:firstRow="0" w:lastRow="0" w:firstColumn="0" w:lastColumn="0" w:oddVBand="0" w:evenVBand="0" w:oddHBand="1"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1018" w:type="dxa"/>
            <w:tcBorders>
              <w:top w:val="single" w:sz="4" w:space="0" w:color="2F5496" w:themeColor="accent1" w:themeShade="BF"/>
              <w:left w:val="single" w:sz="4" w:space="0" w:color="2F5496" w:themeColor="accent1" w:themeShade="BF"/>
              <w:bottom w:val="single" w:sz="4" w:space="0" w:color="2F5496" w:themeColor="accent1" w:themeShade="BF"/>
            </w:tcBorders>
            <w:shd w:val="clear" w:color="auto" w:fill="FFFFFF" w:themeFill="background1"/>
          </w:tcPr>
          <w:p w14:paraId="5A94CF92" w14:textId="77777777" w:rsidR="00E67F89" w:rsidRPr="00E67F89" w:rsidRDefault="00E67F89" w:rsidP="00E67F89">
            <w:r w:rsidRPr="00E67F89">
              <w:t>NES 5</w:t>
            </w:r>
          </w:p>
        </w:tc>
        <w:tc>
          <w:tcPr>
            <w:tcW w:w="6070" w:type="dxa"/>
            <w:tcBorders>
              <w:top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19EBFF44" w14:textId="77777777" w:rsidR="00E67F89" w:rsidRPr="00E67F89" w:rsidRDefault="00E67F89" w:rsidP="00E67F89">
            <w:pPr>
              <w:cnfStyle w:val="000000100000" w:firstRow="0" w:lastRow="0" w:firstColumn="0" w:lastColumn="0" w:oddVBand="0" w:evenVBand="0" w:oddHBand="1" w:evenHBand="0" w:firstRowFirstColumn="0" w:firstRowLastColumn="0" w:lastRowFirstColumn="0" w:lastRowLastColumn="0"/>
            </w:pPr>
            <w:r w:rsidRPr="00E67F89">
              <w:t>: Acquisition des terres, restrictions à l’utilisation des terres et réinstallation involontaire</w:t>
            </w:r>
          </w:p>
        </w:tc>
        <w:tc>
          <w:tcPr>
            <w:tcW w:w="2551"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0DAC8469" w14:textId="77777777" w:rsidR="00E67F89" w:rsidRPr="00E67F89" w:rsidRDefault="00E67F89" w:rsidP="00E67F89">
            <w:pPr>
              <w:cnfStyle w:val="000000100000" w:firstRow="0" w:lastRow="0" w:firstColumn="0" w:lastColumn="0" w:oddVBand="0" w:evenVBand="0" w:oddHBand="1" w:evenHBand="0" w:firstRowFirstColumn="0" w:firstRowLastColumn="0" w:lastRowFirstColumn="0" w:lastRowLastColumn="0"/>
            </w:pPr>
          </w:p>
        </w:tc>
      </w:tr>
      <w:tr w:rsidR="00E67F89" w:rsidRPr="00E67F89" w14:paraId="51D73734" w14:textId="77777777" w:rsidTr="00223F64">
        <w:trPr>
          <w:trHeight w:val="477"/>
        </w:trPr>
        <w:tc>
          <w:tcPr>
            <w:cnfStyle w:val="001000000000" w:firstRow="0" w:lastRow="0" w:firstColumn="1" w:lastColumn="0" w:oddVBand="0" w:evenVBand="0" w:oddHBand="0" w:evenHBand="0" w:firstRowFirstColumn="0" w:firstRowLastColumn="0" w:lastRowFirstColumn="0" w:lastRowLastColumn="0"/>
            <w:tcW w:w="1018" w:type="dxa"/>
            <w:tcBorders>
              <w:top w:val="single" w:sz="4" w:space="0" w:color="2F5496" w:themeColor="accent1" w:themeShade="BF"/>
              <w:left w:val="single" w:sz="4" w:space="0" w:color="2F5496" w:themeColor="accent1" w:themeShade="BF"/>
              <w:bottom w:val="single" w:sz="4" w:space="0" w:color="2F5496" w:themeColor="accent1" w:themeShade="BF"/>
              <w:right w:val="nil"/>
            </w:tcBorders>
            <w:shd w:val="clear" w:color="auto" w:fill="FFFFFF" w:themeFill="background1"/>
          </w:tcPr>
          <w:p w14:paraId="433C5809" w14:textId="77777777" w:rsidR="00E67F89" w:rsidRPr="00E67F89" w:rsidRDefault="00E67F89" w:rsidP="00E67F89">
            <w:r w:rsidRPr="00E67F89">
              <w:t>NES 6</w:t>
            </w:r>
          </w:p>
        </w:tc>
        <w:tc>
          <w:tcPr>
            <w:tcW w:w="6070" w:type="dxa"/>
            <w:tcBorders>
              <w:top w:val="single" w:sz="4" w:space="0" w:color="2F5496" w:themeColor="accent1" w:themeShade="BF"/>
              <w:left w:val="nil"/>
              <w:bottom w:val="single" w:sz="4" w:space="0" w:color="2F5496" w:themeColor="accent1" w:themeShade="BF"/>
              <w:right w:val="single" w:sz="4" w:space="0" w:color="2F5496" w:themeColor="accent1" w:themeShade="BF"/>
            </w:tcBorders>
            <w:shd w:val="clear" w:color="auto" w:fill="FFFFFF" w:themeFill="background1"/>
          </w:tcPr>
          <w:p w14:paraId="7D0A37FE" w14:textId="77777777" w:rsidR="00E67F89" w:rsidRPr="00E67F89" w:rsidRDefault="00E67F89" w:rsidP="00E67F89">
            <w:pPr>
              <w:cnfStyle w:val="000000000000" w:firstRow="0" w:lastRow="0" w:firstColumn="0" w:lastColumn="0" w:oddVBand="0" w:evenVBand="0" w:oddHBand="0" w:evenHBand="0" w:firstRowFirstColumn="0" w:firstRowLastColumn="0" w:lastRowFirstColumn="0" w:lastRowLastColumn="0"/>
            </w:pPr>
            <w:r w:rsidRPr="00E67F89">
              <w:t>: Préservation de la biodiversité et gestion durable des ressources naturelles biologiques</w:t>
            </w:r>
          </w:p>
        </w:tc>
        <w:tc>
          <w:tcPr>
            <w:tcW w:w="2551"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0C130C9A" w14:textId="77777777" w:rsidR="00E67F89" w:rsidRPr="00E67F89" w:rsidRDefault="00E67F89" w:rsidP="00E67F89">
            <w:pPr>
              <w:cnfStyle w:val="000000000000" w:firstRow="0" w:lastRow="0" w:firstColumn="0" w:lastColumn="0" w:oddVBand="0" w:evenVBand="0" w:oddHBand="0" w:evenHBand="0" w:firstRowFirstColumn="0" w:firstRowLastColumn="0" w:lastRowFirstColumn="0" w:lastRowLastColumn="0"/>
            </w:pPr>
          </w:p>
        </w:tc>
      </w:tr>
      <w:tr w:rsidR="00E67F89" w:rsidRPr="00E67F89" w14:paraId="1996C74A" w14:textId="77777777" w:rsidTr="00223F64">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1018" w:type="dxa"/>
            <w:tcBorders>
              <w:top w:val="single" w:sz="4" w:space="0" w:color="2F5496" w:themeColor="accent1" w:themeShade="BF"/>
              <w:left w:val="single" w:sz="4" w:space="0" w:color="2F5496" w:themeColor="accent1" w:themeShade="BF"/>
              <w:bottom w:val="single" w:sz="4" w:space="0" w:color="2F5496" w:themeColor="accent1" w:themeShade="BF"/>
            </w:tcBorders>
            <w:shd w:val="clear" w:color="auto" w:fill="FFFFFF" w:themeFill="background1"/>
          </w:tcPr>
          <w:p w14:paraId="486D95C4" w14:textId="77777777" w:rsidR="00E67F89" w:rsidRPr="00E67F89" w:rsidRDefault="00E67F89" w:rsidP="00E67F89">
            <w:r w:rsidRPr="00E67F89">
              <w:t>NES 8</w:t>
            </w:r>
          </w:p>
        </w:tc>
        <w:tc>
          <w:tcPr>
            <w:tcW w:w="6070" w:type="dxa"/>
            <w:tcBorders>
              <w:top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2F174BCF" w14:textId="77777777" w:rsidR="00E67F89" w:rsidRPr="00E67F89" w:rsidRDefault="00E67F89" w:rsidP="00E67F89">
            <w:pPr>
              <w:cnfStyle w:val="000000100000" w:firstRow="0" w:lastRow="0" w:firstColumn="0" w:lastColumn="0" w:oddVBand="0" w:evenVBand="0" w:oddHBand="1" w:evenHBand="0" w:firstRowFirstColumn="0" w:firstRowLastColumn="0" w:lastRowFirstColumn="0" w:lastRowLastColumn="0"/>
            </w:pPr>
            <w:r w:rsidRPr="00E67F89">
              <w:t>: Patrimoine culturel</w:t>
            </w:r>
          </w:p>
        </w:tc>
        <w:tc>
          <w:tcPr>
            <w:tcW w:w="2551"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2BC4023E" w14:textId="77777777" w:rsidR="00E67F89" w:rsidRPr="00E67F89" w:rsidRDefault="00E67F89" w:rsidP="00E67F89">
            <w:pPr>
              <w:cnfStyle w:val="000000100000" w:firstRow="0" w:lastRow="0" w:firstColumn="0" w:lastColumn="0" w:oddVBand="0" w:evenVBand="0" w:oddHBand="1" w:evenHBand="0" w:firstRowFirstColumn="0" w:firstRowLastColumn="0" w:lastRowFirstColumn="0" w:lastRowLastColumn="0"/>
            </w:pPr>
          </w:p>
        </w:tc>
      </w:tr>
      <w:tr w:rsidR="00E67F89" w:rsidRPr="00E67F89" w14:paraId="709425F8" w14:textId="77777777" w:rsidTr="00223F64">
        <w:trPr>
          <w:trHeight w:val="424"/>
        </w:trPr>
        <w:tc>
          <w:tcPr>
            <w:cnfStyle w:val="001000000000" w:firstRow="0" w:lastRow="0" w:firstColumn="1" w:lastColumn="0" w:oddVBand="0" w:evenVBand="0" w:oddHBand="0" w:evenHBand="0" w:firstRowFirstColumn="0" w:firstRowLastColumn="0" w:lastRowFirstColumn="0" w:lastRowLastColumn="0"/>
            <w:tcW w:w="1018" w:type="dxa"/>
            <w:tcBorders>
              <w:top w:val="single" w:sz="4" w:space="0" w:color="2F5496" w:themeColor="accent1" w:themeShade="BF"/>
              <w:left w:val="single" w:sz="4" w:space="0" w:color="2F5496" w:themeColor="accent1" w:themeShade="BF"/>
              <w:bottom w:val="single" w:sz="4" w:space="0" w:color="2F5496" w:themeColor="accent1" w:themeShade="BF"/>
              <w:right w:val="nil"/>
            </w:tcBorders>
            <w:shd w:val="clear" w:color="auto" w:fill="FFFFFF" w:themeFill="background1"/>
          </w:tcPr>
          <w:p w14:paraId="48680F4A" w14:textId="77777777" w:rsidR="00E67F89" w:rsidRPr="00E67F89" w:rsidRDefault="00E67F89" w:rsidP="00E67F89">
            <w:r w:rsidRPr="00E67F89">
              <w:t>NES 10</w:t>
            </w:r>
          </w:p>
        </w:tc>
        <w:tc>
          <w:tcPr>
            <w:tcW w:w="6070" w:type="dxa"/>
            <w:tcBorders>
              <w:top w:val="single" w:sz="4" w:space="0" w:color="2F5496" w:themeColor="accent1" w:themeShade="BF"/>
              <w:left w:val="nil"/>
              <w:bottom w:val="single" w:sz="4" w:space="0" w:color="2F5496" w:themeColor="accent1" w:themeShade="BF"/>
              <w:right w:val="single" w:sz="4" w:space="0" w:color="2F5496" w:themeColor="accent1" w:themeShade="BF"/>
            </w:tcBorders>
            <w:shd w:val="clear" w:color="auto" w:fill="FFFFFF" w:themeFill="background1"/>
          </w:tcPr>
          <w:p w14:paraId="5B1F6691" w14:textId="77777777" w:rsidR="00E67F89" w:rsidRPr="00E67F89" w:rsidRDefault="00E67F89" w:rsidP="00E67F89">
            <w:pPr>
              <w:cnfStyle w:val="000000000000" w:firstRow="0" w:lastRow="0" w:firstColumn="0" w:lastColumn="0" w:oddVBand="0" w:evenVBand="0" w:oddHBand="0" w:evenHBand="0" w:firstRowFirstColumn="0" w:firstRowLastColumn="0" w:lastRowFirstColumn="0" w:lastRowLastColumn="0"/>
            </w:pPr>
            <w:r w:rsidRPr="00E67F89">
              <w:t>: Mobilisation des parties prenantes et information</w:t>
            </w:r>
          </w:p>
        </w:tc>
        <w:tc>
          <w:tcPr>
            <w:tcW w:w="2551"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shd w:val="clear" w:color="auto" w:fill="FFFFFF" w:themeFill="background1"/>
          </w:tcPr>
          <w:p w14:paraId="5EAEBCF7" w14:textId="77777777" w:rsidR="00E67F89" w:rsidRPr="00E67F89" w:rsidRDefault="00E67F89" w:rsidP="00E67F89">
            <w:pPr>
              <w:cnfStyle w:val="000000000000" w:firstRow="0" w:lastRow="0" w:firstColumn="0" w:lastColumn="0" w:oddVBand="0" w:evenVBand="0" w:oddHBand="0" w:evenHBand="0" w:firstRowFirstColumn="0" w:firstRowLastColumn="0" w:lastRowFirstColumn="0" w:lastRowLastColumn="0"/>
            </w:pPr>
          </w:p>
        </w:tc>
      </w:tr>
    </w:tbl>
    <w:p w14:paraId="7E819DEA" w14:textId="77777777" w:rsidR="00E67F89" w:rsidRPr="00E67F89" w:rsidRDefault="00E67F89" w:rsidP="00E67F89"/>
    <w:p w14:paraId="4D941FE7" w14:textId="77777777" w:rsidR="00E67F89" w:rsidRPr="00E67F89" w:rsidRDefault="00E67F89" w:rsidP="00E67F89">
      <w:r w:rsidRPr="00E67F89">
        <w:t>6-</w:t>
      </w:r>
      <w:r w:rsidRPr="00E67F89">
        <w:tab/>
        <w:t>MESURES D’ATTENUATION</w:t>
      </w:r>
    </w:p>
    <w:p w14:paraId="4698D189" w14:textId="77777777" w:rsidR="00E67F89" w:rsidRPr="00E67F89" w:rsidRDefault="00E67F89" w:rsidP="00E67F89">
      <w:r w:rsidRPr="00E67F89">
        <w:t>Pour toutes les réponses “Oui” dans la Section 3, décrire brièvement les mesures prises à cet effet.</w:t>
      </w:r>
    </w:p>
    <w:p w14:paraId="6FAB4ED5" w14:textId="77777777" w:rsidR="00E67F89" w:rsidRPr="00E67F89" w:rsidRDefault="00E67F89" w:rsidP="00E67F89">
      <w:r w:rsidRPr="00E67F89">
        <w:t>Conception et mise en œuvre d’un Plan de gestion environnementale et sociale</w:t>
      </w:r>
    </w:p>
    <w:p w14:paraId="19FC27F5" w14:textId="77777777" w:rsidR="00E67F89" w:rsidRPr="00E67F89" w:rsidRDefault="00E67F89" w:rsidP="00E67F89">
      <w:r w:rsidRPr="00E67F89">
        <w:t>Préparation et mise en œuvre d’un Plan d’action de réinstallation.</w:t>
      </w:r>
    </w:p>
    <w:p w14:paraId="7995AF1A" w14:textId="77777777" w:rsidR="00E67F89" w:rsidRPr="00E67F89" w:rsidRDefault="00E67F89" w:rsidP="00E67F89">
      <w:r w:rsidRPr="00E67F89">
        <w:br w:type="page"/>
      </w:r>
    </w:p>
    <w:p w14:paraId="7E6B751F" w14:textId="77777777" w:rsidR="00E67F89" w:rsidRPr="00E67F89" w:rsidRDefault="00E67F89" w:rsidP="00E67F89"/>
    <w:p w14:paraId="7B79300D" w14:textId="77777777" w:rsidR="00E67F89" w:rsidRPr="00E67F89" w:rsidRDefault="00E67F89" w:rsidP="00E67F89">
      <w:r w:rsidRPr="00E67F89">
        <w:t>7</w:t>
      </w:r>
      <w:r w:rsidRPr="00E67F89">
        <w:tab/>
        <w:t>CATEGORISATION DU PROJET ET TRAVAIL ENVIRONNEMENTAL</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51"/>
        <w:gridCol w:w="6237"/>
        <w:gridCol w:w="1418"/>
      </w:tblGrid>
      <w:tr w:rsidR="00E67F89" w:rsidRPr="00E67F89" w14:paraId="2117E00C" w14:textId="77777777" w:rsidTr="00223F64">
        <w:trPr>
          <w:trHeight w:val="332"/>
          <w:tblHeader/>
        </w:trPr>
        <w:tc>
          <w:tcPr>
            <w:tcW w:w="1951" w:type="dxa"/>
            <w:shd w:val="clear" w:color="auto" w:fill="FFF2CC" w:themeFill="accent4" w:themeFillTint="33"/>
            <w:vAlign w:val="center"/>
          </w:tcPr>
          <w:p w14:paraId="7335646C" w14:textId="77777777" w:rsidR="00E67F89" w:rsidRPr="00E67F89" w:rsidRDefault="00E67F89" w:rsidP="00E67F89">
            <w:r w:rsidRPr="00E67F89">
              <w:t>Niveau de risque</w:t>
            </w:r>
          </w:p>
        </w:tc>
        <w:tc>
          <w:tcPr>
            <w:tcW w:w="6237" w:type="dxa"/>
            <w:tcBorders>
              <w:right w:val="single" w:sz="4" w:space="0" w:color="auto"/>
            </w:tcBorders>
            <w:shd w:val="clear" w:color="auto" w:fill="FFF2CC" w:themeFill="accent4" w:themeFillTint="33"/>
            <w:vAlign w:val="center"/>
          </w:tcPr>
          <w:p w14:paraId="625A6D42" w14:textId="77777777" w:rsidR="00E67F89" w:rsidRPr="00E67F89" w:rsidRDefault="00E67F89" w:rsidP="00E67F89">
            <w:r w:rsidRPr="00E67F89">
              <w:t>Type d’étude</w:t>
            </w:r>
          </w:p>
        </w:tc>
        <w:tc>
          <w:tcPr>
            <w:tcW w:w="1418" w:type="dxa"/>
            <w:tcBorders>
              <w:left w:val="single" w:sz="4" w:space="0" w:color="auto"/>
            </w:tcBorders>
            <w:shd w:val="clear" w:color="auto" w:fill="FFF2CC" w:themeFill="accent4" w:themeFillTint="33"/>
            <w:vAlign w:val="center"/>
          </w:tcPr>
          <w:p w14:paraId="421E57B7" w14:textId="77777777" w:rsidR="00E67F89" w:rsidRPr="00E67F89" w:rsidRDefault="00E67F89" w:rsidP="00E67F89">
            <w:r w:rsidRPr="00E67F89">
              <w:t>Eligibilité</w:t>
            </w:r>
          </w:p>
        </w:tc>
      </w:tr>
      <w:tr w:rsidR="00E67F89" w:rsidRPr="00E67F89" w14:paraId="530CF35F" w14:textId="77777777" w:rsidTr="00223F64">
        <w:trPr>
          <w:trHeight w:val="332"/>
        </w:trPr>
        <w:tc>
          <w:tcPr>
            <w:tcW w:w="1951" w:type="dxa"/>
            <w:vAlign w:val="center"/>
          </w:tcPr>
          <w:p w14:paraId="2BFAFAA9" w14:textId="77777777" w:rsidR="00E67F89" w:rsidRPr="00E67F89" w:rsidRDefault="00E67F89" w:rsidP="00E67F89">
            <w:r w:rsidRPr="00E67F89">
              <w:t>Elevé</w:t>
            </w:r>
          </w:p>
        </w:tc>
        <w:tc>
          <w:tcPr>
            <w:tcW w:w="6237" w:type="dxa"/>
            <w:tcBorders>
              <w:right w:val="single" w:sz="4" w:space="0" w:color="auto"/>
            </w:tcBorders>
            <w:vAlign w:val="center"/>
          </w:tcPr>
          <w:p w14:paraId="566EF81D" w14:textId="77777777" w:rsidR="00E67F89" w:rsidRPr="00E67F89" w:rsidRDefault="00E67F89" w:rsidP="00E67F89">
            <w:r w:rsidRPr="00E67F89">
              <w:t>Etude d’impact environnemental &amp; social complète</w:t>
            </w:r>
          </w:p>
        </w:tc>
        <w:tc>
          <w:tcPr>
            <w:tcW w:w="1418" w:type="dxa"/>
            <w:tcBorders>
              <w:left w:val="single" w:sz="4" w:space="0" w:color="auto"/>
            </w:tcBorders>
            <w:vAlign w:val="center"/>
          </w:tcPr>
          <w:p w14:paraId="7A315EC0" w14:textId="77777777" w:rsidR="00E67F89" w:rsidRPr="00E67F89" w:rsidRDefault="00E67F89" w:rsidP="00E67F89">
            <w:r w:rsidRPr="00E67F89">
              <w:t>Non</w:t>
            </w:r>
          </w:p>
        </w:tc>
      </w:tr>
      <w:tr w:rsidR="00E67F89" w:rsidRPr="00E67F89" w14:paraId="101C06D7" w14:textId="77777777" w:rsidTr="00223F64">
        <w:trPr>
          <w:trHeight w:val="332"/>
        </w:trPr>
        <w:tc>
          <w:tcPr>
            <w:tcW w:w="1951" w:type="dxa"/>
            <w:tcBorders>
              <w:bottom w:val="single" w:sz="4" w:space="0" w:color="000000"/>
            </w:tcBorders>
            <w:vAlign w:val="center"/>
          </w:tcPr>
          <w:p w14:paraId="32E154A9" w14:textId="77777777" w:rsidR="00E67F89" w:rsidRPr="00E67F89" w:rsidRDefault="00E67F89" w:rsidP="00E67F89">
            <w:r w:rsidRPr="00E67F89">
              <w:t>Substantiel</w:t>
            </w:r>
          </w:p>
        </w:tc>
        <w:tc>
          <w:tcPr>
            <w:tcW w:w="6237" w:type="dxa"/>
            <w:tcBorders>
              <w:right w:val="single" w:sz="4" w:space="0" w:color="auto"/>
            </w:tcBorders>
            <w:vAlign w:val="center"/>
          </w:tcPr>
          <w:p w14:paraId="0979A65F" w14:textId="77777777" w:rsidR="00E67F89" w:rsidRPr="00E67F89" w:rsidRDefault="00E67F89" w:rsidP="00E67F89">
            <w:r w:rsidRPr="00E67F89">
              <w:t xml:space="preserve">Plan de Gestion Environnementale et Sociale </w:t>
            </w:r>
          </w:p>
        </w:tc>
        <w:tc>
          <w:tcPr>
            <w:tcW w:w="1418" w:type="dxa"/>
            <w:tcBorders>
              <w:left w:val="single" w:sz="4" w:space="0" w:color="auto"/>
            </w:tcBorders>
            <w:vAlign w:val="center"/>
          </w:tcPr>
          <w:p w14:paraId="1AF04F39" w14:textId="77777777" w:rsidR="00E67F89" w:rsidRPr="00E67F89" w:rsidRDefault="00E67F89" w:rsidP="00E67F89">
            <w:r w:rsidRPr="00E67F89">
              <w:t>Oui</w:t>
            </w:r>
          </w:p>
        </w:tc>
      </w:tr>
      <w:tr w:rsidR="00E67F89" w:rsidRPr="00E67F89" w14:paraId="262140C9" w14:textId="77777777" w:rsidTr="00223F64">
        <w:trPr>
          <w:trHeight w:val="332"/>
        </w:trPr>
        <w:tc>
          <w:tcPr>
            <w:tcW w:w="1951" w:type="dxa"/>
            <w:tcBorders>
              <w:bottom w:val="single" w:sz="4" w:space="0" w:color="auto"/>
            </w:tcBorders>
            <w:vAlign w:val="center"/>
          </w:tcPr>
          <w:p w14:paraId="1E3F2460" w14:textId="77777777" w:rsidR="00E67F89" w:rsidRPr="00E67F89" w:rsidRDefault="00E67F89" w:rsidP="00E67F89">
            <w:r w:rsidRPr="00E67F89">
              <w:t>Modéré</w:t>
            </w:r>
          </w:p>
        </w:tc>
        <w:tc>
          <w:tcPr>
            <w:tcW w:w="6237" w:type="dxa"/>
            <w:tcBorders>
              <w:right w:val="single" w:sz="4" w:space="0" w:color="auto"/>
            </w:tcBorders>
            <w:vAlign w:val="center"/>
          </w:tcPr>
          <w:p w14:paraId="7763282D" w14:textId="77777777" w:rsidR="00E67F89" w:rsidRPr="00E67F89" w:rsidRDefault="00E67F89" w:rsidP="00E67F89">
            <w:r w:rsidRPr="00E67F89">
              <w:t>Plan de Gestion Environnementale et Sociale avec analyse environnementale simplifiée</w:t>
            </w:r>
          </w:p>
        </w:tc>
        <w:tc>
          <w:tcPr>
            <w:tcW w:w="1418" w:type="dxa"/>
            <w:tcBorders>
              <w:left w:val="single" w:sz="4" w:space="0" w:color="auto"/>
            </w:tcBorders>
            <w:vAlign w:val="center"/>
          </w:tcPr>
          <w:p w14:paraId="3209341E" w14:textId="77777777" w:rsidR="00E67F89" w:rsidRPr="00E67F89" w:rsidRDefault="00E67F89" w:rsidP="00E67F89">
            <w:r w:rsidRPr="00E67F89">
              <w:t>Oui</w:t>
            </w:r>
          </w:p>
        </w:tc>
      </w:tr>
      <w:tr w:rsidR="00E67F89" w:rsidRPr="00E67F89" w14:paraId="34F45DED" w14:textId="77777777" w:rsidTr="00223F64">
        <w:trPr>
          <w:trHeight w:val="332"/>
        </w:trPr>
        <w:tc>
          <w:tcPr>
            <w:tcW w:w="1951" w:type="dxa"/>
            <w:tcBorders>
              <w:top w:val="single" w:sz="4" w:space="0" w:color="auto"/>
            </w:tcBorders>
            <w:vAlign w:val="center"/>
          </w:tcPr>
          <w:p w14:paraId="64BF2959" w14:textId="77777777" w:rsidR="00E67F89" w:rsidRPr="00E67F89" w:rsidRDefault="00E67F89" w:rsidP="00E67F89">
            <w:r w:rsidRPr="00E67F89">
              <w:t>Faible</w:t>
            </w:r>
          </w:p>
        </w:tc>
        <w:tc>
          <w:tcPr>
            <w:tcW w:w="6237" w:type="dxa"/>
            <w:tcBorders>
              <w:right w:val="single" w:sz="4" w:space="0" w:color="auto"/>
            </w:tcBorders>
            <w:vAlign w:val="center"/>
          </w:tcPr>
          <w:p w14:paraId="14A21C5E" w14:textId="77777777" w:rsidR="00E67F89" w:rsidRPr="00E67F89" w:rsidRDefault="00E67F89" w:rsidP="00E67F89">
            <w:r w:rsidRPr="00E67F89">
              <w:t>Pas de travail environnemental / Simples prescriptions environnementales</w:t>
            </w:r>
          </w:p>
        </w:tc>
        <w:tc>
          <w:tcPr>
            <w:tcW w:w="1418" w:type="dxa"/>
            <w:tcBorders>
              <w:left w:val="single" w:sz="4" w:space="0" w:color="auto"/>
            </w:tcBorders>
            <w:vAlign w:val="center"/>
          </w:tcPr>
          <w:p w14:paraId="2A26FE3E" w14:textId="77777777" w:rsidR="00E67F89" w:rsidRPr="00E67F89" w:rsidRDefault="00E67F89" w:rsidP="00E67F89">
            <w:r w:rsidRPr="00E67F89">
              <w:t>Oui</w:t>
            </w:r>
          </w:p>
        </w:tc>
      </w:tr>
    </w:tbl>
    <w:p w14:paraId="1DC418ED" w14:textId="77777777" w:rsidR="00E67F89" w:rsidRPr="00E67F89" w:rsidRDefault="00E67F89" w:rsidP="00E67F89"/>
    <w:p w14:paraId="06FD0F0C" w14:textId="77777777" w:rsidR="00E67F89" w:rsidRPr="00E67F89" w:rsidRDefault="00E67F89" w:rsidP="00E67F89">
      <w:r w:rsidRPr="00E67F89">
        <w:t>8. DOCUMENTS REQUIS POUR LE SOUS-PROJET</w:t>
      </w:r>
    </w:p>
    <w:p w14:paraId="3536F5C2" w14:textId="77777777" w:rsidR="00E67F89" w:rsidRPr="00E67F89" w:rsidRDefault="00E67F89" w:rsidP="00E67F89">
      <w:r w:rsidRPr="00E67F89">
        <w:t>Selon la catégorie du sous-projet et des politiques déclenchées, déterminer les documents requis relatifs au sous-projet :</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912"/>
        <w:gridCol w:w="2694"/>
      </w:tblGrid>
      <w:tr w:rsidR="00E67F89" w:rsidRPr="00E67F89" w14:paraId="7CF961AF" w14:textId="77777777" w:rsidTr="00223F64">
        <w:trPr>
          <w:trHeight w:val="322"/>
        </w:trPr>
        <w:tc>
          <w:tcPr>
            <w:tcW w:w="6912" w:type="dxa"/>
            <w:vAlign w:val="center"/>
          </w:tcPr>
          <w:p w14:paraId="187EE860" w14:textId="77777777" w:rsidR="00E67F89" w:rsidRPr="00E67F89" w:rsidRDefault="00E67F89" w:rsidP="00E67F89">
            <w:r w:rsidRPr="00E67F89">
              <w:t>Plan de Gestion Environnementale et Sociale (PGES)</w:t>
            </w:r>
          </w:p>
        </w:tc>
        <w:tc>
          <w:tcPr>
            <w:tcW w:w="2694" w:type="dxa"/>
            <w:vAlign w:val="center"/>
          </w:tcPr>
          <w:p w14:paraId="57A556A2" w14:textId="77777777" w:rsidR="00E67F89" w:rsidRPr="00E67F89" w:rsidRDefault="00E67F89" w:rsidP="00E67F89"/>
        </w:tc>
      </w:tr>
      <w:tr w:rsidR="00E67F89" w:rsidRPr="00E67F89" w14:paraId="74DBA4E8" w14:textId="77777777" w:rsidTr="00223F64">
        <w:trPr>
          <w:trHeight w:val="322"/>
        </w:trPr>
        <w:tc>
          <w:tcPr>
            <w:tcW w:w="6912" w:type="dxa"/>
            <w:vAlign w:val="center"/>
          </w:tcPr>
          <w:p w14:paraId="062578CE" w14:textId="77777777" w:rsidR="00E67F89" w:rsidRPr="00E67F89" w:rsidRDefault="00E67F89" w:rsidP="00E67F89">
            <w:r w:rsidRPr="00E67F89">
              <w:t>Audit Environnemental</w:t>
            </w:r>
          </w:p>
        </w:tc>
        <w:tc>
          <w:tcPr>
            <w:tcW w:w="2694" w:type="dxa"/>
            <w:vAlign w:val="center"/>
          </w:tcPr>
          <w:p w14:paraId="66981E9F" w14:textId="77777777" w:rsidR="00E67F89" w:rsidRPr="00E67F89" w:rsidRDefault="00E67F89" w:rsidP="00E67F89"/>
        </w:tc>
      </w:tr>
      <w:tr w:rsidR="00E67F89" w:rsidRPr="00E67F89" w14:paraId="0394AC52" w14:textId="77777777" w:rsidTr="00223F64">
        <w:trPr>
          <w:trHeight w:val="322"/>
        </w:trPr>
        <w:tc>
          <w:tcPr>
            <w:tcW w:w="6912" w:type="dxa"/>
            <w:vAlign w:val="center"/>
          </w:tcPr>
          <w:p w14:paraId="29524EBF" w14:textId="77777777" w:rsidR="00E67F89" w:rsidRPr="00E67F89" w:rsidRDefault="00E67F89" w:rsidP="00E67F89">
            <w:r w:rsidRPr="00E67F89">
              <w:t>Evaluation des dangers et des risques</w:t>
            </w:r>
          </w:p>
        </w:tc>
        <w:tc>
          <w:tcPr>
            <w:tcW w:w="2694" w:type="dxa"/>
            <w:vAlign w:val="center"/>
          </w:tcPr>
          <w:p w14:paraId="55A3AF9B" w14:textId="77777777" w:rsidR="00E67F89" w:rsidRPr="00E67F89" w:rsidRDefault="00E67F89" w:rsidP="00E67F89"/>
        </w:tc>
      </w:tr>
      <w:tr w:rsidR="00E67F89" w:rsidRPr="00E67F89" w14:paraId="7A8DCD7B" w14:textId="77777777" w:rsidTr="00223F64">
        <w:trPr>
          <w:trHeight w:val="322"/>
        </w:trPr>
        <w:tc>
          <w:tcPr>
            <w:tcW w:w="6912" w:type="dxa"/>
            <w:vAlign w:val="center"/>
          </w:tcPr>
          <w:p w14:paraId="79A3858D" w14:textId="77777777" w:rsidR="00E67F89" w:rsidRPr="00E67F89" w:rsidRDefault="00E67F89" w:rsidP="00E67F89">
            <w:r w:rsidRPr="00E67F89">
              <w:t>Plan de Réinstallation (PR)</w:t>
            </w:r>
          </w:p>
        </w:tc>
        <w:tc>
          <w:tcPr>
            <w:tcW w:w="2694" w:type="dxa"/>
            <w:vAlign w:val="center"/>
          </w:tcPr>
          <w:p w14:paraId="1147622B" w14:textId="77777777" w:rsidR="00E67F89" w:rsidRPr="00E67F89" w:rsidRDefault="00E67F89" w:rsidP="00E67F89"/>
        </w:tc>
      </w:tr>
      <w:tr w:rsidR="00E67F89" w:rsidRPr="00E67F89" w14:paraId="1F1A65C3" w14:textId="77777777" w:rsidTr="00223F64">
        <w:trPr>
          <w:trHeight w:val="322"/>
        </w:trPr>
        <w:tc>
          <w:tcPr>
            <w:tcW w:w="6912" w:type="dxa"/>
            <w:vAlign w:val="center"/>
          </w:tcPr>
          <w:p w14:paraId="2D10DAED" w14:textId="77777777" w:rsidR="00E67F89" w:rsidRPr="00E67F89" w:rsidRDefault="00E67F89" w:rsidP="00E67F89">
            <w:r w:rsidRPr="00E67F89">
              <w:t>Autres documents pertinents (Plan de gestion des déchets spéciaux, etc.)</w:t>
            </w:r>
          </w:p>
        </w:tc>
        <w:tc>
          <w:tcPr>
            <w:tcW w:w="2694" w:type="dxa"/>
            <w:vAlign w:val="center"/>
          </w:tcPr>
          <w:p w14:paraId="7AAB77A8" w14:textId="77777777" w:rsidR="00E67F89" w:rsidRPr="00E67F89" w:rsidRDefault="00E67F89" w:rsidP="00E67F89"/>
        </w:tc>
      </w:tr>
    </w:tbl>
    <w:p w14:paraId="52BEBBE3" w14:textId="77777777" w:rsidR="00E67F89" w:rsidRPr="00E67F89" w:rsidRDefault="00E67F89" w:rsidP="00E67F89"/>
    <w:p w14:paraId="7A3AC954" w14:textId="77777777" w:rsidR="00E67F89" w:rsidRPr="00E67F89" w:rsidRDefault="00E67F89" w:rsidP="00E67F89">
      <w:r w:rsidRPr="00E67F89">
        <w:t>Observations ou commentaires sur le travail E&amp;S requis :</w:t>
      </w:r>
    </w:p>
    <w:p w14:paraId="3C4AA1DD" w14:textId="77777777" w:rsidR="00E67F89" w:rsidRPr="00E67F89" w:rsidRDefault="00E67F89" w:rsidP="00E67F89"/>
    <w:p w14:paraId="163068FD" w14:textId="77777777" w:rsidR="00E67F89" w:rsidRPr="00E67F89" w:rsidRDefault="00E67F89" w:rsidP="00E67F89">
      <w:r w:rsidRPr="00E67F89">
        <w:t xml:space="preserve">Date : </w:t>
      </w:r>
    </w:p>
    <w:p w14:paraId="5A38733F" w14:textId="77777777" w:rsidR="00E67F89" w:rsidRPr="00E67F89" w:rsidRDefault="00E67F89" w:rsidP="00E67F89"/>
    <w:p w14:paraId="42AA20B6" w14:textId="77777777" w:rsidR="00E67F89" w:rsidRPr="00E67F89" w:rsidRDefault="00E67F89" w:rsidP="00E67F89">
      <w:r w:rsidRPr="00E67F89">
        <w:t>Le Responsable Environnemental et Social du Projet</w:t>
      </w:r>
    </w:p>
    <w:p w14:paraId="13B5C461" w14:textId="77777777" w:rsidR="00E67F89" w:rsidRPr="00E67F89" w:rsidRDefault="00E67F89" w:rsidP="00E67F89"/>
    <w:p w14:paraId="3F3B840C" w14:textId="77777777" w:rsidR="00E67F89" w:rsidRPr="00E67F89" w:rsidRDefault="00E67F89" w:rsidP="00E67F89">
      <w:pPr>
        <w:sectPr w:rsidR="00E67F89" w:rsidRPr="00E67F89" w:rsidSect="00D42025">
          <w:pgSz w:w="11906" w:h="16838"/>
          <w:pgMar w:top="1417" w:right="1133" w:bottom="1417" w:left="1417" w:header="708" w:footer="708" w:gutter="0"/>
          <w:pgNumType w:fmt="upperRoman"/>
          <w:cols w:space="708"/>
          <w:docGrid w:linePitch="360"/>
        </w:sectPr>
      </w:pPr>
    </w:p>
    <w:p w14:paraId="69458CC9" w14:textId="77777777" w:rsidR="00E67F89" w:rsidRPr="00E67F89" w:rsidRDefault="00E67F89" w:rsidP="00E67F89">
      <w:bookmarkStart w:id="907" w:name="_Toc138414174"/>
      <w:bookmarkStart w:id="908" w:name="_Toc230426117"/>
      <w:r w:rsidRPr="00E67F89">
        <w:lastRenderedPageBreak/>
        <w:t xml:space="preserve">Annexe </w:t>
      </w:r>
      <w:r w:rsidRPr="00E67F89">
        <w:fldChar w:fldCharType="begin"/>
      </w:r>
      <w:r w:rsidRPr="00E67F89">
        <w:instrText xml:space="preserve"> SEQ Annexe \* ARABIC </w:instrText>
      </w:r>
      <w:r w:rsidRPr="00E67F89">
        <w:fldChar w:fldCharType="separate"/>
      </w:r>
      <w:r w:rsidRPr="00E67F89">
        <w:t>12</w:t>
      </w:r>
      <w:r w:rsidRPr="00E67F89">
        <w:fldChar w:fldCharType="end"/>
      </w:r>
      <w:r w:rsidRPr="00E67F89">
        <w:t> : Modèle de clauses E&amp;S à insérer dans les DAO</w:t>
      </w:r>
      <w:bookmarkEnd w:id="907"/>
      <w:bookmarkEnd w:id="908"/>
    </w:p>
    <w:p w14:paraId="2C36DF5A" w14:textId="77777777" w:rsidR="00E67F89" w:rsidRPr="00E67F89" w:rsidRDefault="00E67F89" w:rsidP="00E67F89">
      <w:r w:rsidRPr="00E67F89">
        <w:t>De multiples risques et impacts sur l'environnement naturel et humain pourront être évités par le respect par l’Entrepreneur de certaines bonnes pratiques environnementales. Ces pratiques ne correspondent généralement pas à des travaux précis, mais plutôt à une démarche de qualité durant l'installation et les différentes activités de l'entreprise, allant vers un plus grand respect de l'environnement dans lequel elle intervient. Même si elles peuvent paraître parfois dérisoires, de telles pratiques appliquées en amont peuvent éviter, à moindres coûts, la survenance subséquente d'importantes nuisances qui nécessiteraient l'engagement d’un budget élevé pour leur correction. A ce titre, le Projet applique à la fois les dispositions et exigences liées :</w:t>
      </w:r>
    </w:p>
    <w:p w14:paraId="50233B7D" w14:textId="77777777" w:rsidR="00E67F89" w:rsidRPr="00E67F89" w:rsidRDefault="00E67F89" w:rsidP="00E67F89">
      <w:r w:rsidRPr="00E67F89">
        <w:t>Aux législations environnementales et sociales nationales</w:t>
      </w:r>
    </w:p>
    <w:p w14:paraId="72AE024C" w14:textId="77777777" w:rsidR="00E67F89" w:rsidRPr="00E67F89" w:rsidRDefault="00E67F89" w:rsidP="00E67F89">
      <w:r w:rsidRPr="00E67F89">
        <w:t>Aux NES pertinentes pour le Projet.</w:t>
      </w:r>
    </w:p>
    <w:p w14:paraId="189B2049" w14:textId="77777777" w:rsidR="00E67F89" w:rsidRPr="00E67F89" w:rsidRDefault="00E67F89" w:rsidP="00E67F89">
      <w:r w:rsidRPr="00E67F89">
        <w:t>L’ensemble de ces textes et de ces exigences est présenté en détails dans la section 4 de ce CGES.</w:t>
      </w:r>
    </w:p>
    <w:p w14:paraId="123261F8" w14:textId="77777777" w:rsidR="00E67F89" w:rsidRPr="00E67F89" w:rsidRDefault="00E67F89" w:rsidP="00E67F89">
      <w:r w:rsidRPr="00E67F89">
        <w:t xml:space="preserve">La mise en œuvre de ces pratiques sera du ressort de l’Entrepreneur et de ses sous-traitants à qui il est cependant conseillé de déléguer certaines tâches n'entrant pas dans son domaine de compétence (engazonnement de talus, par exemple). </w:t>
      </w:r>
    </w:p>
    <w:p w14:paraId="31E52B94" w14:textId="77777777" w:rsidR="00E67F89" w:rsidRPr="00E67F89" w:rsidRDefault="00E67F89" w:rsidP="00E67F89">
      <w:r w:rsidRPr="00E67F89">
        <w:t>Dispositions préalables à l’exécution des travaux</w:t>
      </w:r>
    </w:p>
    <w:p w14:paraId="3FC5A75B" w14:textId="77777777" w:rsidR="00E67F89" w:rsidRPr="00E67F89" w:rsidRDefault="00E67F89" w:rsidP="00E67F89">
      <w:r w:rsidRPr="00E67F89">
        <w:t>Les travaux devront considérer les dispositions environnementales et sociales définies dans l’étude d’impact environnemental et social au niveau APD et dont le Plan de Gestion Environnementale et Sociale (PGES) peut être consulté aux adresses suivantes :</w:t>
      </w:r>
    </w:p>
    <w:p w14:paraId="1CB218B1" w14:textId="77777777" w:rsidR="00E67F89" w:rsidRPr="00E67F89" w:rsidRDefault="00E67F89" w:rsidP="00E67F89">
      <w:r w:rsidRPr="00E67F89">
        <w:t>Liens URL : sites Web du Projet, de l’AR et Site Web externe da la Banque.</w:t>
      </w:r>
    </w:p>
    <w:p w14:paraId="7769EE7A" w14:textId="77777777" w:rsidR="00E67F89" w:rsidRPr="00E67F89" w:rsidRDefault="00E67F89" w:rsidP="00E67F89">
      <w:r w:rsidRPr="00E67F89">
        <w:t>Par ailleurs, comme il est impossible de les fixer à l’avance, les documents suivants sont attendus de l’entreprise titulaire avant de commencer les travaux :</w:t>
      </w:r>
    </w:p>
    <w:p w14:paraId="35EEB6A8" w14:textId="77777777" w:rsidR="00E67F89" w:rsidRPr="00E67F89" w:rsidRDefault="00E67F89" w:rsidP="00E67F89">
      <w:r w:rsidRPr="00E67F89">
        <w:t>PGES-Entreprise</w:t>
      </w:r>
    </w:p>
    <w:p w14:paraId="21E21A15" w14:textId="77777777" w:rsidR="00E67F89" w:rsidRPr="00E67F89" w:rsidRDefault="00E67F89" w:rsidP="00E67F89">
      <w:r w:rsidRPr="00E67F89">
        <w:t>PPES/Base-vie incluant un Plan de circulation dans l’enceinte</w:t>
      </w:r>
    </w:p>
    <w:p w14:paraId="7A0F634E" w14:textId="77777777" w:rsidR="00E67F89" w:rsidRPr="00E67F89" w:rsidRDefault="00E67F89" w:rsidP="00E67F89">
      <w:r w:rsidRPr="00E67F89">
        <w:t>PPES sur la carrière pour produits rocheux, les gîtes pour matériaux sélectionnés et les zones d’emprunt</w:t>
      </w:r>
    </w:p>
    <w:p w14:paraId="3B6192B5" w14:textId="77777777" w:rsidR="00E67F89" w:rsidRPr="00E67F89" w:rsidRDefault="00E67F89" w:rsidP="00E67F89">
      <w:r w:rsidRPr="00E67F89">
        <w:t>Plan HSE.</w:t>
      </w:r>
    </w:p>
    <w:p w14:paraId="29460ED5" w14:textId="77777777" w:rsidR="00E67F89" w:rsidRPr="00E67F89" w:rsidRDefault="00E67F89" w:rsidP="00E67F89">
      <w:r w:rsidRPr="00E67F89">
        <w:t>Ces documents seront soumis à l’approbation du Maître d’œuvre.</w:t>
      </w:r>
    </w:p>
    <w:p w14:paraId="7FB3DC7D" w14:textId="77777777" w:rsidR="00E67F89" w:rsidRPr="00E67F89" w:rsidRDefault="00E67F89" w:rsidP="00E67F89">
      <w:r w:rsidRPr="00E67F89">
        <w:t>Clause 1 : Respect des lois et réglementations nationales ainsi que des exigences des NES pertinentes pour le Projet</w:t>
      </w:r>
    </w:p>
    <w:p w14:paraId="321EA2D1" w14:textId="77777777" w:rsidR="00E67F89" w:rsidRPr="00E67F89" w:rsidRDefault="00E67F89" w:rsidP="00E67F89">
      <w:r w:rsidRPr="00E67F89">
        <w:t xml:space="preserve">L’Entrepreneur et ses sous-traitants doivent : connaître, respecter et appliquer les normes environnementales et sociales reconnues par la communauté internationale et en cohérence avec les lois et règlements en vigueur à Madagascar relatifs à : l’environnement, à l’élimination des déchets solides et liquides, aux normes de rejet et de bruit, à la sécurité des travailleurs, aux droits des enfants et femmes et à la protection de ses derniers à l’exploitation sexuelle, à la </w:t>
      </w:r>
      <w:r w:rsidRPr="00E67F89">
        <w:lastRenderedPageBreak/>
        <w:t>violence basée sur le genre (VBG), etc. ; prendre toutes les mesures appropriées en vue de minimiser les atteintes à l’environnement ; assumer la responsabilité de toute réclamation liée au non-respect de l’environnement.</w:t>
      </w:r>
    </w:p>
    <w:p w14:paraId="5C590C0F" w14:textId="77777777" w:rsidR="00E67F89" w:rsidRPr="00E67F89" w:rsidRDefault="00E67F89" w:rsidP="00E67F89">
      <w:r w:rsidRPr="00E67F89">
        <w:t>Les Procédures de gestion de la main d’œuvre (PGMO) relatifs au Projet doivent être appliquées (voir les sites ci-dessus pour les consulter)</w:t>
      </w:r>
    </w:p>
    <w:p w14:paraId="5F307703" w14:textId="77777777" w:rsidR="00E67F89" w:rsidRPr="00E67F89" w:rsidRDefault="00E67F89" w:rsidP="00E67F89">
      <w:r w:rsidRPr="00E67F89">
        <w:t>A titre de rappel, le PGMO inclut divers aspects dont :</w:t>
      </w:r>
    </w:p>
    <w:p w14:paraId="61528694" w14:textId="77777777" w:rsidR="00E67F89" w:rsidRPr="00E67F89" w:rsidRDefault="00E67F89" w:rsidP="00E67F89">
      <w:r w:rsidRPr="00E67F89">
        <w:t>Les procédures liées au recrutement des travailleurs</w:t>
      </w:r>
    </w:p>
    <w:p w14:paraId="3601C976" w14:textId="77777777" w:rsidR="00E67F89" w:rsidRPr="00E67F89" w:rsidRDefault="00E67F89" w:rsidP="00E67F89">
      <w:r w:rsidRPr="00E67F89">
        <w:t>Les directives liées à la santé des travailleurs</w:t>
      </w:r>
    </w:p>
    <w:p w14:paraId="7D9A8AB5" w14:textId="77777777" w:rsidR="00E67F89" w:rsidRPr="00E67F89" w:rsidRDefault="00E67F89" w:rsidP="00E67F89">
      <w:r w:rsidRPr="00E67F89">
        <w:t>Les procédures liées à la sécurité au travail</w:t>
      </w:r>
    </w:p>
    <w:p w14:paraId="2CC82F9A" w14:textId="0CBDC926" w:rsidR="00E67F89" w:rsidRPr="00E67F89" w:rsidRDefault="00E67F89" w:rsidP="00E67F89">
      <w:r w:rsidRPr="00E67F89">
        <w:t xml:space="preserve">La prévention et la lutte contre les </w:t>
      </w:r>
      <w:r w:rsidR="006F38A3">
        <w:t xml:space="preserve">EAS-HS </w:t>
      </w:r>
    </w:p>
    <w:p w14:paraId="16D6E583" w14:textId="77777777" w:rsidR="00E67F89" w:rsidRPr="00E67F89" w:rsidRDefault="00E67F89" w:rsidP="00E67F89">
      <w:r w:rsidRPr="00E67F89">
        <w:t>Les Mécanismes de gestion des plaintes (plaintes de travailleurs, plaintes VBG …)</w:t>
      </w:r>
    </w:p>
    <w:p w14:paraId="4D2F9FC4" w14:textId="77777777" w:rsidR="00E67F89" w:rsidRPr="00E67F89" w:rsidRDefault="00E67F89" w:rsidP="00E67F89">
      <w:r w:rsidRPr="00E67F89">
        <w:t>La gestion des fournisseurs et prestataires</w:t>
      </w:r>
    </w:p>
    <w:p w14:paraId="3710FF7D" w14:textId="77777777" w:rsidR="00E67F89" w:rsidRPr="00E67F89" w:rsidRDefault="00E67F89" w:rsidP="00E67F89">
      <w:r w:rsidRPr="00E67F89">
        <w:t>La gestion des agents de l’Administration qui travaillent dans le cadre du Projet</w:t>
      </w:r>
    </w:p>
    <w:p w14:paraId="22263DB9" w14:textId="77777777" w:rsidR="00E67F89" w:rsidRPr="00E67F89" w:rsidRDefault="00E67F89" w:rsidP="00E67F89">
      <w:r w:rsidRPr="00E67F89">
        <w:t>La gestion des travailleurs communautaires qui travaillent dans le cadre du Projet</w:t>
      </w:r>
    </w:p>
    <w:p w14:paraId="301A977B" w14:textId="77777777" w:rsidR="00E67F89" w:rsidRPr="00E67F89" w:rsidRDefault="00E67F89" w:rsidP="00E67F89">
      <w:r w:rsidRPr="00E67F89">
        <w:t>Autres.</w:t>
      </w:r>
    </w:p>
    <w:p w14:paraId="07322925" w14:textId="77777777" w:rsidR="00E67F89" w:rsidRPr="00E67F89" w:rsidRDefault="00E67F89" w:rsidP="00E67F89">
      <w:r w:rsidRPr="00E67F89">
        <w:t>Lutte et prévention contre les maladies transmissibles et contagieuses</w:t>
      </w:r>
    </w:p>
    <w:p w14:paraId="2A6133A7" w14:textId="77777777" w:rsidR="00E67F89" w:rsidRPr="00E67F89" w:rsidRDefault="00E67F89" w:rsidP="00E67F89">
      <w:r w:rsidRPr="00E67F89">
        <w:t>Cas des MST/Sida</w:t>
      </w:r>
    </w:p>
    <w:p w14:paraId="6E0764E2" w14:textId="77777777" w:rsidR="00E67F89" w:rsidRPr="00E67F89" w:rsidRDefault="00E67F89" w:rsidP="00E67F89">
      <w:r w:rsidRPr="00E67F89">
        <w:t>L’entreprise est tenue d’organiser des sessions d’information et de sensibilisation sur les MST en général et le Sida en particulier. Les clauses minimales de la Banque mondiale s’appliquent également.</w:t>
      </w:r>
    </w:p>
    <w:p w14:paraId="2CB61C6D" w14:textId="77777777" w:rsidR="00E67F89" w:rsidRPr="00E67F89" w:rsidRDefault="00E67F89" w:rsidP="00E67F89">
      <w:r w:rsidRPr="00E67F89">
        <w:t>Cas du Covid-19</w:t>
      </w:r>
    </w:p>
    <w:p w14:paraId="616D51D8" w14:textId="77777777" w:rsidR="00E67F89" w:rsidRPr="00E67F89" w:rsidRDefault="00E67F89" w:rsidP="00E67F89">
      <w:r w:rsidRPr="00E67F89">
        <w:t>En période de rémission du virus, des installations de lavage des mains avec du savon suffisent. Par contre, dans le cas d’une nouvelle vague de Covid-19, l’entreprise est tenue de mettre en place les règles barrières recommandées par l’Organisation Mondiale de la Santé (OMS)</w:t>
      </w:r>
    </w:p>
    <w:p w14:paraId="39E9B9EA" w14:textId="77777777" w:rsidR="00E67F89" w:rsidRPr="00E67F89" w:rsidRDefault="00E67F89" w:rsidP="00E67F89">
      <w:r w:rsidRPr="00E67F89">
        <w:t>Clause 2 : Permis et autorisations avant les travaux</w:t>
      </w:r>
    </w:p>
    <w:p w14:paraId="568E15CE" w14:textId="77777777" w:rsidR="00E67F89" w:rsidRPr="00E67F89" w:rsidRDefault="00E67F89" w:rsidP="00E67F89">
      <w:r w:rsidRPr="00E67F89">
        <w:t>Toute réalisation de travaux doit faire l’objet d’une procédure préalable d’information et d’autorisations administratives. Avant de commencer les travaux, l’Entrepreneur doit se procurer tous les permis nécessaires pour la réalisation des travaux prévus dans le contrat du projet réhabilitation du périmètre des autorisations délivrés par :</w:t>
      </w:r>
    </w:p>
    <w:p w14:paraId="23E76AD6" w14:textId="77777777" w:rsidR="00E67F89" w:rsidRPr="00E67F89" w:rsidRDefault="00E67F89" w:rsidP="00E67F89">
      <w:r w:rsidRPr="00E67F89">
        <w:t>les collectivités locales et au mieux les services miniers pour l’exploitation des carrières et gites d’emprunt ;</w:t>
      </w:r>
    </w:p>
    <w:p w14:paraId="7FFA55E6" w14:textId="77777777" w:rsidR="00E67F89" w:rsidRPr="00E67F89" w:rsidRDefault="00E67F89" w:rsidP="00E67F89">
      <w:r w:rsidRPr="00E67F89">
        <w:t xml:space="preserve">les services forestiers en cas de déboisement et d’élagage aux environs des habitats naturels sensibles ; </w:t>
      </w:r>
    </w:p>
    <w:p w14:paraId="41BE67AB" w14:textId="77777777" w:rsidR="00E67F89" w:rsidRPr="00E67F89" w:rsidRDefault="00E67F89" w:rsidP="00E67F89">
      <w:r w:rsidRPr="00E67F89">
        <w:lastRenderedPageBreak/>
        <w:t xml:space="preserve">les services en charge de l’hydraulique et gestion de l’eau pour l’utilisation des ressources en eau. </w:t>
      </w:r>
    </w:p>
    <w:p w14:paraId="409BE290" w14:textId="77777777" w:rsidR="00E67F89" w:rsidRPr="00E67F89" w:rsidRDefault="00E67F89" w:rsidP="00E67F89">
      <w:r w:rsidRPr="00E67F89">
        <w:t>Avant le démarrage des travaux, l’Entrepreneur doit se concerter avec propriétaires des terrains privés avec lesquels il peut prendre des arrangements ou contrats facilitant le déroulement des chantiers, à titre d’exemples l’exploitation d’un gite d’emprunt ou d’une carrière.</w:t>
      </w:r>
    </w:p>
    <w:p w14:paraId="374F872E" w14:textId="77777777" w:rsidR="00E67F89" w:rsidRPr="00E67F89" w:rsidRDefault="00E67F89" w:rsidP="00E67F89">
      <w:r w:rsidRPr="00E67F89">
        <w:t>Clause 3 : Réunion de démarrage des travaux</w:t>
      </w:r>
    </w:p>
    <w:p w14:paraId="0101B386" w14:textId="77777777" w:rsidR="00E67F89" w:rsidRPr="00E67F89" w:rsidRDefault="00E67F89" w:rsidP="00E67F89">
      <w:r w:rsidRPr="00E67F89">
        <w:t>Avant le démarrage des travaux, l'Entrepreneur et le Maître d’œuvre, sous la supervision du Maître d’ouvrage, doivent organiser des réunions avec toutes les parties prenantes du projet de réhabilitation :</w:t>
      </w:r>
    </w:p>
    <w:p w14:paraId="3950DDEB" w14:textId="77777777" w:rsidR="00E67F89" w:rsidRPr="00E67F89" w:rsidRDefault="00E67F89" w:rsidP="00E67F89">
      <w:r w:rsidRPr="00E67F89">
        <w:t>les autorités administratives et traditionnelles locales ;</w:t>
      </w:r>
    </w:p>
    <w:p w14:paraId="6E5E49B9" w14:textId="77777777" w:rsidR="00E67F89" w:rsidRPr="00E67F89" w:rsidRDefault="00E67F89" w:rsidP="00E67F89">
      <w:r w:rsidRPr="00E67F89">
        <w:t xml:space="preserve">les représentants des populations situées dans la zone du projet et les services techniques déconcentrés, pour les informer de la consistance des travaux à réaliser et leur durée, l’emprise des travaux et les emplacements susceptibles d'être affectés. </w:t>
      </w:r>
    </w:p>
    <w:p w14:paraId="323F4335" w14:textId="77777777" w:rsidR="00E67F89" w:rsidRPr="00E67F89" w:rsidRDefault="00E67F89" w:rsidP="00E67F89">
      <w:r w:rsidRPr="00E67F89">
        <w:t>Cette réunion permettra aussi au Maître d’ouvrage de recueillir les préoccupations des populations, de les sensibiliser sur les enjeux environnementaux et sociaux et sur leurs relations avec les ouvriers de l’entreprise.</w:t>
      </w:r>
    </w:p>
    <w:p w14:paraId="40020B9D" w14:textId="77777777" w:rsidR="00E67F89" w:rsidRPr="00E67F89" w:rsidRDefault="00E67F89" w:rsidP="00E67F89">
      <w:r w:rsidRPr="00E67F89">
        <w:t>Clause 4 : Préparation et libération de l’emprise</w:t>
      </w:r>
    </w:p>
    <w:p w14:paraId="29846B31" w14:textId="77777777" w:rsidR="00E67F89" w:rsidRPr="00E67F89" w:rsidRDefault="00E67F89" w:rsidP="00E67F89">
      <w:r w:rsidRPr="00E67F89">
        <w:t>L’Entrepreneur, en coordination avec le Maître d’ouvrage, devra informer les populations concernées avant toute activité d’interruption d’activité économique ou de la circulation. Les travaux ne pourront commencer qu’après la compensation des personnes affectées.</w:t>
      </w:r>
    </w:p>
    <w:p w14:paraId="5810F284" w14:textId="77777777" w:rsidR="00E67F89" w:rsidRPr="00E67F89" w:rsidRDefault="00E67F89" w:rsidP="00E67F89">
      <w:r w:rsidRPr="00E67F89">
        <w:t>Clause 5 : Programme de gestion environnementale et sociale</w:t>
      </w:r>
    </w:p>
    <w:p w14:paraId="1D34A93E" w14:textId="77777777" w:rsidR="00E67F89" w:rsidRPr="00E67F89" w:rsidRDefault="00E67F89" w:rsidP="00E67F89">
      <w:r w:rsidRPr="00E67F89">
        <w:t>Les documents attendus de l’entreprise sont listés ci-dessus. Ils devront, entre autres comprendre les éléments suivants :</w:t>
      </w:r>
    </w:p>
    <w:tbl>
      <w:tblPr>
        <w:tblStyle w:val="TableGrid"/>
        <w:tblW w:w="0" w:type="auto"/>
        <w:tblLook w:val="04A0" w:firstRow="1" w:lastRow="0" w:firstColumn="1" w:lastColumn="0" w:noHBand="0" w:noVBand="1"/>
      </w:tblPr>
      <w:tblGrid>
        <w:gridCol w:w="2631"/>
        <w:gridCol w:w="6429"/>
      </w:tblGrid>
      <w:tr w:rsidR="00E67F89" w:rsidRPr="00E67F89" w14:paraId="41E2AE41" w14:textId="77777777" w:rsidTr="00223F64">
        <w:trPr>
          <w:trHeight w:val="58"/>
          <w:tblHeader/>
        </w:trPr>
        <w:tc>
          <w:tcPr>
            <w:tcW w:w="2660" w:type="dxa"/>
            <w:shd w:val="clear" w:color="auto" w:fill="E7E6E6" w:themeFill="background2"/>
          </w:tcPr>
          <w:p w14:paraId="084D6999" w14:textId="77777777" w:rsidR="00E67F89" w:rsidRPr="00E67F89" w:rsidRDefault="00E67F89" w:rsidP="00E67F89">
            <w:r w:rsidRPr="00E67F89">
              <w:t>Document requis</w:t>
            </w:r>
          </w:p>
        </w:tc>
        <w:tc>
          <w:tcPr>
            <w:tcW w:w="6520" w:type="dxa"/>
            <w:shd w:val="clear" w:color="auto" w:fill="E7E6E6" w:themeFill="background2"/>
          </w:tcPr>
          <w:p w14:paraId="1CD8BD4B" w14:textId="77777777" w:rsidR="00E67F89" w:rsidRPr="00E67F89" w:rsidRDefault="00E67F89" w:rsidP="00E67F89">
            <w:r w:rsidRPr="00E67F89">
              <w:t>Contenu minima</w:t>
            </w:r>
          </w:p>
        </w:tc>
      </w:tr>
      <w:tr w:rsidR="00E67F89" w:rsidRPr="00E67F89" w14:paraId="2E451731" w14:textId="77777777" w:rsidTr="00223F64">
        <w:tc>
          <w:tcPr>
            <w:tcW w:w="2660" w:type="dxa"/>
          </w:tcPr>
          <w:p w14:paraId="3043BC72" w14:textId="77777777" w:rsidR="00E67F89" w:rsidRPr="00E67F89" w:rsidRDefault="00E67F89" w:rsidP="00E67F89">
            <w:r w:rsidRPr="00E67F89">
              <w:t>PPES : Carrière pour produits rocheux, gîtes et emprunts pour matériaux meubles</w:t>
            </w:r>
          </w:p>
        </w:tc>
        <w:tc>
          <w:tcPr>
            <w:tcW w:w="6520" w:type="dxa"/>
          </w:tcPr>
          <w:p w14:paraId="31A12A2C" w14:textId="77777777" w:rsidR="00E67F89" w:rsidRPr="00E67F89" w:rsidRDefault="00E67F89" w:rsidP="00E67F89">
            <w:r w:rsidRPr="00E67F89">
              <w:t>Levé topographique au 1/500ème de la carrière (zone d'extraction), des aires annexes (aires de concassage, de stockage, de dépôts, etc.) avec indication des voies d'accès, de services et de circulation,</w:t>
            </w:r>
          </w:p>
          <w:p w14:paraId="0EDB9BC6" w14:textId="77777777" w:rsidR="00E67F89" w:rsidRPr="00E67F89" w:rsidRDefault="00E67F89" w:rsidP="00E67F89">
            <w:r w:rsidRPr="00E67F89">
              <w:t xml:space="preserve">Plan d'exploitation du front de taille avec dimensions, sens de progression, zones délaissées, etc. </w:t>
            </w:r>
          </w:p>
          <w:p w14:paraId="19F3C0D7" w14:textId="77777777" w:rsidR="00E67F89" w:rsidRPr="00E67F89" w:rsidRDefault="00E67F89" w:rsidP="00E67F89">
            <w:r w:rsidRPr="00E67F89">
              <w:t>PPES proposé pour la protection de l’environnement de la carrière, suivant un contenu standard à tout PPES et détaillant spécifications les modalités relatives:</w:t>
            </w:r>
          </w:p>
          <w:p w14:paraId="3739BDA4" w14:textId="77777777" w:rsidR="00E67F89" w:rsidRPr="00E67F89" w:rsidRDefault="00E67F89" w:rsidP="00E67F89">
            <w:r w:rsidRPr="00E67F89">
              <w:t>aux détails des consignes de sécurité durant le ramassage de blocs de rocher</w:t>
            </w:r>
          </w:p>
          <w:p w14:paraId="3D2D05A2" w14:textId="77777777" w:rsidR="00E67F89" w:rsidRPr="00E67F89" w:rsidRDefault="00E67F89" w:rsidP="00E67F89">
            <w:r w:rsidRPr="00E67F89">
              <w:t>à la sécurité du personnel</w:t>
            </w:r>
          </w:p>
          <w:p w14:paraId="033DF584" w14:textId="77777777" w:rsidR="00E67F89" w:rsidRPr="00E67F89" w:rsidRDefault="00E67F89" w:rsidP="00E67F89">
            <w:r w:rsidRPr="00E67F89">
              <w:t>à la limitation des poussières lors des chargements et déchargements</w:t>
            </w:r>
          </w:p>
          <w:p w14:paraId="7B007E60" w14:textId="77777777" w:rsidR="00E67F89" w:rsidRPr="00E67F89" w:rsidRDefault="00E67F89" w:rsidP="00E67F89">
            <w:r w:rsidRPr="00E67F89">
              <w:lastRenderedPageBreak/>
              <w:t>au traitement des rebus ou déchets de carrière</w:t>
            </w:r>
          </w:p>
          <w:p w14:paraId="5CFD1645" w14:textId="77777777" w:rsidR="00E67F89" w:rsidRPr="00E67F89" w:rsidRDefault="00E67F89" w:rsidP="00E67F89">
            <w:r w:rsidRPr="00E67F89">
              <w:t>à la remise en état du site</w:t>
            </w:r>
          </w:p>
          <w:p w14:paraId="744C4D79" w14:textId="77777777" w:rsidR="00E67F89" w:rsidRPr="00E67F89" w:rsidRDefault="00E67F89" w:rsidP="00E67F89">
            <w:r w:rsidRPr="00E67F89">
              <w:t>En cas d’abattage à l’explosif, le PPES devra contenir les éléments suivants : fréquence des tirs, maille de forage, nature des explosifs, dispositifs d'allumage, charges, volumes abattus, stockage des explosifs et détonants, mesures de sécurité liées aux tirs, protection des riverains …</w:t>
            </w:r>
          </w:p>
        </w:tc>
      </w:tr>
      <w:tr w:rsidR="00E67F89" w:rsidRPr="00E67F89" w14:paraId="08FB1F48" w14:textId="77777777" w:rsidTr="00223F64">
        <w:tc>
          <w:tcPr>
            <w:tcW w:w="2660" w:type="dxa"/>
          </w:tcPr>
          <w:p w14:paraId="2B976C92" w14:textId="77777777" w:rsidR="00E67F89" w:rsidRPr="00E67F89" w:rsidRDefault="00E67F89" w:rsidP="00E67F89">
            <w:r w:rsidRPr="00E67F89">
              <w:t>PPES pour la base vie</w:t>
            </w:r>
          </w:p>
        </w:tc>
        <w:tc>
          <w:tcPr>
            <w:tcW w:w="6520" w:type="dxa"/>
          </w:tcPr>
          <w:p w14:paraId="6B2CF899" w14:textId="77777777" w:rsidR="00E67F89" w:rsidRPr="00E67F89" w:rsidRDefault="00E67F89" w:rsidP="00E67F89">
            <w:r w:rsidRPr="00E67F89">
              <w:t>La base-vie peut inclure l’hébergement d’ouvriers, un atelier mécanique, une aire de préfabrication, une centrale à bitume …. Selon le cas, le PPES y afférent contiendra au moins les éléments suivants :</w:t>
            </w:r>
          </w:p>
          <w:p w14:paraId="374A0470" w14:textId="77777777" w:rsidR="00E67F89" w:rsidRPr="00E67F89" w:rsidRDefault="00E67F89" w:rsidP="00E67F89">
            <w:r w:rsidRPr="00E67F89">
              <w:t>un Plan de situation de la base-vie avec le Plan de masse</w:t>
            </w:r>
          </w:p>
          <w:p w14:paraId="2D990418" w14:textId="77777777" w:rsidR="00E67F89" w:rsidRPr="00E67F89" w:rsidRDefault="00E67F89" w:rsidP="00E67F89">
            <w:r w:rsidRPr="00E67F89">
              <w:t>un Plan d’organisation de la base-vie (site pour chaque activité, Plan de circulation des véhicules …)</w:t>
            </w:r>
          </w:p>
          <w:p w14:paraId="623EEA87" w14:textId="77777777" w:rsidR="00E67F89" w:rsidRPr="00E67F89" w:rsidRDefault="00E67F89" w:rsidP="00E67F89">
            <w:r w:rsidRPr="00E67F89">
              <w:t>les mesures proposées pour la protection de l’environnement de la base-vie:</w:t>
            </w:r>
          </w:p>
          <w:p w14:paraId="22B826C5" w14:textId="77777777" w:rsidR="00E67F89" w:rsidRPr="00E67F89" w:rsidRDefault="00E67F89" w:rsidP="00E67F89">
            <w:r w:rsidRPr="00E67F89">
              <w:t>détails des consignes de sécurité dans l’enceinte</w:t>
            </w:r>
          </w:p>
          <w:p w14:paraId="0DB4125C" w14:textId="77777777" w:rsidR="00E67F89" w:rsidRPr="00E67F89" w:rsidRDefault="00E67F89" w:rsidP="00E67F89">
            <w:r w:rsidRPr="00E67F89">
              <w:t>sécurité du personnel</w:t>
            </w:r>
          </w:p>
          <w:p w14:paraId="50310F24" w14:textId="77777777" w:rsidR="00E67F89" w:rsidRPr="00E67F89" w:rsidRDefault="00E67F89" w:rsidP="00E67F89">
            <w:r w:rsidRPr="00E67F89">
              <w:t>exigences liées aux chargements et déchargements</w:t>
            </w:r>
          </w:p>
          <w:p w14:paraId="051EA901" w14:textId="77777777" w:rsidR="00E67F89" w:rsidRPr="00E67F89" w:rsidRDefault="00E67F89" w:rsidP="00E67F89">
            <w:r w:rsidRPr="00E67F89">
              <w:t>gestion des matières résiduelles (déchets solides, huiles usagées, autres) et des eaux usées</w:t>
            </w:r>
          </w:p>
          <w:p w14:paraId="04464570" w14:textId="77777777" w:rsidR="00E67F89" w:rsidRPr="00E67F89" w:rsidRDefault="00E67F89" w:rsidP="00E67F89">
            <w:r w:rsidRPr="00E67F89">
              <w:t>plan de remise en état de la base-vie après les travaux</w:t>
            </w:r>
          </w:p>
          <w:p w14:paraId="16E28466" w14:textId="77777777" w:rsidR="00E67F89" w:rsidRPr="00E67F89" w:rsidRDefault="00E67F89" w:rsidP="00E67F89">
            <w:r w:rsidRPr="00E67F89">
              <w:t>un programme d’information et de sensibilisation des riverains : rappels sur le projet, calendrier des travaux, Code de conduite, autres.</w:t>
            </w:r>
          </w:p>
          <w:p w14:paraId="0AFE0510" w14:textId="77777777" w:rsidR="00E67F89" w:rsidRPr="00E67F89" w:rsidRDefault="00E67F89" w:rsidP="00E67F89">
            <w:r w:rsidRPr="00E67F89">
              <w:t>le règlement intérieur (sur la base du Code de conduite intégré au présent DAO)</w:t>
            </w:r>
          </w:p>
          <w:p w14:paraId="4E14FFA4" w14:textId="77777777" w:rsidR="00E67F89" w:rsidRPr="00E67F89" w:rsidRDefault="00E67F89" w:rsidP="00E67F89">
            <w:r w:rsidRPr="00E67F89">
              <w:t xml:space="preserve">le cas échéant, les mesures de protection des bacs de stockage de carburant et de lubrifiants pour contenir les fuites ; mesures de protection des réseaux d’assainissement publics associés aux installations de lavage de véhicules / engins, d'entretien et de remplissage en carburant des véhicules et des engins, et aux installations d'évacuation des eaux usées des cuisines ; description des méthodes d’évitement et de réduction des pollutions, des incendies, des accidents de la route ; infrastructures sanitaires et accès des populations en cas d’urgence ; réglementation du chantier concernant la protection de l’environnement et la sécurité. </w:t>
            </w:r>
          </w:p>
          <w:p w14:paraId="16A025B3" w14:textId="77777777" w:rsidR="00E67F89" w:rsidRPr="00E67F89" w:rsidRDefault="00E67F89" w:rsidP="00E67F89">
            <w:r w:rsidRPr="00E67F89">
              <w:t>organigramme du personnel affecté à la gestion environnementale et sociale, avec indication du responsable chargé de l’Hygiène / Sécurité / Environnement du projet</w:t>
            </w:r>
          </w:p>
          <w:p w14:paraId="18D305D1" w14:textId="77777777" w:rsidR="00E67F89" w:rsidRPr="00E67F89" w:rsidRDefault="00E67F89" w:rsidP="00E67F89">
            <w:r w:rsidRPr="00E67F89">
              <w:lastRenderedPageBreak/>
              <w:t>plan d’approvisionnent et de gestion de l’eau et de l’assainissement</w:t>
            </w:r>
          </w:p>
          <w:p w14:paraId="7292E8D5" w14:textId="77777777" w:rsidR="00E67F89" w:rsidRPr="00E67F89" w:rsidRDefault="00E67F89" w:rsidP="00E67F89">
            <w:r w:rsidRPr="00E67F89">
              <w:t>liste des accords pris avec les propriétaires et les utilisateurs actuels des parcelles privés.</w:t>
            </w:r>
          </w:p>
        </w:tc>
      </w:tr>
      <w:tr w:rsidR="00E67F89" w:rsidRPr="00E67F89" w14:paraId="0F2D0F76" w14:textId="77777777" w:rsidTr="00223F64">
        <w:tc>
          <w:tcPr>
            <w:tcW w:w="2660" w:type="dxa"/>
          </w:tcPr>
          <w:p w14:paraId="24EBAFDA" w14:textId="77777777" w:rsidR="00E67F89" w:rsidRPr="00E67F89" w:rsidRDefault="00E67F89" w:rsidP="00E67F89">
            <w:r w:rsidRPr="00E67F89">
              <w:t>Plan HSSE</w:t>
            </w:r>
          </w:p>
        </w:tc>
        <w:tc>
          <w:tcPr>
            <w:tcW w:w="6520" w:type="dxa"/>
          </w:tcPr>
          <w:p w14:paraId="00C5F57F" w14:textId="77777777" w:rsidR="00E67F89" w:rsidRPr="00E67F89" w:rsidRDefault="00E67F89" w:rsidP="00E67F89">
            <w:r w:rsidRPr="00E67F89">
              <w:t xml:space="preserve">Plan de gestion des accidents et de préservation de la santé précisant les risques d’accidents majeurs pouvant mettre en péril la sécurité ou la santé du personnel et/ou du public et les mesures de sécurité et/ou de préservation de la santé </w:t>
            </w:r>
          </w:p>
          <w:p w14:paraId="4567BE90" w14:textId="77777777" w:rsidR="00E67F89" w:rsidRPr="00E67F89" w:rsidRDefault="00E67F89" w:rsidP="00E67F89">
            <w:r w:rsidRPr="00E67F89">
              <w:t>Dans ce cadre, des Equipements de protection individuelle (EPI) / Equipements de protection collective (EPC) adaptés à chaque poste de travail doivent être fournis aux travailleurs. A titre non limitatif, il s’agit de :</w:t>
            </w:r>
          </w:p>
          <w:p w14:paraId="38066159" w14:textId="77777777" w:rsidR="00E67F89" w:rsidRPr="00E67F89" w:rsidRDefault="00E67F89" w:rsidP="00E67F89">
            <w:r w:rsidRPr="00E67F89">
              <w:t>EPI</w:t>
            </w:r>
          </w:p>
          <w:p w14:paraId="67D159C3" w14:textId="77777777" w:rsidR="00E67F89" w:rsidRPr="00E67F89" w:rsidRDefault="00E67F89" w:rsidP="00E67F89">
            <w:r w:rsidRPr="00E67F89">
              <w:t>Veste fluo</w:t>
            </w:r>
          </w:p>
          <w:p w14:paraId="656D8426" w14:textId="77777777" w:rsidR="00E67F89" w:rsidRPr="00E67F89" w:rsidRDefault="00E67F89" w:rsidP="00E67F89">
            <w:r w:rsidRPr="00E67F89">
              <w:t>Casque</w:t>
            </w:r>
          </w:p>
          <w:p w14:paraId="35739EBD" w14:textId="77777777" w:rsidR="00E67F89" w:rsidRPr="00E67F89" w:rsidRDefault="00E67F89" w:rsidP="00E67F89">
            <w:r w:rsidRPr="00E67F89">
              <w:t>Chaussures fermées (pour des ouvriers qui manipulent des objets lourds, des chaussures de sécurité sont requis)</w:t>
            </w:r>
          </w:p>
          <w:p w14:paraId="2F9D98F2" w14:textId="77777777" w:rsidR="00E67F89" w:rsidRPr="00E67F89" w:rsidRDefault="00E67F89" w:rsidP="00E67F89">
            <w:r w:rsidRPr="00E67F89">
              <w:t>Gants (notamment pour les ferrailleurs et les ouvriers qui manipulent des objets lourds)</w:t>
            </w:r>
          </w:p>
          <w:p w14:paraId="4C013F0D" w14:textId="77777777" w:rsidR="00E67F89" w:rsidRPr="00E67F89" w:rsidRDefault="00E67F89" w:rsidP="00E67F89">
            <w:r w:rsidRPr="00E67F89">
              <w:t>Lunettes de soudure (pour les soudeurs)</w:t>
            </w:r>
          </w:p>
          <w:p w14:paraId="66DCA5F8" w14:textId="77777777" w:rsidR="00E67F89" w:rsidRPr="00E67F89" w:rsidRDefault="00E67F89" w:rsidP="00E67F89">
            <w:r w:rsidRPr="00E67F89">
              <w:t>EPC (Equipements de protection collective) : au prorata des besoins</w:t>
            </w:r>
          </w:p>
          <w:p w14:paraId="39D8098A" w14:textId="77777777" w:rsidR="00E67F89" w:rsidRPr="00E67F89" w:rsidRDefault="00E67F89" w:rsidP="00E67F89">
            <w:r w:rsidRPr="00E67F89">
              <w:t>Au prorata des situations car, contrairement aux EPI (protection individuelle des travailleurs), les EPC sont des dispositifs techniques qui isolent un danger des personnes qui y sont potentiellement exposées : garde-corps bordant les échafaudages, etc.</w:t>
            </w:r>
          </w:p>
          <w:p w14:paraId="2FF2C2EF" w14:textId="77777777" w:rsidR="00E67F89" w:rsidRPr="00E67F89" w:rsidRDefault="00E67F89" w:rsidP="00E67F89">
            <w:r w:rsidRPr="00E67F89">
              <w:t>Plan de gestion des urgences</w:t>
            </w:r>
          </w:p>
        </w:tc>
      </w:tr>
    </w:tbl>
    <w:p w14:paraId="4EB6E407" w14:textId="77777777" w:rsidR="00E67F89" w:rsidRPr="00E67F89" w:rsidRDefault="00E67F89" w:rsidP="00E67F89">
      <w:r w:rsidRPr="00E67F89">
        <w:t>Installations de chantier et préparation</w:t>
      </w:r>
    </w:p>
    <w:p w14:paraId="5956C94B" w14:textId="77777777" w:rsidR="00E67F89" w:rsidRPr="00E67F89" w:rsidRDefault="00E67F89" w:rsidP="00E67F89">
      <w:r w:rsidRPr="00E67F89">
        <w:t>Clause 6 : Normes de localisation</w:t>
      </w:r>
    </w:p>
    <w:p w14:paraId="71751989" w14:textId="77777777" w:rsidR="00E67F89" w:rsidRPr="00E67F89" w:rsidRDefault="00E67F89" w:rsidP="00E67F89">
      <w:r w:rsidRPr="00E67F89">
        <w:t xml:space="preserve">L’Entrepreneur doit construire ses installations temporaires du chantier de façon à déranger le moins possible l’environnement, de préférence dans des endroits déjà déboisés ou perturbés lorsque de tels sites existent, ou sur des sites qui seront réutilisés lors d’une phase ultérieure pour d’autres fins. L’Entrepreneur doit strictement interdire d'établir une base vie à l'intérieur d'une aire protégée, aux environs immédiats des écoles et hôpitaux. L’Entrepreneur fera le nécessaire pour héberger ces employés dans un campement bien viabilisé et sécurisé où l’entrée et sortie sont bien réglementées. </w:t>
      </w:r>
    </w:p>
    <w:p w14:paraId="34618E10" w14:textId="77777777" w:rsidR="00E67F89" w:rsidRPr="00E67F89" w:rsidRDefault="00E67F89" w:rsidP="00E67F89">
      <w:r w:rsidRPr="00E67F89">
        <w:t>Clause 7 : Affichage du règlement intérieur et sensibilisation du personnel</w:t>
      </w:r>
    </w:p>
    <w:p w14:paraId="1D93C7DE" w14:textId="77777777" w:rsidR="00E67F89" w:rsidRPr="00E67F89" w:rsidRDefault="00E67F89" w:rsidP="00E67F89">
      <w:r w:rsidRPr="00E67F89">
        <w:t xml:space="preserve">L’Entrepreneur doit afficher un règlement intérieur de façon visible dans les diverses installations de la base-vie et campement prescrivant spécifiquement : le respect des us et coutumes locales ; la protection contre les IST/VIH/SIDA ; les règles d’hygiène et les mesures </w:t>
      </w:r>
      <w:r w:rsidRPr="00E67F89">
        <w:lastRenderedPageBreak/>
        <w:t>de sécurité ; des droits et la défense des employés ; du respect « des droits de l’Homme » ; du respect de l’environnement.</w:t>
      </w:r>
    </w:p>
    <w:p w14:paraId="49675123" w14:textId="77777777" w:rsidR="00E67F89" w:rsidRPr="00E67F89" w:rsidRDefault="00E67F89" w:rsidP="00E67F89">
      <w:r w:rsidRPr="00E67F89">
        <w:t xml:space="preserve">L’Entrepreneur doit sensibiliser son personnel notamment : </w:t>
      </w:r>
    </w:p>
    <w:p w14:paraId="1BA07C1E" w14:textId="77777777" w:rsidR="00E67F89" w:rsidRPr="00E67F89" w:rsidRDefault="00E67F89" w:rsidP="00E67F89">
      <w:r w:rsidRPr="00E67F89">
        <w:t>sur le respect des us et coutumes des populations de la région où sont effectués les travaux ;</w:t>
      </w:r>
    </w:p>
    <w:p w14:paraId="76C63A8D" w14:textId="77777777" w:rsidR="00E67F89" w:rsidRPr="00E67F89" w:rsidRDefault="00E67F89" w:rsidP="00E67F89">
      <w:r w:rsidRPr="00E67F89">
        <w:t>sur les risques des IST et du VIH/SIDA ;</w:t>
      </w:r>
    </w:p>
    <w:p w14:paraId="2DC12125" w14:textId="77777777" w:rsidR="00E67F89" w:rsidRPr="00E67F89" w:rsidRDefault="00E67F89" w:rsidP="00E67F89">
      <w:r w:rsidRPr="00E67F89">
        <w:t xml:space="preserve">sur le respect de l’environnement ; </w:t>
      </w:r>
    </w:p>
    <w:p w14:paraId="65214DE6" w14:textId="77777777" w:rsidR="00E67F89" w:rsidRPr="00E67F89" w:rsidRDefault="00E67F89" w:rsidP="00E67F89">
      <w:r w:rsidRPr="00E67F89">
        <w:t>sur toutes formes de violences (verbales, physiques, psychologiques, etc.) envers ses collègues de travail et les communautés environnantes</w:t>
      </w:r>
    </w:p>
    <w:p w14:paraId="49B65901" w14:textId="77777777" w:rsidR="00E67F89" w:rsidRPr="00E67F89" w:rsidRDefault="00E67F89" w:rsidP="00E67F89">
      <w:r w:rsidRPr="00E67F89">
        <w:t>sur la Violence Basée sur le Genre envers ses collègues de travail et les communautés environnantes ;</w:t>
      </w:r>
    </w:p>
    <w:p w14:paraId="73815D24" w14:textId="77777777" w:rsidR="00E67F89" w:rsidRPr="00E67F89" w:rsidRDefault="00E67F89" w:rsidP="00E67F89">
      <w:r w:rsidRPr="00E67F89">
        <w:t>sur l’atteinte à la pudeur ;</w:t>
      </w:r>
    </w:p>
    <w:p w14:paraId="44DF2FDB" w14:textId="77777777" w:rsidR="00E67F89" w:rsidRPr="00E67F89" w:rsidRDefault="00E67F89" w:rsidP="00E67F89">
      <w:r w:rsidRPr="00E67F89">
        <w:t xml:space="preserve">sur l’exploitation sexuelle des enfants mineurs (moins de 18 ans) </w:t>
      </w:r>
    </w:p>
    <w:p w14:paraId="413BAF1D" w14:textId="77777777" w:rsidR="00E67F89" w:rsidRPr="00E67F89" w:rsidRDefault="00E67F89" w:rsidP="00E67F89">
      <w:r w:rsidRPr="00E67F89">
        <w:t>Clause 8 : Emploi de la main d’œuvre locale</w:t>
      </w:r>
    </w:p>
    <w:p w14:paraId="29B9BB1C" w14:textId="77777777" w:rsidR="00E67F89" w:rsidRPr="00E67F89" w:rsidRDefault="00E67F89" w:rsidP="00E67F89">
      <w:r w:rsidRPr="00E67F89">
        <w:t>Sans discrimination de sexe, de religion, de classe sociale et d’origine ethnique ; l’Entrepreneur est tenu d’engager (en dehors de son personnel cadre technique) le plus de main-d’œuvre possible dans la zone où les travaux sont réalisés. A défaut de trouver le personnel qualifié sur place, il est autorisé d’engager la main d’œuvre à l’extérieur de la zone de travail.</w:t>
      </w:r>
    </w:p>
    <w:p w14:paraId="554BF743" w14:textId="77777777" w:rsidR="00E67F89" w:rsidRPr="00E67F89" w:rsidRDefault="00E67F89" w:rsidP="00E67F89">
      <w:r w:rsidRPr="00E67F89">
        <w:t>Clause 9 : Respect des horaires de travail</w:t>
      </w:r>
    </w:p>
    <w:p w14:paraId="5E59BA3A" w14:textId="77777777" w:rsidR="00E67F89" w:rsidRPr="00E67F89" w:rsidRDefault="00E67F89" w:rsidP="00E67F89">
      <w:r w:rsidRPr="00E67F89">
        <w:t>L’Entrepreneur doit s’assurer que les horaires de travail respectent les lois et règlements nationaux en vigueur (8 heures par jour). Toute dérogation est soumise à l’approbation du Maître d’œuvre. Dans la mesure du possible, (sauf en cas d’exception accordé par le Maître d’œuvre), l’Entrepreneur doit éviter d’exécuter les travaux pendant les heures de repos, les dimanches, les jours fériés et les jours qualifiés de « fady » au niveau local.</w:t>
      </w:r>
    </w:p>
    <w:p w14:paraId="334A2AB2" w14:textId="77777777" w:rsidR="00E67F89" w:rsidRPr="00E67F89" w:rsidRDefault="00E67F89" w:rsidP="00E67F89">
      <w:r w:rsidRPr="00E67F89">
        <w:t>Clause 10 : Protection du personnel de chantier</w:t>
      </w:r>
    </w:p>
    <w:p w14:paraId="3F54D085" w14:textId="77777777" w:rsidR="00E67F89" w:rsidRPr="00E67F89" w:rsidRDefault="00E67F89" w:rsidP="00E67F89">
      <w:r w:rsidRPr="00E67F89">
        <w:t xml:space="preserve">L’Entrepreneur doit mettre à la disposition du personnel de chantier des tenues de travail correctes, réglementaires et en bon état, ainsi que tous les accessoires de protection et de sécurité propres à leurs activités (casques, bottes, ceintures, masques, gants, lunettes, etc.). </w:t>
      </w:r>
    </w:p>
    <w:p w14:paraId="33D060B3" w14:textId="77777777" w:rsidR="00E67F89" w:rsidRPr="00E67F89" w:rsidRDefault="00E67F89" w:rsidP="00E67F89">
      <w:r w:rsidRPr="00E67F89">
        <w:t>L’Entrepreneur doit veiller au port scrupuleux des équipements de protection sur le chantier. Un contrôle permanent doit être effectué à cet effet et, en cas de manquement, des mesures coercitives (avertissement, mise à pied, renvoi) doivent être appliquées au personnel concerné.</w:t>
      </w:r>
    </w:p>
    <w:p w14:paraId="5C1A7975" w14:textId="77777777" w:rsidR="00E67F89" w:rsidRPr="00E67F89" w:rsidRDefault="00E67F89" w:rsidP="00E67F89">
      <w:r w:rsidRPr="00E67F89">
        <w:t>Clause 11 : Responsables de la gestion des risques environnementaux et sociaux / Hygiène, Sécurité et Environnement (HSE)</w:t>
      </w:r>
    </w:p>
    <w:p w14:paraId="7EB273D0" w14:textId="77777777" w:rsidR="00E67F89" w:rsidRPr="00E67F89" w:rsidRDefault="00E67F89" w:rsidP="00E67F89">
      <w:r w:rsidRPr="00E67F89">
        <w:t xml:space="preserve">L’Entrepreneur doit désigner un responsable Hygiène/Sécurité/Environnement (HSE) qui veillera à ce que les règles d’hygiène, de sécurité et de protection de l’environnement soient rigoureusement suivies par tous et à tous les niveaux d’exécution, tant pour les travailleurs que </w:t>
      </w:r>
      <w:r w:rsidRPr="00E67F89">
        <w:lastRenderedPageBreak/>
        <w:t>pour la population riveraine et autres personnes en contact avec le chantier. Cette personne travaillera avec :</w:t>
      </w:r>
    </w:p>
    <w:p w14:paraId="1F11EB80" w14:textId="77777777" w:rsidR="00E67F89" w:rsidRPr="00E67F89" w:rsidRDefault="00E67F89" w:rsidP="00E67F89">
      <w:r w:rsidRPr="00E67F89">
        <w:t>Un Responsable social et des relations avec les communautés qui se chargera, essentiellement, de la mise en œuvre du PMPP, de l’assistance à la préparation et à la mise en œuvre et au suivi des opérations de réinstallation et autres.</w:t>
      </w:r>
    </w:p>
    <w:p w14:paraId="0D844793" w14:textId="77777777" w:rsidR="00E67F89" w:rsidRPr="00E67F89" w:rsidRDefault="00E67F89" w:rsidP="00E67F89">
      <w:r w:rsidRPr="00E67F89">
        <w:t>Un Responsable SST et de la Sécurité routière.</w:t>
      </w:r>
    </w:p>
    <w:p w14:paraId="26BA7D1D" w14:textId="77777777" w:rsidR="00E67F89" w:rsidRPr="00E67F89" w:rsidRDefault="00E67F89" w:rsidP="00E67F89">
      <w:r w:rsidRPr="00E67F89">
        <w:t>Un Responsable VBG.</w:t>
      </w:r>
    </w:p>
    <w:p w14:paraId="5B5E898A" w14:textId="77777777" w:rsidR="00E67F89" w:rsidRPr="00E67F89" w:rsidRDefault="00E67F89" w:rsidP="00E67F89">
      <w:r w:rsidRPr="00E67F89">
        <w:t>L’Entrepreneur doit interdire l’accès du chantier au public, le protéger par des balises et des panneaux de signalisation, indiquer les différents accès et prendre toutes les mesures d’ordre et de sécurité propres à éviter les accidents.</w:t>
      </w:r>
    </w:p>
    <w:p w14:paraId="54CF6253" w14:textId="77777777" w:rsidR="00E67F89" w:rsidRPr="00E67F89" w:rsidRDefault="00E67F89" w:rsidP="00E67F89">
      <w:r w:rsidRPr="00E67F89">
        <w:t>Il doit aussi mettre en place un Service médical courant et d’urgence adapté à l’effectif de son personnel au niveau de la base-vie,</w:t>
      </w:r>
    </w:p>
    <w:p w14:paraId="32FBF946" w14:textId="77777777" w:rsidR="00E67F89" w:rsidRPr="00E67F89" w:rsidRDefault="00E67F89" w:rsidP="00E67F89">
      <w:r w:rsidRPr="00E67F89">
        <w:t>Clause 12 : Désignation du personnel d’astreinte</w:t>
      </w:r>
    </w:p>
    <w:p w14:paraId="0796B438" w14:textId="77777777" w:rsidR="00E67F89" w:rsidRPr="00E67F89" w:rsidRDefault="00E67F89" w:rsidP="00E67F89">
      <w:r w:rsidRPr="00E67F89">
        <w:t>L’Entrepreneur doit assurer la garde, la surveillance et le maintien en sécurité de son chantier y compris en dehors des heures de présence sur le site. Pendant toute la durée des travaux, l’Entrepreneur est tenu d’avoir un personnel en astreinte, en dehors des heures de travail, tous les jours sans exception (samedi, dimanche, jours fériés), de jour comme de nuit, pour pallier tout incident et/ou accident susceptible de se produire en relation avec les travaux.</w:t>
      </w:r>
    </w:p>
    <w:p w14:paraId="3B8C8E41" w14:textId="77777777" w:rsidR="00E67F89" w:rsidRPr="00E67F89" w:rsidRDefault="00E67F89" w:rsidP="00E67F89">
      <w:r w:rsidRPr="00E67F89">
        <w:t>Clause 13 : Mesures contre les entraves à la circulation</w:t>
      </w:r>
    </w:p>
    <w:p w14:paraId="1A3A1926" w14:textId="77777777" w:rsidR="00E67F89" w:rsidRPr="00E67F89" w:rsidRDefault="00E67F89" w:rsidP="00E67F89">
      <w:r w:rsidRPr="00E67F89">
        <w:t>L’Entrepreneur doit éviter d’obstruer les accès publics. Il doit maintenir en permanence la circulation et l’accès des riverains en cours de travaux. L’Entrepreneur veillera à ce qu’aucune fouille ou tranchée ne reste ouverte la nuit, sans signalisation adéquate acceptée par le Maître d’œuvre. L’Entrepreneur doit veiller à ce que les déviations provisoires permettent une circulation sans danger.</w:t>
      </w:r>
    </w:p>
    <w:p w14:paraId="41E38FDC" w14:textId="77777777" w:rsidR="00E67F89" w:rsidRPr="00E67F89" w:rsidRDefault="00E67F89" w:rsidP="00E67F89">
      <w:r w:rsidRPr="00E67F89">
        <w:t>Repli de chantier et réaménagement</w:t>
      </w:r>
    </w:p>
    <w:p w14:paraId="5212C895" w14:textId="77777777" w:rsidR="00E67F89" w:rsidRPr="00E67F89" w:rsidRDefault="00E67F89" w:rsidP="00E67F89">
      <w:r w:rsidRPr="00E67F89">
        <w:t>Clause 14 : Règles générales</w:t>
      </w:r>
    </w:p>
    <w:p w14:paraId="35A5D7EB" w14:textId="77777777" w:rsidR="00E67F89" w:rsidRPr="00E67F89" w:rsidRDefault="00E67F89" w:rsidP="00E67F89">
      <w:r w:rsidRPr="00E67F89">
        <w:t>A toute libération de site, l'Entrepreneur laisse les lieux propres à leur affectation immédiate. Il ne peut être libéré de ses engagements et de sa responsabilité concernant leur usage sans qu'il ait formellement fait constater ce bon état.</w:t>
      </w:r>
    </w:p>
    <w:p w14:paraId="36591967" w14:textId="77777777" w:rsidR="00E67F89" w:rsidRPr="00E67F89" w:rsidRDefault="00E67F89" w:rsidP="00E67F89">
      <w:r w:rsidRPr="00E67F89">
        <w:t xml:space="preserve">L'Entrepreneur réalisera tous les aménagements nécessaires à la remise en état des lieux. Il est tenu de replier tous ses équipements et matériaux et ne peut les abandonner sur le site ou les environs. Une fois les travaux achevés, l’Entrepreneur doit : </w:t>
      </w:r>
    </w:p>
    <w:p w14:paraId="133065C1" w14:textId="77777777" w:rsidR="00E67F89" w:rsidRPr="00E67F89" w:rsidRDefault="00E67F89" w:rsidP="00E67F89">
      <w:r w:rsidRPr="00E67F89">
        <w:t xml:space="preserve">retirer les bâtiments temporaires, le matériel, les déchets solides et liquides, les matériaux excédentaires, les clôtures etc. ; </w:t>
      </w:r>
    </w:p>
    <w:p w14:paraId="42BC4EB7" w14:textId="77777777" w:rsidR="00E67F89" w:rsidRPr="00E67F89" w:rsidRDefault="00E67F89" w:rsidP="00E67F89">
      <w:r w:rsidRPr="00E67F89">
        <w:t>rectifier les défauts de drainage et régaler toutes les zones excavées ;</w:t>
      </w:r>
    </w:p>
    <w:p w14:paraId="4D24A5C3" w14:textId="77777777" w:rsidR="00E67F89" w:rsidRPr="00E67F89" w:rsidRDefault="00E67F89" w:rsidP="00E67F89">
      <w:r w:rsidRPr="00E67F89">
        <w:lastRenderedPageBreak/>
        <w:t xml:space="preserve"> reboiser les zones initialement déboisées avec des espèces appropriées, en rapport avec les services forestiers locaux ;</w:t>
      </w:r>
    </w:p>
    <w:p w14:paraId="11F7F72B" w14:textId="77777777" w:rsidR="00E67F89" w:rsidRPr="00E67F89" w:rsidRDefault="00E67F89" w:rsidP="00E67F89">
      <w:r w:rsidRPr="00E67F89">
        <w:t>protéger les ouvrages restés dangereux (puits, tranchées ouvertes, dénivelés, saillies, etc.);</w:t>
      </w:r>
    </w:p>
    <w:p w14:paraId="70D1F17A" w14:textId="77777777" w:rsidR="00E67F89" w:rsidRPr="00E67F89" w:rsidRDefault="00E67F89" w:rsidP="00E67F89">
      <w:r w:rsidRPr="00E67F89">
        <w:t xml:space="preserve">rendre fonctionnel les ouvrages rendus au service public ; </w:t>
      </w:r>
    </w:p>
    <w:p w14:paraId="4129D2C0" w14:textId="77777777" w:rsidR="00E67F89" w:rsidRPr="00E67F89" w:rsidRDefault="00E67F89" w:rsidP="00E67F89">
      <w:r w:rsidRPr="00E67F89">
        <w:t xml:space="preserve"> décontaminer les sols souillés (les parties contaminées doivent être décaissées et remblayées par du sable); </w:t>
      </w:r>
    </w:p>
    <w:p w14:paraId="7C86EC48" w14:textId="77777777" w:rsidR="00E67F89" w:rsidRPr="00E67F89" w:rsidRDefault="00E67F89" w:rsidP="00E67F89">
      <w:r w:rsidRPr="00E67F89">
        <w:t>nettoyer et détruire les fosses de vidange.</w:t>
      </w:r>
    </w:p>
    <w:p w14:paraId="5F2392DF" w14:textId="77777777" w:rsidR="00E67F89" w:rsidRPr="00E67F89" w:rsidRDefault="00E67F89" w:rsidP="00E67F89">
      <w:r w:rsidRPr="00E67F89">
        <w:t>S'il est de l'intérêt du Maître d’Ouvrage ou des collectivités locales de récupérer les installations fixes pour une utilisation future, l'Entrepreneur doit les céder sans dédommagements lors du repli. Les installations permanentes qui ont été endommagées doivent être réparées par l’Entrepreneur et remis dans un état équivalent à ce qu’elles étaient avant le début des travaux. Les voies d’accès devront être remises à leur état initial. Partout où le sol a été compacté (aires de travail, voies de circulation, etc.),</w:t>
      </w:r>
    </w:p>
    <w:p w14:paraId="72C653A5" w14:textId="77777777" w:rsidR="00E67F89" w:rsidRPr="00E67F89" w:rsidRDefault="00E67F89" w:rsidP="00E67F89">
      <w:r w:rsidRPr="00E67F89">
        <w:t xml:space="preserve">L’Entrepreneur doit scarifier le sol sur au moins 15 cm de profondeur pour faciliter la régénération de la végétation. Les revêtements de béton, les pavés et les dalles doivent être enlevés et les sites recouverts de terre et envoyés aux sites de rejet autorisés. </w:t>
      </w:r>
    </w:p>
    <w:p w14:paraId="3D83CA97" w14:textId="77777777" w:rsidR="00E67F89" w:rsidRPr="00E67F89" w:rsidRDefault="00E67F89" w:rsidP="00E67F89">
      <w:r w:rsidRPr="00E67F89">
        <w:t>En cas de défaillance de l'Entrepreneur pour l'exécution des travaux de remise en état, ceux-ci sont effectués par une entreprise du choix du Maître d’Ouvrage, en rapport avec les services concernés et aux frais du défaillant. Après le repli de tout le matériel, un procès-verbal constatant la remise en état du site doit être dressé et joint au procès-verbal de réception des travaux. La non-remise en état des lieux doit entraîner le refus de réception des travaux. Dans ce cas, le pourcentage non encore libéré du montant du poste « installation de chantier » sera retenu pour servir à assurer le repli de chantier.</w:t>
      </w:r>
    </w:p>
    <w:p w14:paraId="03FFE132" w14:textId="77777777" w:rsidR="00E67F89" w:rsidRPr="00E67F89" w:rsidRDefault="00E67F89" w:rsidP="00E67F89"/>
    <w:p w14:paraId="0A6EE294" w14:textId="77777777" w:rsidR="00E67F89" w:rsidRPr="00E67F89" w:rsidRDefault="00E67F89" w:rsidP="00E67F89"/>
    <w:p w14:paraId="5AF71012" w14:textId="77777777" w:rsidR="00E67F89" w:rsidRPr="00E67F89" w:rsidRDefault="00E67F89" w:rsidP="00E67F89">
      <w:r w:rsidRPr="00E67F89">
        <w:t>Clause 15 : Protection des zones instables</w:t>
      </w:r>
    </w:p>
    <w:p w14:paraId="5330673E" w14:textId="77777777" w:rsidR="00E67F89" w:rsidRPr="00E67F89" w:rsidRDefault="00E67F89" w:rsidP="00E67F89">
      <w:r w:rsidRPr="00E67F89">
        <w:t>Lors du démantèlement d’ouvrages en milieux instables, l’Entrepreneur doit prendre les précautions suivantes pour ne pas accentuer l’instabilité du sol : (i) éviter toute circulation lourde et toute surcharge dans la zone d’instabilité ; (ii) conserver autant que possible le couvert végétal ou reconstituer celui-ci en utilisant des espèces locales appropriées en cas de risques d’érosion.</w:t>
      </w:r>
    </w:p>
    <w:p w14:paraId="02F59429" w14:textId="77777777" w:rsidR="00E67F89" w:rsidRPr="00E67F89" w:rsidRDefault="00E67F89" w:rsidP="00E67F89">
      <w:r w:rsidRPr="00E67F89">
        <w:t>Clause 16 : Aménagement des carrières et gites d’emprunt temporaires</w:t>
      </w:r>
    </w:p>
    <w:p w14:paraId="2241AC2F" w14:textId="77777777" w:rsidR="00E67F89" w:rsidRPr="00E67F89" w:rsidRDefault="00E67F89" w:rsidP="00E67F89">
      <w:r w:rsidRPr="00E67F89">
        <w:t xml:space="preserve">L’Entrepreneur doit réaménager les carrières et les gites d’emprunt selon les termes des contrats établis entre lui et le propriétaire du terrain du gite d’emprunt ; ainsi qu’avec les gestionnaires des deux (2) carrières : </w:t>
      </w:r>
    </w:p>
    <w:p w14:paraId="4C773EE6" w14:textId="77777777" w:rsidR="00E67F89" w:rsidRPr="00E67F89" w:rsidRDefault="00E67F89" w:rsidP="00E67F89">
      <w:r w:rsidRPr="00E67F89">
        <w:t xml:space="preserve">(i) régalage du terrain et restauration du couvert végétal (arbres, arbustes, pelouse ou culture) ; </w:t>
      </w:r>
    </w:p>
    <w:p w14:paraId="15B4D466" w14:textId="77777777" w:rsidR="00E67F89" w:rsidRPr="00E67F89" w:rsidRDefault="00E67F89" w:rsidP="00E67F89">
      <w:r w:rsidRPr="00E67F89">
        <w:lastRenderedPageBreak/>
        <w:t>(ii) remplissage (terre, ou pierres) et restauration du couvert végétal.</w:t>
      </w:r>
    </w:p>
    <w:p w14:paraId="55451489" w14:textId="77777777" w:rsidR="00E67F89" w:rsidRPr="00E67F89" w:rsidRDefault="00E67F89" w:rsidP="00E67F89">
      <w:r w:rsidRPr="00E67F89">
        <w:t>Clause 17 : Contrôle de l’exécution des clauses environnementales et sociales</w:t>
      </w:r>
    </w:p>
    <w:p w14:paraId="5631B08C" w14:textId="77777777" w:rsidR="00E67F89" w:rsidRPr="00E67F89" w:rsidRDefault="00E67F89" w:rsidP="00E67F89">
      <w:r w:rsidRPr="00E67F89">
        <w:t>Le contrôle du respect et de l’effectivité de la mise en œuvre des clauses environnementales et sociales par l’Entrepreneur est effectué par le Maître d’œuvre, dont l’équipe doit comprendre un expert environnementaliste qui fait partie intégrante de la mission de contrôle des travaux.</w:t>
      </w:r>
    </w:p>
    <w:p w14:paraId="4B4ED076" w14:textId="77777777" w:rsidR="00E67F89" w:rsidRPr="00E67F89" w:rsidRDefault="00E67F89" w:rsidP="00E67F89">
      <w:r w:rsidRPr="00E67F89">
        <w:t>Clause 18 : Notification</w:t>
      </w:r>
    </w:p>
    <w:p w14:paraId="29A02466" w14:textId="77777777" w:rsidR="00E67F89" w:rsidRPr="00E67F89" w:rsidRDefault="00E67F89" w:rsidP="00E67F89">
      <w:r w:rsidRPr="00E67F89">
        <w:t>Le Maître d’œuvre notifie par écrit à l’Entrepreneur tous les cas de défaut ou non-exécution des mesures environnementales et sociales. L’Entrepreneur doit redresser tout manquement aux prescriptions dûment notifiées à lui par le Maître d’œuvre. La reprise des travaux ou les travaux supplémentaires découlant du non-respect des clauses sont à la charge de l’Entrepreneur.</w:t>
      </w:r>
    </w:p>
    <w:p w14:paraId="7FA1153F" w14:textId="77777777" w:rsidR="00E67F89" w:rsidRPr="00E67F89" w:rsidRDefault="00E67F89" w:rsidP="00E67F89">
      <w:r w:rsidRPr="00E67F89">
        <w:t>Clause 19 : Sanction</w:t>
      </w:r>
    </w:p>
    <w:p w14:paraId="61B91AEE" w14:textId="77777777" w:rsidR="00E67F89" w:rsidRPr="00E67F89" w:rsidRDefault="00E67F89" w:rsidP="00E67F89">
      <w:r w:rsidRPr="00E67F89">
        <w:t>Pour toute non-conformité (non-respect d’une ou de clauses environnementales et sociales, autres) dûment constatée :</w:t>
      </w:r>
    </w:p>
    <w:p w14:paraId="154AFED8" w14:textId="77777777" w:rsidR="00E67F89" w:rsidRPr="00E67F89" w:rsidRDefault="00E67F89" w:rsidP="00E67F89">
      <w:r w:rsidRPr="00E67F89">
        <w:t>Un premier Ordre de service (OS) sera adressé au Directeur de chantier</w:t>
      </w:r>
    </w:p>
    <w:p w14:paraId="791F6AE6" w14:textId="77777777" w:rsidR="00E67F89" w:rsidRPr="00E67F89" w:rsidRDefault="00E67F89" w:rsidP="00E67F89">
      <w:r w:rsidRPr="00E67F89">
        <w:t>En tant que de besoin : un second OS sera adressé si le premier OS n’a pas été suivi par les actions recommandées</w:t>
      </w:r>
    </w:p>
    <w:p w14:paraId="4554EFDE" w14:textId="77777777" w:rsidR="00E67F89" w:rsidRPr="00E67F89" w:rsidRDefault="00E67F89" w:rsidP="00E67F89">
      <w:r w:rsidRPr="00E67F89">
        <w:t>Le troisième OS pour la même non-conformité constitue une Mise en demeure.</w:t>
      </w:r>
    </w:p>
    <w:p w14:paraId="6682EA4B" w14:textId="77777777" w:rsidR="00E67F89" w:rsidRPr="00E67F89" w:rsidRDefault="00E67F89" w:rsidP="00E67F89">
      <w:r w:rsidRPr="00E67F89">
        <w:t>Le non-respect des clauses environnementales et sociales, dûment constaté par le Maître d’œuvre, peut être un motif de résiliation du contrat. L’Entrepreneur ayant fait l’objet d’une mise en demeure pour cause de non-conformité s’expose à des sanctions allant de l’application des pénalités journalières pour retard dans la résolution des non-conformités vis-à-vis des Spécifications HSE, appliquées 24 heures à compter de la réception de la mise en demeure prévues jusqu’à constat de la résolution de la non-conformité. Les taux peuvent aller à 400 000 Ar par jour de retard jusqu’à constat d’effet satisfaisant, sans dépasser 1/1 000 du montant du marché. Selon le cas, la sanction peut se traduire par une réfaction sur le prix, un blocage de la retenue de garantie, et aller jusqu’à la suspension du droit de soumissionner pour une période déterminée par le Maître d’ouvrage.</w:t>
      </w:r>
    </w:p>
    <w:p w14:paraId="4763267F" w14:textId="77777777" w:rsidR="00E67F89" w:rsidRPr="00E67F89" w:rsidRDefault="00E67F89" w:rsidP="00E67F89">
      <w:r w:rsidRPr="00E67F89">
        <w:t>Clause 20 : Réception des travaux</w:t>
      </w:r>
    </w:p>
    <w:p w14:paraId="41C8BB84" w14:textId="77777777" w:rsidR="00E67F89" w:rsidRPr="00E67F89" w:rsidRDefault="00E67F89" w:rsidP="00E67F89">
      <w:r w:rsidRPr="00E67F89">
        <w:t>Le non-respect des présentes clauses expose l’Entrepreneur au refus de réception provisoire ou définitive des travaux, par la Commission de réception. L’exécution de chaque mesure environnementale et sociale peut faire l’objet d’une réception partielle impliquant les services compétents concernés.</w:t>
      </w:r>
    </w:p>
    <w:p w14:paraId="4CCE8793" w14:textId="77777777" w:rsidR="00E67F89" w:rsidRPr="00E67F89" w:rsidRDefault="00E67F89" w:rsidP="00E67F89">
      <w:r w:rsidRPr="00E67F89">
        <w:t>Clause 21 : Obligations au titre de la garantie</w:t>
      </w:r>
    </w:p>
    <w:p w14:paraId="2A33FD54" w14:textId="77777777" w:rsidR="00E67F89" w:rsidRPr="00E67F89" w:rsidRDefault="00E67F89" w:rsidP="00E67F89">
      <w:r w:rsidRPr="00E67F89">
        <w:t>Les obligations de l’Entrepreneur courent jusqu’à la réception définitive des travaux qui ne sera acquise qu’après exécution complète des travaux environnementaux prévus dans le contrat.</w:t>
      </w:r>
    </w:p>
    <w:p w14:paraId="278A3AB6" w14:textId="77777777" w:rsidR="00E67F89" w:rsidRPr="00E67F89" w:rsidRDefault="00E67F89" w:rsidP="00E67F89">
      <w:r w:rsidRPr="00E67F89">
        <w:t>Clauses Environnementales et Sociales spécifiques</w:t>
      </w:r>
    </w:p>
    <w:p w14:paraId="7CFB1E9F" w14:textId="77777777" w:rsidR="00E67F89" w:rsidRPr="00E67F89" w:rsidRDefault="00E67F89" w:rsidP="00E67F89">
      <w:r w:rsidRPr="00E67F89">
        <w:lastRenderedPageBreak/>
        <w:t>Clause 22 : Signalisation des travaux</w:t>
      </w:r>
    </w:p>
    <w:p w14:paraId="48D2B70B" w14:textId="77777777" w:rsidR="00E67F89" w:rsidRPr="00E67F89" w:rsidRDefault="00E67F89" w:rsidP="00E67F89">
      <w:r w:rsidRPr="00E67F89">
        <w:t>L’Entrepreneur doit placer, préalablement à l’ouverture des chantiers et chaque fois que c’est nécessaire, une pré-signalisation et une signalisation de chantier à longue distance (sortie de carrière ou de bases-vie, circuit utilisé par les engins, etc.) qui répond aux lois et règlements en vigueur.</w:t>
      </w:r>
    </w:p>
    <w:p w14:paraId="56C4EF72" w14:textId="77777777" w:rsidR="00E67F89" w:rsidRPr="00E67F89" w:rsidRDefault="00E67F89" w:rsidP="00E67F89">
      <w:r w:rsidRPr="00E67F89">
        <w:t>Clause 23 : Mesures pour les travaux de terrassement</w:t>
      </w:r>
    </w:p>
    <w:p w14:paraId="5C22C912" w14:textId="77777777" w:rsidR="00E67F89" w:rsidRPr="00E67F89" w:rsidRDefault="00E67F89" w:rsidP="00E67F89">
      <w:r w:rsidRPr="00E67F89">
        <w:t>L’Entrepreneur doit limiter au strict minimum le décapage, le déblaiement, le remblayage et le nivellement des aires de travail afin de respecter la topographie naturelle et de prévenir l’érosion. Après le décapage de la couche de sol arable, l’Entrepreneur doit conserver la terre végétale et l’utiliser pour le réaménagement des talus et autres surfaces perturbées. L’Entrepreneur doit déposer les déblais non réutilisés dans des aires d’entreposage s’il est prévu de les utiliser plus tard ; sinon il doit les transporter dans des zones de remblais préalablement autorisées.</w:t>
      </w:r>
    </w:p>
    <w:p w14:paraId="3D889D84" w14:textId="77777777" w:rsidR="00E67F89" w:rsidRPr="00E67F89" w:rsidRDefault="00E67F89" w:rsidP="00E67F89">
      <w:r w:rsidRPr="00E67F89">
        <w:t>Clause 24 : Mesures de transport et de stockage des matériaux</w:t>
      </w:r>
    </w:p>
    <w:p w14:paraId="3D0FB2F6" w14:textId="77777777" w:rsidR="00E67F89" w:rsidRPr="00E67F89" w:rsidRDefault="00E67F89" w:rsidP="00E67F89">
      <w:r w:rsidRPr="00E67F89">
        <w:t xml:space="preserve">Lors de l’exécution des travaux, l’Entrepreneur doit : </w:t>
      </w:r>
    </w:p>
    <w:p w14:paraId="1E515153" w14:textId="77777777" w:rsidR="00E67F89" w:rsidRPr="00E67F89" w:rsidRDefault="00E67F89" w:rsidP="00E67F89">
      <w:r w:rsidRPr="00E67F89">
        <w:t xml:space="preserve">limiter la vitesse des véhicules à 10 km/h sur le chantier, et à 20km/h dans les zones à forte concentration humaine, aux environs des écoles et hôpitaux ; par l’installation de panneaux de signalisation et des porteurs de drapeaux ; </w:t>
      </w:r>
    </w:p>
    <w:p w14:paraId="30A99B58" w14:textId="77777777" w:rsidR="00E67F89" w:rsidRPr="00E67F89" w:rsidRDefault="00E67F89" w:rsidP="00E67F89">
      <w:r w:rsidRPr="00E67F89">
        <w:t xml:space="preserve">arroser régulièrement les voies de circulation dans les zones habitées au cas où les chaussées sont poussiéreuses ; </w:t>
      </w:r>
    </w:p>
    <w:p w14:paraId="75B94FAA" w14:textId="77777777" w:rsidR="00E67F89" w:rsidRPr="00E67F89" w:rsidRDefault="00E67F89" w:rsidP="00E67F89">
      <w:r w:rsidRPr="00E67F89">
        <w:t>prévoir des déviations par des voies existantes dans la mesure du possible. Dans les zones d'habitation, l’Entrepreneur doit établir l'horaire et l'itinéraire des véhicules lourds qui doivent circuler à l'extérieur des chantiers de façon à réduire les nuisances (bruit, poussière et congestion de la circulation) et le porter à l’approbation du Maître d’œuvre.</w:t>
      </w:r>
    </w:p>
    <w:p w14:paraId="61321EA6" w14:textId="77777777" w:rsidR="00E67F89" w:rsidRPr="00E67F89" w:rsidRDefault="00E67F89" w:rsidP="00E67F89">
      <w:r w:rsidRPr="00E67F89">
        <w:t xml:space="preserve">Pour assurer l'ordre dans le trafic et la sécurité sur les routes, le sable, les remblais, le ciment et les autres matériaux fins doivent être couverts de bâche durant le transport afin d'éviter l’envol de poussière et le déversement en cours de transport. </w:t>
      </w:r>
    </w:p>
    <w:p w14:paraId="5ACEA3BD" w14:textId="77777777" w:rsidR="00E67F89" w:rsidRPr="00E67F89" w:rsidRDefault="00E67F89" w:rsidP="00E67F89">
      <w:r w:rsidRPr="00E67F89">
        <w:t>Pour les matériaux rocheux, l’Entrepreneur doit prendre des protections spéciales (filets, bâches) contre les risques de projections, émanations et chutes d’objets.</w:t>
      </w:r>
    </w:p>
    <w:p w14:paraId="446C76E8" w14:textId="77777777" w:rsidR="00E67F89" w:rsidRPr="00E67F89" w:rsidRDefault="00E67F89" w:rsidP="00E67F89">
      <w:r w:rsidRPr="00E67F89">
        <w:t xml:space="preserve">L’Entrepreneur peut aménager des zones secondaires pour le stationnement des engins qui ne sont pas autorisés à stationner sur la voie publique en dehors des heures de travail et de l’emprise des chantiers. Ces zones peuvent comporter également un espace permettant les travaux de soudure, d’assemblage, de petit usinage, et de petit entretien d’engins. Ces zones ne pourront pas stocker des hydrocarbures. </w:t>
      </w:r>
    </w:p>
    <w:p w14:paraId="101A75AE" w14:textId="77777777" w:rsidR="00E67F89" w:rsidRPr="00E67F89" w:rsidRDefault="00E67F89" w:rsidP="00E67F89">
      <w:r w:rsidRPr="00E67F89">
        <w:t>Tout stockage de quelque nature que ce soit, est formellement interdit dans l’environnement immédiat, en dehors des emprises de chantier et des zones prédéfinies.</w:t>
      </w:r>
    </w:p>
    <w:p w14:paraId="62214E0E" w14:textId="77777777" w:rsidR="00E67F89" w:rsidRPr="00E67F89" w:rsidRDefault="00E67F89" w:rsidP="00E67F89">
      <w:r w:rsidRPr="00E67F89">
        <w:t>Clause 25 : Mesures pour la circulation des engins de chantier</w:t>
      </w:r>
    </w:p>
    <w:p w14:paraId="32BC519E" w14:textId="77777777" w:rsidR="00E67F89" w:rsidRPr="00E67F89" w:rsidRDefault="00E67F89" w:rsidP="00E67F89">
      <w:r w:rsidRPr="00E67F89">
        <w:lastRenderedPageBreak/>
        <w:t>Seuls les matériels strictement indispensables sont tolérés sur le chantier. En dehors des accès, des lieux de passage désignés et des aires de travail, il est interdit de circuler avec des engins de chantier.</w:t>
      </w:r>
    </w:p>
    <w:p w14:paraId="7D93EEC4" w14:textId="77777777" w:rsidR="00E67F89" w:rsidRPr="00E67F89" w:rsidRDefault="00E67F89" w:rsidP="00E67F89">
      <w:r w:rsidRPr="00E67F89">
        <w:t>L’Entrepreneur doit s’assurer de la limitation de vitesse pour tous ses véhicules circulant sur la voie publique, avec un maximum de 60 km/h en rase campagne et 20 km/h au niveau des agglomérations et à la traversée des villages. Les conducteurs dépassant ces limites doivent faire l’objet de mesures disciplinaires pouvant aller jusqu’au licenciement. La pose de ralentisseurs aux entrées des agglomérations sera préconisée.</w:t>
      </w:r>
    </w:p>
    <w:p w14:paraId="2F3BC346" w14:textId="77777777" w:rsidR="00E67F89" w:rsidRPr="00E67F89" w:rsidRDefault="00E67F89" w:rsidP="00E67F89">
      <w:r w:rsidRPr="00E67F89">
        <w:t>Les véhicules de l’Entrepreneur doivent en toute circonstance se conformer aux prescriptions du Code de la route en vigueur, notamment en ce qui concerne le poids des véhicules en charge. L’Entrepreneur devra, en période sèche et en fonction des disponibilités en eau, arroser régulièrement les pistes empruntées par ses engins de transport pour éviter la poussière, plus particulièrement au niveau des zones habitées.</w:t>
      </w:r>
    </w:p>
    <w:p w14:paraId="22BF27D4" w14:textId="77777777" w:rsidR="00E67F89" w:rsidRPr="00E67F89" w:rsidRDefault="00E67F89" w:rsidP="00E67F89">
      <w:r w:rsidRPr="00E67F89">
        <w:t>Clause 26 : Protection des zones et ouvrages agricoles</w:t>
      </w:r>
    </w:p>
    <w:p w14:paraId="1A67A9DD" w14:textId="77777777" w:rsidR="00E67F89" w:rsidRPr="00E67F89" w:rsidRDefault="00E67F89" w:rsidP="00E67F89">
      <w:r w:rsidRPr="00E67F89">
        <w:t>Le calendrier des travaux doit être établi afin de limiter les perturbations des activités agricoles. Les principales périodes d'activités agricoles (semences, récoltes, séchage, etc.) devront en particulier être connues afin d'adapter l'échéancier à ces périodes. L’Entrepreneur doit identifier les endroits où des passages pour les animaux, le bétail et les personnes sont nécessaires. Là encore, l’implication de la population est primordiale.</w:t>
      </w:r>
    </w:p>
    <w:p w14:paraId="15EC3F75" w14:textId="77777777" w:rsidR="00E67F89" w:rsidRPr="00E67F89" w:rsidRDefault="00E67F89" w:rsidP="00E67F89">
      <w:r w:rsidRPr="00E67F89">
        <w:t>Clause 27 : Protection des milieux humides, de la faune et de la flore</w:t>
      </w:r>
    </w:p>
    <w:p w14:paraId="234B1983" w14:textId="77777777" w:rsidR="00E67F89" w:rsidRPr="00E67F89" w:rsidRDefault="00E67F89" w:rsidP="00E67F89">
      <w:r w:rsidRPr="00E67F89">
        <w:t>Il est interdit à l’Entrepreneur d’effectuer des aménagements temporaires (aires d’entreposage et de stationnement, chemins de contournement ou de travail, etc.) dans des milieux humides. En cas de plantation, l’Entrepreneur doit s'adapter à la végétation locale et veiller à ne pas introduire de nouvelles espèces sans l’avis des services forestiers. Pour toutes les aires déboisées sises à l’extérieur de l’emprise et requises par l’Entrepreneur pour les besoins de ses travaux, la terre végétale extraite doit être mise en réserve.</w:t>
      </w:r>
    </w:p>
    <w:p w14:paraId="131E7E4D" w14:textId="77777777" w:rsidR="00E67F89" w:rsidRPr="00E67F89" w:rsidRDefault="00E67F89" w:rsidP="00E67F89">
      <w:r w:rsidRPr="00E67F89">
        <w:t>Clause 28 : Mesures liées à l’abattage d’arbres et au déboisement</w:t>
      </w:r>
    </w:p>
    <w:p w14:paraId="13DFFCEF" w14:textId="77777777" w:rsidR="00E67F89" w:rsidRPr="00E67F89" w:rsidRDefault="00E67F89" w:rsidP="00E67F89">
      <w:r w:rsidRPr="00E67F89">
        <w:t>En cas de déboisement, les arbres abattus doivent être découpés et stockés à des endroits agréés par le Maître d’œuvre. Les populations riveraines doivent être informées de la possibilité qu'elles ont de pouvoir disposer de ce bois à leur convenance. Les arbres abattus ne doivent pas être abandonnés sur place, ni brûlés ni enfouis sous des matériaux de terrassement.</w:t>
      </w:r>
    </w:p>
    <w:p w14:paraId="12F70FB4" w14:textId="77777777" w:rsidR="00E67F89" w:rsidRPr="00E67F89" w:rsidRDefault="00E67F89" w:rsidP="00E67F89">
      <w:r w:rsidRPr="00E67F89">
        <w:t>Clause 29 : Prévention des feux de brousse</w:t>
      </w:r>
    </w:p>
    <w:p w14:paraId="2B222CAE" w14:textId="77777777" w:rsidR="00E67F89" w:rsidRPr="00E67F89" w:rsidRDefault="00E67F89" w:rsidP="00E67F89">
      <w:r w:rsidRPr="00E67F89">
        <w:t>L’Entrepreneur est responsable de la prévention des feux de brousse sur l’étendue de ses travaux, incluant les zones d’emprunt et les accès. Il doit strictement observer les instructions, lois et règlements édictés par les autorités compétentes.</w:t>
      </w:r>
    </w:p>
    <w:p w14:paraId="5918E334" w14:textId="77777777" w:rsidR="00E67F89" w:rsidRPr="00E67F89" w:rsidRDefault="00E67F89" w:rsidP="00E67F89">
      <w:r w:rsidRPr="00E67F89">
        <w:t>Clause 30 : Approvisionnement en eau du chantier</w:t>
      </w:r>
    </w:p>
    <w:p w14:paraId="2AD1337C" w14:textId="77777777" w:rsidR="00E67F89" w:rsidRPr="00E67F89" w:rsidRDefault="00E67F89" w:rsidP="00E67F89">
      <w:r w:rsidRPr="00E67F89">
        <w:t xml:space="preserve">La recherche et l’exploitation des points d’eau sont à la charge de l’Entrepreneur. L’Entrepreneur doit s’assurer que les besoins en eau du chantier ne portent pas préjudice aux </w:t>
      </w:r>
      <w:r w:rsidRPr="00E67F89">
        <w:lastRenderedPageBreak/>
        <w:t>sources d’eau utilisées par les communautés locales. Il est recommandé à l’Entrepreneur d’utiliser les services publics d’eau potable autant que possible, en cas de disponibilité.</w:t>
      </w:r>
    </w:p>
    <w:p w14:paraId="36B0DD9C" w14:textId="77777777" w:rsidR="00E67F89" w:rsidRPr="00E67F89" w:rsidRDefault="00E67F89" w:rsidP="00E67F89">
      <w:r w:rsidRPr="00E67F89">
        <w:t>En cas d’approvisionnement en eau à partir d’eaux souterraines ou de surface, l’Entrepreneur doit adresser une demande d’autorisation aux Autorités locales et respecter la réglementation en vigueur. L’eau de surface destinée à la consommation humaine (personnel de chantier) doit être désinfectée par chloration ou autre procédé approuvé par les services environnementaux et sanitaires concernés. Si l’eau n’est pas entièrement conforme aux critères de qualité d’une eau potable, l’Entrepreneur doit prendre des mesures alternatives telles que la fourniture d’eau embouteillée ou l’installation de réservoirs d'eau en quantité et en qualité suffisantes. Cette eau doit être conforme au règlement sur les eaux potables. Il est possible d’utiliser de l’eau non potable pour les toilettes, douches et lavabos. Dans ces cas de figures, l’Entrepreneur doit aviser les employés et placer bien en vue des affiches avec la mention « EAU NON POTABLE »</w:t>
      </w:r>
    </w:p>
    <w:p w14:paraId="3A32810A" w14:textId="77777777" w:rsidR="00E67F89" w:rsidRPr="00E67F89" w:rsidRDefault="00E67F89" w:rsidP="00E67F89">
      <w:r w:rsidRPr="00E67F89">
        <w:t>Clause 31 : Gestion des rejets liquides</w:t>
      </w:r>
    </w:p>
    <w:p w14:paraId="3E8D2E88" w14:textId="77777777" w:rsidR="00E67F89" w:rsidRPr="00E67F89" w:rsidRDefault="00E67F89" w:rsidP="00E67F89">
      <w:r w:rsidRPr="00E67F89">
        <w:t xml:space="preserve">Les bureaux et les logements doivent être pourvus d'installations sanitaires en nombre suffisant (latrines, fosses septiques, lavabos et douches). L’Entrepreneur doit respecter les règlements sanitaires en vigueur. Les installations sanitaires sont établies en accord avec le Maître d’œuvre. Il est interdit à l’Entrepreneur de rejeter les effluents liquides pouvant entraîner des stagnations et incommodités pour le voisinage, ou des pollutions des eaux de surface ou souterraines. </w:t>
      </w:r>
    </w:p>
    <w:p w14:paraId="493EDF56" w14:textId="77777777" w:rsidR="00E67F89" w:rsidRPr="00E67F89" w:rsidRDefault="00E67F89" w:rsidP="00E67F89">
      <w:r w:rsidRPr="00E67F89">
        <w:t>L’Entrepreneur doit mettre en place un système d’assainissement autonome approprié (fosse étanche ou septique, etc.). L’Entrepreneur devra éviter tout déversement ou rejet d’eaux usées, d’eaux de vidange des fosses, de boues, hydrocarbures, et polluants de toute natures, dans les eaux superficielles ou souterraines, dans les égouts, fossés de drainage ou à la mer. Les points de rejet et de vidange seront indiqués à l’Entrepreneur par le Maître d’œuvre.</w:t>
      </w:r>
    </w:p>
    <w:p w14:paraId="0C0ACE79" w14:textId="77777777" w:rsidR="00E67F89" w:rsidRPr="00E67F89" w:rsidRDefault="00E67F89" w:rsidP="00E67F89">
      <w:r w:rsidRPr="00E67F89">
        <w:t>Clause 32 : Gestion des déchets solides</w:t>
      </w:r>
    </w:p>
    <w:p w14:paraId="159F9E79" w14:textId="77777777" w:rsidR="00E67F89" w:rsidRPr="00E67F89" w:rsidRDefault="00E67F89" w:rsidP="00E67F89">
      <w:r w:rsidRPr="00E67F89">
        <w:t>L’Entrepreneur doit déposer les ordures ménagères dans des poubelles étanches et devant être vidées périodiquement. En cas d’évacuation par les camions du chantier, les bennes doivent être étanches de façon à ne pas laisser échapper de déchets. Pour des raisons d’hygiène, et pour ne pas attirer les vecteurs, une collecte quotidienne est recommandée, surtout durant les périodes de chaleur.</w:t>
      </w:r>
    </w:p>
    <w:p w14:paraId="278F495F" w14:textId="77777777" w:rsidR="00E67F89" w:rsidRPr="00E67F89" w:rsidRDefault="00E67F89" w:rsidP="00E67F89">
      <w:r w:rsidRPr="00E67F89">
        <w:t>L’Entrepreneur doit éliminer ou recycler les déchets de manière écologiquement rationnelle. L’Entrepreneur doit acheminer les déchets, si possible, vers les lieux d’élimination existants.</w:t>
      </w:r>
    </w:p>
    <w:p w14:paraId="3EFE8AF1" w14:textId="77777777" w:rsidR="00E67F89" w:rsidRPr="00E67F89" w:rsidRDefault="00E67F89" w:rsidP="00E67F89">
      <w:r w:rsidRPr="00E67F89">
        <w:t>Clause 33 : Protection contre la pollution sonore</w:t>
      </w:r>
    </w:p>
    <w:p w14:paraId="462519B1" w14:textId="77777777" w:rsidR="00E67F89" w:rsidRPr="00E67F89" w:rsidRDefault="00E67F89" w:rsidP="00E67F89">
      <w:r w:rsidRPr="00E67F89">
        <w:t>L’Entrepreneur est tenu de limiter les bruits de chantier susceptibles d’importuner gravement les riverains, soit par une durée exagérément longue, soit par leur prolongation en dehors des heures normales de travail.</w:t>
      </w:r>
    </w:p>
    <w:p w14:paraId="1857627C" w14:textId="77777777" w:rsidR="00E67F89" w:rsidRPr="00E67F89" w:rsidRDefault="00E67F89" w:rsidP="00E67F89">
      <w:r w:rsidRPr="00E67F89">
        <w:t>Clause 34 : Prévention contre les maladies liées aux travaux</w:t>
      </w:r>
    </w:p>
    <w:p w14:paraId="6B69F7F3" w14:textId="77777777" w:rsidR="00E67F89" w:rsidRPr="00E67F89" w:rsidRDefault="00E67F89" w:rsidP="00E67F89">
      <w:r w:rsidRPr="00E67F89">
        <w:lastRenderedPageBreak/>
        <w:t>L’Entrepreneur doit prévoir des mesures de prévention suivantes contre les risques de maladie : (i) instaurer le port de masques, d’uniformes et autres chaussures adaptées ; (ii) fournir gratuitement au personnel de chantier les médicaments de base nécessaires aux soins d’urgence.</w:t>
      </w:r>
    </w:p>
    <w:p w14:paraId="5B5A1B5D" w14:textId="77777777" w:rsidR="00E67F89" w:rsidRPr="00E67F89" w:rsidRDefault="00E67F89" w:rsidP="00E67F89">
      <w:r w:rsidRPr="00E67F89">
        <w:t>Clause 35 : Voies de contournement et chemins d'accès temporaires</w:t>
      </w:r>
    </w:p>
    <w:p w14:paraId="2AD8A2D1" w14:textId="77777777" w:rsidR="00E67F89" w:rsidRPr="00E67F89" w:rsidRDefault="00E67F89" w:rsidP="00E67F89">
      <w:r w:rsidRPr="00E67F89">
        <w:t>L’utilisation de routes locales doit faire l’objet d’une entente préalable avec les Autorités locales et matérialisée dans un procès-verbal signé par les deux parties. Pour éviter leur dégradation prématurée, l’Entrepreneur doit maintenir les routes locales en bon état durant la construction et les remettre à leur état original à la fin des travaux.</w:t>
      </w:r>
    </w:p>
    <w:p w14:paraId="53EAF235" w14:textId="77777777" w:rsidR="00E67F89" w:rsidRPr="00E67F89" w:rsidRDefault="00E67F89" w:rsidP="00E67F89">
      <w:r w:rsidRPr="00E67F89">
        <w:t>Clause 36 : Passerelles piétons et accès riverains</w:t>
      </w:r>
    </w:p>
    <w:p w14:paraId="775AC3A0" w14:textId="77777777" w:rsidR="00E67F89" w:rsidRPr="00E67F89" w:rsidRDefault="00E67F89" w:rsidP="00E67F89">
      <w:r w:rsidRPr="00E67F89">
        <w:t>L’Entrepreneur doit constamment assurer l’accès aux propriétés riveraines et assurer la jouissance des entrées charretières et piétonnes, des vitrines d’exposition, par des ponts provisoires ou passerelles munis de garde-corps, placés au-dessus des tranchées ou autres obstacles créés par les travaux.</w:t>
      </w:r>
    </w:p>
    <w:p w14:paraId="700FD24C" w14:textId="77777777" w:rsidR="00E67F89" w:rsidRPr="00E67F89" w:rsidRDefault="00E67F89" w:rsidP="00E67F89">
      <w:r w:rsidRPr="00E67F89">
        <w:t>Clause 37 : Services publics et secours</w:t>
      </w:r>
    </w:p>
    <w:p w14:paraId="2A03B382" w14:textId="77777777" w:rsidR="00E67F89" w:rsidRPr="00E67F89" w:rsidRDefault="00E67F89" w:rsidP="00E67F89">
      <w:r w:rsidRPr="00E67F89">
        <w:t>L’Entrepreneur doit impérativement maintenir l’accès des services publics et de secours en tous lieux. Lorsqu’une rue est barrée, l’Entrepreneur doit étudier avec le Maître d'Œuvre les dispositions pour le maintien des accès des véhicules en cas d’urgence.</w:t>
      </w:r>
    </w:p>
    <w:p w14:paraId="6B0A4C7A" w14:textId="77777777" w:rsidR="00E67F89" w:rsidRPr="00E67F89" w:rsidRDefault="00E67F89" w:rsidP="00E67F89">
      <w:r w:rsidRPr="00E67F89">
        <w:t>Clause 38 : Journal de chantier</w:t>
      </w:r>
    </w:p>
    <w:p w14:paraId="0524E4C0" w14:textId="77777777" w:rsidR="00E67F89" w:rsidRPr="00E67F89" w:rsidRDefault="00E67F89" w:rsidP="00E67F89">
      <w:r w:rsidRPr="00E67F89">
        <w:t>L’Entrepreneur doit tenir à jour un Journal de chantier, dans lequel seront consignés les réclamations, les plaintes et doléances, les manquements ou incidents ayant un impact significatif sur l’environnement ou à un incident avec la population. Le journal de chantier est unique pour le chantier et les notes doivent être écrites à l’encre. L’Entrepreneur doit informer le public en général, et les populations riveraines en particulier, de l’existence de ce journal, avec indication du lieu où il peut être consulté.</w:t>
      </w:r>
    </w:p>
    <w:p w14:paraId="73685A1C" w14:textId="77777777" w:rsidR="00E67F89" w:rsidRPr="00E67F89" w:rsidRDefault="00E67F89" w:rsidP="00E67F89">
      <w:r w:rsidRPr="00E67F89">
        <w:t>Clause 39 : Utilisation d’une carrière et/ou d’un site d’emprunt permanents</w:t>
      </w:r>
    </w:p>
    <w:p w14:paraId="0555E581" w14:textId="77777777" w:rsidR="00E67F89" w:rsidRPr="00E67F89" w:rsidRDefault="00E67F89" w:rsidP="00E67F89">
      <w:r w:rsidRPr="00E67F89">
        <w:t>A la fin de l'exploitation d’un site permanent, l’Entrepreneur doit (i) rétablir les écoulements naturels antérieurs par régalage des matériaux de découverte non utilisés ; (ii) supprimer l'aspect délabré du site en répartissant et dissimulant les gros blocs rocheux. A la fin de l’exploitation, un procès-verbal de l'état des lieux est dressé en rapport avec le Maître d’œuvre et les services compétents.</w:t>
      </w:r>
    </w:p>
    <w:p w14:paraId="4B5226C2" w14:textId="77777777" w:rsidR="00E67F89" w:rsidRPr="00E67F89" w:rsidRDefault="00E67F89" w:rsidP="00E67F89">
      <w:r w:rsidRPr="00E67F89">
        <w:t>Clause 40 : Utilisation d’une carrière et/ou site d’emprunts temporaires</w:t>
      </w:r>
    </w:p>
    <w:p w14:paraId="29A5B05A" w14:textId="77777777" w:rsidR="00E67F89" w:rsidRPr="00E67F89" w:rsidRDefault="00E67F89" w:rsidP="00E67F89">
      <w:r w:rsidRPr="00E67F89">
        <w:t xml:space="preserve">Avant le début d'exploitation, l'Entrepreneur doit avoir à l’esprit que le site d’emprunt et/ou les carrières temporaires vont être remises en état à la fin des travaux. A cet effet, il doit réaliser une étude d’impact environnemental du site à exploiter et soumettre un plan de restauration au Maître d’œuvre et aux organismes nationaux chargés des mines et de l’environnement. Durant l’exploitation, l’Entrepreneur doit : </w:t>
      </w:r>
    </w:p>
    <w:p w14:paraId="546B384C" w14:textId="77777777" w:rsidR="00E67F89" w:rsidRPr="00E67F89" w:rsidRDefault="00E67F89" w:rsidP="00E67F89">
      <w:r w:rsidRPr="00E67F89">
        <w:lastRenderedPageBreak/>
        <w:t xml:space="preserve">stocker séparément la terre végétale devant être utilisée pour réhabiliter le site et préserver les plantations délimitant la carrière ou site d'emprunt ; </w:t>
      </w:r>
    </w:p>
    <w:p w14:paraId="305BA004" w14:textId="77777777" w:rsidR="00E67F89" w:rsidRPr="00E67F89" w:rsidRDefault="00E67F89" w:rsidP="00E67F89">
      <w:r w:rsidRPr="00E67F89">
        <w:t xml:space="preserve">régaler les matériaux de découverte et les terres végétales afin de faciliter la percolation de l’eau, un enherbement et des plantations si prescrits ; </w:t>
      </w:r>
    </w:p>
    <w:p w14:paraId="46167C37" w14:textId="77777777" w:rsidR="00E67F89" w:rsidRPr="00E67F89" w:rsidRDefault="00E67F89" w:rsidP="00E67F89">
      <w:r w:rsidRPr="00E67F89">
        <w:t xml:space="preserve">rétablir les écoulements naturels antérieurs ; </w:t>
      </w:r>
    </w:p>
    <w:p w14:paraId="67A81DC0" w14:textId="77777777" w:rsidR="00E67F89" w:rsidRPr="00E67F89" w:rsidRDefault="00E67F89" w:rsidP="00E67F89">
      <w:r w:rsidRPr="00E67F89">
        <w:t>supprimer l’aspect délabré du site en répartissant et dissimulant les gros blocs rocheux ;</w:t>
      </w:r>
    </w:p>
    <w:p w14:paraId="378A2B70" w14:textId="77777777" w:rsidR="00E67F89" w:rsidRPr="00E67F89" w:rsidRDefault="00E67F89" w:rsidP="00E67F89">
      <w:r w:rsidRPr="00E67F89">
        <w:t xml:space="preserve">aménager des fossés de garde afin d’éviter l’érosion des terres régalées ; </w:t>
      </w:r>
    </w:p>
    <w:p w14:paraId="4AB1359D" w14:textId="77777777" w:rsidR="00E67F89" w:rsidRPr="00E67F89" w:rsidRDefault="00E67F89" w:rsidP="00E67F89">
      <w:r w:rsidRPr="00E67F89">
        <w:t>aménager des fossés de récupération des eaux de ruissellement.</w:t>
      </w:r>
    </w:p>
    <w:p w14:paraId="0B629E48" w14:textId="77777777" w:rsidR="00E67F89" w:rsidRPr="00E67F89" w:rsidRDefault="00E67F89" w:rsidP="00E67F89">
      <w:r w:rsidRPr="00E67F89">
        <w:t xml:space="preserve">A la fin de l’exploitation, l'Entrepreneur doit prendre toutes les mesures requises pour qu'une nouvelle végétation croisse après la cessation de l’exploitation d'une carrière ou d'un site d’emprunt temporaire. À cet effet, l'Entrepreneur doit : </w:t>
      </w:r>
    </w:p>
    <w:p w14:paraId="615EE641" w14:textId="77777777" w:rsidR="00E67F89" w:rsidRPr="00E67F89" w:rsidRDefault="00E67F89" w:rsidP="00E67F89">
      <w:r w:rsidRPr="00E67F89">
        <w:t xml:space="preserve">préparer le sol ; </w:t>
      </w:r>
    </w:p>
    <w:p w14:paraId="10B42B00" w14:textId="77777777" w:rsidR="00E67F89" w:rsidRPr="00E67F89" w:rsidRDefault="00E67F89" w:rsidP="00E67F89">
      <w:r w:rsidRPr="00E67F89">
        <w:t xml:space="preserve">remblayer les excavations et la recouvrir de terre végétale ; </w:t>
      </w:r>
    </w:p>
    <w:p w14:paraId="6AE25B3D" w14:textId="77777777" w:rsidR="00E67F89" w:rsidRPr="00E67F89" w:rsidRDefault="00E67F89" w:rsidP="00E67F89">
      <w:r w:rsidRPr="00E67F89">
        <w:t xml:space="preserve">reboiser ou embroussailler le site ; </w:t>
      </w:r>
    </w:p>
    <w:p w14:paraId="08D334DD" w14:textId="77777777" w:rsidR="00E67F89" w:rsidRPr="00E67F89" w:rsidRDefault="00E67F89" w:rsidP="00E67F89">
      <w:r w:rsidRPr="00E67F89">
        <w:t xml:space="preserve">conserver la rampe d’accès, si la carrière est déclarée utilisable pour le bétail ou les riverains, ou si la carrière peut servir d’ouvrage de protection contre l’érosion ; </w:t>
      </w:r>
    </w:p>
    <w:p w14:paraId="299FC5F2" w14:textId="77777777" w:rsidR="00E67F89" w:rsidRPr="00E67F89" w:rsidRDefault="00E67F89" w:rsidP="00E67F89">
      <w:r w:rsidRPr="00E67F89">
        <w:t xml:space="preserve">remettre en état l’environnement autour du site, y compris des plantations si prescrites. </w:t>
      </w:r>
    </w:p>
    <w:p w14:paraId="7179AF93" w14:textId="77777777" w:rsidR="00E67F89" w:rsidRPr="00E67F89" w:rsidRDefault="00E67F89" w:rsidP="00E67F89">
      <w:r w:rsidRPr="00E67F89">
        <w:t>A l’issue de la remise en état, un procès-verbal sera dressé en rapport avec le Maître d’œuvre. Si la population locale exprime le souhait de conserver les dépressions pour qu’elles soient utilisées comme points d’eau, l’Entrepreneur peut, en accord avec les autorités compétentes, aménager l’ancienne aire exploitée selon les besoins.</w:t>
      </w:r>
    </w:p>
    <w:p w14:paraId="6451925C" w14:textId="77777777" w:rsidR="00E67F89" w:rsidRPr="00E67F89" w:rsidRDefault="00E67F89" w:rsidP="00E67F89">
      <w:r w:rsidRPr="00E67F89">
        <w:t>Clause 41 : Lutte contre les poussières</w:t>
      </w:r>
    </w:p>
    <w:p w14:paraId="2868CC48" w14:textId="77777777" w:rsidR="00E67F89" w:rsidRPr="00E67F89" w:rsidRDefault="00E67F89" w:rsidP="00E67F89">
      <w:r w:rsidRPr="00E67F89">
        <w:t>L'Entrepreneur doit choisir l’emplacement des concasseurs et des équipements similaires en fonction du bruit et de la poussière qu'ils produisent. Le port de lunettes et de masques anti-poussières est obligatoire.</w:t>
      </w:r>
    </w:p>
    <w:p w14:paraId="5771BF78" w14:textId="77777777" w:rsidR="00E67F89" w:rsidRPr="00E67F89" w:rsidRDefault="00E67F89" w:rsidP="00E67F89">
      <w:r w:rsidRPr="00E67F89">
        <w:t>Afin de réduire les émissions de poussière de concassage, l’humidification de la charge à concasser est recommandée, à moins que le concasseur n’y soit pas adapté. A noter que cette opération ne change pas les caractéristiques géotechniques des concassés, autrement, il faudrait aussi protéger les concassés de la pluie. Le séchage subséquent se fait à l’air libre.</w:t>
      </w:r>
    </w:p>
    <w:p w14:paraId="41CB4C37" w14:textId="77777777" w:rsidR="00E67F89" w:rsidRPr="00E67F89" w:rsidRDefault="00E67F89" w:rsidP="00E67F89">
      <w:r w:rsidRPr="00E67F89">
        <w:br w:type="page"/>
      </w:r>
      <w:r w:rsidRPr="00E67F89">
        <w:lastRenderedPageBreak/>
        <w:t>MESURES ENVIRONNEMENTALES ET SOCIALES A INTEGRER DANS LE BORDEREAU DES PRIX</w:t>
      </w:r>
    </w:p>
    <w:p w14:paraId="2F37A9DB" w14:textId="77777777" w:rsidR="00E67F89" w:rsidRPr="00E67F89" w:rsidRDefault="00E67F89" w:rsidP="00E67F89">
      <w:r w:rsidRPr="00E67F89">
        <w:t>Il s’agit d’une reprise de l’annexe B du CCAG avec quelques ajouts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0"/>
      </w:tblGrid>
      <w:tr w:rsidR="00E67F89" w:rsidRPr="00E67F89" w14:paraId="016BC34D" w14:textId="77777777" w:rsidTr="00223F64">
        <w:trPr>
          <w:jc w:val="center"/>
        </w:trPr>
        <w:tc>
          <w:tcPr>
            <w:tcW w:w="5000" w:type="pct"/>
            <w:tcBorders>
              <w:top w:val="single" w:sz="4" w:space="0" w:color="auto"/>
              <w:left w:val="single" w:sz="4" w:space="0" w:color="auto"/>
              <w:bottom w:val="single" w:sz="4" w:space="0" w:color="auto"/>
              <w:right w:val="single" w:sz="4" w:space="0" w:color="auto"/>
            </w:tcBorders>
          </w:tcPr>
          <w:p w14:paraId="057C022A" w14:textId="77777777" w:rsidR="00E67F89" w:rsidRPr="00E67F89" w:rsidRDefault="00E67F89" w:rsidP="00E67F89">
            <w:r w:rsidRPr="00E67F89">
              <w:t>Prescription environnementales et sociales</w:t>
            </w:r>
          </w:p>
        </w:tc>
      </w:tr>
      <w:tr w:rsidR="00E67F89" w:rsidRPr="00E67F89" w14:paraId="6996EF5D" w14:textId="77777777" w:rsidTr="00223F64">
        <w:trPr>
          <w:jc w:val="center"/>
        </w:trPr>
        <w:tc>
          <w:tcPr>
            <w:tcW w:w="5000" w:type="pct"/>
            <w:tcBorders>
              <w:top w:val="single" w:sz="4" w:space="0" w:color="auto"/>
              <w:left w:val="single" w:sz="4" w:space="0" w:color="auto"/>
              <w:bottom w:val="single" w:sz="4" w:space="0" w:color="auto"/>
              <w:right w:val="single" w:sz="4" w:space="0" w:color="auto"/>
            </w:tcBorders>
          </w:tcPr>
          <w:p w14:paraId="1E3023BC" w14:textId="77777777" w:rsidR="00E67F89" w:rsidRPr="00E67F89" w:rsidRDefault="00E67F89" w:rsidP="00E67F89">
            <w:r w:rsidRPr="00E67F89">
              <w:t>Préparation et libération des emprises </w:t>
            </w:r>
          </w:p>
          <w:p w14:paraId="37D7B712" w14:textId="77777777" w:rsidR="00E67F89" w:rsidRPr="00E67F89" w:rsidRDefault="00E67F89" w:rsidP="00E67F89">
            <w:r w:rsidRPr="00E67F89">
              <w:t>Information des populations concernées et communication (Rappel : les coûts de compensation y afférents sont à la charge de l’Etat)</w:t>
            </w:r>
          </w:p>
        </w:tc>
      </w:tr>
      <w:tr w:rsidR="00E67F89" w:rsidRPr="00E67F89" w14:paraId="1514D304" w14:textId="77777777" w:rsidTr="00223F64">
        <w:trPr>
          <w:jc w:val="center"/>
        </w:trPr>
        <w:tc>
          <w:tcPr>
            <w:tcW w:w="5000" w:type="pct"/>
            <w:tcBorders>
              <w:top w:val="single" w:sz="4" w:space="0" w:color="auto"/>
              <w:left w:val="single" w:sz="4" w:space="0" w:color="auto"/>
              <w:bottom w:val="single" w:sz="4" w:space="0" w:color="auto"/>
              <w:right w:val="single" w:sz="4" w:space="0" w:color="auto"/>
            </w:tcBorders>
            <w:hideMark/>
          </w:tcPr>
          <w:p w14:paraId="5E699F65" w14:textId="77777777" w:rsidR="00E67F89" w:rsidRPr="00E67F89" w:rsidRDefault="00E67F89" w:rsidP="00E67F89">
            <w:r w:rsidRPr="00E67F89">
              <w:t xml:space="preserve">Repérage des réseaux des concessionnaires </w:t>
            </w:r>
          </w:p>
        </w:tc>
      </w:tr>
      <w:tr w:rsidR="00E67F89" w:rsidRPr="00E67F89" w14:paraId="5C851996" w14:textId="77777777" w:rsidTr="00223F64">
        <w:trPr>
          <w:jc w:val="center"/>
        </w:trPr>
        <w:tc>
          <w:tcPr>
            <w:tcW w:w="5000" w:type="pct"/>
            <w:tcBorders>
              <w:top w:val="single" w:sz="4" w:space="0" w:color="auto"/>
              <w:left w:val="single" w:sz="4" w:space="0" w:color="auto"/>
              <w:bottom w:val="single" w:sz="4" w:space="0" w:color="auto"/>
              <w:right w:val="single" w:sz="4" w:space="0" w:color="auto"/>
            </w:tcBorders>
          </w:tcPr>
          <w:p w14:paraId="5AEFF474" w14:textId="77777777" w:rsidR="00E67F89" w:rsidRPr="00E67F89" w:rsidRDefault="00E67F89" w:rsidP="00E67F89">
            <w:r w:rsidRPr="00E67F89">
              <w:t>Installation de chantier</w:t>
            </w:r>
          </w:p>
          <w:p w14:paraId="4281E23A" w14:textId="77777777" w:rsidR="00E67F89" w:rsidRPr="00E67F89" w:rsidRDefault="00E67F89" w:rsidP="00E67F89">
            <w:r w:rsidRPr="00E67F89">
              <w:t>Eau potable, installations sanitaires, dispositif médical d’urgence et mesures de sécurité</w:t>
            </w:r>
          </w:p>
          <w:p w14:paraId="0BD0ADFB" w14:textId="77777777" w:rsidR="00E67F89" w:rsidRPr="00E67F89" w:rsidRDefault="00E67F89" w:rsidP="00E67F89">
            <w:r w:rsidRPr="00E67F89">
              <w:t xml:space="preserve">Aménagement et viabilisation de la base vie et campement pour les employés </w:t>
            </w:r>
          </w:p>
          <w:p w14:paraId="5FAF20AB" w14:textId="77777777" w:rsidR="00E67F89" w:rsidRPr="00E67F89" w:rsidRDefault="00E67F89" w:rsidP="00E67F89">
            <w:r w:rsidRPr="00E67F89">
              <w:t>EPI, EPC</w:t>
            </w:r>
          </w:p>
        </w:tc>
      </w:tr>
      <w:tr w:rsidR="00E67F89" w:rsidRPr="00E67F89" w14:paraId="4A1CABE7" w14:textId="77777777" w:rsidTr="00223F64">
        <w:trPr>
          <w:jc w:val="center"/>
        </w:trPr>
        <w:tc>
          <w:tcPr>
            <w:tcW w:w="5000" w:type="pct"/>
            <w:tcBorders>
              <w:top w:val="single" w:sz="4" w:space="0" w:color="auto"/>
              <w:left w:val="single" w:sz="4" w:space="0" w:color="auto"/>
              <w:bottom w:val="single" w:sz="4" w:space="0" w:color="auto"/>
              <w:right w:val="single" w:sz="4" w:space="0" w:color="auto"/>
            </w:tcBorders>
          </w:tcPr>
          <w:p w14:paraId="793364AF" w14:textId="77777777" w:rsidR="00E67F89" w:rsidRPr="00E67F89" w:rsidRDefault="00E67F89" w:rsidP="00E67F89">
            <w:r w:rsidRPr="00E67F89">
              <w:t>Equipements de protection individuelle / Equipements de protection collective</w:t>
            </w:r>
          </w:p>
          <w:p w14:paraId="43AA7B92" w14:textId="77777777" w:rsidR="00E67F89" w:rsidRPr="00E67F89" w:rsidRDefault="00E67F89" w:rsidP="00E67F89">
            <w:r w:rsidRPr="00E67F89">
              <w:t>Tenues, Bottes, Gants, masques, etc.</w:t>
            </w:r>
          </w:p>
          <w:p w14:paraId="7E535C63" w14:textId="77777777" w:rsidR="00E67F89" w:rsidRPr="00E67F89" w:rsidRDefault="00E67F89" w:rsidP="00E67F89">
            <w:r w:rsidRPr="00E67F89">
              <w:t>Boite à pharmacie de premiers soins</w:t>
            </w:r>
          </w:p>
          <w:p w14:paraId="5F0C45B0" w14:textId="77777777" w:rsidR="00E67F89" w:rsidRPr="00E67F89" w:rsidRDefault="00E67F89" w:rsidP="00E67F89">
            <w:r w:rsidRPr="00E67F89">
              <w:t>Suivi médical du personnel</w:t>
            </w:r>
          </w:p>
          <w:p w14:paraId="74DA575D" w14:textId="77777777" w:rsidR="00E67F89" w:rsidRPr="00E67F89" w:rsidRDefault="00E67F89" w:rsidP="00E67F89">
            <w:r w:rsidRPr="00E67F89">
              <w:t xml:space="preserve">Evacuation sanitaire en cas d’urgence </w:t>
            </w:r>
          </w:p>
          <w:p w14:paraId="7756703C" w14:textId="77777777" w:rsidR="00E67F89" w:rsidRPr="00E67F89" w:rsidRDefault="00E67F89" w:rsidP="00E67F89">
            <w:r w:rsidRPr="00E67F89">
              <w:t>Equipements de protection collective</w:t>
            </w:r>
          </w:p>
        </w:tc>
      </w:tr>
      <w:tr w:rsidR="00E67F89" w:rsidRPr="00E67F89" w14:paraId="35751EA5" w14:textId="77777777" w:rsidTr="00223F64">
        <w:trPr>
          <w:jc w:val="center"/>
        </w:trPr>
        <w:tc>
          <w:tcPr>
            <w:tcW w:w="5000" w:type="pct"/>
            <w:tcBorders>
              <w:top w:val="single" w:sz="4" w:space="0" w:color="auto"/>
              <w:left w:val="single" w:sz="4" w:space="0" w:color="auto"/>
              <w:bottom w:val="single" w:sz="4" w:space="0" w:color="auto"/>
              <w:right w:val="single" w:sz="4" w:space="0" w:color="auto"/>
            </w:tcBorders>
            <w:hideMark/>
          </w:tcPr>
          <w:p w14:paraId="48FB8B5E" w14:textId="77777777" w:rsidR="00E67F89" w:rsidRPr="00E67F89" w:rsidRDefault="00E67F89" w:rsidP="00E67F89">
            <w:r w:rsidRPr="00E67F89">
              <w:t>Aménagement des voies d’accès et déviations</w:t>
            </w:r>
          </w:p>
          <w:p w14:paraId="751E75CE" w14:textId="77777777" w:rsidR="00E67F89" w:rsidRPr="00E67F89" w:rsidRDefault="00E67F89" w:rsidP="00E67F89">
            <w:r w:rsidRPr="00E67F89">
              <w:t>Voies de contournement et chemins d’accès temporaires</w:t>
            </w:r>
          </w:p>
          <w:p w14:paraId="2C9A45D1" w14:textId="77777777" w:rsidR="00E67F89" w:rsidRPr="00E67F89" w:rsidRDefault="00E67F89" w:rsidP="00E67F89">
            <w:r w:rsidRPr="00E67F89">
              <w:t>Passerelles piétons et accès riverains</w:t>
            </w:r>
          </w:p>
        </w:tc>
      </w:tr>
      <w:tr w:rsidR="00E67F89" w:rsidRPr="00E67F89" w14:paraId="626B9460" w14:textId="77777777" w:rsidTr="00223F64">
        <w:trPr>
          <w:jc w:val="center"/>
        </w:trPr>
        <w:tc>
          <w:tcPr>
            <w:tcW w:w="5000" w:type="pct"/>
            <w:tcBorders>
              <w:top w:val="single" w:sz="4" w:space="0" w:color="auto"/>
              <w:left w:val="single" w:sz="4" w:space="0" w:color="auto"/>
              <w:bottom w:val="single" w:sz="4" w:space="0" w:color="auto"/>
              <w:right w:val="single" w:sz="4" w:space="0" w:color="auto"/>
            </w:tcBorders>
          </w:tcPr>
          <w:p w14:paraId="692570DD" w14:textId="77777777" w:rsidR="00E67F89" w:rsidRPr="00E67F89" w:rsidRDefault="00E67F89" w:rsidP="00E67F89">
            <w:r w:rsidRPr="00E67F89">
              <w:t xml:space="preserve">Dépenses relatives à l’utilisation ou l’exploitation : </w:t>
            </w:r>
          </w:p>
          <w:p w14:paraId="5C67AEB7" w14:textId="77777777" w:rsidR="00E67F89" w:rsidRPr="00E67F89" w:rsidRDefault="00E67F89" w:rsidP="00E67F89">
            <w:r w:rsidRPr="00E67F89">
              <w:t>de carrières</w:t>
            </w:r>
          </w:p>
          <w:p w14:paraId="10A699EB" w14:textId="77777777" w:rsidR="00E67F89" w:rsidRPr="00E67F89" w:rsidRDefault="00E67F89" w:rsidP="00E67F89">
            <w:r w:rsidRPr="00E67F89">
              <w:t>de gîtes et zones d’emprunt</w:t>
            </w:r>
          </w:p>
        </w:tc>
      </w:tr>
      <w:tr w:rsidR="00E67F89" w:rsidRPr="00E67F89" w14:paraId="20E3794C" w14:textId="77777777" w:rsidTr="00223F64">
        <w:trPr>
          <w:jc w:val="center"/>
        </w:trPr>
        <w:tc>
          <w:tcPr>
            <w:tcW w:w="5000" w:type="pct"/>
            <w:tcBorders>
              <w:top w:val="single" w:sz="4" w:space="0" w:color="auto"/>
              <w:left w:val="single" w:sz="4" w:space="0" w:color="auto"/>
              <w:bottom w:val="single" w:sz="4" w:space="0" w:color="auto"/>
              <w:right w:val="single" w:sz="4" w:space="0" w:color="auto"/>
            </w:tcBorders>
          </w:tcPr>
          <w:p w14:paraId="54281611" w14:textId="77777777" w:rsidR="00E67F89" w:rsidRPr="00E67F89" w:rsidRDefault="00E67F89" w:rsidP="00E67F89">
            <w:r w:rsidRPr="00E67F89">
              <w:t>Dispositions relatives à la sécurité routière</w:t>
            </w:r>
          </w:p>
        </w:tc>
      </w:tr>
      <w:tr w:rsidR="00E67F89" w:rsidRPr="00E67F89" w14:paraId="124E80F7" w14:textId="77777777" w:rsidTr="00223F64">
        <w:trPr>
          <w:jc w:val="center"/>
        </w:trPr>
        <w:tc>
          <w:tcPr>
            <w:tcW w:w="5000" w:type="pct"/>
            <w:tcBorders>
              <w:top w:val="single" w:sz="4" w:space="0" w:color="auto"/>
              <w:left w:val="single" w:sz="4" w:space="0" w:color="auto"/>
              <w:bottom w:val="single" w:sz="4" w:space="0" w:color="auto"/>
              <w:right w:val="single" w:sz="4" w:space="0" w:color="auto"/>
            </w:tcBorders>
            <w:hideMark/>
          </w:tcPr>
          <w:p w14:paraId="51B11A65" w14:textId="77777777" w:rsidR="00E67F89" w:rsidRPr="00E67F89" w:rsidRDefault="00E67F89" w:rsidP="00E67F89">
            <w:r w:rsidRPr="00E67F89">
              <w:t>Signalisation du chantier (balisages avec des cônes / bandes fluo, panneaux de chantier, panneaux de signalisation, etc.)</w:t>
            </w:r>
          </w:p>
        </w:tc>
      </w:tr>
      <w:tr w:rsidR="00E67F89" w:rsidRPr="00E67F89" w14:paraId="34257EC2" w14:textId="77777777" w:rsidTr="00223F64">
        <w:trPr>
          <w:jc w:val="center"/>
        </w:trPr>
        <w:tc>
          <w:tcPr>
            <w:tcW w:w="5000" w:type="pct"/>
            <w:tcBorders>
              <w:top w:val="single" w:sz="4" w:space="0" w:color="auto"/>
              <w:left w:val="single" w:sz="4" w:space="0" w:color="auto"/>
              <w:bottom w:val="single" w:sz="4" w:space="0" w:color="auto"/>
              <w:right w:val="single" w:sz="4" w:space="0" w:color="auto"/>
            </w:tcBorders>
          </w:tcPr>
          <w:p w14:paraId="68B64943" w14:textId="77777777" w:rsidR="00E67F89" w:rsidRPr="00E67F89" w:rsidRDefault="00E67F89" w:rsidP="00E67F89">
            <w:r w:rsidRPr="00E67F89">
              <w:t>Signalisation des dangers sur les postes à risques</w:t>
            </w:r>
          </w:p>
        </w:tc>
      </w:tr>
      <w:tr w:rsidR="00E67F89" w:rsidRPr="00E67F89" w14:paraId="54643880" w14:textId="77777777" w:rsidTr="00223F64">
        <w:trPr>
          <w:jc w:val="center"/>
        </w:trPr>
        <w:tc>
          <w:tcPr>
            <w:tcW w:w="5000" w:type="pct"/>
            <w:tcBorders>
              <w:top w:val="single" w:sz="4" w:space="0" w:color="auto"/>
              <w:left w:val="single" w:sz="4" w:space="0" w:color="auto"/>
              <w:bottom w:val="single" w:sz="4" w:space="0" w:color="auto"/>
              <w:right w:val="single" w:sz="4" w:space="0" w:color="auto"/>
            </w:tcBorders>
            <w:hideMark/>
          </w:tcPr>
          <w:p w14:paraId="1D7CB624" w14:textId="77777777" w:rsidR="00E67F89" w:rsidRPr="00E67F89" w:rsidRDefault="00E67F89" w:rsidP="00E67F89">
            <w:r w:rsidRPr="00E67F89">
              <w:t>Prévention de l’érosion et stabilisation des zones sensibles du chantier</w:t>
            </w:r>
          </w:p>
        </w:tc>
      </w:tr>
      <w:tr w:rsidR="00E67F89" w:rsidRPr="00E67F89" w14:paraId="41E2F986" w14:textId="77777777" w:rsidTr="00223F64">
        <w:trPr>
          <w:jc w:val="center"/>
        </w:trPr>
        <w:tc>
          <w:tcPr>
            <w:tcW w:w="5000" w:type="pct"/>
            <w:tcBorders>
              <w:top w:val="single" w:sz="4" w:space="0" w:color="auto"/>
              <w:left w:val="single" w:sz="4" w:space="0" w:color="auto"/>
              <w:bottom w:val="single" w:sz="4" w:space="0" w:color="auto"/>
              <w:right w:val="single" w:sz="4" w:space="0" w:color="auto"/>
            </w:tcBorders>
            <w:hideMark/>
          </w:tcPr>
          <w:p w14:paraId="23D873E6" w14:textId="77777777" w:rsidR="00E67F89" w:rsidRPr="00E67F89" w:rsidRDefault="00E67F89" w:rsidP="00E67F89">
            <w:r w:rsidRPr="00E67F89">
              <w:t>Mesures de protection lors du transport d’équipements et de matériaux</w:t>
            </w:r>
          </w:p>
        </w:tc>
      </w:tr>
      <w:tr w:rsidR="00E67F89" w:rsidRPr="00E67F89" w14:paraId="5796090E" w14:textId="77777777" w:rsidTr="00223F64">
        <w:trPr>
          <w:jc w:val="center"/>
        </w:trPr>
        <w:tc>
          <w:tcPr>
            <w:tcW w:w="5000" w:type="pct"/>
            <w:tcBorders>
              <w:top w:val="single" w:sz="4" w:space="0" w:color="auto"/>
              <w:left w:val="single" w:sz="4" w:space="0" w:color="auto"/>
              <w:bottom w:val="single" w:sz="4" w:space="0" w:color="auto"/>
              <w:right w:val="single" w:sz="4" w:space="0" w:color="auto"/>
            </w:tcBorders>
          </w:tcPr>
          <w:p w14:paraId="3B8B61A5" w14:textId="77777777" w:rsidR="00E67F89" w:rsidRPr="00E67F89" w:rsidRDefault="00E67F89" w:rsidP="00E67F89">
            <w:r w:rsidRPr="00E67F89">
              <w:lastRenderedPageBreak/>
              <w:t xml:space="preserve">Ouvrages d’assainissement existants </w:t>
            </w:r>
          </w:p>
          <w:p w14:paraId="6D2DDA38" w14:textId="77777777" w:rsidR="00E67F89" w:rsidRPr="00E67F89" w:rsidRDefault="00E67F89" w:rsidP="00E67F89">
            <w:r w:rsidRPr="00E67F89">
              <w:t>Dégager les produits végétaux et solides obstruant les ouvrages</w:t>
            </w:r>
          </w:p>
          <w:p w14:paraId="13198A09" w14:textId="77777777" w:rsidR="00E67F89" w:rsidRPr="00E67F89" w:rsidRDefault="00E67F89" w:rsidP="00E67F89">
            <w:r w:rsidRPr="00E67F89">
              <w:t>Entretien des fossés</w:t>
            </w:r>
          </w:p>
          <w:p w14:paraId="55D14021" w14:textId="77777777" w:rsidR="00E67F89" w:rsidRPr="00E67F89" w:rsidRDefault="00E67F89" w:rsidP="00E67F89">
            <w:r w:rsidRPr="00E67F89">
              <w:t>Stabilisation des fosses et accotements</w:t>
            </w:r>
          </w:p>
        </w:tc>
      </w:tr>
      <w:tr w:rsidR="00E67F89" w:rsidRPr="00E67F89" w14:paraId="0B44ECE3" w14:textId="77777777" w:rsidTr="00223F64">
        <w:trPr>
          <w:jc w:val="center"/>
        </w:trPr>
        <w:tc>
          <w:tcPr>
            <w:tcW w:w="5000" w:type="pct"/>
            <w:tcBorders>
              <w:top w:val="single" w:sz="4" w:space="0" w:color="auto"/>
              <w:left w:val="single" w:sz="4" w:space="0" w:color="auto"/>
              <w:bottom w:val="single" w:sz="4" w:space="0" w:color="auto"/>
              <w:right w:val="single" w:sz="4" w:space="0" w:color="auto"/>
            </w:tcBorders>
            <w:hideMark/>
          </w:tcPr>
          <w:p w14:paraId="31E63A79" w14:textId="77777777" w:rsidR="00E67F89" w:rsidRPr="00E67F89" w:rsidRDefault="00E67F89" w:rsidP="00E67F89">
            <w:r w:rsidRPr="00E67F89">
              <w:t>Entretien des bordures, caniveaux et descentes d’eau</w:t>
            </w:r>
          </w:p>
          <w:p w14:paraId="685E0C5F" w14:textId="77777777" w:rsidR="00E67F89" w:rsidRPr="00E67F89" w:rsidRDefault="00E67F89" w:rsidP="00E67F89">
            <w:r w:rsidRPr="00E67F89">
              <w:t>Exécuter les raccordements entre les bordures et les descentes d’eau là où c’est nécessaire</w:t>
            </w:r>
          </w:p>
          <w:p w14:paraId="7B0D7F3C" w14:textId="77777777" w:rsidR="00E67F89" w:rsidRPr="00E67F89" w:rsidRDefault="00E67F89" w:rsidP="00E67F89">
            <w:r w:rsidRPr="00E67F89">
              <w:t xml:space="preserve">Réparer les descentes d’eau, caniveaux et réceptacles </w:t>
            </w:r>
          </w:p>
          <w:p w14:paraId="4FD7221F" w14:textId="77777777" w:rsidR="00E67F89" w:rsidRPr="00E67F89" w:rsidRDefault="00E67F89" w:rsidP="00E67F89">
            <w:r w:rsidRPr="00E67F89">
              <w:t>Poser des enrochements en pied de talus et raccordement des descentes d’eau</w:t>
            </w:r>
          </w:p>
        </w:tc>
      </w:tr>
      <w:tr w:rsidR="00E67F89" w:rsidRPr="00E67F89" w14:paraId="382E676C" w14:textId="77777777" w:rsidTr="00223F64">
        <w:trPr>
          <w:jc w:val="center"/>
        </w:trPr>
        <w:tc>
          <w:tcPr>
            <w:tcW w:w="5000" w:type="pct"/>
            <w:tcBorders>
              <w:top w:val="single" w:sz="4" w:space="0" w:color="auto"/>
              <w:left w:val="single" w:sz="4" w:space="0" w:color="auto"/>
              <w:bottom w:val="single" w:sz="4" w:space="0" w:color="auto"/>
              <w:right w:val="single" w:sz="4" w:space="0" w:color="auto"/>
            </w:tcBorders>
            <w:hideMark/>
          </w:tcPr>
          <w:p w14:paraId="6E4069F9" w14:textId="77777777" w:rsidR="00E67F89" w:rsidRPr="00E67F89" w:rsidRDefault="00E67F89" w:rsidP="00E67F89">
            <w:r w:rsidRPr="00E67F89">
              <w:t>Lutte contre l’érosion, stabilisation des talus</w:t>
            </w:r>
          </w:p>
        </w:tc>
      </w:tr>
      <w:tr w:rsidR="00E67F89" w:rsidRPr="00E67F89" w14:paraId="1CEF7345" w14:textId="77777777" w:rsidTr="00223F64">
        <w:trPr>
          <w:jc w:val="center"/>
        </w:trPr>
        <w:tc>
          <w:tcPr>
            <w:tcW w:w="5000" w:type="pct"/>
            <w:tcBorders>
              <w:top w:val="single" w:sz="4" w:space="0" w:color="auto"/>
              <w:left w:val="single" w:sz="4" w:space="0" w:color="auto"/>
              <w:bottom w:val="single" w:sz="4" w:space="0" w:color="auto"/>
              <w:right w:val="single" w:sz="4" w:space="0" w:color="auto"/>
            </w:tcBorders>
            <w:hideMark/>
          </w:tcPr>
          <w:p w14:paraId="67427EB6" w14:textId="77777777" w:rsidR="00E67F89" w:rsidRPr="00E67F89" w:rsidRDefault="00E67F89" w:rsidP="00E67F89">
            <w:r w:rsidRPr="00E67F89">
              <w:t xml:space="preserve">Protection des activités économiques </w:t>
            </w:r>
          </w:p>
          <w:p w14:paraId="7D03FC35" w14:textId="77777777" w:rsidR="00E67F89" w:rsidRPr="00E67F89" w:rsidRDefault="00E67F89" w:rsidP="00E67F89">
            <w:r w:rsidRPr="00E67F89">
              <w:t xml:space="preserve">Compensation des impenses et pertes temporaires d’activités non prévues dans le Plan de Réinstallation du sous projet </w:t>
            </w:r>
          </w:p>
        </w:tc>
      </w:tr>
      <w:tr w:rsidR="00E67F89" w:rsidRPr="00E67F89" w14:paraId="2B630D7B" w14:textId="77777777" w:rsidTr="00223F64">
        <w:trPr>
          <w:jc w:val="center"/>
        </w:trPr>
        <w:tc>
          <w:tcPr>
            <w:tcW w:w="5000" w:type="pct"/>
            <w:tcBorders>
              <w:top w:val="single" w:sz="4" w:space="0" w:color="auto"/>
              <w:left w:val="single" w:sz="4" w:space="0" w:color="auto"/>
              <w:bottom w:val="single" w:sz="4" w:space="0" w:color="auto"/>
              <w:right w:val="single" w:sz="4" w:space="0" w:color="auto"/>
            </w:tcBorders>
          </w:tcPr>
          <w:p w14:paraId="2925D4D7" w14:textId="77777777" w:rsidR="00E67F89" w:rsidRPr="00E67F89" w:rsidRDefault="00E67F89" w:rsidP="00E67F89">
            <w:r w:rsidRPr="00E67F89">
              <w:t>Mise en œuvre du plan d’actions VBG. Promotion du Genre</w:t>
            </w:r>
          </w:p>
        </w:tc>
      </w:tr>
      <w:tr w:rsidR="00E67F89" w:rsidRPr="00E67F89" w14:paraId="6FCEBD06" w14:textId="77777777" w:rsidTr="00223F64">
        <w:trPr>
          <w:jc w:val="center"/>
        </w:trPr>
        <w:tc>
          <w:tcPr>
            <w:tcW w:w="5000" w:type="pct"/>
            <w:tcBorders>
              <w:top w:val="single" w:sz="4" w:space="0" w:color="auto"/>
              <w:left w:val="single" w:sz="4" w:space="0" w:color="auto"/>
              <w:bottom w:val="single" w:sz="4" w:space="0" w:color="auto"/>
              <w:right w:val="single" w:sz="4" w:space="0" w:color="auto"/>
            </w:tcBorders>
          </w:tcPr>
          <w:p w14:paraId="1208E534" w14:textId="77777777" w:rsidR="00E67F89" w:rsidRPr="00E67F89" w:rsidRDefault="00E67F89" w:rsidP="00E67F89">
            <w:r w:rsidRPr="00E67F89">
              <w:t xml:space="preserve">Sensibilisation des ouvriers sur : </w:t>
            </w:r>
          </w:p>
          <w:p w14:paraId="7A4DB43C" w14:textId="77777777" w:rsidR="00E67F89" w:rsidRPr="00E67F89" w:rsidRDefault="00E67F89" w:rsidP="00E67F89">
            <w:r w:rsidRPr="00E67F89">
              <w:t>le respect des us et coutumes des populations de la région où sont effectués les travaux ;</w:t>
            </w:r>
          </w:p>
          <w:p w14:paraId="1208526B" w14:textId="77777777" w:rsidR="00E67F89" w:rsidRPr="00E67F89" w:rsidRDefault="00E67F89" w:rsidP="00E67F89">
            <w:r w:rsidRPr="00E67F89">
              <w:t>les risques liés aux IST, dont le VIH/SIDA, et à la Covid-19</w:t>
            </w:r>
          </w:p>
          <w:p w14:paraId="644E86A5" w14:textId="77777777" w:rsidR="00E67F89" w:rsidRPr="00E67F89" w:rsidRDefault="00E67F89" w:rsidP="00E67F89">
            <w:r w:rsidRPr="00E67F89">
              <w:t xml:space="preserve">le respect de l’environnement ; </w:t>
            </w:r>
          </w:p>
          <w:p w14:paraId="3390557D" w14:textId="77777777" w:rsidR="00E67F89" w:rsidRPr="00E67F89" w:rsidRDefault="00E67F89" w:rsidP="00E67F89">
            <w:r w:rsidRPr="00E67F89">
              <w:t>toutes formes de violences (verbales, physiques, psychologiques, etc.) envers ses collègues de travail et les communautés environnantes</w:t>
            </w:r>
          </w:p>
          <w:p w14:paraId="432C6551" w14:textId="77777777" w:rsidR="00E67F89" w:rsidRPr="00E67F89" w:rsidRDefault="00E67F89" w:rsidP="00E67F89">
            <w:r w:rsidRPr="00E67F89">
              <w:t>la Violence Basée sur le Genre (VBG) envers ses collègues de travail et les communautés environnantes ;</w:t>
            </w:r>
          </w:p>
          <w:p w14:paraId="1937A427" w14:textId="77777777" w:rsidR="00E67F89" w:rsidRPr="00E67F89" w:rsidRDefault="00E67F89" w:rsidP="00E67F89">
            <w:r w:rsidRPr="00E67F89">
              <w:t>l’atteinte à la pudeur ;</w:t>
            </w:r>
          </w:p>
          <w:p w14:paraId="06A129D6" w14:textId="77777777" w:rsidR="00E67F89" w:rsidRPr="00E67F89" w:rsidRDefault="00E67F89" w:rsidP="00E67F89">
            <w:r w:rsidRPr="00E67F89">
              <w:t xml:space="preserve">l’exploitation sexuelle des enfants mineurs (moins de 18 ans) </w:t>
            </w:r>
          </w:p>
        </w:tc>
      </w:tr>
      <w:tr w:rsidR="00E67F89" w:rsidRPr="00E67F89" w14:paraId="69955D79" w14:textId="77777777" w:rsidTr="00223F64">
        <w:trPr>
          <w:jc w:val="center"/>
        </w:trPr>
        <w:tc>
          <w:tcPr>
            <w:tcW w:w="5000" w:type="pct"/>
            <w:tcBorders>
              <w:top w:val="single" w:sz="4" w:space="0" w:color="auto"/>
              <w:left w:val="single" w:sz="4" w:space="0" w:color="auto"/>
              <w:bottom w:val="single" w:sz="4" w:space="0" w:color="auto"/>
              <w:right w:val="single" w:sz="4" w:space="0" w:color="auto"/>
            </w:tcBorders>
            <w:hideMark/>
          </w:tcPr>
          <w:p w14:paraId="6936778D" w14:textId="77777777" w:rsidR="00E67F89" w:rsidRPr="00E67F89" w:rsidRDefault="00E67F89" w:rsidP="00E67F89">
            <w:r w:rsidRPr="00E67F89">
              <w:t>Approvisionnement en eau du chantier</w:t>
            </w:r>
          </w:p>
        </w:tc>
      </w:tr>
      <w:tr w:rsidR="00E67F89" w:rsidRPr="00E67F89" w14:paraId="6111DA45" w14:textId="77777777" w:rsidTr="00223F64">
        <w:trPr>
          <w:jc w:val="center"/>
        </w:trPr>
        <w:tc>
          <w:tcPr>
            <w:tcW w:w="5000" w:type="pct"/>
            <w:tcBorders>
              <w:top w:val="single" w:sz="4" w:space="0" w:color="auto"/>
              <w:left w:val="single" w:sz="4" w:space="0" w:color="auto"/>
              <w:bottom w:val="single" w:sz="4" w:space="0" w:color="auto"/>
              <w:right w:val="single" w:sz="4" w:space="0" w:color="auto"/>
            </w:tcBorders>
            <w:hideMark/>
          </w:tcPr>
          <w:p w14:paraId="222FD176" w14:textId="77777777" w:rsidR="00E67F89" w:rsidRPr="00E67F89" w:rsidRDefault="00E67F89" w:rsidP="00E67F89">
            <w:r w:rsidRPr="00E67F89">
              <w:t>Repli chantier et réaménagement</w:t>
            </w:r>
          </w:p>
          <w:p w14:paraId="1F8361ED" w14:textId="77777777" w:rsidR="00E67F89" w:rsidRPr="00E67F89" w:rsidRDefault="00E67F89" w:rsidP="00E67F89">
            <w:r w:rsidRPr="00E67F89">
              <w:t>Remise en état des lieux</w:t>
            </w:r>
          </w:p>
          <w:p w14:paraId="0E509492" w14:textId="77777777" w:rsidR="00E67F89" w:rsidRPr="00E67F89" w:rsidRDefault="00E67F89" w:rsidP="00E67F89">
            <w:r w:rsidRPr="00E67F89">
              <w:t>Retirer les bâtiments temporaires, le matériel, les matériaux et autres infrastructures connexes</w:t>
            </w:r>
          </w:p>
          <w:p w14:paraId="446065DA" w14:textId="77777777" w:rsidR="00E67F89" w:rsidRPr="00E67F89" w:rsidRDefault="00E67F89" w:rsidP="00E67F89">
            <w:r w:rsidRPr="00E67F89">
              <w:t>Rectifier les défauts de drainage</w:t>
            </w:r>
          </w:p>
          <w:p w14:paraId="41303A9B" w14:textId="77777777" w:rsidR="00E67F89" w:rsidRPr="00E67F89" w:rsidRDefault="00E67F89" w:rsidP="00E67F89">
            <w:r w:rsidRPr="00E67F89">
              <w:t xml:space="preserve">Régaler toutes les zones excavées </w:t>
            </w:r>
          </w:p>
          <w:p w14:paraId="7245210D" w14:textId="77777777" w:rsidR="00E67F89" w:rsidRPr="00E67F89" w:rsidRDefault="00E67F89" w:rsidP="00E67F89">
            <w:r w:rsidRPr="00E67F89">
              <w:t>Nettoyer et éliminer toutes formes de pollution</w:t>
            </w:r>
          </w:p>
        </w:tc>
      </w:tr>
      <w:tr w:rsidR="00E67F89" w:rsidRPr="00E67F89" w14:paraId="70671C4B" w14:textId="77777777" w:rsidTr="00223F64">
        <w:trPr>
          <w:jc w:val="center"/>
        </w:trPr>
        <w:tc>
          <w:tcPr>
            <w:tcW w:w="5000" w:type="pct"/>
            <w:tcBorders>
              <w:top w:val="single" w:sz="4" w:space="0" w:color="auto"/>
              <w:left w:val="single" w:sz="4" w:space="0" w:color="auto"/>
              <w:bottom w:val="single" w:sz="4" w:space="0" w:color="auto"/>
              <w:right w:val="single" w:sz="4" w:space="0" w:color="auto"/>
            </w:tcBorders>
            <w:hideMark/>
          </w:tcPr>
          <w:p w14:paraId="04EF6E4C" w14:textId="77777777" w:rsidR="00E67F89" w:rsidRPr="00E67F89" w:rsidRDefault="00E67F89" w:rsidP="00E67F89">
            <w:r w:rsidRPr="00E67F89">
              <w:lastRenderedPageBreak/>
              <w:t>Mesures en cas d’une nouvelle vague de Covid-19</w:t>
            </w:r>
          </w:p>
        </w:tc>
      </w:tr>
      <w:tr w:rsidR="00E67F89" w:rsidRPr="00E67F89" w14:paraId="01B698A9" w14:textId="77777777" w:rsidTr="00223F64">
        <w:trPr>
          <w:jc w:val="center"/>
        </w:trPr>
        <w:tc>
          <w:tcPr>
            <w:tcW w:w="5000" w:type="pct"/>
            <w:tcBorders>
              <w:top w:val="single" w:sz="4" w:space="0" w:color="auto"/>
              <w:left w:val="single" w:sz="4" w:space="0" w:color="auto"/>
              <w:bottom w:val="single" w:sz="4" w:space="0" w:color="auto"/>
              <w:right w:val="single" w:sz="4" w:space="0" w:color="auto"/>
            </w:tcBorders>
            <w:hideMark/>
          </w:tcPr>
          <w:p w14:paraId="3EB55C69" w14:textId="77777777" w:rsidR="00E67F89" w:rsidRPr="00E67F89" w:rsidRDefault="00E67F89" w:rsidP="00E67F89">
            <w:r w:rsidRPr="00E67F89">
              <w:t>Installations de lavage des mains avec du savon</w:t>
            </w:r>
          </w:p>
          <w:p w14:paraId="4EA70907" w14:textId="77777777" w:rsidR="00E67F89" w:rsidRPr="00E67F89" w:rsidRDefault="00E67F89" w:rsidP="00E67F89">
            <w:r w:rsidRPr="00E67F89">
              <w:t>Pédiluves</w:t>
            </w:r>
          </w:p>
          <w:p w14:paraId="7912260F" w14:textId="77777777" w:rsidR="00E67F89" w:rsidRPr="00E67F89" w:rsidRDefault="00E67F89" w:rsidP="00E67F89">
            <w:r w:rsidRPr="00E67F89">
              <w:t xml:space="preserve">Masques </w:t>
            </w:r>
          </w:p>
          <w:p w14:paraId="484B0975" w14:textId="77777777" w:rsidR="00E67F89" w:rsidRPr="00E67F89" w:rsidRDefault="00E67F89" w:rsidP="00E67F89">
            <w:r w:rsidRPr="00E67F89">
              <w:t>Gel hydroalcoolique</w:t>
            </w:r>
          </w:p>
        </w:tc>
      </w:tr>
      <w:tr w:rsidR="00E67F89" w:rsidRPr="00E67F89" w14:paraId="2C88D667" w14:textId="77777777" w:rsidTr="00223F64">
        <w:trPr>
          <w:jc w:val="center"/>
        </w:trPr>
        <w:tc>
          <w:tcPr>
            <w:tcW w:w="5000" w:type="pct"/>
            <w:tcBorders>
              <w:top w:val="single" w:sz="4" w:space="0" w:color="auto"/>
              <w:left w:val="single" w:sz="4" w:space="0" w:color="auto"/>
              <w:bottom w:val="single" w:sz="4" w:space="0" w:color="auto"/>
              <w:right w:val="single" w:sz="4" w:space="0" w:color="auto"/>
            </w:tcBorders>
            <w:hideMark/>
          </w:tcPr>
          <w:p w14:paraId="550B45FD" w14:textId="77777777" w:rsidR="00E67F89" w:rsidRPr="00E67F89" w:rsidRDefault="00E67F89" w:rsidP="00E67F89">
            <w:r w:rsidRPr="00E67F89">
              <w:t>Mise en œuvre du PGMO</w:t>
            </w:r>
          </w:p>
        </w:tc>
      </w:tr>
      <w:tr w:rsidR="00E67F89" w:rsidRPr="00E67F89" w14:paraId="1A71F0FB" w14:textId="77777777" w:rsidTr="00223F64">
        <w:trPr>
          <w:trHeight w:val="1660"/>
          <w:jc w:val="center"/>
        </w:trPr>
        <w:tc>
          <w:tcPr>
            <w:tcW w:w="5000" w:type="pct"/>
            <w:tcBorders>
              <w:top w:val="single" w:sz="4" w:space="0" w:color="auto"/>
              <w:left w:val="single" w:sz="4" w:space="0" w:color="auto"/>
              <w:bottom w:val="single" w:sz="4" w:space="0" w:color="auto"/>
              <w:right w:val="single" w:sz="4" w:space="0" w:color="auto"/>
            </w:tcBorders>
            <w:hideMark/>
          </w:tcPr>
          <w:p w14:paraId="1895EF95" w14:textId="77777777" w:rsidR="00E67F89" w:rsidRPr="00E67F89" w:rsidRDefault="00E67F89" w:rsidP="00E67F89">
            <w:r w:rsidRPr="00E67F89">
              <w:t>Edition des contrats individuels des travailleurs</w:t>
            </w:r>
          </w:p>
          <w:p w14:paraId="4B14E984" w14:textId="77777777" w:rsidR="00E67F89" w:rsidRPr="00E67F89" w:rsidRDefault="00E67F89" w:rsidP="00E67F89">
            <w:r w:rsidRPr="00E67F89">
              <w:t>Edition des Codes de conduite</w:t>
            </w:r>
          </w:p>
          <w:p w14:paraId="7C4F443E" w14:textId="77777777" w:rsidR="00E67F89" w:rsidRPr="00E67F89" w:rsidRDefault="00E67F89" w:rsidP="00E67F89">
            <w:r w:rsidRPr="00E67F89">
              <w:t>Informations diverses : clauses des contrats (droits et obligations), mécanisme de gestion des plaintes des travailleurs (sans risques de mesures coercitives y afférentes), autres.</w:t>
            </w:r>
          </w:p>
          <w:p w14:paraId="07F9EFD2" w14:textId="77777777" w:rsidR="00E67F89" w:rsidRPr="00E67F89" w:rsidRDefault="00E67F89" w:rsidP="00E67F89">
            <w:r w:rsidRPr="00E67F89">
              <w:t>Emploi de travailleurs communautaires, d’agents de l’Etat.</w:t>
            </w:r>
          </w:p>
        </w:tc>
      </w:tr>
    </w:tbl>
    <w:p w14:paraId="20368EAC" w14:textId="77777777" w:rsidR="00E67F89" w:rsidRPr="00E67F89" w:rsidRDefault="00E67F89" w:rsidP="00E67F89"/>
    <w:p w14:paraId="680C2CE1" w14:textId="77777777" w:rsidR="00E67F89" w:rsidRPr="00E67F89" w:rsidRDefault="00E67F89" w:rsidP="00E67F89"/>
    <w:p w14:paraId="3622B01F" w14:textId="77777777" w:rsidR="00E67F89" w:rsidRPr="00E67F89" w:rsidRDefault="00E67F89" w:rsidP="00E67F89">
      <w:pPr>
        <w:sectPr w:rsidR="00E67F89" w:rsidRPr="00E67F89" w:rsidSect="00D42025">
          <w:pgSz w:w="11906" w:h="16838"/>
          <w:pgMar w:top="1418" w:right="1418" w:bottom="1418" w:left="1418" w:header="709" w:footer="709" w:gutter="0"/>
          <w:pgNumType w:fmt="upperRoman"/>
          <w:cols w:space="708"/>
          <w:docGrid w:linePitch="360"/>
        </w:sectPr>
      </w:pPr>
    </w:p>
    <w:p w14:paraId="6BCB5CD1" w14:textId="77777777" w:rsidR="00E67F89" w:rsidRPr="00E67F89" w:rsidRDefault="00E67F89" w:rsidP="00E67F89">
      <w:bookmarkStart w:id="909" w:name="_Toc71770526"/>
      <w:bookmarkStart w:id="910" w:name="_Toc138414175"/>
      <w:bookmarkStart w:id="911" w:name="_Toc230426118"/>
      <w:r w:rsidRPr="00E67F89">
        <w:lastRenderedPageBreak/>
        <w:t xml:space="preserve">Annexe </w:t>
      </w:r>
      <w:r w:rsidRPr="00E67F89">
        <w:fldChar w:fldCharType="begin"/>
      </w:r>
      <w:r w:rsidRPr="00E67F89">
        <w:instrText xml:space="preserve"> SEQ Annexe \* ARABIC </w:instrText>
      </w:r>
      <w:r w:rsidRPr="00E67F89">
        <w:fldChar w:fldCharType="separate"/>
      </w:r>
      <w:r w:rsidRPr="00E67F89">
        <w:t>13</w:t>
      </w:r>
      <w:r w:rsidRPr="00E67F89">
        <w:fldChar w:fldCharType="end"/>
      </w:r>
      <w:r w:rsidRPr="00E67F89">
        <w:t> : Modèle de fiche de non-conformité</w:t>
      </w:r>
      <w:bookmarkEnd w:id="909"/>
      <w:bookmarkEnd w:id="910"/>
      <w:bookmarkEnd w:id="911"/>
    </w:p>
    <w:tbl>
      <w:tblPr>
        <w:tblW w:w="96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18"/>
        <w:gridCol w:w="701"/>
        <w:gridCol w:w="3091"/>
        <w:gridCol w:w="744"/>
        <w:gridCol w:w="2604"/>
      </w:tblGrid>
      <w:tr w:rsidR="00E67F89" w:rsidRPr="00E67F89" w14:paraId="669FE69D" w14:textId="77777777" w:rsidTr="00223F64">
        <w:trPr>
          <w:trHeight w:val="634"/>
        </w:trPr>
        <w:tc>
          <w:tcPr>
            <w:tcW w:w="2518" w:type="dxa"/>
          </w:tcPr>
          <w:p w14:paraId="73B4A9AB" w14:textId="77777777" w:rsidR="00E67F89" w:rsidRPr="00E67F89" w:rsidRDefault="00E67F89" w:rsidP="00E67F89">
            <w:r w:rsidRPr="00E67F89">
              <w:t>Fiche n°___/2024</w:t>
            </w:r>
          </w:p>
        </w:tc>
        <w:tc>
          <w:tcPr>
            <w:tcW w:w="4536" w:type="dxa"/>
            <w:gridSpan w:val="3"/>
          </w:tcPr>
          <w:p w14:paraId="74DE0D1D" w14:textId="77777777" w:rsidR="00E67F89" w:rsidRPr="00E67F89" w:rsidRDefault="00E67F89" w:rsidP="00E67F89">
            <w:r w:rsidRPr="00E67F89">
              <w:t>Entretien courant / périodique de routes nationales revêtues</w:t>
            </w:r>
          </w:p>
        </w:tc>
        <w:tc>
          <w:tcPr>
            <w:tcW w:w="2604" w:type="dxa"/>
          </w:tcPr>
          <w:p w14:paraId="05AA0574" w14:textId="77777777" w:rsidR="00E67F89" w:rsidRPr="00E67F89" w:rsidRDefault="00E67F89" w:rsidP="00E67F89">
            <w:r w:rsidRPr="00E67F89">
              <w:t xml:space="preserve">Date : </w:t>
            </w:r>
          </w:p>
        </w:tc>
      </w:tr>
      <w:tr w:rsidR="00E67F89" w:rsidRPr="00E67F89" w14:paraId="3FB22CB0" w14:textId="77777777" w:rsidTr="00223F64">
        <w:trPr>
          <w:trHeight w:val="802"/>
        </w:trPr>
        <w:tc>
          <w:tcPr>
            <w:tcW w:w="2518" w:type="dxa"/>
          </w:tcPr>
          <w:p w14:paraId="1F5F0D13" w14:textId="77777777" w:rsidR="00E67F89" w:rsidRPr="00E67F89" w:rsidRDefault="00E67F89" w:rsidP="00E67F89">
            <w:r w:rsidRPr="00E67F89">
              <w:t xml:space="preserve">Localisation : </w:t>
            </w:r>
          </w:p>
        </w:tc>
        <w:tc>
          <w:tcPr>
            <w:tcW w:w="7140" w:type="dxa"/>
            <w:gridSpan w:val="4"/>
          </w:tcPr>
          <w:p w14:paraId="1C8544EE" w14:textId="77777777" w:rsidR="00E67F89" w:rsidRPr="00E67F89" w:rsidRDefault="00E67F89" w:rsidP="00E67F89"/>
        </w:tc>
      </w:tr>
      <w:tr w:rsidR="00E67F89" w:rsidRPr="00E67F89" w14:paraId="02270231" w14:textId="77777777" w:rsidTr="00223F64">
        <w:trPr>
          <w:trHeight w:val="2469"/>
        </w:trPr>
        <w:tc>
          <w:tcPr>
            <w:tcW w:w="2518" w:type="dxa"/>
          </w:tcPr>
          <w:p w14:paraId="316927B1" w14:textId="77777777" w:rsidR="00E67F89" w:rsidRPr="00E67F89" w:rsidRDefault="00E67F89" w:rsidP="00E67F89">
            <w:r w:rsidRPr="00E67F89">
              <w:t>Description de la non-conformité :</w:t>
            </w:r>
          </w:p>
        </w:tc>
        <w:tc>
          <w:tcPr>
            <w:tcW w:w="4536" w:type="dxa"/>
            <w:gridSpan w:val="3"/>
          </w:tcPr>
          <w:p w14:paraId="2A247D48" w14:textId="77777777" w:rsidR="00E67F89" w:rsidRPr="00E67F89" w:rsidRDefault="00E67F89" w:rsidP="00E67F89"/>
        </w:tc>
        <w:tc>
          <w:tcPr>
            <w:tcW w:w="2604" w:type="dxa"/>
          </w:tcPr>
          <w:p w14:paraId="54E6EDAD" w14:textId="77777777" w:rsidR="00E67F89" w:rsidRPr="00E67F89" w:rsidRDefault="00E67F89" w:rsidP="00E67F89">
            <w:r w:rsidRPr="00E67F89">
              <w:t>Catégorie (encadrer)</w:t>
            </w:r>
          </w:p>
          <w:p w14:paraId="3A38DA5E" w14:textId="77777777" w:rsidR="00E67F89" w:rsidRPr="00E67F89" w:rsidRDefault="00E67F89" w:rsidP="00E67F89">
            <w:r w:rsidRPr="00E67F89">
              <w:t>Mineure</w:t>
            </w:r>
          </w:p>
          <w:p w14:paraId="321E1DCB" w14:textId="77777777" w:rsidR="00E67F89" w:rsidRPr="00E67F89" w:rsidRDefault="00E67F89" w:rsidP="00E67F89">
            <w:r w:rsidRPr="00E67F89">
              <w:t>Modérée</w:t>
            </w:r>
          </w:p>
          <w:p w14:paraId="4869BFD3" w14:textId="77777777" w:rsidR="00E67F89" w:rsidRPr="00E67F89" w:rsidRDefault="00E67F89" w:rsidP="00E67F89">
            <w:r w:rsidRPr="00E67F89">
              <w:t>Majeure</w:t>
            </w:r>
          </w:p>
          <w:p w14:paraId="1BF0DBA5" w14:textId="77777777" w:rsidR="00E67F89" w:rsidRPr="00E67F89" w:rsidRDefault="00E67F89" w:rsidP="00E67F89">
            <w:r w:rsidRPr="00E67F89">
              <w:t>Critique</w:t>
            </w:r>
          </w:p>
        </w:tc>
      </w:tr>
      <w:tr w:rsidR="00E67F89" w:rsidRPr="00E67F89" w14:paraId="6448F84E" w14:textId="77777777" w:rsidTr="00223F64">
        <w:trPr>
          <w:trHeight w:val="3667"/>
        </w:trPr>
        <w:tc>
          <w:tcPr>
            <w:tcW w:w="2518" w:type="dxa"/>
            <w:tcBorders>
              <w:bottom w:val="single" w:sz="4" w:space="0" w:color="auto"/>
            </w:tcBorders>
          </w:tcPr>
          <w:p w14:paraId="2D8BBC96" w14:textId="77777777" w:rsidR="00E67F89" w:rsidRPr="00E67F89" w:rsidRDefault="00E67F89" w:rsidP="00E67F89">
            <w:r w:rsidRPr="00E67F89">
              <w:t>Mesure(s) corrective(s) :</w:t>
            </w:r>
          </w:p>
        </w:tc>
        <w:tc>
          <w:tcPr>
            <w:tcW w:w="7140" w:type="dxa"/>
            <w:gridSpan w:val="4"/>
            <w:tcBorders>
              <w:bottom w:val="single" w:sz="4" w:space="0" w:color="auto"/>
            </w:tcBorders>
          </w:tcPr>
          <w:p w14:paraId="64CE9578" w14:textId="77777777" w:rsidR="00E67F89" w:rsidRPr="00E67F89" w:rsidRDefault="00E67F89" w:rsidP="00E67F89"/>
        </w:tc>
      </w:tr>
      <w:tr w:rsidR="00E67F89" w:rsidRPr="00E67F89" w14:paraId="701198D6" w14:textId="77777777" w:rsidTr="00223F64">
        <w:trPr>
          <w:trHeight w:val="293"/>
        </w:trPr>
        <w:tc>
          <w:tcPr>
            <w:tcW w:w="2518" w:type="dxa"/>
            <w:vMerge w:val="restart"/>
          </w:tcPr>
          <w:p w14:paraId="5E6AAEC3" w14:textId="77777777" w:rsidR="00E67F89" w:rsidRPr="00E67F89" w:rsidRDefault="00E67F89" w:rsidP="00E67F89">
            <w:r w:rsidRPr="00E67F89">
              <w:t>A faire suivre à :</w:t>
            </w:r>
          </w:p>
        </w:tc>
        <w:tc>
          <w:tcPr>
            <w:tcW w:w="7140" w:type="dxa"/>
            <w:gridSpan w:val="4"/>
            <w:tcBorders>
              <w:bottom w:val="nil"/>
            </w:tcBorders>
          </w:tcPr>
          <w:p w14:paraId="3DBF544B" w14:textId="77777777" w:rsidR="00E67F89" w:rsidRPr="00E67F89" w:rsidRDefault="00E67F89" w:rsidP="00E67F89">
            <w:r w:rsidRPr="00E67F89">
              <w:t>Responsable HSE et Chef de chantier (Mineure à Modérée)</w:t>
            </w:r>
          </w:p>
        </w:tc>
      </w:tr>
      <w:tr w:rsidR="00E67F89" w:rsidRPr="00E67F89" w14:paraId="3FDF0D06" w14:textId="77777777" w:rsidTr="00223F64">
        <w:trPr>
          <w:trHeight w:val="434"/>
        </w:trPr>
        <w:tc>
          <w:tcPr>
            <w:tcW w:w="2518" w:type="dxa"/>
            <w:vMerge/>
          </w:tcPr>
          <w:p w14:paraId="6E21308B" w14:textId="77777777" w:rsidR="00E67F89" w:rsidRPr="00E67F89" w:rsidRDefault="00E67F89" w:rsidP="00E67F89"/>
        </w:tc>
        <w:tc>
          <w:tcPr>
            <w:tcW w:w="7140" w:type="dxa"/>
            <w:gridSpan w:val="4"/>
            <w:tcBorders>
              <w:top w:val="nil"/>
              <w:bottom w:val="nil"/>
            </w:tcBorders>
          </w:tcPr>
          <w:p w14:paraId="0A50266E" w14:textId="77777777" w:rsidR="00E67F89" w:rsidRPr="00E67F89" w:rsidRDefault="00E67F89" w:rsidP="00E67F89">
            <w:r w:rsidRPr="00E67F89">
              <w:t>Directeur de chantier (NC majeure)</w:t>
            </w:r>
          </w:p>
        </w:tc>
      </w:tr>
      <w:tr w:rsidR="00E67F89" w:rsidRPr="00E67F89" w14:paraId="1CD8D90A" w14:textId="77777777" w:rsidTr="00223F64">
        <w:trPr>
          <w:trHeight w:val="434"/>
        </w:trPr>
        <w:tc>
          <w:tcPr>
            <w:tcW w:w="2518" w:type="dxa"/>
            <w:vMerge/>
            <w:tcBorders>
              <w:bottom w:val="single" w:sz="4" w:space="0" w:color="auto"/>
            </w:tcBorders>
          </w:tcPr>
          <w:p w14:paraId="6B036875" w14:textId="77777777" w:rsidR="00E67F89" w:rsidRPr="00E67F89" w:rsidRDefault="00E67F89" w:rsidP="00E67F89"/>
        </w:tc>
        <w:tc>
          <w:tcPr>
            <w:tcW w:w="7140" w:type="dxa"/>
            <w:gridSpan w:val="4"/>
            <w:tcBorders>
              <w:top w:val="nil"/>
              <w:bottom w:val="single" w:sz="4" w:space="0" w:color="auto"/>
            </w:tcBorders>
          </w:tcPr>
          <w:p w14:paraId="7CCB4311" w14:textId="77777777" w:rsidR="00E67F89" w:rsidRPr="00E67F89" w:rsidRDefault="00E67F89" w:rsidP="00E67F89">
            <w:r w:rsidRPr="00E67F89">
              <w:t>Directeur Général (NC critique)</w:t>
            </w:r>
          </w:p>
        </w:tc>
      </w:tr>
      <w:tr w:rsidR="00E67F89" w:rsidRPr="00E67F89" w14:paraId="161A2F2C" w14:textId="77777777" w:rsidTr="00223F64">
        <w:trPr>
          <w:trHeight w:val="582"/>
        </w:trPr>
        <w:tc>
          <w:tcPr>
            <w:tcW w:w="3219" w:type="dxa"/>
            <w:gridSpan w:val="2"/>
            <w:tcBorders>
              <w:top w:val="single" w:sz="4" w:space="0" w:color="auto"/>
              <w:left w:val="nil"/>
              <w:bottom w:val="nil"/>
              <w:right w:val="nil"/>
            </w:tcBorders>
          </w:tcPr>
          <w:p w14:paraId="460B23D5" w14:textId="77777777" w:rsidR="00E67F89" w:rsidRPr="00E67F89" w:rsidRDefault="00E67F89" w:rsidP="00E67F89">
            <w:r w:rsidRPr="00E67F89">
              <w:t>Fiche remplie par</w:t>
            </w:r>
          </w:p>
        </w:tc>
        <w:tc>
          <w:tcPr>
            <w:tcW w:w="3091" w:type="dxa"/>
            <w:tcBorders>
              <w:top w:val="single" w:sz="4" w:space="0" w:color="auto"/>
              <w:left w:val="nil"/>
              <w:bottom w:val="nil"/>
              <w:right w:val="nil"/>
            </w:tcBorders>
          </w:tcPr>
          <w:p w14:paraId="346A7BFF" w14:textId="77777777" w:rsidR="00E67F89" w:rsidRPr="00E67F89" w:rsidRDefault="00E67F89" w:rsidP="00E67F89">
            <w:r w:rsidRPr="00E67F89">
              <w:t>Visa du Responsable environnemental / Social</w:t>
            </w:r>
          </w:p>
        </w:tc>
        <w:tc>
          <w:tcPr>
            <w:tcW w:w="3348" w:type="dxa"/>
            <w:gridSpan w:val="2"/>
            <w:tcBorders>
              <w:top w:val="single" w:sz="4" w:space="0" w:color="auto"/>
              <w:left w:val="nil"/>
              <w:bottom w:val="nil"/>
              <w:right w:val="nil"/>
            </w:tcBorders>
          </w:tcPr>
          <w:p w14:paraId="7423A267" w14:textId="77777777" w:rsidR="00E67F89" w:rsidRPr="00E67F89" w:rsidRDefault="00E67F89" w:rsidP="00E67F89">
            <w:r w:rsidRPr="00E67F89">
              <w:t>Visa du Directeur des Travaux</w:t>
            </w:r>
          </w:p>
        </w:tc>
      </w:tr>
      <w:tr w:rsidR="00E67F89" w:rsidRPr="00E67F89" w14:paraId="63D6A1AE" w14:textId="77777777" w:rsidTr="00223F64">
        <w:trPr>
          <w:trHeight w:val="1733"/>
        </w:trPr>
        <w:tc>
          <w:tcPr>
            <w:tcW w:w="3219" w:type="dxa"/>
            <w:gridSpan w:val="2"/>
            <w:tcBorders>
              <w:top w:val="nil"/>
              <w:left w:val="nil"/>
              <w:bottom w:val="nil"/>
              <w:right w:val="nil"/>
            </w:tcBorders>
          </w:tcPr>
          <w:p w14:paraId="0590783D" w14:textId="77777777" w:rsidR="00E67F89" w:rsidRPr="00E67F89" w:rsidRDefault="00E67F89" w:rsidP="00E67F89"/>
          <w:p w14:paraId="12617A0E" w14:textId="77777777" w:rsidR="00E67F89" w:rsidRPr="00E67F89" w:rsidRDefault="00E67F89" w:rsidP="00E67F89"/>
          <w:p w14:paraId="40941FE9" w14:textId="77777777" w:rsidR="00E67F89" w:rsidRPr="00E67F89" w:rsidRDefault="00E67F89" w:rsidP="00E67F89"/>
          <w:p w14:paraId="0D9909A9" w14:textId="77777777" w:rsidR="00E67F89" w:rsidRPr="00E67F89" w:rsidRDefault="00E67F89" w:rsidP="00E67F89"/>
          <w:p w14:paraId="43144DF8" w14:textId="77777777" w:rsidR="00E67F89" w:rsidRPr="00E67F89" w:rsidRDefault="00E67F89" w:rsidP="00E67F89">
            <w:r w:rsidRPr="00E67F89">
              <w:t>Date et signature :</w:t>
            </w:r>
          </w:p>
        </w:tc>
        <w:tc>
          <w:tcPr>
            <w:tcW w:w="3091" w:type="dxa"/>
            <w:tcBorders>
              <w:top w:val="nil"/>
              <w:left w:val="nil"/>
              <w:bottom w:val="nil"/>
              <w:right w:val="nil"/>
            </w:tcBorders>
          </w:tcPr>
          <w:p w14:paraId="7CFFF80F" w14:textId="77777777" w:rsidR="00E67F89" w:rsidRPr="00E67F89" w:rsidRDefault="00E67F89" w:rsidP="00E67F89"/>
          <w:p w14:paraId="02DC56E8" w14:textId="77777777" w:rsidR="00E67F89" w:rsidRPr="00E67F89" w:rsidRDefault="00E67F89" w:rsidP="00E67F89"/>
          <w:p w14:paraId="59FEB4B5" w14:textId="77777777" w:rsidR="00E67F89" w:rsidRPr="00E67F89" w:rsidRDefault="00E67F89" w:rsidP="00E67F89"/>
          <w:p w14:paraId="1B6766F7" w14:textId="77777777" w:rsidR="00E67F89" w:rsidRPr="00E67F89" w:rsidRDefault="00E67F89" w:rsidP="00E67F89"/>
          <w:p w14:paraId="68E5C8BA" w14:textId="77777777" w:rsidR="00E67F89" w:rsidRPr="00E67F89" w:rsidRDefault="00E67F89" w:rsidP="00E67F89">
            <w:r w:rsidRPr="00E67F89">
              <w:t xml:space="preserve">Date et signature : </w:t>
            </w:r>
          </w:p>
        </w:tc>
        <w:tc>
          <w:tcPr>
            <w:tcW w:w="3348" w:type="dxa"/>
            <w:gridSpan w:val="2"/>
            <w:tcBorders>
              <w:top w:val="nil"/>
              <w:left w:val="nil"/>
              <w:bottom w:val="nil"/>
              <w:right w:val="nil"/>
            </w:tcBorders>
          </w:tcPr>
          <w:p w14:paraId="52526DD9" w14:textId="77777777" w:rsidR="00E67F89" w:rsidRPr="00E67F89" w:rsidRDefault="00E67F89" w:rsidP="00E67F89"/>
          <w:p w14:paraId="3F4CF559" w14:textId="77777777" w:rsidR="00E67F89" w:rsidRPr="00E67F89" w:rsidRDefault="00E67F89" w:rsidP="00E67F89"/>
          <w:p w14:paraId="066D372B" w14:textId="77777777" w:rsidR="00E67F89" w:rsidRPr="00E67F89" w:rsidRDefault="00E67F89" w:rsidP="00E67F89"/>
          <w:p w14:paraId="26EA2C50" w14:textId="77777777" w:rsidR="00E67F89" w:rsidRPr="00E67F89" w:rsidRDefault="00E67F89" w:rsidP="00E67F89"/>
          <w:p w14:paraId="00B2BBAE" w14:textId="77777777" w:rsidR="00E67F89" w:rsidRPr="00E67F89" w:rsidRDefault="00E67F89" w:rsidP="00E67F89">
            <w:r w:rsidRPr="00E67F89">
              <w:t>Date et signature :</w:t>
            </w:r>
          </w:p>
        </w:tc>
      </w:tr>
    </w:tbl>
    <w:p w14:paraId="3C057524" w14:textId="77777777" w:rsidR="00E67F89" w:rsidRPr="00E67F89" w:rsidRDefault="00E67F89" w:rsidP="00E67F89">
      <w:r w:rsidRPr="00E67F89">
        <w:br w:type="page"/>
      </w:r>
    </w:p>
    <w:p w14:paraId="386BBEB8" w14:textId="77777777" w:rsidR="00E67F89" w:rsidRPr="00E67F89" w:rsidRDefault="00E67F89" w:rsidP="00E67F89">
      <w:r w:rsidRPr="00E67F89">
        <w:lastRenderedPageBreak/>
        <w:t>DISPOSITIONS EN CAS DE NON-CONFORMITE OU DE DEFAILLANCE DE L’ENTREPRISE SUR LE PLAN ENVIRONNEMENTAL ET/OU SOCIAL</w:t>
      </w:r>
    </w:p>
    <w:p w14:paraId="18806E1D" w14:textId="77777777" w:rsidR="00E67F89" w:rsidRPr="00E67F89" w:rsidRDefault="00E67F89" w:rsidP="00E67F89"/>
    <w:p w14:paraId="120D1D23" w14:textId="77777777" w:rsidR="00E67F89" w:rsidRPr="00E67F89" w:rsidRDefault="00E67F89" w:rsidP="00E67F89">
      <w:r w:rsidRPr="00E67F89">
        <w:t>Le contrôle du respect et de l’effectivité de la mise en œuvre du PGES-Chantier et des clauses environnementales et sociales par l’Entrepreneur est effectué par le Maître d’œuvre.</w:t>
      </w:r>
    </w:p>
    <w:p w14:paraId="1C238FF3" w14:textId="77777777" w:rsidR="00E67F89" w:rsidRPr="00E67F89" w:rsidRDefault="00E67F89" w:rsidP="00E67F89">
      <w:r w:rsidRPr="00E67F89">
        <w:t>Ainsi, le Maître d’œuvre notifie par écrit à l’Entrepreneur tous les cas de défaut ou non-exécution des mesures environnementales et sociales. L’Entrepreneur doit redresser tout manquement aux prescriptions dûment notifiées à lui par le Maître d’œuvre. La reprise des travaux ou les travaux supplémentaires découlant du non-respect des clauses sont à la charge de l’Entrepreneur.</w:t>
      </w:r>
    </w:p>
    <w:p w14:paraId="1B5614A7" w14:textId="77777777" w:rsidR="00E67F89" w:rsidRPr="00E67F89" w:rsidRDefault="00E67F89" w:rsidP="00E67F89">
      <w:r w:rsidRPr="00E67F89">
        <w:t>Par conséquent, en application des dispositions contractuelles, le non-respect des clauses environnementales et sociales, dûment constaté par le Maître d’œuvre, peut être un motif de résiliation du contrat. L’Entrepreneur ayant fait l’objet d’une mise en demeure pour cause de non-application des clauses environnementales et sociales s’expose à des sanctions allant de l’application des pénalités journalières pour retard dans la résolution des non-conformités vis-à-vis des Spécifications HSSE, appliquées 24 heures à compter de la réception de la mise en demeure prévues jusqu’à constat de la résolution de la non-conformité. Les taux peuvent aller de 1/10 000 à 1/ 2000 du montant du marché suivant le degré de non-conformité. Selon le cas, la sanction peut se traduire par une réfaction sur le prix, un blocage de la retenue de garantie, et aller jusqu’à la suspension du droit de soumissionner pour une période déterminée par le Maître d’ouvrage.</w:t>
      </w:r>
    </w:p>
    <w:p w14:paraId="5063070F" w14:textId="77777777" w:rsidR="00E67F89" w:rsidRPr="00E67F89" w:rsidRDefault="00E67F89" w:rsidP="00E67F89"/>
    <w:p w14:paraId="0212B3BA" w14:textId="77777777" w:rsidR="00E67F89" w:rsidRPr="00E67F89" w:rsidRDefault="00E67F89" w:rsidP="00E67F89">
      <w:r w:rsidRPr="00E67F89">
        <w:br w:type="page"/>
      </w:r>
    </w:p>
    <w:p w14:paraId="2285A1EA" w14:textId="77777777" w:rsidR="00E67F89" w:rsidRPr="00E67F89" w:rsidRDefault="00E67F89" w:rsidP="00E67F89">
      <w:bookmarkStart w:id="912" w:name="_Toc138414176"/>
      <w:bookmarkStart w:id="913" w:name="_Toc230426119"/>
      <w:r w:rsidRPr="00E67F89">
        <w:lastRenderedPageBreak/>
        <w:t xml:space="preserve">Annexe </w:t>
      </w:r>
      <w:r w:rsidRPr="00E67F89">
        <w:fldChar w:fldCharType="begin"/>
      </w:r>
      <w:r w:rsidRPr="00E67F89">
        <w:instrText xml:space="preserve"> SEQ Annexe \* ARABIC </w:instrText>
      </w:r>
      <w:r w:rsidRPr="00E67F89">
        <w:fldChar w:fldCharType="separate"/>
      </w:r>
      <w:r w:rsidRPr="00E67F89">
        <w:t>14</w:t>
      </w:r>
      <w:r w:rsidRPr="00E67F89">
        <w:fldChar w:fldCharType="end"/>
      </w:r>
      <w:r w:rsidRPr="00E67F89">
        <w:t> : Modèles de Codes de conduite</w:t>
      </w:r>
      <w:bookmarkEnd w:id="912"/>
      <w:bookmarkEnd w:id="913"/>
    </w:p>
    <w:p w14:paraId="7BA16273" w14:textId="77777777" w:rsidR="00E67F89" w:rsidRPr="00E67F89" w:rsidRDefault="00E67F89" w:rsidP="00E67F89"/>
    <w:p w14:paraId="794AE1D1" w14:textId="77777777" w:rsidR="00E67F89" w:rsidRPr="00D42025" w:rsidRDefault="00E67F89" w:rsidP="00E67F89">
      <w:bookmarkStart w:id="914" w:name="_Toc517387423"/>
      <w:r w:rsidRPr="00D42025">
        <w:t>Code de bonne conduite dans les chantiers</w:t>
      </w:r>
      <w:bookmarkEnd w:id="91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283"/>
        <w:gridCol w:w="7479"/>
      </w:tblGrid>
      <w:tr w:rsidR="00E67F89" w:rsidRPr="008143E9" w14:paraId="103CA404" w14:textId="77777777" w:rsidTr="00223F64">
        <w:tc>
          <w:tcPr>
            <w:tcW w:w="1526" w:type="dxa"/>
          </w:tcPr>
          <w:p w14:paraId="48C5FB7F" w14:textId="77777777" w:rsidR="00E67F89" w:rsidRPr="00D42025" w:rsidRDefault="00E67F89" w:rsidP="00E67F89">
            <w:r w:rsidRPr="00D42025">
              <w:t>Chantier</w:t>
            </w:r>
          </w:p>
        </w:tc>
        <w:tc>
          <w:tcPr>
            <w:tcW w:w="283" w:type="dxa"/>
          </w:tcPr>
          <w:p w14:paraId="6E4E189E" w14:textId="77777777" w:rsidR="00E67F89" w:rsidRPr="00D42025" w:rsidRDefault="00E67F89" w:rsidP="00E67F89">
            <w:r w:rsidRPr="00D42025">
              <w:t>:</w:t>
            </w:r>
          </w:p>
        </w:tc>
        <w:tc>
          <w:tcPr>
            <w:tcW w:w="7479" w:type="dxa"/>
          </w:tcPr>
          <w:p w14:paraId="45134B4D" w14:textId="77777777" w:rsidR="00E67F89" w:rsidRPr="00D42025" w:rsidRDefault="00E67F89" w:rsidP="00E67F89"/>
        </w:tc>
      </w:tr>
      <w:tr w:rsidR="00E67F89" w:rsidRPr="008143E9" w14:paraId="73646BE0" w14:textId="77777777" w:rsidTr="00223F64">
        <w:tc>
          <w:tcPr>
            <w:tcW w:w="1526" w:type="dxa"/>
          </w:tcPr>
          <w:p w14:paraId="016CD52B" w14:textId="77777777" w:rsidR="00E67F89" w:rsidRPr="00D42025" w:rsidRDefault="00E67F89" w:rsidP="00E67F89">
            <w:r w:rsidRPr="00D42025">
              <w:t>Contrat n°</w:t>
            </w:r>
          </w:p>
        </w:tc>
        <w:tc>
          <w:tcPr>
            <w:tcW w:w="283" w:type="dxa"/>
          </w:tcPr>
          <w:p w14:paraId="473A9070" w14:textId="77777777" w:rsidR="00E67F89" w:rsidRPr="00D42025" w:rsidRDefault="00E67F89" w:rsidP="00E67F89">
            <w:r w:rsidRPr="00D42025">
              <w:t>:</w:t>
            </w:r>
          </w:p>
        </w:tc>
        <w:tc>
          <w:tcPr>
            <w:tcW w:w="7479" w:type="dxa"/>
          </w:tcPr>
          <w:p w14:paraId="2CC3ECE9" w14:textId="77777777" w:rsidR="00E67F89" w:rsidRPr="00D42025" w:rsidRDefault="00E67F89" w:rsidP="00E67F89"/>
        </w:tc>
      </w:tr>
      <w:tr w:rsidR="00E67F89" w:rsidRPr="008143E9" w14:paraId="0215074C" w14:textId="77777777" w:rsidTr="00223F64">
        <w:tc>
          <w:tcPr>
            <w:tcW w:w="1526" w:type="dxa"/>
          </w:tcPr>
          <w:p w14:paraId="6E8B6A48" w14:textId="77777777" w:rsidR="00E67F89" w:rsidRPr="00D42025" w:rsidRDefault="00E67F89" w:rsidP="00E67F89">
            <w:r w:rsidRPr="00D42025">
              <w:t>Titulaire</w:t>
            </w:r>
          </w:p>
        </w:tc>
        <w:tc>
          <w:tcPr>
            <w:tcW w:w="283" w:type="dxa"/>
          </w:tcPr>
          <w:p w14:paraId="75793A5F" w14:textId="77777777" w:rsidR="00E67F89" w:rsidRPr="00D42025" w:rsidRDefault="00E67F89" w:rsidP="00E67F89">
            <w:r w:rsidRPr="00D42025">
              <w:t>:</w:t>
            </w:r>
          </w:p>
        </w:tc>
        <w:tc>
          <w:tcPr>
            <w:tcW w:w="7479" w:type="dxa"/>
          </w:tcPr>
          <w:p w14:paraId="46C15635" w14:textId="77777777" w:rsidR="00E67F89" w:rsidRPr="00D42025" w:rsidRDefault="00E67F89" w:rsidP="00E67F89"/>
        </w:tc>
      </w:tr>
      <w:tr w:rsidR="00E67F89" w:rsidRPr="008143E9" w14:paraId="1D87AABC" w14:textId="77777777" w:rsidTr="00223F64">
        <w:tc>
          <w:tcPr>
            <w:tcW w:w="1526" w:type="dxa"/>
          </w:tcPr>
          <w:p w14:paraId="7BC5B27E" w14:textId="77777777" w:rsidR="00E67F89" w:rsidRPr="00D42025" w:rsidRDefault="00E67F89" w:rsidP="00E67F89">
            <w:r w:rsidRPr="00D42025">
              <w:t>Crédit</w:t>
            </w:r>
          </w:p>
        </w:tc>
        <w:tc>
          <w:tcPr>
            <w:tcW w:w="283" w:type="dxa"/>
          </w:tcPr>
          <w:p w14:paraId="6A5D7B57" w14:textId="77777777" w:rsidR="00E67F89" w:rsidRPr="00D42025" w:rsidRDefault="00E67F89" w:rsidP="00E67F89">
            <w:r w:rsidRPr="00D42025">
              <w:t>:</w:t>
            </w:r>
          </w:p>
        </w:tc>
        <w:tc>
          <w:tcPr>
            <w:tcW w:w="7479" w:type="dxa"/>
          </w:tcPr>
          <w:p w14:paraId="1F51BB35" w14:textId="77777777" w:rsidR="00E67F89" w:rsidRPr="00D42025" w:rsidRDefault="00E67F89" w:rsidP="00E67F89"/>
        </w:tc>
      </w:tr>
      <w:tr w:rsidR="00E67F89" w:rsidRPr="008143E9" w14:paraId="18366DA6" w14:textId="77777777" w:rsidTr="00223F64">
        <w:tc>
          <w:tcPr>
            <w:tcW w:w="1526" w:type="dxa"/>
          </w:tcPr>
          <w:p w14:paraId="78ADB6E6" w14:textId="77777777" w:rsidR="00E67F89" w:rsidRPr="00D42025" w:rsidRDefault="00E67F89" w:rsidP="00E67F89">
            <w:r w:rsidRPr="00D42025">
              <w:t>Début</w:t>
            </w:r>
          </w:p>
        </w:tc>
        <w:tc>
          <w:tcPr>
            <w:tcW w:w="283" w:type="dxa"/>
          </w:tcPr>
          <w:p w14:paraId="3B4E9622" w14:textId="77777777" w:rsidR="00E67F89" w:rsidRPr="00D42025" w:rsidRDefault="00E67F89" w:rsidP="00E67F89">
            <w:r w:rsidRPr="00D42025">
              <w:t>:</w:t>
            </w:r>
          </w:p>
        </w:tc>
        <w:tc>
          <w:tcPr>
            <w:tcW w:w="7479" w:type="dxa"/>
          </w:tcPr>
          <w:p w14:paraId="50E26480" w14:textId="77777777" w:rsidR="00E67F89" w:rsidRPr="00D42025" w:rsidRDefault="00E67F89" w:rsidP="00E67F89"/>
        </w:tc>
      </w:tr>
      <w:tr w:rsidR="00E67F89" w:rsidRPr="008143E9" w14:paraId="1D5F08F7" w14:textId="77777777" w:rsidTr="00223F64">
        <w:tc>
          <w:tcPr>
            <w:tcW w:w="1526" w:type="dxa"/>
          </w:tcPr>
          <w:p w14:paraId="7B194966" w14:textId="77777777" w:rsidR="00E67F89" w:rsidRPr="00D42025" w:rsidRDefault="00E67F89" w:rsidP="00E67F89">
            <w:r w:rsidRPr="00D42025">
              <w:t>Fin</w:t>
            </w:r>
          </w:p>
        </w:tc>
        <w:tc>
          <w:tcPr>
            <w:tcW w:w="283" w:type="dxa"/>
          </w:tcPr>
          <w:p w14:paraId="1421D4EE" w14:textId="77777777" w:rsidR="00E67F89" w:rsidRPr="00D42025" w:rsidRDefault="00E67F89" w:rsidP="00E67F89">
            <w:r w:rsidRPr="00D42025">
              <w:t>:</w:t>
            </w:r>
          </w:p>
        </w:tc>
        <w:tc>
          <w:tcPr>
            <w:tcW w:w="7479" w:type="dxa"/>
          </w:tcPr>
          <w:p w14:paraId="70F26023" w14:textId="77777777" w:rsidR="00E67F89" w:rsidRPr="00D42025" w:rsidRDefault="00E67F89" w:rsidP="00E67F89"/>
        </w:tc>
      </w:tr>
    </w:tbl>
    <w:p w14:paraId="61E7B515" w14:textId="77777777" w:rsidR="00E67F89" w:rsidRPr="00D42025" w:rsidRDefault="00E67F89" w:rsidP="00E67F89"/>
    <w:p w14:paraId="111AE02A" w14:textId="77777777" w:rsidR="00E67F89" w:rsidRPr="00D42025" w:rsidRDefault="00E67F89" w:rsidP="00E67F89"/>
    <w:p w14:paraId="4F16768F" w14:textId="77777777" w:rsidR="00E67F89" w:rsidRPr="00D42025" w:rsidRDefault="00E67F89" w:rsidP="00E67F89">
      <w:r w:rsidRPr="00D42025">
        <w:t>Les employés (ouvriers et cadres) ainsi que ceux des éventuels sous-traitants sont soumis au présent Code de conduite visant à assurer :</w:t>
      </w:r>
    </w:p>
    <w:p w14:paraId="2BCF3AD8" w14:textId="77777777" w:rsidR="00E67F89" w:rsidRPr="00D42025" w:rsidRDefault="00E67F89" w:rsidP="00E67F89">
      <w:r w:rsidRPr="00D42025">
        <w:t xml:space="preserve">Le respect des mœurs et coutumes des communautés locales environnantes. </w:t>
      </w:r>
    </w:p>
    <w:p w14:paraId="481143B7" w14:textId="77777777" w:rsidR="00E67F89" w:rsidRPr="00D42025" w:rsidRDefault="00E67F89" w:rsidP="00E67F89">
      <w:r w:rsidRPr="00D42025">
        <w:t>Une bonne hygiène, notamment en termes de prévention et de lutte contre les IST et, en particulier, la propagation du VIH/SIDA.</w:t>
      </w:r>
    </w:p>
    <w:p w14:paraId="595F95C0" w14:textId="77777777" w:rsidR="00E67F89" w:rsidRPr="00D42025" w:rsidRDefault="00E67F89" w:rsidP="00E67F89">
      <w:r w:rsidRPr="00D42025">
        <w:t xml:space="preserve">Article </w:t>
      </w:r>
      <w:r w:rsidRPr="00D42025">
        <w:fldChar w:fldCharType="begin"/>
      </w:r>
      <w:r w:rsidRPr="00D42025">
        <w:instrText xml:space="preserve"> SEQ Article \* ARABIC </w:instrText>
      </w:r>
      <w:r w:rsidRPr="00D42025">
        <w:fldChar w:fldCharType="separate"/>
      </w:r>
      <w:r w:rsidRPr="00D42025">
        <w:t>1</w:t>
      </w:r>
      <w:r w:rsidRPr="00D42025">
        <w:fldChar w:fldCharType="end"/>
      </w:r>
      <w:r w:rsidRPr="00D42025">
        <w:t>: Préservation de l’image du Client et de ses partenaires financiers et techniques</w:t>
      </w:r>
    </w:p>
    <w:p w14:paraId="4300D186" w14:textId="77777777" w:rsidR="00E67F89" w:rsidRPr="00D42025" w:rsidRDefault="00E67F89" w:rsidP="00E67F89">
      <w:r w:rsidRPr="00D42025">
        <w:t>Tout au long de l’exécution du Contrat, le Titulaire et ses sous-traitants veillent à montrer une bonne image du Client sur tous les plans : social, environnemental, administratif autres.</w:t>
      </w:r>
    </w:p>
    <w:p w14:paraId="1172D54E" w14:textId="77777777" w:rsidR="00E67F89" w:rsidRPr="00D42025" w:rsidRDefault="00E67F89" w:rsidP="00E67F89">
      <w:r w:rsidRPr="00D42025">
        <w:t xml:space="preserve">Article </w:t>
      </w:r>
      <w:r w:rsidRPr="00D42025">
        <w:fldChar w:fldCharType="begin"/>
      </w:r>
      <w:r w:rsidRPr="00D42025">
        <w:instrText xml:space="preserve"> SEQ Article \* ARABIC </w:instrText>
      </w:r>
      <w:r w:rsidRPr="00D42025">
        <w:fldChar w:fldCharType="separate"/>
      </w:r>
      <w:r w:rsidRPr="00D42025">
        <w:t>2</w:t>
      </w:r>
      <w:r w:rsidRPr="00D42025">
        <w:fldChar w:fldCharType="end"/>
      </w:r>
      <w:r w:rsidRPr="00D42025">
        <w:t> : Comportement général</w:t>
      </w:r>
    </w:p>
    <w:p w14:paraId="7D6DB9B8" w14:textId="77777777" w:rsidR="00E67F89" w:rsidRPr="00D42025" w:rsidRDefault="00E67F89" w:rsidP="00E67F89">
      <w:r w:rsidRPr="00D42025">
        <w:t>Chaque employé (ouvriers et cadres) s'engage (i) à respecter les cultures locales et (ii) à maintenir une relation conviviale et loyale avec ses homologues en s'interdisant tout dénigrement ou critique injustifiés et dans le respect des mœurs et coutumes locales.</w:t>
      </w:r>
    </w:p>
    <w:p w14:paraId="757AC45F" w14:textId="77777777" w:rsidR="00E67F89" w:rsidRPr="00D42025" w:rsidRDefault="00E67F89" w:rsidP="00E67F89">
      <w:r w:rsidRPr="00D42025">
        <w:t xml:space="preserve">Article </w:t>
      </w:r>
      <w:r w:rsidRPr="00D42025">
        <w:fldChar w:fldCharType="begin"/>
      </w:r>
      <w:r w:rsidRPr="00D42025">
        <w:instrText xml:space="preserve"> SEQ Article \* ARABIC </w:instrText>
      </w:r>
      <w:r w:rsidRPr="00D42025">
        <w:fldChar w:fldCharType="separate"/>
      </w:r>
      <w:r w:rsidRPr="00D42025">
        <w:t>3</w:t>
      </w:r>
      <w:r w:rsidRPr="00D42025">
        <w:fldChar w:fldCharType="end"/>
      </w:r>
      <w:r w:rsidRPr="00D42025">
        <w:t xml:space="preserve"> : VIH/Sida et Infections sexuellement transmissibles (IST)</w:t>
      </w:r>
    </w:p>
    <w:p w14:paraId="01CC6C86" w14:textId="77777777" w:rsidR="00E67F89" w:rsidRPr="00D42025" w:rsidRDefault="00E67F89" w:rsidP="00E67F89">
      <w:r w:rsidRPr="00D42025">
        <w:t>Le personnel sera sensibilisé en permanence sur les dangers liés au SIDA et aux maladies sexuellement transmissibles :</w:t>
      </w:r>
    </w:p>
    <w:p w14:paraId="1A6BF579" w14:textId="77777777" w:rsidR="00E67F89" w:rsidRPr="00D42025" w:rsidRDefault="00E67F89" w:rsidP="00E67F89">
      <w:r w:rsidRPr="00D42025">
        <w:t>Au démarrage du chantier, une réunion d’information et de sensibilisation sur les interdits et les coutumes locaux ainsi que sur les IST et le VIH/SIDA sera organisée (i) Qu’est-ce que le SIDA ? Comment se transmet-il ? Quels sont les moyens de préventions possibles ? Liens avec les IST ?</w:t>
      </w:r>
    </w:p>
    <w:p w14:paraId="3AB4DD8E" w14:textId="77777777" w:rsidR="00E67F89" w:rsidRPr="00D42025" w:rsidRDefault="00E67F89" w:rsidP="00E67F89">
      <w:r w:rsidRPr="00D42025">
        <w:t>Encouragement du dépistage volontaire tout en sachant que les malades du SIDA sont pris en charge par l’Etat.</w:t>
      </w:r>
    </w:p>
    <w:p w14:paraId="47A45CB7" w14:textId="77777777" w:rsidR="00E67F89" w:rsidRPr="00D42025" w:rsidRDefault="00E67F89" w:rsidP="00E67F89">
      <w:r w:rsidRPr="00D42025">
        <w:t>Par la suite, les séances de sensibilisation seront organisées d’une manière régulière (tous les mois).</w:t>
      </w:r>
    </w:p>
    <w:p w14:paraId="0785A0F1" w14:textId="77777777" w:rsidR="00E67F89" w:rsidRPr="00D42025" w:rsidRDefault="00E67F89" w:rsidP="00E67F89">
      <w:r w:rsidRPr="00D42025">
        <w:t>Pour ce faire, en tant que de besoin, le Titulaire pourra se faire appuyer par une personne ressource du Comité Local de lutte contre le SIDA (CLLS).</w:t>
      </w:r>
    </w:p>
    <w:p w14:paraId="2C7BE377" w14:textId="77777777" w:rsidR="00E67F89" w:rsidRPr="00D42025" w:rsidRDefault="00E67F89" w:rsidP="00E67F89">
      <w:r w:rsidRPr="00D42025">
        <w:lastRenderedPageBreak/>
        <w:t>Le Titulaire (de même que tous les sous-traitants) mettra à la disposition gratuite des employés des préservatifs à titre gratuit. La Mission de Contrôle (Ingénieur) est chargée de suivre cet aspect. Des contrôles inopinés par le Projet seront assurés.</w:t>
      </w:r>
    </w:p>
    <w:p w14:paraId="27D222A0" w14:textId="77777777" w:rsidR="00E67F89" w:rsidRPr="00D42025" w:rsidRDefault="00E67F89" w:rsidP="00E67F89">
      <w:r w:rsidRPr="00D42025">
        <w:t>Au moins une fois par mois, et/ou durant les réunions de chantier, un bilan de mise en œuvre du présent Code sera fait : toute irrégularité sera mentionnée dans le rapport mensuel.</w:t>
      </w:r>
    </w:p>
    <w:p w14:paraId="43871829" w14:textId="77777777" w:rsidR="00E67F89" w:rsidRPr="00E67F89" w:rsidRDefault="00E67F89" w:rsidP="00E67F89">
      <w:pPr>
        <w:rPr>
          <w:highlight w:val="yellow"/>
        </w:rPr>
      </w:pPr>
      <w:r w:rsidRPr="00E67F89">
        <w:rPr>
          <w:highlight w:val="yellow"/>
        </w:rPr>
        <w:br w:type="page"/>
      </w:r>
    </w:p>
    <w:p w14:paraId="30B6B40A" w14:textId="77777777" w:rsidR="00E67F89" w:rsidRPr="00D42025" w:rsidRDefault="00E67F89" w:rsidP="00E67F89">
      <w:r w:rsidRPr="00D42025">
        <w:lastRenderedPageBreak/>
        <w:t xml:space="preserve">Article </w:t>
      </w:r>
      <w:r w:rsidRPr="00D42025">
        <w:fldChar w:fldCharType="begin"/>
      </w:r>
      <w:r w:rsidRPr="00D42025">
        <w:instrText xml:space="preserve"> SEQ Article \* ARABIC </w:instrText>
      </w:r>
      <w:r w:rsidRPr="00D42025">
        <w:fldChar w:fldCharType="separate"/>
      </w:r>
      <w:r w:rsidRPr="00D42025">
        <w:t>4</w:t>
      </w:r>
      <w:r w:rsidRPr="00D42025">
        <w:fldChar w:fldCharType="end"/>
      </w:r>
      <w:r w:rsidRPr="00D42025">
        <w:t xml:space="preserve"> : Discrétion professionnelle et confidentialité</w:t>
      </w:r>
    </w:p>
    <w:p w14:paraId="6C25A09F" w14:textId="77777777" w:rsidR="00E67F89" w:rsidRPr="00D42025" w:rsidRDefault="00E67F89" w:rsidP="00E67F89">
      <w:r w:rsidRPr="00D42025">
        <w:t>Le Titulaire qui reçoit une communication, à titre confidentiel, des renseignements sur l’état de santé d’un employé donné est tenu de maintenir confidentielle ladite information et de la traiter en conséquence selon les dispositions juridiques en vigueur.</w:t>
      </w:r>
    </w:p>
    <w:p w14:paraId="7A8FEE6B" w14:textId="77777777" w:rsidR="00E67F89" w:rsidRPr="00D42025" w:rsidRDefault="00E67F89" w:rsidP="00E67F89">
      <w:r w:rsidRPr="00D42025">
        <w:t>Le cas échéant, il peut prendre l’attaché du CLLS pour l’appuyer (counselling, appuis divers au malade).</w:t>
      </w:r>
    </w:p>
    <w:p w14:paraId="7EBA660B" w14:textId="77777777" w:rsidR="00E67F89" w:rsidRPr="00D42025" w:rsidRDefault="00E67F89" w:rsidP="00E67F89">
      <w:r w:rsidRPr="00D42025">
        <w:t xml:space="preserve">Article </w:t>
      </w:r>
      <w:r w:rsidRPr="00D42025">
        <w:fldChar w:fldCharType="begin"/>
      </w:r>
      <w:r w:rsidRPr="00D42025">
        <w:instrText xml:space="preserve"> SEQ Article \* ARABIC </w:instrText>
      </w:r>
      <w:r w:rsidRPr="00D42025">
        <w:fldChar w:fldCharType="separate"/>
      </w:r>
      <w:r w:rsidRPr="00D42025">
        <w:t>5</w:t>
      </w:r>
      <w:r w:rsidRPr="00D42025">
        <w:fldChar w:fldCharType="end"/>
      </w:r>
      <w:r w:rsidRPr="00D42025">
        <w:t> : Violences sexuelles basées sur le Genre (VBG)</w:t>
      </w:r>
    </w:p>
    <w:p w14:paraId="4FE9B8D8" w14:textId="77777777" w:rsidR="00E67F89" w:rsidRPr="00D42025" w:rsidRDefault="00E67F89" w:rsidP="00E67F89">
      <w:r w:rsidRPr="00D42025">
        <w:t>Les employés de l’entreprise (y inclus les sous-traitants) ainsi que ceux de la Mission de Contrôle sont tenus d’assister aux séances d’information et de sensibilisation sur les violences basées sur le Genre tout au long du chantier. Une entité spécialisée y afférente sera contractée par le Projet. Des clauses y afférentes seront annexées au Contrat.</w:t>
      </w:r>
    </w:p>
    <w:p w14:paraId="54651241" w14:textId="77777777" w:rsidR="00E67F89" w:rsidRPr="00D42025" w:rsidRDefault="00E67F89" w:rsidP="00E67F89">
      <w:r w:rsidRPr="00D42025">
        <w:t>Des séances d’induction seront organisées pour les ouvriers temporaires avant qu’ils ne commencent les travaux.</w:t>
      </w:r>
    </w:p>
    <w:p w14:paraId="447A3502" w14:textId="77777777" w:rsidR="00E67F89" w:rsidRPr="00D42025" w:rsidRDefault="00E67F89" w:rsidP="00E67F89">
      <w:r w:rsidRPr="00D42025">
        <w:t xml:space="preserve">Article </w:t>
      </w:r>
      <w:r w:rsidRPr="00D42025">
        <w:fldChar w:fldCharType="begin"/>
      </w:r>
      <w:r w:rsidRPr="00D42025">
        <w:instrText xml:space="preserve"> SEQ Article \* ARABIC </w:instrText>
      </w:r>
      <w:r w:rsidRPr="00D42025">
        <w:fldChar w:fldCharType="separate"/>
      </w:r>
      <w:r w:rsidRPr="00D42025">
        <w:t>6</w:t>
      </w:r>
      <w:r w:rsidRPr="00D42025">
        <w:fldChar w:fldCharType="end"/>
      </w:r>
      <w:r w:rsidRPr="00D42025">
        <w:t> : autres éléments de l’hygiène</w:t>
      </w:r>
    </w:p>
    <w:p w14:paraId="1F506F10" w14:textId="77777777" w:rsidR="00E67F89" w:rsidRPr="00D42025" w:rsidRDefault="00E67F89" w:rsidP="00E67F89">
      <w:r w:rsidRPr="00D42025">
        <w:t>Le Titulaire et ses sous-traitants s’engagent à :</w:t>
      </w:r>
    </w:p>
    <w:p w14:paraId="6BC16A6A" w14:textId="77777777" w:rsidR="00E67F89" w:rsidRPr="00D42025" w:rsidRDefault="00E67F89" w:rsidP="00E67F89">
      <w:r w:rsidRPr="00D42025">
        <w:t>A ne donner aux employés que de l’eau potable ;</w:t>
      </w:r>
    </w:p>
    <w:p w14:paraId="761C47C9" w14:textId="77777777" w:rsidR="00E67F89" w:rsidRPr="00D42025" w:rsidRDefault="00E67F89" w:rsidP="00E67F89">
      <w:r w:rsidRPr="00D42025">
        <w:t>Faire respecter l’utilisation des blocs sanitaires ou des latrines ainsi dédiés ;</w:t>
      </w:r>
    </w:p>
    <w:p w14:paraId="35FADDC9" w14:textId="77777777" w:rsidR="00E67F89" w:rsidRPr="00D42025" w:rsidRDefault="00E67F89" w:rsidP="00E67F89">
      <w:r w:rsidRPr="00D42025">
        <w:t>Informer les riverains sur les mesures prévues.</w:t>
      </w:r>
    </w:p>
    <w:p w14:paraId="741B33EB" w14:textId="77777777" w:rsidR="00E67F89" w:rsidRPr="00D42025" w:rsidRDefault="00E67F89" w:rsidP="00E67F89">
      <w:r w:rsidRPr="00D42025">
        <w:t xml:space="preserve">Article </w:t>
      </w:r>
      <w:r w:rsidRPr="00D42025">
        <w:fldChar w:fldCharType="begin"/>
      </w:r>
      <w:r w:rsidRPr="00D42025">
        <w:instrText xml:space="preserve"> SEQ Article \* ARABIC </w:instrText>
      </w:r>
      <w:r w:rsidRPr="00D42025">
        <w:fldChar w:fldCharType="separate"/>
      </w:r>
      <w:r w:rsidRPr="00D42025">
        <w:t>7</w:t>
      </w:r>
      <w:r w:rsidRPr="00D42025">
        <w:fldChar w:fldCharType="end"/>
      </w:r>
      <w:r w:rsidRPr="00D42025">
        <w:t> : Mise en œuvre et suivi</w:t>
      </w:r>
    </w:p>
    <w:p w14:paraId="52A3BEA6" w14:textId="77777777" w:rsidR="00E67F89" w:rsidRPr="00D42025" w:rsidRDefault="00E67F89" w:rsidP="00E67F89">
      <w:r w:rsidRPr="00D42025">
        <w:t>Au moins une fois par mois, et/ou durant les réunions de chantier, un bilan de mise en œuvre du présent Code sera fait : toute irrégularité sera mentionnée dans le rapport mensuel.</w:t>
      </w:r>
    </w:p>
    <w:p w14:paraId="6ED5BEF1" w14:textId="77777777" w:rsidR="00E67F89" w:rsidRPr="00D42025" w:rsidRDefault="00E67F89" w:rsidP="00E67F89">
      <w:r w:rsidRPr="00D42025">
        <w:t xml:space="preserve">Article </w:t>
      </w:r>
      <w:r w:rsidRPr="00D42025">
        <w:fldChar w:fldCharType="begin"/>
      </w:r>
      <w:r w:rsidRPr="00D42025">
        <w:instrText xml:space="preserve"> SEQ Article \* ARABIC </w:instrText>
      </w:r>
      <w:r w:rsidRPr="00D42025">
        <w:fldChar w:fldCharType="separate"/>
      </w:r>
      <w:r w:rsidRPr="00D42025">
        <w:t>8</w:t>
      </w:r>
      <w:r w:rsidRPr="00D42025">
        <w:fldChar w:fldCharType="end"/>
      </w:r>
      <w:r w:rsidRPr="00D42025">
        <w:t> : Moyens de diffusion du présent Code</w:t>
      </w:r>
    </w:p>
    <w:p w14:paraId="190B1F2F" w14:textId="77777777" w:rsidR="00E67F89" w:rsidRPr="00D42025" w:rsidRDefault="00E67F89" w:rsidP="00E67F89">
      <w:r w:rsidRPr="00D42025">
        <w:t xml:space="preserve">Ce Code sera affiché dans les bureaux et au niveau de la base-vie avec le Code général. </w:t>
      </w:r>
    </w:p>
    <w:p w14:paraId="5AB81CD3" w14:textId="77777777" w:rsidR="00E67F89" w:rsidRPr="008143E9" w:rsidRDefault="00E67F89" w:rsidP="00E67F89">
      <w:r w:rsidRPr="00D42025">
        <w:t xml:space="preserve">Le Chef de la Mission de Contrôle </w:t>
      </w:r>
      <w:r w:rsidRPr="00D42025">
        <w:tab/>
      </w:r>
      <w:r w:rsidRPr="00D42025">
        <w:tab/>
      </w:r>
      <w:r w:rsidRPr="00D42025">
        <w:tab/>
        <w:t>L’Ingénieur des Travaux de l’Entreprise</w:t>
      </w:r>
    </w:p>
    <w:p w14:paraId="6436A0D1" w14:textId="77777777" w:rsidR="00E67F89" w:rsidRPr="008143E9" w:rsidRDefault="00E67F89" w:rsidP="00E67F89">
      <w:r w:rsidRPr="008143E9">
        <w:br w:type="page"/>
      </w:r>
    </w:p>
    <w:p w14:paraId="1EC46DC9" w14:textId="77777777" w:rsidR="00E67F89" w:rsidRPr="00D42025" w:rsidRDefault="00E67F89" w:rsidP="00E67F89">
      <w:r w:rsidRPr="00D42025">
        <w:lastRenderedPageBreak/>
        <w:t>CODES DE CONDUITE A SIGNER</w:t>
      </w:r>
    </w:p>
    <w:p w14:paraId="70B47529" w14:textId="77777777" w:rsidR="00E67F89" w:rsidRPr="00D42025" w:rsidRDefault="00E67F89" w:rsidP="00E67F89">
      <w:r w:rsidRPr="00D42025">
        <w:t>***************************</w:t>
      </w:r>
    </w:p>
    <w:p w14:paraId="55FF8820" w14:textId="77777777" w:rsidR="00E67F89" w:rsidRPr="00D42025" w:rsidRDefault="00E67F89" w:rsidP="00E67F89">
      <w:bookmarkStart w:id="915" w:name="_Toc529557057"/>
      <w:r w:rsidRPr="00D42025">
        <w:t>CODE DE CONDUITE POUR L'ENTREPRISE</w:t>
      </w:r>
      <w:bookmarkEnd w:id="915"/>
    </w:p>
    <w:p w14:paraId="4716128F" w14:textId="77777777" w:rsidR="00E67F89" w:rsidRPr="00D42025" w:rsidRDefault="00E67F89" w:rsidP="00E67F89">
      <w:r w:rsidRPr="00D42025">
        <w:t>Mise en œuvre des normes HSSE et SST</w:t>
      </w:r>
    </w:p>
    <w:p w14:paraId="34D2D71C" w14:textId="77777777" w:rsidR="00E67F89" w:rsidRPr="00D42025" w:rsidRDefault="00E67F89" w:rsidP="00E67F89">
      <w:r w:rsidRPr="00D42025">
        <w:t>Prévenir les Violences basées sur le genre et les Violences contre les enfants</w:t>
      </w:r>
    </w:p>
    <w:p w14:paraId="37E13870" w14:textId="77777777" w:rsidR="00E67F89" w:rsidRPr="00D42025" w:rsidRDefault="00E67F89" w:rsidP="00E67F89">
      <w:r w:rsidRPr="00D42025">
        <w:t>L'entreprise s'engage à veiller à ce que le Projet soit mis en œuvre de manière à minimiser les impacts négatifs sur l'environnement local, les communautés et les travailleurs. Cela se fera en respectant les normes environnementales, sociales, de santé et de sécurité (HSSE) et en veillant à ce que les normes appropriées en matière de santé et de sécurité au travail (SST) soient respectées. L'entreprise s'engage également à créer et maintenir un environnement dans lequel la violence basée sur le genre (VBG) et la violence contre les enfants (VCE) n'ont pas leur place et où elles ne seront tolérées par aucun employé, sous-traitant, fournisseur, associé ou représentant de l'entreprise.</w:t>
      </w:r>
    </w:p>
    <w:p w14:paraId="563EEB3D" w14:textId="77777777" w:rsidR="00E67F89" w:rsidRPr="00D42025" w:rsidRDefault="00E67F89" w:rsidP="00E67F89">
      <w:r w:rsidRPr="00D42025">
        <w:t>Par conséquent, pour s'assurer que tous les participants au Projet sont conscients de cet engagement, l'entreprise s'engage à respecter les principes fondamentaux et les normes de comportement suivants qui s'appliquent à tous les employés, associés et représentants de l'entreprise, y compris les sous-traitants et les fournisseurs, sans exception :</w:t>
      </w:r>
    </w:p>
    <w:p w14:paraId="5DD962F1" w14:textId="77777777" w:rsidR="00E67F89" w:rsidRPr="00D42025" w:rsidRDefault="00E67F89" w:rsidP="00E67F89">
      <w:r w:rsidRPr="00D42025">
        <w:t>Général</w:t>
      </w:r>
    </w:p>
    <w:p w14:paraId="77B595CF" w14:textId="77777777" w:rsidR="00E67F89" w:rsidRPr="00D42025" w:rsidRDefault="00E67F89" w:rsidP="00E67F89">
      <w:r w:rsidRPr="00D42025">
        <w:t>L'entreprise - et donc tous les employés, associés, représentants, sous-traitants et fournisseurs - s'engage à se conformer à toutes les lois, règles et réglementations nationales pertinentes.</w:t>
      </w:r>
    </w:p>
    <w:p w14:paraId="0C411ED6" w14:textId="77777777" w:rsidR="00E67F89" w:rsidRPr="00D42025" w:rsidRDefault="00E67F89" w:rsidP="00E67F89">
      <w:r w:rsidRPr="00D42025">
        <w:t>L'entreprise s'engage à mettre en œuvre intégralement son « Plan de Gestion Environnementale et Sociale de Chantier » (PGES-C).</w:t>
      </w:r>
    </w:p>
    <w:p w14:paraId="3948BC4D" w14:textId="77777777" w:rsidR="00E67F89" w:rsidRPr="00D42025" w:rsidRDefault="00E67F89" w:rsidP="00E67F89">
      <w:r w:rsidRPr="00D42025">
        <w:t>L'entreprise s'engage à traiter les femmes, les enfants (personnes de moins de 18 ans) et les hommes avec respect quelle que soit leur race, couleur, langue, religion, opinion politique ou autre, origine nationale, ethnique ou sociale, propriété, handicap, naissance ou un autre statut. Les actes de VBG et de VCE sont en violation de cet engagement.</w:t>
      </w:r>
    </w:p>
    <w:p w14:paraId="366CB788" w14:textId="77777777" w:rsidR="00E67F89" w:rsidRPr="00D42025" w:rsidRDefault="00E67F89" w:rsidP="00E67F89">
      <w:r w:rsidRPr="00D42025">
        <w:t>L'entreprise doit s'assurer que les interactions avec les membres de la communauté locale sont faites avec respect et sans discrimination.</w:t>
      </w:r>
    </w:p>
    <w:p w14:paraId="03C9A2EB" w14:textId="77777777" w:rsidR="00E67F89" w:rsidRPr="00D42025" w:rsidRDefault="00E67F89" w:rsidP="00E67F89">
      <w:r w:rsidRPr="00D42025">
        <w:t>Le langage et le comportement avilissants, menaçants, harcelants, abusifs, culturellement inappropriés ou sexuellement provocateurs sont interdits chez tous les employés, associés et représentants de l'entreprise, y compris les sous-traitants et les fournisseurs.</w:t>
      </w:r>
    </w:p>
    <w:p w14:paraId="697BC1EC" w14:textId="77777777" w:rsidR="00E67F89" w:rsidRPr="00D42025" w:rsidRDefault="00E67F89" w:rsidP="00E67F89">
      <w:r w:rsidRPr="00D42025">
        <w:t>L'entreprise suivra toutes les instructions de travail raisonnables (y compris en ce qui concerne les normes environnementales et sociales).</w:t>
      </w:r>
    </w:p>
    <w:p w14:paraId="4BCB6F8C" w14:textId="77777777" w:rsidR="00E67F89" w:rsidRPr="00D42025" w:rsidRDefault="00E67F89" w:rsidP="00E67F89">
      <w:r w:rsidRPr="00D42025">
        <w:t>L'entreprise protégera et assurera l'utilisation appropriée des biens (par exemple, pour interdire le vol, la négligence ou le gaspillage).</w:t>
      </w:r>
    </w:p>
    <w:p w14:paraId="56832E84" w14:textId="77777777" w:rsidR="00E67F89" w:rsidRPr="00D42025" w:rsidRDefault="00E67F89" w:rsidP="00E67F89">
      <w:r w:rsidRPr="00D42025">
        <w:t>Santé et sécurité</w:t>
      </w:r>
    </w:p>
    <w:p w14:paraId="019C63EF" w14:textId="77777777" w:rsidR="00E67F89" w:rsidRPr="00D42025" w:rsidRDefault="00E67F89" w:rsidP="00E67F89">
      <w:r w:rsidRPr="00D42025">
        <w:lastRenderedPageBreak/>
        <w:t>L'entreprise veillera à ce que le plan de gestion de la santé et de la sécurité au travail (SST) du Projet soit mis en œuvre efficacement par le personnel de l'entreprise, ainsi que par les sous-traitants et les fournisseurs.</w:t>
      </w:r>
    </w:p>
    <w:p w14:paraId="46D37919" w14:textId="77777777" w:rsidR="00E67F89" w:rsidRPr="00D42025" w:rsidRDefault="00E67F89" w:rsidP="00E67F89">
      <w:r w:rsidRPr="00D42025">
        <w:t>L'entreprise veillera à ce que toutes les personnes sur le site portent un équipement de protection individuelle approprié et prescrit, empêchant les accidents évitables et les conditions ou pratiques de déclaration qui présentent un danger pour la sécurité ou qui menacent l'environnement.</w:t>
      </w:r>
    </w:p>
    <w:p w14:paraId="466A5C8D" w14:textId="77777777" w:rsidR="00E67F89" w:rsidRPr="00D42025" w:rsidRDefault="00E67F89" w:rsidP="00E67F89">
      <w:r w:rsidRPr="00D42025">
        <w:t>L'entreprise s’engage à :</w:t>
      </w:r>
    </w:p>
    <w:p w14:paraId="796D56E0" w14:textId="77777777" w:rsidR="00E67F89" w:rsidRPr="00D42025" w:rsidRDefault="00E67F89" w:rsidP="00E67F89">
      <w:r w:rsidRPr="00D42025">
        <w:t>interdire l'usage de l'alcool pendant les activités de travail.</w:t>
      </w:r>
    </w:p>
    <w:p w14:paraId="72AABE6A" w14:textId="77777777" w:rsidR="00E67F89" w:rsidRPr="00D42025" w:rsidRDefault="00E67F89" w:rsidP="00E67F89">
      <w:r w:rsidRPr="00D42025">
        <w:t>interdire l'usage de stupéfiants ou d'autres substances qui peuvent altérer les facultés en tout temps.</w:t>
      </w:r>
    </w:p>
    <w:p w14:paraId="1B57F035" w14:textId="77777777" w:rsidR="00E67F89" w:rsidRPr="00D42025" w:rsidRDefault="00E67F89" w:rsidP="00E67F89">
      <w:r w:rsidRPr="00D42025">
        <w:t>L'entreprise veillera à ce que des installations d'assainissement adéquates soient disponibles sur le site et dans les locaux d’accueil fournis aux personnes travaillant sur le Projet.</w:t>
      </w:r>
    </w:p>
    <w:p w14:paraId="17A6D2EF" w14:textId="77777777" w:rsidR="00E67F89" w:rsidRPr="00D42025" w:rsidRDefault="00E67F89" w:rsidP="00E67F89">
      <w:r w:rsidRPr="00D42025">
        <w:t>Violence basée sur le genre et violence contre les enfants</w:t>
      </w:r>
    </w:p>
    <w:p w14:paraId="75F6DEB5" w14:textId="77777777" w:rsidR="00E67F89" w:rsidRPr="00D42025" w:rsidRDefault="00E67F89" w:rsidP="00E67F89">
      <w:r w:rsidRPr="00D42025">
        <w:t>Les actes de VBG ou de VCE constituent une faute grave et sont donc des motifs de sanctions, qui peuvent inclure des sanctions et/ou la cessation d'emploi, et si nécessaire le renvoi à la police pour d'autres mesures.</w:t>
      </w:r>
    </w:p>
    <w:p w14:paraId="1ACAB553" w14:textId="77777777" w:rsidR="00E67F89" w:rsidRPr="00D42025" w:rsidRDefault="00E67F89" w:rsidP="00E67F89">
      <w:r w:rsidRPr="00D42025">
        <w:t>Toutes les formes de VBG et de VCE, y compris l’abus sexuel, sont inacceptables, qu'elles aient lieu sur le lieu de travail, dans les camps de travailleurs ou dans la communauté locale.</w:t>
      </w:r>
    </w:p>
    <w:p w14:paraId="6D9AF675" w14:textId="77777777" w:rsidR="00E67F89" w:rsidRPr="00D42025" w:rsidRDefault="00E67F89" w:rsidP="00E67F89">
      <w:r w:rsidRPr="00D42025">
        <w:t>Le harcèlement sexuel - par exemple, faire des avances sexuelles inopportunes, des demandes de faveurs sexuelles et d'autres comportements verbaux ou physiques, de nature sexuelle, y compris des actes subtils d'un tel comportement, est interdit.</w:t>
      </w:r>
    </w:p>
    <w:p w14:paraId="6CEDE761" w14:textId="77777777" w:rsidR="00E67F89" w:rsidRPr="00D42025" w:rsidRDefault="00E67F89" w:rsidP="00E67F89">
      <w:r w:rsidRPr="00D42025">
        <w:t>Les faveurs sexuelles - par exemple, faire des promesses ou un traitement favorable dépendant d'actes sexuels - ou d'autres formes de comportement humiliant, dégradant ou d'exploitation sont interdites.</w:t>
      </w:r>
    </w:p>
    <w:p w14:paraId="7DD25E42" w14:textId="77777777" w:rsidR="00E67F89" w:rsidRPr="00D42025" w:rsidRDefault="00E67F89" w:rsidP="00E67F89">
      <w:r w:rsidRPr="00D42025">
        <w:t>Le contact ou l'activité sexuelle avec des enfants de moins de 18 ans - y compris par le biais des médias numériques - est interdit. Une croyance erronée concernant l'âge d'un enfant n'est pas une défense. Le consentement de l'enfant n'est pas non plus une défense ou une excuse.</w:t>
      </w:r>
    </w:p>
    <w:p w14:paraId="39D98A2D" w14:textId="77777777" w:rsidR="00E67F89" w:rsidRPr="00D42025" w:rsidRDefault="00E67F89" w:rsidP="00E67F89">
      <w:r w:rsidRPr="00D42025">
        <w:t>À moins d'un consentement total de toutes les parties impliquées dans l'acte sexuel, les interactions sexuelles entre les employés de l'entreprise (à tous les niveaux) et les membres des communautés entourant le lieu de travail sont interdites. Cela inclut les relations impliquant la retenue / la promesse d'une prestation réelle (monétaire ou non monétaire) aux membres de la communauté en échange de rapports sexuels - une telle activité sexuelle est considérée comme « non consensuelle » dans le champ d'application de ce Code.</w:t>
      </w:r>
    </w:p>
    <w:p w14:paraId="13F0D6E9" w14:textId="77777777" w:rsidR="00E67F89" w:rsidRPr="00D42025" w:rsidRDefault="00E67F89" w:rsidP="00E67F89">
      <w:r w:rsidRPr="00D42025">
        <w:t>Outre les sanctions imposées aux entreprises, les poursuites judiciaires contre ceux qui commettent des actes de VBG ou de VCE seront poursuivies le cas échéant.</w:t>
      </w:r>
    </w:p>
    <w:p w14:paraId="1971578D" w14:textId="77777777" w:rsidR="00E67F89" w:rsidRPr="00D42025" w:rsidRDefault="00E67F89" w:rsidP="00E67F89">
      <w:r w:rsidRPr="00D42025">
        <w:t xml:space="preserve">Tous les employés, y compris les bénévoles et les sous-traitants, sont fortement encouragés à signaler les actes présumés ou réels de VBG et/ou de VCE par un collègue, que ce soit dans la </w:t>
      </w:r>
      <w:r w:rsidRPr="00D42025">
        <w:lastRenderedPageBreak/>
        <w:t>même entreprise ou non. Les rapports doivent être faits conformément aux procédures de déclaration VBG et VCE du Projet.</w:t>
      </w:r>
    </w:p>
    <w:p w14:paraId="6996AEDF" w14:textId="77777777" w:rsidR="00E67F89" w:rsidRPr="00D42025" w:rsidRDefault="00E67F89" w:rsidP="00E67F89">
      <w:r w:rsidRPr="00D42025">
        <w:t>Les gestionnaires sont tenus de signaler et d'agir pour contrer les actes présumés ou réels de VBG et/ou de VCE, car ils ont la responsabilité de respecter les engagements de l'entreprise et de tenir leurs subordonnés directs responsables.</w:t>
      </w:r>
    </w:p>
    <w:p w14:paraId="103288E3" w14:textId="77777777" w:rsidR="00E67F89" w:rsidRPr="00D42025" w:rsidRDefault="00E67F89" w:rsidP="00E67F89">
      <w:r w:rsidRPr="00D42025">
        <w:t>Mise en œuvre</w:t>
      </w:r>
    </w:p>
    <w:p w14:paraId="7DBA23D5" w14:textId="77777777" w:rsidR="00E67F89" w:rsidRPr="00D42025" w:rsidRDefault="00E67F89" w:rsidP="00E67F89">
      <w:r w:rsidRPr="00D42025">
        <w:t>Pour s'assurer que les principes ci-dessus sont mis en œuvre efficacement, l'entreprise s'engage à assurer que :</w:t>
      </w:r>
    </w:p>
    <w:p w14:paraId="68FDAB7F" w14:textId="77777777" w:rsidR="00E67F89" w:rsidRPr="00D42025" w:rsidRDefault="00E67F89" w:rsidP="00E67F89">
      <w:r w:rsidRPr="00D42025">
        <w:t>Tous les gestionnaires signent le « Code de conduite du gestionnaire » du Projet, détaillant leurs responsabilités pour la mise en œuvre des engagements de l'entreprise et l'application des responsabilités dans le « Code de conduite individuel ».</w:t>
      </w:r>
    </w:p>
    <w:p w14:paraId="66A9108F" w14:textId="77777777" w:rsidR="00E67F89" w:rsidRPr="00D42025" w:rsidRDefault="00E67F89" w:rsidP="00E67F89">
      <w:r w:rsidRPr="00D42025">
        <w:t>Tous les employés signent le « Code de conduite individuel » du Projet, confirmant leur accord pour se conformer aux normes HSSE et SST, et ne s'engagent pas dans des activités ayant pour résultat la VBG ou la VCE.</w:t>
      </w:r>
    </w:p>
    <w:p w14:paraId="7EED2D97" w14:textId="77777777" w:rsidR="00E67F89" w:rsidRPr="00D42025" w:rsidRDefault="00E67F89" w:rsidP="00E67F89">
      <w:r w:rsidRPr="00D42025">
        <w:t>Afficher les Codes de conduite de l'entreprise et de chacun dans les camps de travailleurs, les bureaux et dans les espaces publics de l'espace de travail. Des exemples de zones comprennent les zones d'attente, de repos et d’accueil des sites, des zones de cantine et des cliniques de santé.</w:t>
      </w:r>
    </w:p>
    <w:p w14:paraId="54BF88A3" w14:textId="77777777" w:rsidR="00E67F89" w:rsidRPr="00D42025" w:rsidRDefault="00E67F89" w:rsidP="00E67F89">
      <w:r w:rsidRPr="00D42025">
        <w:t>Veiller à ce que les copies postées et distribuées de la Société et des Codes de conduite individuels soient traduites dans la langue d'utilisation appropriée dans les zones de travail ainsi que pour tout le personnel international dans leur langue maternelle.</w:t>
      </w:r>
    </w:p>
    <w:p w14:paraId="144CBABC" w14:textId="77777777" w:rsidR="00E67F89" w:rsidRPr="00D42025" w:rsidRDefault="00E67F89" w:rsidP="00E67F89">
      <w:r w:rsidRPr="00D42025">
        <w:t>Une personne appropriée est désignée comme « point focal » de l'entreprise pour traiter les questions de VBG et de VCE, y compris représenter l'entreprise au sein de l'équipe de conformité VBG et VCE (ESVV) composée de représentants du client, de l'entrepreneur, consultant en supervision et fournisseur(s) de services locaux.</w:t>
      </w:r>
    </w:p>
    <w:p w14:paraId="5EA48D7F" w14:textId="77777777" w:rsidR="00E67F89" w:rsidRPr="00D42025" w:rsidRDefault="00E67F89" w:rsidP="00E67F89">
      <w:r w:rsidRPr="00D42025">
        <w:t>Veiller à ce qu'un plan d'action efficace en matière de VBG et de VCE soit élaboré en consultation avec l’ESVV, ce qui comprend au minimum :</w:t>
      </w:r>
    </w:p>
    <w:p w14:paraId="69D51AC0" w14:textId="77777777" w:rsidR="00E67F89" w:rsidRPr="00D42025" w:rsidRDefault="00E67F89" w:rsidP="00E67F89">
      <w:r w:rsidRPr="00D42025">
        <w:t>Procédure de déclaration de VBG et de VCE pour signaler les problèmes de VBG et de VCE par le biais du mécanisme de règlement des litiges du Projet (section 4.3 - Plan d'action) ;</w:t>
      </w:r>
    </w:p>
    <w:p w14:paraId="2F701AE2" w14:textId="77777777" w:rsidR="00E67F89" w:rsidRPr="00D42025" w:rsidRDefault="00E67F89" w:rsidP="00E67F89">
      <w:r w:rsidRPr="00D42025">
        <w:t>Mesures de responsabilisation pour protéger la confidentialité de toutes les parties concernées (section 4.4 - Plan d'action) ; et,</w:t>
      </w:r>
    </w:p>
    <w:p w14:paraId="7AC40F7D" w14:textId="77777777" w:rsidR="00E67F89" w:rsidRPr="00D42025" w:rsidRDefault="00E67F89" w:rsidP="00E67F89">
      <w:r w:rsidRPr="00D42025">
        <w:t>Protocole de réponse applicable aux Victimes et auteurs de VBG et de VCE (section 4.7 - Plan d'action)</w:t>
      </w:r>
    </w:p>
    <w:p w14:paraId="4E9321E0" w14:textId="77777777" w:rsidR="00E67F89" w:rsidRPr="00D42025" w:rsidRDefault="00E67F89" w:rsidP="00E67F89">
      <w:r w:rsidRPr="00D42025">
        <w:t>Que l'entreprise mette en œuvre efficacement le plan d'action final sur la VBG et la VCE convenu, en fournissant des commentaires à l’ESVV pour des améliorations et des mises à jour, le cas échéant.</w:t>
      </w:r>
    </w:p>
    <w:p w14:paraId="7D8764C4" w14:textId="77777777" w:rsidR="00E67F89" w:rsidRPr="00D42025" w:rsidRDefault="00E67F89" w:rsidP="00E67F89">
      <w:r w:rsidRPr="00D42025">
        <w:lastRenderedPageBreak/>
        <w:t>Tous les employés suivent un cours de formation initiale avant de commencer à travailler sur le site pour s'assurer qu'ils connaissent bien les engagements de l'entreprise envers les normes HSSE et SST, ainsi que les Codes de conduite VBG et VCE du Projet.</w:t>
      </w:r>
    </w:p>
    <w:p w14:paraId="52E9B712" w14:textId="77777777" w:rsidR="00E67F89" w:rsidRPr="00D42025" w:rsidRDefault="00E67F89" w:rsidP="00E67F89">
      <w:r w:rsidRPr="00D42025">
        <w:t>Tous les employés suivent un cours de formation obligatoire une fois par mois pour la durée du contrat à compter de la première formation initiale avant le début des travaux pour renforcer la compréhension des normes HSSE et SST du Projet et du Code de conduite VBG et VCE.</w:t>
      </w:r>
    </w:p>
    <w:p w14:paraId="6077F416" w14:textId="77777777" w:rsidR="00E67F89" w:rsidRPr="00D42025" w:rsidRDefault="00E67F89" w:rsidP="00E67F89"/>
    <w:p w14:paraId="6B210FEB" w14:textId="77777777" w:rsidR="00E67F89" w:rsidRPr="00D42025" w:rsidRDefault="00E67F89" w:rsidP="00E67F89">
      <w:r w:rsidRPr="00D42025">
        <w:t>Je reconnais par la présente avoir lu le Code de Conduite de la Société susmentionné et, au nom de la société, j'accepte de me conformer aux normes qui y sont contenues. Je comprends mon rôle et mes responsabilités pour soutenir les normes SST et HSSE du Projet, et pour prévenir et répondre à la VBG et à la VCE. Je comprends que toute action incompatible avec le présent Code de Conduite de la Société ou l'omission d'agir conformément au présent Code de conduite de la Société peut entraîner des mesures disciplinaires.</w:t>
      </w:r>
    </w:p>
    <w:p w14:paraId="3047D1A1" w14:textId="77777777" w:rsidR="00E67F89" w:rsidRPr="00D42025" w:rsidRDefault="00E67F89" w:rsidP="00E67F89"/>
    <w:p w14:paraId="4E41CE4D" w14:textId="77777777" w:rsidR="00E67F89" w:rsidRPr="00D42025" w:rsidRDefault="00E67F89" w:rsidP="00E67F89">
      <w:r w:rsidRPr="00D42025">
        <w:t>Nom de la Compagnie : _________________________</w:t>
      </w:r>
    </w:p>
    <w:p w14:paraId="4D943E62" w14:textId="77777777" w:rsidR="00E67F89" w:rsidRPr="00D42025" w:rsidRDefault="00E67F89" w:rsidP="00E67F89"/>
    <w:p w14:paraId="4B2A0A58" w14:textId="77777777" w:rsidR="00E67F89" w:rsidRPr="00D42025" w:rsidRDefault="00E67F89" w:rsidP="00E67F89">
      <w:r w:rsidRPr="00D42025">
        <w:t>Signature :</w:t>
      </w:r>
      <w:r w:rsidRPr="00D42025">
        <w:tab/>
        <w:t>_________________________________</w:t>
      </w:r>
    </w:p>
    <w:p w14:paraId="26DBBC85" w14:textId="77777777" w:rsidR="00E67F89" w:rsidRPr="00D42025" w:rsidRDefault="00E67F89" w:rsidP="00E67F89"/>
    <w:p w14:paraId="56DBF908" w14:textId="77777777" w:rsidR="00E67F89" w:rsidRPr="00D42025" w:rsidRDefault="00E67F89" w:rsidP="00E67F89">
      <w:r w:rsidRPr="00D42025">
        <w:t>Nom en majuscules : ___________________________</w:t>
      </w:r>
    </w:p>
    <w:p w14:paraId="4FED8305" w14:textId="77777777" w:rsidR="00E67F89" w:rsidRPr="00D42025" w:rsidRDefault="00E67F89" w:rsidP="00E67F89"/>
    <w:p w14:paraId="65C82BDC" w14:textId="77777777" w:rsidR="00E67F89" w:rsidRPr="00D42025" w:rsidRDefault="00E67F89" w:rsidP="00E67F89">
      <w:r w:rsidRPr="00D42025">
        <w:t>Titre : _______________________________________</w:t>
      </w:r>
    </w:p>
    <w:p w14:paraId="4B4776FB" w14:textId="77777777" w:rsidR="00E67F89" w:rsidRPr="00D42025" w:rsidRDefault="00E67F89" w:rsidP="00E67F89"/>
    <w:p w14:paraId="0FAC4FC8" w14:textId="77777777" w:rsidR="00E67F89" w:rsidRPr="008143E9" w:rsidRDefault="00E67F89" w:rsidP="00E67F89">
      <w:r w:rsidRPr="00D42025">
        <w:t>Date : _______________________________________</w:t>
      </w:r>
    </w:p>
    <w:p w14:paraId="607D61E7" w14:textId="77777777" w:rsidR="00E67F89" w:rsidRPr="008143E9" w:rsidRDefault="00E67F89" w:rsidP="00E67F89">
      <w:r w:rsidRPr="008143E9">
        <w:br w:type="page"/>
      </w:r>
    </w:p>
    <w:p w14:paraId="4521C83D" w14:textId="77777777" w:rsidR="00E67F89" w:rsidRPr="00D42025" w:rsidRDefault="00E67F89" w:rsidP="00E67F89">
      <w:bookmarkStart w:id="916" w:name="_Toc529557058"/>
      <w:r w:rsidRPr="00D42025">
        <w:lastRenderedPageBreak/>
        <w:t>CODE DE CONDUITE POUR LE GESTIONNAIRE</w:t>
      </w:r>
      <w:bookmarkEnd w:id="916"/>
    </w:p>
    <w:p w14:paraId="3C0BA686" w14:textId="77777777" w:rsidR="00E67F89" w:rsidRPr="00D42025" w:rsidRDefault="00E67F89" w:rsidP="00E67F89">
      <w:r w:rsidRPr="00D42025">
        <w:t>Mise en œuvre des normes HSSE et SST</w:t>
      </w:r>
    </w:p>
    <w:p w14:paraId="26003EC5" w14:textId="77777777" w:rsidR="00E67F89" w:rsidRPr="00D42025" w:rsidRDefault="00E67F89" w:rsidP="00E67F89">
      <w:r w:rsidRPr="00D42025">
        <w:t>Prévenir les Violences basées sur le genre et les Violences contre les enfants</w:t>
      </w:r>
    </w:p>
    <w:p w14:paraId="6E6C972A" w14:textId="77777777" w:rsidR="00E67F89" w:rsidRPr="00D42025" w:rsidRDefault="00E67F89" w:rsidP="00E67F89">
      <w:r w:rsidRPr="00D42025">
        <w:t>Les gestionnaires de tous les niveaux ont la responsabilité de respecter l'engagement de l'entreprise à mettre en œuvre les normes HSSE et SST, et de prévenir et combattre la VBG et la VCE. Cela signifie que les gestionnaires ont la responsabilité de créer et de maintenir un environnement qui respecte ces normes et empêche la VBG et la VCE. Les gestionnaires doivent soutenir et promouvoir la mise en œuvre du Code de conduite de la Société. À cette fin, les gestionnaires doivent respecter le Code de conduite de ce gestionnaire et signer le Code de conduite individuel. Ceci les engage à soutenir la mise en œuvre du PGES-C et du plan de gestion de SST, et à développer des systèmes qui facilitent la mise en œuvre du Plan d'action sur la VBG et la VCE. Ils doivent maintenir un environnement de travail sûr, ainsi qu'un environnement exempt de VBG et sans VCE sur le lieu de travail et dans la communauté locale. Ces responsabilités incluent mais ne sont pas limitées à :</w:t>
      </w:r>
    </w:p>
    <w:p w14:paraId="052DAB06" w14:textId="77777777" w:rsidR="00E67F89" w:rsidRPr="00D42025" w:rsidRDefault="00E67F89" w:rsidP="00E67F89">
      <w:r w:rsidRPr="00D42025">
        <w:t>Mise en œuvre</w:t>
      </w:r>
    </w:p>
    <w:p w14:paraId="4406B85B" w14:textId="77777777" w:rsidR="00E67F89" w:rsidRPr="00D42025" w:rsidRDefault="00E67F89" w:rsidP="00E67F89">
      <w:r w:rsidRPr="00D42025">
        <w:t>Pour assurer une efficacité maximale de la société et des Codes de conduite individuels :</w:t>
      </w:r>
    </w:p>
    <w:p w14:paraId="50DB5738" w14:textId="77777777" w:rsidR="00E67F89" w:rsidRPr="00D42025" w:rsidRDefault="00E67F89" w:rsidP="00E67F89">
      <w:r w:rsidRPr="00D42025">
        <w:t>Montrer clairement la Compagnie et les Codes de conduite individuels dans les camps de travailleurs, les bureaux et dans les espaces publics de l'espace de travail. Des exemples de zones comprennent les zones d'attente, de repos et d’accueil des sites, des zones de cantine et des cliniques de santé.</w:t>
      </w:r>
    </w:p>
    <w:p w14:paraId="56F01C92" w14:textId="77777777" w:rsidR="00E67F89" w:rsidRPr="00D42025" w:rsidRDefault="00E67F89" w:rsidP="00E67F89">
      <w:r w:rsidRPr="00D42025">
        <w:t>S'assurer que toutes les copies postées et distribuées de la Société et des Codes de conduite individuels sont traduites dans la langue d'utilisation appropriée dans les zones de travail ainsi que pour tout le personnel international dans leur langue maternelle.</w:t>
      </w:r>
    </w:p>
    <w:p w14:paraId="6FD8D611" w14:textId="77777777" w:rsidR="00E67F89" w:rsidRPr="00D42025" w:rsidRDefault="00E67F89" w:rsidP="00E67F89">
      <w:r w:rsidRPr="00D42025">
        <w:t>Expliquer verbalement et par écrit les Codes de conduite individuels et de la société.</w:t>
      </w:r>
    </w:p>
    <w:p w14:paraId="6C994A60" w14:textId="77777777" w:rsidR="00E67F89" w:rsidRPr="00D42025" w:rsidRDefault="00E67F89" w:rsidP="00E67F89">
      <w:r w:rsidRPr="00D42025">
        <w:t>Assurez-vous que :</w:t>
      </w:r>
    </w:p>
    <w:p w14:paraId="4FC73CFC" w14:textId="77777777" w:rsidR="00E67F89" w:rsidRPr="00D42025" w:rsidRDefault="00E67F89" w:rsidP="00E67F89">
      <w:r w:rsidRPr="00D42025">
        <w:t>Tous les employés directs signent le « Code de conduite individuel », y compris la reconnaissance qu'ils ont lu et accepté le Code de conduite.</w:t>
      </w:r>
    </w:p>
    <w:p w14:paraId="297B6FFB" w14:textId="77777777" w:rsidR="00E67F89" w:rsidRPr="00D42025" w:rsidRDefault="00E67F89" w:rsidP="00E67F89">
      <w:r w:rsidRPr="00D42025">
        <w:t>Des listes du personnel et des copies signées du Code de conduite individuel sont fournies au gestionnaire de SST, à l’ESVV et au Client.</w:t>
      </w:r>
    </w:p>
    <w:p w14:paraId="7F83C141" w14:textId="77777777" w:rsidR="00E67F89" w:rsidRPr="00D42025" w:rsidRDefault="00E67F89" w:rsidP="00E67F89">
      <w:r w:rsidRPr="00D42025">
        <w:t>Participer à la formation et s'assurer que le personnel participe également comme indiqué ci-dessous.</w:t>
      </w:r>
    </w:p>
    <w:p w14:paraId="7C99C8FB" w14:textId="77777777" w:rsidR="00E67F89" w:rsidRPr="00D42025" w:rsidRDefault="00E67F89" w:rsidP="00E67F89">
      <w:r w:rsidRPr="00D42025">
        <w:t>Mettre en place un mécanisme permettant au personnel de :</w:t>
      </w:r>
    </w:p>
    <w:p w14:paraId="32C03474" w14:textId="77777777" w:rsidR="00E67F89" w:rsidRPr="00D42025" w:rsidRDefault="00E67F89" w:rsidP="00E67F89">
      <w:r w:rsidRPr="00D42025">
        <w:t>signaler les préoccupations relatives à l'HSSE ou à la conformité à la SST; et,</w:t>
      </w:r>
    </w:p>
    <w:p w14:paraId="12A915F1" w14:textId="77777777" w:rsidR="00E67F89" w:rsidRPr="00D42025" w:rsidRDefault="00E67F89" w:rsidP="00E67F89">
      <w:r w:rsidRPr="00D42025">
        <w:t>signaler confidentiellement les incidents de VBG ou de VCE par l'entremise du mécanisme de règlement des litiges (MRL).</w:t>
      </w:r>
    </w:p>
    <w:p w14:paraId="7BBB832F" w14:textId="77777777" w:rsidR="00E67F89" w:rsidRPr="00D42025" w:rsidRDefault="00E67F89" w:rsidP="00E67F89">
      <w:r w:rsidRPr="00D42025">
        <w:lastRenderedPageBreak/>
        <w:t>Le personnel est encouragé à signaler les problèmes HSSE, SST, VBG ou VCE suspectés ou réels, en soulignant la responsabilité du personnel envers la Société et le pays d’accueil, et en insistant sur le respect de la confidentialité.</w:t>
      </w:r>
    </w:p>
    <w:p w14:paraId="63A48A99" w14:textId="77777777" w:rsidR="00E67F89" w:rsidRPr="00D42025" w:rsidRDefault="00E67F89" w:rsidP="00E67F89">
      <w:r w:rsidRPr="00D42025">
        <w:t>En conformité avec les lois applicables et au mieux de vos capacités, empêchez les auteurs d'exploitation et d'abus sexuels d'être embauchés, réembauchés ou déployés. Utilisez les vérifications d'antécédents et de références criminelles pour tous les employés.</w:t>
      </w:r>
    </w:p>
    <w:p w14:paraId="3A65F868" w14:textId="77777777" w:rsidR="00E67F89" w:rsidRPr="00D42025" w:rsidRDefault="00E67F89" w:rsidP="00E67F89">
      <w:r w:rsidRPr="00D42025">
        <w:t>S'assurer que lorsqu'ils s'engagent dans des partenariats, des sous-traitants, des fournisseurs ou des accords similaires, ces accords :</w:t>
      </w:r>
    </w:p>
    <w:p w14:paraId="74F78C0A" w14:textId="77777777" w:rsidR="00E67F89" w:rsidRPr="00D42025" w:rsidRDefault="00E67F89" w:rsidP="00E67F89">
      <w:r w:rsidRPr="00D42025">
        <w:t>i</w:t>
      </w:r>
      <w:r w:rsidRPr="00D42025">
        <w:tab/>
        <w:t>Incorporer les Codes de conduite HSSE, SST, VBG et VCE en pièce jointe.</w:t>
      </w:r>
    </w:p>
    <w:p w14:paraId="57C448CD" w14:textId="77777777" w:rsidR="00E67F89" w:rsidRPr="00D42025" w:rsidRDefault="00E67F89" w:rsidP="00E67F89">
      <w:r w:rsidRPr="00D42025">
        <w:t>ii</w:t>
      </w:r>
      <w:r w:rsidRPr="00D42025">
        <w:tab/>
        <w:t>Inclure le langage approprié exigeant que ces entités adjudicatrices et individus, ainsi que leurs employés et bénévoles, se conforment aux Codes de conduite individuels.</w:t>
      </w:r>
    </w:p>
    <w:p w14:paraId="5484DFAF" w14:textId="77777777" w:rsidR="00E67F89" w:rsidRPr="00D42025" w:rsidRDefault="00E67F89" w:rsidP="00E67F89">
      <w:r w:rsidRPr="00D42025">
        <w:t>Iii</w:t>
      </w:r>
      <w:r w:rsidRPr="00D42025">
        <w:tab/>
        <w:t>Déclarer expressément que l'incapacité de ces entités ou individus, selon le cas, à assurer la conformité aux normes HSSE et SST, prendre des mesures préventives contre la VBG et la VCE, enquêter sur les allégations, ou prendre des mesures correctives lorsque la VBG ou la VCE a eu lieu, non seulement constituent des motifs de sanctions conformément aux Codes de conduite individuels, mais aussi la résiliation des accords pour travailler ou fournir sur le Projet.</w:t>
      </w:r>
    </w:p>
    <w:p w14:paraId="7F9D7589" w14:textId="77777777" w:rsidR="00E67F89" w:rsidRPr="00D42025" w:rsidRDefault="00E67F89" w:rsidP="00E67F89">
      <w:r w:rsidRPr="00D42025">
        <w:t>Fournir un soutien et des ressources à l’ESVV pour créer et diffuser des initiatives de sensibilisation interne grâce à la stratégie de sensibilisation dans le cadre du Plan d'action sur la VBG et la VCE.</w:t>
      </w:r>
    </w:p>
    <w:p w14:paraId="56B30D2B" w14:textId="77777777" w:rsidR="00E67F89" w:rsidRPr="00D42025" w:rsidRDefault="00E67F89" w:rsidP="00E67F89">
      <w:r w:rsidRPr="00D42025">
        <w:t>Veiller à ce que tout problème de VBG ou de VCE justifiant une action de la police soit immédiatement signalé à la police, au Client et à la Banque Mondiale.</w:t>
      </w:r>
    </w:p>
    <w:p w14:paraId="2E0D02F7" w14:textId="77777777" w:rsidR="00E67F89" w:rsidRPr="00D42025" w:rsidRDefault="00E67F89" w:rsidP="00E67F89">
      <w:r w:rsidRPr="00D42025">
        <w:t>Signaler et agir conformément au protocole de réponse (section 4.7 - Protocole de réponse) tout acte suspecté ou réel de VBG et/ou de VCE en tant que gestionnaires ont la responsabilité de respecter les engagements de l'entreprise et de tenir leurs subordonnés directs responsables.</w:t>
      </w:r>
    </w:p>
    <w:p w14:paraId="44377720" w14:textId="77777777" w:rsidR="00E67F89" w:rsidRPr="00D42025" w:rsidRDefault="00E67F89" w:rsidP="00E67F89">
      <w:r w:rsidRPr="00D42025">
        <w:t>S'assurer que tout incident HSSE ou SST majeur est signalé au Client et à l'Ingénieur de supervision immédiatement.</w:t>
      </w:r>
    </w:p>
    <w:p w14:paraId="1EE1E5B6" w14:textId="77777777" w:rsidR="00E67F89" w:rsidRPr="00D42025" w:rsidRDefault="00E67F89" w:rsidP="00E67F89">
      <w:r w:rsidRPr="00D42025">
        <w:t>Formation</w:t>
      </w:r>
    </w:p>
    <w:p w14:paraId="5B363DD9" w14:textId="77777777" w:rsidR="00E67F89" w:rsidRPr="00D42025" w:rsidRDefault="00E67F89" w:rsidP="00E67F89">
      <w:r w:rsidRPr="00D42025">
        <w:t>Les gestionnaires sont responsables de :</w:t>
      </w:r>
    </w:p>
    <w:p w14:paraId="4AEF99A7" w14:textId="77777777" w:rsidR="00E67F89" w:rsidRPr="00D42025" w:rsidRDefault="00E67F89" w:rsidP="00E67F89">
      <w:r w:rsidRPr="00D42025">
        <w:t>S'assurer que le plan de gestion de SST est mis en œuvre, avec une formation appropriée requise pour tout le personnel, y compris les sous-traitants et les fournisseurs ; et,</w:t>
      </w:r>
    </w:p>
    <w:p w14:paraId="64E6841E" w14:textId="77777777" w:rsidR="00E67F89" w:rsidRPr="00D42025" w:rsidRDefault="00E67F89" w:rsidP="00E67F89">
      <w:r w:rsidRPr="00D42025">
        <w:t>S'assurer que le personnel a une bonne compréhension du PGES-C et qu'il est formé de manière appropriée pour mettre en œuvre les exigences du PGES-C.</w:t>
      </w:r>
    </w:p>
    <w:p w14:paraId="088623D4" w14:textId="77777777" w:rsidR="00E67F89" w:rsidRPr="00D42025" w:rsidRDefault="00E67F89" w:rsidP="00E67F89">
      <w:r w:rsidRPr="00D42025">
        <w:t xml:space="preserve">Tous les gestionnaires doivent assister à un cours de formation de gestionnaire d'initiation avant de commencer à travailler sur le site pour s'assurer qu'ils sont familiers avec leurs rôles et responsabilités dans le maintien des éléments VBG et VCE de ces Codes de conduite. Cette formation sera distincte du cours de formation initiale exigé de tous les employés et fournira aux </w:t>
      </w:r>
      <w:r w:rsidRPr="00D42025">
        <w:lastRenderedPageBreak/>
        <w:t>gestionnaires la compréhension et le soutien technique nécessaires pour commencer à élaborer le plan d'action sur la VBG et la VCE pour aborder les questions de VBG et de VCE.</w:t>
      </w:r>
    </w:p>
    <w:p w14:paraId="6928729F" w14:textId="77777777" w:rsidR="00E67F89" w:rsidRPr="00D42025" w:rsidRDefault="00E67F89" w:rsidP="00E67F89">
      <w:r w:rsidRPr="00D42025">
        <w:t>Les gestionnaires sont tenus d'assister aux cours de formation mensuels facilités par le Projet pour tous les employés. Les gestionnaires seront tenus de présenter les formations reçues et d'annoncer les auto-évaluations, y compris la collecte de sondages de satisfaction pour évaluer les expériences de formation et fournir des conseils sur l'amélioration de l'efficacité de la formation.</w:t>
      </w:r>
    </w:p>
    <w:p w14:paraId="1D193B08" w14:textId="77777777" w:rsidR="00E67F89" w:rsidRPr="00D42025" w:rsidRDefault="00E67F89" w:rsidP="00E67F89">
      <w:r w:rsidRPr="00D42025">
        <w:t>S'assurer que le temps est fourni pendant les heures de travail et que le personnel, avant de commencer les travaux sur le site, assiste à la formation d'initiation facilitée par le Projet obligatoire sur :</w:t>
      </w:r>
    </w:p>
    <w:p w14:paraId="678598C8" w14:textId="77777777" w:rsidR="00E67F89" w:rsidRPr="00D42025" w:rsidRDefault="00E67F89" w:rsidP="00E67F89">
      <w:r w:rsidRPr="00D42025">
        <w:t>SST et HSSE ; et,</w:t>
      </w:r>
    </w:p>
    <w:p w14:paraId="0B432D1E" w14:textId="77777777" w:rsidR="00E67F89" w:rsidRPr="00D42025" w:rsidRDefault="00E67F89" w:rsidP="00E67F89">
      <w:r w:rsidRPr="00D42025">
        <w:t>VBG et VCE requise de tous les employés.</w:t>
      </w:r>
    </w:p>
    <w:p w14:paraId="2B268010" w14:textId="77777777" w:rsidR="00E67F89" w:rsidRPr="00D42025" w:rsidRDefault="00E67F89" w:rsidP="00E67F89">
      <w:r w:rsidRPr="00D42025">
        <w:t>Pendant les travaux de génie civil, s'assurer que le personnel suit une formation en SST et HSSE, ainsi qu'un cours de recyclage mensuel obligatoire pour tous les employés afin de combattre le risque accru de VBG et de VCE.</w:t>
      </w:r>
    </w:p>
    <w:p w14:paraId="7F0BA712" w14:textId="77777777" w:rsidR="00E67F89" w:rsidRPr="00D42025" w:rsidRDefault="00E67F89" w:rsidP="00E67F89">
      <w:r w:rsidRPr="00D42025">
        <w:t>Réponse</w:t>
      </w:r>
    </w:p>
    <w:p w14:paraId="7D1565C1" w14:textId="77777777" w:rsidR="00E67F89" w:rsidRPr="00D42025" w:rsidRDefault="00E67F89" w:rsidP="00E67F89">
      <w:r w:rsidRPr="00D42025">
        <w:t>Les gestionnaires seront tenus de prendre les mesures appropriées pour traiter les incidents liés à l'HSSE ou à la SST.</w:t>
      </w:r>
    </w:p>
    <w:p w14:paraId="38EDA602" w14:textId="77777777" w:rsidR="00E67F89" w:rsidRPr="00D42025" w:rsidRDefault="00E67F89" w:rsidP="00E67F89">
      <w:r w:rsidRPr="00D42025">
        <w:t>En ce qui concerne la VBG et la VCE :</w:t>
      </w:r>
    </w:p>
    <w:p w14:paraId="10066F2D" w14:textId="77777777" w:rsidR="00E67F89" w:rsidRPr="00D42025" w:rsidRDefault="00E67F89" w:rsidP="00E67F89">
      <w:r w:rsidRPr="00D42025">
        <w:t>Fournir des commentaires sur les procédures de déclaration de VBG et VCE (section 4.2 - Plan d'action) et le protocole d'intervention (section 4.7 - Plan d'action) élaborés par l’ESVV dans le cadre du plan d'action final sur la VBG et la VCE.</w:t>
      </w:r>
    </w:p>
    <w:p w14:paraId="6BFA7287" w14:textId="77777777" w:rsidR="00E67F89" w:rsidRPr="00D42025" w:rsidRDefault="00E67F89" w:rsidP="00E67F89">
      <w:r w:rsidRPr="00D42025">
        <w:t>Une fois adoptées par la Société, les gestionnaires respecteront les mesures de responsabilisation (section 4.4) prévues dans le plan d'action VBG et VCE pour maintenir la confidentialité de tous les employés qui signalent ou (prétendument) commettent des cas de VBG et de VCE (à moins qu'une violation de confidentialité ne soit nécessaire pour protéger les personnes ou les biens d'un préjudice grave ou lorsque la loi l'exige).</w:t>
      </w:r>
    </w:p>
    <w:p w14:paraId="78565797" w14:textId="77777777" w:rsidR="00E67F89" w:rsidRPr="00D42025" w:rsidRDefault="00E67F89" w:rsidP="00E67F89">
      <w:r w:rsidRPr="00D42025">
        <w:t>Si un responsable développe des inquiétudes ou des soupçons concernant une forme de VBG ou de VCE par l'un de ses subordonnés directs, ou par un employé travaillant pour un autre contractant sur le même site de travail, il est tenu de signaler le cas au MRL.</w:t>
      </w:r>
    </w:p>
    <w:p w14:paraId="236B3BD6" w14:textId="77777777" w:rsidR="00E67F89" w:rsidRPr="00D42025" w:rsidRDefault="00E67F89" w:rsidP="00E67F89">
      <w:r w:rsidRPr="00D42025">
        <w:t>Une fois qu'une sanction a été décidée, le(s) gestionnaire(s) concerné(s) est (sont) personnellement responsable(s) de l'exécution effective de la mesure, dans un délai maximum de 14 jours à compter de la date de la sanction.</w:t>
      </w:r>
    </w:p>
    <w:p w14:paraId="02088FF8" w14:textId="77777777" w:rsidR="00E67F89" w:rsidRPr="00D42025" w:rsidRDefault="00E67F89" w:rsidP="00E67F89">
      <w:r w:rsidRPr="00D42025">
        <w:t>Si un gestionnaire a un conflit d'intérêts en raison de ses relations personnelles ou familiales avec le Victime et/ou l'auteur de l'infraction, il doit aviser la société concernée et l’ESVV. La Société sera tenue de nommer un autre gestionnaire sans conflit d'intérêts pour répondre aux plaintes.</w:t>
      </w:r>
    </w:p>
    <w:p w14:paraId="1FBB89FB" w14:textId="77777777" w:rsidR="00E67F89" w:rsidRPr="00D42025" w:rsidRDefault="00E67F89" w:rsidP="00E67F89">
      <w:r w:rsidRPr="00D42025">
        <w:t>Veiller à ce que tout problème de VBG ou de VCE justifiant une action de la police soit immédiatement signalé à la police, au Client et à la Banque Mondiale.</w:t>
      </w:r>
    </w:p>
    <w:p w14:paraId="78A92F48" w14:textId="77777777" w:rsidR="00E67F89" w:rsidRPr="00D42025" w:rsidRDefault="00E67F89" w:rsidP="00E67F89">
      <w:r w:rsidRPr="00D42025">
        <w:lastRenderedPageBreak/>
        <w:t>Les cadres qui échouent à traiter les incidents SSE ou SST ou qui ne respectent pas les dispositions relatives à la VBG et à la VCE peuvent faire l'objet de mesures disciplinaires, à déterminer et à prendre par le PDG, le Directeur Général ou un supérieur hiérarchique équivalent. Ces mesures peuvent inclure :</w:t>
      </w:r>
    </w:p>
    <w:p w14:paraId="0D87D9D7" w14:textId="77777777" w:rsidR="00E67F89" w:rsidRPr="00D42025" w:rsidRDefault="00E67F89" w:rsidP="00E67F89">
      <w:r w:rsidRPr="00D42025">
        <w:t>Avertissement informel ;</w:t>
      </w:r>
    </w:p>
    <w:p w14:paraId="2FBCCA2C" w14:textId="77777777" w:rsidR="00E67F89" w:rsidRPr="00D42025" w:rsidRDefault="00E67F89" w:rsidP="00E67F89">
      <w:r w:rsidRPr="00D42025">
        <w:t>Avertissement formel ;</w:t>
      </w:r>
    </w:p>
    <w:p w14:paraId="78A4D53E" w14:textId="77777777" w:rsidR="00E67F89" w:rsidRPr="00D42025" w:rsidRDefault="00E67F89" w:rsidP="00E67F89">
      <w:r w:rsidRPr="00D42025">
        <w:t>Entraînement supplémentaire ;</w:t>
      </w:r>
    </w:p>
    <w:p w14:paraId="6695B4DD" w14:textId="77777777" w:rsidR="00E67F89" w:rsidRPr="00D42025" w:rsidRDefault="00E67F89" w:rsidP="00E67F89">
      <w:r w:rsidRPr="00D42025">
        <w:t>Perte jusqu'à une semaine de salaire ;</w:t>
      </w:r>
    </w:p>
    <w:p w14:paraId="1848808B" w14:textId="77777777" w:rsidR="00E67F89" w:rsidRPr="00D42025" w:rsidRDefault="00E67F89" w:rsidP="00E67F89">
      <w:r w:rsidRPr="00D42025">
        <w:t>Suspension de l'emploi (sans paiement de salaire), pour une période minimale d’un mois jusqu'à un maximum de six mois ;</w:t>
      </w:r>
    </w:p>
    <w:p w14:paraId="30780A72" w14:textId="77777777" w:rsidR="00E67F89" w:rsidRPr="00D42025" w:rsidRDefault="00E67F89" w:rsidP="00E67F89">
      <w:r w:rsidRPr="00D42025">
        <w:t>Cessation d'emploi.</w:t>
      </w:r>
    </w:p>
    <w:p w14:paraId="083588DD" w14:textId="77777777" w:rsidR="00E67F89" w:rsidRPr="00D42025" w:rsidRDefault="00E67F89" w:rsidP="00E67F89">
      <w:r w:rsidRPr="00D42025">
        <w:t>En fin de compte, le fait de ne pas répondre efficacement aux cas d'HSSE, de SST, de VBG et de VCE sur le lieu de travail par les Directeurs ou le PDG de l'entreprise peut donner lieu à des poursuites judiciaires par les autorités.</w:t>
      </w:r>
    </w:p>
    <w:p w14:paraId="1D87D85D" w14:textId="77777777" w:rsidR="00E67F89" w:rsidRPr="00D42025" w:rsidRDefault="00E67F89" w:rsidP="00E67F89">
      <w:r w:rsidRPr="00D42025">
        <w:t>Je reconnais par la présente avoir lu le Code de Conduite du gestionnaire, accepter de me conformer aux normes qui y sont énoncées et comprendre mes rôles et responsabilités pour prévenir et répondre aux exigences HSSE, SST, VBG et VCE. Je comprends que toute action incompatible avec le Code de Conduite de ce gestionnaire ou l'omission d'agir conformément au Code de Conduite du gestionnaire peut entraîner des mesures disciplinaires.</w:t>
      </w:r>
    </w:p>
    <w:p w14:paraId="39D14228" w14:textId="77777777" w:rsidR="00E67F89" w:rsidRPr="00D42025" w:rsidRDefault="00E67F89" w:rsidP="00E67F89">
      <w:r w:rsidRPr="00D42025">
        <w:t>Signature : _________________________________</w:t>
      </w:r>
    </w:p>
    <w:p w14:paraId="2BE3C329" w14:textId="77777777" w:rsidR="00E67F89" w:rsidRPr="00D42025" w:rsidRDefault="00E67F89" w:rsidP="00E67F89">
      <w:r w:rsidRPr="00D42025">
        <w:t>Nom en majuscules : _________________________</w:t>
      </w:r>
    </w:p>
    <w:p w14:paraId="5BC2D26F" w14:textId="77777777" w:rsidR="00E67F89" w:rsidRPr="00D42025" w:rsidRDefault="00E67F89" w:rsidP="00E67F89">
      <w:r w:rsidRPr="00D42025">
        <w:t>Titre : _____________________________________</w:t>
      </w:r>
    </w:p>
    <w:p w14:paraId="5C0FE4A8" w14:textId="77777777" w:rsidR="00E67F89" w:rsidRPr="008143E9" w:rsidRDefault="00E67F89" w:rsidP="00E67F89">
      <w:r w:rsidRPr="00D42025">
        <w:t>Date : _____________________________________</w:t>
      </w:r>
    </w:p>
    <w:p w14:paraId="68C3F64B" w14:textId="77777777" w:rsidR="00E67F89" w:rsidRPr="008143E9" w:rsidRDefault="00E67F89" w:rsidP="00E67F89"/>
    <w:p w14:paraId="40CC7F5A" w14:textId="77777777" w:rsidR="00E67F89" w:rsidRPr="008143E9" w:rsidRDefault="00E67F89" w:rsidP="00E67F89">
      <w:pPr>
        <w:sectPr w:rsidR="00E67F89" w:rsidRPr="008143E9" w:rsidSect="00D42025">
          <w:pgSz w:w="11906" w:h="16838"/>
          <w:pgMar w:top="1418" w:right="1134" w:bottom="1134" w:left="1418" w:header="708" w:footer="708" w:gutter="0"/>
          <w:pgNumType w:fmt="upperRoman"/>
          <w:cols w:space="708"/>
          <w:docGrid w:linePitch="360"/>
        </w:sectPr>
      </w:pPr>
    </w:p>
    <w:p w14:paraId="003E6CF3" w14:textId="77777777" w:rsidR="00E67F89" w:rsidRPr="00D42025" w:rsidRDefault="00E67F89" w:rsidP="00E67F89">
      <w:bookmarkStart w:id="917" w:name="_Toc529557059"/>
      <w:r w:rsidRPr="00D42025">
        <w:lastRenderedPageBreak/>
        <w:t>CODE DE CONDUITE INDIVIDUEL</w:t>
      </w:r>
      <w:bookmarkEnd w:id="917"/>
    </w:p>
    <w:p w14:paraId="75E6642A" w14:textId="77777777" w:rsidR="00E67F89" w:rsidRPr="00D42025" w:rsidRDefault="00E67F89" w:rsidP="00E67F89">
      <w:r w:rsidRPr="00D42025">
        <w:t>Mise en œuvre des normes HSSE et SST</w:t>
      </w:r>
    </w:p>
    <w:p w14:paraId="229DA0D0" w14:textId="77777777" w:rsidR="00E67F89" w:rsidRPr="00D42025" w:rsidRDefault="00E67F89" w:rsidP="00E67F89">
      <w:r w:rsidRPr="00D42025">
        <w:t>Prévenir les Violences basées sur le genre et les Violences contre les enfants</w:t>
      </w:r>
    </w:p>
    <w:p w14:paraId="142F0FAD" w14:textId="77777777" w:rsidR="00E67F89" w:rsidRPr="00D42025" w:rsidRDefault="00E67F89" w:rsidP="00E67F89"/>
    <w:p w14:paraId="6C791798" w14:textId="77777777" w:rsidR="00E67F89" w:rsidRPr="00D42025" w:rsidRDefault="00E67F89" w:rsidP="00E67F89">
      <w:r w:rsidRPr="00D42025">
        <w:t>Je, ______________________________, reconnais qu'il est important de respecter les normes environnementales, sociales et de santé (HSSE), de respecter les exigences de santé et de sécurité au travail (SST) du Projet et de prévenir la violence sexiste (VGB) et la violence contre les enfants (VCE).</w:t>
      </w:r>
    </w:p>
    <w:p w14:paraId="7F843543" w14:textId="77777777" w:rsidR="00E67F89" w:rsidRPr="00D42025" w:rsidRDefault="00E67F89" w:rsidP="00E67F89">
      <w:r w:rsidRPr="00D42025">
        <w:t>La société considère que le non-respect des normes HSSE et SST ou la participation à des activités VBG ou VCE, que ce soit sur le lieu de travail, dans les camps de travailleurs ou dans les communautés avoisinantes, constitue une faute grave, donc des motifs pour des sanctions, des pénalités ou une éventuelle cessation d'emploi. Les poursuites engagées par la police contre les auteurs de VBG ou de VCE peuvent être entamées si nécessaire.</w:t>
      </w:r>
    </w:p>
    <w:p w14:paraId="7BC393E2" w14:textId="77777777" w:rsidR="00E67F89" w:rsidRPr="00D42025" w:rsidRDefault="00E67F89" w:rsidP="00E67F89">
      <w:r w:rsidRPr="00D42025">
        <w:t>Je suis d’accord que tout en travaillant sur le Projet, je vais :</w:t>
      </w:r>
    </w:p>
    <w:p w14:paraId="190D2FBA" w14:textId="77777777" w:rsidR="00E67F89" w:rsidRPr="00D42025" w:rsidRDefault="00E67F89" w:rsidP="00E67F89">
      <w:r w:rsidRPr="00D42025">
        <w:t>Assister et participer activement à des cours de formation liés à HSSE, SST, VIH/SIDA, VBG et VCE comme demandé par mon employeur.</w:t>
      </w:r>
    </w:p>
    <w:p w14:paraId="29ECB855" w14:textId="77777777" w:rsidR="00E67F89" w:rsidRPr="00D42025" w:rsidRDefault="00E67F89" w:rsidP="00E67F89">
      <w:r w:rsidRPr="00D42025">
        <w:t>Porter l’équipement de protection individuelle (EPI) en tout temps sur le lieu de travail ou dans le cadre d'activités liées au Projet.</w:t>
      </w:r>
    </w:p>
    <w:p w14:paraId="79684C79" w14:textId="77777777" w:rsidR="00E67F89" w:rsidRPr="00D42025" w:rsidRDefault="00E67F89" w:rsidP="00E67F89">
      <w:r w:rsidRPr="00D42025">
        <w:t>Prendre toutes les mesures pratiques pour mettre en œuvre le Plan de Gestion Environnementale et Sociale de Chantier (PGES-C).</w:t>
      </w:r>
    </w:p>
    <w:p w14:paraId="314AB59E" w14:textId="77777777" w:rsidR="00E67F89" w:rsidRPr="00D42025" w:rsidRDefault="00E67F89" w:rsidP="00E67F89">
      <w:r w:rsidRPr="00D42025">
        <w:t>Mettre en œuvre le Plan de Gestion de la SST.</w:t>
      </w:r>
    </w:p>
    <w:p w14:paraId="1A264B63" w14:textId="77777777" w:rsidR="00E67F89" w:rsidRPr="00D42025" w:rsidRDefault="00E67F89" w:rsidP="00E67F89">
      <w:r w:rsidRPr="00D42025">
        <w:t>Adhérer à une politique sans alcool pendant les activités de travail et s'abstenir d'utiliser des stupéfiants ou d'autres substances qui peuvent altérer les facultés en tout temps.</w:t>
      </w:r>
    </w:p>
    <w:p w14:paraId="4A26D866" w14:textId="77777777" w:rsidR="00E67F89" w:rsidRPr="00D42025" w:rsidRDefault="00E67F89" w:rsidP="00E67F89">
      <w:r w:rsidRPr="00D42025">
        <w:t>Consentement à la vérification des antécédents de la police.</w:t>
      </w:r>
    </w:p>
    <w:p w14:paraId="4F48AD2D" w14:textId="77777777" w:rsidR="00E67F89" w:rsidRPr="00D42025" w:rsidRDefault="00E67F89" w:rsidP="00E67F89">
      <w:r w:rsidRPr="00D42025">
        <w:t>Traiter les femmes, les enfants (personnes de moins de 18 ans) et les hommes avec respect sans distinction de race, couleur, langue, religion, opinion politique ou autre, origine nationale, ethnique ou sociale, propriété, handicap, naissance ou autre statut.</w:t>
      </w:r>
    </w:p>
    <w:p w14:paraId="3228754F" w14:textId="77777777" w:rsidR="00E67F89" w:rsidRPr="00D42025" w:rsidRDefault="00E67F89" w:rsidP="00E67F89">
      <w:r w:rsidRPr="00D42025">
        <w:t>Ne pas utiliser de langage ou de comportement envers les femmes, les enfants ou les hommes qui soit inapproprié, harcelant, abusif, sexuellement provocant, avilissant ou culturellement inapproprié.</w:t>
      </w:r>
    </w:p>
    <w:p w14:paraId="0DFC3524" w14:textId="77777777" w:rsidR="00E67F89" w:rsidRPr="00D42025" w:rsidRDefault="00E67F89" w:rsidP="00E67F89">
      <w:r w:rsidRPr="00D42025">
        <w:t>Ne pas se livrer au harcèlement sexuel - par exemple, faire des avances sexuelles importunes, des demandes de faveurs sexuelles et d'autres comportements verbaux ou physiques, de nature sexuelle, y compris des actes subtils d'un tel comportement (par exemple, regarder quelqu'un de haut en bas, s'embrasser, hurler ou claquer des sons, traîner quelqu'un, siffler et faire des appels, donner des cadeaux personnels, faire des commentaires sur la vie sexuelle de quelqu'un, etc.).</w:t>
      </w:r>
    </w:p>
    <w:p w14:paraId="27169B8D" w14:textId="77777777" w:rsidR="00E67F89" w:rsidRPr="00D42025" w:rsidRDefault="00E67F89" w:rsidP="00E67F89">
      <w:r w:rsidRPr="00D42025">
        <w:lastRenderedPageBreak/>
        <w:t>Ne pas s'engager dans des faveurs sexuelles - par exemple, faire des promesses ou un traitement favorable dépendants d'actes sexuels - ou d'autres formes de comportement humiliant, dégradant ou d'exploitation.</w:t>
      </w:r>
    </w:p>
    <w:p w14:paraId="295A2CB1" w14:textId="77777777" w:rsidR="00E67F89" w:rsidRPr="00D42025" w:rsidRDefault="00E67F89" w:rsidP="00E67F89">
      <w:r w:rsidRPr="00D42025">
        <w:t>Ne pas participer à un contact ou à une activité sexuelle avec des enfants - y compris l’abus sexuel ou le contact par le biais de médias numériques. Une croyance erronée concernant l'âge d'un enfant n'est pas une défense. Le consentement de l'enfant n'est pas non plus une défense ou une excuse.</w:t>
      </w:r>
    </w:p>
    <w:p w14:paraId="1F8F6BD7" w14:textId="77777777" w:rsidR="00E67F89" w:rsidRPr="00D42025" w:rsidRDefault="00E67F89" w:rsidP="00E67F89">
      <w:r w:rsidRPr="00D42025">
        <w:t>À moins d'avoir le plein consentement de toutes les parties concernées, je n'aurai pas d'interactions sexuelles avec les membres des communautés environnantes. Cela inclut les relations impliquant la retenue ou la promesse de prestation réelle de bénéfices (monétaires ou non) aux membres de la communauté en échange de rapports sexuels - une telle activité sexuelle est considérée comme «non consensuelle» dans le champ d'application de ce Code.</w:t>
      </w:r>
    </w:p>
    <w:p w14:paraId="2C845E4C" w14:textId="77777777" w:rsidR="00E67F89" w:rsidRPr="00D42025" w:rsidRDefault="00E67F89" w:rsidP="00E67F89">
      <w:r w:rsidRPr="00D42025">
        <w:t>Envisager de signaler par l'intermédiaire du MRL ou à mon Directeur, toute VBG ou VCE suspectée ou réelle par un collègue, qu'elle soit ou non employée par mon entreprise, ou tout manquement au présent Code de conduite.</w:t>
      </w:r>
    </w:p>
    <w:p w14:paraId="6D225E6D" w14:textId="77777777" w:rsidR="00E67F89" w:rsidRPr="00D42025" w:rsidRDefault="00E67F89" w:rsidP="00E67F89"/>
    <w:p w14:paraId="5A8D6D1D" w14:textId="77777777" w:rsidR="00E67F89" w:rsidRPr="00D42025" w:rsidRDefault="00E67F89" w:rsidP="00E67F89">
      <w:r w:rsidRPr="00D42025">
        <w:t>En ce qui concerne les enfants de moins de 18 ans :</w:t>
      </w:r>
    </w:p>
    <w:p w14:paraId="7E9FD290" w14:textId="77777777" w:rsidR="00E67F89" w:rsidRPr="00D42025" w:rsidRDefault="00E67F89" w:rsidP="00E67F89">
      <w:r w:rsidRPr="00D42025">
        <w:t>Dans la mesure du possible, assurez-vous qu'un autre adulte soit présent lorsque vous travaillez à proximité d'enfants.</w:t>
      </w:r>
    </w:p>
    <w:p w14:paraId="545DE721" w14:textId="77777777" w:rsidR="00E67F89" w:rsidRPr="00D42025" w:rsidRDefault="00E67F89" w:rsidP="00E67F89">
      <w:r w:rsidRPr="00D42025">
        <w:t>Ne pas inviter chez moi des enfants non accompagnés sans lien avec ma famille, à moins qu'ils ne courent un risque immédiat de blessure ou de danger physique.</w:t>
      </w:r>
    </w:p>
    <w:p w14:paraId="3178D0E7" w14:textId="77777777" w:rsidR="00E67F89" w:rsidRPr="00D42025" w:rsidRDefault="00E67F89" w:rsidP="00E67F89">
      <w:r w:rsidRPr="00D42025">
        <w:t>Ne pas utiliser d'ordinateurs, de téléphones mobiles, de caméras vidéo et numériques ou tout autre support pour exploiter ou harceler des enfants ou accéder à la pornographie enfantine (voir aussi "Utilisation d'images pour enfants à des fins professionnelles" ci-dessous).</w:t>
      </w:r>
    </w:p>
    <w:p w14:paraId="02F307B0" w14:textId="77777777" w:rsidR="00E67F89" w:rsidRPr="00D42025" w:rsidRDefault="00E67F89" w:rsidP="00E67F89">
      <w:r w:rsidRPr="00D42025">
        <w:t>S'abstenir de punir physiquement pour discipliner les enfants.</w:t>
      </w:r>
    </w:p>
    <w:p w14:paraId="407A8F47" w14:textId="77777777" w:rsidR="00E67F89" w:rsidRPr="00D42025" w:rsidRDefault="00E67F89" w:rsidP="00E67F89">
      <w:r w:rsidRPr="00D42025">
        <w:t>S'abstenir d'embaucher des enfants pour des travaux domestiques ou autres, en dessous de l'âge minimum de 14 ans, à moins que la législation nationale ne spécifie un âge plus élevé ou qui les expose à un risque important de blessure.</w:t>
      </w:r>
    </w:p>
    <w:p w14:paraId="38D7744E" w14:textId="77777777" w:rsidR="00E67F89" w:rsidRPr="00D42025" w:rsidRDefault="00E67F89" w:rsidP="00E67F89">
      <w:r w:rsidRPr="00D42025">
        <w:t>Respecter toutes les lois locales pertinentes, y compris les lois du travail relatives au travail des enfants et les politiques de sauvegarde de la Banque Mondiale sur le travail des enfants et l'âge minimum.</w:t>
      </w:r>
    </w:p>
    <w:p w14:paraId="3C95B931" w14:textId="77777777" w:rsidR="00E67F89" w:rsidRPr="00D42025" w:rsidRDefault="00E67F89" w:rsidP="00E67F89">
      <w:r w:rsidRPr="00D42025">
        <w:t>Etre prudent lorsqu’on photographie ou filme des enfants.</w:t>
      </w:r>
    </w:p>
    <w:p w14:paraId="56EE5302" w14:textId="77777777" w:rsidR="00E67F89" w:rsidRPr="00D42025" w:rsidRDefault="00E67F89" w:rsidP="00E67F89"/>
    <w:p w14:paraId="0FF35523" w14:textId="77777777" w:rsidR="00E67F89" w:rsidRPr="00D42025" w:rsidRDefault="00E67F89" w:rsidP="00E67F89">
      <w:r w:rsidRPr="00D42025">
        <w:t>Utilisation d'images d'enfants à des fins professionnelles :</w:t>
      </w:r>
    </w:p>
    <w:p w14:paraId="0515D84A" w14:textId="77777777" w:rsidR="00E67F89" w:rsidRPr="00D42025" w:rsidRDefault="00E67F89" w:rsidP="00E67F89">
      <w:r w:rsidRPr="00D42025">
        <w:t>Lorsque vous photographiez ou filmez un enfant à des fins professionnelles, je dois :</w:t>
      </w:r>
    </w:p>
    <w:p w14:paraId="321747AE" w14:textId="77777777" w:rsidR="00E67F89" w:rsidRPr="00D42025" w:rsidRDefault="00E67F89" w:rsidP="00E67F89">
      <w:r w:rsidRPr="00D42025">
        <w:t>Avant de photographier ou de filmer un enfant, évaluer et essayer de respecter les traditions locales ou les restrictions relatives à la reproduction d'images personnelles.</w:t>
      </w:r>
    </w:p>
    <w:p w14:paraId="4225ABE9" w14:textId="77777777" w:rsidR="00E67F89" w:rsidRPr="00D42025" w:rsidRDefault="00E67F89" w:rsidP="00E67F89">
      <w:r w:rsidRPr="00D42025">
        <w:lastRenderedPageBreak/>
        <w:t>Avant de photographier ou de filmer un enfant, obtenir le consentement éclairé de l'enfant et d'un parent ou tuteur de l'enfant. Dans le cadre de cela, je dois expliquer comment la photo ou le film sera utilisé.</w:t>
      </w:r>
    </w:p>
    <w:p w14:paraId="5C28CEB3" w14:textId="77777777" w:rsidR="00E67F89" w:rsidRPr="00D42025" w:rsidRDefault="00E67F89" w:rsidP="00E67F89">
      <w:r w:rsidRPr="00D42025">
        <w:t>Veiller à ce que les photographies, les films, les vidéos et les DVD présentent les enfants d'une manière digne et respectueuse et non d'une manière vulnérable ou soumise. Les enfants doivent être vêtus de manière adéquate et ne pas avoir de poses pouvant être perçues comme sexuellement suggestives.</w:t>
      </w:r>
    </w:p>
    <w:p w14:paraId="6877A5CB" w14:textId="77777777" w:rsidR="00E67F89" w:rsidRPr="00D42025" w:rsidRDefault="00E67F89" w:rsidP="00E67F89">
      <w:r w:rsidRPr="00D42025">
        <w:t>S’assurer que les images sont des représentations honnêtes du contexte et des faits.</w:t>
      </w:r>
    </w:p>
    <w:p w14:paraId="51203B01" w14:textId="77777777" w:rsidR="00E67F89" w:rsidRPr="00D42025" w:rsidRDefault="00E67F89" w:rsidP="00E67F89">
      <w:r w:rsidRPr="00D42025">
        <w:t>S’assure que les étiquettes de fichiers ne révèlent pas d'informations d'identification sur un enfant lors de l'envoi d'images par voie électronique.</w:t>
      </w:r>
    </w:p>
    <w:p w14:paraId="5C848288" w14:textId="77777777" w:rsidR="00E67F89" w:rsidRPr="00D42025" w:rsidRDefault="00E67F89" w:rsidP="00E67F89">
      <w:r w:rsidRPr="00D42025">
        <w:t>Sanctions</w:t>
      </w:r>
    </w:p>
    <w:p w14:paraId="62908E32" w14:textId="77777777" w:rsidR="00E67F89" w:rsidRPr="00D42025" w:rsidRDefault="00E67F89" w:rsidP="00E67F89">
      <w:r w:rsidRPr="00D42025">
        <w:t>Je comprends que si je ne respecte pas ce Code de conduite individuel, mon employeur prendra des mesures disciplinaires qui pourraient inclure :</w:t>
      </w:r>
    </w:p>
    <w:p w14:paraId="5EABF87E" w14:textId="77777777" w:rsidR="00E67F89" w:rsidRPr="00D42025" w:rsidRDefault="00E67F89" w:rsidP="00E67F89">
      <w:r w:rsidRPr="00D42025">
        <w:t>Avertissement informel ;</w:t>
      </w:r>
    </w:p>
    <w:p w14:paraId="0668DBEF" w14:textId="77777777" w:rsidR="00E67F89" w:rsidRPr="00D42025" w:rsidRDefault="00E67F89" w:rsidP="00E67F89">
      <w:r w:rsidRPr="00D42025">
        <w:t>Avertissement formel ;</w:t>
      </w:r>
    </w:p>
    <w:p w14:paraId="7FCA1159" w14:textId="77777777" w:rsidR="00E67F89" w:rsidRPr="00D42025" w:rsidRDefault="00E67F89" w:rsidP="00E67F89">
      <w:r w:rsidRPr="00D42025">
        <w:t>Formation supplémentaire ;</w:t>
      </w:r>
    </w:p>
    <w:p w14:paraId="06088603" w14:textId="77777777" w:rsidR="00E67F89" w:rsidRPr="00D42025" w:rsidRDefault="00E67F89" w:rsidP="00E67F89">
      <w:r w:rsidRPr="00D42025">
        <w:t>Perte d'un maximum d'une semaine de salaire ;</w:t>
      </w:r>
    </w:p>
    <w:p w14:paraId="1009CC2D" w14:textId="77777777" w:rsidR="00E67F89" w:rsidRPr="00D42025" w:rsidRDefault="00E67F89" w:rsidP="00E67F89">
      <w:r w:rsidRPr="00D42025">
        <w:t>Suspension de l'emploi (sans paiement de salaire), pour une période minimum d’un mois jusqu'à un maximum de six mois ;</w:t>
      </w:r>
    </w:p>
    <w:p w14:paraId="62EA9ED5" w14:textId="77777777" w:rsidR="00E67F89" w:rsidRPr="00D42025" w:rsidRDefault="00E67F89" w:rsidP="00E67F89">
      <w:r w:rsidRPr="00D42025">
        <w:t>Cessation d'emploi ;</w:t>
      </w:r>
    </w:p>
    <w:p w14:paraId="5DDC2BF7" w14:textId="77777777" w:rsidR="00E67F89" w:rsidRPr="00D42025" w:rsidRDefault="00E67F89" w:rsidP="00E67F89">
      <w:r w:rsidRPr="00D42025">
        <w:t>Faire rapport à la Police si nécessaire.</w:t>
      </w:r>
    </w:p>
    <w:p w14:paraId="628F93B8" w14:textId="77777777" w:rsidR="00E67F89" w:rsidRPr="00D42025" w:rsidRDefault="00E67F89" w:rsidP="00E67F89"/>
    <w:p w14:paraId="248EA0B1" w14:textId="77777777" w:rsidR="00E67F89" w:rsidRPr="00D42025" w:rsidRDefault="00E67F89" w:rsidP="00E67F89">
      <w:r w:rsidRPr="00D42025">
        <w:t>Je comprends qu'il est de ma responsabilité de veiller à ce que les normes environnementales, sociales, de santé et de sécurité soient respectées. Que je vais adhérer au plan de gestion de la santé et de la sécurité au travail. Que je vais éviter les actions ou les comportements qui pourraient être interprétés comme VBG ou VCE. De telles actions constitueront une violation de ce Code de conduite individuel. Je reconnais par la présente avoir lu le Code de conduite individuel ci-dessus, accepter de me conformer aux normes qui y sont énoncées et comprendre mes rôles et responsabilités pour prévenir et répondre aux questions HSSE, SST, VBG et VCE. Je comprends que toute action incompatible avec ce Code de conduite individuel ou toute omission d'agir conformément au présent Code de conduite peut entraîner des mesures disciplinaires et affecter mon emploi continu.</w:t>
      </w:r>
    </w:p>
    <w:p w14:paraId="0D60F5BA" w14:textId="77777777" w:rsidR="00E67F89" w:rsidRPr="00D42025" w:rsidRDefault="00E67F89" w:rsidP="00E67F89"/>
    <w:tbl>
      <w:tblPr>
        <w:tblStyle w:val="TableGrid"/>
        <w:tblW w:w="0" w:type="auto"/>
        <w:tblLook w:val="04A0" w:firstRow="1" w:lastRow="0" w:firstColumn="1" w:lastColumn="0" w:noHBand="0" w:noVBand="1"/>
      </w:tblPr>
      <w:tblGrid>
        <w:gridCol w:w="3064"/>
        <w:gridCol w:w="2529"/>
        <w:gridCol w:w="2103"/>
        <w:gridCol w:w="1591"/>
      </w:tblGrid>
      <w:tr w:rsidR="00E67F89" w:rsidRPr="00E67F89" w14:paraId="242113B4" w14:textId="77777777" w:rsidTr="00223F64">
        <w:trPr>
          <w:tblHeader/>
        </w:trPr>
        <w:tc>
          <w:tcPr>
            <w:tcW w:w="3064" w:type="dxa"/>
          </w:tcPr>
          <w:p w14:paraId="5BBF891B" w14:textId="77777777" w:rsidR="00E67F89" w:rsidRPr="00D42025" w:rsidRDefault="00E67F89" w:rsidP="00E67F89">
            <w:r w:rsidRPr="00D42025">
              <w:lastRenderedPageBreak/>
              <w:t>Nom en majuscules</w:t>
            </w:r>
          </w:p>
        </w:tc>
        <w:tc>
          <w:tcPr>
            <w:tcW w:w="2529" w:type="dxa"/>
          </w:tcPr>
          <w:p w14:paraId="5DFBB4E9" w14:textId="77777777" w:rsidR="00E67F89" w:rsidRPr="00D42025" w:rsidRDefault="00E67F89" w:rsidP="00E67F89">
            <w:r w:rsidRPr="00D42025">
              <w:t>Poste</w:t>
            </w:r>
          </w:p>
          <w:p w14:paraId="1C584243" w14:textId="77777777" w:rsidR="00E67F89" w:rsidRPr="00D42025" w:rsidRDefault="00E67F89" w:rsidP="00E67F89"/>
          <w:p w14:paraId="00F2C23C" w14:textId="77777777" w:rsidR="00E67F89" w:rsidRPr="00D42025" w:rsidRDefault="00E67F89" w:rsidP="00E67F89"/>
          <w:p w14:paraId="7C122C9E" w14:textId="77777777" w:rsidR="00E67F89" w:rsidRPr="00D42025" w:rsidRDefault="00E67F89" w:rsidP="00E67F89"/>
        </w:tc>
        <w:tc>
          <w:tcPr>
            <w:tcW w:w="2103" w:type="dxa"/>
          </w:tcPr>
          <w:p w14:paraId="6046ABC6" w14:textId="77777777" w:rsidR="00E67F89" w:rsidRPr="00D42025" w:rsidRDefault="00E67F89" w:rsidP="00E67F89">
            <w:r w:rsidRPr="00D42025">
              <w:t>Signature</w:t>
            </w:r>
          </w:p>
        </w:tc>
        <w:tc>
          <w:tcPr>
            <w:tcW w:w="1591" w:type="dxa"/>
          </w:tcPr>
          <w:p w14:paraId="1238B269" w14:textId="77777777" w:rsidR="00E67F89" w:rsidRPr="00E67F89" w:rsidRDefault="00E67F89" w:rsidP="00E67F89">
            <w:r w:rsidRPr="00D42025">
              <w:t>Date</w:t>
            </w:r>
          </w:p>
        </w:tc>
      </w:tr>
      <w:tr w:rsidR="00E67F89" w:rsidRPr="00E67F89" w14:paraId="2438FB87" w14:textId="77777777" w:rsidTr="00223F64">
        <w:trPr>
          <w:tblHeader/>
        </w:trPr>
        <w:tc>
          <w:tcPr>
            <w:tcW w:w="3064" w:type="dxa"/>
            <w:tcBorders>
              <w:bottom w:val="single" w:sz="4" w:space="0" w:color="auto"/>
            </w:tcBorders>
          </w:tcPr>
          <w:p w14:paraId="23FDA4A7" w14:textId="77777777" w:rsidR="00E67F89" w:rsidRPr="00E67F89" w:rsidRDefault="00E67F89" w:rsidP="00E67F89"/>
          <w:p w14:paraId="54A2605A" w14:textId="77777777" w:rsidR="00E67F89" w:rsidRPr="00E67F89" w:rsidRDefault="00E67F89" w:rsidP="00E67F89"/>
          <w:p w14:paraId="745733AF" w14:textId="77777777" w:rsidR="00E67F89" w:rsidRPr="00E67F89" w:rsidRDefault="00E67F89" w:rsidP="00E67F89"/>
        </w:tc>
        <w:tc>
          <w:tcPr>
            <w:tcW w:w="2529" w:type="dxa"/>
            <w:tcBorders>
              <w:bottom w:val="single" w:sz="4" w:space="0" w:color="auto"/>
            </w:tcBorders>
          </w:tcPr>
          <w:p w14:paraId="5066BC5B" w14:textId="77777777" w:rsidR="00E67F89" w:rsidRPr="00E67F89" w:rsidRDefault="00E67F89" w:rsidP="00E67F89"/>
        </w:tc>
        <w:tc>
          <w:tcPr>
            <w:tcW w:w="2103" w:type="dxa"/>
            <w:tcBorders>
              <w:bottom w:val="single" w:sz="4" w:space="0" w:color="auto"/>
            </w:tcBorders>
          </w:tcPr>
          <w:p w14:paraId="1054CB99" w14:textId="77777777" w:rsidR="00E67F89" w:rsidRPr="00E67F89" w:rsidRDefault="00E67F89" w:rsidP="00E67F89"/>
        </w:tc>
        <w:tc>
          <w:tcPr>
            <w:tcW w:w="1591" w:type="dxa"/>
            <w:tcBorders>
              <w:bottom w:val="single" w:sz="4" w:space="0" w:color="auto"/>
            </w:tcBorders>
          </w:tcPr>
          <w:p w14:paraId="20136C93" w14:textId="77777777" w:rsidR="00E67F89" w:rsidRPr="00E67F89" w:rsidRDefault="00E67F89" w:rsidP="00E67F89"/>
        </w:tc>
      </w:tr>
    </w:tbl>
    <w:p w14:paraId="39161F65" w14:textId="77777777" w:rsidR="00E67F89" w:rsidRPr="00E67F89" w:rsidRDefault="00E67F89" w:rsidP="00E67F89">
      <w:pPr>
        <w:sectPr w:rsidR="00E67F89" w:rsidRPr="00E67F89" w:rsidSect="00D42025">
          <w:pgSz w:w="11907" w:h="16839" w:code="9"/>
          <w:pgMar w:top="1418" w:right="1134" w:bottom="1134" w:left="1418" w:header="425" w:footer="720" w:gutter="0"/>
          <w:paperSrc w:first="15" w:other="15"/>
          <w:pgNumType w:fmt="upperRoman"/>
          <w:cols w:space="708"/>
          <w:titlePg/>
          <w:docGrid w:linePitch="360"/>
        </w:sectPr>
      </w:pPr>
    </w:p>
    <w:p w14:paraId="20BF25C2" w14:textId="77777777" w:rsidR="00E67F89" w:rsidRPr="00E67F89" w:rsidRDefault="00E67F89" w:rsidP="00E67F89">
      <w:bookmarkStart w:id="918" w:name="_Toc13692302"/>
      <w:bookmarkStart w:id="919" w:name="_Toc72015669"/>
      <w:bookmarkStart w:id="920" w:name="_Toc138414177"/>
      <w:bookmarkStart w:id="921" w:name="_Toc230426120"/>
      <w:r w:rsidRPr="00E67F89">
        <w:lastRenderedPageBreak/>
        <w:t xml:space="preserve">Annexe </w:t>
      </w:r>
      <w:r w:rsidRPr="00E67F89">
        <w:fldChar w:fldCharType="begin"/>
      </w:r>
      <w:r w:rsidRPr="00E67F89">
        <w:instrText xml:space="preserve"> SEQ Annexe \* ARABIC </w:instrText>
      </w:r>
      <w:r w:rsidRPr="00E67F89">
        <w:fldChar w:fldCharType="separate"/>
      </w:r>
      <w:r w:rsidRPr="00E67F89">
        <w:t>15</w:t>
      </w:r>
      <w:r w:rsidRPr="00E67F89">
        <w:fldChar w:fldCharType="end"/>
      </w:r>
      <w:r w:rsidRPr="00E67F89">
        <w:t> : Plan de protection et d’exploitation de sites</w:t>
      </w:r>
      <w:bookmarkEnd w:id="918"/>
      <w:bookmarkEnd w:id="919"/>
      <w:bookmarkEnd w:id="920"/>
      <w:bookmarkEnd w:id="921"/>
    </w:p>
    <w:p w14:paraId="60184291" w14:textId="77777777" w:rsidR="00E67F89" w:rsidRPr="00E67F89" w:rsidRDefault="00E67F89" w:rsidP="00E67F89">
      <w:r w:rsidRPr="00E67F89">
        <w:t>Pour chacun des sites que l’Entreprise utilisera pendant la durée des travaux (installation de chantier, base-vie, stockage, dépôt, …), l’Entreprise de travaux produira un Plan de protection et d’exploitation du site. Les grandes lignes à considérer dans la préparation de ces plans de protection et d’exploitation des sites sont données ci-après.</w:t>
      </w:r>
    </w:p>
    <w:p w14:paraId="1DBE8C45" w14:textId="77777777" w:rsidR="00E67F89" w:rsidRPr="00E67F89" w:rsidRDefault="00E67F89" w:rsidP="00E67F89">
      <w:r w:rsidRPr="00E67F89">
        <w:t>Défrichement et décapage de la terre végétale :</w:t>
      </w:r>
    </w:p>
    <w:p w14:paraId="3217F382" w14:textId="77777777" w:rsidR="00E67F89" w:rsidRPr="00E67F89" w:rsidRDefault="00E67F89" w:rsidP="00E67F89">
      <w:r w:rsidRPr="00E67F89">
        <w:t>Les zones défrichées correspondent aux zones de stockage, zone de dépôt, à l’installation de chantier / base-vie, et de manière générale à toute surface exploitée par l’Entreprise et qui est couverte d’un tapis végétal.</w:t>
      </w:r>
    </w:p>
    <w:p w14:paraId="5BE57DCB" w14:textId="77777777" w:rsidR="00E67F89" w:rsidRPr="00E67F89" w:rsidRDefault="00E67F89" w:rsidP="00E67F89">
      <w:r w:rsidRPr="00E67F89">
        <w:t>En préalable, les limites extérieures des opérations de défrichement devront être physiquement matérialisées sur le terrain, à l'aide de bornes ou bien de marquage sur des éléments stables (p.ex. rocher ou arbre de DHP supérieur à 30cm). Cette étape est essentielle pour que les conducteurs de travaux ne défrichent que les aires nécessaires pour les besoins opérationnels entrant dans le cadre du projet.</w:t>
      </w:r>
    </w:p>
    <w:p w14:paraId="0E17BE19" w14:textId="77777777" w:rsidR="00E67F89" w:rsidRPr="00E67F89" w:rsidRDefault="00E67F89" w:rsidP="00E67F89">
      <w:r w:rsidRPr="00E67F89">
        <w:t>Si une partie du périmètre des opérations empiète sur une végétation ligneuse, les arbres seront coupés parallèlement à la zone à dégager ou en direction de celle-ci pour minimiser les dommages des structures et des arbres des terrains adjacents. Le défrichage des racines et des troncs d'arbre ne sera effectué que lorsque cela est nécessaire pour maintenir un accès sans obstruction ou protéger les installations. Les arbres de diamètre, les buissons, les troncs d'arbre et les branches seront éliminés de la façon suivante : i) couper les branches après abattage ; ii) couper et empiler avec soin les matériaux plus petits en ensembles réutilisables (de façon à ne pas nécessiter plus de deux personnes pour les transporter, et ne dépassant pas trois mètres de long) ; iii) le brûlage de la végétation n'est pas autorisé.</w:t>
      </w:r>
    </w:p>
    <w:p w14:paraId="3FE48765" w14:textId="77777777" w:rsidR="00E67F89" w:rsidRPr="00E67F89" w:rsidRDefault="00E67F89" w:rsidP="00E67F89">
      <w:r w:rsidRPr="00E67F89">
        <w:t>L'Entreprise décapera et préservera la terre végétale pour favoriser le retour de la végétation dans les zones impactées. Les opérations de décapage et de stockage provisoire de terre végétale seront réalisées de manière sélective de façon à ne pas mêler les terres constituant l'horizon végétal, aux stériles. L'Entreprise considèrera une épaisseur de terre végétale comprise entre 15cm et 20cm sur l'ensemble des terrains ciblés. La profondeur réelle de la terre végétale peut varier en fonction du lieu. Cette épaisseur de terre sera restituée lors de la remise en état des surfaces mises à nues (p.ex. zone de dépôt des déblais, zone de stockage …)</w:t>
      </w:r>
    </w:p>
    <w:p w14:paraId="3D2AFE04" w14:textId="77777777" w:rsidR="00E67F89" w:rsidRPr="00E67F89" w:rsidRDefault="00E67F89" w:rsidP="00E67F89">
      <w:r w:rsidRPr="00E67F89">
        <w:t>Le décapage de la terre végétale se fera par temps sec et sur sol non détrempé.</w:t>
      </w:r>
    </w:p>
    <w:p w14:paraId="355FAE81" w14:textId="77777777" w:rsidR="00E67F89" w:rsidRPr="00E67F89" w:rsidRDefault="00E67F89" w:rsidP="00E67F89">
      <w:r w:rsidRPr="00E67F89">
        <w:t>Les lieux de dépôts des terres végétales seront toujours situés en bordure des sites ciblés, pour un accès facile à la remise en état, sur le côté en amont du site. La terre végétale sera stockée en merlon sur le site et ne pourra faire l’objet d’aucune autre opération de terrassement : elle sera conservée uniquement pour une remise en état des sites décapés. Aucun engin ni appareil ne pourra être entreposé ou circuler sur le stockage de la terre végétale. Des brèches seront aménagées dans les tas de déblais au niveau des drains d'eau, des pistes d'accès, etc. Les zones de stockage ne doivent pas correspondre à des drains naturels. La terre arable ou les déblais entreposés ne doivent pas non plus être exposés près d'une voie de cours d'eau.</w:t>
      </w:r>
    </w:p>
    <w:p w14:paraId="32B6568B" w14:textId="77777777" w:rsidR="00E67F89" w:rsidRPr="00E67F89" w:rsidRDefault="00E67F89" w:rsidP="00E67F89">
      <w:r w:rsidRPr="00E67F89">
        <w:t>Accord écrit d’occupation avec les ayants-droits :</w:t>
      </w:r>
    </w:p>
    <w:p w14:paraId="1822D782" w14:textId="77777777" w:rsidR="00E67F89" w:rsidRPr="00E67F89" w:rsidRDefault="00E67F89" w:rsidP="00E67F89">
      <w:r w:rsidRPr="00E67F89">
        <w:lastRenderedPageBreak/>
        <w:t>Un accord écrit d'occupation du terrain au site concerné sera établi avec le propriétaire du terrain. La confirmation de l'ayant-droit se fera avec les autorités locales. L'ayant-droit est la ou les personnes qui utilisent le terrain, de façon intensive ou extensive, toute l'année ou bien saisonnièrement. Les étapes qui seront mises en œuvre sont les suivantes :</w:t>
      </w:r>
    </w:p>
    <w:p w14:paraId="0BB254DF" w14:textId="77777777" w:rsidR="00E67F89" w:rsidRPr="00E67F89" w:rsidRDefault="00E67F89" w:rsidP="00E67F89">
      <w:r w:rsidRPr="00E67F89">
        <w:t>Etape 1 : délimiter physiquement les emprises des différents sites, ainsi que leur zone de servitude ;</w:t>
      </w:r>
    </w:p>
    <w:p w14:paraId="536E9CCB" w14:textId="77777777" w:rsidR="00E67F89" w:rsidRPr="00E67F89" w:rsidRDefault="00E67F89" w:rsidP="00E67F89">
      <w:r w:rsidRPr="00E67F89">
        <w:t>Etape 2 : identifier l’ayant-droit avec l’aide des autorités locales ;</w:t>
      </w:r>
    </w:p>
    <w:p w14:paraId="5581F0E9" w14:textId="77777777" w:rsidR="00E67F89" w:rsidRPr="00E67F89" w:rsidRDefault="00E67F89" w:rsidP="00E67F89">
      <w:r w:rsidRPr="00E67F89">
        <w:t>Etape 3 : documentation contradictoire avec l’ayant-droit, de l’état initial du site, photographies à l’appui : superficies, végétation, drainage, aménagements, construction ;</w:t>
      </w:r>
    </w:p>
    <w:p w14:paraId="7503FA53" w14:textId="77777777" w:rsidR="00E67F89" w:rsidRPr="00E67F89" w:rsidRDefault="00E67F89" w:rsidP="00E67F89">
      <w:r w:rsidRPr="00E67F89">
        <w:t>Etape 4 : préparation d’un document écrit, qui décrit l’état initial, l’affectation que le projet prévoit (p.ex. installation de chantier, mise en dépôt de déblais), la date prévisionnelle de démobilisation et de libération des emprises, l’état dans lequel le site sera rendu après réhabilitation, le montant de l’indemnisation que l’Entreprise paie pour l’occupation du terrain, le calendrier de paiement ;</w:t>
      </w:r>
    </w:p>
    <w:p w14:paraId="34A740A2" w14:textId="77777777" w:rsidR="00E67F89" w:rsidRPr="00E67F89" w:rsidRDefault="00E67F89" w:rsidP="00E67F89">
      <w:r w:rsidRPr="00E67F89">
        <w:t>Etape 5 : signature de l’accord contre le versement de la ou les sommes indiquées dans le document écrit, par l’ayant-droit, les autorités locales et le représentant de l’Entreprise. Les exemplaires de l’ayant-droit et des autorités locales seront remis à leurs destinataires.</w:t>
      </w:r>
    </w:p>
    <w:p w14:paraId="0F6751B5" w14:textId="77777777" w:rsidR="00E67F89" w:rsidRPr="00E67F89" w:rsidRDefault="00E67F89" w:rsidP="00E67F89">
      <w:r w:rsidRPr="00E67F89">
        <w:t>Etape 6 : en fin d’occupation, l’Entreprise préparera un document écrit de restitution. Ce document décrira et illustrera avec des photos, l’état du terrain et les actions de réhabilitation mises en œuvre. Il documentera l’application des engagements de l’Entreprise et sera contresigné par les trois entités (l’ayant-droit, les autorités locales et l’Entreprise).</w:t>
      </w:r>
    </w:p>
    <w:p w14:paraId="09B651D7" w14:textId="77777777" w:rsidR="00E67F89" w:rsidRPr="00E67F89" w:rsidRDefault="00E67F89" w:rsidP="00E67F89">
      <w:r w:rsidRPr="00E67F89">
        <w:t>Drainage des eaux de ruissellement :</w:t>
      </w:r>
    </w:p>
    <w:p w14:paraId="326E6AB7" w14:textId="77777777" w:rsidR="00E67F89" w:rsidRPr="00E67F89" w:rsidRDefault="00E67F89" w:rsidP="00E67F89">
      <w:r w:rsidRPr="00E67F89">
        <w:t>L’objectif est de drainer les eaux pluviales du site exploité afin de les traiter avant leur rejet. La géomorphologie du site est tout d’abord conçue avec une pente évitant les points de stagnation des eaux et favorisant les écoulements vers la périphérie (pente recommandée de 2%). Sur toute la périphérie du site, un fossé de drainage est réalisé.</w:t>
      </w:r>
    </w:p>
    <w:p w14:paraId="5100BE81" w14:textId="77777777" w:rsidR="00E67F89" w:rsidRPr="00E67F89" w:rsidRDefault="00E67F89" w:rsidP="00E67F89">
      <w:r w:rsidRPr="00E67F89">
        <w:t>Le fossé est constitué d’une canalisation ouverte, il a une pente suffisante pour drainer les eaux captées vers un piège à sable (décanteur) puis les rejeter en aval du site en un point de rejet sélectionné suivant la topographie de la zone. En cas de forte pente du terrain naturel, un merlon en remblai peut également être ajouté en amont du site afin de dévier une partie des eaux de ruissellement.</w:t>
      </w:r>
    </w:p>
    <w:p w14:paraId="24993468" w14:textId="77777777" w:rsidR="00E67F89" w:rsidRPr="00E67F89" w:rsidRDefault="00E67F89" w:rsidP="00E67F89">
      <w:r w:rsidRPr="00E67F89">
        <w:t>Critères de sélection des sites connexes :</w:t>
      </w:r>
    </w:p>
    <w:p w14:paraId="247C2F95" w14:textId="77777777" w:rsidR="00E67F89" w:rsidRPr="00E67F89" w:rsidRDefault="00E67F89" w:rsidP="00E67F89">
      <w:r w:rsidRPr="00E67F89">
        <w:t>L’analyse des impacts de la préparation des sites connexes a abouti à la proposition de quelques critères pour la sélection de ces sites. Ils sont rappelés ci-dessous.</w:t>
      </w:r>
    </w:p>
    <w:p w14:paraId="4B3A2AA4" w14:textId="77777777" w:rsidR="00E67F89" w:rsidRPr="00E67F89" w:rsidRDefault="00E67F89" w:rsidP="00E67F89">
      <w:r w:rsidRPr="00E67F89">
        <w:t>Toutes limites au respect des critères de sélection des sites connexes doivent être mise en exergue dns le PPES concerné et faire l'objet de proposition de mesures d'atténuation additionnelles.</w:t>
      </w:r>
    </w:p>
    <w:p w14:paraId="1182A24F" w14:textId="77777777" w:rsidR="00E67F89" w:rsidRPr="00E67F89" w:rsidRDefault="00E67F89" w:rsidP="00E67F89">
      <w:bookmarkStart w:id="922" w:name="_Toc13692516"/>
      <w:bookmarkStart w:id="923" w:name="_Toc72017171"/>
      <w:r w:rsidRPr="00E67F89">
        <w:t xml:space="preserve">Tabl. </w:t>
      </w:r>
      <w:r w:rsidRPr="00E67F89">
        <w:fldChar w:fldCharType="begin"/>
      </w:r>
      <w:r w:rsidRPr="00E67F89">
        <w:instrText xml:space="preserve"> SEQ Tabl. \* ARABIC </w:instrText>
      </w:r>
      <w:r w:rsidRPr="00E67F89">
        <w:fldChar w:fldCharType="separate"/>
      </w:r>
      <w:r w:rsidRPr="00E67F89">
        <w:t>3</w:t>
      </w:r>
      <w:r w:rsidRPr="00E67F89">
        <w:fldChar w:fldCharType="end"/>
      </w:r>
      <w:r w:rsidRPr="00E67F89">
        <w:t>. Critères de sélection des sites connexes</w:t>
      </w:r>
      <w:bookmarkEnd w:id="922"/>
      <w:bookmarkEnd w:id="923"/>
    </w:p>
    <w:tbl>
      <w:tblPr>
        <w:tblStyle w:val="TableGrid"/>
        <w:tblW w:w="5000" w:type="pct"/>
        <w:tblLook w:val="04A0" w:firstRow="1" w:lastRow="0" w:firstColumn="1" w:lastColumn="0" w:noHBand="0" w:noVBand="1"/>
      </w:tblPr>
      <w:tblGrid>
        <w:gridCol w:w="4530"/>
        <w:gridCol w:w="2407"/>
        <w:gridCol w:w="2407"/>
      </w:tblGrid>
      <w:tr w:rsidR="00E67F89" w:rsidRPr="00E67F89" w14:paraId="1ECC6D35" w14:textId="77777777" w:rsidTr="00223F64">
        <w:trPr>
          <w:tblHeader/>
        </w:trPr>
        <w:tc>
          <w:tcPr>
            <w:tcW w:w="2424" w:type="pct"/>
            <w:tcBorders>
              <w:bottom w:val="nil"/>
            </w:tcBorders>
            <w:shd w:val="clear" w:color="auto" w:fill="E2EFD9" w:themeFill="accent6" w:themeFillTint="33"/>
          </w:tcPr>
          <w:p w14:paraId="5B99642C" w14:textId="77777777" w:rsidR="00E67F89" w:rsidRPr="00E67F89" w:rsidRDefault="00E67F89" w:rsidP="00E67F89">
            <w:r w:rsidRPr="00E67F89">
              <w:lastRenderedPageBreak/>
              <w:t>Critères</w:t>
            </w:r>
          </w:p>
        </w:tc>
        <w:tc>
          <w:tcPr>
            <w:tcW w:w="2576" w:type="pct"/>
            <w:gridSpan w:val="2"/>
            <w:shd w:val="clear" w:color="auto" w:fill="E2EFD9" w:themeFill="accent6" w:themeFillTint="33"/>
          </w:tcPr>
          <w:p w14:paraId="26A4E405" w14:textId="77777777" w:rsidR="00E67F89" w:rsidRPr="00E67F89" w:rsidRDefault="00E67F89" w:rsidP="00E67F89">
            <w:r w:rsidRPr="00E67F89">
              <w:t>Notation</w:t>
            </w:r>
          </w:p>
        </w:tc>
      </w:tr>
      <w:tr w:rsidR="00E67F89" w:rsidRPr="00E67F89" w14:paraId="269360CB" w14:textId="77777777" w:rsidTr="00223F64">
        <w:trPr>
          <w:tblHeader/>
        </w:trPr>
        <w:tc>
          <w:tcPr>
            <w:tcW w:w="2424" w:type="pct"/>
            <w:tcBorders>
              <w:top w:val="nil"/>
              <w:bottom w:val="single" w:sz="4" w:space="0" w:color="auto"/>
            </w:tcBorders>
            <w:shd w:val="clear" w:color="auto" w:fill="E2EFD9" w:themeFill="accent6" w:themeFillTint="33"/>
            <w:vAlign w:val="center"/>
          </w:tcPr>
          <w:p w14:paraId="2386587B" w14:textId="77777777" w:rsidR="00E67F89" w:rsidRPr="00E67F89" w:rsidRDefault="00E67F89" w:rsidP="00E67F89"/>
        </w:tc>
        <w:tc>
          <w:tcPr>
            <w:tcW w:w="1288" w:type="pct"/>
            <w:tcBorders>
              <w:bottom w:val="single" w:sz="4" w:space="0" w:color="auto"/>
            </w:tcBorders>
            <w:shd w:val="clear" w:color="auto" w:fill="E2EFD9" w:themeFill="accent6" w:themeFillTint="33"/>
          </w:tcPr>
          <w:p w14:paraId="73FD326F" w14:textId="77777777" w:rsidR="00E67F89" w:rsidRPr="00E67F89" w:rsidRDefault="00E67F89" w:rsidP="00E67F89">
            <w:r w:rsidRPr="00E67F89">
              <w:t>Respect du critère</w:t>
            </w:r>
          </w:p>
        </w:tc>
        <w:tc>
          <w:tcPr>
            <w:tcW w:w="1288" w:type="pct"/>
            <w:tcBorders>
              <w:bottom w:val="single" w:sz="4" w:space="0" w:color="auto"/>
            </w:tcBorders>
            <w:shd w:val="clear" w:color="auto" w:fill="E2EFD9" w:themeFill="accent6" w:themeFillTint="33"/>
          </w:tcPr>
          <w:p w14:paraId="5384BEAA" w14:textId="77777777" w:rsidR="00E67F89" w:rsidRPr="00E67F89" w:rsidRDefault="00E67F89" w:rsidP="00E67F89">
            <w:r w:rsidRPr="00E67F89">
              <w:t>Non-respect du critère</w:t>
            </w:r>
          </w:p>
        </w:tc>
      </w:tr>
      <w:tr w:rsidR="00E67F89" w:rsidRPr="00E67F89" w14:paraId="3BA0A6E7" w14:textId="77777777" w:rsidTr="00223F64">
        <w:tc>
          <w:tcPr>
            <w:tcW w:w="2424" w:type="pct"/>
            <w:tcBorders>
              <w:right w:val="nil"/>
            </w:tcBorders>
            <w:shd w:val="clear" w:color="auto" w:fill="FBE4D5" w:themeFill="accent2" w:themeFillTint="33"/>
            <w:vAlign w:val="center"/>
          </w:tcPr>
          <w:p w14:paraId="7EF507D6" w14:textId="77777777" w:rsidR="00E67F89" w:rsidRPr="00E67F89" w:rsidRDefault="00E67F89" w:rsidP="00E67F89">
            <w:r w:rsidRPr="00E67F89">
              <w:t>Critères d’exclusion</w:t>
            </w:r>
          </w:p>
        </w:tc>
        <w:tc>
          <w:tcPr>
            <w:tcW w:w="1288" w:type="pct"/>
            <w:tcBorders>
              <w:left w:val="nil"/>
              <w:right w:val="nil"/>
            </w:tcBorders>
            <w:shd w:val="clear" w:color="auto" w:fill="FBE4D5" w:themeFill="accent2" w:themeFillTint="33"/>
            <w:vAlign w:val="center"/>
          </w:tcPr>
          <w:p w14:paraId="193A9082" w14:textId="77777777" w:rsidR="00E67F89" w:rsidRPr="00E67F89" w:rsidRDefault="00E67F89" w:rsidP="00E67F89"/>
        </w:tc>
        <w:tc>
          <w:tcPr>
            <w:tcW w:w="1288" w:type="pct"/>
            <w:tcBorders>
              <w:left w:val="nil"/>
            </w:tcBorders>
            <w:shd w:val="clear" w:color="auto" w:fill="FBE4D5" w:themeFill="accent2" w:themeFillTint="33"/>
            <w:vAlign w:val="center"/>
          </w:tcPr>
          <w:p w14:paraId="76C69720" w14:textId="77777777" w:rsidR="00E67F89" w:rsidRPr="00E67F89" w:rsidRDefault="00E67F89" w:rsidP="00E67F89"/>
        </w:tc>
      </w:tr>
      <w:tr w:rsidR="00E67F89" w:rsidRPr="00E67F89" w14:paraId="1CBCA526" w14:textId="77777777" w:rsidTr="00223F64">
        <w:tc>
          <w:tcPr>
            <w:tcW w:w="2424" w:type="pct"/>
            <w:shd w:val="clear" w:color="auto" w:fill="FFFFFF" w:themeFill="background1"/>
            <w:vAlign w:val="center"/>
          </w:tcPr>
          <w:p w14:paraId="1D2FC490" w14:textId="77777777" w:rsidR="00E67F89" w:rsidRPr="00E67F89" w:rsidRDefault="00E67F89" w:rsidP="00E67F89">
            <w:r w:rsidRPr="00E67F89">
              <w:t>Pas de déplacement de population</w:t>
            </w:r>
          </w:p>
        </w:tc>
        <w:tc>
          <w:tcPr>
            <w:tcW w:w="1288" w:type="pct"/>
            <w:shd w:val="clear" w:color="auto" w:fill="FFFFFF" w:themeFill="background1"/>
            <w:vAlign w:val="center"/>
          </w:tcPr>
          <w:p w14:paraId="4C947738" w14:textId="77777777" w:rsidR="00E67F89" w:rsidRPr="00E67F89" w:rsidRDefault="00E67F89" w:rsidP="00E67F89">
            <w:r w:rsidRPr="00E67F89">
              <w:t>3</w:t>
            </w:r>
          </w:p>
        </w:tc>
        <w:tc>
          <w:tcPr>
            <w:tcW w:w="1288" w:type="pct"/>
            <w:shd w:val="clear" w:color="auto" w:fill="FFFFFF" w:themeFill="background1"/>
            <w:vAlign w:val="center"/>
          </w:tcPr>
          <w:p w14:paraId="76AE6DF1" w14:textId="77777777" w:rsidR="00E67F89" w:rsidRPr="00E67F89" w:rsidRDefault="00E67F89" w:rsidP="00E67F89"/>
        </w:tc>
      </w:tr>
      <w:tr w:rsidR="00E67F89" w:rsidRPr="00E67F89" w14:paraId="3EE7758D" w14:textId="77777777" w:rsidTr="00223F64">
        <w:tc>
          <w:tcPr>
            <w:tcW w:w="2424" w:type="pct"/>
            <w:shd w:val="clear" w:color="auto" w:fill="FFFFFF" w:themeFill="background1"/>
            <w:vAlign w:val="center"/>
          </w:tcPr>
          <w:p w14:paraId="0C185A2E" w14:textId="77777777" w:rsidR="00E67F89" w:rsidRPr="00E67F89" w:rsidRDefault="00E67F89" w:rsidP="00E67F89">
            <w:r w:rsidRPr="00E67F89">
              <w:t>Pas en milieu humide</w:t>
            </w:r>
          </w:p>
        </w:tc>
        <w:tc>
          <w:tcPr>
            <w:tcW w:w="1288" w:type="pct"/>
            <w:shd w:val="clear" w:color="auto" w:fill="FFFFFF" w:themeFill="background1"/>
            <w:vAlign w:val="center"/>
          </w:tcPr>
          <w:p w14:paraId="1D48531B" w14:textId="77777777" w:rsidR="00E67F89" w:rsidRPr="00E67F89" w:rsidRDefault="00E67F89" w:rsidP="00E67F89">
            <w:r w:rsidRPr="00E67F89">
              <w:t>3</w:t>
            </w:r>
          </w:p>
        </w:tc>
        <w:tc>
          <w:tcPr>
            <w:tcW w:w="1288" w:type="pct"/>
            <w:shd w:val="clear" w:color="auto" w:fill="FFFFFF" w:themeFill="background1"/>
            <w:vAlign w:val="center"/>
          </w:tcPr>
          <w:p w14:paraId="7AA8F5B7" w14:textId="77777777" w:rsidR="00E67F89" w:rsidRPr="00E67F89" w:rsidRDefault="00E67F89" w:rsidP="00E67F89"/>
        </w:tc>
      </w:tr>
      <w:tr w:rsidR="00E67F89" w:rsidRPr="00E67F89" w14:paraId="45BE9950" w14:textId="77777777" w:rsidTr="00223F64">
        <w:tc>
          <w:tcPr>
            <w:tcW w:w="2424" w:type="pct"/>
            <w:shd w:val="clear" w:color="auto" w:fill="FFFFFF" w:themeFill="background1"/>
            <w:vAlign w:val="center"/>
          </w:tcPr>
          <w:p w14:paraId="509576AB" w14:textId="77777777" w:rsidR="00E67F89" w:rsidRPr="00E67F89" w:rsidRDefault="00E67F89" w:rsidP="00E67F89">
            <w:r w:rsidRPr="00E67F89">
              <w:t>Pas de litige foncier</w:t>
            </w:r>
          </w:p>
        </w:tc>
        <w:tc>
          <w:tcPr>
            <w:tcW w:w="1288" w:type="pct"/>
            <w:shd w:val="clear" w:color="auto" w:fill="FFFFFF" w:themeFill="background1"/>
            <w:vAlign w:val="center"/>
          </w:tcPr>
          <w:p w14:paraId="10F64CCD" w14:textId="77777777" w:rsidR="00E67F89" w:rsidRPr="00E67F89" w:rsidRDefault="00E67F89" w:rsidP="00E67F89">
            <w:r w:rsidRPr="00E67F89">
              <w:t>3</w:t>
            </w:r>
          </w:p>
        </w:tc>
        <w:tc>
          <w:tcPr>
            <w:tcW w:w="1288" w:type="pct"/>
            <w:shd w:val="clear" w:color="auto" w:fill="FFFFFF" w:themeFill="background1"/>
            <w:vAlign w:val="center"/>
          </w:tcPr>
          <w:p w14:paraId="53ECFD4F" w14:textId="77777777" w:rsidR="00E67F89" w:rsidRPr="00E67F89" w:rsidRDefault="00E67F89" w:rsidP="00E67F89"/>
        </w:tc>
      </w:tr>
      <w:tr w:rsidR="00E67F89" w:rsidRPr="00E67F89" w14:paraId="1313A842" w14:textId="77777777" w:rsidTr="00223F64">
        <w:tc>
          <w:tcPr>
            <w:tcW w:w="2424" w:type="pct"/>
            <w:tcBorders>
              <w:bottom w:val="single" w:sz="4" w:space="0" w:color="auto"/>
            </w:tcBorders>
            <w:shd w:val="clear" w:color="auto" w:fill="FFFFFF" w:themeFill="background1"/>
            <w:vAlign w:val="center"/>
          </w:tcPr>
          <w:p w14:paraId="3C0C7531" w14:textId="77777777" w:rsidR="00E67F89" w:rsidRPr="00E67F89" w:rsidRDefault="00E67F89" w:rsidP="00E67F89">
            <w:r w:rsidRPr="00E67F89">
              <w:t xml:space="preserve">Pas dans une aire protégée </w:t>
            </w:r>
          </w:p>
        </w:tc>
        <w:tc>
          <w:tcPr>
            <w:tcW w:w="1288" w:type="pct"/>
            <w:tcBorders>
              <w:bottom w:val="single" w:sz="4" w:space="0" w:color="auto"/>
            </w:tcBorders>
            <w:shd w:val="clear" w:color="auto" w:fill="FFFFFF" w:themeFill="background1"/>
            <w:vAlign w:val="center"/>
          </w:tcPr>
          <w:p w14:paraId="44F8BE8E" w14:textId="77777777" w:rsidR="00E67F89" w:rsidRPr="00E67F89" w:rsidRDefault="00E67F89" w:rsidP="00E67F89">
            <w:r w:rsidRPr="00E67F89">
              <w:t>3</w:t>
            </w:r>
          </w:p>
        </w:tc>
        <w:tc>
          <w:tcPr>
            <w:tcW w:w="1288" w:type="pct"/>
            <w:tcBorders>
              <w:bottom w:val="single" w:sz="4" w:space="0" w:color="auto"/>
            </w:tcBorders>
            <w:shd w:val="clear" w:color="auto" w:fill="FFFFFF" w:themeFill="background1"/>
            <w:vAlign w:val="center"/>
          </w:tcPr>
          <w:p w14:paraId="15B31AB1" w14:textId="77777777" w:rsidR="00E67F89" w:rsidRPr="00E67F89" w:rsidRDefault="00E67F89" w:rsidP="00E67F89"/>
        </w:tc>
      </w:tr>
      <w:tr w:rsidR="00E67F89" w:rsidRPr="00E67F89" w14:paraId="6A5ED28F" w14:textId="77777777" w:rsidTr="00223F64">
        <w:tc>
          <w:tcPr>
            <w:tcW w:w="2424" w:type="pct"/>
            <w:tcBorders>
              <w:right w:val="nil"/>
            </w:tcBorders>
            <w:shd w:val="clear" w:color="auto" w:fill="DEEAF6" w:themeFill="accent5" w:themeFillTint="33"/>
            <w:vAlign w:val="center"/>
          </w:tcPr>
          <w:p w14:paraId="742AA90A" w14:textId="77777777" w:rsidR="00E67F89" w:rsidRPr="00E67F89" w:rsidRDefault="00E67F89" w:rsidP="00E67F89">
            <w:r w:rsidRPr="00E67F89">
              <w:t>Autres critères</w:t>
            </w:r>
          </w:p>
        </w:tc>
        <w:tc>
          <w:tcPr>
            <w:tcW w:w="1288" w:type="pct"/>
            <w:tcBorders>
              <w:left w:val="nil"/>
              <w:right w:val="nil"/>
            </w:tcBorders>
            <w:shd w:val="clear" w:color="auto" w:fill="DEEAF6" w:themeFill="accent5" w:themeFillTint="33"/>
            <w:vAlign w:val="center"/>
          </w:tcPr>
          <w:p w14:paraId="23A3E643" w14:textId="77777777" w:rsidR="00E67F89" w:rsidRPr="00E67F89" w:rsidRDefault="00E67F89" w:rsidP="00E67F89"/>
        </w:tc>
        <w:tc>
          <w:tcPr>
            <w:tcW w:w="1288" w:type="pct"/>
            <w:tcBorders>
              <w:left w:val="nil"/>
            </w:tcBorders>
            <w:shd w:val="clear" w:color="auto" w:fill="DEEAF6" w:themeFill="accent5" w:themeFillTint="33"/>
            <w:vAlign w:val="center"/>
          </w:tcPr>
          <w:p w14:paraId="61C5551B" w14:textId="77777777" w:rsidR="00E67F89" w:rsidRPr="00E67F89" w:rsidRDefault="00E67F89" w:rsidP="00E67F89"/>
        </w:tc>
      </w:tr>
      <w:tr w:rsidR="00E67F89" w:rsidRPr="00E67F89" w14:paraId="6F4709E4" w14:textId="77777777" w:rsidTr="00223F64">
        <w:tc>
          <w:tcPr>
            <w:tcW w:w="2424" w:type="pct"/>
            <w:shd w:val="clear" w:color="auto" w:fill="FFFFFF" w:themeFill="background1"/>
            <w:vAlign w:val="center"/>
          </w:tcPr>
          <w:p w14:paraId="52C0AB6A" w14:textId="77777777" w:rsidR="00E67F89" w:rsidRPr="00E67F89" w:rsidRDefault="00E67F89" w:rsidP="00E67F89">
            <w:r w:rsidRPr="00E67F89">
              <w:t>Ne nécessite pas d’abattage d’arbre (*)</w:t>
            </w:r>
          </w:p>
        </w:tc>
        <w:tc>
          <w:tcPr>
            <w:tcW w:w="1288" w:type="pct"/>
            <w:shd w:val="clear" w:color="auto" w:fill="FFFFFF" w:themeFill="background1"/>
            <w:vAlign w:val="center"/>
          </w:tcPr>
          <w:p w14:paraId="447CD7D3" w14:textId="77777777" w:rsidR="00E67F89" w:rsidRPr="00E67F89" w:rsidRDefault="00E67F89" w:rsidP="00E67F89">
            <w:r w:rsidRPr="00E67F89">
              <w:t>2</w:t>
            </w:r>
          </w:p>
        </w:tc>
        <w:tc>
          <w:tcPr>
            <w:tcW w:w="1288" w:type="pct"/>
            <w:shd w:val="clear" w:color="auto" w:fill="FFFFFF" w:themeFill="background1"/>
            <w:vAlign w:val="center"/>
          </w:tcPr>
          <w:p w14:paraId="04709D16" w14:textId="77777777" w:rsidR="00E67F89" w:rsidRPr="00E67F89" w:rsidRDefault="00E67F89" w:rsidP="00E67F89">
            <w:r w:rsidRPr="00E67F89">
              <w:t>1</w:t>
            </w:r>
          </w:p>
        </w:tc>
      </w:tr>
      <w:tr w:rsidR="00E67F89" w:rsidRPr="00E67F89" w14:paraId="04F0E692" w14:textId="77777777" w:rsidTr="00223F64">
        <w:tc>
          <w:tcPr>
            <w:tcW w:w="2424" w:type="pct"/>
            <w:shd w:val="clear" w:color="auto" w:fill="FFFFFF" w:themeFill="background1"/>
            <w:vAlign w:val="center"/>
          </w:tcPr>
          <w:p w14:paraId="135352D0" w14:textId="77777777" w:rsidR="00E67F89" w:rsidRPr="00E67F89" w:rsidRDefault="00E67F89" w:rsidP="00E67F89">
            <w:r w:rsidRPr="00E67F89">
              <w:t>Pas sur zone de culture ou de reboisement</w:t>
            </w:r>
          </w:p>
        </w:tc>
        <w:tc>
          <w:tcPr>
            <w:tcW w:w="1288" w:type="pct"/>
            <w:shd w:val="clear" w:color="auto" w:fill="FFFFFF" w:themeFill="background1"/>
            <w:vAlign w:val="center"/>
          </w:tcPr>
          <w:p w14:paraId="7E9CA716" w14:textId="77777777" w:rsidR="00E67F89" w:rsidRPr="00E67F89" w:rsidRDefault="00E67F89" w:rsidP="00E67F89">
            <w:r w:rsidRPr="00E67F89">
              <w:t>2</w:t>
            </w:r>
          </w:p>
        </w:tc>
        <w:tc>
          <w:tcPr>
            <w:tcW w:w="1288" w:type="pct"/>
            <w:shd w:val="clear" w:color="auto" w:fill="FFFFFF" w:themeFill="background1"/>
            <w:vAlign w:val="center"/>
          </w:tcPr>
          <w:p w14:paraId="5AC2F9AA" w14:textId="77777777" w:rsidR="00E67F89" w:rsidRPr="00E67F89" w:rsidRDefault="00E67F89" w:rsidP="00E67F89">
            <w:r w:rsidRPr="00E67F89">
              <w:t>1</w:t>
            </w:r>
          </w:p>
        </w:tc>
      </w:tr>
      <w:tr w:rsidR="00E67F89" w:rsidRPr="00E67F89" w14:paraId="1C8E2635" w14:textId="77777777" w:rsidTr="00223F64">
        <w:tc>
          <w:tcPr>
            <w:tcW w:w="2424" w:type="pct"/>
            <w:shd w:val="clear" w:color="auto" w:fill="FFFFFF" w:themeFill="background1"/>
            <w:vAlign w:val="center"/>
          </w:tcPr>
          <w:p w14:paraId="28CA3386" w14:textId="77777777" w:rsidR="00E67F89" w:rsidRPr="00E67F89" w:rsidRDefault="00E67F89" w:rsidP="00E67F89">
            <w:r w:rsidRPr="00E67F89">
              <w:t>Site déjà exploité auparavant</w:t>
            </w:r>
          </w:p>
        </w:tc>
        <w:tc>
          <w:tcPr>
            <w:tcW w:w="1288" w:type="pct"/>
            <w:shd w:val="clear" w:color="auto" w:fill="FFFFFF" w:themeFill="background1"/>
            <w:vAlign w:val="center"/>
          </w:tcPr>
          <w:p w14:paraId="70277644" w14:textId="77777777" w:rsidR="00E67F89" w:rsidRPr="00E67F89" w:rsidRDefault="00E67F89" w:rsidP="00E67F89">
            <w:r w:rsidRPr="00E67F89">
              <w:t>3</w:t>
            </w:r>
          </w:p>
        </w:tc>
        <w:tc>
          <w:tcPr>
            <w:tcW w:w="1288" w:type="pct"/>
            <w:shd w:val="clear" w:color="auto" w:fill="FFFFFF" w:themeFill="background1"/>
            <w:vAlign w:val="center"/>
          </w:tcPr>
          <w:p w14:paraId="34F0FFB2" w14:textId="77777777" w:rsidR="00E67F89" w:rsidRPr="00E67F89" w:rsidRDefault="00E67F89" w:rsidP="00E67F89">
            <w:r w:rsidRPr="00E67F89">
              <w:t>1</w:t>
            </w:r>
          </w:p>
        </w:tc>
      </w:tr>
      <w:tr w:rsidR="00E67F89" w:rsidRPr="00E67F89" w14:paraId="081213C8" w14:textId="77777777" w:rsidTr="00223F64">
        <w:tc>
          <w:tcPr>
            <w:tcW w:w="2424" w:type="pct"/>
            <w:shd w:val="clear" w:color="auto" w:fill="FFFFFF" w:themeFill="background1"/>
            <w:vAlign w:val="center"/>
          </w:tcPr>
          <w:p w14:paraId="145C913A" w14:textId="77777777" w:rsidR="00E67F89" w:rsidRPr="00E67F89" w:rsidRDefault="00E67F89" w:rsidP="00E67F89">
            <w:r w:rsidRPr="00E67F89">
              <w:t>Proche de la RN concernée par les travaux</w:t>
            </w:r>
          </w:p>
        </w:tc>
        <w:tc>
          <w:tcPr>
            <w:tcW w:w="1288" w:type="pct"/>
            <w:shd w:val="clear" w:color="auto" w:fill="FFFFFF" w:themeFill="background1"/>
            <w:vAlign w:val="center"/>
          </w:tcPr>
          <w:p w14:paraId="3E3C2CF8" w14:textId="77777777" w:rsidR="00E67F89" w:rsidRPr="00E67F89" w:rsidRDefault="00E67F89" w:rsidP="00E67F89">
            <w:r w:rsidRPr="00E67F89">
              <w:t>3</w:t>
            </w:r>
          </w:p>
        </w:tc>
        <w:tc>
          <w:tcPr>
            <w:tcW w:w="1288" w:type="pct"/>
            <w:shd w:val="clear" w:color="auto" w:fill="FFFFFF" w:themeFill="background1"/>
            <w:vAlign w:val="center"/>
          </w:tcPr>
          <w:p w14:paraId="25960A33" w14:textId="77777777" w:rsidR="00E67F89" w:rsidRPr="00E67F89" w:rsidRDefault="00E67F89" w:rsidP="00E67F89">
            <w:r w:rsidRPr="00E67F89">
              <w:t>1</w:t>
            </w:r>
          </w:p>
        </w:tc>
      </w:tr>
      <w:tr w:rsidR="00E67F89" w:rsidRPr="00E67F89" w14:paraId="33593773" w14:textId="77777777" w:rsidTr="00223F64">
        <w:tc>
          <w:tcPr>
            <w:tcW w:w="2424" w:type="pct"/>
            <w:shd w:val="clear" w:color="auto" w:fill="FFFFFF" w:themeFill="background1"/>
            <w:vAlign w:val="center"/>
          </w:tcPr>
          <w:p w14:paraId="388D9D8C" w14:textId="77777777" w:rsidR="00E67F89" w:rsidRPr="00E67F89" w:rsidRDefault="00E67F89" w:rsidP="00E67F89">
            <w:r w:rsidRPr="00E67F89">
              <w:t>A au moins 500m des zones d’habitation (**)</w:t>
            </w:r>
          </w:p>
        </w:tc>
        <w:tc>
          <w:tcPr>
            <w:tcW w:w="1288" w:type="pct"/>
            <w:shd w:val="clear" w:color="auto" w:fill="FFFFFF" w:themeFill="background1"/>
            <w:vAlign w:val="center"/>
          </w:tcPr>
          <w:p w14:paraId="2BE1DF0C" w14:textId="77777777" w:rsidR="00E67F89" w:rsidRPr="00E67F89" w:rsidRDefault="00E67F89" w:rsidP="00E67F89">
            <w:r w:rsidRPr="00E67F89">
              <w:t>3</w:t>
            </w:r>
          </w:p>
        </w:tc>
        <w:tc>
          <w:tcPr>
            <w:tcW w:w="1288" w:type="pct"/>
            <w:shd w:val="clear" w:color="auto" w:fill="FFFFFF" w:themeFill="background1"/>
            <w:vAlign w:val="center"/>
          </w:tcPr>
          <w:p w14:paraId="1336AB60" w14:textId="77777777" w:rsidR="00E67F89" w:rsidRPr="00E67F89" w:rsidRDefault="00E67F89" w:rsidP="00E67F89">
            <w:r w:rsidRPr="00E67F89">
              <w:t>1</w:t>
            </w:r>
          </w:p>
        </w:tc>
      </w:tr>
      <w:tr w:rsidR="00E67F89" w:rsidRPr="00E67F89" w14:paraId="7277AD01" w14:textId="77777777" w:rsidTr="00223F64">
        <w:tc>
          <w:tcPr>
            <w:tcW w:w="2424" w:type="pct"/>
            <w:shd w:val="clear" w:color="auto" w:fill="FFFFFF" w:themeFill="background1"/>
            <w:vAlign w:val="center"/>
          </w:tcPr>
          <w:p w14:paraId="00B10BC0" w14:textId="77777777" w:rsidR="00E67F89" w:rsidRPr="00E67F89" w:rsidRDefault="00E67F89" w:rsidP="00E67F89">
            <w:r w:rsidRPr="00E67F89">
              <w:t xml:space="preserve">Pas d’habitat écologiquement sensible, ni de parcelles de cultures, ni de points d’eau, ni de sites cultuels à moins de 100m </w:t>
            </w:r>
          </w:p>
        </w:tc>
        <w:tc>
          <w:tcPr>
            <w:tcW w:w="1288" w:type="pct"/>
            <w:shd w:val="clear" w:color="auto" w:fill="FFFFFF" w:themeFill="background1"/>
            <w:vAlign w:val="center"/>
          </w:tcPr>
          <w:p w14:paraId="231C777B" w14:textId="77777777" w:rsidR="00E67F89" w:rsidRPr="00E67F89" w:rsidRDefault="00E67F89" w:rsidP="00E67F89">
            <w:r w:rsidRPr="00E67F89">
              <w:t>3</w:t>
            </w:r>
          </w:p>
        </w:tc>
        <w:tc>
          <w:tcPr>
            <w:tcW w:w="1288" w:type="pct"/>
            <w:shd w:val="clear" w:color="auto" w:fill="FFFFFF" w:themeFill="background1"/>
            <w:vAlign w:val="center"/>
          </w:tcPr>
          <w:p w14:paraId="16205C0A" w14:textId="77777777" w:rsidR="00E67F89" w:rsidRPr="00E67F89" w:rsidRDefault="00E67F89" w:rsidP="00E67F89">
            <w:r w:rsidRPr="00E67F89">
              <w:t>0</w:t>
            </w:r>
          </w:p>
        </w:tc>
      </w:tr>
      <w:tr w:rsidR="00E67F89" w:rsidRPr="00E67F89" w14:paraId="4B339C52" w14:textId="77777777" w:rsidTr="00223F64">
        <w:tc>
          <w:tcPr>
            <w:tcW w:w="2424" w:type="pct"/>
            <w:shd w:val="clear" w:color="auto" w:fill="FFFFFF" w:themeFill="background1"/>
            <w:vAlign w:val="center"/>
          </w:tcPr>
          <w:p w14:paraId="7434FEDA" w14:textId="77777777" w:rsidR="00E67F89" w:rsidRPr="00E67F89" w:rsidRDefault="00E67F89" w:rsidP="00E67F89">
            <w:r w:rsidRPr="00E67F89">
              <w:t>Site ne présentant pas de signe d’érosion</w:t>
            </w:r>
          </w:p>
        </w:tc>
        <w:tc>
          <w:tcPr>
            <w:tcW w:w="1288" w:type="pct"/>
            <w:shd w:val="clear" w:color="auto" w:fill="FFFFFF" w:themeFill="background1"/>
            <w:vAlign w:val="center"/>
          </w:tcPr>
          <w:p w14:paraId="3021E09D" w14:textId="77777777" w:rsidR="00E67F89" w:rsidRPr="00E67F89" w:rsidRDefault="00E67F89" w:rsidP="00E67F89">
            <w:r w:rsidRPr="00E67F89">
              <w:t>3</w:t>
            </w:r>
          </w:p>
        </w:tc>
        <w:tc>
          <w:tcPr>
            <w:tcW w:w="1288" w:type="pct"/>
            <w:shd w:val="clear" w:color="auto" w:fill="FFFFFF" w:themeFill="background1"/>
            <w:vAlign w:val="center"/>
          </w:tcPr>
          <w:p w14:paraId="1EB2C4C6" w14:textId="77777777" w:rsidR="00E67F89" w:rsidRPr="00E67F89" w:rsidRDefault="00E67F89" w:rsidP="00E67F89">
            <w:r w:rsidRPr="00E67F89">
              <w:t>0</w:t>
            </w:r>
          </w:p>
        </w:tc>
      </w:tr>
      <w:tr w:rsidR="00E67F89" w:rsidRPr="00E67F89" w14:paraId="3B829B84" w14:textId="77777777" w:rsidTr="00223F64">
        <w:tc>
          <w:tcPr>
            <w:tcW w:w="2424" w:type="pct"/>
            <w:shd w:val="clear" w:color="auto" w:fill="FFFFFF" w:themeFill="background1"/>
            <w:vAlign w:val="center"/>
          </w:tcPr>
          <w:p w14:paraId="1600DF11" w14:textId="77777777" w:rsidR="00E67F89" w:rsidRPr="00E67F89" w:rsidRDefault="00E67F89" w:rsidP="00E67F89">
            <w:r w:rsidRPr="00E67F89">
              <w:t>Site à topographie plane (***)</w:t>
            </w:r>
          </w:p>
        </w:tc>
        <w:tc>
          <w:tcPr>
            <w:tcW w:w="1288" w:type="pct"/>
            <w:shd w:val="clear" w:color="auto" w:fill="FFFFFF" w:themeFill="background1"/>
            <w:vAlign w:val="center"/>
          </w:tcPr>
          <w:p w14:paraId="3A7A4A85" w14:textId="77777777" w:rsidR="00E67F89" w:rsidRPr="00E67F89" w:rsidRDefault="00E67F89" w:rsidP="00E67F89">
            <w:r w:rsidRPr="00E67F89">
              <w:t>2</w:t>
            </w:r>
          </w:p>
        </w:tc>
        <w:tc>
          <w:tcPr>
            <w:tcW w:w="1288" w:type="pct"/>
            <w:shd w:val="clear" w:color="auto" w:fill="FFFFFF" w:themeFill="background1"/>
            <w:vAlign w:val="center"/>
          </w:tcPr>
          <w:p w14:paraId="0089A4C4" w14:textId="77777777" w:rsidR="00E67F89" w:rsidRPr="00E67F89" w:rsidRDefault="00E67F89" w:rsidP="00E67F89">
            <w:r w:rsidRPr="00E67F89">
              <w:t>1</w:t>
            </w:r>
          </w:p>
        </w:tc>
      </w:tr>
      <w:tr w:rsidR="00E67F89" w:rsidRPr="00E67F89" w14:paraId="5046540B" w14:textId="77777777" w:rsidTr="00223F64">
        <w:tc>
          <w:tcPr>
            <w:tcW w:w="2424" w:type="pct"/>
            <w:shd w:val="clear" w:color="auto" w:fill="FFFFFF" w:themeFill="background1"/>
            <w:vAlign w:val="center"/>
          </w:tcPr>
          <w:p w14:paraId="1C94E628" w14:textId="77777777" w:rsidR="00E67F89" w:rsidRPr="00E67F89" w:rsidRDefault="00E67F89" w:rsidP="00E67F89">
            <w:r w:rsidRPr="00E67F89">
              <w:t>Terrains non exposés ou terrains dont la morphologie permet de préserver le paysage</w:t>
            </w:r>
          </w:p>
        </w:tc>
        <w:tc>
          <w:tcPr>
            <w:tcW w:w="1288" w:type="pct"/>
            <w:shd w:val="clear" w:color="auto" w:fill="FFFFFF" w:themeFill="background1"/>
            <w:vAlign w:val="center"/>
          </w:tcPr>
          <w:p w14:paraId="174E4B40" w14:textId="77777777" w:rsidR="00E67F89" w:rsidRPr="00E67F89" w:rsidRDefault="00E67F89" w:rsidP="00E67F89">
            <w:r w:rsidRPr="00E67F89">
              <w:t>2</w:t>
            </w:r>
          </w:p>
        </w:tc>
        <w:tc>
          <w:tcPr>
            <w:tcW w:w="1288" w:type="pct"/>
            <w:shd w:val="clear" w:color="auto" w:fill="FFFFFF" w:themeFill="background1"/>
            <w:vAlign w:val="center"/>
          </w:tcPr>
          <w:p w14:paraId="31A98B00" w14:textId="77777777" w:rsidR="00E67F89" w:rsidRPr="00E67F89" w:rsidRDefault="00E67F89" w:rsidP="00E67F89">
            <w:r w:rsidRPr="00E67F89">
              <w:t>1</w:t>
            </w:r>
          </w:p>
        </w:tc>
      </w:tr>
      <w:tr w:rsidR="00E67F89" w:rsidRPr="00E67F89" w14:paraId="7DAB7F9B" w14:textId="77777777" w:rsidTr="00223F64">
        <w:tc>
          <w:tcPr>
            <w:tcW w:w="2424" w:type="pct"/>
            <w:shd w:val="clear" w:color="auto" w:fill="FFFFFF" w:themeFill="background1"/>
            <w:vAlign w:val="center"/>
          </w:tcPr>
          <w:p w14:paraId="35130A0E" w14:textId="77777777" w:rsidR="00E67F89" w:rsidRPr="00E67F89" w:rsidRDefault="00E67F89" w:rsidP="00E67F89">
            <w:r w:rsidRPr="00E67F89">
              <w:t>Total</w:t>
            </w:r>
          </w:p>
        </w:tc>
        <w:tc>
          <w:tcPr>
            <w:tcW w:w="1288" w:type="pct"/>
            <w:shd w:val="clear" w:color="auto" w:fill="FFFFFF" w:themeFill="background1"/>
            <w:vAlign w:val="center"/>
          </w:tcPr>
          <w:p w14:paraId="36758FAE" w14:textId="77777777" w:rsidR="00E67F89" w:rsidRPr="00E67F89" w:rsidRDefault="00E67F89" w:rsidP="00E67F89">
            <w:r w:rsidRPr="00E67F89">
              <w:t>34</w:t>
            </w:r>
          </w:p>
        </w:tc>
        <w:tc>
          <w:tcPr>
            <w:tcW w:w="1288" w:type="pct"/>
            <w:shd w:val="clear" w:color="auto" w:fill="FFFFFF" w:themeFill="background1"/>
            <w:vAlign w:val="center"/>
          </w:tcPr>
          <w:p w14:paraId="5715E2D2" w14:textId="77777777" w:rsidR="00E67F89" w:rsidRPr="00E67F89" w:rsidRDefault="00E67F89" w:rsidP="00E67F89">
            <w:r w:rsidRPr="00E67F89">
              <w:t>7</w:t>
            </w:r>
          </w:p>
        </w:tc>
      </w:tr>
    </w:tbl>
    <w:p w14:paraId="374B5E09" w14:textId="77777777" w:rsidR="00E67F89" w:rsidRPr="00E67F89" w:rsidRDefault="00E67F89" w:rsidP="00E67F89">
      <w:r w:rsidRPr="00E67F89">
        <w:t>(*) Il est rappelé que, conformément à la législation forestière, tout abattage d’arbres nécessite des plantations compensatoires</w:t>
      </w:r>
    </w:p>
    <w:p w14:paraId="61635B81" w14:textId="77777777" w:rsidR="00E67F89" w:rsidRPr="00E67F89" w:rsidRDefault="00E67F89" w:rsidP="00E67F89">
      <w:r w:rsidRPr="00E67F89">
        <w:t>(**) Toutefois, les bases vie peuvent être localisées à moins de 500m des zones d’habitation si 100m ≤ distance &lt; 500m. De même, les déviations / routes d’accès vers les sites du projet doivent éviter tout empiètement de zone habitée.</w:t>
      </w:r>
    </w:p>
    <w:p w14:paraId="3BBA54B5" w14:textId="77777777" w:rsidR="00E67F89" w:rsidRPr="00E67F89" w:rsidRDefault="00E67F89" w:rsidP="00E67F89">
      <w:r w:rsidRPr="00E67F89">
        <w:t>(***) A l’exception des sites d’extraction</w:t>
      </w:r>
    </w:p>
    <w:p w14:paraId="76506C5B" w14:textId="77777777" w:rsidR="00E67F89" w:rsidRPr="00E67F89" w:rsidRDefault="00E67F89" w:rsidP="00E67F89">
      <w:r w:rsidRPr="00E67F89">
        <w:t>Eligibilité et sélection des sites</w:t>
      </w:r>
    </w:p>
    <w:p w14:paraId="0659DFA4" w14:textId="77777777" w:rsidR="00E67F89" w:rsidRPr="00E67F89" w:rsidRDefault="00E67F89" w:rsidP="00E67F89">
      <w:r w:rsidRPr="00E67F89">
        <w:t>Un site est non éligible s’il ne satisfait pas tous les critères d’exclusion.</w:t>
      </w:r>
    </w:p>
    <w:p w14:paraId="40E53E5E" w14:textId="77777777" w:rsidR="00E67F89" w:rsidRPr="00E67F89" w:rsidRDefault="00E67F89" w:rsidP="00E67F89">
      <w:r w:rsidRPr="00E67F89">
        <w:t>Il est conseillé de choisir des sites éligibles ayant les notations les plus élevées pour chaque type de sites connexes.</w:t>
      </w:r>
    </w:p>
    <w:p w14:paraId="359660EF" w14:textId="77777777" w:rsidR="00E67F89" w:rsidRPr="00E67F89" w:rsidRDefault="00E67F89" w:rsidP="00E67F89">
      <w:r w:rsidRPr="00E67F89">
        <w:br w:type="page"/>
      </w:r>
    </w:p>
    <w:p w14:paraId="651180EC" w14:textId="77777777" w:rsidR="00E67F89" w:rsidRPr="00E67F89" w:rsidRDefault="00E67F89" w:rsidP="00E67F89">
      <w:bookmarkStart w:id="924" w:name="_Toc13692303"/>
      <w:bookmarkStart w:id="925" w:name="_Toc72015670"/>
      <w:bookmarkStart w:id="926" w:name="_Toc138414178"/>
      <w:bookmarkStart w:id="927" w:name="_Toc230426121"/>
      <w:r w:rsidRPr="00E67F89">
        <w:lastRenderedPageBreak/>
        <w:t xml:space="preserve">Annexe </w:t>
      </w:r>
      <w:r w:rsidRPr="00E67F89">
        <w:fldChar w:fldCharType="begin"/>
      </w:r>
      <w:r w:rsidRPr="00E67F89">
        <w:instrText xml:space="preserve"> SEQ Annexe \* ARABIC </w:instrText>
      </w:r>
      <w:r w:rsidRPr="00E67F89">
        <w:fldChar w:fldCharType="separate"/>
      </w:r>
      <w:r w:rsidRPr="00E67F89">
        <w:t>16</w:t>
      </w:r>
      <w:r w:rsidRPr="00E67F89">
        <w:fldChar w:fldCharType="end"/>
      </w:r>
      <w:r w:rsidRPr="00E67F89">
        <w:t> : Directives pour la gestion des gites, emprunts et carrières</w:t>
      </w:r>
      <w:bookmarkEnd w:id="924"/>
      <w:bookmarkEnd w:id="925"/>
      <w:bookmarkEnd w:id="926"/>
      <w:bookmarkEnd w:id="927"/>
    </w:p>
    <w:p w14:paraId="6B8BBE3D" w14:textId="77777777" w:rsidR="00E67F89" w:rsidRPr="00E67F89" w:rsidRDefault="00E67F89" w:rsidP="00E67F89">
      <w:r w:rsidRPr="00E67F89">
        <w:t>Par rapport à l’exploitation des gites d’emprunt et carrières pour les matériaux nécessaires aux travaux routiers, l’Entreprise préparera un plan environnemental spécifique pour ces sites d’extraction des matériaux. Dans tous les cas, le plan de gestion des gites d’emprunt et carrières de l’Entreprise devra être conforme avec les Directives environnementales, sanitaires et sécuritaires de la SFI/BM pour les activités d’extraction des matériaux de construction</w:t>
      </w:r>
      <w:r w:rsidRPr="00E67F89">
        <w:footnoteReference w:id="31"/>
      </w:r>
      <w:r w:rsidRPr="00E67F89">
        <w:t>, et donc considérer les différentes dispositions mentionnées dans les tableaux ci-après.</w:t>
      </w:r>
    </w:p>
    <w:p w14:paraId="6B0E2890" w14:textId="77777777" w:rsidR="00E67F89" w:rsidRPr="00E67F89" w:rsidRDefault="00E67F89" w:rsidP="00E67F89">
      <w:r w:rsidRPr="00E67F89">
        <w:t>Dispositions par rapport aux émissions atmosphériques :</w:t>
      </w:r>
    </w:p>
    <w:p w14:paraId="193706A3" w14:textId="77777777" w:rsidR="00E67F89" w:rsidRPr="00E67F89" w:rsidRDefault="00E67F89" w:rsidP="00E67F89">
      <w:bookmarkStart w:id="928" w:name="_Toc13692517"/>
      <w:bookmarkStart w:id="929" w:name="_Toc72017172"/>
      <w:r w:rsidRPr="00E67F89">
        <w:t xml:space="preserve">Tabl. </w:t>
      </w:r>
      <w:r w:rsidRPr="00E67F89">
        <w:fldChar w:fldCharType="begin"/>
      </w:r>
      <w:r w:rsidRPr="00E67F89">
        <w:instrText xml:space="preserve"> SEQ Tabl. \* ARABIC </w:instrText>
      </w:r>
      <w:r w:rsidRPr="00E67F89">
        <w:fldChar w:fldCharType="separate"/>
      </w:r>
      <w:r w:rsidRPr="00E67F89">
        <w:t>4</w:t>
      </w:r>
      <w:r w:rsidRPr="00E67F89">
        <w:fldChar w:fldCharType="end"/>
      </w:r>
      <w:r w:rsidRPr="00E67F89">
        <w:t>. Plan de gestion des gites et carrières – Emissions atmosphériques</w:t>
      </w:r>
      <w:bookmarkEnd w:id="928"/>
      <w:bookmarkEnd w:id="929"/>
    </w:p>
    <w:tbl>
      <w:tblPr>
        <w:tblStyle w:val="TableGrid"/>
        <w:tblW w:w="0" w:type="auto"/>
        <w:tblLook w:val="04A0" w:firstRow="1" w:lastRow="0" w:firstColumn="1" w:lastColumn="0" w:noHBand="0" w:noVBand="1"/>
      </w:tblPr>
      <w:tblGrid>
        <w:gridCol w:w="2219"/>
        <w:gridCol w:w="7125"/>
      </w:tblGrid>
      <w:tr w:rsidR="00E67F89" w:rsidRPr="00E67F89" w14:paraId="3E8ED903" w14:textId="77777777" w:rsidTr="00223F64">
        <w:trPr>
          <w:tblHeader/>
        </w:trPr>
        <w:tc>
          <w:tcPr>
            <w:tcW w:w="2235" w:type="dxa"/>
            <w:shd w:val="clear" w:color="auto" w:fill="E2EFD9" w:themeFill="accent6" w:themeFillTint="33"/>
          </w:tcPr>
          <w:p w14:paraId="6F066B76" w14:textId="77777777" w:rsidR="00E67F89" w:rsidRPr="00E67F89" w:rsidRDefault="00E67F89" w:rsidP="00E67F89">
            <w:r w:rsidRPr="00E67F89">
              <w:t>Enjeu</w:t>
            </w:r>
          </w:p>
        </w:tc>
        <w:tc>
          <w:tcPr>
            <w:tcW w:w="7229" w:type="dxa"/>
            <w:shd w:val="clear" w:color="auto" w:fill="E2EFD9" w:themeFill="accent6" w:themeFillTint="33"/>
          </w:tcPr>
          <w:p w14:paraId="64557C4F" w14:textId="77777777" w:rsidR="00E67F89" w:rsidRPr="00E67F89" w:rsidRDefault="00E67F89" w:rsidP="00E67F89">
            <w:r w:rsidRPr="00E67F89">
              <w:t>Dispositions à prendre dans la gestion des sites d’extraction de matériaux</w:t>
            </w:r>
          </w:p>
        </w:tc>
      </w:tr>
      <w:tr w:rsidR="00E67F89" w:rsidRPr="00E67F89" w14:paraId="063854D9" w14:textId="77777777" w:rsidTr="00223F64">
        <w:tc>
          <w:tcPr>
            <w:tcW w:w="2235" w:type="dxa"/>
          </w:tcPr>
          <w:p w14:paraId="09281AAA" w14:textId="77777777" w:rsidR="00E67F89" w:rsidRPr="00E67F89" w:rsidRDefault="00E67F89" w:rsidP="00E67F89">
            <w:r w:rsidRPr="00E67F89">
              <w:t>Matières particulaires</w:t>
            </w:r>
          </w:p>
        </w:tc>
        <w:tc>
          <w:tcPr>
            <w:tcW w:w="7229" w:type="dxa"/>
          </w:tcPr>
          <w:p w14:paraId="6293A5AD" w14:textId="77777777" w:rsidR="00E67F89" w:rsidRPr="00E67F89" w:rsidRDefault="00E67F89" w:rsidP="00E67F89">
            <w:r w:rsidRPr="00E67F89">
              <w:t>Planifier les opérations de défrichement, d’enlèvement de la terre végétale et des matériaux excédentaires, l’emplacement des voies de desserte, des décharges et des aires de stockage, et les activités d’abattage à l’explosif tenant compte des facteurs météorologiques (par exemple, les précipitations, la température, la direction et la vitesse du vent) et de la localisation des milieux récepteurs sensibles ;</w:t>
            </w:r>
          </w:p>
          <w:p w14:paraId="5547C759" w14:textId="77777777" w:rsidR="00E67F89" w:rsidRPr="00E67F89" w:rsidRDefault="00E67F89" w:rsidP="00E67F89">
            <w:r w:rsidRPr="00E67F89">
              <w:t>S’assurer que les opérations de manutention des matériaux s’opèrent selon un schéma simple et linéaire de manière à réduire le nombre de transferts (les installations de transformation, par exemple, doivent de préférence être situées dans l’enceinte de la carrière) ;</w:t>
            </w:r>
          </w:p>
          <w:p w14:paraId="3DB77195" w14:textId="77777777" w:rsidR="00E67F89" w:rsidRPr="00E67F89" w:rsidRDefault="00E67F89" w:rsidP="00E67F89">
            <w:r w:rsidRPr="00E67F89">
              <w:t>Maîtriser à la source les émissions de poussières des activités de forage en installant des capteurs, des collecteurs de poussière et des filtres, et employer dans la mesure du possible des techniques de forage et de traitement par voie humide ;</w:t>
            </w:r>
          </w:p>
          <w:p w14:paraId="418D2936" w14:textId="77777777" w:rsidR="00E67F89" w:rsidRPr="00E67F89" w:rsidRDefault="00E67F89" w:rsidP="00E67F89">
            <w:r w:rsidRPr="00E67F89">
              <w:t>Limiter les émissions de poussières au niveau des équipements de transformation (par exemple, concasseurs, broyeurs et tamis) au moyen de capteurs, en utilisant des traitements par voie humide ou par aspersions d’eau/arrosage. Les méthodes de dépoussiérage dépendent de l’utilisation finale des matériaux extraits (par exemple, privilégier les opérations de traitement par voie humide si le fait que les matériaux soient humidité ou présentent une forte teneur en eau n’aient pas de conséquences négatives sur leur utilisation finale) ;</w:t>
            </w:r>
          </w:p>
          <w:p w14:paraId="5F72CC6A" w14:textId="77777777" w:rsidR="00E67F89" w:rsidRPr="00E67F89" w:rsidRDefault="00E67F89" w:rsidP="00E67F89">
            <w:r w:rsidRPr="00E67F89">
              <w:t>Adopter des procédures pour limiter la hauteur de largage des matériaux ;</w:t>
            </w:r>
          </w:p>
          <w:p w14:paraId="5218E981" w14:textId="77777777" w:rsidR="00E67F89" w:rsidRPr="00E67F89" w:rsidRDefault="00E67F89" w:rsidP="00E67F89">
            <w:r w:rsidRPr="00E67F89">
              <w:t xml:space="preserve">Privilégier l’utilisation de courroies de transmission et de bandes transporteuses fixes et mobiles pour transporter les matériaux à celle des camions, dans l’enceinte de de la carrière (il est recommandé d’utiliser des bandes transporteuses en caoutchouc et couvertes pour les matériaux poussiéreux, munis de dispositifs de nettoyage) ; </w:t>
            </w:r>
          </w:p>
          <w:p w14:paraId="20C2E264" w14:textId="77777777" w:rsidR="00E67F89" w:rsidRPr="00E67F89" w:rsidRDefault="00E67F89" w:rsidP="00E67F89">
            <w:r w:rsidRPr="00E67F89">
              <w:lastRenderedPageBreak/>
              <w:t xml:space="preserve">Bien compacter les pistes construites sur le site, les entretenir et les reniveler périodiquement ; </w:t>
            </w:r>
          </w:p>
          <w:p w14:paraId="6F73D8B6" w14:textId="77777777" w:rsidR="00E67F89" w:rsidRPr="00E67F89" w:rsidRDefault="00E67F89" w:rsidP="00E67F89">
            <w:r w:rsidRPr="00E67F89">
              <w:t xml:space="preserve">Imposer une limite de vitesse aux camions de transport ; </w:t>
            </w:r>
          </w:p>
          <w:p w14:paraId="4A4DBBC6" w14:textId="77777777" w:rsidR="00E67F89" w:rsidRPr="00E67F89" w:rsidRDefault="00E67F89" w:rsidP="00E67F89">
            <w:r w:rsidRPr="00E67F89">
              <w:t xml:space="preserve">Mettre en place un système d’aspersion ou de canons à eau (par des produits hygroscopiques tels que le chlorure de calcium et des liants chimiques-naturels des sols) pour arroser et traiter la surface des pistes et les stocks de matériaux exposés à l’air libre ; </w:t>
            </w:r>
          </w:p>
          <w:p w14:paraId="232965EF" w14:textId="77777777" w:rsidR="00E67F89" w:rsidRPr="00E67F89" w:rsidRDefault="00E67F89" w:rsidP="00E67F89">
            <w:r w:rsidRPr="00E67F89">
              <w:t>Mettre en végétation les surfaces des matériaux stockés.</w:t>
            </w:r>
          </w:p>
        </w:tc>
      </w:tr>
      <w:tr w:rsidR="00E67F89" w:rsidRPr="00E67F89" w14:paraId="3E0BE0E7" w14:textId="77777777" w:rsidTr="00223F64">
        <w:tc>
          <w:tcPr>
            <w:tcW w:w="2235" w:type="dxa"/>
          </w:tcPr>
          <w:p w14:paraId="3A1BC633" w14:textId="77777777" w:rsidR="00E67F89" w:rsidRPr="00E67F89" w:rsidRDefault="00E67F89" w:rsidP="00E67F89">
            <w:r w:rsidRPr="00E67F89">
              <w:t>Gaz liés aux activités d’abattage à l’explosif</w:t>
            </w:r>
          </w:p>
        </w:tc>
        <w:tc>
          <w:tcPr>
            <w:tcW w:w="7229" w:type="dxa"/>
          </w:tcPr>
          <w:p w14:paraId="568F634D" w14:textId="77777777" w:rsidR="00E67F89" w:rsidRPr="00E67F89" w:rsidRDefault="00E67F89" w:rsidP="00E67F89">
            <w:r w:rsidRPr="00E67F89">
              <w:t xml:space="preserve">Recourir, non pas à des méthodes d’abattage à l'explosif, mais à des méthodes mécaniques avec, par exemple, des marteaux hydrauliques (dans la mesure du possible) ; </w:t>
            </w:r>
          </w:p>
          <w:p w14:paraId="55E15378" w14:textId="77777777" w:rsidR="00E67F89" w:rsidRPr="00E67F89" w:rsidRDefault="00E67F89" w:rsidP="00E67F89">
            <w:r w:rsidRPr="00E67F89">
              <w:t xml:space="preserve">Etablir un plan de tir des mines (dispositif, diamètre, profondeur et direction des trous de mines) lorsque l’utilisation d’explosifs est requise ; </w:t>
            </w:r>
          </w:p>
          <w:p w14:paraId="404BFBE9" w14:textId="77777777" w:rsidR="00E67F89" w:rsidRPr="00E67F89" w:rsidRDefault="00E67F89" w:rsidP="00E67F89">
            <w:r w:rsidRPr="00E67F89">
              <w:t>Assurer la bonne combustion des explosifs qui sont généralement composés d’un mélange de nitrate d’ammonium et de fuel, en réduisant le plus possible la présence de quantités excessives d’eau et éviter le mélange des produits explosifs de façon incorrecte ou incomplète.</w:t>
            </w:r>
          </w:p>
        </w:tc>
      </w:tr>
    </w:tbl>
    <w:p w14:paraId="68BFCDCA" w14:textId="77777777" w:rsidR="00E67F89" w:rsidRPr="00E67F89" w:rsidRDefault="00E67F89" w:rsidP="00E67F89">
      <w:r w:rsidRPr="00E67F89">
        <w:t>Dispositions par rapport aux bruits et vibrations :</w:t>
      </w:r>
    </w:p>
    <w:p w14:paraId="2146B05A" w14:textId="77777777" w:rsidR="00E67F89" w:rsidRPr="00E67F89" w:rsidRDefault="00E67F89" w:rsidP="00E67F89">
      <w:bookmarkStart w:id="930" w:name="_Toc13692518"/>
      <w:bookmarkStart w:id="931" w:name="_Toc72017173"/>
      <w:r w:rsidRPr="00E67F89">
        <w:t xml:space="preserve">Tabl. </w:t>
      </w:r>
      <w:r w:rsidRPr="00E67F89">
        <w:fldChar w:fldCharType="begin"/>
      </w:r>
      <w:r w:rsidRPr="00E67F89">
        <w:instrText xml:space="preserve"> SEQ Tabl. \* ARABIC </w:instrText>
      </w:r>
      <w:r w:rsidRPr="00E67F89">
        <w:fldChar w:fldCharType="separate"/>
      </w:r>
      <w:r w:rsidRPr="00E67F89">
        <w:t>5</w:t>
      </w:r>
      <w:r w:rsidRPr="00E67F89">
        <w:fldChar w:fldCharType="end"/>
      </w:r>
      <w:r w:rsidRPr="00E67F89">
        <w:t>. Plan de gestion des gites et carrières – Bruits et vibrations</w:t>
      </w:r>
      <w:bookmarkEnd w:id="930"/>
      <w:bookmarkEnd w:id="931"/>
    </w:p>
    <w:tbl>
      <w:tblPr>
        <w:tblStyle w:val="TableGrid"/>
        <w:tblW w:w="0" w:type="auto"/>
        <w:tblLook w:val="04A0" w:firstRow="1" w:lastRow="0" w:firstColumn="1" w:lastColumn="0" w:noHBand="0" w:noVBand="1"/>
      </w:tblPr>
      <w:tblGrid>
        <w:gridCol w:w="1660"/>
        <w:gridCol w:w="7684"/>
      </w:tblGrid>
      <w:tr w:rsidR="00E67F89" w:rsidRPr="00E67F89" w14:paraId="6C729E00" w14:textId="77777777" w:rsidTr="00223F64">
        <w:trPr>
          <w:tblHeader/>
        </w:trPr>
        <w:tc>
          <w:tcPr>
            <w:tcW w:w="1668" w:type="dxa"/>
            <w:shd w:val="clear" w:color="auto" w:fill="E2EFD9" w:themeFill="accent6" w:themeFillTint="33"/>
          </w:tcPr>
          <w:p w14:paraId="2FE82ABD" w14:textId="77777777" w:rsidR="00E67F89" w:rsidRPr="00E67F89" w:rsidRDefault="00E67F89" w:rsidP="00E67F89">
            <w:r w:rsidRPr="00E67F89">
              <w:t>Enjeu</w:t>
            </w:r>
          </w:p>
        </w:tc>
        <w:tc>
          <w:tcPr>
            <w:tcW w:w="7796" w:type="dxa"/>
            <w:shd w:val="clear" w:color="auto" w:fill="E2EFD9" w:themeFill="accent6" w:themeFillTint="33"/>
          </w:tcPr>
          <w:p w14:paraId="78BC576B" w14:textId="77777777" w:rsidR="00E67F89" w:rsidRPr="00E67F89" w:rsidRDefault="00E67F89" w:rsidP="00E67F89">
            <w:r w:rsidRPr="00E67F89">
              <w:t>Dispositions à prendre dans la gestion des sites d’extraction de matériaux</w:t>
            </w:r>
          </w:p>
        </w:tc>
      </w:tr>
      <w:tr w:rsidR="00E67F89" w:rsidRPr="00E67F89" w14:paraId="372712E2" w14:textId="77777777" w:rsidTr="00223F64">
        <w:tc>
          <w:tcPr>
            <w:tcW w:w="1668" w:type="dxa"/>
          </w:tcPr>
          <w:p w14:paraId="04246934" w14:textId="77777777" w:rsidR="00E67F89" w:rsidRPr="00E67F89" w:rsidRDefault="00E67F89" w:rsidP="00E67F89">
            <w:r w:rsidRPr="00E67F89">
              <w:t>Bruits</w:t>
            </w:r>
          </w:p>
        </w:tc>
        <w:tc>
          <w:tcPr>
            <w:tcW w:w="7796" w:type="dxa"/>
          </w:tcPr>
          <w:p w14:paraId="03E4A578" w14:textId="77777777" w:rsidR="00E67F89" w:rsidRPr="00E67F89" w:rsidRDefault="00E67F89" w:rsidP="00E67F89">
            <w:r w:rsidRPr="00E67F89">
              <w:t xml:space="preserve">Utiliser des marteaux fond de trou ou hydrauliques pour les forages ; </w:t>
            </w:r>
          </w:p>
          <w:p w14:paraId="75AC9B32" w14:textId="77777777" w:rsidR="00E67F89" w:rsidRPr="00E67F89" w:rsidRDefault="00E67F89" w:rsidP="00E67F89">
            <w:r w:rsidRPr="00E67F89">
              <w:t xml:space="preserve">Mettre en place des enceintes et barder les installations de transformation ; </w:t>
            </w:r>
          </w:p>
          <w:p w14:paraId="79CACC9D" w14:textId="77777777" w:rsidR="00E67F89" w:rsidRPr="00E67F89" w:rsidRDefault="00E67F89" w:rsidP="00E67F89">
            <w:r w:rsidRPr="00E67F89">
              <w:t xml:space="preserve">Installer des écrans anti-bruit appropriés et/ou des enceintes et des rideaux d’insonorisation à proximité des engins sources de bruits (par exemple, concasseurs, broyeurs et tamis) (en cas de présence d’habitations à proximité) ; </w:t>
            </w:r>
          </w:p>
          <w:p w14:paraId="7418A230" w14:textId="77777777" w:rsidR="00E67F89" w:rsidRPr="00E67F89" w:rsidRDefault="00E67F89" w:rsidP="00E67F89">
            <w:r w:rsidRPr="00E67F89">
              <w:t xml:space="preserve">Utiliser des revêtements en caoutchouc ou insonorisés pour les engins de transformation (par exemple, tamis, points de transfert, chutes, bennes) ; </w:t>
            </w:r>
          </w:p>
          <w:p w14:paraId="7012EEB7" w14:textId="77777777" w:rsidR="00E67F89" w:rsidRPr="00E67F89" w:rsidRDefault="00E67F89" w:rsidP="00E67F89">
            <w:r w:rsidRPr="00E67F89">
              <w:t xml:space="preserve">Utiliser des moyens de transport et des convoyeurs à courroie de caoutchouc ; </w:t>
            </w:r>
          </w:p>
          <w:p w14:paraId="215CD63F" w14:textId="77777777" w:rsidR="00E67F89" w:rsidRPr="00E67F89" w:rsidRDefault="00E67F89" w:rsidP="00E67F89">
            <w:r w:rsidRPr="00E67F89">
              <w:t xml:space="preserve">Installer des barrières naturelles à la périphérie du site (écrans végétaux, levées de terre ou merlons, par exemple) ; </w:t>
            </w:r>
          </w:p>
          <w:p w14:paraId="0193FACB" w14:textId="77777777" w:rsidR="00E67F89" w:rsidRPr="00E67F89" w:rsidRDefault="00E67F89" w:rsidP="00E67F89">
            <w:r w:rsidRPr="00E67F89">
              <w:t xml:space="preserve">Etablir un plan de circulation optimal des véhicules à l'intérieur du site, en particulier pour réduire le plus possible l’utilisation de la marche arrière (et, donc, le bruit des avertisseurs de marche arrière) et pour accroître au maximum les distances entre les véhicules et les milieux récepteurs fragiles les plus proches ; </w:t>
            </w:r>
          </w:p>
          <w:p w14:paraId="2508F14C" w14:textId="77777777" w:rsidR="00E67F89" w:rsidRPr="00E67F89" w:rsidRDefault="00E67F89" w:rsidP="00E67F89">
            <w:r w:rsidRPr="00E67F89">
              <w:t xml:space="preserve">Envisager l’emploi d’engins électriques ; </w:t>
            </w:r>
          </w:p>
          <w:p w14:paraId="631DC940" w14:textId="77777777" w:rsidR="00E67F89" w:rsidRPr="00E67F89" w:rsidRDefault="00E67F89" w:rsidP="00E67F89">
            <w:r w:rsidRPr="00E67F89">
              <w:t xml:space="preserve">Imposer une limite de vitesse pour les camions ; </w:t>
            </w:r>
          </w:p>
          <w:p w14:paraId="08BE7D06" w14:textId="77777777" w:rsidR="00E67F89" w:rsidRPr="00E67F89" w:rsidRDefault="00E67F89" w:rsidP="00E67F89">
            <w:r w:rsidRPr="00E67F89">
              <w:t xml:space="preserve">Eviter d’employer des techniques de coupage à la flamme ; </w:t>
            </w:r>
          </w:p>
          <w:p w14:paraId="0ECF0608" w14:textId="77777777" w:rsidR="00E67F89" w:rsidRPr="00E67F89" w:rsidRDefault="00E67F89" w:rsidP="00E67F89">
            <w:r w:rsidRPr="00E67F89">
              <w:t>Eriger des merlons de protection visuelle et anti-bruit.</w:t>
            </w:r>
          </w:p>
        </w:tc>
      </w:tr>
      <w:tr w:rsidR="00E67F89" w:rsidRPr="00E67F89" w14:paraId="72A86C60" w14:textId="77777777" w:rsidTr="00223F64">
        <w:tc>
          <w:tcPr>
            <w:tcW w:w="1668" w:type="dxa"/>
          </w:tcPr>
          <w:p w14:paraId="710C47DB" w14:textId="77777777" w:rsidR="00E67F89" w:rsidRPr="00E67F89" w:rsidRDefault="00E67F89" w:rsidP="00E67F89">
            <w:r w:rsidRPr="00E67F89">
              <w:lastRenderedPageBreak/>
              <w:t>Vibrations</w:t>
            </w:r>
          </w:p>
        </w:tc>
        <w:tc>
          <w:tcPr>
            <w:tcW w:w="7796" w:type="dxa"/>
          </w:tcPr>
          <w:p w14:paraId="7F2DA201" w14:textId="77777777" w:rsidR="00E67F89" w:rsidRPr="00E67F89" w:rsidRDefault="00E67F89" w:rsidP="00E67F89">
            <w:r w:rsidRPr="00E67F89">
              <w:t xml:space="preserve">Etablir des plans de charge précis ; appliquer des procédures de charge et des mélanges explosifs correctement dosés, utiliser des détonateurs à retard, à microretard ou électroniques et procéder à des essais d’explosion sur le site (l’utilisation de détonateurs à retard court avec amorçage en fond de charge améliore la fragmentation et limite les vibrations du sol) ; </w:t>
            </w:r>
          </w:p>
          <w:p w14:paraId="14ACED89" w14:textId="77777777" w:rsidR="00E67F89" w:rsidRPr="00E67F89" w:rsidRDefault="00E67F89" w:rsidP="00E67F89">
            <w:r w:rsidRPr="00E67F89">
              <w:t xml:space="preserve">Concevoir des plans du tir, comprenant une analyse des fronts d’abattage, pour éviter que les charges ne soient placées dans un espace trop confiné ainsi qu’à un examen des trous de forage pour détecter toute déviation et recalculer les tirs de mine en conséquence ; </w:t>
            </w:r>
          </w:p>
          <w:p w14:paraId="49216D45" w14:textId="77777777" w:rsidR="00E67F89" w:rsidRPr="00E67F89" w:rsidRDefault="00E67F89" w:rsidP="00E67F89">
            <w:r w:rsidRPr="00E67F89">
              <w:t xml:space="preserve">Etablir des mesures de contrôle des vibrations et des surpressions avec des grilles de forage adaptées (par exemple, grille par rapport à la hauteur et au diamètre de forage, orientation des fronts) et adopter des procédures appropriées pour le dosage des charges et le bourrage des trous de mines afin de limiter les possibilités de projection de fragments de roches et de coups de charge ; </w:t>
            </w:r>
          </w:p>
          <w:p w14:paraId="2269DB5E" w14:textId="77777777" w:rsidR="00E67F89" w:rsidRPr="00E67F89" w:rsidRDefault="00E67F89" w:rsidP="00E67F89">
            <w:r w:rsidRPr="00E67F89">
              <w:t xml:space="preserve">Employer de préférence des marteaux hydrauliques ou d’autres processus mécaniques pour accroître la fragmentation de la roche et réduire le plus possible les risques de projection de fragments de roche, pour éviter de procéder à un tir secondaire ; </w:t>
            </w:r>
          </w:p>
          <w:p w14:paraId="52115CD2" w14:textId="77777777" w:rsidR="00E67F89" w:rsidRPr="00E67F89" w:rsidRDefault="00E67F89" w:rsidP="00E67F89">
            <w:r w:rsidRPr="00E67F89">
              <w:t xml:space="preserve">Recourir à un sciage mécanique pour éviter au maximum l’utilisation d’explosifs ; </w:t>
            </w:r>
          </w:p>
          <w:p w14:paraId="7F22BC8D" w14:textId="77777777" w:rsidR="00E67F89" w:rsidRPr="00E67F89" w:rsidRDefault="00E67F89" w:rsidP="00E67F89">
            <w:r w:rsidRPr="00E67F89">
              <w:t>Construire des fondations bien conçues pour réduire suffisamment les vibrations provoquées par d’autres installations tels que les concasseurs primaires et matériels de criblage.</w:t>
            </w:r>
          </w:p>
        </w:tc>
      </w:tr>
    </w:tbl>
    <w:p w14:paraId="42528228" w14:textId="77777777" w:rsidR="00E67F89" w:rsidRPr="00E67F89" w:rsidRDefault="00E67F89" w:rsidP="00E67F89">
      <w:r w:rsidRPr="00E67F89">
        <w:t>Dispositions par rapport à l’eau :</w:t>
      </w:r>
    </w:p>
    <w:p w14:paraId="725805EE" w14:textId="77777777" w:rsidR="00E67F89" w:rsidRPr="00E67F89" w:rsidRDefault="00E67F89" w:rsidP="00E67F89">
      <w:bookmarkStart w:id="932" w:name="_Toc13692520"/>
      <w:bookmarkStart w:id="933" w:name="_Toc72017174"/>
      <w:r w:rsidRPr="00E67F89">
        <w:t xml:space="preserve">Tabl. </w:t>
      </w:r>
      <w:r w:rsidRPr="00E67F89">
        <w:fldChar w:fldCharType="begin"/>
      </w:r>
      <w:r w:rsidRPr="00E67F89">
        <w:instrText xml:space="preserve"> SEQ Tabl. \* ARABIC </w:instrText>
      </w:r>
      <w:r w:rsidRPr="00E67F89">
        <w:fldChar w:fldCharType="separate"/>
      </w:r>
      <w:r w:rsidRPr="00E67F89">
        <w:t>6</w:t>
      </w:r>
      <w:r w:rsidRPr="00E67F89">
        <w:fldChar w:fldCharType="end"/>
      </w:r>
      <w:r w:rsidRPr="00E67F89">
        <w:t>. Plan de gestion des gites et carrières – Volet « Eau</w:t>
      </w:r>
      <w:bookmarkEnd w:id="932"/>
      <w:r w:rsidRPr="00E67F89">
        <w:t> »</w:t>
      </w:r>
      <w:bookmarkEnd w:id="933"/>
    </w:p>
    <w:tbl>
      <w:tblPr>
        <w:tblStyle w:val="TableGrid"/>
        <w:tblW w:w="0" w:type="auto"/>
        <w:tblLook w:val="04A0" w:firstRow="1" w:lastRow="0" w:firstColumn="1" w:lastColumn="0" w:noHBand="0" w:noVBand="1"/>
      </w:tblPr>
      <w:tblGrid>
        <w:gridCol w:w="2490"/>
        <w:gridCol w:w="6854"/>
      </w:tblGrid>
      <w:tr w:rsidR="00E67F89" w:rsidRPr="00E67F89" w14:paraId="5510CDCC" w14:textId="77777777" w:rsidTr="00223F64">
        <w:trPr>
          <w:tblHeader/>
        </w:trPr>
        <w:tc>
          <w:tcPr>
            <w:tcW w:w="2547" w:type="dxa"/>
            <w:shd w:val="clear" w:color="auto" w:fill="E2EFD9" w:themeFill="accent6" w:themeFillTint="33"/>
          </w:tcPr>
          <w:p w14:paraId="35E86DA7" w14:textId="77777777" w:rsidR="00E67F89" w:rsidRPr="00E67F89" w:rsidRDefault="00E67F89" w:rsidP="00E67F89">
            <w:r w:rsidRPr="00E67F89">
              <w:t>Enjeu</w:t>
            </w:r>
          </w:p>
        </w:tc>
        <w:tc>
          <w:tcPr>
            <w:tcW w:w="7081" w:type="dxa"/>
            <w:shd w:val="clear" w:color="auto" w:fill="E2EFD9" w:themeFill="accent6" w:themeFillTint="33"/>
          </w:tcPr>
          <w:p w14:paraId="30C3729D" w14:textId="77777777" w:rsidR="00E67F89" w:rsidRPr="00E67F89" w:rsidRDefault="00E67F89" w:rsidP="00E67F89">
            <w:r w:rsidRPr="00E67F89">
              <w:t>Dispositions à prendre dans la gestion des sites d’extraction de matériaux</w:t>
            </w:r>
          </w:p>
        </w:tc>
      </w:tr>
      <w:tr w:rsidR="00E67F89" w:rsidRPr="00E67F89" w14:paraId="650D2C6D" w14:textId="77777777" w:rsidTr="00223F64">
        <w:tc>
          <w:tcPr>
            <w:tcW w:w="2547" w:type="dxa"/>
          </w:tcPr>
          <w:p w14:paraId="00B3E002" w14:textId="77777777" w:rsidR="00E67F89" w:rsidRPr="00E67F89" w:rsidRDefault="00E67F89" w:rsidP="00E67F89">
            <w:r w:rsidRPr="00E67F89">
              <w:t>Hydrologie</w:t>
            </w:r>
          </w:p>
        </w:tc>
        <w:tc>
          <w:tcPr>
            <w:tcW w:w="7081" w:type="dxa"/>
          </w:tcPr>
          <w:p w14:paraId="0FA5587D" w14:textId="77777777" w:rsidR="00E67F89" w:rsidRPr="00E67F89" w:rsidRDefault="00E67F89" w:rsidP="00E67F89">
            <w:r w:rsidRPr="00E67F89">
              <w:t xml:space="preserve">Le taux maximum de ruissellement des eaux de pluie ne doit pas être supérieur au taux de ruissellement préexistant aux activités d’extraction pour un niveau de précipitation déterminé; </w:t>
            </w:r>
          </w:p>
          <w:p w14:paraId="554069E2" w14:textId="77777777" w:rsidR="00E67F89" w:rsidRPr="00E67F89" w:rsidRDefault="00E67F89" w:rsidP="00E67F89">
            <w:r w:rsidRPr="00E67F89">
              <w:t xml:space="preserve">Une fois traitées, les eaux prélevées doivent être rejetées dans les cours d’eau pour maintenir le flux écologique ; </w:t>
            </w:r>
          </w:p>
          <w:p w14:paraId="232AEA78" w14:textId="77777777" w:rsidR="00E67F89" w:rsidRPr="00E67F89" w:rsidRDefault="00E67F89" w:rsidP="00E67F89">
            <w:r w:rsidRPr="00E67F89">
              <w:t xml:space="preserve">Il importe de permettre l’infiltration des eaux traitées dans les aquifères ; il est aussi possible de rejeter les eaux traitées dans les aquifères au moyen de puits d’injection ou de galeries d’infiltration, tout en prenant des mesures pour éviter de contaminer les eaux souterraines ; </w:t>
            </w:r>
          </w:p>
          <w:p w14:paraId="4071B3D8" w14:textId="77777777" w:rsidR="00E67F89" w:rsidRPr="00E67F89" w:rsidRDefault="00E67F89" w:rsidP="00E67F89">
            <w:r w:rsidRPr="00E67F89">
              <w:t>Dans la mesure où le plan de remise en état du site le permet, l’étang de carrière doit être suffisamment profond pour assurer le développement d’un écosystème aquatique stable.</w:t>
            </w:r>
          </w:p>
        </w:tc>
      </w:tr>
      <w:tr w:rsidR="00E67F89" w:rsidRPr="00E67F89" w14:paraId="25A18757" w14:textId="77777777" w:rsidTr="00223F64">
        <w:tc>
          <w:tcPr>
            <w:tcW w:w="2547" w:type="dxa"/>
          </w:tcPr>
          <w:p w14:paraId="456E2BF6" w14:textId="77777777" w:rsidR="00E67F89" w:rsidRPr="00E67F89" w:rsidRDefault="00E67F89" w:rsidP="00E67F89">
            <w:r w:rsidRPr="00E67F89">
              <w:lastRenderedPageBreak/>
              <w:t>Evacuation des eaux usées</w:t>
            </w:r>
          </w:p>
        </w:tc>
        <w:tc>
          <w:tcPr>
            <w:tcW w:w="7081" w:type="dxa"/>
          </w:tcPr>
          <w:p w14:paraId="2E995875" w14:textId="77777777" w:rsidR="00E67F89" w:rsidRPr="00E67F89" w:rsidRDefault="00E67F89" w:rsidP="00E67F89">
            <w:r w:rsidRPr="00E67F89">
              <w:t xml:space="preserve">Utilisation de bassins, de puisards et de lagunes de décantation conçus pour assurer un temps de rétention adéquat. Les lagunes doivent être colmatées au moyen de matériaux imperméables, si nécessaire, et faire l’objet de programmes de maintenance adéquats, qui visent notamment la stabilité des parois latérales, le nettoyage/l’entretien des canalisations et l’enlèvement des matières décantées ; </w:t>
            </w:r>
          </w:p>
          <w:p w14:paraId="4BE33D0C" w14:textId="77777777" w:rsidR="00E67F89" w:rsidRPr="00E67F89" w:rsidRDefault="00E67F89" w:rsidP="00E67F89">
            <w:r w:rsidRPr="00E67F89">
              <w:t xml:space="preserve">Recyclage des eaux utilisées pour les opérations de traitement/les câbles de découpe ; </w:t>
            </w:r>
          </w:p>
          <w:p w14:paraId="67A9C634" w14:textId="77777777" w:rsidR="00E67F89" w:rsidRPr="00E67F89" w:rsidRDefault="00E67F89" w:rsidP="00E67F89">
            <w:r w:rsidRPr="00E67F89">
              <w:t xml:space="preserve">Construction d’un réseau de drainage spécial ; </w:t>
            </w:r>
          </w:p>
          <w:p w14:paraId="7725B8B7" w14:textId="77777777" w:rsidR="00E67F89" w:rsidRPr="00E67F89" w:rsidRDefault="00E67F89" w:rsidP="00E67F89">
            <w:r w:rsidRPr="00E67F89">
              <w:t xml:space="preserve">Renforcement du processus de décantation par l’utilisation de floculant ou par de moyens mécaniques, en particulier lorsque les contraintes de superficie limitent ou interdisent la construction de lagunes ; </w:t>
            </w:r>
          </w:p>
          <w:p w14:paraId="7D2C4009" w14:textId="77777777" w:rsidR="00E67F89" w:rsidRPr="00E67F89" w:rsidRDefault="00E67F89" w:rsidP="00E67F89">
            <w:r w:rsidRPr="00E67F89">
              <w:t>Installation sur les canalisations et fossés de drainage de collecteurs de sédiments, notamment des fascines, des clôtures à sédiment-érosion et des captages végétaux.</w:t>
            </w:r>
          </w:p>
        </w:tc>
      </w:tr>
    </w:tbl>
    <w:p w14:paraId="40D1E800" w14:textId="77777777" w:rsidR="00E67F89" w:rsidRPr="00E67F89" w:rsidRDefault="00E67F89" w:rsidP="00E67F89">
      <w:r w:rsidRPr="00E67F89">
        <w:t>Dispositions par rapport à la gestion des déchets :</w:t>
      </w:r>
    </w:p>
    <w:p w14:paraId="4FBE2835" w14:textId="77777777" w:rsidR="00E67F89" w:rsidRPr="00E67F89" w:rsidRDefault="00E67F89" w:rsidP="00E67F89">
      <w:bookmarkStart w:id="934" w:name="_Toc13692521"/>
      <w:bookmarkStart w:id="935" w:name="_Toc72017175"/>
      <w:bookmarkStart w:id="936" w:name="_Toc134454640"/>
      <w:bookmarkStart w:id="937" w:name="_Toc134519129"/>
      <w:r w:rsidRPr="00E67F89">
        <w:t>TABL1 : PLAN DE GESTION DES GITES ET CARRIERES – DECHETS</w:t>
      </w:r>
      <w:bookmarkEnd w:id="934"/>
      <w:bookmarkEnd w:id="935"/>
      <w:bookmarkEnd w:id="936"/>
      <w:bookmarkEnd w:id="937"/>
    </w:p>
    <w:tbl>
      <w:tblPr>
        <w:tblStyle w:val="TableGrid"/>
        <w:tblW w:w="0" w:type="auto"/>
        <w:tblLook w:val="04A0" w:firstRow="1" w:lastRow="0" w:firstColumn="1" w:lastColumn="0" w:noHBand="0" w:noVBand="1"/>
      </w:tblPr>
      <w:tblGrid>
        <w:gridCol w:w="2485"/>
        <w:gridCol w:w="6859"/>
      </w:tblGrid>
      <w:tr w:rsidR="00E67F89" w:rsidRPr="00E67F89" w14:paraId="7FDF7E08" w14:textId="77777777" w:rsidTr="00223F64">
        <w:trPr>
          <w:tblHeader/>
        </w:trPr>
        <w:tc>
          <w:tcPr>
            <w:tcW w:w="2547" w:type="dxa"/>
            <w:shd w:val="clear" w:color="auto" w:fill="E2EFD9" w:themeFill="accent6" w:themeFillTint="33"/>
          </w:tcPr>
          <w:p w14:paraId="4D195BC9" w14:textId="77777777" w:rsidR="00E67F89" w:rsidRPr="00E67F89" w:rsidRDefault="00E67F89" w:rsidP="00E67F89">
            <w:r w:rsidRPr="00E67F89">
              <w:t>Enjeu</w:t>
            </w:r>
          </w:p>
        </w:tc>
        <w:tc>
          <w:tcPr>
            <w:tcW w:w="7081" w:type="dxa"/>
            <w:shd w:val="clear" w:color="auto" w:fill="E2EFD9" w:themeFill="accent6" w:themeFillTint="33"/>
          </w:tcPr>
          <w:p w14:paraId="60E30263" w14:textId="77777777" w:rsidR="00E67F89" w:rsidRPr="00E67F89" w:rsidRDefault="00E67F89" w:rsidP="00E67F89">
            <w:r w:rsidRPr="00E67F89">
              <w:t>Dispositions à prendre dans la gestion des sites d’extraction de matériaux</w:t>
            </w:r>
          </w:p>
        </w:tc>
      </w:tr>
      <w:tr w:rsidR="00E67F89" w:rsidRPr="00E67F89" w14:paraId="64C88132" w14:textId="77777777" w:rsidTr="00223F64">
        <w:tc>
          <w:tcPr>
            <w:tcW w:w="2547" w:type="dxa"/>
          </w:tcPr>
          <w:p w14:paraId="3BF2F297" w14:textId="77777777" w:rsidR="00E67F89" w:rsidRPr="00E67F89" w:rsidRDefault="00E67F89" w:rsidP="00E67F89">
            <w:r w:rsidRPr="00E67F89">
              <w:t>Déchets solides</w:t>
            </w:r>
          </w:p>
        </w:tc>
        <w:tc>
          <w:tcPr>
            <w:tcW w:w="7081" w:type="dxa"/>
          </w:tcPr>
          <w:p w14:paraId="72516418" w14:textId="77777777" w:rsidR="00E67F89" w:rsidRPr="00E67F89" w:rsidRDefault="00E67F89" w:rsidP="00E67F89">
            <w:r w:rsidRPr="00E67F89">
              <w:t xml:space="preserve">Dès la conception et la planification des opérations, prévoir des procédures pour réduire les quantités de déchets produits (par exemple en mélangeant des roches de bonne et de moins bonne qualité) ; </w:t>
            </w:r>
          </w:p>
          <w:p w14:paraId="3779D35F" w14:textId="77777777" w:rsidR="00E67F89" w:rsidRPr="00E67F89" w:rsidRDefault="00E67F89" w:rsidP="00E67F89">
            <w:r w:rsidRPr="00E67F89">
              <w:t xml:space="preserve">Enlever le sol superficiel, les morts-terrains et les matériaux de qualité inférieure, les stocker près du site et les préserver de manière adéquate en vue de la réhabilitation du site ; </w:t>
            </w:r>
          </w:p>
          <w:p w14:paraId="57AEB7A8" w14:textId="77777777" w:rsidR="00E67F89" w:rsidRPr="00E67F89" w:rsidRDefault="00E67F89" w:rsidP="00E67F89">
            <w:r w:rsidRPr="00E67F89">
              <w:t xml:space="preserve">Elaborer des plans de gestion des déchets dangereux et non dangereux et adopter ces plans aux stades de la conception et de la planification. Les impacts spécifiques liés aux propriétés chimiques et/ou physiques des matériaux d’extraction doivent être évalués lors de la conception ; les impacts des impuretés des déchets de roches doivent être adéquatement maîtrisés et atténués en recouvrant les déchets en question par de la terre non contaminée. </w:t>
            </w:r>
          </w:p>
        </w:tc>
      </w:tr>
    </w:tbl>
    <w:p w14:paraId="7B113AD8" w14:textId="77777777" w:rsidR="00E67F89" w:rsidRPr="00E67F89" w:rsidRDefault="00E67F89" w:rsidP="00E67F89">
      <w:r w:rsidRPr="00E67F89">
        <w:t>Dispositions par rapport au changement d’affectation des sols :</w:t>
      </w:r>
    </w:p>
    <w:p w14:paraId="5F0B6EF2" w14:textId="77777777" w:rsidR="00E67F89" w:rsidRPr="00E67F89" w:rsidRDefault="00E67F89" w:rsidP="00E67F89">
      <w:bookmarkStart w:id="938" w:name="_Toc13692522"/>
      <w:bookmarkStart w:id="939" w:name="_Toc72017176"/>
      <w:bookmarkStart w:id="940" w:name="_Toc134454641"/>
      <w:bookmarkStart w:id="941" w:name="_Toc134519130"/>
      <w:r w:rsidRPr="00E67F89">
        <w:t>TABL2 : PLAN DE GESTION DES GITES ET CARRIERES – CHANGEMENT D’AFFECTATION DES SOLS</w:t>
      </w:r>
      <w:bookmarkEnd w:id="938"/>
      <w:bookmarkEnd w:id="939"/>
      <w:bookmarkEnd w:id="940"/>
      <w:bookmarkEnd w:id="941"/>
    </w:p>
    <w:tbl>
      <w:tblPr>
        <w:tblStyle w:val="TableGrid"/>
        <w:tblW w:w="0" w:type="auto"/>
        <w:tblLook w:val="04A0" w:firstRow="1" w:lastRow="0" w:firstColumn="1" w:lastColumn="0" w:noHBand="0" w:noVBand="1"/>
      </w:tblPr>
      <w:tblGrid>
        <w:gridCol w:w="2498"/>
        <w:gridCol w:w="6846"/>
      </w:tblGrid>
      <w:tr w:rsidR="00E67F89" w:rsidRPr="00E67F89" w14:paraId="43559A4C" w14:textId="77777777" w:rsidTr="00223F64">
        <w:trPr>
          <w:tblHeader/>
        </w:trPr>
        <w:tc>
          <w:tcPr>
            <w:tcW w:w="2547" w:type="dxa"/>
            <w:shd w:val="clear" w:color="auto" w:fill="E2EFD9" w:themeFill="accent6" w:themeFillTint="33"/>
          </w:tcPr>
          <w:p w14:paraId="54AC2B21" w14:textId="77777777" w:rsidR="00E67F89" w:rsidRPr="00E67F89" w:rsidRDefault="00E67F89" w:rsidP="00E67F89">
            <w:r w:rsidRPr="00E67F89">
              <w:t>Enjeu</w:t>
            </w:r>
          </w:p>
        </w:tc>
        <w:tc>
          <w:tcPr>
            <w:tcW w:w="7081" w:type="dxa"/>
            <w:shd w:val="clear" w:color="auto" w:fill="E2EFD9" w:themeFill="accent6" w:themeFillTint="33"/>
          </w:tcPr>
          <w:p w14:paraId="6BFF7C6F" w14:textId="77777777" w:rsidR="00E67F89" w:rsidRPr="00E67F89" w:rsidRDefault="00E67F89" w:rsidP="00E67F89">
            <w:r w:rsidRPr="00E67F89">
              <w:t>Dispositions à prendre dans la gestion des sites d’extraction de matériaux</w:t>
            </w:r>
          </w:p>
        </w:tc>
      </w:tr>
      <w:tr w:rsidR="00E67F89" w:rsidRPr="00E67F89" w14:paraId="4E0DE62A" w14:textId="77777777" w:rsidTr="00223F64">
        <w:tc>
          <w:tcPr>
            <w:tcW w:w="2547" w:type="dxa"/>
          </w:tcPr>
          <w:p w14:paraId="460D25B5" w14:textId="77777777" w:rsidR="00E67F89" w:rsidRPr="00E67F89" w:rsidRDefault="00E67F89" w:rsidP="00E67F89">
            <w:r w:rsidRPr="00E67F89">
              <w:t>Changement d’affectation des sols</w:t>
            </w:r>
          </w:p>
        </w:tc>
        <w:tc>
          <w:tcPr>
            <w:tcW w:w="7081" w:type="dxa"/>
          </w:tcPr>
          <w:p w14:paraId="016C7144" w14:textId="77777777" w:rsidR="00E67F89" w:rsidRPr="00E67F89" w:rsidRDefault="00E67F89" w:rsidP="00E67F89">
            <w:r w:rsidRPr="00E67F89">
              <w:t xml:space="preserve">Choisir des méthodes d’extraction (excavation, extraction en carrière, fouille, etc..) adaptées qui ont un impact limité et qui, à l’issue des </w:t>
            </w:r>
            <w:r w:rsidRPr="00E67F89">
              <w:lastRenderedPageBreak/>
              <w:t xml:space="preserve">opérations, permettront de donner au site un environnement propice à la régénération des habitats et à l’aménagement du territoire ; </w:t>
            </w:r>
          </w:p>
          <w:p w14:paraId="3841EF62" w14:textId="77777777" w:rsidR="00E67F89" w:rsidRPr="00E67F89" w:rsidRDefault="00E67F89" w:rsidP="00E67F89">
            <w:r w:rsidRPr="00E67F89">
              <w:t xml:space="preserve">Mettre en place de zones tampons en bordure des zones d’extraction compte tenu des caractéristiques des habitats naturels et du type d’activités d’extraction ; </w:t>
            </w:r>
          </w:p>
          <w:p w14:paraId="5489467D" w14:textId="77777777" w:rsidR="00E67F89" w:rsidRPr="00E67F89" w:rsidRDefault="00E67F89" w:rsidP="00E67F89">
            <w:r w:rsidRPr="00E67F89">
              <w:t xml:space="preserve">Pour réduire le plus possible la surface au sol et, par conséquent, leur perte, exploiter en priorité les gisements de roches les plus épais (autant que possible et dans des limites raisonnables) ; </w:t>
            </w:r>
          </w:p>
          <w:p w14:paraId="3161FE15" w14:textId="77777777" w:rsidR="00E67F89" w:rsidRPr="00E67F89" w:rsidRDefault="00E67F89" w:rsidP="00E67F89">
            <w:r w:rsidRPr="00E67F89">
              <w:t xml:space="preserve">Favoriser le plus possible la translocation de la végétation ; la couverture végétale, notamment la flore spontanée, la couche arable, les morts-terrains et les déblais propices à la croissance de végétaux, doivent être conservés et stockés séparément en vue de leur réutilisation lors de la réhabilitation du site ; mais également être protégés de l’érosion du vent et de la pluie et de toute contamination ; </w:t>
            </w:r>
          </w:p>
          <w:p w14:paraId="175D28D9" w14:textId="77777777" w:rsidR="00E67F89" w:rsidRPr="00E67F89" w:rsidRDefault="00E67F89" w:rsidP="00E67F89">
            <w:r w:rsidRPr="00E67F89">
              <w:t xml:space="preserve">Conserver et protéger au maximum les niches écologiques pendant la phase d’extraction ; </w:t>
            </w:r>
          </w:p>
          <w:p w14:paraId="6BF4CFAA" w14:textId="77777777" w:rsidR="00E67F89" w:rsidRPr="00E67F89" w:rsidRDefault="00E67F89" w:rsidP="00E67F89">
            <w:r w:rsidRPr="00E67F89">
              <w:t xml:space="preserve">Remettre en état immédiatement les sites d’extraction de petite taille (zones d’emprunt) exploités sur un court terme, et progressivement pendant la phase d’exploitation les sites plus importants dont la durée de vie dépasse 3 à 5 ans ; </w:t>
            </w:r>
          </w:p>
          <w:p w14:paraId="29CFADDC" w14:textId="77777777" w:rsidR="00E67F89" w:rsidRPr="00E67F89" w:rsidRDefault="00E67F89" w:rsidP="00E67F89">
            <w:r w:rsidRPr="00E67F89">
              <w:t xml:space="preserve">Gérer la poursuite de l‘exploitation du site sur base des levés topographiques périodiques ; </w:t>
            </w:r>
          </w:p>
          <w:p w14:paraId="1F4DA990" w14:textId="77777777" w:rsidR="00E67F89" w:rsidRPr="00E67F89" w:rsidRDefault="00E67F89" w:rsidP="00E67F89">
            <w:r w:rsidRPr="00E67F89">
              <w:t xml:space="preserve">Lors de la réaffectation des sols, terrasser les terrains et les scarifier avant de déposer de nouvelles couches de terre pour faciliter la repousse de la végétation si nécessaire (l’épaisseur totale du la couche arable et de la nouvelle couche de terre ne doit pas être inférieure à celle des zones qui n’ont pas été exploitées) ; </w:t>
            </w:r>
          </w:p>
          <w:p w14:paraId="016ECE96" w14:textId="77777777" w:rsidR="00E67F89" w:rsidRPr="00E67F89" w:rsidRDefault="00E67F89" w:rsidP="00E67F89">
            <w:r w:rsidRPr="00E67F89">
              <w:t xml:space="preserve">Remettre en état les sols affectés par les activités d’extraction pour qu’ils puissent être utilisés conformément aux plans locaux ou régionaux d’aménagement du territoire ; les terrains qui ne sont pas remis en état en vue d’une utilisation particulière par la communauté doivent être ensemencés et replantés d’espèces végétales indigènes ; </w:t>
            </w:r>
          </w:p>
          <w:p w14:paraId="12F7F8BB" w14:textId="77777777" w:rsidR="00E67F89" w:rsidRPr="00E67F89" w:rsidRDefault="00E67F89" w:rsidP="00E67F89">
            <w:r w:rsidRPr="00E67F89">
              <w:t>Démanteler les trous d’exploitation, les routes provisoires (pistes à l’intérieur du site et voies d’accès), les bâtiments, les installations et les structures qui ne présentent plus d’intérêt, et remettre les sols en état; rétablir le régime hydrologique de manière à ce que le taux de ruissellement retrouve le niveau qu’il avait avant l'exploitation du site.</w:t>
            </w:r>
          </w:p>
        </w:tc>
      </w:tr>
    </w:tbl>
    <w:p w14:paraId="0643C280" w14:textId="77777777" w:rsidR="00E67F89" w:rsidRPr="00E67F89" w:rsidRDefault="00E67F89" w:rsidP="00E67F89">
      <w:r w:rsidRPr="00E67F89">
        <w:t>Utilisation des explosifs :</w:t>
      </w:r>
    </w:p>
    <w:p w14:paraId="70894D36" w14:textId="77777777" w:rsidR="00E67F89" w:rsidRPr="00E67F89" w:rsidRDefault="00E67F89" w:rsidP="00E67F89">
      <w:bookmarkStart w:id="942" w:name="_Toc13692524"/>
      <w:bookmarkStart w:id="943" w:name="_Toc72017177"/>
      <w:bookmarkStart w:id="944" w:name="_Toc134454642"/>
      <w:bookmarkStart w:id="945" w:name="_Toc134519131"/>
      <w:r w:rsidRPr="00E67F89">
        <w:t>TABL3 : PLAN DE GESTION DES GITES ET CARRIERES – UTILISATION DES EXPLOSIFS</w:t>
      </w:r>
      <w:bookmarkEnd w:id="942"/>
      <w:bookmarkEnd w:id="943"/>
      <w:bookmarkEnd w:id="944"/>
      <w:bookmarkEnd w:id="945"/>
    </w:p>
    <w:tbl>
      <w:tblPr>
        <w:tblStyle w:val="TableGrid"/>
        <w:tblW w:w="0" w:type="auto"/>
        <w:tblLook w:val="04A0" w:firstRow="1" w:lastRow="0" w:firstColumn="1" w:lastColumn="0" w:noHBand="0" w:noVBand="1"/>
      </w:tblPr>
      <w:tblGrid>
        <w:gridCol w:w="2493"/>
        <w:gridCol w:w="6851"/>
      </w:tblGrid>
      <w:tr w:rsidR="00E67F89" w:rsidRPr="00E67F89" w14:paraId="560E7F68" w14:textId="77777777" w:rsidTr="00223F64">
        <w:trPr>
          <w:tblHeader/>
        </w:trPr>
        <w:tc>
          <w:tcPr>
            <w:tcW w:w="2547" w:type="dxa"/>
            <w:shd w:val="clear" w:color="auto" w:fill="E2EFD9" w:themeFill="accent6" w:themeFillTint="33"/>
          </w:tcPr>
          <w:p w14:paraId="5E6410F8" w14:textId="77777777" w:rsidR="00E67F89" w:rsidRPr="00E67F89" w:rsidRDefault="00E67F89" w:rsidP="00E67F89">
            <w:r w:rsidRPr="00E67F89">
              <w:lastRenderedPageBreak/>
              <w:t>Enjeu</w:t>
            </w:r>
          </w:p>
        </w:tc>
        <w:tc>
          <w:tcPr>
            <w:tcW w:w="7081" w:type="dxa"/>
            <w:shd w:val="clear" w:color="auto" w:fill="E2EFD9" w:themeFill="accent6" w:themeFillTint="33"/>
          </w:tcPr>
          <w:p w14:paraId="3FEBD9C7" w14:textId="77777777" w:rsidR="00E67F89" w:rsidRPr="00E67F89" w:rsidRDefault="00E67F89" w:rsidP="00E67F89">
            <w:r w:rsidRPr="00E67F89">
              <w:t>Dispositions à prendre dans la gestion des sites d’extraction de matériaux</w:t>
            </w:r>
          </w:p>
        </w:tc>
      </w:tr>
      <w:tr w:rsidR="00E67F89" w:rsidRPr="00E67F89" w14:paraId="2791B9F7" w14:textId="77777777" w:rsidTr="00223F64">
        <w:tc>
          <w:tcPr>
            <w:tcW w:w="2547" w:type="dxa"/>
          </w:tcPr>
          <w:p w14:paraId="053AAA00" w14:textId="77777777" w:rsidR="00E67F89" w:rsidRPr="00E67F89" w:rsidRDefault="00E67F89" w:rsidP="00E67F89">
            <w:r w:rsidRPr="00E67F89">
              <w:t>Utilisation d’explosifs</w:t>
            </w:r>
          </w:p>
        </w:tc>
        <w:tc>
          <w:tcPr>
            <w:tcW w:w="7081" w:type="dxa"/>
          </w:tcPr>
          <w:p w14:paraId="36988716" w14:textId="77777777" w:rsidR="00E67F89" w:rsidRPr="00E67F89" w:rsidRDefault="00E67F89" w:rsidP="00E67F89">
            <w:r w:rsidRPr="00E67F89">
              <w:t xml:space="preserve">Adopter un calendrier régulier pour les tirs de mines et éviter les changements d'horaire ; </w:t>
            </w:r>
          </w:p>
          <w:p w14:paraId="14831C9B" w14:textId="77777777" w:rsidR="00E67F89" w:rsidRPr="00E67F89" w:rsidRDefault="00E67F89" w:rsidP="00E67F89">
            <w:r w:rsidRPr="00E67F89">
              <w:t xml:space="preserve">Mettre en place des systèmes d’avertissement (tels que sirènes et signaux lumineux clignotants) et des procédures précises avant chaque tir pour prévenir tous les travailleurs et les tierces personnes se trouvant dans les zones avoisinantes (par exemple les populations locales). Les procédures doivent donner lieu à l’interruption de la circulation routière et ferroviaires aux abords du site ; </w:t>
            </w:r>
          </w:p>
          <w:p w14:paraId="04ED0FF9" w14:textId="77777777" w:rsidR="00E67F89" w:rsidRPr="00E67F89" w:rsidRDefault="00E67F89" w:rsidP="00E67F89">
            <w:r w:rsidRPr="00E67F89">
              <w:t xml:space="preserve">Donner au personnel une formation portant sur la manutention des explosifs et la gestion de la sécurité ; </w:t>
            </w:r>
          </w:p>
          <w:p w14:paraId="158A76A3" w14:textId="77777777" w:rsidR="00E67F89" w:rsidRPr="00E67F89" w:rsidRDefault="00E67F89" w:rsidP="00E67F89">
            <w:r w:rsidRPr="00E67F89">
              <w:t xml:space="preserve">Exiger la délivrance de permis pour tout le personnel concerné (par exemple pour la manutention, le transport, l’entreposage, le chargement et la mise en œuvre des explosifs ainsi que pour la destruction des explosifs excédentaires ou non utilisés) ; </w:t>
            </w:r>
          </w:p>
          <w:p w14:paraId="7BF60103" w14:textId="77777777" w:rsidR="00E67F89" w:rsidRPr="00E67F89" w:rsidRDefault="00E67F89" w:rsidP="00E67F89">
            <w:r w:rsidRPr="00E67F89">
              <w:t>Procéder à la reconnaissance du chantier après le tir de mine par un personnel qualifié pour détecter tout anomalie avant d’autoriser le retour du reste du personnel.</w:t>
            </w:r>
          </w:p>
        </w:tc>
      </w:tr>
    </w:tbl>
    <w:p w14:paraId="1C980589" w14:textId="77777777" w:rsidR="00E67F89" w:rsidRPr="00E67F89" w:rsidRDefault="00E67F89" w:rsidP="00E67F89">
      <w:bookmarkStart w:id="946" w:name="_Toc13692304"/>
    </w:p>
    <w:p w14:paraId="0F191338" w14:textId="77777777" w:rsidR="00E67F89" w:rsidRPr="00E67F89" w:rsidRDefault="00E67F89" w:rsidP="00E67F89">
      <w:r w:rsidRPr="00E67F89">
        <w:br w:type="page"/>
      </w:r>
    </w:p>
    <w:p w14:paraId="5002F288" w14:textId="77777777" w:rsidR="00E67F89" w:rsidRPr="00E67F89" w:rsidRDefault="00E67F89" w:rsidP="00E67F89">
      <w:bookmarkStart w:id="947" w:name="_Toc138414179"/>
      <w:bookmarkStart w:id="948" w:name="_Toc230426122"/>
      <w:r w:rsidRPr="00E67F89">
        <w:lastRenderedPageBreak/>
        <w:t xml:space="preserve">Annexe </w:t>
      </w:r>
      <w:r w:rsidRPr="00E67F89">
        <w:fldChar w:fldCharType="begin"/>
      </w:r>
      <w:r w:rsidRPr="00E67F89">
        <w:instrText xml:space="preserve"> SEQ Annexe \* ARABIC </w:instrText>
      </w:r>
      <w:r w:rsidRPr="00E67F89">
        <w:fldChar w:fldCharType="separate"/>
      </w:r>
      <w:r w:rsidRPr="00E67F89">
        <w:t>17</w:t>
      </w:r>
      <w:r w:rsidRPr="00E67F89">
        <w:fldChar w:fldCharType="end"/>
      </w:r>
      <w:r w:rsidRPr="00E67F89">
        <w:t>. : Plan de gestion du stockage des hydrocarbures et produits dangereux</w:t>
      </w:r>
      <w:bookmarkEnd w:id="946"/>
      <w:bookmarkEnd w:id="947"/>
      <w:bookmarkEnd w:id="948"/>
    </w:p>
    <w:p w14:paraId="1C1F252C" w14:textId="77777777" w:rsidR="00E67F89" w:rsidRPr="00E67F89" w:rsidRDefault="00E67F89" w:rsidP="00E67F89"/>
    <w:p w14:paraId="71E1D3AF" w14:textId="77777777" w:rsidR="00E67F89" w:rsidRPr="00E67F89" w:rsidRDefault="00E67F89" w:rsidP="00E67F89">
      <w:r w:rsidRPr="00E67F89">
        <w:t>L’Entreprise de travaux produira un Plan de gestion du stockage des hydrocarbures et produits dangereux qu’elle est susceptible d’utiliser pendant la durée de la réalisation des travaux routiers (p.ex. solvants, acides, …).</w:t>
      </w:r>
    </w:p>
    <w:p w14:paraId="7F82E472" w14:textId="77777777" w:rsidR="00E67F89" w:rsidRPr="00E67F89" w:rsidRDefault="00E67F89" w:rsidP="00E67F89">
      <w:r w:rsidRPr="00E67F89">
        <w:t>Les principes suivants de stockage et d’étiquetage de tels produits (hydrocarbures et produits dangereux) devront être adoptées par l’Entreprise :</w:t>
      </w:r>
    </w:p>
    <w:p w14:paraId="5B82DDA0" w14:textId="77777777" w:rsidR="00E67F89" w:rsidRPr="00E67F89" w:rsidRDefault="00E67F89" w:rsidP="00E67F89">
      <w:r w:rsidRPr="00E67F89">
        <w:t>Stockage : Tout stockage d’un liquide susceptible de créer une pollution des eaux ou des sols (hydrocarbures, acide, solvant, …) sera associé à une capacité de rétention dont le volume est au moins égal à la plus grande des deux valeurs suivantes : 100% de la capacité du plus grand réservoir et 50% de la capacité des réservoirs associés. Lorsque le stockage est constitué de récipients de capacité inférieure à 250 litres, la capacité de rétention peut être réduite à 20% de la capacité totale des récipients sans être inférieure à 1 000 litres ou à la capacité totale si celle-ci est inférieure à 1000 litres.</w:t>
      </w:r>
    </w:p>
    <w:p w14:paraId="467D38D6" w14:textId="77777777" w:rsidR="00E67F89" w:rsidRPr="00E67F89" w:rsidRDefault="00E67F89" w:rsidP="00E67F89">
      <w:r w:rsidRPr="00E67F89">
        <w:t>La capacité de rétention doit être étanche aux produits à confiner et doit résister à l’action physique et chimique des fluides. Elle ne disposera pas d’écoulement gravitaire. Les liquides qui y seront accidentellement recueillis et les eaux de pluies seront retirés par relevage.</w:t>
      </w:r>
    </w:p>
    <w:p w14:paraId="4CFA514B" w14:textId="77777777" w:rsidR="00E67F89" w:rsidRPr="00E67F89" w:rsidRDefault="00E67F89" w:rsidP="00E67F89">
      <w:r w:rsidRPr="00E67F89">
        <w:t>Connaissance des produits – Etiquetage : l’Entreprise de travaux doit avoir à sa disposition des documents lui permettant de connaître la nature et les risques des produits dangereux présents dans ses installations, en particulier les fiches de sécurité (FDS). Les fûts, réservoirs et autres emballages doivent porter en caractères très lisibles, le nom des produits et les symboles de danger conformément, s’il y a lieu, aux bonnes pratiques internationales relatives à l’étiquetage des substances et préparations chimiques dangereuses. L’Entreprise pourvoira ses installations et son matériel d’équipements de moyens de lutte contre l’incendie adaptés aux risques et conformes aux bonnes pratiques internationales.</w:t>
      </w:r>
    </w:p>
    <w:p w14:paraId="3A0D8523" w14:textId="77777777" w:rsidR="00E67F89" w:rsidRPr="00E67F89" w:rsidRDefault="00E67F89" w:rsidP="00E67F89"/>
    <w:p w14:paraId="33B94FDB" w14:textId="77777777" w:rsidR="00E67F89" w:rsidRPr="00E67F89" w:rsidRDefault="00E67F89" w:rsidP="00E67F89">
      <w:r w:rsidRPr="00E67F89">
        <w:br w:type="page"/>
      </w:r>
    </w:p>
    <w:p w14:paraId="67394A9D" w14:textId="77777777" w:rsidR="00E67F89" w:rsidRPr="00E67F89" w:rsidRDefault="00E67F89" w:rsidP="00E67F89">
      <w:bookmarkStart w:id="949" w:name="_Toc13692305"/>
      <w:bookmarkStart w:id="950" w:name="_Toc72015671"/>
      <w:bookmarkStart w:id="951" w:name="_Toc138414180"/>
      <w:bookmarkStart w:id="952" w:name="_Toc230426123"/>
      <w:r w:rsidRPr="00E67F89">
        <w:lastRenderedPageBreak/>
        <w:t xml:space="preserve">Annexe </w:t>
      </w:r>
      <w:r w:rsidRPr="00E67F89">
        <w:fldChar w:fldCharType="begin"/>
      </w:r>
      <w:r w:rsidRPr="00E67F89">
        <w:instrText xml:space="preserve"> SEQ Annexe \* ARABIC </w:instrText>
      </w:r>
      <w:r w:rsidRPr="00E67F89">
        <w:fldChar w:fldCharType="separate"/>
      </w:r>
      <w:r w:rsidRPr="00E67F89">
        <w:t>18</w:t>
      </w:r>
      <w:r w:rsidRPr="00E67F89">
        <w:fldChar w:fldCharType="end"/>
      </w:r>
      <w:r w:rsidRPr="00E67F89">
        <w:t> : Plan de circulation</w:t>
      </w:r>
      <w:bookmarkEnd w:id="949"/>
      <w:bookmarkEnd w:id="950"/>
      <w:r w:rsidRPr="00E67F89">
        <w:t xml:space="preserve"> des engins et véhicules (PCEV)</w:t>
      </w:r>
      <w:bookmarkEnd w:id="951"/>
      <w:bookmarkEnd w:id="952"/>
    </w:p>
    <w:p w14:paraId="1BF062DF" w14:textId="77777777" w:rsidR="00E67F89" w:rsidRPr="00E67F89" w:rsidRDefault="00E67F89" w:rsidP="00E67F89"/>
    <w:p w14:paraId="700DC5D2" w14:textId="77777777" w:rsidR="00E67F89" w:rsidRPr="00E67F89" w:rsidRDefault="00E67F89" w:rsidP="00E67F89">
      <w:r w:rsidRPr="00E67F89">
        <w:t xml:space="preserve">Notes : </w:t>
      </w:r>
    </w:p>
    <w:p w14:paraId="5B6B0E10" w14:textId="77777777" w:rsidR="00E67F89" w:rsidRPr="00E67F89" w:rsidRDefault="00E67F89" w:rsidP="00E67F89">
      <w:r w:rsidRPr="00E67F89">
        <w:t>Un Plan de circulation des engins et véhicules (PCEV) ne peut être préparé que si des données supplémentaires sont disponibles. Ex : Nombre et types d’engins, Nombre et types de camions …</w:t>
      </w:r>
    </w:p>
    <w:p w14:paraId="3507508F" w14:textId="77777777" w:rsidR="00E67F89" w:rsidRPr="00E67F89" w:rsidRDefault="00E67F89" w:rsidP="00E67F89">
      <w:r w:rsidRPr="00E67F89">
        <w:t>Le canevas ci-dessous permettra aux entreprises de travaux de préparer leurs PCEV</w:t>
      </w:r>
    </w:p>
    <w:p w14:paraId="74AA4222" w14:textId="77777777" w:rsidR="00E67F89" w:rsidRPr="00E67F89" w:rsidRDefault="00E67F89" w:rsidP="00E67F89"/>
    <w:p w14:paraId="42B7F76E" w14:textId="77777777" w:rsidR="00E67F89" w:rsidRPr="00E67F89" w:rsidRDefault="00E67F89" w:rsidP="00E67F89">
      <w:r w:rsidRPr="00E67F89">
        <w:t>L'Entreprise de travaux préparera un Plan de Circulation des Engins et des Véhicules du Projet (PCEV). Le PCEV contiendra l'ensemble des actions visant à contrôler la vitesse, l'itinéraire, les horaires de circulation et l'application des sanctions en cas d'infraction, de tous les engins et véhicules impliqués dans les travaux. Il inclura, sans y être limité, les points suivants :</w:t>
      </w:r>
    </w:p>
    <w:p w14:paraId="269C1227" w14:textId="77777777" w:rsidR="00E67F89" w:rsidRPr="00E67F89" w:rsidRDefault="00E67F89" w:rsidP="00E67F89">
      <w:r w:rsidRPr="00E67F89">
        <w:t>Description détaillée du nombre, type, identification, et affectation de tous les engins et véhicules du chantier : véhicules pick-up ou station wagon, camions, convois exceptionnels, bulldozer, pelleteuse, water trucks et tout autre engin de transport, de défrichement, ou technique mécanisé circulant ou volant dans la zone du Projet. À tout moment, le Responsable Environnemental du Projet devra être capable de savoir combien de véhicules sont engagés sur le Projet, et où ils se trouvent.</w:t>
      </w:r>
    </w:p>
    <w:p w14:paraId="4C7117D1" w14:textId="77777777" w:rsidR="00E67F89" w:rsidRPr="00E67F89" w:rsidRDefault="00E67F89" w:rsidP="00E67F89">
      <w:r w:rsidRPr="00E67F89">
        <w:t>Itinéraires de circulation dans et hors sites des opérations. Lorsque nécessaire, des itinéraires d'évitement des centres de villages seront proposés aux chefs de fokontany et validés par eux, pour éviter les nuisances liées à la traversée des villages. Ces itinéraires d'évitement devront être aménagés en compensant les éventuels dégâts aux cultures ou autres biens en suivant la procédure spécifiée plus haut dans ce rapport.</w:t>
      </w:r>
    </w:p>
    <w:p w14:paraId="29AB88DD" w14:textId="77777777" w:rsidR="00E67F89" w:rsidRPr="00E67F89" w:rsidRDefault="00E67F89" w:rsidP="00E67F89">
      <w:r w:rsidRPr="00E67F89">
        <w:t>Estimation du nombre de rotations par type de véhicule.</w:t>
      </w:r>
    </w:p>
    <w:p w14:paraId="34AE5B41" w14:textId="77777777" w:rsidR="00E67F89" w:rsidRPr="00E67F89" w:rsidRDefault="00E67F89" w:rsidP="00E67F89">
      <w:r w:rsidRPr="00E67F89">
        <w:t>Contrôle de la vitesse des véhicules, incluant : i) un Programme d'information et de sensibilisation des chauffeurs sur les risques potentiels de leur conduite (incitation financière) ; ii) la mise en place d'une signalisation appropriée et création de zones 20 km/h dans les traversées des villages et à proximité des sites à risques (ex : écoles, marchés, centres de santé, virage) ; iii) prévention par la répression : implication de la gendarmerie et sanction financière pour tout dépassement de vitesse.</w:t>
      </w:r>
    </w:p>
    <w:p w14:paraId="1FEFA5B5" w14:textId="77777777" w:rsidR="00E67F89" w:rsidRPr="00E67F89" w:rsidRDefault="00E67F89" w:rsidP="00E67F89">
      <w:r w:rsidRPr="00E67F89">
        <w:t>Réduction des émissions de poussières et projection d'agrégats, incluant : i) le respect des limites de vitesse le long des zones habitées ; ii) l'arrosage des routes, dans, et aux abords, des villages et hameaux traversés par les véhicules du projet hors période de pluie. La fréquence des arrosages sera adaptée pour garantir l'absence de nuages de poussières dans les villages traversés par les véhicules du Projet ; iii) obligation de couvrir d'une bâche les bennes transportant des matériaux pouvant être projetés (sable et agrégats) le cas échéant.</w:t>
      </w:r>
    </w:p>
    <w:p w14:paraId="47B4C31B" w14:textId="77777777" w:rsidR="00E67F89" w:rsidRPr="00E67F89" w:rsidRDefault="00E67F89" w:rsidP="00E67F89">
      <w:r w:rsidRPr="00E67F89">
        <w:t>Remise en état des voies qui auront été dégradées. Cette mesure présuppose qu'un constat initial de l'état des routes ait préalablement été effectué par l'Entreprise, conjointement avec les services techniques des Communes concernées.</w:t>
      </w:r>
    </w:p>
    <w:p w14:paraId="7CADBF0B" w14:textId="77777777" w:rsidR="00E67F89" w:rsidRPr="00E67F89" w:rsidRDefault="00E67F89" w:rsidP="00E67F89">
      <w:r w:rsidRPr="00E67F89">
        <w:lastRenderedPageBreak/>
        <w:t>Ce plan sera présenté pour discussion et validation aux services de la Direction Régionale des Travaux Publics concernée, ainsi qu'aux maires des Communes traversées par les itinéraires utilisés. Une semaine avant le premier passage des convois, l'Entreprise postera dans tous les villages traversées ou longés par l'itinéraire des engins et véhicules du projet, une note d'information précisant les dangers liés au passage des camions et engins.</w:t>
      </w:r>
    </w:p>
    <w:p w14:paraId="3086F9D7" w14:textId="77777777" w:rsidR="00E67F89" w:rsidRPr="00E67F89" w:rsidRDefault="00E67F89" w:rsidP="00E67F89">
      <w:r w:rsidRPr="00E67F89">
        <w:br w:type="page"/>
      </w:r>
    </w:p>
    <w:p w14:paraId="452B75DC" w14:textId="77777777" w:rsidR="00E67F89" w:rsidRPr="00E67F89" w:rsidRDefault="00E67F89" w:rsidP="00E67F89">
      <w:bookmarkStart w:id="953" w:name="_Toc13692306"/>
      <w:bookmarkStart w:id="954" w:name="_Toc72015672"/>
      <w:bookmarkStart w:id="955" w:name="_Toc138414181"/>
      <w:bookmarkStart w:id="956" w:name="_Toc230426124"/>
      <w:r w:rsidRPr="00E67F89">
        <w:lastRenderedPageBreak/>
        <w:t xml:space="preserve">Annexe </w:t>
      </w:r>
      <w:r w:rsidRPr="00E67F89">
        <w:fldChar w:fldCharType="begin"/>
      </w:r>
      <w:r w:rsidRPr="00E67F89">
        <w:instrText xml:space="preserve"> SEQ Annexe \* ARABIC </w:instrText>
      </w:r>
      <w:r w:rsidRPr="00E67F89">
        <w:fldChar w:fldCharType="separate"/>
      </w:r>
      <w:r w:rsidRPr="00E67F89">
        <w:t>19</w:t>
      </w:r>
      <w:r w:rsidRPr="00E67F89">
        <w:fldChar w:fldCharType="end"/>
      </w:r>
      <w:r w:rsidRPr="00E67F89">
        <w:t> : Bases d’un Plan de gestion des déchets</w:t>
      </w:r>
      <w:bookmarkEnd w:id="953"/>
      <w:bookmarkEnd w:id="954"/>
      <w:bookmarkEnd w:id="955"/>
      <w:bookmarkEnd w:id="956"/>
    </w:p>
    <w:p w14:paraId="2F556113" w14:textId="77777777" w:rsidR="00E67F89" w:rsidRPr="00E67F89" w:rsidRDefault="00E67F89" w:rsidP="00E67F89"/>
    <w:p w14:paraId="7979DBCF" w14:textId="77777777" w:rsidR="00E67F89" w:rsidRPr="00E67F89" w:rsidRDefault="00E67F89" w:rsidP="00E67F89">
      <w:r w:rsidRPr="00E67F89">
        <w:t>L’Entreprise de travaux produira un Plan de Gestion des Déchets (PGD) qui comprendra les renseignements suivants :</w:t>
      </w:r>
    </w:p>
    <w:p w14:paraId="52F28018" w14:textId="77777777" w:rsidR="00E67F89" w:rsidRPr="00E67F89" w:rsidRDefault="00E67F89" w:rsidP="00E67F89">
      <w:r w:rsidRPr="00E67F89">
        <w:t>Un tableau détaillant les différents types de déchets qui seront produits, l’estimation des quantités et le mois de leur production, ainsi que les méthodes de traitement et d’élimination préférées et alternatives pour chaque type de déchets.</w:t>
      </w:r>
    </w:p>
    <w:p w14:paraId="3C290823" w14:textId="77777777" w:rsidR="00E67F89" w:rsidRPr="00E67F89" w:rsidRDefault="00E67F89" w:rsidP="00E67F89">
      <w:r w:rsidRPr="00E67F89">
        <w:t>Les étapes qui doivent être prises pour minimiser la quantité de déchets produite, les options de recyclage qui seront prises pour réduire encore plus les quantités à éliminer.</w:t>
      </w:r>
    </w:p>
    <w:p w14:paraId="0D2A0461" w14:textId="77777777" w:rsidR="00E67F89" w:rsidRPr="00E67F89" w:rsidRDefault="00E67F89" w:rsidP="00E67F89">
      <w:r w:rsidRPr="00E67F89">
        <w:t>Les méthodes de stockage temporaire des déchets sur les sites, les mesures pour stabiliser ces déchets et les préparer pour leur transport des sites où ils ont été produits jusqu’aux lieux d’élimination.</w:t>
      </w:r>
    </w:p>
    <w:p w14:paraId="1FF6B2AA" w14:textId="77777777" w:rsidR="00E67F89" w:rsidRPr="00E67F89" w:rsidRDefault="00E67F89" w:rsidP="00E67F89">
      <w:r w:rsidRPr="00E67F89">
        <w:t>Les méthodes utilisées pour transporter ces déchets.</w:t>
      </w:r>
    </w:p>
    <w:p w14:paraId="5630EACA" w14:textId="77777777" w:rsidR="00E67F89" w:rsidRPr="00E67F89" w:rsidRDefault="00E67F89" w:rsidP="00E67F89">
      <w:r w:rsidRPr="00E67F89">
        <w:t>La localisation sur carte topographique et la description détaillée (avec photographies) de tous les sites d’élimination des déchets, incluant la description de l’environnement naturel de l’emprise du site et des zones adjacentes et des voies d’accès.</w:t>
      </w:r>
    </w:p>
    <w:p w14:paraId="2DAC28B7" w14:textId="77777777" w:rsidR="00E67F89" w:rsidRPr="00E67F89" w:rsidRDefault="00E67F89" w:rsidP="00E67F89">
      <w:r w:rsidRPr="00E67F89">
        <w:t>Les normes de construction, de fonctionnement et de fermeture des sites d’enfouissement ainsi que les pratiques qui seront utilisées dans les installations pour les déchets (p.ex. fosses d’enfouissement, installation de traitement des eaux usées, …). Cette description doit également préciser les mesures de rétention des liquides issus des sites de stockage et leur traitement.</w:t>
      </w:r>
    </w:p>
    <w:p w14:paraId="40A2CC72" w14:textId="77777777" w:rsidR="00E67F89" w:rsidRPr="00E67F89" w:rsidRDefault="00E67F89" w:rsidP="00E67F89">
      <w:r w:rsidRPr="00E67F89">
        <w:t>Un système de suivi pour établir la quantité de chaque type de déchet produit, le type de gestion et la destination finale des déchets.</w:t>
      </w:r>
    </w:p>
    <w:p w14:paraId="408A14B2" w14:textId="77777777" w:rsidR="00E67F89" w:rsidRPr="00E67F89" w:rsidRDefault="00E67F89" w:rsidP="00E67F89">
      <w:r w:rsidRPr="00E67F89">
        <w:t>Mensuellement, un système de surveillance et d’enregistrement doit être maintenu sur les compositions des grosses quantités de déchets huileux et dangereux.</w:t>
      </w:r>
    </w:p>
    <w:p w14:paraId="0C48BDFE" w14:textId="77777777" w:rsidR="00E67F89" w:rsidRPr="00E67F89" w:rsidRDefault="00E67F89" w:rsidP="00E67F89"/>
    <w:p w14:paraId="5DAD7E22" w14:textId="77777777" w:rsidR="00E67F89" w:rsidRPr="00E67F89" w:rsidRDefault="00E67F89" w:rsidP="00E67F89"/>
    <w:p w14:paraId="63CCB56B" w14:textId="77777777" w:rsidR="00E67F89" w:rsidRPr="00E67F89" w:rsidRDefault="00E67F89" w:rsidP="00E67F89">
      <w:r w:rsidRPr="00E67F89">
        <w:br w:type="page"/>
      </w:r>
    </w:p>
    <w:p w14:paraId="3F58A642" w14:textId="77777777" w:rsidR="00E67F89" w:rsidRPr="00E67F89" w:rsidRDefault="00E67F89" w:rsidP="00E67F89">
      <w:bookmarkStart w:id="957" w:name="_Toc13692308"/>
      <w:bookmarkStart w:id="958" w:name="_Toc72015673"/>
      <w:bookmarkStart w:id="959" w:name="_Toc138414182"/>
      <w:bookmarkStart w:id="960" w:name="_Toc230426125"/>
      <w:r w:rsidRPr="00E67F89">
        <w:lastRenderedPageBreak/>
        <w:t xml:space="preserve">Annexe </w:t>
      </w:r>
      <w:r w:rsidRPr="00E67F89">
        <w:fldChar w:fldCharType="begin"/>
      </w:r>
      <w:r w:rsidRPr="00E67F89">
        <w:instrText xml:space="preserve"> SEQ Annexe \* ARABIC </w:instrText>
      </w:r>
      <w:r w:rsidRPr="00E67F89">
        <w:fldChar w:fldCharType="separate"/>
      </w:r>
      <w:r w:rsidRPr="00E67F89">
        <w:t>20</w:t>
      </w:r>
      <w:r w:rsidRPr="00E67F89">
        <w:fldChar w:fldCharType="end"/>
      </w:r>
      <w:r w:rsidRPr="00E67F89">
        <w:t> : Bases d’un Plan santé et sécurité</w:t>
      </w:r>
      <w:bookmarkEnd w:id="957"/>
      <w:bookmarkEnd w:id="958"/>
      <w:r w:rsidRPr="00E67F89">
        <w:t xml:space="preserve"> au travail (SST)</w:t>
      </w:r>
      <w:bookmarkEnd w:id="959"/>
      <w:bookmarkEnd w:id="960"/>
    </w:p>
    <w:p w14:paraId="46EF0A64" w14:textId="77777777" w:rsidR="00E67F89" w:rsidRPr="00E67F89" w:rsidRDefault="00E67F89" w:rsidP="00E67F89">
      <w:r w:rsidRPr="00E67F89">
        <w:t>L’Entreprise devra préparer et soumettre à la mission de contrôle un Plan Santé Sécurité (PSS) avant le démarrage des travaux. Ce plan devra être validé par la Mission de Contrôle et son application fera l’objet de contrôle permanent.</w:t>
      </w:r>
    </w:p>
    <w:p w14:paraId="5B6E850E" w14:textId="77777777" w:rsidR="00E67F89" w:rsidRPr="00E67F89" w:rsidRDefault="00E67F89" w:rsidP="00E67F89">
      <w:r w:rsidRPr="00E67F89">
        <w:t>Les objectifs du PSS, et donc son contenu, seront de préciser :</w:t>
      </w:r>
    </w:p>
    <w:p w14:paraId="39F3450D" w14:textId="77777777" w:rsidR="00E67F89" w:rsidRPr="00E67F89" w:rsidRDefault="00E67F89" w:rsidP="00E67F89">
      <w:r w:rsidRPr="00E67F89">
        <w:t>L’engagement de la Direction de l’Entreprise par rapport aux aspects santé et sécurité ;</w:t>
      </w:r>
    </w:p>
    <w:p w14:paraId="44ACCAD4" w14:textId="77777777" w:rsidR="00E67F89" w:rsidRPr="00E67F89" w:rsidRDefault="00E67F89" w:rsidP="00E67F89">
      <w:r w:rsidRPr="00E67F89">
        <w:t>Les affectations et responsabilités ;</w:t>
      </w:r>
    </w:p>
    <w:p w14:paraId="33EE0F51" w14:textId="77777777" w:rsidR="00E67F89" w:rsidRPr="00E67F89" w:rsidRDefault="00E67F89" w:rsidP="00E67F89">
      <w:r w:rsidRPr="00E67F89">
        <w:t>Les documents de référence applicables ;</w:t>
      </w:r>
    </w:p>
    <w:p w14:paraId="4ECE6A45" w14:textId="77777777" w:rsidR="00E67F89" w:rsidRPr="00E67F89" w:rsidRDefault="00E67F89" w:rsidP="00E67F89">
      <w:r w:rsidRPr="00E67F89">
        <w:t>Les arrangements relatifs à la communication ;</w:t>
      </w:r>
    </w:p>
    <w:p w14:paraId="5FCFBCB8" w14:textId="77777777" w:rsidR="00E67F89" w:rsidRPr="00E67F89" w:rsidRDefault="00E67F89" w:rsidP="00E67F89">
      <w:r w:rsidRPr="00E67F89">
        <w:t>L’examen et évaluation des risques Santé Sécurité ;</w:t>
      </w:r>
    </w:p>
    <w:p w14:paraId="3F87CF03" w14:textId="77777777" w:rsidR="00E67F89" w:rsidRPr="00E67F89" w:rsidRDefault="00E67F89" w:rsidP="00E67F89">
      <w:r w:rsidRPr="00E67F89">
        <w:t>Le plan d’action de prévention ;</w:t>
      </w:r>
    </w:p>
    <w:p w14:paraId="581D7CB5" w14:textId="77777777" w:rsidR="00E67F89" w:rsidRPr="00E67F89" w:rsidRDefault="00E67F89" w:rsidP="00E67F89">
      <w:r w:rsidRPr="00E67F89">
        <w:t>La mise en œuvre sur le chantier ;</w:t>
      </w:r>
    </w:p>
    <w:p w14:paraId="7E4604B1" w14:textId="77777777" w:rsidR="00E67F89" w:rsidRPr="00E67F89" w:rsidRDefault="00E67F89" w:rsidP="00E67F89">
      <w:r w:rsidRPr="00E67F89">
        <w:t>La formation et la gestion de compétences ;</w:t>
      </w:r>
    </w:p>
    <w:p w14:paraId="5F2EEB71" w14:textId="77777777" w:rsidR="00E67F89" w:rsidRPr="00E67F89" w:rsidRDefault="00E67F89" w:rsidP="00E67F89">
      <w:r w:rsidRPr="00E67F89">
        <w:t>Les dispositions d’inspection, surveillance et contrôle</w:t>
      </w:r>
    </w:p>
    <w:p w14:paraId="260B32AE" w14:textId="77777777" w:rsidR="00E67F89" w:rsidRPr="00E67F89" w:rsidRDefault="00E67F89" w:rsidP="00E67F89">
      <w:r w:rsidRPr="00E67F89">
        <w:t>La gestion des accidents, incidents et presque-accidents.</w:t>
      </w:r>
    </w:p>
    <w:p w14:paraId="16A414E1" w14:textId="77777777" w:rsidR="00E67F89" w:rsidRPr="00E67F89" w:rsidRDefault="00E67F89" w:rsidP="00E67F89">
      <w:r w:rsidRPr="00E67F89">
        <w:t>En particulier, le Plan Santé et Sécurité au travail (SST) de l’Entreprise devra inclure notamment :</w:t>
      </w:r>
    </w:p>
    <w:p w14:paraId="2FC1C325" w14:textId="77777777" w:rsidR="00E67F89" w:rsidRPr="00E67F89" w:rsidRDefault="00E67F89" w:rsidP="00E67F89">
      <w:r w:rsidRPr="00E67F89">
        <w:t>En termes de santé : campagne de sensibilisation du personnel sur la santé au travail ; mise à disposition de médicaments de base ; prévention contre les MST et SIDA incluant mise à disposition gratuite de préservatifs et information et sensibilisation sur les MST et SIDA ;</w:t>
      </w:r>
    </w:p>
    <w:p w14:paraId="37684041" w14:textId="77777777" w:rsidR="00E67F89" w:rsidRPr="00E67F89" w:rsidRDefault="00E67F89" w:rsidP="00E67F89">
      <w:r w:rsidRPr="00E67F89">
        <w:t>En termes d’intervention d’urgence : affichage des procédures de sécurité en cas d’incendie ou d’accident de travail ; réalisation d’exercices de simulation ;</w:t>
      </w:r>
    </w:p>
    <w:p w14:paraId="3575C0FA" w14:textId="77777777" w:rsidR="00E67F89" w:rsidRPr="00E67F89" w:rsidRDefault="00E67F89" w:rsidP="00E67F89">
      <w:r w:rsidRPr="00E67F89">
        <w:t>En termes de management sécurité : affichage du système de management sécurité ; contrôle et suivi des véhicules et engins ; enregistrement et suivi du matériel ...</w:t>
      </w:r>
    </w:p>
    <w:p w14:paraId="0178F59D" w14:textId="77777777" w:rsidR="00E67F89" w:rsidRPr="00E67F89" w:rsidRDefault="00E67F89" w:rsidP="00E67F89"/>
    <w:p w14:paraId="187343C1" w14:textId="77777777" w:rsidR="00E67F89" w:rsidRPr="00E67F89" w:rsidRDefault="00E67F89" w:rsidP="00E67F89">
      <w:pPr>
        <w:sectPr w:rsidR="00E67F89" w:rsidRPr="00E67F89" w:rsidSect="00D42025">
          <w:footerReference w:type="default" r:id="rId53"/>
          <w:pgSz w:w="11906" w:h="16838"/>
          <w:pgMar w:top="1418" w:right="1134" w:bottom="1134" w:left="1418" w:header="708" w:footer="708" w:gutter="0"/>
          <w:pgNumType w:fmt="upperRoman"/>
          <w:cols w:space="708"/>
          <w:docGrid w:linePitch="360"/>
        </w:sectPr>
      </w:pPr>
    </w:p>
    <w:p w14:paraId="18FB140A" w14:textId="77777777" w:rsidR="00E67F89" w:rsidRPr="00E67F89" w:rsidRDefault="00E67F89" w:rsidP="00E67F89">
      <w:bookmarkStart w:id="961" w:name="_Toc13692309"/>
      <w:bookmarkStart w:id="962" w:name="_Toc72015674"/>
      <w:bookmarkStart w:id="963" w:name="_Toc138414183"/>
      <w:bookmarkStart w:id="964" w:name="_Toc230426126"/>
      <w:r w:rsidRPr="00E67F89">
        <w:lastRenderedPageBreak/>
        <w:t xml:space="preserve">Annexe </w:t>
      </w:r>
      <w:r w:rsidRPr="00E67F89">
        <w:fldChar w:fldCharType="begin"/>
      </w:r>
      <w:r w:rsidRPr="00E67F89">
        <w:instrText xml:space="preserve"> SEQ Annexe \* ARABIC </w:instrText>
      </w:r>
      <w:r w:rsidRPr="00E67F89">
        <w:fldChar w:fldCharType="separate"/>
      </w:r>
      <w:r w:rsidRPr="00E67F89">
        <w:t>21</w:t>
      </w:r>
      <w:r w:rsidRPr="00E67F89">
        <w:fldChar w:fldCharType="end"/>
      </w:r>
      <w:r w:rsidRPr="00E67F89">
        <w:t> : Bases d’un Plan d’urgence</w:t>
      </w:r>
      <w:bookmarkEnd w:id="961"/>
      <w:bookmarkEnd w:id="962"/>
      <w:bookmarkEnd w:id="963"/>
      <w:bookmarkEnd w:id="964"/>
    </w:p>
    <w:p w14:paraId="733C8933" w14:textId="77777777" w:rsidR="00E67F89" w:rsidRPr="00E67F89" w:rsidRDefault="00E67F89" w:rsidP="00E67F89"/>
    <w:p w14:paraId="74686F9C" w14:textId="77777777" w:rsidR="00E67F89" w:rsidRPr="00E67F89" w:rsidRDefault="00E67F89" w:rsidP="00E67F89">
      <w:r w:rsidRPr="00E67F89">
        <w:t>Selon le cas, un ou des Plans d’urgence devra/devront être élaboré. (s) par l’Entreprise des travaux. Les objectifs principaux d’un plan d’urgence seront de :</w:t>
      </w:r>
    </w:p>
    <w:p w14:paraId="658EA27D" w14:textId="77777777" w:rsidR="00E67F89" w:rsidRPr="00E67F89" w:rsidRDefault="00E67F89" w:rsidP="00E67F89">
      <w:r w:rsidRPr="00E67F89">
        <w:t>Contenir et maîtriser les incidents de façon à en minimiser les effets et à limiter les dommages sur l’homme, l’environnement et les biens ;</w:t>
      </w:r>
    </w:p>
    <w:p w14:paraId="2BFC8820" w14:textId="77777777" w:rsidR="00E67F89" w:rsidRPr="00E67F89" w:rsidRDefault="00E67F89" w:rsidP="00E67F89">
      <w:r w:rsidRPr="00E67F89">
        <w:t>Assurer que les mesures sur les sites d’activités / travaux soient prises effectivement pour protéger l’homme et l’environnement contre les conséquences d’un accident majeur ;</w:t>
      </w:r>
    </w:p>
    <w:p w14:paraId="11FF10FD" w14:textId="77777777" w:rsidR="00E67F89" w:rsidRPr="00E67F89" w:rsidRDefault="00E67F89" w:rsidP="00E67F89">
      <w:r w:rsidRPr="00E67F89">
        <w:t>Communiquer les informations nécessaires aux services d’intervention et aux autorités ;</w:t>
      </w:r>
    </w:p>
    <w:p w14:paraId="013B79D4" w14:textId="77777777" w:rsidR="00E67F89" w:rsidRPr="00E67F89" w:rsidRDefault="00E67F89" w:rsidP="00E67F89">
      <w:r w:rsidRPr="00E67F89">
        <w:t>Prévoir la remise en état de l’environnement après l’accident.</w:t>
      </w:r>
    </w:p>
    <w:p w14:paraId="61BD6B2B" w14:textId="77777777" w:rsidR="00E67F89" w:rsidRPr="00E67F89" w:rsidRDefault="00E67F89" w:rsidP="00E67F89">
      <w:r w:rsidRPr="00E67F89">
        <w:t>Un plan d’urgence doit être activé lorsque se produit un accident majeur ou un incident de nature telle que l’on peut raisonnablement penser qu’il conduira à un accident majeur. Il ne peut réaliser son objectif de limitation des dommages que dans la mesure où les scenarii d’urgence auxquels il faut réagir étaient prévus. Par conséquent, l’identification et la documentation des scenarii d’urgence et la détermination de la stratégie d’intervention pour chaque scénario d’urgence représentatif devront être couvertes par le système de gestion de la sécurité.</w:t>
      </w:r>
    </w:p>
    <w:p w14:paraId="3AC53075" w14:textId="77777777" w:rsidR="00E67F89" w:rsidRPr="00E67F89" w:rsidRDefault="00E67F89" w:rsidP="00E67F89">
      <w:r w:rsidRPr="00E67F89">
        <w:t>Les éléments suivants devront être abordés dans chaque plan d’urgence de l’Entreprise :</w:t>
      </w:r>
    </w:p>
    <w:p w14:paraId="39E0C3A8" w14:textId="77777777" w:rsidR="00E67F89" w:rsidRPr="00E67F89" w:rsidRDefault="00E67F89" w:rsidP="00E67F89">
      <w:r w:rsidRPr="00E67F89">
        <w:t>Nom ou fonction des personnes habilitées à déclencher les procédures du plan d’urgence, et de la personne responsable de l’intervention sur le site et de la coordination des mesures d’intervention ;</w:t>
      </w:r>
    </w:p>
    <w:p w14:paraId="7EBEE4FC" w14:textId="77777777" w:rsidR="00E67F89" w:rsidRPr="00E67F89" w:rsidRDefault="00E67F89" w:rsidP="00E67F89">
      <w:r w:rsidRPr="00E67F89">
        <w:t>Pour chaque situation ou événement prévisible qui pourrait jouer un rôle déterminant dans le déclenchement d’un accident majeur, description des mesures à prendre pour maîtriser cette situation ou cet événement et pour en limiter les conséquences ; cette description devant s’étendre à l’équipement de sécurité et aux ressources disponibles ;</w:t>
      </w:r>
    </w:p>
    <w:p w14:paraId="7C639965" w14:textId="77777777" w:rsidR="00E67F89" w:rsidRPr="00E67F89" w:rsidRDefault="00E67F89" w:rsidP="00E67F89">
      <w:r w:rsidRPr="00E67F89">
        <w:t>Mesures visant à limiter les risques pour les personnes se trouvant sur le site, y compris système d’alarme et conduite à tenir lors du déclenchement de l’alerte ;</w:t>
      </w:r>
    </w:p>
    <w:p w14:paraId="1400AFA8" w14:textId="77777777" w:rsidR="00E67F89" w:rsidRPr="00E67F89" w:rsidRDefault="00E67F89" w:rsidP="00E67F89">
      <w:r w:rsidRPr="00E67F89">
        <w:t>Dispositions prises pour que, en cas d’incident, l’autorité responsable extérieure soit informée rapidement, type d’information à fournir immédiatement et mesures concernant la communication d’informations plus détaillées au fur et à mesure qu’elles deviennent disponibles ;</w:t>
      </w:r>
    </w:p>
    <w:p w14:paraId="795F6C29" w14:textId="77777777" w:rsidR="00E67F89" w:rsidRPr="00E67F89" w:rsidRDefault="00E67F89" w:rsidP="00E67F89">
      <w:r w:rsidRPr="00E67F89">
        <w:t>Dispositions prises pour former le personnel aux tâches dont il sera sensé s’acquitter et, le cas échéant, coordination de cette action avec les services d’intervention externes.</w:t>
      </w:r>
    </w:p>
    <w:p w14:paraId="5CC56092" w14:textId="77777777" w:rsidR="00E67F89" w:rsidRPr="00E67F89" w:rsidRDefault="00E67F89" w:rsidP="00E67F89"/>
    <w:p w14:paraId="1B16AEA9" w14:textId="77777777" w:rsidR="00E67F89" w:rsidRPr="00E67F89" w:rsidRDefault="00E67F89" w:rsidP="00E67F89">
      <w:r w:rsidRPr="00E67F89">
        <w:t>Annexe : Bases d’un Plan de communication sur le.s Plan.s d’urgence</w:t>
      </w:r>
    </w:p>
    <w:p w14:paraId="50375944" w14:textId="77777777" w:rsidR="00E67F89" w:rsidRPr="00E67F89" w:rsidRDefault="00E67F89" w:rsidP="00E67F89">
      <w:r w:rsidRPr="00E67F89">
        <w:t>Généralités</w:t>
      </w:r>
    </w:p>
    <w:p w14:paraId="766877AB" w14:textId="77777777" w:rsidR="00E67F89" w:rsidRPr="00E67F89" w:rsidRDefault="00E67F89" w:rsidP="00E67F89">
      <w:r w:rsidRPr="00E67F89">
        <w:t>Le Plan de communication tiendra en compte le paragraphe 21 de la NES4 et couvrira les thèmes ci-après :</w:t>
      </w:r>
    </w:p>
    <w:p w14:paraId="20C3BF87" w14:textId="77777777" w:rsidR="00E67F89" w:rsidRPr="00E67F89" w:rsidRDefault="00E67F89" w:rsidP="00E67F89">
      <w:r w:rsidRPr="00E67F89">
        <w:t>Mesures de contrôle technique</w:t>
      </w:r>
    </w:p>
    <w:p w14:paraId="109760CF" w14:textId="77777777" w:rsidR="00E67F89" w:rsidRPr="00E67F89" w:rsidRDefault="00E67F89" w:rsidP="00E67F89">
      <w:r w:rsidRPr="00E67F89">
        <w:lastRenderedPageBreak/>
        <w:t>Dispositifs d’identification des équipements d’urgence disponibles</w:t>
      </w:r>
    </w:p>
    <w:p w14:paraId="1A69929C" w14:textId="77777777" w:rsidR="00E67F89" w:rsidRPr="00E67F89" w:rsidRDefault="00E67F89" w:rsidP="00E67F89">
      <w:r w:rsidRPr="00E67F89">
        <w:t>Procédures de notification des personnes désignées pour l’intervention d’urgence</w:t>
      </w:r>
    </w:p>
    <w:p w14:paraId="5F2A20FE" w14:textId="77777777" w:rsidR="00E67F89" w:rsidRPr="00E67F89" w:rsidRDefault="00E67F89" w:rsidP="00E67F89">
      <w:r w:rsidRPr="00E67F89">
        <w:t>Moyens de communication pour notifier la population concernée et les autres parties prenantes</w:t>
      </w:r>
    </w:p>
    <w:p w14:paraId="6E40A48F" w14:textId="77777777" w:rsidR="00E67F89" w:rsidRPr="00E67F89" w:rsidRDefault="00E67F89" w:rsidP="00E67F89">
      <w:r w:rsidRPr="00E67F89">
        <w:t>Programme de formation des équipes d’intervention d’urgence</w:t>
      </w:r>
    </w:p>
    <w:p w14:paraId="40F5FE8E" w14:textId="77777777" w:rsidR="00E67F89" w:rsidRPr="00E67F89" w:rsidRDefault="00E67F89" w:rsidP="00E67F89">
      <w:r w:rsidRPr="00E67F89">
        <w:t>Procédures d’évacuation. Point de rassemblement</w:t>
      </w:r>
    </w:p>
    <w:p w14:paraId="38336A20" w14:textId="77777777" w:rsidR="00E67F89" w:rsidRPr="00E67F89" w:rsidRDefault="00E67F89" w:rsidP="00E67F89">
      <w:r w:rsidRPr="00E67F89">
        <w:t>Coordonnateurs désignés pour assurer la mise en œuvre du plan</w:t>
      </w:r>
    </w:p>
    <w:p w14:paraId="277B0D9E" w14:textId="77777777" w:rsidR="00E67F89" w:rsidRPr="00E67F89" w:rsidRDefault="00E67F89" w:rsidP="00E67F89">
      <w:r w:rsidRPr="00E67F89">
        <w:t>Mesures de remise en état et de nettoyage de l’espace.</w:t>
      </w:r>
    </w:p>
    <w:p w14:paraId="36C61E85" w14:textId="77777777" w:rsidR="00E67F89" w:rsidRPr="00E67F89" w:rsidRDefault="00E67F89" w:rsidP="00E67F89">
      <w:r w:rsidRPr="00E67F89">
        <w:t>Objectifs</w:t>
      </w:r>
    </w:p>
    <w:tbl>
      <w:tblPr>
        <w:tblStyle w:val="TableGrid"/>
        <w:tblW w:w="97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76"/>
        <w:gridCol w:w="350"/>
        <w:gridCol w:w="7009"/>
      </w:tblGrid>
      <w:tr w:rsidR="00E67F89" w:rsidRPr="00E67F89" w14:paraId="536CB799" w14:textId="77777777" w:rsidTr="00223F64">
        <w:tc>
          <w:tcPr>
            <w:tcW w:w="2376" w:type="dxa"/>
          </w:tcPr>
          <w:p w14:paraId="698DB007" w14:textId="77777777" w:rsidR="00E67F89" w:rsidRPr="00E67F89" w:rsidRDefault="00E67F89" w:rsidP="00E67F89">
            <w:r w:rsidRPr="00E67F89">
              <w:t>Objectif global</w:t>
            </w:r>
          </w:p>
        </w:tc>
        <w:tc>
          <w:tcPr>
            <w:tcW w:w="350" w:type="dxa"/>
          </w:tcPr>
          <w:p w14:paraId="7BA6E2F7" w14:textId="77777777" w:rsidR="00E67F89" w:rsidRPr="00E67F89" w:rsidRDefault="00E67F89" w:rsidP="00E67F89">
            <w:r w:rsidRPr="00E67F89">
              <w:t>:</w:t>
            </w:r>
          </w:p>
        </w:tc>
        <w:tc>
          <w:tcPr>
            <w:tcW w:w="7009" w:type="dxa"/>
          </w:tcPr>
          <w:p w14:paraId="4C5E298C" w14:textId="77777777" w:rsidR="00E67F89" w:rsidRPr="00E67F89" w:rsidRDefault="00E67F89" w:rsidP="00E67F89">
            <w:r w:rsidRPr="00E67F89">
              <w:t>Protéger les personnes et les biens</w:t>
            </w:r>
          </w:p>
        </w:tc>
      </w:tr>
      <w:tr w:rsidR="00E67F89" w:rsidRPr="00E67F89" w14:paraId="30DE026A" w14:textId="77777777" w:rsidTr="00223F64">
        <w:trPr>
          <w:trHeight w:val="1277"/>
        </w:trPr>
        <w:tc>
          <w:tcPr>
            <w:tcW w:w="2376" w:type="dxa"/>
          </w:tcPr>
          <w:p w14:paraId="0CCC5D53" w14:textId="77777777" w:rsidR="00E67F89" w:rsidRPr="00E67F89" w:rsidRDefault="00E67F89" w:rsidP="00E67F89">
            <w:r w:rsidRPr="00E67F89">
              <w:t>Objectifs spécifiques</w:t>
            </w:r>
          </w:p>
        </w:tc>
        <w:tc>
          <w:tcPr>
            <w:tcW w:w="350" w:type="dxa"/>
          </w:tcPr>
          <w:p w14:paraId="1724EC7B" w14:textId="77777777" w:rsidR="00E67F89" w:rsidRPr="00E67F89" w:rsidRDefault="00E67F89" w:rsidP="00E67F89">
            <w:r w:rsidRPr="00E67F89">
              <w:t>:</w:t>
            </w:r>
          </w:p>
        </w:tc>
        <w:tc>
          <w:tcPr>
            <w:tcW w:w="7009" w:type="dxa"/>
          </w:tcPr>
          <w:p w14:paraId="7E90EE6A" w14:textId="77777777" w:rsidR="00E67F89" w:rsidRPr="00E67F89" w:rsidRDefault="00E67F89" w:rsidP="00E67F89">
            <w:r w:rsidRPr="00E67F89">
              <w:t>Faire comprendre le Plan d’urgence considéré aux parties concernées, notamment les travailleurs de l’entreprise, les communautés riveraines et les autorités locales.</w:t>
            </w:r>
          </w:p>
          <w:p w14:paraId="19176081" w14:textId="77777777" w:rsidR="00E67F89" w:rsidRPr="00E67F89" w:rsidRDefault="00E67F89" w:rsidP="00E67F89">
            <w:r w:rsidRPr="00E67F89">
              <w:t>Faire connaître les protocoles à suivre en cas de situation d’urgence.</w:t>
            </w:r>
          </w:p>
        </w:tc>
      </w:tr>
    </w:tbl>
    <w:p w14:paraId="500F7645" w14:textId="77777777" w:rsidR="00E67F89" w:rsidRPr="00E67F89" w:rsidRDefault="00E67F89" w:rsidP="00E67F89">
      <w:r w:rsidRPr="00E67F89">
        <w:t>Paramètres du Plan</w:t>
      </w:r>
    </w:p>
    <w:tbl>
      <w:tblPr>
        <w:tblStyle w:val="TableGrid"/>
        <w:tblW w:w="9747" w:type="dxa"/>
        <w:tblLook w:val="04A0" w:firstRow="1" w:lastRow="0" w:firstColumn="1" w:lastColumn="0" w:noHBand="0" w:noVBand="1"/>
      </w:tblPr>
      <w:tblGrid>
        <w:gridCol w:w="2802"/>
        <w:gridCol w:w="2315"/>
        <w:gridCol w:w="2315"/>
        <w:gridCol w:w="2315"/>
      </w:tblGrid>
      <w:tr w:rsidR="00E67F89" w:rsidRPr="00E67F89" w14:paraId="7AA626DB" w14:textId="77777777" w:rsidTr="00223F64">
        <w:trPr>
          <w:trHeight w:val="860"/>
        </w:trPr>
        <w:tc>
          <w:tcPr>
            <w:tcW w:w="2802" w:type="dxa"/>
            <w:tcBorders>
              <w:tl2br w:val="single" w:sz="4" w:space="0" w:color="auto"/>
            </w:tcBorders>
          </w:tcPr>
          <w:p w14:paraId="7C392621" w14:textId="77777777" w:rsidR="00E67F89" w:rsidRPr="00E67F89" w:rsidRDefault="00E67F89" w:rsidP="00E67F89">
            <w:r w:rsidRPr="00E67F89">
              <w:t>Porteurs d’enjeux (PE)</w:t>
            </w:r>
          </w:p>
          <w:p w14:paraId="3778C3DD" w14:textId="77777777" w:rsidR="00E67F89" w:rsidRPr="00E67F89" w:rsidRDefault="00E67F89" w:rsidP="00E67F89">
            <w:r w:rsidRPr="00E67F89">
              <w:t>Paramètres</w:t>
            </w:r>
          </w:p>
        </w:tc>
        <w:tc>
          <w:tcPr>
            <w:tcW w:w="2315" w:type="dxa"/>
            <w:vAlign w:val="center"/>
          </w:tcPr>
          <w:p w14:paraId="2EFEC323" w14:textId="77777777" w:rsidR="00E67F89" w:rsidRPr="00E67F89" w:rsidRDefault="00E67F89" w:rsidP="00E67F89">
            <w:r w:rsidRPr="00E67F89">
              <w:t>Travailleurs</w:t>
            </w:r>
          </w:p>
        </w:tc>
        <w:tc>
          <w:tcPr>
            <w:tcW w:w="2315" w:type="dxa"/>
            <w:vAlign w:val="center"/>
          </w:tcPr>
          <w:p w14:paraId="7E90E4FC" w14:textId="77777777" w:rsidR="00E67F89" w:rsidRPr="00E67F89" w:rsidRDefault="00E67F89" w:rsidP="00E67F89">
            <w:r w:rsidRPr="00E67F89">
              <w:t>Autorités locales</w:t>
            </w:r>
          </w:p>
        </w:tc>
        <w:tc>
          <w:tcPr>
            <w:tcW w:w="2315" w:type="dxa"/>
            <w:vAlign w:val="center"/>
          </w:tcPr>
          <w:p w14:paraId="17AD9E7F" w14:textId="77777777" w:rsidR="00E67F89" w:rsidRPr="00E67F89" w:rsidRDefault="00E67F89" w:rsidP="00E67F89">
            <w:r w:rsidRPr="00E67F89">
              <w:t>Riverains</w:t>
            </w:r>
          </w:p>
        </w:tc>
      </w:tr>
      <w:tr w:rsidR="00E67F89" w:rsidRPr="00E67F89" w14:paraId="6B84AAE0" w14:textId="77777777" w:rsidTr="00223F64">
        <w:tc>
          <w:tcPr>
            <w:tcW w:w="2802" w:type="dxa"/>
          </w:tcPr>
          <w:p w14:paraId="532D8CA7" w14:textId="77777777" w:rsidR="00E67F89" w:rsidRPr="00E67F89" w:rsidRDefault="00E67F89" w:rsidP="00E67F89">
            <w:r w:rsidRPr="00E67F89">
              <w:t>Croisement des intérêts (Chantier et PE)</w:t>
            </w:r>
          </w:p>
        </w:tc>
        <w:tc>
          <w:tcPr>
            <w:tcW w:w="2315" w:type="dxa"/>
          </w:tcPr>
          <w:p w14:paraId="1579CE7E" w14:textId="77777777" w:rsidR="00E67F89" w:rsidRPr="00E67F89" w:rsidRDefault="00E67F89" w:rsidP="00E67F89">
            <w:r w:rsidRPr="00E67F89">
              <w:t>Préservation des personnes et des biens du chantier</w:t>
            </w:r>
          </w:p>
        </w:tc>
        <w:tc>
          <w:tcPr>
            <w:tcW w:w="2315" w:type="dxa"/>
          </w:tcPr>
          <w:p w14:paraId="7CF379DB" w14:textId="77777777" w:rsidR="00E67F89" w:rsidRPr="00E67F89" w:rsidRDefault="00E67F89" w:rsidP="00E67F89">
            <w:r w:rsidRPr="00E67F89">
              <w:t>Facilitation des interventions en cas d’urgence</w:t>
            </w:r>
          </w:p>
        </w:tc>
        <w:tc>
          <w:tcPr>
            <w:tcW w:w="2315" w:type="dxa"/>
          </w:tcPr>
          <w:p w14:paraId="2396CEB5" w14:textId="77777777" w:rsidR="00E67F89" w:rsidRPr="00E67F89" w:rsidRDefault="00E67F89" w:rsidP="00E67F89">
            <w:r w:rsidRPr="00E67F89">
              <w:t>Surveillance passive</w:t>
            </w:r>
          </w:p>
        </w:tc>
      </w:tr>
      <w:tr w:rsidR="00E67F89" w:rsidRPr="00E67F89" w14:paraId="0D57B492" w14:textId="77777777" w:rsidTr="00223F64">
        <w:tc>
          <w:tcPr>
            <w:tcW w:w="2802" w:type="dxa"/>
          </w:tcPr>
          <w:p w14:paraId="5B9C4B42" w14:textId="77777777" w:rsidR="00E67F89" w:rsidRPr="00E67F89" w:rsidRDefault="00E67F89" w:rsidP="00E67F89">
            <w:r w:rsidRPr="00E67F89">
              <w:t>Messages à faire passer / IEC</w:t>
            </w:r>
          </w:p>
        </w:tc>
        <w:tc>
          <w:tcPr>
            <w:tcW w:w="2315" w:type="dxa"/>
          </w:tcPr>
          <w:p w14:paraId="160014CC" w14:textId="77777777" w:rsidR="00E67F89" w:rsidRPr="00E67F89" w:rsidRDefault="00E67F89" w:rsidP="00E67F89">
            <w:r w:rsidRPr="00E67F89">
              <w:t>En cas d’urgence, chercher à éviter des pertes humaines et à minimiser les pertes de biens</w:t>
            </w:r>
          </w:p>
        </w:tc>
        <w:tc>
          <w:tcPr>
            <w:tcW w:w="2315" w:type="dxa"/>
          </w:tcPr>
          <w:p w14:paraId="1C2A8637" w14:textId="77777777" w:rsidR="00E67F89" w:rsidRPr="00E67F89" w:rsidRDefault="00E67F89" w:rsidP="00E67F89">
            <w:r w:rsidRPr="00E67F89">
              <w:t>Préservons les biens publics dont nous bénéficierons</w:t>
            </w:r>
          </w:p>
        </w:tc>
        <w:tc>
          <w:tcPr>
            <w:tcW w:w="2315" w:type="dxa"/>
          </w:tcPr>
          <w:p w14:paraId="266BB6FC" w14:textId="77777777" w:rsidR="00E67F89" w:rsidRPr="00E67F89" w:rsidRDefault="00E67F89" w:rsidP="00E67F89">
            <w:r w:rsidRPr="00E67F89">
              <w:t>Les routes constituent un des moteurs du développement : il faut les préserver</w:t>
            </w:r>
          </w:p>
        </w:tc>
      </w:tr>
      <w:tr w:rsidR="00E67F89" w:rsidRPr="00E67F89" w14:paraId="464C1743" w14:textId="77777777" w:rsidTr="00223F64">
        <w:tc>
          <w:tcPr>
            <w:tcW w:w="2802" w:type="dxa"/>
          </w:tcPr>
          <w:p w14:paraId="78B70267" w14:textId="77777777" w:rsidR="00E67F89" w:rsidRPr="00E67F89" w:rsidRDefault="00E67F89" w:rsidP="00E67F89">
            <w:r w:rsidRPr="00E67F89">
              <w:t>Canaux</w:t>
            </w:r>
          </w:p>
        </w:tc>
        <w:tc>
          <w:tcPr>
            <w:tcW w:w="2315" w:type="dxa"/>
          </w:tcPr>
          <w:p w14:paraId="1FE4208E" w14:textId="77777777" w:rsidR="00E67F89" w:rsidRPr="00E67F89" w:rsidRDefault="00E67F89" w:rsidP="00E67F89">
            <w:r w:rsidRPr="00E67F89">
              <w:t>15mn HSE hebdomadaires</w:t>
            </w:r>
          </w:p>
          <w:p w14:paraId="0DC1BA3C" w14:textId="77777777" w:rsidR="00E67F89" w:rsidRPr="00E67F89" w:rsidRDefault="00E67F89" w:rsidP="00E67F89">
            <w:r w:rsidRPr="00E67F89">
              <w:t>Focus groups</w:t>
            </w:r>
          </w:p>
        </w:tc>
        <w:tc>
          <w:tcPr>
            <w:tcW w:w="2315" w:type="dxa"/>
          </w:tcPr>
          <w:p w14:paraId="5C1250AF" w14:textId="77777777" w:rsidR="00E67F89" w:rsidRPr="00E67F89" w:rsidRDefault="00E67F89" w:rsidP="00E67F89">
            <w:r w:rsidRPr="00E67F89">
              <w:t>Réunions</w:t>
            </w:r>
          </w:p>
        </w:tc>
        <w:tc>
          <w:tcPr>
            <w:tcW w:w="2315" w:type="dxa"/>
          </w:tcPr>
          <w:p w14:paraId="45AE2EF4" w14:textId="77777777" w:rsidR="00E67F89" w:rsidRPr="00E67F89" w:rsidRDefault="00E67F89" w:rsidP="00E67F89">
            <w:r w:rsidRPr="00E67F89">
              <w:t>Réunions publiques</w:t>
            </w:r>
          </w:p>
        </w:tc>
      </w:tr>
      <w:tr w:rsidR="00E67F89" w:rsidRPr="00E67F89" w14:paraId="096E65B2" w14:textId="77777777" w:rsidTr="00223F64">
        <w:tc>
          <w:tcPr>
            <w:tcW w:w="2802" w:type="dxa"/>
          </w:tcPr>
          <w:p w14:paraId="70255043" w14:textId="77777777" w:rsidR="00E67F89" w:rsidRPr="00E67F89" w:rsidRDefault="00E67F89" w:rsidP="00E67F89">
            <w:r w:rsidRPr="00E67F89">
              <w:t>Outils</w:t>
            </w:r>
          </w:p>
        </w:tc>
        <w:tc>
          <w:tcPr>
            <w:tcW w:w="2315" w:type="dxa"/>
          </w:tcPr>
          <w:p w14:paraId="6284FBE5" w14:textId="77777777" w:rsidR="00E67F89" w:rsidRPr="00E67F89" w:rsidRDefault="00E67F89" w:rsidP="00E67F89">
            <w:r w:rsidRPr="00E67F89">
              <w:t>Affiches</w:t>
            </w:r>
          </w:p>
          <w:p w14:paraId="22C06D37" w14:textId="77777777" w:rsidR="00E67F89" w:rsidRPr="00E67F89" w:rsidRDefault="00E67F89" w:rsidP="00E67F89">
            <w:r w:rsidRPr="00E67F89">
              <w:t>Posters</w:t>
            </w:r>
          </w:p>
        </w:tc>
        <w:tc>
          <w:tcPr>
            <w:tcW w:w="2315" w:type="dxa"/>
          </w:tcPr>
          <w:p w14:paraId="4B2A9578" w14:textId="77777777" w:rsidR="00E67F89" w:rsidRPr="00E67F89" w:rsidRDefault="00E67F89" w:rsidP="00E67F89">
            <w:r w:rsidRPr="00E67F89">
              <w:t xml:space="preserve">Affiches </w:t>
            </w:r>
          </w:p>
        </w:tc>
        <w:tc>
          <w:tcPr>
            <w:tcW w:w="2315" w:type="dxa"/>
          </w:tcPr>
          <w:p w14:paraId="3BB5092A" w14:textId="77777777" w:rsidR="00E67F89" w:rsidRPr="00E67F89" w:rsidRDefault="00E67F89" w:rsidP="00E67F89">
            <w:r w:rsidRPr="00E67F89">
              <w:t>Affiches</w:t>
            </w:r>
          </w:p>
          <w:p w14:paraId="2B2D71AB" w14:textId="77777777" w:rsidR="00E67F89" w:rsidRPr="00E67F89" w:rsidRDefault="00E67F89" w:rsidP="00E67F89">
            <w:r w:rsidRPr="00E67F89">
              <w:t>Posters</w:t>
            </w:r>
          </w:p>
        </w:tc>
      </w:tr>
    </w:tbl>
    <w:p w14:paraId="6B401675" w14:textId="77777777" w:rsidR="00E67F89" w:rsidRPr="00E67F89" w:rsidRDefault="00E67F89" w:rsidP="00E67F89">
      <w:r w:rsidRPr="00E67F89">
        <w:t>Plan de communication</w:t>
      </w:r>
    </w:p>
    <w:tbl>
      <w:tblPr>
        <w:tblStyle w:val="TableGrid"/>
        <w:tblW w:w="9747" w:type="dxa"/>
        <w:tblLook w:val="01E0" w:firstRow="1" w:lastRow="1" w:firstColumn="1" w:lastColumn="1" w:noHBand="0" w:noVBand="0"/>
      </w:tblPr>
      <w:tblGrid>
        <w:gridCol w:w="1367"/>
        <w:gridCol w:w="2293"/>
        <w:gridCol w:w="2260"/>
        <w:gridCol w:w="1701"/>
        <w:gridCol w:w="2126"/>
      </w:tblGrid>
      <w:tr w:rsidR="00E67F89" w:rsidRPr="00E67F89" w14:paraId="74181718" w14:textId="77777777" w:rsidTr="00223F64">
        <w:trPr>
          <w:tblHeader/>
        </w:trPr>
        <w:tc>
          <w:tcPr>
            <w:tcW w:w="0" w:type="auto"/>
          </w:tcPr>
          <w:p w14:paraId="14AA7A92" w14:textId="77777777" w:rsidR="00E67F89" w:rsidRPr="00E67F89" w:rsidRDefault="00E67F89" w:rsidP="00E67F89">
            <w:r w:rsidRPr="00E67F89">
              <w:t>Timing</w:t>
            </w:r>
          </w:p>
        </w:tc>
        <w:tc>
          <w:tcPr>
            <w:tcW w:w="0" w:type="auto"/>
          </w:tcPr>
          <w:p w14:paraId="6B2CF473" w14:textId="77777777" w:rsidR="00E67F89" w:rsidRPr="00E67F89" w:rsidRDefault="00E67F89" w:rsidP="00E67F89">
            <w:r w:rsidRPr="00E67F89">
              <w:t>Activité</w:t>
            </w:r>
          </w:p>
        </w:tc>
        <w:tc>
          <w:tcPr>
            <w:tcW w:w="2260" w:type="dxa"/>
          </w:tcPr>
          <w:p w14:paraId="36AACF92" w14:textId="77777777" w:rsidR="00E67F89" w:rsidRPr="00E67F89" w:rsidRDefault="00E67F89" w:rsidP="00E67F89">
            <w:r w:rsidRPr="00E67F89">
              <w:t xml:space="preserve">Intervenants </w:t>
            </w:r>
          </w:p>
        </w:tc>
        <w:tc>
          <w:tcPr>
            <w:tcW w:w="1701" w:type="dxa"/>
          </w:tcPr>
          <w:p w14:paraId="51E9EE2D" w14:textId="77777777" w:rsidR="00E67F89" w:rsidRPr="00E67F89" w:rsidRDefault="00E67F89" w:rsidP="00E67F89">
            <w:r w:rsidRPr="00E67F89">
              <w:t>Budget (USD)</w:t>
            </w:r>
          </w:p>
        </w:tc>
        <w:tc>
          <w:tcPr>
            <w:tcW w:w="2126" w:type="dxa"/>
          </w:tcPr>
          <w:p w14:paraId="166321E5" w14:textId="77777777" w:rsidR="00E67F89" w:rsidRPr="00E67F89" w:rsidRDefault="00E67F89" w:rsidP="00E67F89">
            <w:r w:rsidRPr="00E67F89">
              <w:t>Objectif</w:t>
            </w:r>
          </w:p>
        </w:tc>
      </w:tr>
      <w:tr w:rsidR="00E67F89" w:rsidRPr="00E67F89" w14:paraId="6787B93B" w14:textId="77777777" w:rsidTr="00223F64">
        <w:tc>
          <w:tcPr>
            <w:tcW w:w="0" w:type="auto"/>
          </w:tcPr>
          <w:p w14:paraId="5B3AE9CE" w14:textId="77777777" w:rsidR="00E67F89" w:rsidRPr="00E67F89" w:rsidRDefault="00E67F89" w:rsidP="00E67F89">
            <w:r w:rsidRPr="00E67F89">
              <w:t>Au démarrage du chantier</w:t>
            </w:r>
          </w:p>
          <w:p w14:paraId="7E2867DD" w14:textId="77777777" w:rsidR="00E67F89" w:rsidRPr="00E67F89" w:rsidRDefault="00E67F89" w:rsidP="00E67F89">
            <w:r w:rsidRPr="00E67F89">
              <w:t>T0</w:t>
            </w:r>
          </w:p>
        </w:tc>
        <w:tc>
          <w:tcPr>
            <w:tcW w:w="0" w:type="auto"/>
          </w:tcPr>
          <w:p w14:paraId="6F2575EE" w14:textId="77777777" w:rsidR="00E67F89" w:rsidRPr="00E67F89" w:rsidRDefault="00E67F89" w:rsidP="00E67F89">
            <w:r w:rsidRPr="00E67F89">
              <w:t xml:space="preserve">Finalisation du Plan de Communication pour le chantier considéré </w:t>
            </w:r>
          </w:p>
          <w:p w14:paraId="0B2A13FD" w14:textId="77777777" w:rsidR="00E67F89" w:rsidRPr="00E67F89" w:rsidRDefault="00E67F89" w:rsidP="00E67F89">
            <w:r w:rsidRPr="00E67F89">
              <w:t>Préparation des outils</w:t>
            </w:r>
          </w:p>
        </w:tc>
        <w:tc>
          <w:tcPr>
            <w:tcW w:w="2260" w:type="dxa"/>
          </w:tcPr>
          <w:p w14:paraId="684D935F" w14:textId="77777777" w:rsidR="00E67F89" w:rsidRPr="00E67F89" w:rsidRDefault="00E67F89" w:rsidP="00E67F89">
            <w:r w:rsidRPr="00E67F89">
              <w:t>Responsable Gestion des risques environnementaux &amp; sociaux de l’UCP</w:t>
            </w:r>
          </w:p>
        </w:tc>
        <w:tc>
          <w:tcPr>
            <w:tcW w:w="1701" w:type="dxa"/>
          </w:tcPr>
          <w:p w14:paraId="031B81C7" w14:textId="77777777" w:rsidR="00E67F89" w:rsidRPr="00E67F89" w:rsidRDefault="00E67F89" w:rsidP="00E67F89">
            <w:r w:rsidRPr="00E67F89">
              <w:t>Affiches :</w:t>
            </w:r>
          </w:p>
          <w:p w14:paraId="514E4FBC" w14:textId="77777777" w:rsidR="00E67F89" w:rsidRPr="00E67F89" w:rsidRDefault="00E67F89" w:rsidP="00E67F89">
            <w:r w:rsidRPr="00E67F89">
              <w:t>Nb : 100</w:t>
            </w:r>
          </w:p>
          <w:p w14:paraId="4455D217" w14:textId="77777777" w:rsidR="00E67F89" w:rsidRPr="00E67F89" w:rsidRDefault="00E67F89" w:rsidP="00E67F89">
            <w:r w:rsidRPr="00E67F89">
              <w:t>PU : 15</w:t>
            </w:r>
          </w:p>
          <w:p w14:paraId="2B699153" w14:textId="77777777" w:rsidR="00E67F89" w:rsidRPr="00E67F89" w:rsidRDefault="00E67F89" w:rsidP="00E67F89">
            <w:r w:rsidRPr="00E67F89">
              <w:t>Edition : 1,500</w:t>
            </w:r>
          </w:p>
          <w:p w14:paraId="0BF8F63F" w14:textId="77777777" w:rsidR="00E67F89" w:rsidRPr="00E67F89" w:rsidRDefault="00E67F89" w:rsidP="00E67F89">
            <w:r w:rsidRPr="00E67F89">
              <w:t>Posters :</w:t>
            </w:r>
          </w:p>
          <w:p w14:paraId="690B813D" w14:textId="77777777" w:rsidR="00E67F89" w:rsidRPr="00E67F89" w:rsidRDefault="00E67F89" w:rsidP="00E67F89">
            <w:r w:rsidRPr="00E67F89">
              <w:t>Nb : 100</w:t>
            </w:r>
          </w:p>
          <w:p w14:paraId="7969DD65" w14:textId="77777777" w:rsidR="00E67F89" w:rsidRPr="00E67F89" w:rsidRDefault="00E67F89" w:rsidP="00E67F89">
            <w:r w:rsidRPr="00E67F89">
              <w:t>PU : 15</w:t>
            </w:r>
          </w:p>
          <w:p w14:paraId="6D5F5C88" w14:textId="77777777" w:rsidR="00E67F89" w:rsidRPr="00E67F89" w:rsidRDefault="00E67F89" w:rsidP="00E67F89">
            <w:r w:rsidRPr="00E67F89">
              <w:t>Edition : 1,500</w:t>
            </w:r>
          </w:p>
          <w:p w14:paraId="7E6DBC85" w14:textId="77777777" w:rsidR="00E67F89" w:rsidRPr="00E67F89" w:rsidRDefault="00E67F89" w:rsidP="00E67F89">
            <w:r w:rsidRPr="00E67F89">
              <w:lastRenderedPageBreak/>
              <w:t>Total : 3,000</w:t>
            </w:r>
          </w:p>
        </w:tc>
        <w:tc>
          <w:tcPr>
            <w:tcW w:w="2126" w:type="dxa"/>
          </w:tcPr>
          <w:p w14:paraId="52E648E7" w14:textId="77777777" w:rsidR="00E67F89" w:rsidRPr="00E67F89" w:rsidRDefault="00E67F89" w:rsidP="00E67F89">
            <w:r w:rsidRPr="00E67F89">
              <w:lastRenderedPageBreak/>
              <w:t>Les outils sont identifiés et le Plan d’action est prêt</w:t>
            </w:r>
          </w:p>
        </w:tc>
      </w:tr>
      <w:tr w:rsidR="00E67F89" w:rsidRPr="00E67F89" w14:paraId="44753A11" w14:textId="77777777" w:rsidTr="00223F64">
        <w:trPr>
          <w:trHeight w:val="1186"/>
        </w:trPr>
        <w:tc>
          <w:tcPr>
            <w:tcW w:w="0" w:type="auto"/>
          </w:tcPr>
          <w:p w14:paraId="5CD9FB2D" w14:textId="77777777" w:rsidR="00E67F89" w:rsidRPr="00E67F89" w:rsidRDefault="00E67F89" w:rsidP="00E67F89">
            <w:r w:rsidRPr="00E67F89">
              <w:t>Entre T0 et 1 mois</w:t>
            </w:r>
          </w:p>
        </w:tc>
        <w:tc>
          <w:tcPr>
            <w:tcW w:w="0" w:type="auto"/>
          </w:tcPr>
          <w:p w14:paraId="3185D905" w14:textId="77777777" w:rsidR="00E67F89" w:rsidRPr="00E67F89" w:rsidRDefault="00E67F89" w:rsidP="00E67F89">
            <w:r w:rsidRPr="00E67F89">
              <w:t>Communications avec les Collectivités concernées</w:t>
            </w:r>
          </w:p>
        </w:tc>
        <w:tc>
          <w:tcPr>
            <w:tcW w:w="2260" w:type="dxa"/>
          </w:tcPr>
          <w:p w14:paraId="76E36F54" w14:textId="77777777" w:rsidR="00E67F89" w:rsidRPr="00E67F89" w:rsidRDefault="00E67F89" w:rsidP="00E67F89">
            <w:r w:rsidRPr="00E67F89">
              <w:t>Responsable Gestion des risques environnementaux &amp; sociaux de l’UCP</w:t>
            </w:r>
          </w:p>
        </w:tc>
        <w:tc>
          <w:tcPr>
            <w:tcW w:w="1701" w:type="dxa"/>
          </w:tcPr>
          <w:p w14:paraId="0E32D38B" w14:textId="77777777" w:rsidR="00E67F89" w:rsidRPr="00E67F89" w:rsidRDefault="00E67F89" w:rsidP="00E67F89">
            <w:r w:rsidRPr="00E67F89">
              <w:t>pm</w:t>
            </w:r>
          </w:p>
        </w:tc>
        <w:tc>
          <w:tcPr>
            <w:tcW w:w="2126" w:type="dxa"/>
          </w:tcPr>
          <w:p w14:paraId="4EEA2FDF" w14:textId="77777777" w:rsidR="00E67F89" w:rsidRPr="00E67F89" w:rsidRDefault="00E67F89" w:rsidP="00E67F89">
            <w:r w:rsidRPr="00E67F89">
              <w:t>La collaboration des autorités est obtenue</w:t>
            </w:r>
          </w:p>
          <w:p w14:paraId="093B5695" w14:textId="77777777" w:rsidR="00E67F89" w:rsidRPr="00E67F89" w:rsidRDefault="00E67F89" w:rsidP="00E67F89">
            <w:r w:rsidRPr="00E67F89">
              <w:t>Les affiches et les posters sont apposés</w:t>
            </w:r>
          </w:p>
        </w:tc>
      </w:tr>
      <w:tr w:rsidR="00E67F89" w:rsidRPr="00E67F89" w14:paraId="41D3663E" w14:textId="77777777" w:rsidTr="00223F64">
        <w:trPr>
          <w:trHeight w:val="1724"/>
        </w:trPr>
        <w:tc>
          <w:tcPr>
            <w:tcW w:w="0" w:type="auto"/>
          </w:tcPr>
          <w:p w14:paraId="604170E5" w14:textId="77777777" w:rsidR="00E67F89" w:rsidRPr="00E67F89" w:rsidRDefault="00E67F89" w:rsidP="00E67F89">
            <w:r w:rsidRPr="00E67F89">
              <w:t>Tous les mois</w:t>
            </w:r>
          </w:p>
        </w:tc>
        <w:tc>
          <w:tcPr>
            <w:tcW w:w="0" w:type="auto"/>
          </w:tcPr>
          <w:p w14:paraId="4994EF69" w14:textId="77777777" w:rsidR="00E67F89" w:rsidRPr="00E67F89" w:rsidRDefault="00E67F89" w:rsidP="00E67F89">
            <w:r w:rsidRPr="00E67F89">
              <w:t>Sensibilisation des travailleurs</w:t>
            </w:r>
          </w:p>
          <w:p w14:paraId="71B17066" w14:textId="77777777" w:rsidR="00E67F89" w:rsidRPr="00E67F89" w:rsidRDefault="00E67F89" w:rsidP="00E67F89">
            <w:r w:rsidRPr="00E67F89">
              <w:t>Publication des informations sur le point 1 ci-dessus</w:t>
            </w:r>
          </w:p>
        </w:tc>
        <w:tc>
          <w:tcPr>
            <w:tcW w:w="2260" w:type="dxa"/>
          </w:tcPr>
          <w:p w14:paraId="3F31F06A" w14:textId="77777777" w:rsidR="00E67F89" w:rsidRPr="00E67F89" w:rsidRDefault="00E67F89" w:rsidP="00E67F89">
            <w:r w:rsidRPr="00E67F89">
              <w:t>Responsable Gestion des risques environnementaux &amp; sociaux de l’UCP</w:t>
            </w:r>
          </w:p>
          <w:p w14:paraId="79E0F9FB" w14:textId="77777777" w:rsidR="00E67F89" w:rsidRPr="00E67F89" w:rsidRDefault="00E67F89" w:rsidP="00E67F89">
            <w:r w:rsidRPr="00E67F89">
              <w:t>Responsables techniques</w:t>
            </w:r>
          </w:p>
        </w:tc>
        <w:tc>
          <w:tcPr>
            <w:tcW w:w="1701" w:type="dxa"/>
          </w:tcPr>
          <w:p w14:paraId="46E30C77" w14:textId="77777777" w:rsidR="00E67F89" w:rsidRPr="00E67F89" w:rsidRDefault="00E67F89" w:rsidP="00E67F89">
            <w:r w:rsidRPr="00E67F89">
              <w:t>pm</w:t>
            </w:r>
          </w:p>
        </w:tc>
        <w:tc>
          <w:tcPr>
            <w:tcW w:w="2126" w:type="dxa"/>
          </w:tcPr>
          <w:p w14:paraId="0F621BDB" w14:textId="77777777" w:rsidR="00E67F89" w:rsidRPr="00E67F89" w:rsidRDefault="00E67F89" w:rsidP="00E67F89">
            <w:r w:rsidRPr="00E67F89">
              <w:t>Le protocole à suivre est compris par les travailleurs</w:t>
            </w:r>
          </w:p>
        </w:tc>
      </w:tr>
      <w:tr w:rsidR="00E67F89" w:rsidRPr="00E67F89" w14:paraId="771CF2A8" w14:textId="77777777" w:rsidTr="00223F64">
        <w:trPr>
          <w:trHeight w:val="1251"/>
        </w:trPr>
        <w:tc>
          <w:tcPr>
            <w:tcW w:w="0" w:type="auto"/>
          </w:tcPr>
          <w:p w14:paraId="66062F83" w14:textId="77777777" w:rsidR="00E67F89" w:rsidRPr="00E67F89" w:rsidRDefault="00E67F89" w:rsidP="00E67F89">
            <w:r w:rsidRPr="00E67F89">
              <w:t>Tous les 4 mois</w:t>
            </w:r>
          </w:p>
        </w:tc>
        <w:tc>
          <w:tcPr>
            <w:tcW w:w="0" w:type="auto"/>
          </w:tcPr>
          <w:p w14:paraId="1659B060" w14:textId="77777777" w:rsidR="00E67F89" w:rsidRPr="00E67F89" w:rsidRDefault="00E67F89" w:rsidP="00E67F89">
            <w:r w:rsidRPr="00E67F89">
              <w:t>Simulation de cas d’urgence</w:t>
            </w:r>
          </w:p>
        </w:tc>
        <w:tc>
          <w:tcPr>
            <w:tcW w:w="2260" w:type="dxa"/>
          </w:tcPr>
          <w:p w14:paraId="09D0090D" w14:textId="77777777" w:rsidR="00E67F89" w:rsidRPr="00E67F89" w:rsidRDefault="00E67F89" w:rsidP="00E67F89">
            <w:r w:rsidRPr="00E67F89">
              <w:t>Tout le personnel du chantier</w:t>
            </w:r>
          </w:p>
        </w:tc>
        <w:tc>
          <w:tcPr>
            <w:tcW w:w="1701" w:type="dxa"/>
          </w:tcPr>
          <w:p w14:paraId="0CF7F7B7" w14:textId="77777777" w:rsidR="00E67F89" w:rsidRPr="00E67F89" w:rsidRDefault="00E67F89" w:rsidP="00E67F89">
            <w:r w:rsidRPr="00E67F89">
              <w:t>pm</w:t>
            </w:r>
          </w:p>
        </w:tc>
        <w:tc>
          <w:tcPr>
            <w:tcW w:w="2126" w:type="dxa"/>
          </w:tcPr>
          <w:p w14:paraId="1FE6DF9B" w14:textId="77777777" w:rsidR="00E67F89" w:rsidRPr="00E67F89" w:rsidRDefault="00E67F89" w:rsidP="00E67F89">
            <w:r w:rsidRPr="00E67F89">
              <w:t>Les protocoles en cas d’urgence à suivre deviennent un réflexe chez les travailleurs</w:t>
            </w:r>
          </w:p>
        </w:tc>
      </w:tr>
    </w:tbl>
    <w:p w14:paraId="2C95FD76" w14:textId="77777777" w:rsidR="00E67F89" w:rsidRPr="00E67F89" w:rsidRDefault="00E67F89" w:rsidP="00E67F89">
      <w:r w:rsidRPr="00E67F89">
        <w:t>Note : Les imprévus du budget du CGES peuvent couvrir le budget de ce Plan.</w:t>
      </w:r>
    </w:p>
    <w:p w14:paraId="11295709" w14:textId="77777777" w:rsidR="00E67F89" w:rsidRPr="00E67F89" w:rsidRDefault="00E67F89" w:rsidP="00E67F89"/>
    <w:p w14:paraId="79FCAC76" w14:textId="77777777" w:rsidR="00E67F89" w:rsidRPr="00E67F89" w:rsidRDefault="00E67F89" w:rsidP="00E67F89">
      <w:pPr>
        <w:sectPr w:rsidR="00E67F89" w:rsidRPr="00E67F89" w:rsidSect="00D42025">
          <w:pgSz w:w="11906" w:h="16838"/>
          <w:pgMar w:top="1134" w:right="1134" w:bottom="1134" w:left="1418" w:header="708" w:footer="708" w:gutter="0"/>
          <w:pgNumType w:fmt="upperRoman"/>
          <w:cols w:space="708"/>
          <w:docGrid w:linePitch="360"/>
        </w:sectPr>
      </w:pPr>
    </w:p>
    <w:p w14:paraId="6D7133E9" w14:textId="77777777" w:rsidR="00E67F89" w:rsidRPr="00E67F89" w:rsidRDefault="00E67F89" w:rsidP="00E67F89">
      <w:bookmarkStart w:id="965" w:name="_Toc13692310"/>
      <w:bookmarkStart w:id="966" w:name="_Toc72015675"/>
      <w:bookmarkStart w:id="967" w:name="_Toc138414184"/>
      <w:bookmarkStart w:id="968" w:name="_Toc230426127"/>
      <w:r w:rsidRPr="00E67F89">
        <w:lastRenderedPageBreak/>
        <w:t xml:space="preserve">Annexe </w:t>
      </w:r>
      <w:r w:rsidRPr="00E67F89">
        <w:fldChar w:fldCharType="begin"/>
      </w:r>
      <w:r w:rsidRPr="00E67F89">
        <w:instrText xml:space="preserve"> SEQ Annexe \* ARABIC </w:instrText>
      </w:r>
      <w:r w:rsidRPr="00E67F89">
        <w:fldChar w:fldCharType="separate"/>
      </w:r>
      <w:r w:rsidRPr="00E67F89">
        <w:t>22</w:t>
      </w:r>
      <w:r w:rsidRPr="00E67F89">
        <w:fldChar w:fldCharType="end"/>
      </w:r>
      <w:r w:rsidRPr="00E67F89">
        <w:t> : Bases d’un Plan de remise en état des sites</w:t>
      </w:r>
      <w:bookmarkEnd w:id="965"/>
      <w:bookmarkEnd w:id="966"/>
      <w:bookmarkEnd w:id="967"/>
      <w:bookmarkEnd w:id="968"/>
    </w:p>
    <w:p w14:paraId="2AE15407" w14:textId="77777777" w:rsidR="00E67F89" w:rsidRPr="00E67F89" w:rsidRDefault="00E67F89" w:rsidP="00E67F89"/>
    <w:p w14:paraId="2161570D" w14:textId="77777777" w:rsidR="00E67F89" w:rsidRPr="00E67F89" w:rsidRDefault="00E67F89" w:rsidP="00E67F89">
      <w:r w:rsidRPr="00E67F89">
        <w:t>A la fin des travaux d’aménagement, toutes les zones exploitées pour les besoins des travaux seront restaurées par l’Entreprise. A cet effet, l’Entreprise des travaux préparer un Plan de réhabilitation des sites (PRS).</w:t>
      </w:r>
    </w:p>
    <w:p w14:paraId="2E5564A4" w14:textId="77777777" w:rsidR="00E67F89" w:rsidRPr="00E67F89" w:rsidRDefault="00E67F89" w:rsidP="00E67F89">
      <w:r w:rsidRPr="00E67F89">
        <w:t>Les différentes zones concernées (p.ex. installation de chantier, zones de dépôt et de stockage, voies d'accès provisoires, …) doivent être restaurées à leur profil naturel lorsque cela est possible. Le reprofilage au niveau naturel doit être effectué sans affecter les terrains adjacents. La zone doit être suffisamment compactée pour minimiser les phénomènes d'érosion ou de tassement ultérieur. Le drainage naturel doit être restauré et, dans les zones d'érosion potentiellement élevée (pentes supérieures à 10%), des méthodes de stabilisation doivent être utilisées pour assurer que le sol ne sera pas emporté avant d'être consolidé. Si des zones ont été compactées pendant l'utilisation, elles doivent être scarifiées pour ameublir le sol.</w:t>
      </w:r>
    </w:p>
    <w:p w14:paraId="1D02B608" w14:textId="77777777" w:rsidR="00E67F89" w:rsidRPr="00E67F89" w:rsidRDefault="00E67F89" w:rsidP="00E67F89">
      <w:r w:rsidRPr="00E67F89">
        <w:t>Toutes les zones qui ne sont pas au droit d’installations permanentes doivent être restaurées à une qualité de sol égale à celle d'avant les aménagements, pour permettre une revégétalisation naturelle ou artificielle. La terre arable doit être étalée sur les zones remises à niveau.</w:t>
      </w:r>
    </w:p>
    <w:p w14:paraId="0C0E0B34" w14:textId="77777777" w:rsidR="00E67F89" w:rsidRPr="00E67F89" w:rsidRDefault="00E67F89" w:rsidP="00E67F89">
      <w:r w:rsidRPr="00E67F89">
        <w:t>La végétalisation des grandes étendues (supérieure à 0.5ha) doit être envisagée. La technique recommandée pour le projet est la plantation par « poquets » en début de saison des pluies. La plantation par “poquets” est une plantation de jeunes repousses ou de petites touffes enracinées qui permet d’intervenir manuellement sur des zones à forte pente, là où le semis manuel a du mal à être utilisé. Cette opération pourra être faite avec les populations locales encadrées par un sous-traitant spécialisé.</w:t>
      </w:r>
    </w:p>
    <w:p w14:paraId="11D08982" w14:textId="77777777" w:rsidR="00E67F89" w:rsidRPr="00E67F89" w:rsidRDefault="00E67F89" w:rsidP="00E67F89"/>
    <w:p w14:paraId="0837FBE0" w14:textId="77777777" w:rsidR="00E67F89" w:rsidRPr="00E67F89" w:rsidRDefault="00E67F89" w:rsidP="00E67F89">
      <w:r w:rsidRPr="00E67F89">
        <w:br w:type="page"/>
      </w:r>
    </w:p>
    <w:p w14:paraId="66C663F7" w14:textId="77777777" w:rsidR="00E67F89" w:rsidRPr="00E67F89" w:rsidRDefault="00E67F89" w:rsidP="00E67F89">
      <w:bookmarkStart w:id="969" w:name="_Toc72015676"/>
      <w:bookmarkStart w:id="970" w:name="_Toc138414185"/>
      <w:bookmarkStart w:id="971" w:name="_Toc230426128"/>
      <w:r w:rsidRPr="00E67F89">
        <w:lastRenderedPageBreak/>
        <w:t xml:space="preserve">Annexe </w:t>
      </w:r>
      <w:r w:rsidRPr="00E67F89">
        <w:fldChar w:fldCharType="begin"/>
      </w:r>
      <w:r w:rsidRPr="00E67F89">
        <w:instrText xml:space="preserve"> SEQ Annexe \* ARABIC </w:instrText>
      </w:r>
      <w:r w:rsidRPr="00E67F89">
        <w:fldChar w:fldCharType="separate"/>
      </w:r>
      <w:r w:rsidRPr="00E67F89">
        <w:t>23</w:t>
      </w:r>
      <w:r w:rsidRPr="00E67F89">
        <w:fldChar w:fldCharType="end"/>
      </w:r>
      <w:r w:rsidRPr="00E67F89">
        <w:t> : Plan de prévention et de lutte contre le Covid-19</w:t>
      </w:r>
      <w:bookmarkEnd w:id="969"/>
      <w:r w:rsidRPr="00E67F89">
        <w:t xml:space="preserve"> dans le cas d’une nouvelle vague</w:t>
      </w:r>
      <w:bookmarkEnd w:id="970"/>
      <w:bookmarkEnd w:id="971"/>
    </w:p>
    <w:p w14:paraId="63F5DF48" w14:textId="77777777" w:rsidR="00E67F89" w:rsidRPr="00E67F89" w:rsidRDefault="00E67F89" w:rsidP="00E67F89">
      <w:r w:rsidRPr="00E67F89">
        <w:t>Ce document englobe les mesures de prévention contre le COVID-19 pour assurer la maîtrise de cette épidémie durant le projet.</w:t>
      </w:r>
    </w:p>
    <w:p w14:paraId="6A83C437" w14:textId="77777777" w:rsidR="00E67F89" w:rsidRPr="00E67F89" w:rsidRDefault="00E67F89" w:rsidP="00E67F89">
      <w:r w:rsidRPr="00E67F89">
        <w:t>Il est à noter que l’entreprise entamera des sensibilisations pour que les employés présents sur site respectent l’hygiène. Ainsi, des mesures de prévention seront discutées avec les employés :</w:t>
      </w:r>
    </w:p>
    <w:p w14:paraId="5C0B63DF" w14:textId="77777777" w:rsidR="00E67F89" w:rsidRPr="00E67F89" w:rsidRDefault="00E67F89" w:rsidP="00E67F89">
      <w:r w:rsidRPr="00E67F89">
        <w:t>Construction d’un village de confinement qui peut héberger un nombre suffisant de personnes (effectif estimé par l’entreprise) pour assurer la continuation des travaux en cas de confinement de la Région.</w:t>
      </w:r>
    </w:p>
    <w:p w14:paraId="3C033F73" w14:textId="77777777" w:rsidR="00E67F89" w:rsidRPr="00E67F89" w:rsidRDefault="00E67F89" w:rsidP="00E67F89">
      <w:r w:rsidRPr="00E67F89">
        <w:t>Lavage des mains à chaque début de travail et avant de quitter le site de travail. Un dispositif de lavage de main avec de savon sera disponible à l’entrée de chaque zone à risque (Bureau, chantier ; salle de réunion, etc...)</w:t>
      </w:r>
    </w:p>
    <w:p w14:paraId="63A5E5A8" w14:textId="77777777" w:rsidR="00E67F89" w:rsidRPr="00E67F89" w:rsidRDefault="00E67F89" w:rsidP="00E67F89">
      <w:r w:rsidRPr="00E67F89">
        <w:t>Utilisation des gels désinfectants au niveau des bureaux.</w:t>
      </w:r>
    </w:p>
    <w:p w14:paraId="6E6857CA" w14:textId="77777777" w:rsidR="00E67F89" w:rsidRPr="00E67F89" w:rsidRDefault="00E67F89" w:rsidP="00E67F89">
      <w:r w:rsidRPr="00E67F89">
        <w:t>Utilisation des masques (cache bouche) pour tous les employés).</w:t>
      </w:r>
    </w:p>
    <w:p w14:paraId="33FCC098" w14:textId="77777777" w:rsidR="00E67F89" w:rsidRPr="00E67F89" w:rsidRDefault="00E67F89" w:rsidP="00E67F89">
      <w:r w:rsidRPr="00E67F89">
        <w:t>Prise de température par utilisation des thermomètres frontales pour les visiteurs et employés visitant les bureaux.</w:t>
      </w:r>
    </w:p>
    <w:p w14:paraId="02754364" w14:textId="77777777" w:rsidR="00E67F89" w:rsidRPr="00E67F89" w:rsidRDefault="00E67F89" w:rsidP="00E67F89">
      <w:r w:rsidRPr="00E67F89">
        <w:t>Cependant, suivant les directives et la note intérimaire relative au CES/SAUVEGARDES stipulant la prise en compte du COVID-19 dans les projets de construction, des actions seront à mener par l’entreprise pour maîtriser la pandémie du Covid-19.</w:t>
      </w:r>
    </w:p>
    <w:p w14:paraId="67A70155" w14:textId="77777777" w:rsidR="00E67F89" w:rsidRPr="00E67F89" w:rsidRDefault="00E67F89" w:rsidP="00E67F89">
      <w:bookmarkStart w:id="972" w:name="_Toc71990282"/>
      <w:r w:rsidRPr="00E67F89">
        <w:t>CELLULE DE VEILLE SANITAIRE</w:t>
      </w:r>
      <w:bookmarkEnd w:id="972"/>
    </w:p>
    <w:p w14:paraId="0CEB07F4" w14:textId="77777777" w:rsidR="00E67F89" w:rsidRPr="00E67F89" w:rsidRDefault="00E67F89" w:rsidP="00E67F89">
      <w:r w:rsidRPr="00E67F89">
        <w:t>Une cellule de veille sanitaire sera créée au sein de l’entreprise avec la participation des services médicaux du CSB2 de la zone.</w:t>
      </w:r>
    </w:p>
    <w:p w14:paraId="2F9CDF9A" w14:textId="77777777" w:rsidR="00E67F89" w:rsidRPr="00E67F89" w:rsidRDefault="00E67F89" w:rsidP="00E67F89">
      <w:bookmarkStart w:id="973" w:name="_Toc71990283"/>
      <w:r w:rsidRPr="00E67F89">
        <w:t>Activités attendues</w:t>
      </w:r>
      <w:bookmarkEnd w:id="973"/>
    </w:p>
    <w:p w14:paraId="303AE71F" w14:textId="77777777" w:rsidR="00E67F89" w:rsidRPr="00E67F89" w:rsidRDefault="00E67F89" w:rsidP="00E67F89">
      <w:r w:rsidRPr="00E67F89">
        <w:t>Cette cellule va gérer les activités suivantes :</w:t>
      </w:r>
    </w:p>
    <w:p w14:paraId="5EC1515F" w14:textId="77777777" w:rsidR="00E67F89" w:rsidRPr="00E67F89" w:rsidRDefault="00E67F89" w:rsidP="00E67F89">
      <w:r w:rsidRPr="00E67F89">
        <w:t xml:space="preserve">La maîtrise de la communication avec les tiers, </w:t>
      </w:r>
    </w:p>
    <w:p w14:paraId="395BA3CC" w14:textId="77777777" w:rsidR="00E67F89" w:rsidRPr="00E67F89" w:rsidRDefault="00E67F89" w:rsidP="00E67F89">
      <w:r w:rsidRPr="00E67F89">
        <w:t>La prise de décision efficace par rapport à l’évolution de la pandémie,</w:t>
      </w:r>
    </w:p>
    <w:p w14:paraId="0BA78D5F" w14:textId="77777777" w:rsidR="00E67F89" w:rsidRPr="00E67F89" w:rsidRDefault="00E67F89" w:rsidP="00E67F89">
      <w:r w:rsidRPr="00E67F89">
        <w:t xml:space="preserve">La mise en connaissance des employés sur la situation du COVID-19 dans la Région </w:t>
      </w:r>
    </w:p>
    <w:p w14:paraId="35E73B32" w14:textId="77777777" w:rsidR="00E67F89" w:rsidRPr="00E67F89" w:rsidRDefault="00E67F89" w:rsidP="00E67F89">
      <w:r w:rsidRPr="00E67F89">
        <w:t>Rapportage des informations liées au COVID-19 de l’entreprise.</w:t>
      </w:r>
    </w:p>
    <w:p w14:paraId="02D6C429" w14:textId="77777777" w:rsidR="00E67F89" w:rsidRPr="00E67F89" w:rsidRDefault="00E67F89" w:rsidP="00E67F89">
      <w:bookmarkStart w:id="974" w:name="_Toc71990284"/>
      <w:r w:rsidRPr="00E67F89">
        <w:t>Membre de la cellule de veille sanitaire</w:t>
      </w:r>
      <w:bookmarkEnd w:id="974"/>
    </w:p>
    <w:p w14:paraId="043007F4" w14:textId="77777777" w:rsidR="00E67F89" w:rsidRPr="00E67F89" w:rsidRDefault="00E67F89" w:rsidP="00E67F89">
      <w:r w:rsidRPr="00E67F89">
        <w:t>A titre indicatif, les membres qui vont assurer l’application et la mise en œuvre de cette cellule font parties des éléments clés de l’entreprise et les entités concernées :</w:t>
      </w:r>
    </w:p>
    <w:p w14:paraId="41ADD1D1" w14:textId="77777777" w:rsidR="00E67F89" w:rsidRPr="00E67F89" w:rsidRDefault="00E67F89" w:rsidP="00E67F89">
      <w:r w:rsidRPr="00E67F89">
        <w:t>Le Directeur de Chantier de l’entreprise</w:t>
      </w:r>
    </w:p>
    <w:p w14:paraId="445715E9" w14:textId="77777777" w:rsidR="00E67F89" w:rsidRPr="00E67F89" w:rsidRDefault="00E67F89" w:rsidP="00E67F89">
      <w:r w:rsidRPr="00E67F89">
        <w:t>Les Responsables : HS, Environnemental, Social de l’entrepise</w:t>
      </w:r>
    </w:p>
    <w:p w14:paraId="5BF051C7" w14:textId="77777777" w:rsidR="00E67F89" w:rsidRPr="00E67F89" w:rsidRDefault="00E67F89" w:rsidP="00E67F89">
      <w:r w:rsidRPr="00E67F89">
        <w:t>Le Responsable des services médicaux de l’entreprise et du CSB2 de la zone</w:t>
      </w:r>
    </w:p>
    <w:p w14:paraId="2D7E19BC" w14:textId="77777777" w:rsidR="00E67F89" w:rsidRPr="00E67F89" w:rsidRDefault="00E67F89" w:rsidP="00E67F89">
      <w:r w:rsidRPr="00E67F89">
        <w:lastRenderedPageBreak/>
        <w:t>Le Responsable HSSE de la MOET</w:t>
      </w:r>
    </w:p>
    <w:p w14:paraId="59ADFDFD" w14:textId="77777777" w:rsidR="00E67F89" w:rsidRPr="00E67F89" w:rsidRDefault="00E67F89" w:rsidP="00E67F89"/>
    <w:p w14:paraId="02F5B1B3" w14:textId="77777777" w:rsidR="00E67F89" w:rsidRPr="00E67F89" w:rsidRDefault="00E67F89" w:rsidP="00E67F89"/>
    <w:p w14:paraId="26AECAE3" w14:textId="77777777" w:rsidR="00E67F89" w:rsidRPr="00E67F89" w:rsidRDefault="00E67F89" w:rsidP="00E67F89">
      <w:pPr>
        <w:sectPr w:rsidR="00E67F89" w:rsidRPr="00E67F89" w:rsidSect="00D42025">
          <w:pgSz w:w="11906" w:h="16838"/>
          <w:pgMar w:top="1418" w:right="1134" w:bottom="1134" w:left="1418" w:header="708" w:footer="708" w:gutter="0"/>
          <w:pgNumType w:fmt="upperRoman"/>
          <w:cols w:space="708"/>
          <w:docGrid w:linePitch="360"/>
        </w:sectPr>
      </w:pPr>
    </w:p>
    <w:p w14:paraId="1AAA3C6A" w14:textId="77777777" w:rsidR="00E67F89" w:rsidRPr="00E67F89" w:rsidRDefault="00E67F89" w:rsidP="00E67F89">
      <w:bookmarkStart w:id="975" w:name="_Toc71990285"/>
      <w:r w:rsidRPr="00E67F89">
        <w:lastRenderedPageBreak/>
        <w:t>MESURES DE MITIGATION VIS-A-VIS DE LA PANDEMIE</w:t>
      </w:r>
      <w:bookmarkEnd w:id="975"/>
    </w:p>
    <w:tbl>
      <w:tblPr>
        <w:tblStyle w:val="TableGrid"/>
        <w:tblW w:w="0" w:type="auto"/>
        <w:tblLook w:val="04A0" w:firstRow="1" w:lastRow="0" w:firstColumn="1" w:lastColumn="0" w:noHBand="0" w:noVBand="1"/>
      </w:tblPr>
      <w:tblGrid>
        <w:gridCol w:w="2563"/>
        <w:gridCol w:w="5030"/>
        <w:gridCol w:w="2601"/>
      </w:tblGrid>
      <w:tr w:rsidR="00E67F89" w:rsidRPr="00E67F89" w14:paraId="01CA9F71" w14:textId="77777777" w:rsidTr="00223F64">
        <w:trPr>
          <w:tblHeader/>
        </w:trPr>
        <w:tc>
          <w:tcPr>
            <w:tcW w:w="0" w:type="auto"/>
            <w:tcBorders>
              <w:top w:val="single" w:sz="4" w:space="0" w:color="auto"/>
            </w:tcBorders>
            <w:shd w:val="clear" w:color="auto" w:fill="E2EFD9" w:themeFill="accent6" w:themeFillTint="33"/>
          </w:tcPr>
          <w:p w14:paraId="0FDC5FBD" w14:textId="77777777" w:rsidR="00E67F89" w:rsidRPr="00E67F89" w:rsidRDefault="00E67F89" w:rsidP="00E67F89">
            <w:r w:rsidRPr="00E67F89">
              <w:t>INSTRUCTIONS</w:t>
            </w:r>
          </w:p>
        </w:tc>
        <w:tc>
          <w:tcPr>
            <w:tcW w:w="5388" w:type="dxa"/>
            <w:tcBorders>
              <w:top w:val="single" w:sz="4" w:space="0" w:color="auto"/>
            </w:tcBorders>
            <w:shd w:val="clear" w:color="auto" w:fill="E2EFD9" w:themeFill="accent6" w:themeFillTint="33"/>
          </w:tcPr>
          <w:p w14:paraId="1451961A" w14:textId="77777777" w:rsidR="00E67F89" w:rsidRPr="00E67F89" w:rsidRDefault="00E67F89" w:rsidP="00E67F89">
            <w:r w:rsidRPr="00E67F89">
              <w:t>MESURES A PRENDRE</w:t>
            </w:r>
          </w:p>
        </w:tc>
        <w:tc>
          <w:tcPr>
            <w:tcW w:w="2657" w:type="dxa"/>
            <w:tcBorders>
              <w:top w:val="single" w:sz="4" w:space="0" w:color="auto"/>
            </w:tcBorders>
            <w:shd w:val="clear" w:color="auto" w:fill="E2EFD9" w:themeFill="accent6" w:themeFillTint="33"/>
          </w:tcPr>
          <w:p w14:paraId="18F81F04" w14:textId="77777777" w:rsidR="00E67F89" w:rsidRPr="00E67F89" w:rsidRDefault="00E67F89" w:rsidP="00E67F89">
            <w:r w:rsidRPr="00E67F89">
              <w:t>ACTIONS</w:t>
            </w:r>
          </w:p>
        </w:tc>
      </w:tr>
      <w:tr w:rsidR="00E67F89" w:rsidRPr="00E67F89" w14:paraId="0B485563" w14:textId="77777777" w:rsidTr="00223F64">
        <w:tc>
          <w:tcPr>
            <w:tcW w:w="0" w:type="auto"/>
          </w:tcPr>
          <w:p w14:paraId="5553745D" w14:textId="77777777" w:rsidR="00E67F89" w:rsidRPr="00E67F89" w:rsidRDefault="00E67F89" w:rsidP="00E67F89">
            <w:r w:rsidRPr="00E67F89">
              <w:t>a) ÉVALUATION DES CARACTÉRISTIQUES DE LA MAIN-D’ŒUVRE</w:t>
            </w:r>
          </w:p>
          <w:p w14:paraId="7DA3E41B" w14:textId="77777777" w:rsidR="00E67F89" w:rsidRPr="00E67F89" w:rsidRDefault="00E67F89" w:rsidP="00E67F89"/>
        </w:tc>
        <w:tc>
          <w:tcPr>
            <w:tcW w:w="5388" w:type="dxa"/>
          </w:tcPr>
          <w:p w14:paraId="1372EC3A" w14:textId="77777777" w:rsidR="00E67F89" w:rsidRPr="00E67F89" w:rsidRDefault="00E67F89" w:rsidP="00E67F89">
            <w:r w:rsidRPr="00E67F89">
              <w:t>Ventiler les travailleurs en fonction de leur lieu de résidence, à savoir les travailleurs qui résident à leur domicile (c’est-à-dire les travailleurs issus des communautés), les travailleurs qui logent au sein de la communauté locale et les travailleurs logés sur place. Dans la mesure du possible, il devrait également identifier les travailleurs qui pourraient être plus exposés au COVID-19, ceux qui ont déjà des problèmes de santé ou qui pourraient autrement être exposés à des risques.</w:t>
            </w:r>
          </w:p>
          <w:p w14:paraId="3ADD2FD5" w14:textId="77777777" w:rsidR="00E67F89" w:rsidRPr="00E67F89" w:rsidRDefault="00E67F89" w:rsidP="00E67F89">
            <w:r w:rsidRPr="00E67F89">
              <w:t>Réduire au minimum les mouvements d’entrée et de sortie du chantier. Il pourrait s’agir de prolonger la durée des contrats en cours, afin d’éviter que les travailleurs ne retournent chez eux dans les zones touchées, ou qu’ils ne reviennent sur le chantier après avoir quitté les zones touchées.</w:t>
            </w:r>
          </w:p>
          <w:p w14:paraId="5280D226" w14:textId="77777777" w:rsidR="00E67F89" w:rsidRPr="00E67F89" w:rsidRDefault="00E67F89" w:rsidP="00E67F89">
            <w:r w:rsidRPr="00E67F89">
              <w:t>Les travailleurs logés sur le site devraient être tenus de réduire au minimum les contacts avec les personnes se trouvant à proximité du chantier et, dans certains cas, il devrait leur être interdit de le quitter pendant la durée de leur contrat, afin d’éviter tout contact avec les communautés locales</w:t>
            </w:r>
          </w:p>
          <w:p w14:paraId="330AD87E" w14:textId="77777777" w:rsidR="00E67F89" w:rsidRPr="00E67F89" w:rsidRDefault="00E67F89" w:rsidP="00E67F89">
            <w:r w:rsidRPr="00E67F89">
              <w:t>Exiger des travailleurs logés dans la communauté locale qu’ils se déplacent vers un logement du chantier (sous réserve de disponibilité) où ils seraient soumis aux mêmes restrictions.</w:t>
            </w:r>
          </w:p>
          <w:p w14:paraId="422027B3" w14:textId="77777777" w:rsidR="00E67F89" w:rsidRPr="00E67F89" w:rsidRDefault="00E67F89" w:rsidP="00E67F89">
            <w:r w:rsidRPr="00E67F89">
              <w:t>Les travailleurs issus des communautés locales, qui rentrent chez eux chaque jour, chaque semaine ou chaque mois, seront plus difficiles à gérer. Ils doivent être soumis à des contrôles sanitaires à l’entrée du site (comme indiqué ci-dessus) et, à un moment donné, les circonstances peuvent rendre nécessaire de leur imposer soit d’utiliser un logement sur le site, soit de ne pas venir travailler.</w:t>
            </w:r>
          </w:p>
        </w:tc>
        <w:tc>
          <w:tcPr>
            <w:tcW w:w="2657" w:type="dxa"/>
          </w:tcPr>
          <w:p w14:paraId="669FD445" w14:textId="77777777" w:rsidR="00E67F89" w:rsidRPr="00E67F89" w:rsidRDefault="00E67F89" w:rsidP="00E67F89">
            <w:r w:rsidRPr="00E67F89">
              <w:t>Etablissement de registre des travailleurs selon leurs résidences (recrutés localement, résidant dans la communauté) et (travailleurs permanents logés dans la base vie)</w:t>
            </w:r>
          </w:p>
          <w:p w14:paraId="1C9F3788" w14:textId="77777777" w:rsidR="00E67F89" w:rsidRPr="00E67F89" w:rsidRDefault="00E67F89" w:rsidP="00E67F89">
            <w:r w:rsidRPr="00E67F89">
              <w:t>Enregistrement des mouvements (Entrée et Sortie)</w:t>
            </w:r>
          </w:p>
          <w:p w14:paraId="2322156E" w14:textId="77777777" w:rsidR="00E67F89" w:rsidRPr="00E67F89" w:rsidRDefault="00E67F89" w:rsidP="00E67F89">
            <w:r w:rsidRPr="00E67F89">
              <w:t>Identifier les travailleurs vulnérables</w:t>
            </w:r>
          </w:p>
          <w:p w14:paraId="6D9CD933" w14:textId="77777777" w:rsidR="00E67F89" w:rsidRPr="00E67F89" w:rsidRDefault="00E67F89" w:rsidP="00E67F89">
            <w:r w:rsidRPr="00E67F89">
              <w:t>Contrôles sanitaires à l’entrée du site par le biais d’utilisation d’un « THERMOMETRE FRONTAL »</w:t>
            </w:r>
          </w:p>
          <w:p w14:paraId="35457B3B" w14:textId="77777777" w:rsidR="00E67F89" w:rsidRPr="00E67F89" w:rsidRDefault="00E67F89" w:rsidP="00E67F89">
            <w:r w:rsidRPr="00E67F89">
              <w:t>Logés tout le personnel étranger dans la base afin de soumettre tout le monde sur les mêmes restrictions</w:t>
            </w:r>
          </w:p>
          <w:p w14:paraId="45954A18" w14:textId="77777777" w:rsidR="00E67F89" w:rsidRPr="00E67F89" w:rsidRDefault="00E67F89" w:rsidP="00E67F89">
            <w:r w:rsidRPr="00E67F89">
              <w:t>Lavage des mains à l’entrée et à la sortie de la base vie.</w:t>
            </w:r>
          </w:p>
        </w:tc>
      </w:tr>
      <w:tr w:rsidR="00E67F89" w:rsidRPr="00E67F89" w14:paraId="4FD0DA62" w14:textId="77777777" w:rsidTr="00223F64">
        <w:tc>
          <w:tcPr>
            <w:tcW w:w="0" w:type="auto"/>
          </w:tcPr>
          <w:p w14:paraId="71006232" w14:textId="77777777" w:rsidR="00E67F89" w:rsidRPr="00E67F89" w:rsidRDefault="00E67F89" w:rsidP="00E67F89">
            <w:r w:rsidRPr="00E67F89">
              <w:t>(b) ACCÈS AU CHANTIER ET CONTRÔLE EN DÉBUT DE TRAVAUX</w:t>
            </w:r>
          </w:p>
          <w:p w14:paraId="36C410F3" w14:textId="77777777" w:rsidR="00E67F89" w:rsidRPr="00E67F89" w:rsidRDefault="00E67F89" w:rsidP="00E67F89"/>
        </w:tc>
        <w:tc>
          <w:tcPr>
            <w:tcW w:w="5388" w:type="dxa"/>
          </w:tcPr>
          <w:p w14:paraId="1ACB0CA0" w14:textId="77777777" w:rsidR="00E67F89" w:rsidRPr="00E67F89" w:rsidRDefault="00E67F89" w:rsidP="00E67F89">
            <w:r w:rsidRPr="00E67F89">
              <w:t xml:space="preserve">L’accès au chantier doit être contrôlé et documenté pour les travailleurs et les autres parties, y compris le personnel de soutien et les sous-traitants : </w:t>
            </w:r>
          </w:p>
          <w:p w14:paraId="7AB02180" w14:textId="77777777" w:rsidR="00E67F89" w:rsidRPr="00E67F89" w:rsidRDefault="00E67F89" w:rsidP="00E67F89">
            <w:r w:rsidRPr="00E67F89">
              <w:t xml:space="preserve">Mettre en place un système de contrôle de l’accès au chantier, en sécuriser les limites et établir des points d’accès désignés (s’ils n’existent pas encore). L’accès au chantier doit être documenté. </w:t>
            </w:r>
          </w:p>
          <w:p w14:paraId="5202215D" w14:textId="77777777" w:rsidR="00E67F89" w:rsidRPr="00E67F89" w:rsidRDefault="00E67F89" w:rsidP="00E67F89">
            <w:r w:rsidRPr="00E67F89">
              <w:lastRenderedPageBreak/>
              <w:t xml:space="preserve">Former le personnel de sécurité au système (amélioré) mis en place pour sécuriser le chantier et en contrôler les entrées et sorties, aux comportements requis pour faire appliquer ce système et à toute considération spécifique à la COVID. </w:t>
            </w:r>
          </w:p>
          <w:p w14:paraId="36C6BBFC" w14:textId="77777777" w:rsidR="00E67F89" w:rsidRPr="00E67F89" w:rsidRDefault="00E67F89" w:rsidP="00E67F89">
            <w:r w:rsidRPr="00E67F89">
              <w:t xml:space="preserve">Former le personnel qui surveillera l’accès au chantier, lui fournir les ressources nécessaires pour documenter l’entrée des travailleurs, effectuer des contrôles de température et enregistrer les coordonnées de tout travailleur qui se voit refuser l’entrée. </w:t>
            </w:r>
          </w:p>
          <w:p w14:paraId="01268C2A" w14:textId="77777777" w:rsidR="00E67F89" w:rsidRPr="00E67F89" w:rsidRDefault="00E67F89" w:rsidP="00E67F89">
            <w:r w:rsidRPr="00E67F89">
              <w:t xml:space="preserve">Confirmer que les travailleurs sont aptes au travail avant leur accès au chantier ou de commencer à travailler. Si des procédures devaient déjà être mises en place à cet effet, une attention particulière devrait être accordée aux travailleurs qui ont déjà des problèmes de santé ou qui peuvent être autrement exposés à un risque. Il convient d’envisager la démobilisation du personnel ayant des affections préexistantes. </w:t>
            </w:r>
          </w:p>
          <w:p w14:paraId="3EDBE406" w14:textId="77777777" w:rsidR="00E67F89" w:rsidRPr="00E67F89" w:rsidRDefault="00E67F89" w:rsidP="00E67F89">
            <w:r w:rsidRPr="00E67F89">
              <w:t xml:space="preserve">Contrôler et enregistrer les températures des travailleurs et des autres personnes accédant au chantier ou obligation pour tout le monde de se signaler avant ou au moment de l’accès. </w:t>
            </w:r>
          </w:p>
          <w:p w14:paraId="14C79FF0" w14:textId="77777777" w:rsidR="00E67F89" w:rsidRPr="00E67F89" w:rsidRDefault="00E67F89" w:rsidP="00E67F89">
            <w:r w:rsidRPr="00E67F89">
              <w:t xml:space="preserve">Tenir des réunions d’information quotidiennes avec les travailleurs avant de commencer le travail, en se concentrant sur les considérations spécifiques du COVID-19, y compris le respect des précautions à prendre en cas de toux, l’hygiène des mains et les mesures d’éloignement, en utilisant des démonstrations et des méthodes participatives. </w:t>
            </w:r>
          </w:p>
          <w:p w14:paraId="494F6C64" w14:textId="77777777" w:rsidR="00E67F89" w:rsidRPr="00E67F89" w:rsidRDefault="00E67F89" w:rsidP="00E67F89">
            <w:r w:rsidRPr="00E67F89">
              <w:t xml:space="preserve">Lors de ces réunions d’information quotidiennes, rappeler aux travailleurs de s’autosurveiller pour détecter d’éventuels symptômes (fièvre, toux) et de signaler tout symptôme à leur superviseur ou au point focal COVID-19 ou s’ils se sentent mal. </w:t>
            </w:r>
          </w:p>
          <w:p w14:paraId="06FE06A2" w14:textId="77777777" w:rsidR="00E67F89" w:rsidRPr="00E67F89" w:rsidRDefault="00E67F89" w:rsidP="00E67F89">
            <w:r w:rsidRPr="00E67F89">
              <w:t>Empêcher un travailleur d’une zone touchée ou qui a été en contact avec une personne infectée de revenir sur le chantier pendant 14 jours ou (si cela n’est pas possible) isoler ce travailleur pendant 14 jours afin de maîtriser son cas.</w:t>
            </w:r>
          </w:p>
        </w:tc>
        <w:tc>
          <w:tcPr>
            <w:tcW w:w="2657" w:type="dxa"/>
          </w:tcPr>
          <w:p w14:paraId="5A512135" w14:textId="77777777" w:rsidR="00E67F89" w:rsidRPr="00E67F89" w:rsidRDefault="00E67F89" w:rsidP="00E67F89">
            <w:r w:rsidRPr="00E67F89">
              <w:lastRenderedPageBreak/>
              <w:t>Mise en place d’un cahier de contrôle au niveau de l’entrée et de la sortie des bureaux (Base vie et bureau de la mission de contrôle).</w:t>
            </w:r>
          </w:p>
          <w:p w14:paraId="7573DC78" w14:textId="77777777" w:rsidR="00E67F89" w:rsidRPr="00E67F89" w:rsidRDefault="00E67F89" w:rsidP="00E67F89">
            <w:r w:rsidRPr="00E67F89">
              <w:t xml:space="preserve">Contrôle sanitaire à l’entrée du site par le </w:t>
            </w:r>
            <w:r w:rsidRPr="00E67F89">
              <w:lastRenderedPageBreak/>
              <w:t>biais d’utilisation d’un « THERMOMETRE FRONTAL » et enregistrements des informations dans le cahier de contrôle.</w:t>
            </w:r>
          </w:p>
          <w:p w14:paraId="78DDEF36" w14:textId="77777777" w:rsidR="00E67F89" w:rsidRPr="00E67F89" w:rsidRDefault="00E67F89" w:rsidP="00E67F89">
            <w:r w:rsidRPr="00E67F89">
              <w:t>Formation du personnel (Gardiens) effectuant le contrôle sanitaire.</w:t>
            </w:r>
          </w:p>
          <w:p w14:paraId="752EE220" w14:textId="77777777" w:rsidR="00E67F89" w:rsidRPr="00E67F89" w:rsidRDefault="00E67F89" w:rsidP="00E67F89">
            <w:r w:rsidRPr="00E67F89">
              <w:t>Donation de caches-bouches lavables pour tout le personnel.</w:t>
            </w:r>
          </w:p>
          <w:p w14:paraId="22A5DB0A" w14:textId="77777777" w:rsidR="00E67F89" w:rsidRPr="00E67F89" w:rsidRDefault="00E67F89" w:rsidP="00E67F89">
            <w:r w:rsidRPr="00E67F89">
              <w:t>Réalisation d’une séance d’informations à chaque début de chantier (à insérer dans le planning de TOOLBOX).</w:t>
            </w:r>
          </w:p>
        </w:tc>
      </w:tr>
      <w:tr w:rsidR="00E67F89" w:rsidRPr="00E67F89" w14:paraId="0522F366" w14:textId="77777777" w:rsidTr="00223F64">
        <w:tc>
          <w:tcPr>
            <w:tcW w:w="0" w:type="auto"/>
          </w:tcPr>
          <w:p w14:paraId="1A56D3F2" w14:textId="77777777" w:rsidR="00E67F89" w:rsidRPr="00E67F89" w:rsidRDefault="00E67F89" w:rsidP="00E67F89">
            <w:r w:rsidRPr="00E67F89">
              <w:lastRenderedPageBreak/>
              <w:t>(c) HYGIÈNE GÉNÉRALE</w:t>
            </w:r>
          </w:p>
          <w:p w14:paraId="100DA570" w14:textId="77777777" w:rsidR="00E67F89" w:rsidRPr="00E67F89" w:rsidRDefault="00E67F89" w:rsidP="00E67F89"/>
        </w:tc>
        <w:tc>
          <w:tcPr>
            <w:tcW w:w="5388" w:type="dxa"/>
          </w:tcPr>
          <w:p w14:paraId="769067D7" w14:textId="77777777" w:rsidR="00E67F89" w:rsidRPr="00E67F89" w:rsidRDefault="00E67F89" w:rsidP="00E67F89">
            <w:r w:rsidRPr="00E67F89">
              <w:t>Les exigences en matière d’hygiène générale doivent être communiquées et contrôlées :</w:t>
            </w:r>
          </w:p>
          <w:p w14:paraId="1CEC9F1D" w14:textId="77777777" w:rsidR="00E67F89" w:rsidRPr="00E67F89" w:rsidRDefault="00E67F89" w:rsidP="00E67F89">
            <w:r w:rsidRPr="00E67F89">
              <w:t>Former les travailleurs et le personnel sur place aux signes et symptômes du COVID-19, à la manière dont elle se propage, à la manière de se protéger (y compris le lavage régulier des mains et le fait d’éviter les contacts proches) et à la conduite à tenir si eux-mêmes ou d’autres personnes présentent des symptômes.</w:t>
            </w:r>
          </w:p>
          <w:p w14:paraId="3CA0E6B0" w14:textId="77777777" w:rsidR="00E67F89" w:rsidRPr="00E67F89" w:rsidRDefault="00E67F89" w:rsidP="00E67F89">
            <w:r w:rsidRPr="00E67F89">
              <w:t>Placer des affiches et des panneaux autour du chantier, avec des illustrations et du texte dans les langues locales.</w:t>
            </w:r>
          </w:p>
          <w:p w14:paraId="03BECEE6" w14:textId="77777777" w:rsidR="00E67F89" w:rsidRPr="00E67F89" w:rsidRDefault="00E67F89" w:rsidP="00E67F89">
            <w:r w:rsidRPr="00E67F89">
              <w:t>Veiller à ce que des dispositifs de lavage des mains avec du savon, des serviettes en papier jetables et des poubelles fermées soient implantés à des endroits clés du chantier, y compris aux points d’accès des zones de travail, au niveau des toilettes, de la cantine ou d’un point de distribution de nourriture, ou un approvisionnement en eau potable, dans les logements des travailleurs, dans les stations de traitement des déchets, dans les magasins et dans les espaces communs. Un désinfectant à base d’alcool (si disponible, 60-95 % d’alcool) peut également être utilisé.</w:t>
            </w:r>
          </w:p>
          <w:p w14:paraId="4A1402AE" w14:textId="77777777" w:rsidR="00E67F89" w:rsidRPr="00E67F89" w:rsidRDefault="00E67F89" w:rsidP="00E67F89">
            <w:r w:rsidRPr="00E67F89">
              <w:t>Réserver une partie des logements des travailleurs à l’auto-quarantaine préventive ainsi qu’à l’isolement plus formel du personnel susceptible d’être infecté.</w:t>
            </w:r>
          </w:p>
        </w:tc>
        <w:tc>
          <w:tcPr>
            <w:tcW w:w="2657" w:type="dxa"/>
          </w:tcPr>
          <w:p w14:paraId="7CB79EBB" w14:textId="77777777" w:rsidR="00E67F89" w:rsidRPr="00E67F89" w:rsidRDefault="00E67F89" w:rsidP="00E67F89">
            <w:r w:rsidRPr="00E67F89">
              <w:t>Formation de l’ensemble du personnel sur les « gestes barrières et les symptômes du COVID-19 »</w:t>
            </w:r>
          </w:p>
          <w:p w14:paraId="2B515DC0" w14:textId="77777777" w:rsidR="00E67F89" w:rsidRPr="00E67F89" w:rsidRDefault="00E67F89" w:rsidP="00E67F89">
            <w:r w:rsidRPr="00E67F89">
              <w:t>Production des outils d’informations et sensibilisation.</w:t>
            </w:r>
          </w:p>
          <w:p w14:paraId="6B86654A" w14:textId="77777777" w:rsidR="00E67F89" w:rsidRPr="00E67F89" w:rsidRDefault="00E67F89" w:rsidP="00E67F89">
            <w:r w:rsidRPr="00E67F89">
              <w:t>Acquisition des dispositifs de lavage de mains avec du Savon (jerricane / Désinfectants à base d’alcool ou gels désinfectants</w:t>
            </w:r>
          </w:p>
          <w:p w14:paraId="1DE8C038" w14:textId="77777777" w:rsidR="00E67F89" w:rsidRPr="00E67F89" w:rsidRDefault="00E67F89" w:rsidP="00E67F89">
            <w:r w:rsidRPr="00E67F89">
              <w:t>Mise en place d’une zone de mise en auto-quarantaine préventive ou isolement.</w:t>
            </w:r>
          </w:p>
        </w:tc>
      </w:tr>
      <w:tr w:rsidR="00E67F89" w:rsidRPr="00E67F89" w14:paraId="5CE1E45F" w14:textId="77777777" w:rsidTr="00223F64">
        <w:tc>
          <w:tcPr>
            <w:tcW w:w="0" w:type="auto"/>
          </w:tcPr>
          <w:p w14:paraId="28E0355F" w14:textId="77777777" w:rsidR="00E67F89" w:rsidRPr="00E67F89" w:rsidRDefault="00E67F89" w:rsidP="00E67F89">
            <w:r w:rsidRPr="00E67F89">
              <w:t>(d) NETTOYAGE ET ÉLIMINATION DES DÉCHETS</w:t>
            </w:r>
          </w:p>
          <w:p w14:paraId="3C6C4285" w14:textId="77777777" w:rsidR="00E67F89" w:rsidRPr="00E67F89" w:rsidRDefault="00E67F89" w:rsidP="00E67F89"/>
        </w:tc>
        <w:tc>
          <w:tcPr>
            <w:tcW w:w="5388" w:type="dxa"/>
          </w:tcPr>
          <w:p w14:paraId="2040CD52" w14:textId="77777777" w:rsidR="00E67F89" w:rsidRPr="00E67F89" w:rsidRDefault="00E67F89" w:rsidP="00E67F89">
            <w:r w:rsidRPr="00E67F89">
              <w:t>Procéder à un nettoyage régulier et total de toutes les installations du chantier, y compris les bureaux, les logements, les cantines et les espaces communs. Revisiter les protocoles de nettoyage des principaux équipements de construction :</w:t>
            </w:r>
          </w:p>
          <w:p w14:paraId="711196EE" w14:textId="77777777" w:rsidR="00E67F89" w:rsidRPr="00E67F89" w:rsidRDefault="00E67F89" w:rsidP="00E67F89">
            <w:r w:rsidRPr="00E67F89">
              <w:t xml:space="preserve">Fournir au personnel de nettoyage un équipement, des matériaux et du désinfectant adéquats. </w:t>
            </w:r>
          </w:p>
          <w:p w14:paraId="4AD827FD" w14:textId="77777777" w:rsidR="00E67F89" w:rsidRPr="00E67F89" w:rsidRDefault="00E67F89" w:rsidP="00E67F89">
            <w:r w:rsidRPr="00E67F89">
              <w:t>Examiner les systèmes de nettoyage général, en formant le personnel de nettoyage aux procédures de nettoyage approprié et à la fréquence appropriée dans les zones à forte utilisation ou à haut risque.</w:t>
            </w:r>
          </w:p>
          <w:p w14:paraId="6182F4BE" w14:textId="77777777" w:rsidR="00E67F89" w:rsidRPr="00E67F89" w:rsidRDefault="00E67F89" w:rsidP="00E67F89">
            <w:r w:rsidRPr="00E67F89">
              <w:t xml:space="preserve">Lorsque le personnel de nettoyage sera appelé à nettoyer des zones qui ont été contaminées par le COVID-19 ou sont soupçonnées de l’avoir été, on </w:t>
            </w:r>
            <w:r w:rsidRPr="00E67F89">
              <w:lastRenderedPageBreak/>
              <w:t>mettra à leur disposition un EPI adéquat composé de blouses ou de tabliers, de gants, d’une protection des yeux (masques, lunettes ou écrans faciaux) et de bottes ou chaussures de travail fermées. En l’absence d’EPI adéquat, le personnel de nettoyage doit disposer des meilleures alternatives disponibles.</w:t>
            </w:r>
          </w:p>
          <w:p w14:paraId="77F40313" w14:textId="77777777" w:rsidR="00E67F89" w:rsidRPr="00E67F89" w:rsidRDefault="00E67F89" w:rsidP="00E67F89">
            <w:r w:rsidRPr="00E67F89">
              <w:t>Formation du personnel de nettoyage à une hygiène adéquate (y compris le lavage des mains) avant, pendant et après les activités de nettoyage ; à l’utilisation sûre des EPI (le cas échéant) ; au contrôle des déchets (y compris pour les EPI et les produits de nettoyage utilisés).</w:t>
            </w:r>
          </w:p>
          <w:p w14:paraId="6726D8E0" w14:textId="77777777" w:rsidR="00E67F89" w:rsidRPr="00E67F89" w:rsidRDefault="00E67F89" w:rsidP="00E67F89">
            <w:r w:rsidRPr="00E67F89">
              <w:t>Tout déchet médical produit pendant la prise en charge de travailleurs malades doit être collecté en toute sécurité dans des conteneurs ou des sacs désignés et traité et éliminé conformément aux exigences pertinentes (par exemple, nationales, OMS). Si la combustion et l’incinération à ciel ouvert de déchets médicaux sont nécessaires, elles doivent être aussi limitées que possible dans le temps. Les déchets doivent être réduits et séparés, de sorte qu’ils puissent être éliminés d’une manière rationnelle (enfouissement ou incinération)</w:t>
            </w:r>
          </w:p>
        </w:tc>
        <w:tc>
          <w:tcPr>
            <w:tcW w:w="2657" w:type="dxa"/>
          </w:tcPr>
          <w:p w14:paraId="585AF5A5" w14:textId="77777777" w:rsidR="00E67F89" w:rsidRPr="00E67F89" w:rsidRDefault="00E67F89" w:rsidP="00E67F89">
            <w:r w:rsidRPr="00E67F89">
              <w:lastRenderedPageBreak/>
              <w:t>Recrutement des travailleurs chargés de nettoyage.</w:t>
            </w:r>
          </w:p>
          <w:p w14:paraId="348EA6D7" w14:textId="77777777" w:rsidR="00E67F89" w:rsidRPr="00E67F89" w:rsidRDefault="00E67F89" w:rsidP="00E67F89">
            <w:r w:rsidRPr="00E67F89">
              <w:t>Mise à disposition des matériels, équipement et produits désinfectants</w:t>
            </w:r>
          </w:p>
          <w:p w14:paraId="5FA34F29" w14:textId="77777777" w:rsidR="00E67F89" w:rsidRPr="00E67F89" w:rsidRDefault="00E67F89" w:rsidP="00E67F89">
            <w:r w:rsidRPr="00E67F89">
              <w:t>Formation du personnel de nettoyage sur les procédures de nettoyage et d’hygiène (Avant et après)</w:t>
            </w:r>
          </w:p>
          <w:p w14:paraId="1720B58F" w14:textId="77777777" w:rsidR="00E67F89" w:rsidRPr="00E67F89" w:rsidRDefault="00E67F89" w:rsidP="00E67F89">
            <w:r w:rsidRPr="00E67F89">
              <w:t>- Traitement de déchets médicaux (incinération ou autres)</w:t>
            </w:r>
          </w:p>
        </w:tc>
      </w:tr>
      <w:tr w:rsidR="00E67F89" w:rsidRPr="00E67F89" w14:paraId="0C4F0939" w14:textId="77777777" w:rsidTr="00223F64">
        <w:tc>
          <w:tcPr>
            <w:tcW w:w="0" w:type="auto"/>
          </w:tcPr>
          <w:p w14:paraId="6102FDE8" w14:textId="77777777" w:rsidR="00E67F89" w:rsidRPr="00E67F89" w:rsidRDefault="00E67F89" w:rsidP="00E67F89">
            <w:r w:rsidRPr="00E67F89">
              <w:t>(e) ADAPTATION DES PRATIQUES DE TRAVAIL</w:t>
            </w:r>
          </w:p>
          <w:p w14:paraId="4AD38E9D" w14:textId="77777777" w:rsidR="00E67F89" w:rsidRPr="00E67F89" w:rsidRDefault="00E67F89" w:rsidP="00E67F89"/>
        </w:tc>
        <w:tc>
          <w:tcPr>
            <w:tcW w:w="5388" w:type="dxa"/>
          </w:tcPr>
          <w:p w14:paraId="3112F501" w14:textId="77777777" w:rsidR="00E67F89" w:rsidRPr="00E67F89" w:rsidRDefault="00E67F89" w:rsidP="00E67F89">
            <w:r w:rsidRPr="00E67F89">
              <w:t>Envisager de modifier les processus et les horaires de travail afin de réduire les contacts entre les travailleurs, en reconnaissant que cela risque d’avoir un impact sur le calendrier du projet. Ces mesures pourraient inclure, entre autres, les suivantes :</w:t>
            </w:r>
          </w:p>
          <w:p w14:paraId="3F4DE448" w14:textId="77777777" w:rsidR="00E67F89" w:rsidRPr="00E67F89" w:rsidRDefault="00E67F89" w:rsidP="00E67F89">
            <w:r w:rsidRPr="00E67F89">
              <w:t xml:space="preserve">Réduire les effectifs des équipes de travail. </w:t>
            </w:r>
          </w:p>
          <w:p w14:paraId="2A3B6B7C" w14:textId="77777777" w:rsidR="00E67F89" w:rsidRPr="00E67F89" w:rsidRDefault="00E67F89" w:rsidP="00E67F89">
            <w:r w:rsidRPr="00E67F89">
              <w:t>Limiter le nombre de travailleurs sur le chantier à un moment donné.</w:t>
            </w:r>
          </w:p>
          <w:p w14:paraId="449738E8" w14:textId="77777777" w:rsidR="00E67F89" w:rsidRPr="00E67F89" w:rsidRDefault="00E67F89" w:rsidP="00E67F89">
            <w:r w:rsidRPr="00E67F89">
              <w:t>Passer à une rotation de travail de 24 heures.</w:t>
            </w:r>
          </w:p>
          <w:p w14:paraId="786EF358" w14:textId="77777777" w:rsidR="00E67F89" w:rsidRPr="00E67F89" w:rsidRDefault="00E67F89" w:rsidP="00E67F89">
            <w:r w:rsidRPr="00E67F89">
              <w:t xml:space="preserve">Adapter ou remanier les méthodes de travail pour des activités et des tâches spécifiques afin d’éviter les contacts proches, et former les travailleurs à ces processus. </w:t>
            </w:r>
          </w:p>
          <w:p w14:paraId="537A79B8" w14:textId="77777777" w:rsidR="00E67F89" w:rsidRPr="00E67F89" w:rsidRDefault="00E67F89" w:rsidP="00E67F89">
            <w:r w:rsidRPr="00E67F89">
              <w:t xml:space="preserve">Poursuivre les formations habituelles en matière de sécurité, en ajoutant des considérations spécifiques au COVID-19. La formation doit </w:t>
            </w:r>
            <w:r w:rsidRPr="00E67F89">
              <w:lastRenderedPageBreak/>
              <w:t>comprendre l’utilisation correcte des EPI normaux.</w:t>
            </w:r>
          </w:p>
          <w:p w14:paraId="1C9C6056" w14:textId="77777777" w:rsidR="00E67F89" w:rsidRPr="00E67F89" w:rsidRDefault="00E67F89" w:rsidP="00E67F89">
            <w:r w:rsidRPr="00E67F89">
              <w:t>Révision des méthodes de travail afin de réduire l’utilisation des EPI de construction, au cas où les fournitures se feraient rares ou que les EPI seraient nécessaires pour le personnel médical ou les nettoyeurs. Il pourrait s’agir, par exemple, d’essayer de réduire le besoin de masques anti-poussières en vérifiant que les systèmes d’arrosage sont en bon état de fonctionnement et sont maintenus ou de réduire la limite de vitesse pour les camions de transport.</w:t>
            </w:r>
          </w:p>
          <w:p w14:paraId="36288A93" w14:textId="77777777" w:rsidR="00E67F89" w:rsidRPr="00E67F89" w:rsidRDefault="00E67F89" w:rsidP="00E67F89">
            <w:r w:rsidRPr="00E67F89">
              <w:t>Organiser (si possible) les pauses de travail dans les zones extérieures du site.</w:t>
            </w:r>
          </w:p>
          <w:p w14:paraId="4C59003E" w14:textId="77777777" w:rsidR="00E67F89" w:rsidRPr="00E67F89" w:rsidRDefault="00E67F89" w:rsidP="00E67F89">
            <w:r w:rsidRPr="00E67F89">
              <w:t>Envisager de modifier la disposition des cantines et d’échelonner les heures de repas afin d’éviter les contacts proches et d’échelonner et/ou de restreindre temporairement l’accès aux installations de loisirs qui peuvent exister sur place, y compris les gymnases.</w:t>
            </w:r>
          </w:p>
          <w:p w14:paraId="0D6B385F" w14:textId="77777777" w:rsidR="00E67F89" w:rsidRPr="00E67F89" w:rsidRDefault="00E67F89" w:rsidP="00E67F89">
            <w:r w:rsidRPr="00E67F89">
              <w:t>À un moment donné, il peut s’avérer nécessaire de remanier le calendrier global du projet, afin d’évaluer la mesure dans laquelle il doit être ajusté (ou le travail arrêté complètement) pour tenir compte des pratiques de travail prudentes, de l’exposition potentielle des travailleurs et de la communauté et de la disponibilité des fournitures, en intégrant les conseils et instructions du gouvernement.</w:t>
            </w:r>
          </w:p>
        </w:tc>
        <w:tc>
          <w:tcPr>
            <w:tcW w:w="2657" w:type="dxa"/>
          </w:tcPr>
          <w:p w14:paraId="655E52ED" w14:textId="77777777" w:rsidR="00E67F89" w:rsidRPr="00E67F89" w:rsidRDefault="00E67F89" w:rsidP="00E67F89">
            <w:r w:rsidRPr="00E67F89">
              <w:lastRenderedPageBreak/>
              <w:t>Organisation de travail qui doit correspondre aux exigences sanitaires telles que l’établissement d’un effectif restreint pour le chantier en cours. Dans le cas échéant, l’entreprise cherchera un moyen de faire une rotation durant la réalisation des travaux.</w:t>
            </w:r>
          </w:p>
          <w:p w14:paraId="6EA033B3" w14:textId="77777777" w:rsidR="00E67F89" w:rsidRPr="00E67F89" w:rsidRDefault="00E67F89" w:rsidP="00E67F89">
            <w:r w:rsidRPr="00E67F89">
              <w:t>Insertion du plan contre le Covid-19 dans la formation HSE des employés.</w:t>
            </w:r>
          </w:p>
          <w:p w14:paraId="12EC3F8F" w14:textId="77777777" w:rsidR="00E67F89" w:rsidRPr="00E67F89" w:rsidRDefault="00E67F89" w:rsidP="00E67F89">
            <w:r w:rsidRPr="00E67F89">
              <w:t xml:space="preserve">Mise en connaissance des employés et des </w:t>
            </w:r>
            <w:r w:rsidRPr="00E67F89">
              <w:lastRenderedPageBreak/>
              <w:t>visiteurs sur les barrières sanitaires disposés sur les bureaux et chantiers.</w:t>
            </w:r>
          </w:p>
        </w:tc>
      </w:tr>
      <w:tr w:rsidR="00E67F89" w:rsidRPr="00E67F89" w14:paraId="27BBB708" w14:textId="77777777" w:rsidTr="00223F64">
        <w:tc>
          <w:tcPr>
            <w:tcW w:w="0" w:type="auto"/>
          </w:tcPr>
          <w:p w14:paraId="4F2192FE" w14:textId="77777777" w:rsidR="00E67F89" w:rsidRPr="00E67F89" w:rsidRDefault="00E67F89" w:rsidP="00E67F89">
            <w:r w:rsidRPr="00E67F89">
              <w:t>(f) SERVICE MÉDICAL DU PROJET</w:t>
            </w:r>
          </w:p>
          <w:p w14:paraId="5610F875" w14:textId="77777777" w:rsidR="00E67F89" w:rsidRPr="00E67F89" w:rsidRDefault="00E67F89" w:rsidP="00E67F89"/>
        </w:tc>
        <w:tc>
          <w:tcPr>
            <w:tcW w:w="5388" w:type="dxa"/>
          </w:tcPr>
          <w:p w14:paraId="641886B4" w14:textId="77777777" w:rsidR="00E67F89" w:rsidRPr="00E67F89" w:rsidRDefault="00E67F89" w:rsidP="00E67F89">
            <w:r w:rsidRPr="00E67F89">
              <w:t>Examiner l’adéquation du service médical actuel du projet, en tenant compte des infrastructures existantes (taille de la clinique ou du poste médical, nombre de lits, installations d’isolement), du personnel médical, des équipements et des fournitures, des procédures et de la formation. Lorsque ces services ne sont pas adéquats, il faut envisager de les améliorer dans la mesure du possible, notamment :</w:t>
            </w:r>
          </w:p>
          <w:p w14:paraId="1BF49E4E" w14:textId="77777777" w:rsidR="00E67F89" w:rsidRPr="00E67F89" w:rsidRDefault="00E67F89" w:rsidP="00E67F89">
            <w:r w:rsidRPr="00E67F89">
              <w:t>Développer les infrastructures médicales et préparer les zones où les patients peuvent être isolés. Des conseils sur la mise en place d’installations d’isolement sont donnés dans les orientations provisoires de l’OMS</w:t>
            </w:r>
          </w:p>
          <w:p w14:paraId="1269D3EE" w14:textId="77777777" w:rsidR="00E67F89" w:rsidRPr="00E67F89" w:rsidRDefault="00E67F89" w:rsidP="00E67F89">
            <w:r w:rsidRPr="00E67F89">
              <w:lastRenderedPageBreak/>
              <w:t>La formation du personnel médical, qui devrait inclure les conseils actuels de l’OMS sur le COVID-19 et des recommandations sur les spécificités du COVID-19. En cas de suspicion d’infection par le COVID- 19, les prestataires de soins sur place doivent suivre les orientations provisoires de l’OMS sur la lutte anti-infectieuse</w:t>
            </w:r>
          </w:p>
          <w:p w14:paraId="00F410C8" w14:textId="77777777" w:rsidR="00E67F89" w:rsidRPr="00E67F89" w:rsidRDefault="00E67F89" w:rsidP="00E67F89">
            <w:r w:rsidRPr="00E67F89">
              <w:t>Formation du personnel médical aux tests, si des tests sont disponibles.</w:t>
            </w:r>
          </w:p>
          <w:p w14:paraId="2E34686D" w14:textId="77777777" w:rsidR="00E67F89" w:rsidRPr="00E67F89" w:rsidRDefault="00E67F89" w:rsidP="00E67F89">
            <w:r w:rsidRPr="00E67F89">
              <w:t>Évaluer le stock actuel d’équipements, de fournitures et de médicaments sur place, et obtenir des stocks supplémentaires, si nécessaire et si possible. Il peut s’agir d’EPI médicaux, tels que des blouses, tabliers, masques médicaux, gants et protection des yeux.</w:t>
            </w:r>
          </w:p>
          <w:p w14:paraId="2B96F80A" w14:textId="77777777" w:rsidR="00E67F89" w:rsidRPr="00E67F89" w:rsidRDefault="00E67F89" w:rsidP="00E67F89">
            <w:r w:rsidRPr="00E67F89">
              <w:t>Si des articles d’EPI ne sont pas disponibles en raison d’une pénurie mondiale, le personnel médical participant au projet doit convenir des alternatives et essayer de se les procurer. Les alternatives que l’on trouve couramment sur les chantiers de construction sont les masques anti-poussières, les gants de chantier et les lunettes de protection.</w:t>
            </w:r>
          </w:p>
        </w:tc>
        <w:tc>
          <w:tcPr>
            <w:tcW w:w="2657" w:type="dxa"/>
          </w:tcPr>
          <w:p w14:paraId="59B65FD3" w14:textId="77777777" w:rsidR="00E67F89" w:rsidRPr="00E67F89" w:rsidRDefault="00E67F89" w:rsidP="00E67F89">
            <w:r w:rsidRPr="00E67F89">
              <w:lastRenderedPageBreak/>
              <w:t>Installation d’une infirmerie au sein de la base vie de l’entreprise pour assurer la prise en charge urgente des personnes suspectées avant l’évacuation sanitaire.</w:t>
            </w:r>
          </w:p>
          <w:p w14:paraId="44870F16" w14:textId="77777777" w:rsidR="00E67F89" w:rsidRPr="00E67F89" w:rsidRDefault="00E67F89" w:rsidP="00E67F89">
            <w:r w:rsidRPr="00E67F89">
              <w:t>Engagement d’un personnel médical (Docteur ou Infirmier) pour assurer la gestion de l’infirmerie.</w:t>
            </w:r>
          </w:p>
          <w:p w14:paraId="0C5A90AB" w14:textId="77777777" w:rsidR="00E67F89" w:rsidRPr="00E67F89" w:rsidRDefault="00E67F89" w:rsidP="00E67F89">
            <w:r w:rsidRPr="00E67F89">
              <w:lastRenderedPageBreak/>
              <w:t>Utilisation des matériels médicaux suivant les normes : thermomètre frontal, tensiomètre, médicaments, …</w:t>
            </w:r>
          </w:p>
          <w:p w14:paraId="096CA327" w14:textId="77777777" w:rsidR="00E67F89" w:rsidRPr="00E67F89" w:rsidRDefault="00E67F89" w:rsidP="00E67F89">
            <w:r w:rsidRPr="00E67F89">
              <w:t>Mise en place d’un cahier de gestion des stocks pour les matériels médicaux.</w:t>
            </w:r>
          </w:p>
        </w:tc>
      </w:tr>
      <w:tr w:rsidR="00E67F89" w:rsidRPr="00E67F89" w14:paraId="0C6CFD2B" w14:textId="77777777" w:rsidTr="00223F64">
        <w:tc>
          <w:tcPr>
            <w:tcW w:w="0" w:type="auto"/>
          </w:tcPr>
          <w:p w14:paraId="676979A8" w14:textId="77777777" w:rsidR="00E67F89" w:rsidRPr="00E67F89" w:rsidRDefault="00E67F89" w:rsidP="00E67F89">
            <w:r w:rsidRPr="00E67F89">
              <w:t>(g) SERVICES DE SANTÉ ET AUTRES SERVICES LOCAUX</w:t>
            </w:r>
          </w:p>
          <w:p w14:paraId="546D145F" w14:textId="77777777" w:rsidR="00E67F89" w:rsidRPr="00E67F89" w:rsidRDefault="00E67F89" w:rsidP="00E67F89"/>
        </w:tc>
        <w:tc>
          <w:tcPr>
            <w:tcW w:w="5388" w:type="dxa"/>
          </w:tcPr>
          <w:p w14:paraId="77B36164" w14:textId="77777777" w:rsidR="00E67F89" w:rsidRPr="00E67F89" w:rsidRDefault="00E67F89" w:rsidP="00E67F89">
            <w:r w:rsidRPr="00E67F89">
              <w:t>Étant donné la portée limitée des services médicaux du projet, il se peut que le projet se doit à diriger les travailleurs malades vers les services médicaux locaux. La préparation à cet effet comprend les mesures suivantes :</w:t>
            </w:r>
          </w:p>
          <w:p w14:paraId="37AC3436" w14:textId="77777777" w:rsidR="00E67F89" w:rsidRPr="00E67F89" w:rsidRDefault="00E67F89" w:rsidP="00E67F89">
            <w:r w:rsidRPr="00E67F89">
              <w:t>Obtenir des informations sur les ressources et les capacités des services médicaux locaux (par exemple, le nombre de lits, la disponibilité du personnel qualifié et des fournitures essentielles).</w:t>
            </w:r>
          </w:p>
          <w:p w14:paraId="645BD142" w14:textId="77777777" w:rsidR="00E67F89" w:rsidRPr="00E67F89" w:rsidRDefault="00E67F89" w:rsidP="00E67F89">
            <w:r w:rsidRPr="00E67F89">
              <w:t xml:space="preserve">Mener des discussions préliminaires avec des établissements de santé spécifiques, afin de convenir de ce qu’il convient de faire en cas de besoin d’orientation des travailleurs malades. </w:t>
            </w:r>
          </w:p>
          <w:p w14:paraId="3177C26B" w14:textId="77777777" w:rsidR="00E67F89" w:rsidRPr="00E67F89" w:rsidRDefault="00E67F89" w:rsidP="00E67F89">
            <w:r w:rsidRPr="00E67F89">
              <w:t xml:space="preserve">Envisager les moyens par lesquels le projet peut aider les services de santé locaux à se préparer à ce que les membres de la communauté tombent malades, en reconnaissant que les personnes âgées ou celles ayant des affections préexistantes ont besoin d’un soutien supplémentaire pour accéder à </w:t>
            </w:r>
            <w:r w:rsidRPr="00E67F89">
              <w:lastRenderedPageBreak/>
              <w:t xml:space="preserve">un traitement adéquat si elles venaient à tomber malades. </w:t>
            </w:r>
          </w:p>
          <w:p w14:paraId="5A6A5CDC" w14:textId="77777777" w:rsidR="00E67F89" w:rsidRPr="00E67F89" w:rsidRDefault="00E67F89" w:rsidP="00E67F89">
            <w:r w:rsidRPr="00E67F89">
              <w:t>Préciser la manière dont un travailleur malade sera transporté vers l’établissement de santé et vérifier la disponibilité d’un tel transport.</w:t>
            </w:r>
          </w:p>
          <w:p w14:paraId="3D794388" w14:textId="77777777" w:rsidR="00E67F89" w:rsidRPr="00E67F89" w:rsidRDefault="00E67F89" w:rsidP="00E67F89">
            <w:r w:rsidRPr="00E67F89">
              <w:t>Établir un protocole convenu pour les communications avec les services d’urgence/de santé locaux.</w:t>
            </w:r>
          </w:p>
          <w:p w14:paraId="7020898D" w14:textId="77777777" w:rsidR="00E67F89" w:rsidRPr="00E67F89" w:rsidRDefault="00E67F89" w:rsidP="00E67F89">
            <w:r w:rsidRPr="00E67F89">
              <w:t>Convenir avec les services médicaux/établissements de santé spécifiques locaux de l’étendue des services à fournir, de la procédure d’admission des patients et (le cas échéant) des coûts ou des paiements qui peuvent être impliqués. Une procédure doit malheureusement aussi être préparée afin que la direction du projet sache la marche à suivre dans le cas du décès d’un travailleur malade du COVID-19 décède. Bien que les procédures normales du projet continuent de s’appliquer, le COVID-19 pourrait soulever d’autres questions en raison de la nature infectieuse de la maladie. Le projet doit être en liaison avec les autorités locales compétentes pour coordonner les interventions.</w:t>
            </w:r>
          </w:p>
        </w:tc>
        <w:tc>
          <w:tcPr>
            <w:tcW w:w="2657" w:type="dxa"/>
          </w:tcPr>
          <w:p w14:paraId="2B49DB90" w14:textId="77777777" w:rsidR="00E67F89" w:rsidRPr="00E67F89" w:rsidRDefault="00E67F89" w:rsidP="00E67F89">
            <w:r w:rsidRPr="00E67F89">
              <w:lastRenderedPageBreak/>
              <w:t>Mise à la disposition d’une voiture d’urgence pour assurer le transport des malades en cas d’une EVASAN vers l’hôpital ou du CSB de la zone.</w:t>
            </w:r>
          </w:p>
          <w:p w14:paraId="4B78E82C" w14:textId="77777777" w:rsidR="00E67F89" w:rsidRPr="00E67F89" w:rsidRDefault="00E67F89" w:rsidP="00E67F89">
            <w:r w:rsidRPr="00E67F89">
              <w:t>Mis en place d’un plan d’évacuation d’urgence avec les services sanitaires de la zone.</w:t>
            </w:r>
          </w:p>
          <w:p w14:paraId="786FB70C" w14:textId="77777777" w:rsidR="00E67F89" w:rsidRPr="00E67F89" w:rsidRDefault="00E67F89" w:rsidP="00E67F89">
            <w:r w:rsidRPr="00E67F89">
              <w:t>Mis en place d’un protocole de communication avec les services de santé locaux comme l’affichage des contacts rapides.</w:t>
            </w:r>
          </w:p>
          <w:p w14:paraId="70CE4A1B" w14:textId="77777777" w:rsidR="00E67F89" w:rsidRPr="00E67F89" w:rsidRDefault="00E67F89" w:rsidP="00E67F89">
            <w:r w:rsidRPr="00E67F89">
              <w:t xml:space="preserve">Mise à la disposition des services sanitaires fournis par </w:t>
            </w:r>
            <w:r w:rsidRPr="00E67F89">
              <w:lastRenderedPageBreak/>
              <w:t>l’entreprise pour les employés : le personnel médical, l’infirmerie, les matériels sanitaires (Thermomètre, tensiomètre,).</w:t>
            </w:r>
          </w:p>
          <w:p w14:paraId="34FDECAA" w14:textId="77777777" w:rsidR="00E67F89" w:rsidRPr="00E67F89" w:rsidRDefault="00E67F89" w:rsidP="00E67F89"/>
        </w:tc>
      </w:tr>
      <w:tr w:rsidR="00E67F89" w:rsidRPr="00E67F89" w14:paraId="0C6F83CF" w14:textId="77777777" w:rsidTr="00223F64">
        <w:tc>
          <w:tcPr>
            <w:tcW w:w="0" w:type="auto"/>
          </w:tcPr>
          <w:p w14:paraId="4C391211" w14:textId="77777777" w:rsidR="00E67F89" w:rsidRPr="00E67F89" w:rsidRDefault="00E67F89" w:rsidP="00E67F89">
            <w:r w:rsidRPr="00E67F89">
              <w:t>(h) CAS DE MALADIE OU PROPAGATION DU VIRUS</w:t>
            </w:r>
          </w:p>
          <w:p w14:paraId="4476FFE6" w14:textId="77777777" w:rsidR="00E67F89" w:rsidRPr="00E67F89" w:rsidRDefault="00E67F89" w:rsidP="00E67F89"/>
        </w:tc>
        <w:tc>
          <w:tcPr>
            <w:tcW w:w="5388" w:type="dxa"/>
          </w:tcPr>
          <w:p w14:paraId="2443FFB6" w14:textId="77777777" w:rsidR="00E67F89" w:rsidRPr="00E67F89" w:rsidRDefault="00E67F89" w:rsidP="00E67F89">
            <w:r w:rsidRPr="00E67F89">
              <w:t>Le projet devrait définir des procédures fondées sur les risques à suivre, avec des approches différenciées en fonction de la gravité des cas (légers, modérés, graves, critiques) et des facteurs de risque (tels que l’âge, l’hypertension, le diabète). On trouvera de plus amples informations dans les orientations provisoires de l’OMS sur les Considérations opérationnelles pour la gestion des cas de COVID-19 dans les établissements de santé et la communauté. Il peut s’agir des éléments suivants :</w:t>
            </w:r>
          </w:p>
          <w:p w14:paraId="5FB5A4D5" w14:textId="77777777" w:rsidR="00E67F89" w:rsidRPr="00E67F89" w:rsidRDefault="00E67F89" w:rsidP="00E67F89">
            <w:r w:rsidRPr="00E67F89">
              <w:t xml:space="preserve">Si un travailleur présente des symptômes de COVID-19 (par exemple, fièvre, toux sèche, fatigue), il doit être immédiatement retiré des travaux et isolé sur le chantier. </w:t>
            </w:r>
          </w:p>
          <w:p w14:paraId="568176AA" w14:textId="77777777" w:rsidR="00E67F89" w:rsidRPr="00E67F89" w:rsidRDefault="00E67F89" w:rsidP="00E67F89">
            <w:r w:rsidRPr="00E67F89">
              <w:t>Si des tests sont disponibles, le travailleur doit être testé sur place. Si un test n’est pas disponible sur place, le travailleur doit être transporté dans un établissement de santé locale pour y être testé (si un test est disponible).</w:t>
            </w:r>
          </w:p>
          <w:p w14:paraId="3FB23831" w14:textId="77777777" w:rsidR="00E67F89" w:rsidRPr="00E67F89" w:rsidRDefault="00E67F89" w:rsidP="00E67F89">
            <w:r w:rsidRPr="00E67F89">
              <w:lastRenderedPageBreak/>
              <w:t>Si le test est positif au COVID-19 ou si aucun test n’est disponible, le travailleur doit continuer à être isolé. Cet isolement se fera soit sur le lieu de travail, soit au domicile du travailleur. Dans ce dernier cas, le travailleur doit être transporté à son domicile dans le cadre du transport fourni par le projet.</w:t>
            </w:r>
          </w:p>
          <w:p w14:paraId="332280E0" w14:textId="77777777" w:rsidR="00E67F89" w:rsidRPr="00E67F89" w:rsidRDefault="00E67F89" w:rsidP="00E67F89">
            <w:r w:rsidRPr="00E67F89">
              <w:t>Des procédures de nettoyage approfondies avec un désinfectant à forte teneur en alcool doivent être entreprises dans la zone où le travailleur était présent, avant que d’autres travaux ne soient entrepris dans cette zone. Les outils utilisés par le travailleur doivent être nettoyés avec un désinfectant et l’EPI doit être éliminé.</w:t>
            </w:r>
          </w:p>
          <w:p w14:paraId="4DB6D961" w14:textId="77777777" w:rsidR="00E67F89" w:rsidRPr="00E67F89" w:rsidRDefault="00E67F89" w:rsidP="00E67F89">
            <w:r w:rsidRPr="00E67F89">
              <w:t>Les collègues (c’est-à-dire les travailleurs avec lesquels le malade était en contact étroit) devraient être obligés d’arrêter le travail et être mis en quarantaine pendant 14 jours, même s’ils ne présentent aucun symptôme.</w:t>
            </w:r>
          </w:p>
          <w:p w14:paraId="7ABE4D6E" w14:textId="77777777" w:rsidR="00E67F89" w:rsidRPr="00E67F89" w:rsidRDefault="00E67F89" w:rsidP="00E67F89">
            <w:r w:rsidRPr="00E67F89">
              <w:t xml:space="preserve">La famille et les autres contacts proches du travailleur doivent également être tenus de se mettre en quarantaine pendant 14 jours, même s’ils ne présentent aucun symptôme. </w:t>
            </w:r>
          </w:p>
          <w:p w14:paraId="71AD6414" w14:textId="77777777" w:rsidR="00E67F89" w:rsidRPr="00E67F89" w:rsidRDefault="00E67F89" w:rsidP="00E67F89">
            <w:r w:rsidRPr="00E67F89">
              <w:t xml:space="preserve">Si un cas de COVID-19 est confirmé chez un travailleur du chantier, les visiteurs doivent être empêchés d’entrer sur le site et les groupes de travailleurs doivent être isolés les uns des autres autant que possible. </w:t>
            </w:r>
          </w:p>
          <w:p w14:paraId="23E53B7E" w14:textId="77777777" w:rsidR="00E67F89" w:rsidRPr="00E67F89" w:rsidRDefault="00E67F89" w:rsidP="00E67F89">
            <w:r w:rsidRPr="00E67F89">
              <w:t>Si un travailleur vit chez lui et qu’un membre de sa famille a un cas confirmé ou suspecté de COVID-19, ce travailleur doit alors se mettre en quarantaine et ne pas être autorisé à se rendre sur le site du projet pendant 14 jours, même s’il ne présente aucun symptôme.</w:t>
            </w:r>
          </w:p>
          <w:p w14:paraId="2C281DBA" w14:textId="77777777" w:rsidR="00E67F89" w:rsidRPr="00E67F89" w:rsidRDefault="00E67F89" w:rsidP="00E67F89">
            <w:r w:rsidRPr="00E67F89">
              <w:t>Les travailleurs doivent continuer à être rémunérés pendant les périodes de maladie, d’isolement ou de quarantaine, ou s’ils sont obligés d’arrêter leur travail, conformément à la législation nationale.</w:t>
            </w:r>
          </w:p>
          <w:p w14:paraId="1A0930F4" w14:textId="77777777" w:rsidR="00E67F89" w:rsidRPr="00E67F89" w:rsidRDefault="00E67F89" w:rsidP="00E67F89">
            <w:r w:rsidRPr="00E67F89">
              <w:t>Les soins médicaux (sur place ou dans un hôpital ou une clinique locale) requis par un travailleur sont à la charge de l’employeur</w:t>
            </w:r>
          </w:p>
        </w:tc>
        <w:tc>
          <w:tcPr>
            <w:tcW w:w="2657" w:type="dxa"/>
          </w:tcPr>
          <w:p w14:paraId="6DA7C5F2" w14:textId="77777777" w:rsidR="00E67F89" w:rsidRPr="00E67F89" w:rsidRDefault="00E67F89" w:rsidP="00E67F89">
            <w:r w:rsidRPr="00E67F89">
              <w:lastRenderedPageBreak/>
              <w:t>Prise en charge du malade jusqu’à une zone d’isolement (son domicile ou à l’hôpital).</w:t>
            </w:r>
          </w:p>
          <w:p w14:paraId="5861D5CA" w14:textId="77777777" w:rsidR="00E67F89" w:rsidRPr="00E67F89" w:rsidRDefault="00E67F89" w:rsidP="00E67F89">
            <w:r w:rsidRPr="00E67F89">
              <w:t>Mis à la disposition d’une voiture d’urgence pour le transport du travailleur malade.</w:t>
            </w:r>
          </w:p>
          <w:p w14:paraId="3C539068" w14:textId="77777777" w:rsidR="00E67F89" w:rsidRPr="00E67F89" w:rsidRDefault="00E67F89" w:rsidP="00E67F89">
            <w:r w:rsidRPr="00E67F89">
              <w:t>Mise en place d’une convention de coopération avec services médicaux locaux.</w:t>
            </w:r>
          </w:p>
          <w:p w14:paraId="6CD7C071" w14:textId="77777777" w:rsidR="00E67F89" w:rsidRPr="00E67F89" w:rsidRDefault="00E67F89" w:rsidP="00E67F89">
            <w:r w:rsidRPr="00E67F89">
              <w:t>Nettoyage de la zone par des produits désinfectants avant la reprise des travaux.</w:t>
            </w:r>
          </w:p>
          <w:p w14:paraId="2BFEA703" w14:textId="77777777" w:rsidR="00E67F89" w:rsidRPr="00E67F89" w:rsidRDefault="00E67F89" w:rsidP="00E67F89">
            <w:r w:rsidRPr="00E67F89">
              <w:t xml:space="preserve">Mis en quarantaine pendant 14 jours des collègues dans son </w:t>
            </w:r>
            <w:r w:rsidRPr="00E67F89">
              <w:lastRenderedPageBreak/>
              <w:t>domicile jusqu’à l’obtention des résultats de test. C’est-à-dire ne pas les faire travailler immédiatement et les diriger à faire le test au sein des services médicaux.</w:t>
            </w:r>
          </w:p>
          <w:p w14:paraId="6359F096" w14:textId="77777777" w:rsidR="00E67F89" w:rsidRPr="00E67F89" w:rsidRDefault="00E67F89" w:rsidP="00E67F89">
            <w:r w:rsidRPr="00E67F89">
              <w:t>Ne pas autoriser les employés qui ont une famille atteinte du Covid-19 à travailler.</w:t>
            </w:r>
          </w:p>
        </w:tc>
      </w:tr>
      <w:tr w:rsidR="00E67F89" w:rsidRPr="00E67F89" w14:paraId="26698C1D" w14:textId="77777777" w:rsidTr="00223F64">
        <w:tc>
          <w:tcPr>
            <w:tcW w:w="0" w:type="auto"/>
          </w:tcPr>
          <w:p w14:paraId="2D206375" w14:textId="77777777" w:rsidR="00E67F89" w:rsidRPr="00E67F89" w:rsidRDefault="00E67F89" w:rsidP="00E67F89">
            <w:r w:rsidRPr="00E67F89">
              <w:lastRenderedPageBreak/>
              <w:t>(i) CONTINUITÉ DES FOURNITURES ET DES ACTIVITÉS DE PROJET</w:t>
            </w:r>
          </w:p>
          <w:p w14:paraId="4E944F60" w14:textId="77777777" w:rsidR="00E67F89" w:rsidRPr="00E67F89" w:rsidRDefault="00E67F89" w:rsidP="00E67F89"/>
        </w:tc>
        <w:tc>
          <w:tcPr>
            <w:tcW w:w="5388" w:type="dxa"/>
          </w:tcPr>
          <w:p w14:paraId="2AB607D8" w14:textId="77777777" w:rsidR="00E67F89" w:rsidRPr="00E67F89" w:rsidRDefault="00E67F89" w:rsidP="00E67F89">
            <w:r w:rsidRPr="00E67F89">
              <w:t>Lorsque le COVID-19 se produit, que ce soit sur le chantier du projet ou dans la communauté, l’accès au site du projet peut être restreint et la circulation des fournitures peut être affectée.</w:t>
            </w:r>
          </w:p>
          <w:p w14:paraId="2457A783" w14:textId="77777777" w:rsidR="00E67F89" w:rsidRPr="00E67F89" w:rsidRDefault="00E67F89" w:rsidP="00E67F89">
            <w:r w:rsidRPr="00E67F89">
              <w:t>Identifier des remplaçants, au cas où des personnes clés au sein de l’équipe de gestion du projet (CEP, Ingénieur chargé de la supervision, entrepreneur, sous-traitants) tomberaient malades, et communiquer le nom de ces personnes afin que toutes les parties concernées soient au courant des dispositions prises.</w:t>
            </w:r>
          </w:p>
          <w:p w14:paraId="51C20F5A" w14:textId="77777777" w:rsidR="00E67F89" w:rsidRPr="00E67F89" w:rsidRDefault="00E67F89" w:rsidP="00E67F89">
            <w:r w:rsidRPr="00E67F89">
              <w:t xml:space="preserve">Documenter les procédures, afin que toutes les parties concernées sachent quoi faire le moment venu, et ne soient pas tributaires des connaissances d’une seule personne. </w:t>
            </w:r>
          </w:p>
          <w:p w14:paraId="1CD3C378" w14:textId="77777777" w:rsidR="00E67F89" w:rsidRPr="00E67F89" w:rsidRDefault="00E67F89" w:rsidP="00E67F89">
            <w:r w:rsidRPr="00E67F89">
              <w:t>Comprendre la chaîne d’approvisionnement pour les fournitures nécessaires d’énergie, d’eau, de nourriture, de fournitures médicales et d’équipements de nettoyage ; examiner comment elle pourrait être touchée et quelles sont les alternatives disponibles. Il est important de procéder à un examen précoce en amont des chaînes d’approvisionnement internationales, régionales et nationales, en particulier pour les fournitures qui sont essentielles pour le projet (par exemple le carburant, la nourriture, les fournitures médicales, le nettoyage et d’autres fournitures essentielles). La planification d’une interruption de 1 à 2 mois des biens essentiels peut être appropriée pour les projets dans des régions plus reculées.</w:t>
            </w:r>
          </w:p>
          <w:p w14:paraId="02FE88EC" w14:textId="77777777" w:rsidR="00E67F89" w:rsidRPr="00E67F89" w:rsidRDefault="00E67F89" w:rsidP="00E67F89">
            <w:r w:rsidRPr="00E67F89">
              <w:t>Passer des commandes/acheter des fournitures essentielles. S’il n’y en a pas, envisager des solutions de rechange (lorsque cela est possible).</w:t>
            </w:r>
          </w:p>
          <w:p w14:paraId="79D76D4B" w14:textId="77777777" w:rsidR="00E67F89" w:rsidRPr="00E67F89" w:rsidRDefault="00E67F89" w:rsidP="00E67F89">
            <w:r w:rsidRPr="00E67F89">
              <w:t>Examiner les dispositifs de sécurité existants et déterminer s’ils seront adéquats en cas d’interruption des opérations normales du projet.</w:t>
            </w:r>
          </w:p>
          <w:p w14:paraId="5888D2DA" w14:textId="77777777" w:rsidR="00E67F89" w:rsidRPr="00E67F89" w:rsidRDefault="00E67F89" w:rsidP="00E67F89">
            <w:r w:rsidRPr="00E67F89">
              <w:t>Examiner à quel moment il peut être nécessaire pour le projet de réduire considérablement les activités ou d’arrêter complètement le travail, et ce qui devrait être fait pour s’y préparer et pour reprendre le travail lorsque cela devient possible ou faisable.</w:t>
            </w:r>
          </w:p>
        </w:tc>
        <w:tc>
          <w:tcPr>
            <w:tcW w:w="2657" w:type="dxa"/>
          </w:tcPr>
          <w:p w14:paraId="140DE8AA" w14:textId="77777777" w:rsidR="00E67F89" w:rsidRPr="00E67F89" w:rsidRDefault="00E67F89" w:rsidP="00E67F89">
            <w:r w:rsidRPr="00E67F89">
              <w:t>Restriction de l’accès au chantier si un cas de Covid-19 est confirmé.</w:t>
            </w:r>
          </w:p>
          <w:p w14:paraId="74A371B6" w14:textId="77777777" w:rsidR="00E67F89" w:rsidRPr="00E67F89" w:rsidRDefault="00E67F89" w:rsidP="00E67F89">
            <w:r w:rsidRPr="00E67F89">
              <w:t>Restriction de la circulation des fournitures liées au projet sera envisagée.</w:t>
            </w:r>
          </w:p>
          <w:p w14:paraId="3D4E368C" w14:textId="77777777" w:rsidR="00E67F89" w:rsidRPr="00E67F89" w:rsidRDefault="00E67F89" w:rsidP="00E67F89">
            <w:r w:rsidRPr="00E67F89">
              <w:t>Examen du lieu de travail et réduction des activités ou arrêt des activités à envisager.</w:t>
            </w:r>
          </w:p>
          <w:p w14:paraId="7C8F7432" w14:textId="77777777" w:rsidR="00E67F89" w:rsidRPr="00E67F89" w:rsidRDefault="00E67F89" w:rsidP="00E67F89">
            <w:r w:rsidRPr="00E67F89">
              <w:t>Remplacement de la personne atteinte de Covid-19 s’il fait partie du service de suivi.</w:t>
            </w:r>
          </w:p>
        </w:tc>
      </w:tr>
      <w:tr w:rsidR="00E67F89" w:rsidRPr="00E67F89" w14:paraId="4A0B7385" w14:textId="77777777" w:rsidTr="00223F64">
        <w:tc>
          <w:tcPr>
            <w:tcW w:w="0" w:type="auto"/>
          </w:tcPr>
          <w:p w14:paraId="3A310861" w14:textId="77777777" w:rsidR="00E67F89" w:rsidRPr="00E67F89" w:rsidRDefault="00E67F89" w:rsidP="00E67F89">
            <w:r w:rsidRPr="00E67F89">
              <w:lastRenderedPageBreak/>
              <w:t>(j) FORMATION ET COMMUNICATION AVEC LES TRAVAILLEURS</w:t>
            </w:r>
          </w:p>
          <w:p w14:paraId="061B54E6" w14:textId="77777777" w:rsidR="00E67F89" w:rsidRPr="00E67F89" w:rsidRDefault="00E67F89" w:rsidP="00E67F89"/>
        </w:tc>
        <w:tc>
          <w:tcPr>
            <w:tcW w:w="5388" w:type="dxa"/>
          </w:tcPr>
          <w:p w14:paraId="61949EFE" w14:textId="77777777" w:rsidR="00E67F89" w:rsidRPr="00E67F89" w:rsidRDefault="00E67F89" w:rsidP="00E67F89">
            <w:r w:rsidRPr="00E67F89">
              <w:t>Les travailleurs doivent avoir régulièrement l’occasion de comprendre leur situation et la manière dont ils peuvent se protéger au mieux, ainsi que leur famille et la communauté. Ils doivent être informés des procédures mises en place par le projet et de leurs propres responsabilités dans la mise en œuvre de celles-ci :</w:t>
            </w:r>
          </w:p>
          <w:p w14:paraId="1DA47342" w14:textId="77777777" w:rsidR="00E67F89" w:rsidRPr="00E67F89" w:rsidRDefault="00E67F89" w:rsidP="00E67F89">
            <w:r w:rsidRPr="00E67F89">
              <w:t>Il est important de garder à l’esprit que dans les communautés proches du chantier et parmi les travailleurs n’ayant pas accès à la direction du projet, les réseaux sociaux sont susceptibles d’être une source majeure d’information. Cela souligne l’importance d'assurer de façon régulière l’information et les échanges avec les travailleurs (par exemple par le biais de formations, d’assemblées publiques, de boîtes à outils) qui mettent l’accent sur ce que la direction fait pour gérer les risques de COVID-19. Dissiper la peur est un aspect important de la quiétude d’esprit des travailleurs et de la continuité des activités. Les travailleurs doivent avoir la possibilité de poser des questions, d’exprimer leurs préoccupations et de faire des suggestions.</w:t>
            </w:r>
          </w:p>
          <w:p w14:paraId="48E65D8E" w14:textId="77777777" w:rsidR="00E67F89" w:rsidRPr="00E67F89" w:rsidRDefault="00E67F89" w:rsidP="00E67F89">
            <w:r w:rsidRPr="00E67F89">
              <w:t>La formation des travailleurs doit être dispensée régulièrement, comme indiqué dans les sections ci-dessus, afin que les travailleurs comprennent bien comment ils doivent se comporter et s’acquitter de leurs tâches professionnelles.</w:t>
            </w:r>
          </w:p>
          <w:p w14:paraId="489FDB5D" w14:textId="77777777" w:rsidR="00E67F89" w:rsidRPr="00E67F89" w:rsidRDefault="00E67F89" w:rsidP="00E67F89">
            <w:r w:rsidRPr="00E67F89">
              <w:t>La formation doit aborder les questions de discrimination ou de préjugés si un travailleur tombe malade et permettre de comprendre la trajectoire du virus, lorsque les travailleurs retournent au travail.</w:t>
            </w:r>
          </w:p>
          <w:p w14:paraId="37AF6344" w14:textId="77777777" w:rsidR="00E67F89" w:rsidRPr="00E67F89" w:rsidRDefault="00E67F89" w:rsidP="00E67F89">
            <w:r w:rsidRPr="00E67F89">
              <w:t>La formation devrait couvrir toutes les questions qui seraient normalement requises sur le chantier, y compris l’utilisation des procédures de sécurité, l’utilisation des EPI de construction, les questions de santé et sécurité au travail et le code de conduite, en tenant compte du fait que les pratiques de travail peuvent avoir été adaptées.</w:t>
            </w:r>
          </w:p>
          <w:p w14:paraId="5E7FF16E" w14:textId="77777777" w:rsidR="00E67F89" w:rsidRPr="00E67F89" w:rsidRDefault="00E67F89" w:rsidP="00E67F89">
            <w:r w:rsidRPr="00E67F89">
              <w:t xml:space="preserve">Les communications doivent être claires, basées sur des faits et conçues pour être facilement </w:t>
            </w:r>
            <w:r w:rsidRPr="00E67F89">
              <w:lastRenderedPageBreak/>
              <w:t>comprises par les travailleurs, par exemple en apposant des affiches sur le lavage des mains et</w:t>
            </w:r>
          </w:p>
        </w:tc>
        <w:tc>
          <w:tcPr>
            <w:tcW w:w="2657" w:type="dxa"/>
          </w:tcPr>
          <w:p w14:paraId="6D5DFEF8" w14:textId="77777777" w:rsidR="00E67F89" w:rsidRPr="00E67F89" w:rsidRDefault="00E67F89" w:rsidP="00E67F89">
            <w:r w:rsidRPr="00E67F89">
              <w:lastRenderedPageBreak/>
              <w:t>Réalisation d’une séance d’information pour tous les employés du projet afin qu’ils puissent comprendre leur situation et la manière dont ils peuvent se protéger aux mieux : insertion de la formation en Covid-19 dans la formation HSE.</w:t>
            </w:r>
          </w:p>
        </w:tc>
      </w:tr>
      <w:tr w:rsidR="00E67F89" w:rsidRPr="00E67F89" w14:paraId="1CA42F7D" w14:textId="77777777" w:rsidTr="00223F64">
        <w:tc>
          <w:tcPr>
            <w:tcW w:w="0" w:type="auto"/>
          </w:tcPr>
          <w:p w14:paraId="345B7FDF" w14:textId="77777777" w:rsidR="00E67F89" w:rsidRPr="00E67F89" w:rsidRDefault="00E67F89" w:rsidP="00E67F89">
            <w:r w:rsidRPr="00E67F89">
              <w:t>(k) COMMUNICATION ET CONTACT AVEC LA COMMUNAUTÉ</w:t>
            </w:r>
          </w:p>
          <w:p w14:paraId="35455D96" w14:textId="77777777" w:rsidR="00E67F89" w:rsidRPr="00E67F89" w:rsidRDefault="00E67F89" w:rsidP="00E67F89"/>
        </w:tc>
        <w:tc>
          <w:tcPr>
            <w:tcW w:w="5388" w:type="dxa"/>
          </w:tcPr>
          <w:p w14:paraId="41241996" w14:textId="77777777" w:rsidR="00E67F89" w:rsidRPr="00E67F89" w:rsidRDefault="00E67F89" w:rsidP="00E67F89">
            <w:r w:rsidRPr="00E67F89">
              <w:t>Les relations avec la communauté doivent être gérées avec soin, en mettant l’accent sur les mesures mises en œuvre pour protéger à la fois les travailleurs et la communauté. La communauté peut être préoccupée par la présence de travailleurs allogènes, ou par les risques que représente pour elle la présence de travailleurs locaux sur le chantier du projet. Le projet doit définir les procédures à suivre en fonction des risques, qui peuvent refléter les orientations de l’OMS. Les bonnes pratiques suivantes doivent être prises en considération :</w:t>
            </w:r>
          </w:p>
          <w:p w14:paraId="20F65E05" w14:textId="77777777" w:rsidR="00E67F89" w:rsidRPr="00E67F89" w:rsidRDefault="00E67F89" w:rsidP="00E67F89">
            <w:r w:rsidRPr="00E67F89">
              <w:t>Les communications doivent être facilement comprises par les membres de la communauté, et à ce titre, elles doivent être claires, régulières, basées sur des faits.</w:t>
            </w:r>
          </w:p>
          <w:p w14:paraId="2681A715" w14:textId="77777777" w:rsidR="00E67F89" w:rsidRPr="00E67F89" w:rsidRDefault="00E67F89" w:rsidP="00E67F89">
            <w:r w:rsidRPr="00E67F89">
              <w:t>Les communications doivent utiliser les moyens disponibles. Dans la plupart des cas, il ne sera pas possible d’organiser des réunions en face à face avec la communauté ou ses représentants. D’autres formes de communication doivent être utilisées : affiches, brochures, radio, messages textes, réunions électroniques. Les moyens utilisés doivent tenir compte de la capacité des différents membres de la communauté à y accéder, afin de s’assurer que la communication parvient à ces groupes.</w:t>
            </w:r>
          </w:p>
          <w:p w14:paraId="56F38C1F" w14:textId="77777777" w:rsidR="00E67F89" w:rsidRPr="00E67F89" w:rsidRDefault="00E67F89" w:rsidP="00E67F89">
            <w:r w:rsidRPr="00E67F89">
              <w:t>La communauté doit être informée des procédures mises en place sur le chantier pour traiter les questions liées au COVID-19. Cela devrait inclure toutes les mesures mises en œuvre pour limiter ou interdire les contacts entre les travailleurs et la communauté. Il convient de les communiquer clairement, car certaines mesures auront des implications financières pour la communauté (par exemple, si les travailleurs paient leur logement ou utilisent les installations locales). La communauté doit être informée de la procédure d’accès au chantier, de la formation dispensée aux travailleurs et de la procédure qui sera suivie par le projet si un travailleur tombe malade.</w:t>
            </w:r>
          </w:p>
          <w:p w14:paraId="585363A4" w14:textId="77777777" w:rsidR="00E67F89" w:rsidRPr="00E67F89" w:rsidRDefault="00E67F89" w:rsidP="00E67F89">
            <w:r w:rsidRPr="00E67F89">
              <w:lastRenderedPageBreak/>
              <w:t>Si les représentants du projet, les entrepreneurs ou les travailleurs interagissent avec la communauté, ils doivent se tenir à bonne distance les uns des autres et suivre les autres directives de lutte contre le COVID-19 publiées par les autorités compétentes, tant nationales qu’internationales (par exemple l’OMS)</w:t>
            </w:r>
          </w:p>
        </w:tc>
        <w:tc>
          <w:tcPr>
            <w:tcW w:w="2657" w:type="dxa"/>
          </w:tcPr>
          <w:p w14:paraId="12227761" w14:textId="77777777" w:rsidR="00E67F89" w:rsidRPr="00E67F89" w:rsidRDefault="00E67F89" w:rsidP="00E67F89">
            <w:r w:rsidRPr="00E67F89">
              <w:lastRenderedPageBreak/>
              <w:t>Séance d’information au public par le biais des consultations publiques.</w:t>
            </w:r>
          </w:p>
          <w:p w14:paraId="4F4A6DD3" w14:textId="77777777" w:rsidR="00E67F89" w:rsidRPr="00E67F89" w:rsidRDefault="00E67F89" w:rsidP="00E67F89">
            <w:r w:rsidRPr="00E67F89">
              <w:t>Mis en connaissance du publique en matière de mesures et barrières sanitaires lors de la réalisation des consultations publiques relatives au projet.</w:t>
            </w:r>
          </w:p>
          <w:p w14:paraId="75640A38" w14:textId="77777777" w:rsidR="00E67F89" w:rsidRPr="00E67F89" w:rsidRDefault="00E67F89" w:rsidP="00E67F89">
            <w:r w:rsidRPr="00E67F89">
              <w:t>Affichage des mesures au niveau des Fokontany concernés par le projet.</w:t>
            </w:r>
          </w:p>
          <w:p w14:paraId="19E90CFE" w14:textId="77777777" w:rsidR="00E67F89" w:rsidRPr="00E67F89" w:rsidRDefault="00E67F89" w:rsidP="00E67F89">
            <w:r w:rsidRPr="00E67F89">
              <w:t>Respect des barrières sanitaires par les représentants du projet lorsqu’ils interagissent avec la communauté (cache bouche, distanciation, utilisation de gel désinfectant).</w:t>
            </w:r>
          </w:p>
        </w:tc>
      </w:tr>
    </w:tbl>
    <w:p w14:paraId="61BE7F43" w14:textId="77777777" w:rsidR="00E67F89" w:rsidRPr="00E67F89" w:rsidRDefault="00E67F89" w:rsidP="00E67F89"/>
    <w:p w14:paraId="642517A9" w14:textId="77777777" w:rsidR="00E67F89" w:rsidRPr="00E67F89" w:rsidRDefault="00E67F89" w:rsidP="00E67F89">
      <w:r w:rsidRPr="00E67F89">
        <w:br w:type="page"/>
      </w:r>
    </w:p>
    <w:p w14:paraId="7E09A4ED" w14:textId="77777777" w:rsidR="00E67F89" w:rsidRPr="00E67F89" w:rsidRDefault="00E67F89" w:rsidP="00E67F89">
      <w:bookmarkStart w:id="976" w:name="_Toc71990286"/>
      <w:r w:rsidRPr="00E67F89">
        <w:lastRenderedPageBreak/>
        <w:t>ACTIONS A REALISER POUR LES MESURES DE MITIGATION</w:t>
      </w:r>
      <w:bookmarkEnd w:id="976"/>
    </w:p>
    <w:tbl>
      <w:tblPr>
        <w:tblStyle w:val="TableGrid"/>
        <w:tblW w:w="0" w:type="auto"/>
        <w:tblLook w:val="04A0" w:firstRow="1" w:lastRow="0" w:firstColumn="1" w:lastColumn="0" w:noHBand="0" w:noVBand="1"/>
      </w:tblPr>
      <w:tblGrid>
        <w:gridCol w:w="4300"/>
        <w:gridCol w:w="1336"/>
        <w:gridCol w:w="2661"/>
        <w:gridCol w:w="1897"/>
      </w:tblGrid>
      <w:tr w:rsidR="00E67F89" w:rsidRPr="00E67F89" w14:paraId="354D8DEC" w14:textId="77777777" w:rsidTr="00223F64">
        <w:tc>
          <w:tcPr>
            <w:tcW w:w="4503" w:type="dxa"/>
            <w:shd w:val="clear" w:color="auto" w:fill="E2EFD9" w:themeFill="accent6" w:themeFillTint="33"/>
            <w:vAlign w:val="center"/>
          </w:tcPr>
          <w:p w14:paraId="530925F0" w14:textId="77777777" w:rsidR="00E67F89" w:rsidRPr="00E67F89" w:rsidRDefault="00E67F89" w:rsidP="00E67F89">
            <w:r w:rsidRPr="00E67F89">
              <w:t>ACTION de MISE EN OEUVRE</w:t>
            </w:r>
          </w:p>
        </w:tc>
        <w:tc>
          <w:tcPr>
            <w:tcW w:w="1275" w:type="dxa"/>
            <w:shd w:val="clear" w:color="auto" w:fill="E2EFD9" w:themeFill="accent6" w:themeFillTint="33"/>
            <w:vAlign w:val="center"/>
          </w:tcPr>
          <w:p w14:paraId="21013C2F" w14:textId="77777777" w:rsidR="00E67F89" w:rsidRPr="00E67F89" w:rsidRDefault="00E67F89" w:rsidP="00E67F89">
            <w:r w:rsidRPr="00E67F89">
              <w:t>CIBLES</w:t>
            </w:r>
          </w:p>
        </w:tc>
        <w:tc>
          <w:tcPr>
            <w:tcW w:w="2743" w:type="dxa"/>
            <w:shd w:val="clear" w:color="auto" w:fill="E2EFD9" w:themeFill="accent6" w:themeFillTint="33"/>
            <w:vAlign w:val="center"/>
          </w:tcPr>
          <w:p w14:paraId="476EA24D" w14:textId="77777777" w:rsidR="00E67F89" w:rsidRPr="00E67F89" w:rsidRDefault="00E67F89" w:rsidP="00E67F89">
            <w:r w:rsidRPr="00E67F89">
              <w:t>INDICATEURS DE SUIVI</w:t>
            </w:r>
          </w:p>
        </w:tc>
        <w:tc>
          <w:tcPr>
            <w:tcW w:w="0" w:type="auto"/>
            <w:shd w:val="clear" w:color="auto" w:fill="E2EFD9" w:themeFill="accent6" w:themeFillTint="33"/>
            <w:vAlign w:val="center"/>
          </w:tcPr>
          <w:p w14:paraId="7A554BE5" w14:textId="77777777" w:rsidR="00E67F89" w:rsidRPr="00E67F89" w:rsidRDefault="00E67F89" w:rsidP="00E67F89">
            <w:r w:rsidRPr="00E67F89">
              <w:t>RESPONSABLE</w:t>
            </w:r>
          </w:p>
        </w:tc>
      </w:tr>
      <w:tr w:rsidR="00E67F89" w:rsidRPr="00E67F89" w14:paraId="620E657A" w14:textId="77777777" w:rsidTr="00223F64">
        <w:tc>
          <w:tcPr>
            <w:tcW w:w="4503" w:type="dxa"/>
          </w:tcPr>
          <w:p w14:paraId="7B4A68C7" w14:textId="77777777" w:rsidR="00E67F89" w:rsidRPr="00E67F89" w:rsidRDefault="00E67F89" w:rsidP="00E67F89">
            <w:r w:rsidRPr="00E67F89">
              <w:t>Etablissement d’un registre des travailleurs selon leurs résidences (recrutés localement, résidant dans la communauté) et (travailleurs permanents logés dans la base vie)</w:t>
            </w:r>
          </w:p>
          <w:p w14:paraId="70A29685" w14:textId="77777777" w:rsidR="00E67F89" w:rsidRPr="00E67F89" w:rsidRDefault="00E67F89" w:rsidP="00E67F89">
            <w:r w:rsidRPr="00E67F89">
              <w:t>Enregistrement des mouvements (Entrée et Sortie)</w:t>
            </w:r>
          </w:p>
        </w:tc>
        <w:tc>
          <w:tcPr>
            <w:tcW w:w="1275" w:type="dxa"/>
          </w:tcPr>
          <w:p w14:paraId="287572D1" w14:textId="77777777" w:rsidR="00E67F89" w:rsidRPr="00E67F89" w:rsidRDefault="00E67F89" w:rsidP="00E67F89">
            <w:r w:rsidRPr="00E67F89">
              <w:t>Personnel de l’entreprise</w:t>
            </w:r>
          </w:p>
        </w:tc>
        <w:tc>
          <w:tcPr>
            <w:tcW w:w="2743" w:type="dxa"/>
          </w:tcPr>
          <w:p w14:paraId="3CC27133" w14:textId="77777777" w:rsidR="00E67F89" w:rsidRPr="00E67F89" w:rsidRDefault="00E67F89" w:rsidP="00E67F89">
            <w:r w:rsidRPr="00E67F89">
              <w:t>Utilisation du cahier de registre au sein des chantiers et/ou bureau</w:t>
            </w:r>
          </w:p>
        </w:tc>
        <w:tc>
          <w:tcPr>
            <w:tcW w:w="0" w:type="auto"/>
          </w:tcPr>
          <w:p w14:paraId="0A7D90FD" w14:textId="77777777" w:rsidR="00E67F89" w:rsidRPr="00E67F89" w:rsidRDefault="00E67F89" w:rsidP="00E67F89">
            <w:r w:rsidRPr="00E67F89">
              <w:t>Assistant administratif et/ou</w:t>
            </w:r>
          </w:p>
          <w:p w14:paraId="0E2FFD20" w14:textId="77777777" w:rsidR="00E67F89" w:rsidRPr="00E67F89" w:rsidRDefault="00E67F89" w:rsidP="00E67F89">
            <w:r w:rsidRPr="00E67F89">
              <w:t>Responsable du personnel</w:t>
            </w:r>
          </w:p>
        </w:tc>
      </w:tr>
      <w:tr w:rsidR="00E67F89" w:rsidRPr="00E67F89" w14:paraId="4B1A193B" w14:textId="77777777" w:rsidTr="00223F64">
        <w:tc>
          <w:tcPr>
            <w:tcW w:w="4503" w:type="dxa"/>
          </w:tcPr>
          <w:p w14:paraId="5D57E3A4" w14:textId="77777777" w:rsidR="00E67F89" w:rsidRPr="00E67F89" w:rsidRDefault="00E67F89" w:rsidP="00E67F89">
            <w:r w:rsidRPr="00E67F89">
              <w:t>Identifier les travailleurs vulnérables</w:t>
            </w:r>
          </w:p>
          <w:p w14:paraId="0FC5011E" w14:textId="77777777" w:rsidR="00E67F89" w:rsidRPr="00E67F89" w:rsidRDefault="00E67F89" w:rsidP="00E67F89">
            <w:r w:rsidRPr="00E67F89">
              <w:t>Contrôles sanitaires à l’entrée du site par le biais d’utilisation d’un « THERMOMETRE FRONTAL »</w:t>
            </w:r>
          </w:p>
        </w:tc>
        <w:tc>
          <w:tcPr>
            <w:tcW w:w="1275" w:type="dxa"/>
          </w:tcPr>
          <w:p w14:paraId="13C89D04" w14:textId="77777777" w:rsidR="00E67F89" w:rsidRPr="00E67F89" w:rsidRDefault="00E67F89" w:rsidP="00E67F89">
            <w:r w:rsidRPr="00E67F89">
              <w:t>Employés vulnérables</w:t>
            </w:r>
          </w:p>
        </w:tc>
        <w:tc>
          <w:tcPr>
            <w:tcW w:w="2743" w:type="dxa"/>
          </w:tcPr>
          <w:p w14:paraId="123C5003" w14:textId="77777777" w:rsidR="00E67F89" w:rsidRPr="00E67F89" w:rsidRDefault="00E67F89" w:rsidP="00E67F89">
            <w:r w:rsidRPr="00E67F89">
              <w:t>Prise de température du personnel de l’entreprise chaque jour (entrée et sortie de la base vie)</w:t>
            </w:r>
          </w:p>
        </w:tc>
        <w:tc>
          <w:tcPr>
            <w:tcW w:w="0" w:type="auto"/>
          </w:tcPr>
          <w:p w14:paraId="2ED6475A" w14:textId="77777777" w:rsidR="00E67F89" w:rsidRPr="00E67F89" w:rsidRDefault="00E67F89" w:rsidP="00E67F89">
            <w:r w:rsidRPr="00E67F89">
              <w:t>Responsable HS</w:t>
            </w:r>
          </w:p>
          <w:p w14:paraId="6D7C0D60" w14:textId="77777777" w:rsidR="00E67F89" w:rsidRPr="00E67F89" w:rsidRDefault="00E67F89" w:rsidP="00E67F89">
            <w:r w:rsidRPr="00E67F89">
              <w:t>Agent HS</w:t>
            </w:r>
          </w:p>
        </w:tc>
      </w:tr>
      <w:tr w:rsidR="00E67F89" w:rsidRPr="00E67F89" w14:paraId="41E5C33C" w14:textId="77777777" w:rsidTr="00223F64">
        <w:tc>
          <w:tcPr>
            <w:tcW w:w="4503" w:type="dxa"/>
          </w:tcPr>
          <w:p w14:paraId="4346C1ED" w14:textId="77777777" w:rsidR="00E67F89" w:rsidRPr="00E67F89" w:rsidRDefault="00E67F89" w:rsidP="00E67F89">
            <w:r w:rsidRPr="00E67F89">
              <w:t>Logés tout le personnel chinois dans la base afin de les soumettre sur les mêmes restrictions.</w:t>
            </w:r>
          </w:p>
        </w:tc>
        <w:tc>
          <w:tcPr>
            <w:tcW w:w="1275" w:type="dxa"/>
          </w:tcPr>
          <w:p w14:paraId="0C8A849B" w14:textId="77777777" w:rsidR="00E67F89" w:rsidRPr="00E67F89" w:rsidRDefault="00E67F89" w:rsidP="00E67F89">
            <w:r w:rsidRPr="00E67F89">
              <w:t>Personnel chinois</w:t>
            </w:r>
          </w:p>
        </w:tc>
        <w:tc>
          <w:tcPr>
            <w:tcW w:w="2743" w:type="dxa"/>
          </w:tcPr>
          <w:p w14:paraId="390DEA2D" w14:textId="77777777" w:rsidR="00E67F89" w:rsidRPr="00E67F89" w:rsidRDefault="00E67F89" w:rsidP="00E67F89">
            <w:r w:rsidRPr="00E67F89">
              <w:t>Logement du personnel disponible dans la base vie</w:t>
            </w:r>
          </w:p>
        </w:tc>
        <w:tc>
          <w:tcPr>
            <w:tcW w:w="0" w:type="auto"/>
          </w:tcPr>
          <w:p w14:paraId="65DD9F34" w14:textId="77777777" w:rsidR="00E67F89" w:rsidRPr="00E67F89" w:rsidRDefault="00E67F89" w:rsidP="00E67F89">
            <w:r w:rsidRPr="00E67F89">
              <w:t>Directeur des travaux</w:t>
            </w:r>
          </w:p>
          <w:p w14:paraId="02318C73" w14:textId="77777777" w:rsidR="00E67F89" w:rsidRPr="00E67F89" w:rsidRDefault="00E67F89" w:rsidP="00E67F89">
            <w:r w:rsidRPr="00E67F89">
              <w:t>Responsable HS</w:t>
            </w:r>
          </w:p>
        </w:tc>
      </w:tr>
      <w:tr w:rsidR="00E67F89" w:rsidRPr="00E67F89" w14:paraId="281D9E10" w14:textId="77777777" w:rsidTr="00223F64">
        <w:tc>
          <w:tcPr>
            <w:tcW w:w="4503" w:type="dxa"/>
          </w:tcPr>
          <w:p w14:paraId="267FBC21" w14:textId="77777777" w:rsidR="00E67F89" w:rsidRPr="00E67F89" w:rsidRDefault="00E67F89" w:rsidP="00E67F89">
            <w:r w:rsidRPr="00E67F89">
              <w:t>Donation de caches-bouches lavables pour tout le personnel. (en cas de cache bouche jetable, prévoir un incinérateur)</w:t>
            </w:r>
          </w:p>
        </w:tc>
        <w:tc>
          <w:tcPr>
            <w:tcW w:w="1275" w:type="dxa"/>
          </w:tcPr>
          <w:p w14:paraId="0D60F49D" w14:textId="77777777" w:rsidR="00E67F89" w:rsidRPr="00E67F89" w:rsidRDefault="00E67F89" w:rsidP="00E67F89">
            <w:r w:rsidRPr="00E67F89">
              <w:t>Tout le personnel</w:t>
            </w:r>
          </w:p>
        </w:tc>
        <w:tc>
          <w:tcPr>
            <w:tcW w:w="2743" w:type="dxa"/>
          </w:tcPr>
          <w:p w14:paraId="5B94EE78" w14:textId="77777777" w:rsidR="00E67F89" w:rsidRPr="00E67F89" w:rsidRDefault="00E67F89" w:rsidP="00E67F89">
            <w:r w:rsidRPr="00E67F89">
              <w:t>Utilisation des caches bouches</w:t>
            </w:r>
          </w:p>
          <w:p w14:paraId="7B8D5DB6" w14:textId="77777777" w:rsidR="00E67F89" w:rsidRPr="00E67F89" w:rsidRDefault="00E67F89" w:rsidP="00E67F89"/>
        </w:tc>
        <w:tc>
          <w:tcPr>
            <w:tcW w:w="0" w:type="auto"/>
          </w:tcPr>
          <w:p w14:paraId="79511370" w14:textId="77777777" w:rsidR="00E67F89" w:rsidRPr="00E67F89" w:rsidRDefault="00E67F89" w:rsidP="00E67F89">
            <w:r w:rsidRPr="00E67F89">
              <w:t>Directeur des travaux</w:t>
            </w:r>
          </w:p>
          <w:p w14:paraId="3663A780" w14:textId="77777777" w:rsidR="00E67F89" w:rsidRPr="00E67F89" w:rsidRDefault="00E67F89" w:rsidP="00E67F89">
            <w:r w:rsidRPr="00E67F89">
              <w:t>Responsable HS</w:t>
            </w:r>
          </w:p>
        </w:tc>
      </w:tr>
      <w:tr w:rsidR="00E67F89" w:rsidRPr="00E67F89" w14:paraId="23D3E675" w14:textId="77777777" w:rsidTr="00223F64">
        <w:tc>
          <w:tcPr>
            <w:tcW w:w="4503" w:type="dxa"/>
          </w:tcPr>
          <w:p w14:paraId="13458702" w14:textId="77777777" w:rsidR="00E67F89" w:rsidRPr="00E67F89" w:rsidRDefault="00E67F89" w:rsidP="00E67F89">
            <w:r w:rsidRPr="00E67F89">
              <w:t>Loger les personnes clés pour assurer la continuation des travaux en cas de confinement de la Région</w:t>
            </w:r>
          </w:p>
        </w:tc>
        <w:tc>
          <w:tcPr>
            <w:tcW w:w="1275" w:type="dxa"/>
          </w:tcPr>
          <w:p w14:paraId="6D591E3B" w14:textId="77777777" w:rsidR="00E67F89" w:rsidRPr="00E67F89" w:rsidRDefault="00E67F89" w:rsidP="00E67F89">
            <w:r w:rsidRPr="00E67F89">
              <w:t>Effectif optimum d’employés</w:t>
            </w:r>
          </w:p>
        </w:tc>
        <w:tc>
          <w:tcPr>
            <w:tcW w:w="2743" w:type="dxa"/>
          </w:tcPr>
          <w:p w14:paraId="0EE9BAB8" w14:textId="77777777" w:rsidR="00E67F89" w:rsidRPr="00E67F89" w:rsidRDefault="00E67F89" w:rsidP="00E67F89">
            <w:r w:rsidRPr="00E67F89">
              <w:t>Logement de confinement disponible dans la base vie</w:t>
            </w:r>
          </w:p>
        </w:tc>
        <w:tc>
          <w:tcPr>
            <w:tcW w:w="0" w:type="auto"/>
          </w:tcPr>
          <w:p w14:paraId="37ACCCEE" w14:textId="77777777" w:rsidR="00E67F89" w:rsidRPr="00E67F89" w:rsidRDefault="00E67F89" w:rsidP="00E67F89">
            <w:r w:rsidRPr="00E67F89">
              <w:t>Directeur des travaux</w:t>
            </w:r>
          </w:p>
          <w:p w14:paraId="7B3EA71D" w14:textId="77777777" w:rsidR="00E67F89" w:rsidRPr="00E67F89" w:rsidRDefault="00E67F89" w:rsidP="00E67F89">
            <w:r w:rsidRPr="00E67F89">
              <w:t>Responsable HS</w:t>
            </w:r>
          </w:p>
          <w:p w14:paraId="2D9E0FE1" w14:textId="77777777" w:rsidR="00E67F89" w:rsidRPr="00E67F89" w:rsidRDefault="00E67F89" w:rsidP="00E67F89">
            <w:r w:rsidRPr="00E67F89">
              <w:t>MOET</w:t>
            </w:r>
          </w:p>
        </w:tc>
      </w:tr>
      <w:tr w:rsidR="00E67F89" w:rsidRPr="00E67F89" w14:paraId="798DFC9B" w14:textId="77777777" w:rsidTr="00223F64">
        <w:tc>
          <w:tcPr>
            <w:tcW w:w="4503" w:type="dxa"/>
          </w:tcPr>
          <w:p w14:paraId="133CE76E" w14:textId="77777777" w:rsidR="00E67F89" w:rsidRPr="00E67F89" w:rsidRDefault="00E67F89" w:rsidP="00E67F89">
            <w:r w:rsidRPr="00E67F89">
              <w:t>Réalisation d’une séance d’informations à chaque début de chantier (à insérer dans le planning du TOOLBOX)</w:t>
            </w:r>
          </w:p>
        </w:tc>
        <w:tc>
          <w:tcPr>
            <w:tcW w:w="1275" w:type="dxa"/>
          </w:tcPr>
          <w:p w14:paraId="22872108" w14:textId="77777777" w:rsidR="00E67F89" w:rsidRPr="00E67F89" w:rsidRDefault="00E67F89" w:rsidP="00E67F89">
            <w:r w:rsidRPr="00E67F89">
              <w:t>Personnel de chantier</w:t>
            </w:r>
          </w:p>
        </w:tc>
        <w:tc>
          <w:tcPr>
            <w:tcW w:w="2743" w:type="dxa"/>
          </w:tcPr>
          <w:p w14:paraId="350B00FB" w14:textId="77777777" w:rsidR="00E67F89" w:rsidRPr="00E67F89" w:rsidRDefault="00E67F89" w:rsidP="00E67F89">
            <w:r w:rsidRPr="00E67F89">
              <w:t>Toolbox de 5mn par jour avant la prise de chantier</w:t>
            </w:r>
          </w:p>
        </w:tc>
        <w:tc>
          <w:tcPr>
            <w:tcW w:w="0" w:type="auto"/>
          </w:tcPr>
          <w:p w14:paraId="02316532" w14:textId="77777777" w:rsidR="00E67F89" w:rsidRPr="00E67F89" w:rsidRDefault="00E67F89" w:rsidP="00E67F89">
            <w:r w:rsidRPr="00E67F89">
              <w:t>Responsable HS</w:t>
            </w:r>
          </w:p>
          <w:p w14:paraId="3C03D1A2" w14:textId="77777777" w:rsidR="00E67F89" w:rsidRPr="00E67F89" w:rsidRDefault="00E67F89" w:rsidP="00E67F89">
            <w:r w:rsidRPr="00E67F89">
              <w:t>Assistant Environnemental</w:t>
            </w:r>
          </w:p>
        </w:tc>
      </w:tr>
      <w:tr w:rsidR="00E67F89" w:rsidRPr="00E67F89" w14:paraId="598F1EF6" w14:textId="77777777" w:rsidTr="00223F64">
        <w:tc>
          <w:tcPr>
            <w:tcW w:w="4503" w:type="dxa"/>
          </w:tcPr>
          <w:p w14:paraId="5720C576" w14:textId="77777777" w:rsidR="00E67F89" w:rsidRPr="00E67F89" w:rsidRDefault="00E67F89" w:rsidP="00E67F89">
            <w:r w:rsidRPr="00E67F89">
              <w:t>Formation de l’ensemble du personnel sur les « gestes barrières et les symptômes du COVID-19</w:t>
            </w:r>
          </w:p>
          <w:p w14:paraId="1F442326" w14:textId="77777777" w:rsidR="00E67F89" w:rsidRPr="00E67F89" w:rsidRDefault="00E67F89" w:rsidP="00E67F89">
            <w:r w:rsidRPr="00E67F89">
              <w:t>Production des outils d’informations et sensibilisation.</w:t>
            </w:r>
          </w:p>
        </w:tc>
        <w:tc>
          <w:tcPr>
            <w:tcW w:w="1275" w:type="dxa"/>
          </w:tcPr>
          <w:p w14:paraId="14053622" w14:textId="77777777" w:rsidR="00E67F89" w:rsidRPr="00E67F89" w:rsidRDefault="00E67F89" w:rsidP="00E67F89">
            <w:r w:rsidRPr="00E67F89">
              <w:t>Tous les employés du projet</w:t>
            </w:r>
          </w:p>
        </w:tc>
        <w:tc>
          <w:tcPr>
            <w:tcW w:w="2743" w:type="dxa"/>
          </w:tcPr>
          <w:p w14:paraId="26FA7B36" w14:textId="77777777" w:rsidR="00E67F89" w:rsidRPr="00E67F89" w:rsidRDefault="00E67F89" w:rsidP="00E67F89">
            <w:r w:rsidRPr="00E67F89">
              <w:t>Formation en HSE avec insertion du Covid-19</w:t>
            </w:r>
          </w:p>
        </w:tc>
        <w:tc>
          <w:tcPr>
            <w:tcW w:w="0" w:type="auto"/>
          </w:tcPr>
          <w:p w14:paraId="72559DAE" w14:textId="77777777" w:rsidR="00E67F89" w:rsidRPr="00E67F89" w:rsidRDefault="00E67F89" w:rsidP="00E67F89">
            <w:r w:rsidRPr="00E67F89">
              <w:t>Responsable HS</w:t>
            </w:r>
          </w:p>
        </w:tc>
      </w:tr>
      <w:tr w:rsidR="00E67F89" w:rsidRPr="00E67F89" w14:paraId="0E1CB6C2" w14:textId="77777777" w:rsidTr="00223F64">
        <w:tc>
          <w:tcPr>
            <w:tcW w:w="4503" w:type="dxa"/>
          </w:tcPr>
          <w:p w14:paraId="62A39BDB" w14:textId="77777777" w:rsidR="00E67F89" w:rsidRPr="00E67F89" w:rsidRDefault="00E67F89" w:rsidP="00E67F89">
            <w:r w:rsidRPr="00E67F89">
              <w:t>Acquisition des dispositifs de lavage de mains avec du Savon (jerricane / Désinfectants à base d’alcool ou gels désinfectants</w:t>
            </w:r>
          </w:p>
        </w:tc>
        <w:tc>
          <w:tcPr>
            <w:tcW w:w="1275" w:type="dxa"/>
          </w:tcPr>
          <w:p w14:paraId="399F0E41" w14:textId="77777777" w:rsidR="00E67F89" w:rsidRPr="00E67F89" w:rsidRDefault="00E67F89" w:rsidP="00E67F89">
            <w:r w:rsidRPr="00E67F89">
              <w:t>Employés et visiteurs</w:t>
            </w:r>
          </w:p>
        </w:tc>
        <w:tc>
          <w:tcPr>
            <w:tcW w:w="2743" w:type="dxa"/>
          </w:tcPr>
          <w:p w14:paraId="25F2AA75" w14:textId="77777777" w:rsidR="00E67F89" w:rsidRPr="00E67F89" w:rsidRDefault="00E67F89" w:rsidP="00E67F89">
            <w:r w:rsidRPr="00E67F89">
              <w:t>Dispositifs de lavage des mains disponibles au niveau des bureaux.</w:t>
            </w:r>
          </w:p>
        </w:tc>
        <w:tc>
          <w:tcPr>
            <w:tcW w:w="0" w:type="auto"/>
          </w:tcPr>
          <w:p w14:paraId="698211FC" w14:textId="77777777" w:rsidR="00E67F89" w:rsidRPr="00E67F89" w:rsidRDefault="00E67F89" w:rsidP="00E67F89">
            <w:r w:rsidRPr="00E67F89">
              <w:t>Directeur des travaux</w:t>
            </w:r>
          </w:p>
          <w:p w14:paraId="3DF8D553" w14:textId="77777777" w:rsidR="00E67F89" w:rsidRPr="00E67F89" w:rsidRDefault="00E67F89" w:rsidP="00E67F89">
            <w:r w:rsidRPr="00E67F89">
              <w:t>Responsable HS</w:t>
            </w:r>
          </w:p>
        </w:tc>
      </w:tr>
      <w:tr w:rsidR="00E67F89" w:rsidRPr="00E67F89" w14:paraId="7560A63E" w14:textId="77777777" w:rsidTr="00223F64">
        <w:tc>
          <w:tcPr>
            <w:tcW w:w="4503" w:type="dxa"/>
          </w:tcPr>
          <w:p w14:paraId="7E9BEFA3" w14:textId="77777777" w:rsidR="00E67F89" w:rsidRPr="00E67F89" w:rsidRDefault="00E67F89" w:rsidP="00E67F89">
            <w:r w:rsidRPr="00E67F89">
              <w:t>Mise en place d’une zone de mise en auto-quarantaine préventive ou isolement.</w:t>
            </w:r>
          </w:p>
        </w:tc>
        <w:tc>
          <w:tcPr>
            <w:tcW w:w="1275" w:type="dxa"/>
          </w:tcPr>
          <w:p w14:paraId="3F454523" w14:textId="77777777" w:rsidR="00E67F89" w:rsidRPr="00E67F89" w:rsidRDefault="00E67F89" w:rsidP="00E67F89">
            <w:r w:rsidRPr="00E67F89">
              <w:t>Employés suspectés du Covid-19</w:t>
            </w:r>
          </w:p>
        </w:tc>
        <w:tc>
          <w:tcPr>
            <w:tcW w:w="2743" w:type="dxa"/>
          </w:tcPr>
          <w:p w14:paraId="5F7A328B" w14:textId="77777777" w:rsidR="00E67F89" w:rsidRPr="00E67F89" w:rsidRDefault="00E67F89" w:rsidP="00E67F89">
            <w:r w:rsidRPr="00E67F89">
              <w:t>Présence d’une zone d’isolement à l’infirmerie</w:t>
            </w:r>
          </w:p>
        </w:tc>
        <w:tc>
          <w:tcPr>
            <w:tcW w:w="0" w:type="auto"/>
          </w:tcPr>
          <w:p w14:paraId="6DF1EEBC" w14:textId="77777777" w:rsidR="00E67F89" w:rsidRPr="00E67F89" w:rsidRDefault="00E67F89" w:rsidP="00E67F89">
            <w:r w:rsidRPr="00E67F89">
              <w:t>Infirmier ou Médecin du projet et du CSB2</w:t>
            </w:r>
          </w:p>
        </w:tc>
      </w:tr>
      <w:tr w:rsidR="00E67F89" w:rsidRPr="00E67F89" w14:paraId="4FB645E5" w14:textId="77777777" w:rsidTr="00223F64">
        <w:tc>
          <w:tcPr>
            <w:tcW w:w="4503" w:type="dxa"/>
          </w:tcPr>
          <w:p w14:paraId="17D693C9" w14:textId="77777777" w:rsidR="00E67F89" w:rsidRPr="00E67F89" w:rsidRDefault="00E67F89" w:rsidP="00E67F89">
            <w:r w:rsidRPr="00E67F89">
              <w:t xml:space="preserve">Installation d’une infirmerie au sein de la base vie de l’entreprise pour assurer la prise en charge urgente des personnes </w:t>
            </w:r>
            <w:r w:rsidRPr="00E67F89">
              <w:lastRenderedPageBreak/>
              <w:t>suspectées avant de l’envoyer vers un hôpital le plus proche.</w:t>
            </w:r>
          </w:p>
          <w:p w14:paraId="1DF031DB" w14:textId="77777777" w:rsidR="00E67F89" w:rsidRPr="00E67F89" w:rsidRDefault="00E67F89" w:rsidP="00E67F89">
            <w:r w:rsidRPr="00E67F89">
              <w:t>Engagement d’un personnel médical (Docteur ou Infirmier) pour assurer la gestion de l’infirmerie.</w:t>
            </w:r>
          </w:p>
          <w:p w14:paraId="22B55C00" w14:textId="77777777" w:rsidR="00E67F89" w:rsidRPr="00E67F89" w:rsidRDefault="00E67F89" w:rsidP="00E67F89">
            <w:r w:rsidRPr="00E67F89">
              <w:t>Utilisation des matériels médicaux suivant les normes : thermomètre frontal, tensiomètre, médicaments.</w:t>
            </w:r>
          </w:p>
        </w:tc>
        <w:tc>
          <w:tcPr>
            <w:tcW w:w="1275" w:type="dxa"/>
          </w:tcPr>
          <w:p w14:paraId="229743BE" w14:textId="77777777" w:rsidR="00E67F89" w:rsidRPr="00E67F89" w:rsidRDefault="00E67F89" w:rsidP="00E67F89">
            <w:r w:rsidRPr="00E67F89">
              <w:lastRenderedPageBreak/>
              <w:t>Tous les employés du projet</w:t>
            </w:r>
          </w:p>
        </w:tc>
        <w:tc>
          <w:tcPr>
            <w:tcW w:w="2743" w:type="dxa"/>
          </w:tcPr>
          <w:p w14:paraId="200E9E67" w14:textId="77777777" w:rsidR="00E67F89" w:rsidRPr="00E67F89" w:rsidRDefault="00E67F89" w:rsidP="00E67F89">
            <w:r w:rsidRPr="00E67F89">
              <w:t xml:space="preserve">Présence d’une infirmerie avec un </w:t>
            </w:r>
            <w:r w:rsidRPr="00E67F89">
              <w:lastRenderedPageBreak/>
              <w:t>personnel médical dans la base vie</w:t>
            </w:r>
          </w:p>
        </w:tc>
        <w:tc>
          <w:tcPr>
            <w:tcW w:w="0" w:type="auto"/>
          </w:tcPr>
          <w:p w14:paraId="6BDF88BE" w14:textId="77777777" w:rsidR="00E67F89" w:rsidRPr="00E67F89" w:rsidRDefault="00E67F89" w:rsidP="00E67F89">
            <w:r w:rsidRPr="00E67F89">
              <w:lastRenderedPageBreak/>
              <w:t>Directeur des travaux</w:t>
            </w:r>
          </w:p>
          <w:p w14:paraId="798DCB1E" w14:textId="77777777" w:rsidR="00E67F89" w:rsidRPr="00E67F89" w:rsidRDefault="00E67F89" w:rsidP="00E67F89">
            <w:r w:rsidRPr="00E67F89">
              <w:t>Responsable HS</w:t>
            </w:r>
          </w:p>
        </w:tc>
      </w:tr>
      <w:tr w:rsidR="00E67F89" w:rsidRPr="00E67F89" w14:paraId="4B6A8BD4" w14:textId="77777777" w:rsidTr="00223F64">
        <w:tc>
          <w:tcPr>
            <w:tcW w:w="4503" w:type="dxa"/>
          </w:tcPr>
          <w:p w14:paraId="1EA42FBF" w14:textId="77777777" w:rsidR="00E67F89" w:rsidRPr="00E67F89" w:rsidRDefault="00E67F89" w:rsidP="00E67F89">
            <w:r w:rsidRPr="00E67F89">
              <w:t>Nettoyage de la zone par des produits désinfectants avant la reprise des travaux.</w:t>
            </w:r>
          </w:p>
        </w:tc>
        <w:tc>
          <w:tcPr>
            <w:tcW w:w="1275" w:type="dxa"/>
          </w:tcPr>
          <w:p w14:paraId="1BC865CA" w14:textId="77777777" w:rsidR="00E67F89" w:rsidRPr="00E67F89" w:rsidRDefault="00E67F89" w:rsidP="00E67F89">
            <w:r w:rsidRPr="00E67F89">
              <w:t>Bureau, logement et chantier</w:t>
            </w:r>
          </w:p>
        </w:tc>
        <w:tc>
          <w:tcPr>
            <w:tcW w:w="2743" w:type="dxa"/>
          </w:tcPr>
          <w:p w14:paraId="71F5C115" w14:textId="77777777" w:rsidR="00E67F89" w:rsidRPr="00E67F89" w:rsidRDefault="00E67F89" w:rsidP="00E67F89">
            <w:r w:rsidRPr="00E67F89">
              <w:t>Nettoyage périodique des zones à risque par des matériels de nettoyage conformes (Pompe à produit désinfectant, personnel de nettoyage, produits désinfectant)</w:t>
            </w:r>
          </w:p>
        </w:tc>
        <w:tc>
          <w:tcPr>
            <w:tcW w:w="0" w:type="auto"/>
          </w:tcPr>
          <w:p w14:paraId="7BFD4680" w14:textId="77777777" w:rsidR="00E67F89" w:rsidRPr="00E67F89" w:rsidRDefault="00E67F89" w:rsidP="00E67F89">
            <w:r w:rsidRPr="00E67F89">
              <w:t>Directeur des travaux</w:t>
            </w:r>
          </w:p>
          <w:p w14:paraId="3E8690B7" w14:textId="77777777" w:rsidR="00E67F89" w:rsidRPr="00E67F89" w:rsidRDefault="00E67F89" w:rsidP="00E67F89">
            <w:r w:rsidRPr="00E67F89">
              <w:t>Responsable HS</w:t>
            </w:r>
          </w:p>
        </w:tc>
      </w:tr>
    </w:tbl>
    <w:p w14:paraId="51832B91" w14:textId="77777777" w:rsidR="00E67F89" w:rsidRPr="00E67F89" w:rsidRDefault="00E67F89" w:rsidP="00E67F89"/>
    <w:p w14:paraId="302B3491" w14:textId="77777777" w:rsidR="00E67F89" w:rsidRPr="00E67F89" w:rsidRDefault="00E67F89" w:rsidP="00E67F89">
      <w:pPr>
        <w:sectPr w:rsidR="00E67F89" w:rsidRPr="00E67F89" w:rsidSect="00D42025">
          <w:pgSz w:w="11906" w:h="16838"/>
          <w:pgMar w:top="1418" w:right="851" w:bottom="1134" w:left="851" w:header="709" w:footer="709" w:gutter="0"/>
          <w:pgNumType w:fmt="upperRoman"/>
          <w:cols w:space="708"/>
          <w:docGrid w:linePitch="360"/>
        </w:sectPr>
      </w:pPr>
    </w:p>
    <w:p w14:paraId="048C5ED1" w14:textId="77777777" w:rsidR="00E67F89" w:rsidRPr="00E67F89" w:rsidRDefault="00E67F89" w:rsidP="00E67F89">
      <w:bookmarkStart w:id="977" w:name="_Toc71990287"/>
      <w:r w:rsidRPr="00E67F89">
        <w:lastRenderedPageBreak/>
        <w:t>PLANNING DE MISE EN ŒUVRE</w:t>
      </w:r>
      <w:bookmarkEnd w:id="977"/>
    </w:p>
    <w:tbl>
      <w:tblPr>
        <w:tblStyle w:val="TableGrid"/>
        <w:tblW w:w="9493" w:type="dxa"/>
        <w:jc w:val="center"/>
        <w:tblLook w:val="04A0" w:firstRow="1" w:lastRow="0" w:firstColumn="1" w:lastColumn="0" w:noHBand="0" w:noVBand="1"/>
      </w:tblPr>
      <w:tblGrid>
        <w:gridCol w:w="2976"/>
        <w:gridCol w:w="2406"/>
        <w:gridCol w:w="4111"/>
      </w:tblGrid>
      <w:tr w:rsidR="00E67F89" w:rsidRPr="00E67F89" w14:paraId="2C7F3EE6" w14:textId="77777777" w:rsidTr="00223F64">
        <w:trPr>
          <w:jc w:val="center"/>
        </w:trPr>
        <w:tc>
          <w:tcPr>
            <w:tcW w:w="2976" w:type="dxa"/>
            <w:shd w:val="clear" w:color="auto" w:fill="E2EFD9" w:themeFill="accent6" w:themeFillTint="33"/>
          </w:tcPr>
          <w:p w14:paraId="181E3DFD" w14:textId="77777777" w:rsidR="00E67F89" w:rsidRPr="00E67F89" w:rsidRDefault="00E67F89" w:rsidP="00E67F89">
            <w:r w:rsidRPr="00E67F89">
              <w:t>ACTIONS A FAIRE</w:t>
            </w:r>
          </w:p>
        </w:tc>
        <w:tc>
          <w:tcPr>
            <w:tcW w:w="2406" w:type="dxa"/>
            <w:shd w:val="clear" w:color="auto" w:fill="E2EFD9" w:themeFill="accent6" w:themeFillTint="33"/>
          </w:tcPr>
          <w:p w14:paraId="5B3CC004" w14:textId="77777777" w:rsidR="00E67F89" w:rsidRPr="00E67F89" w:rsidRDefault="00E67F89" w:rsidP="00E67F89">
            <w:r w:rsidRPr="00E67F89">
              <w:t>LOCALITES</w:t>
            </w:r>
          </w:p>
        </w:tc>
        <w:tc>
          <w:tcPr>
            <w:tcW w:w="4111" w:type="dxa"/>
            <w:shd w:val="clear" w:color="auto" w:fill="E2EFD9" w:themeFill="accent6" w:themeFillTint="33"/>
          </w:tcPr>
          <w:p w14:paraId="449F40A1" w14:textId="77777777" w:rsidR="00E67F89" w:rsidRPr="00E67F89" w:rsidRDefault="00E67F89" w:rsidP="00E67F89">
            <w:r w:rsidRPr="00E67F89">
              <w:t>FREQUENCE/ECHEANCE</w:t>
            </w:r>
          </w:p>
        </w:tc>
      </w:tr>
      <w:tr w:rsidR="00E67F89" w:rsidRPr="00E67F89" w14:paraId="37709610" w14:textId="77777777" w:rsidTr="00223F64">
        <w:trPr>
          <w:jc w:val="center"/>
        </w:trPr>
        <w:tc>
          <w:tcPr>
            <w:tcW w:w="2976" w:type="dxa"/>
          </w:tcPr>
          <w:p w14:paraId="289CD24D" w14:textId="77777777" w:rsidR="00E67F89" w:rsidRPr="00E67F89" w:rsidRDefault="00E67F89" w:rsidP="00E67F89">
            <w:r w:rsidRPr="00E67F89">
              <w:t>Nettoyage des zones à risques</w:t>
            </w:r>
          </w:p>
        </w:tc>
        <w:tc>
          <w:tcPr>
            <w:tcW w:w="2406" w:type="dxa"/>
          </w:tcPr>
          <w:p w14:paraId="233C9829" w14:textId="77777777" w:rsidR="00E67F89" w:rsidRPr="00E67F89" w:rsidRDefault="00E67F89" w:rsidP="00E67F89">
            <w:r w:rsidRPr="00E67F89">
              <w:t>Bureaux</w:t>
            </w:r>
          </w:p>
          <w:p w14:paraId="66A61B9C" w14:textId="77777777" w:rsidR="00E67F89" w:rsidRPr="00E67F89" w:rsidRDefault="00E67F89" w:rsidP="00E67F89">
            <w:r w:rsidRPr="00E67F89">
              <w:t>Logements</w:t>
            </w:r>
          </w:p>
        </w:tc>
        <w:tc>
          <w:tcPr>
            <w:tcW w:w="4111" w:type="dxa"/>
          </w:tcPr>
          <w:p w14:paraId="0D7E0ACA" w14:textId="77777777" w:rsidR="00E67F89" w:rsidRPr="00E67F89" w:rsidRDefault="00E67F89" w:rsidP="00E67F89">
            <w:r w:rsidRPr="00E67F89">
              <w:t>Mensuel</w:t>
            </w:r>
          </w:p>
        </w:tc>
      </w:tr>
      <w:tr w:rsidR="00E67F89" w:rsidRPr="00E67F89" w14:paraId="72DE488F" w14:textId="77777777" w:rsidTr="00223F64">
        <w:trPr>
          <w:jc w:val="center"/>
        </w:trPr>
        <w:tc>
          <w:tcPr>
            <w:tcW w:w="2976" w:type="dxa"/>
          </w:tcPr>
          <w:p w14:paraId="7539C3DE" w14:textId="77777777" w:rsidR="00E67F89" w:rsidRPr="00E67F89" w:rsidRDefault="00E67F89" w:rsidP="00E67F89">
            <w:r w:rsidRPr="00E67F89">
              <w:t>Mise en place des dispositifs de lavage des mains.</w:t>
            </w:r>
          </w:p>
        </w:tc>
        <w:tc>
          <w:tcPr>
            <w:tcW w:w="2406" w:type="dxa"/>
          </w:tcPr>
          <w:p w14:paraId="441C169B" w14:textId="77777777" w:rsidR="00E67F89" w:rsidRPr="00E67F89" w:rsidRDefault="00E67F89" w:rsidP="00E67F89">
            <w:r w:rsidRPr="00E67F89">
              <w:t>Entrée de la base vie</w:t>
            </w:r>
          </w:p>
        </w:tc>
        <w:tc>
          <w:tcPr>
            <w:tcW w:w="4111" w:type="dxa"/>
          </w:tcPr>
          <w:p w14:paraId="049C1500" w14:textId="77777777" w:rsidR="00E67F89" w:rsidRPr="00E67F89" w:rsidRDefault="00E67F89" w:rsidP="00E67F89">
            <w:r w:rsidRPr="00E67F89">
              <w:t>Une fois au début de chantier</w:t>
            </w:r>
          </w:p>
        </w:tc>
      </w:tr>
      <w:tr w:rsidR="00E67F89" w:rsidRPr="00E67F89" w14:paraId="6BEE8407" w14:textId="77777777" w:rsidTr="00223F64">
        <w:trPr>
          <w:jc w:val="center"/>
        </w:trPr>
        <w:tc>
          <w:tcPr>
            <w:tcW w:w="2976" w:type="dxa"/>
          </w:tcPr>
          <w:p w14:paraId="5492928E" w14:textId="77777777" w:rsidR="00E67F89" w:rsidRPr="00E67F89" w:rsidRDefault="00E67F89" w:rsidP="00E67F89">
            <w:r w:rsidRPr="00E67F89">
              <w:t>Formation et sensibilisation</w:t>
            </w:r>
          </w:p>
        </w:tc>
        <w:tc>
          <w:tcPr>
            <w:tcW w:w="2406" w:type="dxa"/>
          </w:tcPr>
          <w:p w14:paraId="160D2E20" w14:textId="77777777" w:rsidR="00E67F89" w:rsidRPr="00E67F89" w:rsidRDefault="00E67F89" w:rsidP="00E67F89">
            <w:r w:rsidRPr="00E67F89">
              <w:t>Chantier</w:t>
            </w:r>
          </w:p>
        </w:tc>
        <w:tc>
          <w:tcPr>
            <w:tcW w:w="4111" w:type="dxa"/>
          </w:tcPr>
          <w:p w14:paraId="12AF419E" w14:textId="77777777" w:rsidR="00E67F89" w:rsidRPr="00E67F89" w:rsidRDefault="00E67F89" w:rsidP="00E67F89">
            <w:r w:rsidRPr="00E67F89">
              <w:t>Une fois au début des travaux/Après recrutement des employés</w:t>
            </w:r>
          </w:p>
          <w:p w14:paraId="68750285" w14:textId="77777777" w:rsidR="00E67F89" w:rsidRPr="00E67F89" w:rsidRDefault="00E67F89" w:rsidP="00E67F89">
            <w:r w:rsidRPr="00E67F89">
              <w:t>Hebdomadaire pour le Toolbox</w:t>
            </w:r>
          </w:p>
        </w:tc>
      </w:tr>
      <w:tr w:rsidR="00E67F89" w:rsidRPr="00E67F89" w14:paraId="61661B78" w14:textId="77777777" w:rsidTr="00223F64">
        <w:trPr>
          <w:jc w:val="center"/>
        </w:trPr>
        <w:tc>
          <w:tcPr>
            <w:tcW w:w="2976" w:type="dxa"/>
          </w:tcPr>
          <w:p w14:paraId="384BE6F9" w14:textId="77777777" w:rsidR="00E67F89" w:rsidRPr="00E67F89" w:rsidRDefault="00E67F89" w:rsidP="00E67F89">
            <w:r w:rsidRPr="00E67F89">
              <w:t>Acquisition des matériels sanitaires : THERMOMETRE FRONTAL</w:t>
            </w:r>
          </w:p>
        </w:tc>
        <w:tc>
          <w:tcPr>
            <w:tcW w:w="2406" w:type="dxa"/>
          </w:tcPr>
          <w:p w14:paraId="52E89D9F" w14:textId="77777777" w:rsidR="00E67F89" w:rsidRPr="00E67F89" w:rsidRDefault="00E67F89" w:rsidP="00E67F89">
            <w:r w:rsidRPr="00E67F89">
              <w:t>Entrée des bureaux</w:t>
            </w:r>
          </w:p>
        </w:tc>
        <w:tc>
          <w:tcPr>
            <w:tcW w:w="4111" w:type="dxa"/>
          </w:tcPr>
          <w:p w14:paraId="40F3BB52" w14:textId="77777777" w:rsidR="00E67F89" w:rsidRPr="00E67F89" w:rsidRDefault="00E67F89" w:rsidP="00E67F89">
            <w:r w:rsidRPr="00E67F89">
              <w:t>Une fois après installation au bureau</w:t>
            </w:r>
          </w:p>
        </w:tc>
      </w:tr>
      <w:tr w:rsidR="00E67F89" w:rsidRPr="00E67F89" w14:paraId="00EB90AF" w14:textId="77777777" w:rsidTr="00223F64">
        <w:trPr>
          <w:jc w:val="center"/>
        </w:trPr>
        <w:tc>
          <w:tcPr>
            <w:tcW w:w="2976" w:type="dxa"/>
          </w:tcPr>
          <w:p w14:paraId="2538ACE7" w14:textId="77777777" w:rsidR="00E67F89" w:rsidRPr="00E67F89" w:rsidRDefault="00E67F89" w:rsidP="00E67F89">
            <w:r w:rsidRPr="00E67F89">
              <w:t>Installation d’une infirmerie et d’une zone d’isolement</w:t>
            </w:r>
          </w:p>
        </w:tc>
        <w:tc>
          <w:tcPr>
            <w:tcW w:w="2406" w:type="dxa"/>
          </w:tcPr>
          <w:p w14:paraId="0A4DD963" w14:textId="77777777" w:rsidR="00E67F89" w:rsidRPr="00E67F89" w:rsidRDefault="00E67F89" w:rsidP="00E67F89">
            <w:r w:rsidRPr="00E67F89">
              <w:t>Base vie</w:t>
            </w:r>
          </w:p>
        </w:tc>
        <w:tc>
          <w:tcPr>
            <w:tcW w:w="4111" w:type="dxa"/>
          </w:tcPr>
          <w:p w14:paraId="679958AB" w14:textId="77777777" w:rsidR="00E67F89" w:rsidRPr="00E67F89" w:rsidRDefault="00E67F89" w:rsidP="00E67F89">
            <w:r w:rsidRPr="00E67F89">
              <w:t>Une fois durant l’installation des bureaux du projet</w:t>
            </w:r>
          </w:p>
        </w:tc>
      </w:tr>
      <w:tr w:rsidR="00E67F89" w:rsidRPr="00E67F89" w14:paraId="04770C0A" w14:textId="77777777" w:rsidTr="00223F64">
        <w:trPr>
          <w:jc w:val="center"/>
        </w:trPr>
        <w:tc>
          <w:tcPr>
            <w:tcW w:w="2976" w:type="dxa"/>
          </w:tcPr>
          <w:p w14:paraId="681A4703" w14:textId="77777777" w:rsidR="00E67F89" w:rsidRPr="00E67F89" w:rsidRDefault="00E67F89" w:rsidP="00E67F89">
            <w:r w:rsidRPr="00E67F89">
              <w:t>Prise en charge des malades jusqu’à une zone d’isolement.</w:t>
            </w:r>
          </w:p>
        </w:tc>
        <w:tc>
          <w:tcPr>
            <w:tcW w:w="2406" w:type="dxa"/>
          </w:tcPr>
          <w:p w14:paraId="53233C32" w14:textId="77777777" w:rsidR="00E67F89" w:rsidRPr="00E67F89" w:rsidRDefault="00E67F89" w:rsidP="00E67F89">
            <w:r w:rsidRPr="00E67F89">
              <w:t>Chantier</w:t>
            </w:r>
          </w:p>
        </w:tc>
        <w:tc>
          <w:tcPr>
            <w:tcW w:w="4111" w:type="dxa"/>
          </w:tcPr>
          <w:p w14:paraId="09C92402" w14:textId="77777777" w:rsidR="00E67F89" w:rsidRPr="00E67F89" w:rsidRDefault="00E67F89" w:rsidP="00E67F89">
            <w:r w:rsidRPr="00E67F89">
              <w:t>A chaque fois où il y a un cas suspecté</w:t>
            </w:r>
          </w:p>
        </w:tc>
      </w:tr>
      <w:tr w:rsidR="00E67F89" w:rsidRPr="00E67F89" w14:paraId="630C707C" w14:textId="77777777" w:rsidTr="00223F64">
        <w:trPr>
          <w:jc w:val="center"/>
        </w:trPr>
        <w:tc>
          <w:tcPr>
            <w:tcW w:w="2976" w:type="dxa"/>
          </w:tcPr>
          <w:p w14:paraId="66158EA8" w14:textId="77777777" w:rsidR="00E67F89" w:rsidRPr="00E67F89" w:rsidRDefault="00E67F89" w:rsidP="00E67F89">
            <w:r w:rsidRPr="00E67F89">
              <w:t>Donation des équipements (Cache bouche lavable, ou masque chirurgical)</w:t>
            </w:r>
          </w:p>
        </w:tc>
        <w:tc>
          <w:tcPr>
            <w:tcW w:w="2406" w:type="dxa"/>
          </w:tcPr>
          <w:p w14:paraId="640EB79E" w14:textId="77777777" w:rsidR="00E67F89" w:rsidRPr="00E67F89" w:rsidRDefault="00E67F89" w:rsidP="00E67F89">
            <w:r w:rsidRPr="00E67F89">
              <w:t>Bureau</w:t>
            </w:r>
          </w:p>
          <w:p w14:paraId="23A71A84" w14:textId="77777777" w:rsidR="00E67F89" w:rsidRPr="00E67F89" w:rsidRDefault="00E67F89" w:rsidP="00E67F89">
            <w:r w:rsidRPr="00E67F89">
              <w:t>Chantier</w:t>
            </w:r>
          </w:p>
        </w:tc>
        <w:tc>
          <w:tcPr>
            <w:tcW w:w="4111" w:type="dxa"/>
          </w:tcPr>
          <w:p w14:paraId="5CB105EE" w14:textId="77777777" w:rsidR="00E67F89" w:rsidRPr="00E67F89" w:rsidRDefault="00E67F89" w:rsidP="00E67F89">
            <w:r w:rsidRPr="00E67F89">
              <w:t>Masque chirurgical : TROIS FOIS PAR MOIS</w:t>
            </w:r>
          </w:p>
          <w:p w14:paraId="0E3D5C59" w14:textId="77777777" w:rsidR="00E67F89" w:rsidRPr="00E67F89" w:rsidRDefault="00E67F89" w:rsidP="00E67F89">
            <w:r w:rsidRPr="00E67F89">
              <w:t>Cache bouche lavable : après recrutement</w:t>
            </w:r>
          </w:p>
        </w:tc>
      </w:tr>
      <w:tr w:rsidR="00E67F89" w:rsidRPr="00E67F89" w14:paraId="04250EE7" w14:textId="77777777" w:rsidTr="00223F64">
        <w:trPr>
          <w:trHeight w:val="1344"/>
          <w:jc w:val="center"/>
        </w:trPr>
        <w:tc>
          <w:tcPr>
            <w:tcW w:w="2976" w:type="dxa"/>
          </w:tcPr>
          <w:p w14:paraId="6F44410D" w14:textId="77777777" w:rsidR="00E67F89" w:rsidRPr="00E67F89" w:rsidRDefault="00E67F89" w:rsidP="00E67F89">
            <w:r w:rsidRPr="00E67F89">
              <w:t>Affichage des mesures sanitaires</w:t>
            </w:r>
          </w:p>
        </w:tc>
        <w:tc>
          <w:tcPr>
            <w:tcW w:w="2406" w:type="dxa"/>
          </w:tcPr>
          <w:p w14:paraId="2880812A" w14:textId="77777777" w:rsidR="00E67F89" w:rsidRPr="00E67F89" w:rsidRDefault="00E67F89" w:rsidP="00E67F89">
            <w:r w:rsidRPr="00E67F89">
              <w:t>Bureau</w:t>
            </w:r>
          </w:p>
          <w:p w14:paraId="64E80265" w14:textId="77777777" w:rsidR="00E67F89" w:rsidRPr="00E67F89" w:rsidRDefault="00E67F89" w:rsidP="00E67F89">
            <w:r w:rsidRPr="00E67F89">
              <w:t>Chantiers</w:t>
            </w:r>
          </w:p>
          <w:p w14:paraId="33B0CA3D" w14:textId="77777777" w:rsidR="00E67F89" w:rsidRPr="00E67F89" w:rsidRDefault="00E67F89" w:rsidP="00E67F89">
            <w:r w:rsidRPr="00E67F89">
              <w:t>Fokontany concerné par le projet</w:t>
            </w:r>
          </w:p>
        </w:tc>
        <w:tc>
          <w:tcPr>
            <w:tcW w:w="4111" w:type="dxa"/>
          </w:tcPr>
          <w:p w14:paraId="204B4F11" w14:textId="77777777" w:rsidR="00E67F89" w:rsidRPr="00E67F89" w:rsidRDefault="00E67F89" w:rsidP="00E67F89">
            <w:r w:rsidRPr="00E67F89">
              <w:t>Selon le besoin</w:t>
            </w:r>
          </w:p>
        </w:tc>
      </w:tr>
      <w:tr w:rsidR="00E67F89" w:rsidRPr="00E67F89" w14:paraId="735CC425" w14:textId="77777777" w:rsidTr="00223F64">
        <w:trPr>
          <w:trHeight w:val="992"/>
          <w:jc w:val="center"/>
        </w:trPr>
        <w:tc>
          <w:tcPr>
            <w:tcW w:w="2976" w:type="dxa"/>
          </w:tcPr>
          <w:p w14:paraId="1CB97196" w14:textId="77777777" w:rsidR="00E67F89" w:rsidRPr="00E67F89" w:rsidRDefault="00E67F89" w:rsidP="00E67F89">
            <w:r w:rsidRPr="00E67F89">
              <w:t>Mis en place de l’infirmerie et recrutement du personnel médical</w:t>
            </w:r>
          </w:p>
        </w:tc>
        <w:tc>
          <w:tcPr>
            <w:tcW w:w="2406" w:type="dxa"/>
          </w:tcPr>
          <w:p w14:paraId="11474DC7" w14:textId="77777777" w:rsidR="00E67F89" w:rsidRPr="00E67F89" w:rsidRDefault="00E67F89" w:rsidP="00E67F89">
            <w:r w:rsidRPr="00E67F89">
              <w:t>Bureau</w:t>
            </w:r>
          </w:p>
        </w:tc>
        <w:tc>
          <w:tcPr>
            <w:tcW w:w="4111" w:type="dxa"/>
          </w:tcPr>
          <w:p w14:paraId="777F8D4D" w14:textId="77777777" w:rsidR="00E67F89" w:rsidRPr="00E67F89" w:rsidRDefault="00E67F89" w:rsidP="00E67F89">
            <w:r w:rsidRPr="00E67F89">
              <w:t>Pendant la phase d’installation de l’entreprise</w:t>
            </w:r>
          </w:p>
        </w:tc>
      </w:tr>
    </w:tbl>
    <w:p w14:paraId="48DDC557" w14:textId="77777777" w:rsidR="00E67F89" w:rsidRPr="00E67F89" w:rsidRDefault="00E67F89" w:rsidP="00E67F89"/>
    <w:p w14:paraId="7EE864DB" w14:textId="77777777" w:rsidR="00E67F89" w:rsidRPr="00E67F89" w:rsidRDefault="00E67F89" w:rsidP="00E67F89">
      <w:pPr>
        <w:sectPr w:rsidR="00E67F89" w:rsidRPr="00E67F89" w:rsidSect="00D42025">
          <w:pgSz w:w="11906" w:h="16838"/>
          <w:pgMar w:top="1417" w:right="1417" w:bottom="1417" w:left="1417" w:header="708" w:footer="708" w:gutter="0"/>
          <w:pgNumType w:fmt="upperRoman"/>
          <w:cols w:space="708"/>
          <w:docGrid w:linePitch="360"/>
        </w:sectPr>
      </w:pPr>
    </w:p>
    <w:p w14:paraId="44A558EA" w14:textId="7A930B55" w:rsidR="00E67F89" w:rsidRPr="00E67F89" w:rsidRDefault="00E67F89" w:rsidP="00E67F89">
      <w:bookmarkStart w:id="978" w:name="_Toc72015678"/>
      <w:bookmarkStart w:id="979" w:name="_Toc138414187"/>
      <w:bookmarkStart w:id="980" w:name="_Toc230426129"/>
      <w:r w:rsidRPr="00E67F89">
        <w:lastRenderedPageBreak/>
        <w:t xml:space="preserve">Annexe </w:t>
      </w:r>
      <w:r w:rsidRPr="00E67F89">
        <w:fldChar w:fldCharType="begin"/>
      </w:r>
      <w:r w:rsidRPr="00E67F89">
        <w:instrText xml:space="preserve"> SEQ Annexe \* ARABIC </w:instrText>
      </w:r>
      <w:r w:rsidRPr="00E67F89">
        <w:fldChar w:fldCharType="separate"/>
      </w:r>
      <w:r>
        <w:rPr>
          <w:noProof/>
        </w:rPr>
        <w:t>24</w:t>
      </w:r>
      <w:r w:rsidRPr="00E67F89">
        <w:fldChar w:fldCharType="end"/>
      </w:r>
      <w:r w:rsidRPr="00E67F89">
        <w:t> : Plans de gestion de la sécurité dans les base-vie</w:t>
      </w:r>
      <w:bookmarkEnd w:id="978"/>
      <w:bookmarkEnd w:id="979"/>
      <w:bookmarkEnd w:id="980"/>
    </w:p>
    <w:p w14:paraId="1650EBD7" w14:textId="77777777" w:rsidR="00E67F89" w:rsidRPr="00E67F89" w:rsidRDefault="00E67F89" w:rsidP="00E67F89"/>
    <w:p w14:paraId="397460FC" w14:textId="77777777" w:rsidR="00E67F89" w:rsidRPr="00E67F89" w:rsidRDefault="00E67F89" w:rsidP="00E67F89">
      <w:r w:rsidRPr="00E67F89">
        <w:t xml:space="preserve">La plupart des Plans de gestion de la sécurité (PGS) comporteront les sections suivantes, qui seront réexaminées au moins une fois l’an ou après la survenance de tout incident, et qui seront modifiées selon les besoins pendant toute la durée de vie du projet. </w:t>
      </w:r>
    </w:p>
    <w:p w14:paraId="40B98122" w14:textId="77777777" w:rsidR="00E67F89" w:rsidRPr="00E67F89" w:rsidRDefault="00E67F89" w:rsidP="00E67F89">
      <w:r w:rsidRPr="00E67F89">
        <w:t>A. OBJECTIFS ET APPROCHE</w:t>
      </w:r>
    </w:p>
    <w:p w14:paraId="279BCA2C" w14:textId="77777777" w:rsidR="00E67F89" w:rsidRPr="00E67F89" w:rsidRDefault="00E67F89" w:rsidP="00E67F89">
      <w:r w:rsidRPr="00E67F89">
        <w:t xml:space="preserve">Objectifs d’un PGS. </w:t>
      </w:r>
    </w:p>
    <w:p w14:paraId="1EA7C524" w14:textId="77777777" w:rsidR="00E67F89" w:rsidRPr="00E67F89" w:rsidRDefault="00E67F89" w:rsidP="00E67F89">
      <w:r w:rsidRPr="00E67F89">
        <w:t xml:space="preserve">Description de la politique de sécurité, notamment les priorités, les rôles et les responsabilités. Si cela est applicable, décrire les relations entre les services de sécurité du projet et les fournisseurs/prestataires indépendants et ceux qui leur sont affiliés (responsables des travaux d’ingénierie, de la passation des marchés, des travaux de construction, etc.), et les responsabilités respectives de ces intervenants. </w:t>
      </w:r>
    </w:p>
    <w:p w14:paraId="2542B0AD" w14:textId="77777777" w:rsidR="00E67F89" w:rsidRPr="00E67F89" w:rsidRDefault="00E67F89" w:rsidP="00E67F89">
      <w:r w:rsidRPr="00E67F89">
        <w:t xml:space="preserve">Synthèse de l’approche proposée pour assurer la sécurité et pouvant être communiquée aux parties prenantes locales, dont lien avec le plan de mobilisation des parties prenantes (PMPP) et le mécanisme de gestion des plaintes. </w:t>
      </w:r>
    </w:p>
    <w:p w14:paraId="0A8091FA" w14:textId="77777777" w:rsidR="00E67F89" w:rsidRPr="00E67F89" w:rsidRDefault="00E67F89" w:rsidP="00E67F89">
      <w:r w:rsidRPr="00E67F89">
        <w:t xml:space="preserve">B. NORMES ET BONNES PRATIQUES INTERNATIONALES </w:t>
      </w:r>
    </w:p>
    <w:p w14:paraId="016CCEFC" w14:textId="77777777" w:rsidR="00E67F89" w:rsidRPr="00E67F89" w:rsidRDefault="00E67F89" w:rsidP="00E67F89">
      <w:r w:rsidRPr="00E67F89">
        <w:t>Faire état des normes, règles et bonnes pratiques internationales figurant dans le plan. Inclure la législation nationale et internationale en vigueur, les normes environnementales et sociales de la Banque mondiale et les autres bonnes pratiques internationales applicables (voir annexe)</w:t>
      </w:r>
    </w:p>
    <w:p w14:paraId="464D3EA3" w14:textId="77777777" w:rsidR="00E67F89" w:rsidRPr="00E67F89" w:rsidRDefault="00E67F89" w:rsidP="00E67F89">
      <w:r w:rsidRPr="00E67F89">
        <w:t xml:space="preserve">C. APERÇU DE LA SITUATION EN MATIÈRE DE SÉCURITÉ </w:t>
      </w:r>
    </w:p>
    <w:p w14:paraId="1C68C9B0" w14:textId="77777777" w:rsidR="00E67F89" w:rsidRPr="00E67F89" w:rsidRDefault="00E67F89" w:rsidP="00E67F89">
      <w:r w:rsidRPr="00E67F89">
        <w:t xml:space="preserve">Contexte général du projet : données démographiques applicables, telles que structure par âge de la population, chômage, pauvreté et inégalités ; niveaux et type de criminalité ; troubles politiques, mouvements et conflits sociaux endémiques ; terrorisme et rébellion ; et attitude générale vis-à-vis du projet et des problèmes qui y sont liés. </w:t>
      </w:r>
    </w:p>
    <w:p w14:paraId="7B0E150A" w14:textId="77777777" w:rsidR="00E67F89" w:rsidRPr="00E67F89" w:rsidRDefault="00E67F89" w:rsidP="00E67F89">
      <w:r w:rsidRPr="00E67F89">
        <w:t xml:space="preserve">Risques en matière de sécurité : cette section devrait reposer sur l’ERS du projet et permettre d’examiner les aspects suivants : </w:t>
      </w:r>
    </w:p>
    <w:p w14:paraId="664A11FF" w14:textId="77777777" w:rsidR="00E67F89" w:rsidRPr="00E67F89" w:rsidRDefault="00E67F89" w:rsidP="00E67F89">
      <w:r w:rsidRPr="00E67F89">
        <w:t xml:space="preserve">Risques internes (p. ex. comportements illicites, contraires à l’éthique ou inappropriés du personnel du projet ou des personnes qui lui sont directement apparentées, tels que vols commis par les employés, violences au travail et conflits sociaux, voire actes de sabotage connexes). </w:t>
      </w:r>
    </w:p>
    <w:p w14:paraId="42A15D18" w14:textId="77777777" w:rsidR="00E67F89" w:rsidRPr="00E67F89" w:rsidRDefault="00E67F89" w:rsidP="00E67F89">
      <w:r w:rsidRPr="00E67F89">
        <w:t xml:space="preserve">Risques extérieurs comme ceux résultant d’actes de personnes étrangères au projet qui cherchent à tirer profit d’opportunités suscitées par l’élaboration et la phase opérationnelle du projet, tels que la petite criminalité, la perturbation du projet à des fins économiques, politiques ou sociales, et les autres actes délibérés ayant des effets négatifs sur le déroulement effectif, efficace et sans risque du projet. Dans les cas extrêmes, il pourrait s’agir de terrorisme, d’insurrections armées, de coups d’État ou de guerres. </w:t>
      </w:r>
    </w:p>
    <w:p w14:paraId="437D4C6B" w14:textId="77777777" w:rsidR="00E67F89" w:rsidRPr="00E67F89" w:rsidRDefault="00E67F89" w:rsidP="00E67F89">
      <w:r w:rsidRPr="00E67F89">
        <w:t xml:space="preserve">Le PGS devrait rappeler que la présence ou l’intervention de forces de sécurité pourrait accroître les risques pour les communautés ou leurs membres. </w:t>
      </w:r>
    </w:p>
    <w:p w14:paraId="38E97186" w14:textId="77777777" w:rsidR="00E67F89" w:rsidRPr="00E67F89" w:rsidRDefault="00E67F89" w:rsidP="00E67F89">
      <w:r w:rsidRPr="00E67F89">
        <w:lastRenderedPageBreak/>
        <w:t xml:space="preserve">Dispositions prises en matière de sécurité : indiquer qui assure la protection de base du site du projet (personnel de sécurité privée — interne ou sous-traitant — et/ou dispositif faisant appel à des agents de sécurité publique). Donner les grandes lignes du code de conduite. </w:t>
      </w:r>
    </w:p>
    <w:p w14:paraId="6EB4F48C" w14:textId="77777777" w:rsidR="00E67F89" w:rsidRPr="00E67F89" w:rsidRDefault="00E67F89" w:rsidP="00E67F89">
      <w:r w:rsidRPr="00E67F89">
        <w:t xml:space="preserve">D. SÉCURITÉ PHYSIQUE </w:t>
      </w:r>
    </w:p>
    <w:p w14:paraId="2F169B04" w14:textId="77777777" w:rsidR="00E67F89" w:rsidRPr="00E67F89" w:rsidRDefault="00E67F89" w:rsidP="00E67F89">
      <w:r w:rsidRPr="00E67F89">
        <w:t xml:space="preserve">Faire une description générale de l’approche et des systèmes de sécurité pour le projet. Dans l’idéal, cette section décrit les barrières de sécurité telles que les clôtures, les portails, les systèmes de verrouillage, les postes de garde, les systèmes de vidéosurveillance/de sécurité électronique, et présente le dispositif général de gestion de la sécurité. </w:t>
      </w:r>
    </w:p>
    <w:p w14:paraId="1145C18C" w14:textId="77777777" w:rsidR="00E67F89" w:rsidRPr="00E67F89" w:rsidRDefault="00E67F89" w:rsidP="00E67F89">
      <w:r w:rsidRPr="00E67F89">
        <w:t>E. CONSIGNES DE SÉCURITÉ</w:t>
      </w:r>
    </w:p>
    <w:p w14:paraId="3C1ECA36" w14:textId="77777777" w:rsidR="00E67F89" w:rsidRPr="00E67F89" w:rsidRDefault="00E67F89" w:rsidP="00E67F89">
      <w:r w:rsidRPr="00E67F89">
        <w:t xml:space="preserve">Décrire brièvement les principales consignes de sécurité, à savoir : </w:t>
      </w:r>
    </w:p>
    <w:p w14:paraId="044055DC" w14:textId="77777777" w:rsidR="00E67F89" w:rsidRPr="00E67F89" w:rsidRDefault="00E67F89" w:rsidP="00E67F89">
      <w:r w:rsidRPr="00E67F89">
        <w:t xml:space="preserve">Sécurité du périmètre — comment le dispositif de sécurité assure-t-il le contrôle du périmètre du projet et oriente-t-il les personnes concernées vers les postes de contrôle d’accès. </w:t>
      </w:r>
    </w:p>
    <w:p w14:paraId="332A7D0A" w14:textId="77777777" w:rsidR="00E67F89" w:rsidRPr="00E67F89" w:rsidRDefault="00E67F89" w:rsidP="00E67F89">
      <w:r w:rsidRPr="00E67F89">
        <w:t xml:space="preserve">Vérifications aux points d’accès – type de vérification et de contrôle des personnes et des véhicules aux entrées et aux points d’accès. Préciser le type et l’objet des fouilles à l’entrée et à la sortie, et indiquer qui y est soumis. </w:t>
      </w:r>
    </w:p>
    <w:p w14:paraId="000BB13E" w14:textId="77777777" w:rsidR="00E67F89" w:rsidRPr="00E67F89" w:rsidRDefault="00E67F89" w:rsidP="00E67F89">
      <w:r w:rsidRPr="00E67F89">
        <w:t xml:space="preserve">Interventions à la suite d’incidents — comment le personnel de sécurité interviendra-t-il à la suite d’un incident et qui est chargé de ces interventions. Celles-ci devraient reposer sur un usage approprié et proportionné de la force. Décrire le rôle des agents de sécurité publique, par exemple en ce qui concerne les activités criminelles, en précisant qui leur demande d’intervenir et dans quelles circonstances. </w:t>
      </w:r>
    </w:p>
    <w:p w14:paraId="5B9B4B5F" w14:textId="77777777" w:rsidR="00E67F89" w:rsidRPr="00E67F89" w:rsidRDefault="00E67F89" w:rsidP="00E67F89">
      <w:r w:rsidRPr="00E67F89">
        <w:t xml:space="preserve">Patrouilles de sécurité — nature et fréquence des vérifications effectuées par les patrouilles. </w:t>
      </w:r>
    </w:p>
    <w:p w14:paraId="6FA77006" w14:textId="77777777" w:rsidR="00E67F89" w:rsidRPr="00E67F89" w:rsidRDefault="00E67F89" w:rsidP="00E67F89">
      <w:r w:rsidRPr="00E67F89">
        <w:t xml:space="preserve">Sécurité des déplacements hors site — procédure spéciale le cas échéant. </w:t>
      </w:r>
    </w:p>
    <w:p w14:paraId="05818EF8" w14:textId="77777777" w:rsidR="00E67F89" w:rsidRPr="00E67F89" w:rsidRDefault="00E67F89" w:rsidP="00E67F89">
      <w:r w:rsidRPr="00E67F89">
        <w:t xml:space="preserve">Entreposage et contrôle des matières premières et équipements — tout contrôle applicable le cas échéant au transport et aux stocks de matières premières, d’équipements, etc., et à la maintenance des aires d’entreposage. Faire observer que cet entreposage se fait conformément aux textes législatifs et réglementaires nationaux en vigueur et aux bonnes pratiques internationales en usage dans le secteur de la sécurité, dont les Directives environnementales, sanitaires et sécuritaires du Groupe de la Banque mondiale. </w:t>
      </w:r>
    </w:p>
    <w:p w14:paraId="56566C13" w14:textId="77777777" w:rsidR="00E67F89" w:rsidRPr="00E67F89" w:rsidRDefault="00E67F89" w:rsidP="00E67F89">
      <w:r w:rsidRPr="00E67F89">
        <w:t xml:space="preserve">Information et communication — procédures de classement, de traitement et de contrôle des informations sensibles. </w:t>
      </w:r>
    </w:p>
    <w:p w14:paraId="4C7D06A5" w14:textId="77777777" w:rsidR="00E67F89" w:rsidRPr="00E67F89" w:rsidRDefault="00E67F89" w:rsidP="00E67F89">
      <w:r w:rsidRPr="00E67F89">
        <w:t xml:space="preserve">Sécurité des armes à feu — politique relative aux armes à feu sur le site du projet, et responsabilités et procédures en matière de délivrance et d’entreposage de toute arme à feu, munition et arme non létale utilisée à des fins de sécurité. Il devrait s’agir notamment des aspects suivants : lieu d’entreposage, façon dont les armes sont sécurisées lorsqu’elles sont rangées, dossiers de délivrance, personnes auxquelles elles peuvent être délivrées, sécurité lorsqu’elles sont en possession du personnel de sécurité, et audits. </w:t>
      </w:r>
    </w:p>
    <w:p w14:paraId="7374B770" w14:textId="77777777" w:rsidR="00E67F89" w:rsidRPr="00E67F89" w:rsidRDefault="00E67F89" w:rsidP="00E67F89">
      <w:r w:rsidRPr="00E67F89">
        <w:t xml:space="preserve">Situations spéciales — il peut se produire des cas où des activités de grande envergure (p. ex. activités criminelles, manifestations, troubles civils) nécessitent l’intervention de forces de </w:t>
      </w:r>
      <w:r w:rsidRPr="00E67F89">
        <w:lastRenderedPageBreak/>
        <w:t xml:space="preserve">sécurité publique extérieures au projet. Lorsqu’on se prépare à de telles activités ou situations d’urgence, il faudrait prévoir clairement la façon dont le personnel de sécurité (privé ou public) du projet passe le contrôle des opérations à la force publique (par exemple à la police, à l’armée ou aux services d’intervention d’urgence). </w:t>
      </w:r>
    </w:p>
    <w:p w14:paraId="5FAE392C" w14:textId="77777777" w:rsidR="00E67F89" w:rsidRPr="00E67F89" w:rsidRDefault="00E67F89" w:rsidP="00E67F89">
      <w:r w:rsidRPr="00E67F89">
        <w:t xml:space="preserve">F. SUPERVISION ET CONTRÔLE DES OPÉRATIONS DE SÉCURITÉ </w:t>
      </w:r>
    </w:p>
    <w:p w14:paraId="39D445FF" w14:textId="77777777" w:rsidR="00E67F89" w:rsidRPr="00E67F89" w:rsidRDefault="00E67F89" w:rsidP="00E67F89">
      <w:r w:rsidRPr="00E67F89">
        <w:t xml:space="preserve">Structure de gestion et responsabilités, dont les liens hiérarchiques, les responsabilités et la supervision dans le cadre de l’effort de sécurité. Définir qui supervise la performance au quotidien des forces de sécurité et qui a le pouvoir de décision. Indiquer à qui incombe la responsabilité générale du partage et de la communication de l’information sur la sécurité. </w:t>
      </w:r>
    </w:p>
    <w:p w14:paraId="1F8E0887" w14:textId="77777777" w:rsidR="00E67F89" w:rsidRPr="00E67F89" w:rsidRDefault="00E67F89" w:rsidP="00E67F89">
      <w:r w:rsidRPr="00E67F89">
        <w:t xml:space="preserve">Responsabilité pour la réalisation des évaluations des risques liés à la sécurité — préciser qui est responsable de la conduite des évaluations des risques, qui y participe (p. ex. la direction générale, l’équipe chargée des relations avec les populations, les principales parties prenantes au sein des communautés), et ce que les évaluations couvrent. </w:t>
      </w:r>
    </w:p>
    <w:p w14:paraId="26E9E20F" w14:textId="77777777" w:rsidR="00E67F89" w:rsidRPr="00E67F89" w:rsidRDefault="00E67F89" w:rsidP="00E67F89">
      <w:r w:rsidRPr="00E67F89">
        <w:t xml:space="preserve">Coordination transversale — décrire la coordination entre services, notamment les responsables des relations avec la population locale, des ressources humaines et des relations avec l’administration, tous partenaires importants pour la sécurité du projet. Indiquer toute activité de planification/coordination se déroulant entre les services de sécurité et les autres départements ; il peut s’agir de la participation aux évaluations des risques liés à la sécurité ou de réunions hebdomadaires. </w:t>
      </w:r>
    </w:p>
    <w:p w14:paraId="75922A12" w14:textId="77777777" w:rsidR="00E67F89" w:rsidRPr="00E67F89" w:rsidRDefault="00E67F89" w:rsidP="00E67F89">
      <w:r w:rsidRPr="00E67F89">
        <w:t xml:space="preserve">G. GESTION DU PERSONNEL DE SÉCURITÉ PRIVÉ </w:t>
      </w:r>
    </w:p>
    <w:p w14:paraId="0364DF77" w14:textId="77777777" w:rsidR="00E67F89" w:rsidRPr="00E67F89" w:rsidRDefault="00E67F89" w:rsidP="00E67F89">
      <w:r w:rsidRPr="00E67F89">
        <w:t xml:space="preserve">Le rôle des entreprises de sécurité privée est de fournir des services préventifs et défensifs, et de protéger les travailleurs du projet, les installations, les équipements et les opérations, quel que soit leur emplacement. Le personnel de sécurité privé n’a pas le pouvoir de faire respecter les lois et ne peut empiéter sur les attributions, responsabilités et prérogatives propres aux forces de sécurité publique. </w:t>
      </w:r>
    </w:p>
    <w:p w14:paraId="4FDD9380" w14:textId="77777777" w:rsidR="00E67F89" w:rsidRPr="00E67F89" w:rsidRDefault="00E67F89" w:rsidP="00E67F89">
      <w:r w:rsidRPr="00E67F89">
        <w:t xml:space="preserve">Emploi et composition du personnel de sécurité privé — indiquer si le personnel de sécurité est employé directement ou s’il est fourni par un prestataire de sécurité indépendant. </w:t>
      </w:r>
    </w:p>
    <w:p w14:paraId="027062FB" w14:textId="77777777" w:rsidR="00E67F89" w:rsidRPr="00E67F89" w:rsidRDefault="00E67F89" w:rsidP="00E67F89">
      <w:r w:rsidRPr="00E67F89">
        <w:t xml:space="preserve">Dispositions contractuelles — mentionner toutes les dispositions voulues (p. ex. celles relatives aux uniformes et à l’équipement). </w:t>
      </w:r>
    </w:p>
    <w:p w14:paraId="2C91E39E" w14:textId="77777777" w:rsidR="00E67F89" w:rsidRPr="00E67F89" w:rsidRDefault="00E67F89" w:rsidP="00E67F89">
      <w:r w:rsidRPr="00E67F89">
        <w:t xml:space="preserve">Surveillance active de la performance du prestataire — pour assurer la qualité des prestations, des audits seront réalisés, l’organisation de séances de formation sera facilitée, les allégations crédibles d’abus ou de comportements répréhensibles seront examinées à fond et la qualité du travail sur le site sera suivie en permanence dans le cadre du projet. </w:t>
      </w:r>
    </w:p>
    <w:p w14:paraId="73D5F339" w14:textId="77777777" w:rsidR="00E67F89" w:rsidRPr="00E67F89" w:rsidRDefault="00E67F89" w:rsidP="00E67F89">
      <w:r w:rsidRPr="00E67F89">
        <w:t xml:space="preserve">Vérification des antécédents du personnel de sécurité — les responsables du projet vérifieront et/ou demanderont au prestataire de sécurité de vérifier dûment les antécédents du personnel de sécurité envisagé afin de rechercher toute allégation d’abus, d’usage inapproprié de la force ou d’autres activités criminelles et actes répréhensibles dans le passé. Aucun individu sur lequel des informations négatives crédibles auront été mises en évidence à l’issue de ces vérifications ne pourra être employé dans le cadre du projet. Ces vérifications seront consignées dans les </w:t>
      </w:r>
      <w:r w:rsidRPr="00E67F89">
        <w:lastRenderedPageBreak/>
        <w:t xml:space="preserve">dossiers individuels du personnel, qui peuvent être soumis à examen dans le cadre du projet et des missions de supervision. </w:t>
      </w:r>
    </w:p>
    <w:p w14:paraId="71E0C5D8" w14:textId="77777777" w:rsidR="00E67F89" w:rsidRPr="00E67F89" w:rsidRDefault="00E67F89" w:rsidP="00E67F89">
      <w:r w:rsidRPr="00E67F89">
        <w:t xml:space="preserve">Équipement du personnel de sécurité — décrire l’équipement à fournir à ce personnel, y compris les radios, les armes non létales, les armes à feu et les munitions. Les agents de sécurité ne devraient être armés que si l’ERS justifie qu’il s’agit de la seule mesure d’atténuation viable et efficace face à une menace clairement établie. </w:t>
      </w:r>
    </w:p>
    <w:p w14:paraId="5712DE49" w14:textId="77777777" w:rsidR="00E67F89" w:rsidRPr="00E67F89" w:rsidRDefault="00E67F89" w:rsidP="00E67F89">
      <w:r w:rsidRPr="00E67F89">
        <w:t xml:space="preserve">Usage de la force par le personnel de sécurité — le recours à la force par un prestataire de sécurité privé n’est pas autorisé, sauf s’il intervient à des fins préventives ou défensives en tenant compte de la nature et de la gravité de la menace. Lorsqu’il est nécessaire d’armer des agents de sécurité, les responsables du projet s’assureront que ceux qui portent des armes ont des compétences techniques et professionnelles de haut niveau et comprennent clairement les règles du recours à la force. Cela signifie qu’ils devront avoir une solide formation à l’utilisation efficace et proportionnée de la force, dans le respect des bonnes pratiques internationales, de la législation en vigueur et des NES. </w:t>
      </w:r>
    </w:p>
    <w:p w14:paraId="09E6893D" w14:textId="77777777" w:rsidR="00E67F89" w:rsidRPr="00E67F89" w:rsidRDefault="00E67F89" w:rsidP="00E67F89">
      <w:r w:rsidRPr="00E67F89">
        <w:t>Formation du personnel de sécurité</w:t>
      </w:r>
    </w:p>
    <w:p w14:paraId="6C2BA028" w14:textId="77777777" w:rsidR="00E67F89" w:rsidRPr="00E67F89" w:rsidRDefault="00E67F89" w:rsidP="00E67F89">
      <w:r w:rsidRPr="00E67F89">
        <w:t xml:space="preserve">Décrire les responsabilités qui incombent en matière de formation à l’entreprise ou au prestataire de sécurité, selon le cas. Les responsables du projet évalueront tout programme de formation proposée par un prestataire de sécurité indépendant et le compléteront au besoin en faisant appel à des tiers qualifiés ou en assurant directement la formation. </w:t>
      </w:r>
    </w:p>
    <w:p w14:paraId="60AC04CF" w14:textId="77777777" w:rsidR="00E67F89" w:rsidRPr="00E67F89" w:rsidRDefault="00E67F89" w:rsidP="00E67F89">
      <w:r w:rsidRPr="00E67F89">
        <w:t xml:space="preserve">Les responsables du projet veilleront à ce que le personnel de sécurité suive une formation sur les procédures ou les connaissances à acquérir dans les domaines suivants : aptitude élémentaire à assurer la garde, ordres et procédures concernant les postes de garde, conduite appropriée et éthique/droits de l’homme, règles d’engagement, règles applicables au recours à la force, formation adéquate au maniement des armes (le cas échéant), formation obligatoire aux directives environnementales, sanitaires et sécuritaires, et formation au PMPP et aux mécanismes voulus de gestion des plaintes du public et des travailleurs du projet. </w:t>
      </w:r>
    </w:p>
    <w:p w14:paraId="424150CA" w14:textId="77777777" w:rsidR="00E67F89" w:rsidRPr="00E67F89" w:rsidRDefault="00E67F89" w:rsidP="00E67F89">
      <w:r w:rsidRPr="00E67F89">
        <w:t xml:space="preserve">Préciser comment il sera gardé trace de la participation aux séances de formation. La formation pourra être soumise à inspection/audit. </w:t>
      </w:r>
    </w:p>
    <w:p w14:paraId="5EC53C2F" w14:textId="77777777" w:rsidR="00E67F89" w:rsidRPr="00E67F89" w:rsidRDefault="00E67F89" w:rsidP="00E67F89">
      <w:r w:rsidRPr="00E67F89">
        <w:t>H. AGENTS DE SÉCURITÉ PUBLICS</w:t>
      </w:r>
    </w:p>
    <w:p w14:paraId="4FA2B901" w14:textId="77777777" w:rsidR="00E67F89" w:rsidRPr="00E67F89" w:rsidRDefault="00E67F89" w:rsidP="00E67F89">
      <w:r w:rsidRPr="00E67F89">
        <w:t>Se référer au document « Procédures de gestion de la main d’œuvre (PGMO) »</w:t>
      </w:r>
    </w:p>
    <w:p w14:paraId="30A044B7" w14:textId="77777777" w:rsidR="00E67F89" w:rsidRPr="00E67F89" w:rsidRDefault="00E67F89" w:rsidP="00E67F89">
      <w:r w:rsidRPr="00E67F89">
        <w:t xml:space="preserve">Consigner par écrit le rôle des agents de sécurité publics — résumer le protocole d’accord ou tout autre accord avec la force publique, notamment en faisant état de l’engagement à respecter le code de conduite et en mentionnant les procédures disciplinaires. Si des agents de sécurité publics sont affectés au projet pour assurer certains aspects de la sécurité, cette section devrait décrire les équipements ou les appuis fournis, le rôle de la force publique, les plans d’action conjointe et les mécanismes de coordination. </w:t>
      </w:r>
    </w:p>
    <w:p w14:paraId="0F78E2CC" w14:textId="77777777" w:rsidR="00E67F89" w:rsidRPr="00E67F89" w:rsidRDefault="00E67F89" w:rsidP="00E67F89">
      <w:r w:rsidRPr="00E67F89">
        <w:t xml:space="preserve">Emploi et composition du personnel de sécurité — préciser la structure hiérarchique du détachement de sécurité et les points de contact avec la direction. </w:t>
      </w:r>
    </w:p>
    <w:p w14:paraId="2BA15612" w14:textId="77777777" w:rsidR="00E67F89" w:rsidRPr="00E67F89" w:rsidRDefault="00E67F89" w:rsidP="00E67F89">
      <w:r w:rsidRPr="00E67F89">
        <w:lastRenderedPageBreak/>
        <w:t xml:space="preserve">Résumer le protocole d’accord ou tout autre accord relatif aux services et demander un point de contact de haut niveau pour la sécurité. </w:t>
      </w:r>
    </w:p>
    <w:p w14:paraId="676FBF96" w14:textId="77777777" w:rsidR="00E67F89" w:rsidRPr="00E67F89" w:rsidRDefault="00E67F89" w:rsidP="00E67F89">
      <w:r w:rsidRPr="00E67F89">
        <w:t>Suivre en permanence la qualité des prestations en matière de sécurité.</w:t>
      </w:r>
    </w:p>
    <w:p w14:paraId="4515CF88" w14:textId="77777777" w:rsidR="00E67F89" w:rsidRPr="00E67F89" w:rsidRDefault="00E67F89" w:rsidP="00E67F89">
      <w:r w:rsidRPr="00E67F89">
        <w:t xml:space="preserve">Vérification des antécédents du personnel de sécurité — les responsables du projet définiront avec la force publique la façon dont les antécédents des agents affectés au projet seront dûment validés, et notamment la manière dont toute allégation d’abus, d’usage inapproprié de la force ou d’autres activités criminelles et actes répréhensibles dans le passé sera prise en compte avant d’autoriser l’affectation d’un agent donné au projet. </w:t>
      </w:r>
    </w:p>
    <w:p w14:paraId="70C77FC7" w14:textId="77777777" w:rsidR="00E67F89" w:rsidRPr="00E67F89" w:rsidRDefault="00E67F89" w:rsidP="00E67F89">
      <w:r w:rsidRPr="00E67F89">
        <w:t xml:space="preserve">Équipement du personnel de sécurité — décrire l’équipement à fournir aux gardes, y compris les véhicules, les radios, les armes non létales, les armes à feu et les munitions. </w:t>
      </w:r>
    </w:p>
    <w:p w14:paraId="307DDA4C" w14:textId="77777777" w:rsidR="00E67F89" w:rsidRPr="00E67F89" w:rsidRDefault="00E67F89" w:rsidP="00E67F89">
      <w:r w:rsidRPr="00E67F89">
        <w:t xml:space="preserve">Usage de la force par le personnel de sécurité — s’entendre avec les prestataires de sécurité publics sur les principes régissant le recours à la force dans le cadre du projet, qui n’est autorisé que s’il intervient clairement à des fins préventives ou défensives en tenant compte de la nature et de la gravité de la menace. Le protocole d’accord ou tout autre accord juridique dispose que ceux qui portent des armes ont des compétences techniques et professionnelles de haut niveau et comprennent clairement les règles du recours proportionné à la force. </w:t>
      </w:r>
    </w:p>
    <w:p w14:paraId="672C69C0" w14:textId="77777777" w:rsidR="00E67F89" w:rsidRPr="00E67F89" w:rsidRDefault="00E67F89" w:rsidP="00E67F89">
      <w:r w:rsidRPr="00E67F89">
        <w:t xml:space="preserve">Formation du personnel de sécurité — offrir des possibilités de formation ou d’observation de la formation donnée sur le code de conduite, les dispositions sanitaires et sécuritaires applicables au projet, et les mécanismes de gestion des plaintes du public et des travailleurs du projet. Préciser comment il sera gardé trace de la participation aux séances de formation. </w:t>
      </w:r>
    </w:p>
    <w:p w14:paraId="2DE1EA48" w14:textId="77777777" w:rsidR="00E67F89" w:rsidRPr="00E67F89" w:rsidRDefault="00E67F89" w:rsidP="00E67F89">
      <w:r w:rsidRPr="00E67F89">
        <w:t xml:space="preserve">Allégations de pratiques répréhensibles — s’entendre sur la façon dont les enquêtes sur toute allégation crédible d’abus ou d’acte répréhensible seront conduites et sur la façon dont les mesures disciplinaires à l’encontre du personnel de sécurité pour violation du code de conduite ou de toutes autres règles prescrites par le projet seront gérées. </w:t>
      </w:r>
    </w:p>
    <w:p w14:paraId="4EE5857A" w14:textId="77777777" w:rsidR="00E67F89" w:rsidRPr="00E67F89" w:rsidRDefault="00E67F89" w:rsidP="00E67F89"/>
    <w:p w14:paraId="563E716F" w14:textId="77777777" w:rsidR="00E67F89" w:rsidRPr="00E67F89" w:rsidRDefault="00E67F89" w:rsidP="00E67F89"/>
    <w:p w14:paraId="3492A08B" w14:textId="77777777" w:rsidR="00E67F89" w:rsidRPr="00E67F89" w:rsidRDefault="00E67F89" w:rsidP="00E67F89">
      <w:pPr>
        <w:sectPr w:rsidR="00E67F89" w:rsidRPr="00E67F89" w:rsidSect="00D42025">
          <w:pgSz w:w="11906" w:h="16838"/>
          <w:pgMar w:top="1417" w:right="1417" w:bottom="851" w:left="1417" w:header="708" w:footer="708" w:gutter="0"/>
          <w:pgNumType w:fmt="upperRoman"/>
          <w:cols w:space="708"/>
          <w:docGrid w:linePitch="360"/>
        </w:sectPr>
      </w:pPr>
      <w:bookmarkStart w:id="981" w:name="_Hlk134521044"/>
      <w:bookmarkStart w:id="982" w:name="_Hlk71503837"/>
    </w:p>
    <w:p w14:paraId="7825B994" w14:textId="552EC7AF" w:rsidR="00E67F89" w:rsidRPr="00E67F89" w:rsidRDefault="00E67F89" w:rsidP="00E67F89">
      <w:bookmarkStart w:id="983" w:name="_Toc138414190"/>
      <w:bookmarkStart w:id="984" w:name="_Toc230426130"/>
      <w:r w:rsidRPr="00E67F89">
        <w:lastRenderedPageBreak/>
        <w:t xml:space="preserve">Annexe </w:t>
      </w:r>
      <w:r w:rsidRPr="00E67F89">
        <w:fldChar w:fldCharType="begin"/>
      </w:r>
      <w:r w:rsidRPr="00E67F89">
        <w:instrText xml:space="preserve"> SEQ Annexe \* ARABIC </w:instrText>
      </w:r>
      <w:r w:rsidRPr="00E67F89">
        <w:fldChar w:fldCharType="separate"/>
      </w:r>
      <w:r>
        <w:rPr>
          <w:noProof/>
        </w:rPr>
        <w:t>25</w:t>
      </w:r>
      <w:r w:rsidRPr="00E67F89">
        <w:fldChar w:fldCharType="end"/>
      </w:r>
      <w:r w:rsidRPr="00E67F89">
        <w:t> : Modèles de PGT typiques</w:t>
      </w:r>
      <w:bookmarkEnd w:id="983"/>
      <w:bookmarkEnd w:id="984"/>
    </w:p>
    <w:p w14:paraId="5A4D4EBC" w14:textId="77777777" w:rsidR="00E67F89" w:rsidRPr="00E67F89" w:rsidRDefault="00E67F89" w:rsidP="00E67F89">
      <w:r w:rsidRPr="00E67F89">
        <w:t>Pour le cas des travaux routiers, un Plan de Gestion de Trafic (PGT) est un outil qui sert à gérer les perturbations temporaires du trafic qui nécessitent des actions coordonnées de différents services participant à l'exploitation de la route sur un axe ou un tronçon déterminé.</w:t>
      </w:r>
    </w:p>
    <w:p w14:paraId="62D278C2" w14:textId="77777777" w:rsidR="00E67F89" w:rsidRPr="00E67F89" w:rsidRDefault="00E67F89" w:rsidP="00E67F89">
      <w:r w:rsidRPr="00E67F89">
        <w:t>L’on distingue plusieurs types de gestion du trafic :</w:t>
      </w:r>
    </w:p>
    <w:p w14:paraId="3F6F8AFC" w14:textId="77777777" w:rsidR="00E67F89" w:rsidRPr="00E67F89" w:rsidRDefault="00E67F89" w:rsidP="00E67F89">
      <w:r w:rsidRPr="00E67F89">
        <w:t>Le signalement</w:t>
      </w:r>
    </w:p>
    <w:p w14:paraId="3533BD97" w14:textId="77777777" w:rsidR="00E67F89" w:rsidRPr="00E67F89" w:rsidRDefault="00E67F89" w:rsidP="00E67F89">
      <w:r w:rsidRPr="00E67F89">
        <w:t>Les fermetures de voies</w:t>
      </w:r>
    </w:p>
    <w:p w14:paraId="1CFD0DBE" w14:textId="77777777" w:rsidR="00E67F89" w:rsidRPr="00E67F89" w:rsidRDefault="00E67F89" w:rsidP="00E67F89">
      <w:r w:rsidRPr="00E67F89">
        <w:t>Les détours, les fermetures</w:t>
      </w:r>
    </w:p>
    <w:p w14:paraId="3304FB3B" w14:textId="77777777" w:rsidR="00E67F89" w:rsidRPr="00E67F89" w:rsidRDefault="00E67F89" w:rsidP="00E67F89">
      <w:r w:rsidRPr="00E67F89">
        <w:t>Les accès des piétons</w:t>
      </w:r>
    </w:p>
    <w:p w14:paraId="6126CBAA" w14:textId="77777777" w:rsidR="00E67F89" w:rsidRPr="00E67F89" w:rsidRDefault="00E67F89" w:rsidP="00E67F89">
      <w:r w:rsidRPr="00E67F89">
        <w:t>Les plans de circulation</w:t>
      </w:r>
    </w:p>
    <w:p w14:paraId="286032AB" w14:textId="77777777" w:rsidR="00E67F89" w:rsidRPr="00E67F89" w:rsidRDefault="00E67F89" w:rsidP="00E67F89">
      <w:r w:rsidRPr="00E67F89">
        <w:t>Les fermetures de trottoirs …</w:t>
      </w:r>
    </w:p>
    <w:p w14:paraId="0D8491E8" w14:textId="77777777" w:rsidR="00E67F89" w:rsidRPr="00E67F89" w:rsidRDefault="00E67F89" w:rsidP="00E67F89">
      <w:r w:rsidRPr="00E67F89">
        <w:t>Les modèles ci-après se rapportent à des signalements de travaux routiers et les signalisations sont des signalisations temporaires (sur fonds jaune)</w:t>
      </w:r>
    </w:p>
    <w:p w14:paraId="31DE2535" w14:textId="77777777" w:rsidR="00E67F89" w:rsidRPr="00E67F89" w:rsidRDefault="00E67F89" w:rsidP="00E67F89">
      <w:r w:rsidRPr="00E67F89">
        <w:t>Un modèle de PGT est utilisé pour planifier la sécurité de la circulation et des zones de travail pendant les activités de construction en bordure de route. Il sert à assurer la sécurité des travailleurs contre les véhicules et les équipements à l'extérieur et à l'intérieur des chantiers routiers.</w:t>
      </w:r>
    </w:p>
    <w:bookmarkEnd w:id="981"/>
    <w:p w14:paraId="32463760" w14:textId="77777777" w:rsidR="00E67F89" w:rsidRPr="00E67F89" w:rsidRDefault="00E67F89" w:rsidP="00E67F89">
      <w:r w:rsidRPr="00E67F89">
        <w:t>Modèle standard</w:t>
      </w:r>
    </w:p>
    <w:p w14:paraId="4AC71E8A" w14:textId="77777777" w:rsidR="00E67F89" w:rsidRPr="00E67F89" w:rsidRDefault="00E67F89" w:rsidP="00E67F89">
      <w:r w:rsidRPr="00E67F89">
        <w:rPr>
          <w:noProof/>
        </w:rPr>
        <mc:AlternateContent>
          <mc:Choice Requires="wpg">
            <w:drawing>
              <wp:anchor distT="0" distB="0" distL="114300" distR="114300" simplePos="0" relativeHeight="251658262" behindDoc="0" locked="0" layoutInCell="1" allowOverlap="1" wp14:anchorId="1CF1B2A5" wp14:editId="7F5F28B9">
                <wp:simplePos x="0" y="0"/>
                <wp:positionH relativeFrom="column">
                  <wp:posOffset>71755</wp:posOffset>
                </wp:positionH>
                <wp:positionV relativeFrom="paragraph">
                  <wp:posOffset>187325</wp:posOffset>
                </wp:positionV>
                <wp:extent cx="5657850" cy="2809875"/>
                <wp:effectExtent l="0" t="0" r="19050" b="28575"/>
                <wp:wrapNone/>
                <wp:docPr id="1700572149" name="Groupe 15"/>
                <wp:cNvGraphicFramePr/>
                <a:graphic xmlns:a="http://schemas.openxmlformats.org/drawingml/2006/main">
                  <a:graphicData uri="http://schemas.microsoft.com/office/word/2010/wordprocessingGroup">
                    <wpg:wgp>
                      <wpg:cNvGrpSpPr/>
                      <wpg:grpSpPr>
                        <a:xfrm>
                          <a:off x="0" y="0"/>
                          <a:ext cx="5657850" cy="2809875"/>
                          <a:chOff x="0" y="0"/>
                          <a:chExt cx="5657850" cy="2809875"/>
                        </a:xfrm>
                      </wpg:grpSpPr>
                      <wps:wsp>
                        <wps:cNvPr id="104266723" name="Zone de texte 3"/>
                        <wps:cNvSpPr txBox="1"/>
                        <wps:spPr>
                          <a:xfrm>
                            <a:off x="2238375" y="0"/>
                            <a:ext cx="1438275" cy="952500"/>
                          </a:xfrm>
                          <a:prstGeom prst="rect">
                            <a:avLst/>
                          </a:prstGeom>
                          <a:solidFill>
                            <a:schemeClr val="bg2"/>
                          </a:solidFill>
                          <a:ln w="25400">
                            <a:solidFill>
                              <a:srgbClr val="FF0000"/>
                            </a:solidFill>
                            <a:prstDash val="dash"/>
                          </a:ln>
                        </wps:spPr>
                        <wps:txbx>
                          <w:txbxContent>
                            <w:p w14:paraId="2CB9311E" w14:textId="77777777" w:rsidR="00E67F89" w:rsidRPr="00E67F89" w:rsidRDefault="00E67F89" w:rsidP="00E67F89"/>
                            <w:p w14:paraId="579E11CE" w14:textId="77777777" w:rsidR="00E67F89" w:rsidRPr="00E67F89" w:rsidRDefault="00E67F89" w:rsidP="00E67F89"/>
                            <w:p w14:paraId="661DF7BB" w14:textId="77777777" w:rsidR="00E67F89" w:rsidRPr="00E67F89" w:rsidRDefault="00E67F89" w:rsidP="00E67F89">
                              <w:r w:rsidRPr="00E67F89">
                                <w:t>Zone de travail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8708643" name="Connecteur droit 1"/>
                        <wps:cNvCnPr/>
                        <wps:spPr>
                          <a:xfrm flipV="1">
                            <a:off x="0" y="514350"/>
                            <a:ext cx="56578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9314488" name="Connecteur droit 1"/>
                        <wps:cNvCnPr/>
                        <wps:spPr>
                          <a:xfrm flipV="1">
                            <a:off x="0" y="2000250"/>
                            <a:ext cx="56578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46277879" name="Connecteur droit 1"/>
                        <wps:cNvCnPr/>
                        <wps:spPr>
                          <a:xfrm flipV="1">
                            <a:off x="0" y="2266950"/>
                            <a:ext cx="56578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98029872" name="Connecteur droit 1"/>
                        <wps:cNvCnPr/>
                        <wps:spPr>
                          <a:xfrm flipV="1">
                            <a:off x="0" y="257175"/>
                            <a:ext cx="56578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1701917565" name="Groupe 14"/>
                        <wpg:cNvGrpSpPr/>
                        <wpg:grpSpPr>
                          <a:xfrm>
                            <a:off x="0" y="190500"/>
                            <a:ext cx="4124325" cy="2619375"/>
                            <a:chOff x="-2312950" y="0"/>
                            <a:chExt cx="5722900" cy="2619375"/>
                          </a:xfrm>
                        </wpg:grpSpPr>
                        <wps:wsp>
                          <wps:cNvPr id="4691625" name="Connecteur droit 11"/>
                          <wps:cNvCnPr/>
                          <wps:spPr>
                            <a:xfrm>
                              <a:off x="0" y="0"/>
                              <a:ext cx="476250" cy="902970"/>
                            </a:xfrm>
                            <a:prstGeom prst="line">
                              <a:avLst/>
                            </a:prstGeom>
                            <a:ln w="22225">
                              <a:solidFill>
                                <a:srgbClr val="FFC000"/>
                              </a:solidFill>
                              <a:prstDash val="lgDash"/>
                            </a:ln>
                          </wps:spPr>
                          <wps:style>
                            <a:lnRef idx="1">
                              <a:schemeClr val="accent1"/>
                            </a:lnRef>
                            <a:fillRef idx="0">
                              <a:schemeClr val="accent1"/>
                            </a:fillRef>
                            <a:effectRef idx="0">
                              <a:schemeClr val="accent1"/>
                            </a:effectRef>
                            <a:fontRef idx="minor">
                              <a:schemeClr val="tx1"/>
                            </a:fontRef>
                          </wps:style>
                          <wps:bodyPr/>
                        </wps:wsp>
                        <wps:wsp>
                          <wps:cNvPr id="1781087848" name="Connecteur droit 12"/>
                          <wps:cNvCnPr/>
                          <wps:spPr>
                            <a:xfrm>
                              <a:off x="476250" y="904875"/>
                              <a:ext cx="2505075" cy="0"/>
                            </a:xfrm>
                            <a:prstGeom prst="line">
                              <a:avLst/>
                            </a:prstGeom>
                            <a:ln w="22225">
                              <a:solidFill>
                                <a:srgbClr val="FFC000"/>
                              </a:solidFill>
                              <a:prstDash val="lgDash"/>
                            </a:ln>
                          </wps:spPr>
                          <wps:style>
                            <a:lnRef idx="1">
                              <a:schemeClr val="accent1"/>
                            </a:lnRef>
                            <a:fillRef idx="0">
                              <a:schemeClr val="accent1"/>
                            </a:fillRef>
                            <a:effectRef idx="0">
                              <a:schemeClr val="accent1"/>
                            </a:effectRef>
                            <a:fontRef idx="minor">
                              <a:schemeClr val="tx1"/>
                            </a:fontRef>
                          </wps:style>
                          <wps:bodyPr/>
                        </wps:wsp>
                        <wps:wsp>
                          <wps:cNvPr id="1271292017" name="Connecteur droit 13"/>
                          <wps:cNvCnPr/>
                          <wps:spPr>
                            <a:xfrm flipH="1">
                              <a:off x="2981325" y="0"/>
                              <a:ext cx="428625" cy="900000"/>
                            </a:xfrm>
                            <a:prstGeom prst="line">
                              <a:avLst/>
                            </a:prstGeom>
                            <a:ln w="22225">
                              <a:solidFill>
                                <a:srgbClr val="FFC000"/>
                              </a:solidFill>
                              <a:prstDash val="lgDash"/>
                            </a:ln>
                          </wps:spPr>
                          <wps:style>
                            <a:lnRef idx="1">
                              <a:schemeClr val="accent1"/>
                            </a:lnRef>
                            <a:fillRef idx="0">
                              <a:schemeClr val="accent1"/>
                            </a:fillRef>
                            <a:effectRef idx="0">
                              <a:schemeClr val="accent1"/>
                            </a:effectRef>
                            <a:fontRef idx="minor">
                              <a:schemeClr val="tx1"/>
                            </a:fontRef>
                          </wps:style>
                          <wps:bodyPr/>
                        </wps:wsp>
                        <wps:wsp>
                          <wps:cNvPr id="916186030" name="Connecteur droit 11"/>
                          <wps:cNvCnPr/>
                          <wps:spPr>
                            <a:xfrm>
                              <a:off x="-2312950" y="2619375"/>
                              <a:ext cx="475807" cy="0"/>
                            </a:xfrm>
                            <a:prstGeom prst="line">
                              <a:avLst/>
                            </a:prstGeom>
                            <a:ln w="22225">
                              <a:solidFill>
                                <a:srgbClr val="FFC000"/>
                              </a:solidFill>
                              <a:prstDash val="lgDash"/>
                            </a:ln>
                          </wps:spPr>
                          <wps:style>
                            <a:lnRef idx="1">
                              <a:schemeClr val="accent1"/>
                            </a:lnRef>
                            <a:fillRef idx="0">
                              <a:schemeClr val="accent1"/>
                            </a:fillRef>
                            <a:effectRef idx="0">
                              <a:schemeClr val="accent1"/>
                            </a:effectRef>
                            <a:fontRef idx="minor">
                              <a:schemeClr val="tx1"/>
                            </a:fontRef>
                          </wps:style>
                          <wps:bodyPr/>
                        </wps:wsp>
                      </wpg:grpSp>
                    </wpg:wgp>
                  </a:graphicData>
                </a:graphic>
                <wp14:sizeRelV relativeFrom="margin">
                  <wp14:pctHeight>0</wp14:pctHeight>
                </wp14:sizeRelV>
              </wp:anchor>
            </w:drawing>
          </mc:Choice>
          <mc:Fallback>
            <w:pict>
              <v:group w14:anchorId="1CF1B2A5" id="Groupe 15" o:spid="_x0000_s1028" style="position:absolute;left:0;text-align:left;margin-left:5.65pt;margin-top:14.75pt;width:445.5pt;height:221.25pt;z-index:251658262;mso-position-horizontal-relative:text;mso-position-vertical-relative:text;mso-height-relative:margin" coordsize="56578,28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KUF5gQAAK0bAAAOAAAAZHJzL2Uyb0RvYy54bWzsWdtu4zYQfS/QfyD0vrFE62rEWaROkxYI&#10;doNm2wX6RkuULUAiVZKOnf36zlAXW7aT7i3bbuE8OKQ4vB2dGZ6hzl9vqpI8cKULKaaOd+Y6hItU&#10;ZoVYTJ3f312/ih2iDRMZK6XgU+eRa+f1xY8/nK/rCadyKcuMKwKDCD1Z11NnaUw9GY10uuQV02ey&#10;5gIac6kqZqCqFqNMsTWMXpUj6rrhaC1VViuZcq3h6VXT6FzY8fOcp+ZtnmtuSDl1YG3G/ir7O8ff&#10;0cU5mywUq5dF2i6DfcYqKlYImLQf6ooZRlaqOBiqKlIltczNWSqrkczzIuV2D7Abz93bzY2Sq9ru&#10;ZTFZL+oeJoB2D6fPHjZ983Cj6vv6TgES63oBWNga7mWTqwr/wyrJxkL22EPGN4ak8DAIgygOANkU&#10;2mjsJnEUNKCmS0D+oF+6/Pkfeo66iUeD5axrIIjeYqC/DIP7Jau5hVZPAIM7RYoM+Ov6NAwjOnaI&#10;YBXQ9U8gLck4MbBfTsa4M1wI9EDIiNn8JAEEr3uu4eER5Cgdx2PAhRzi5/njmGIT4pcENHAtJ3sQ&#10;2KRW2txwWREsTB0FlLZMYw+32sB6wLQzwam1LIvsuihLW0E34rNSkQcGDjBfUFwp9BhYlYKs4eUF&#10;Psx9OIRazPsBrq9d+Ds2Bi7hiullM1EGpdaqFDAhYtZggyWzmW8s3HY1+GQus0eAU8nGP3WdXhcw&#10;4C3T5o4pcEggGAQZ8xZ+8lLCamVbcshSqg/HnqM9cARaHbIGB586+q8VU9wh5a8C2JN4vo8RwVb8&#10;IKJQUbst890WsapmEiD0IJzVqS2ivSm7Yq5k9R5i0SXOCk1MpDD31DFdcWaasAOxLOWXl9YIYkDN&#10;zK24r1McGsFHIN9t3jNVty8cqfdGdnxlk7333thiTyEvV0bmhSXFFtUWfvCdhrsv7kRBGEduHPq9&#10;E82kEMBavlIkU7IwpPcX8KOZaENPx5DG/UleFvUfHSiDCBSAz0DEASKzydEw1BG0i1+de7SAloVA&#10;zz9AEp0MHyNj9zzEHkdbPzIbu4OhH0HtCNe1eSx5M+pvPAfW23BhJxj6JktTLkw3binAGq1y8OS+&#10;Y+uez3Vs7bErt8ffp3Tue9iZpTB956oQUjXBYTj7Foq8se+8vdn3loYYd7D2DXmYjMHFYxAgTSz/&#10;yjQE9eFCuD7xsD1chgQ+8XArKhI/pFEUR8lLMRE0S3JiYq9STkxcdHIBI+6OvI2S2KUg0elLMTGI&#10;vE7/n45m5/skYpsDNungLnlcL4G3G0Ky0hyoNj3lxPPxDMRkDYw/LZn0ErdNeLZSzveoP6ZtRkRD&#10;L8HMyYq9PqN8RccexYi3k1DtJJYRpQlkKU1Kuh0ABFqjCP+FxNIPEy/ETT0lRT5CEqMoGwjhPe3h&#10;RzBDu+0E3Dz6Yh1s00JKYd049yBn1MO0cPZRaWG5wBQRX+ZJLFtx/d8Ry14Ue24cxf4zcrlP159O&#10;23Y42tER7zVcv78W6o4FoGrgdhcfJ6aCew0Tq+/z7PgWd3Q0guAPt6XR09F096LuuQuGX/YuGEAb&#10;efbsObyo82lsA7i9p8NbsBNnT5w9vLI/Lrzh8Pfi0B3D6fx1BMBAAQ1EUhdf/SiIXXAR5OuJqv8L&#10;qm51q9UN9puQlVLt9yv86LRbt1bbr2wXfwMAAP//AwBQSwMEFAAGAAgAAAAhAEPb8LjfAAAACQEA&#10;AA8AAABkcnMvZG93bnJldi54bWxMj8FOwzAQRO9I/IO1SNyonZQCDXGqqgJOFRItEuK2jbdJ1NiO&#10;YjdJ/57lBMfZGc2+yVeTbcVAfWi805DMFAhypTeNqzR87l/vnkCEiM5g6x1puFCAVXF9lWNm/Og+&#10;aNjFSnCJCxlqqGPsMilDWZPFMPMdOfaOvrcYWfaVND2OXG5bmSr1IC02jj/U2NGmpvK0O1sNbyOO&#10;63nyMmxPx83le794/9ompPXtzbR+BhFpin9h+MVndCiY6eDPzgTRsk7mnNSQLhcg2F+qlA8HDfeP&#10;qQJZ5PL/guIHAAD//wMAUEsBAi0AFAAGAAgAAAAhALaDOJL+AAAA4QEAABMAAAAAAAAAAAAAAAAA&#10;AAAAAFtDb250ZW50X1R5cGVzXS54bWxQSwECLQAUAAYACAAAACEAOP0h/9YAAACUAQAACwAAAAAA&#10;AAAAAAAAAAAvAQAAX3JlbHMvLnJlbHNQSwECLQAUAAYACAAAACEAm9SlBeYEAACtGwAADgAAAAAA&#10;AAAAAAAAAAAuAgAAZHJzL2Uyb0RvYy54bWxQSwECLQAUAAYACAAAACEAQ9vwuN8AAAAJAQAADwAA&#10;AAAAAAAAAAAAAABABwAAZHJzL2Rvd25yZXYueG1sUEsFBgAAAAAEAAQA8wAAAEwIAAAAAA==&#10;">
                <v:shape id="Zone de texte 3" o:spid="_x0000_s1029" type="#_x0000_t202" style="position:absolute;left:22383;width:14383;height:9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mYhxQAAAOIAAAAPAAAAZHJzL2Rvd25yZXYueG1sRE9da8Iw&#10;FH0f+B/CHextJmuljmoUEToGe1oVfL1rrm2xuSlNbLt/vwwGezyc7+1+tp0YafCtYw0vSwWCuHKm&#10;5VrD+VQ8v4LwAdlg55g0fJOH/W7xsMXcuIk/aSxDLWII+xw1NCH0uZS+asiiX7qeOHJXN1gMEQ61&#10;NANOMdx2MlEqkxZbjg0N9nRsqLqVd6thVRbnw7W6pEccVfH1Rlx+TKnWT4/zYQMi0Bz+xX/udxPn&#10;q1WSZeskhd9LEYPc/QAAAP//AwBQSwECLQAUAAYACAAAACEA2+H2y+4AAACFAQAAEwAAAAAAAAAA&#10;AAAAAAAAAAAAW0NvbnRlbnRfVHlwZXNdLnhtbFBLAQItABQABgAIAAAAIQBa9CxbvwAAABUBAAAL&#10;AAAAAAAAAAAAAAAAAB8BAABfcmVscy8ucmVsc1BLAQItABQABgAIAAAAIQBGHmYhxQAAAOIAAAAP&#10;AAAAAAAAAAAAAAAAAAcCAABkcnMvZG93bnJldi54bWxQSwUGAAAAAAMAAwC3AAAA+QIAAAAA&#10;" fillcolor="#e7e6e6 [3214]" strokecolor="red" strokeweight="2pt">
                  <v:stroke dashstyle="dash"/>
                  <v:textbox>
                    <w:txbxContent>
                      <w:p w14:paraId="2CB9311E" w14:textId="77777777" w:rsidR="00E67F89" w:rsidRPr="00E67F89" w:rsidRDefault="00E67F89" w:rsidP="00E67F89"/>
                      <w:p w14:paraId="579E11CE" w14:textId="77777777" w:rsidR="00E67F89" w:rsidRPr="00E67F89" w:rsidRDefault="00E67F89" w:rsidP="00E67F89"/>
                      <w:p w14:paraId="661DF7BB" w14:textId="77777777" w:rsidR="00E67F89" w:rsidRPr="00E67F89" w:rsidRDefault="00E67F89" w:rsidP="00E67F89">
                        <w:r w:rsidRPr="00E67F89">
                          <w:t>Zone de travail</w:t>
                        </w:r>
                      </w:p>
                    </w:txbxContent>
                  </v:textbox>
                </v:shape>
                <v:line id="Connecteur droit 1" o:spid="_x0000_s1030" style="position:absolute;flip:y;visibility:visible;mso-wrap-style:square" from="0,5143" to="56578,5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R6oywAAAOIAAAAPAAAAZHJzL2Rvd25yZXYueG1sRI9BSwMx&#10;FITvgv8hPMGbzdrWdVmbFlmo9eClVYrHx+Z1d2vysiRpu+2vN4LQ4zAz3zCzxWCNOJIPnWMFj6MM&#10;BHHtdMeNgq/P5UMBIkRkjcYxKThTgMX89maGpXYnXtNxExuRIBxKVNDG2JdShroli2HkeuLk7Zy3&#10;GJP0jdQeTwlujRxnWS4tdpwWWuypaqn+2Rysgspsv4fVm+e43V92hw9aVntjlLq/G15fQEQa4jX8&#10;337XCp7y4jkr8ukE/i6lOyDnvwAAAP//AwBQSwECLQAUAAYACAAAACEA2+H2y+4AAACFAQAAEwAA&#10;AAAAAAAAAAAAAAAAAAAAW0NvbnRlbnRfVHlwZXNdLnhtbFBLAQItABQABgAIAAAAIQBa9CxbvwAA&#10;ABUBAAALAAAAAAAAAAAAAAAAAB8BAABfcmVscy8ucmVsc1BLAQItABQABgAIAAAAIQCSTR6oywAA&#10;AOIAAAAPAAAAAAAAAAAAAAAAAAcCAABkcnMvZG93bnJldi54bWxQSwUGAAAAAAMAAwC3AAAA/wIA&#10;AAAA&#10;" strokecolor="black [3213]" strokeweight=".5pt">
                  <v:stroke joinstyle="miter"/>
                </v:line>
                <v:line id="Connecteur droit 1" o:spid="_x0000_s1031" style="position:absolute;flip:y;visibility:visible;mso-wrap-style:square" from="0,20002" to="56578,20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x2cxgAAAOEAAAAPAAAAZHJzL2Rvd25yZXYueG1sRE9NawIx&#10;EL0X/A9hhN5q1laLrkYpC7YevNQW8Thsxt3VZLIkUVd/vTkUeny87/mys0ZcyIfGsYLhIANBXDrd&#10;cKXg92f1MgERIrJG45gU3CjActF7mmOu3ZW/6bKNlUghHHJUUMfY5lKGsiaLYeBa4sQdnLcYE/SV&#10;1B6vKdwa+Zpl79Jiw6mhxpaKmsrT9mwVFGa3774+Pcfd8X44b2hVHI1R6rnffcxAROriv/jPvdYK&#10;xtO34Wg0SZPTo/QG5OIBAAD//wMAUEsBAi0AFAAGAAgAAAAhANvh9svuAAAAhQEAABMAAAAAAAAA&#10;AAAAAAAAAAAAAFtDb250ZW50X1R5cGVzXS54bWxQSwECLQAUAAYACAAAACEAWvQsW78AAAAVAQAA&#10;CwAAAAAAAAAAAAAAAAAfAQAAX3JlbHMvLnJlbHNQSwECLQAUAAYACAAAACEAE78dnMYAAADhAAAA&#10;DwAAAAAAAAAAAAAAAAAHAgAAZHJzL2Rvd25yZXYueG1sUEsFBgAAAAADAAMAtwAAAPoCAAAAAA==&#10;" strokecolor="black [3213]" strokeweight=".5pt">
                  <v:stroke joinstyle="miter"/>
                </v:line>
                <v:line id="Connecteur droit 1" o:spid="_x0000_s1032" style="position:absolute;flip:y;visibility:visible;mso-wrap-style:square" from="0,22669" to="56578,22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6dpyAAAAOMAAAAPAAAAZHJzL2Rvd25yZXYueG1sRE/NagIx&#10;EL4LvkOYgjfNVoqrW6PIgrWHXrRFehw24+7aZLIkUbd9+qYg9Djf/yzXvTXiSj60jhU8TjIQxJXT&#10;LdcKPt634zmIEJE1Gsek4JsCrFfDwRIL7W68p+sh1iKFcChQQRNjV0gZqoYshonriBN3ct5iTKev&#10;pfZ4S+HWyGmWzaTFllNDgx2VDVVfh4tVUJrjZ7978RyP55/T5Y225dkYpUYP/eYZRKQ+/ovv7led&#10;5i+eZtM8n+cL+PspASBXvwAAAP//AwBQSwECLQAUAAYACAAAACEA2+H2y+4AAACFAQAAEwAAAAAA&#10;AAAAAAAAAAAAAAAAW0NvbnRlbnRfVHlwZXNdLnhtbFBLAQItABQABgAIAAAAIQBa9CxbvwAAABUB&#10;AAALAAAAAAAAAAAAAAAAAB8BAABfcmVscy8ucmVsc1BLAQItABQABgAIAAAAIQC1S6dpyAAAAOMA&#10;AAAPAAAAAAAAAAAAAAAAAAcCAABkcnMvZG93bnJldi54bWxQSwUGAAAAAAMAAwC3AAAA/AIAAAAA&#10;" strokecolor="black [3213]" strokeweight=".5pt">
                  <v:stroke joinstyle="miter"/>
                </v:line>
                <v:line id="Connecteur droit 1" o:spid="_x0000_s1033" style="position:absolute;flip:y;visibility:visible;mso-wrap-style:square" from="0,2571" to="56578,2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91syAAAAOMAAAAPAAAAZHJzL2Rvd25yZXYueG1sRE+9bsIw&#10;EN4r9R2sq8RWnGaAkGIQikRh6FJaoY6n+EgC9jmyDQSevq5UqeN9/zdfDtaIC/nQOVbwMs5AENdO&#10;d9wo+PpcPxcgQkTWaByTghsFWC4eH+ZYanflD7rsYiNSCIcSFbQx9qWUoW7JYhi7njhxB+ctxnT6&#10;RmqP1xRujcyzbCItdpwaWuypaqk+7c5WQWX238PmzXPcH++H8zutq6MxSo2ehtUriEhD/Bf/ubc6&#10;zZ/OiiyfFdMcfn9KAMjFDwAAAP//AwBQSwECLQAUAAYACAAAACEA2+H2y+4AAACFAQAAEwAAAAAA&#10;AAAAAAAAAAAAAAAAW0NvbnRlbnRfVHlwZXNdLnhtbFBLAQItABQABgAIAAAAIQBa9CxbvwAAABUB&#10;AAALAAAAAAAAAAAAAAAAAB8BAABfcmVscy8ucmVsc1BLAQItABQABgAIAAAAIQDOc91syAAAAOMA&#10;AAAPAAAAAAAAAAAAAAAAAAcCAABkcnMvZG93bnJldi54bWxQSwUGAAAAAAMAAwC3AAAA/AIAAAAA&#10;" strokecolor="black [3213]" strokeweight=".5pt">
                  <v:stroke joinstyle="miter"/>
                </v:line>
                <v:group id="Groupe 14" o:spid="_x0000_s1034" style="position:absolute;top:1905;width:41243;height:26193" coordorigin="-23129" coordsize="57229,26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TpryAAAAOMAAAAPAAAAZHJzL2Rvd25yZXYueG1sRE9fa8Iw&#10;EH8f7DuEG/g200yqW2cUkSl7EEEdjL0dzdkWm0tpYlu/vRkM9ni//zdfDrYWHbW+cqxBjRMQxLkz&#10;FRcavk6b51cQPiAbrB2Thht5WC4eH+aYGdfzgbpjKEQMYZ+hhjKEJpPS5yVZ9GPXEEfu7FqLIZ5t&#10;IU2LfQy3tXxJkqm0WHFsKLGhdUn55Xi1GrY99quJ+uh2l/P69nNK9987RVqPnobVO4hAQ/gX/7k/&#10;TZw/S9SbmqXTFH5/igDIxR0AAP//AwBQSwECLQAUAAYACAAAACEA2+H2y+4AAACFAQAAEwAAAAAA&#10;AAAAAAAAAAAAAAAAW0NvbnRlbnRfVHlwZXNdLnhtbFBLAQItABQABgAIAAAAIQBa9CxbvwAAABUB&#10;AAALAAAAAAAAAAAAAAAAAB8BAABfcmVscy8ucmVsc1BLAQItABQABgAIAAAAIQCjQTpryAAAAOMA&#10;AAAPAAAAAAAAAAAAAAAAAAcCAABkcnMvZG93bnJldi54bWxQSwUGAAAAAAMAAwC3AAAA/AIAAAAA&#10;">
                  <v:line id="Connecteur droit 11" o:spid="_x0000_s1035" style="position:absolute;visibility:visible;mso-wrap-style:square" from="0,0" to="4762,9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kygAAAOAAAAAPAAAAZHJzL2Rvd25yZXYueG1sRI9Ba8JA&#10;FITvBf/D8oRepG4iNdjUVTRSKPRk2h56e2Rfk2D2bdhdTeqvdwuFHoeZ+YZZb0fTiQs531pWkM4T&#10;EMSV1S3XCj7eXx5WIHxA1thZJgU/5GG7mdytMdd24CNdylCLCGGfo4ImhD6X0lcNGfRz2xNH79s6&#10;gyFKV0vtcIhw08lFkmTSYMtxocGeioaqU3k2CpYrfyhOxTCbvR32u/LLfV6PaarU/XTcPYMINIb/&#10;8F/7VSt4zJ7SbLGE30PxDMjNDQAA//8DAFBLAQItABQABgAIAAAAIQDb4fbL7gAAAIUBAAATAAAA&#10;AAAAAAAAAAAAAAAAAABbQ29udGVudF9UeXBlc10ueG1sUEsBAi0AFAAGAAgAAAAhAFr0LFu/AAAA&#10;FQEAAAsAAAAAAAAAAAAAAAAAHwEAAF9yZWxzLy5yZWxzUEsBAi0AFAAGAAgAAAAhAFjP/6TKAAAA&#10;4AAAAA8AAAAAAAAAAAAAAAAABwIAAGRycy9kb3ducmV2LnhtbFBLBQYAAAAAAwADALcAAAD+AgAA&#10;AAA=&#10;" strokecolor="#ffc000" strokeweight="1.75pt">
                    <v:stroke dashstyle="longDash" joinstyle="miter"/>
                  </v:line>
                  <v:line id="Connecteur droit 12" o:spid="_x0000_s1036" style="position:absolute;visibility:visible;mso-wrap-style:square" from="4762,9048" to="29813,9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nTzQAAAOMAAAAPAAAAZHJzL2Rvd25yZXYueG1sRI9BT8Mw&#10;DIXvSPsPkSdxmVhaBFtUlk2jExISp3Vw4GY1pq3WOFUS1sKvJwekHe33/N7nzW6yvbiQD51jDfky&#10;A0FcO9Nxo+H99HKnQISIbLB3TBp+KMBuO7vZYGHcyEe6VLERKYRDgRraGIdCylC3ZDEs3UCctC/n&#10;LcY0+kYaj2MKt728z7KVtNhxamhxoLKl+lx9Ww2PKhzKczkuFm+H53316T9+j3mu9e182j+BiDTF&#10;q/n/+tUk/LXKM7VWDwk6/ZQWILd/AAAA//8DAFBLAQItABQABgAIAAAAIQDb4fbL7gAAAIUBAAAT&#10;AAAAAAAAAAAAAAAAAAAAAABbQ29udGVudF9UeXBlc10ueG1sUEsBAi0AFAAGAAgAAAAhAFr0LFu/&#10;AAAAFQEAAAsAAAAAAAAAAAAAAAAAHwEAAF9yZWxzLy5yZWxzUEsBAi0AFAAGAAgAAAAhAFv8adPN&#10;AAAA4wAAAA8AAAAAAAAAAAAAAAAABwIAAGRycy9kb3ducmV2LnhtbFBLBQYAAAAAAwADALcAAAAB&#10;AwAAAAA=&#10;" strokecolor="#ffc000" strokeweight="1.75pt">
                    <v:stroke dashstyle="longDash" joinstyle="miter"/>
                  </v:line>
                  <v:line id="Connecteur droit 13" o:spid="_x0000_s1037" style="position:absolute;flip:x;visibility:visible;mso-wrap-style:square" from="29813,0" to="34099,9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RyRyQAAAOMAAAAPAAAAZHJzL2Rvd25yZXYueG1sRE9fT8Iw&#10;EH838Ts0Z8KbdJsJyKQQokL0xURGfD7XY1tYr7MtY/jpKYmJj/f7f/PlYFrRk/ONZQXpOAFBXFrd&#10;cKVgV6zvH0H4gKyxtUwKzuRhubi9mWOu7Yk/qd+GSsQQ9jkqqEPocil9WZNBP7YdceT21hkM8XSV&#10;1A5PMdy0MkuSiTTYcGyosaPnmsrD9mgUvPwUv66lzWH38Prx3Rez1fv+q1JqdDesnkAEGsK/+M/9&#10;puP8bJpmsyxJp3D9KQIgFxcAAAD//wMAUEsBAi0AFAAGAAgAAAAhANvh9svuAAAAhQEAABMAAAAA&#10;AAAAAAAAAAAAAAAAAFtDb250ZW50X1R5cGVzXS54bWxQSwECLQAUAAYACAAAACEAWvQsW78AAAAV&#10;AQAACwAAAAAAAAAAAAAAAAAfAQAAX3JlbHMvLnJlbHNQSwECLQAUAAYACAAAACEAh9kckckAAADj&#10;AAAADwAAAAAAAAAAAAAAAAAHAgAAZHJzL2Rvd25yZXYueG1sUEsFBgAAAAADAAMAtwAAAP0CAAAA&#10;AA==&#10;" strokecolor="#ffc000" strokeweight="1.75pt">
                    <v:stroke dashstyle="longDash" joinstyle="miter"/>
                  </v:line>
                  <v:line id="Connecteur droit 11" o:spid="_x0000_s1038" style="position:absolute;visibility:visible;mso-wrap-style:square" from="-23129,26193" to="-18371,261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e8wygAAAOIAAAAPAAAAZHJzL2Rvd25yZXYueG1sRI9PS8Mw&#10;GMbvgt8hvIKXsaVRLLUuG7NDEDytuoO3l+a1LWvelCSu1U9vDsKOD88/fuvtbAdxJh96xxrUKgNB&#10;3DjTc6vh4/1lWYAIEdng4Jg0/FCA7eb6ao2lcRMf6FzHVqQRDiVq6GIcSylD05HFsHIjcfK+nLcY&#10;k/StNB6nNG4HeZdlubTYc3rocKSqo+ZUf1sND0XYV6dqWize9s+7+tMffw9KaX17M++eQESa4yX8&#10;3341Gh5Vroo8u08QCSnhgNz8AQAA//8DAFBLAQItABQABgAIAAAAIQDb4fbL7gAAAIUBAAATAAAA&#10;AAAAAAAAAAAAAAAAAABbQ29udGVudF9UeXBlc10ueG1sUEsBAi0AFAAGAAgAAAAhAFr0LFu/AAAA&#10;FQEAAAsAAAAAAAAAAAAAAAAAHwEAAF9yZWxzLy5yZWxzUEsBAi0AFAAGAAgAAAAhAHpV7zDKAAAA&#10;4gAAAA8AAAAAAAAAAAAAAAAABwIAAGRycy9kb3ducmV2LnhtbFBLBQYAAAAAAwADALcAAAD+AgAA&#10;AAA=&#10;" strokecolor="#ffc000" strokeweight="1.75pt">
                    <v:stroke dashstyle="longDash" joinstyle="miter"/>
                  </v:line>
                </v:group>
              </v:group>
            </w:pict>
          </mc:Fallback>
        </mc:AlternateContent>
      </w:r>
      <w:r w:rsidRPr="00E67F89">
        <w:rPr>
          <w:noProof/>
        </w:rPr>
        <mc:AlternateContent>
          <mc:Choice Requires="wpg">
            <w:drawing>
              <wp:anchor distT="0" distB="0" distL="114300" distR="114300" simplePos="0" relativeHeight="251658250" behindDoc="0" locked="0" layoutInCell="1" allowOverlap="1" wp14:anchorId="00AA37AC" wp14:editId="1D267BB5">
                <wp:simplePos x="0" y="0"/>
                <wp:positionH relativeFrom="column">
                  <wp:posOffset>71755</wp:posOffset>
                </wp:positionH>
                <wp:positionV relativeFrom="paragraph">
                  <wp:posOffset>187325</wp:posOffset>
                </wp:positionV>
                <wp:extent cx="5657850" cy="2809875"/>
                <wp:effectExtent l="0" t="0" r="19050" b="28575"/>
                <wp:wrapNone/>
                <wp:docPr id="957737922" name="Groupe 15"/>
                <wp:cNvGraphicFramePr/>
                <a:graphic xmlns:a="http://schemas.openxmlformats.org/drawingml/2006/main">
                  <a:graphicData uri="http://schemas.microsoft.com/office/word/2010/wordprocessingGroup">
                    <wpg:wgp>
                      <wpg:cNvGrpSpPr/>
                      <wpg:grpSpPr>
                        <a:xfrm>
                          <a:off x="0" y="0"/>
                          <a:ext cx="5657850" cy="2809875"/>
                          <a:chOff x="0" y="0"/>
                          <a:chExt cx="5657850" cy="2809875"/>
                        </a:xfrm>
                      </wpg:grpSpPr>
                      <wps:wsp>
                        <wps:cNvPr id="945310823" name="Zone de texte 3"/>
                        <wps:cNvSpPr txBox="1"/>
                        <wps:spPr>
                          <a:xfrm>
                            <a:off x="2238375" y="0"/>
                            <a:ext cx="1438275" cy="952500"/>
                          </a:xfrm>
                          <a:prstGeom prst="rect">
                            <a:avLst/>
                          </a:prstGeom>
                          <a:solidFill>
                            <a:schemeClr val="bg2"/>
                          </a:solidFill>
                          <a:ln w="25400">
                            <a:solidFill>
                              <a:srgbClr val="FF0000"/>
                            </a:solidFill>
                            <a:prstDash val="dash"/>
                          </a:ln>
                        </wps:spPr>
                        <wps:txbx>
                          <w:txbxContent>
                            <w:p w14:paraId="233B4A5C" w14:textId="77777777" w:rsidR="00E67F89" w:rsidRPr="00E67F89" w:rsidRDefault="00E67F89" w:rsidP="00E67F89"/>
                            <w:p w14:paraId="34A060D9" w14:textId="77777777" w:rsidR="00E67F89" w:rsidRPr="00E67F89" w:rsidRDefault="00E67F89" w:rsidP="00E67F89"/>
                            <w:p w14:paraId="07B02BDE" w14:textId="77777777" w:rsidR="00E67F89" w:rsidRPr="00E67F89" w:rsidRDefault="00E67F89" w:rsidP="00E67F89">
                              <w:r w:rsidRPr="00E67F89">
                                <w:t>Zone de travail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6783454" name="Connecteur droit 1"/>
                        <wps:cNvCnPr/>
                        <wps:spPr>
                          <a:xfrm flipV="1">
                            <a:off x="0" y="514350"/>
                            <a:ext cx="56578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78455942" name="Connecteur droit 1"/>
                        <wps:cNvCnPr/>
                        <wps:spPr>
                          <a:xfrm flipV="1">
                            <a:off x="0" y="2000250"/>
                            <a:ext cx="56578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43279784" name="Connecteur droit 1"/>
                        <wps:cNvCnPr/>
                        <wps:spPr>
                          <a:xfrm flipV="1">
                            <a:off x="0" y="2266950"/>
                            <a:ext cx="56578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34387473" name="Connecteur droit 1"/>
                        <wps:cNvCnPr/>
                        <wps:spPr>
                          <a:xfrm flipV="1">
                            <a:off x="0" y="257175"/>
                            <a:ext cx="56578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1156555562" name="Groupe 14"/>
                        <wpg:cNvGrpSpPr/>
                        <wpg:grpSpPr>
                          <a:xfrm>
                            <a:off x="0" y="190500"/>
                            <a:ext cx="4124325" cy="2619375"/>
                            <a:chOff x="-2312950" y="0"/>
                            <a:chExt cx="5722900" cy="2619375"/>
                          </a:xfrm>
                        </wpg:grpSpPr>
                        <wps:wsp>
                          <wps:cNvPr id="901330511" name="Connecteur droit 11"/>
                          <wps:cNvCnPr/>
                          <wps:spPr>
                            <a:xfrm>
                              <a:off x="0" y="0"/>
                              <a:ext cx="476250" cy="902970"/>
                            </a:xfrm>
                            <a:prstGeom prst="line">
                              <a:avLst/>
                            </a:prstGeom>
                            <a:ln w="22225">
                              <a:solidFill>
                                <a:srgbClr val="FFC000"/>
                              </a:solidFill>
                              <a:prstDash val="lgDash"/>
                            </a:ln>
                          </wps:spPr>
                          <wps:style>
                            <a:lnRef idx="1">
                              <a:schemeClr val="accent1"/>
                            </a:lnRef>
                            <a:fillRef idx="0">
                              <a:schemeClr val="accent1"/>
                            </a:fillRef>
                            <a:effectRef idx="0">
                              <a:schemeClr val="accent1"/>
                            </a:effectRef>
                            <a:fontRef idx="minor">
                              <a:schemeClr val="tx1"/>
                            </a:fontRef>
                          </wps:style>
                          <wps:bodyPr/>
                        </wps:wsp>
                        <wps:wsp>
                          <wps:cNvPr id="1067672646" name="Connecteur droit 12"/>
                          <wps:cNvCnPr/>
                          <wps:spPr>
                            <a:xfrm>
                              <a:off x="476250" y="904875"/>
                              <a:ext cx="2505075" cy="0"/>
                            </a:xfrm>
                            <a:prstGeom prst="line">
                              <a:avLst/>
                            </a:prstGeom>
                            <a:ln w="22225">
                              <a:solidFill>
                                <a:srgbClr val="FFC000"/>
                              </a:solidFill>
                              <a:prstDash val="lgDash"/>
                            </a:ln>
                          </wps:spPr>
                          <wps:style>
                            <a:lnRef idx="1">
                              <a:schemeClr val="accent1"/>
                            </a:lnRef>
                            <a:fillRef idx="0">
                              <a:schemeClr val="accent1"/>
                            </a:fillRef>
                            <a:effectRef idx="0">
                              <a:schemeClr val="accent1"/>
                            </a:effectRef>
                            <a:fontRef idx="minor">
                              <a:schemeClr val="tx1"/>
                            </a:fontRef>
                          </wps:style>
                          <wps:bodyPr/>
                        </wps:wsp>
                        <wps:wsp>
                          <wps:cNvPr id="2067187074" name="Connecteur droit 13"/>
                          <wps:cNvCnPr/>
                          <wps:spPr>
                            <a:xfrm flipH="1">
                              <a:off x="2981325" y="0"/>
                              <a:ext cx="428625" cy="900000"/>
                            </a:xfrm>
                            <a:prstGeom prst="line">
                              <a:avLst/>
                            </a:prstGeom>
                            <a:ln w="22225">
                              <a:solidFill>
                                <a:srgbClr val="FFC000"/>
                              </a:solidFill>
                              <a:prstDash val="lgDash"/>
                            </a:ln>
                          </wps:spPr>
                          <wps:style>
                            <a:lnRef idx="1">
                              <a:schemeClr val="accent1"/>
                            </a:lnRef>
                            <a:fillRef idx="0">
                              <a:schemeClr val="accent1"/>
                            </a:fillRef>
                            <a:effectRef idx="0">
                              <a:schemeClr val="accent1"/>
                            </a:effectRef>
                            <a:fontRef idx="minor">
                              <a:schemeClr val="tx1"/>
                            </a:fontRef>
                          </wps:style>
                          <wps:bodyPr/>
                        </wps:wsp>
                        <wps:wsp>
                          <wps:cNvPr id="1466131013" name="Connecteur droit 11"/>
                          <wps:cNvCnPr/>
                          <wps:spPr>
                            <a:xfrm>
                              <a:off x="-2312950" y="2619375"/>
                              <a:ext cx="475807" cy="0"/>
                            </a:xfrm>
                            <a:prstGeom prst="line">
                              <a:avLst/>
                            </a:prstGeom>
                            <a:ln w="22225">
                              <a:solidFill>
                                <a:srgbClr val="FFC000"/>
                              </a:solidFill>
                              <a:prstDash val="lgDash"/>
                            </a:ln>
                          </wps:spPr>
                          <wps:style>
                            <a:lnRef idx="1">
                              <a:schemeClr val="accent1"/>
                            </a:lnRef>
                            <a:fillRef idx="0">
                              <a:schemeClr val="accent1"/>
                            </a:fillRef>
                            <a:effectRef idx="0">
                              <a:schemeClr val="accent1"/>
                            </a:effectRef>
                            <a:fontRef idx="minor">
                              <a:schemeClr val="tx1"/>
                            </a:fontRef>
                          </wps:style>
                          <wps:bodyPr/>
                        </wps:wsp>
                      </wpg:grpSp>
                    </wpg:wgp>
                  </a:graphicData>
                </a:graphic>
                <wp14:sizeRelV relativeFrom="margin">
                  <wp14:pctHeight>0</wp14:pctHeight>
                </wp14:sizeRelV>
              </wp:anchor>
            </w:drawing>
          </mc:Choice>
          <mc:Fallback>
            <w:pict>
              <v:group w14:anchorId="00AA37AC" id="_x0000_s1039" style="position:absolute;left:0;text-align:left;margin-left:5.65pt;margin-top:14.75pt;width:445.5pt;height:221.25pt;z-index:251658250;mso-position-horizontal-relative:text;mso-position-vertical-relative:text;mso-height-relative:margin" coordsize="56578,28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D/89AQAALAbAAAOAAAAZHJzL2Uyb0RvYy54bWzsWVtv2zYUfh+w/0DovbFE3Y04ReYs2YCg&#10;DZauBfpGy5QtQCI1ko6d/fqdQ11s2WnapEu3FvaDLIqHt0/fOfwOdfp6U5XkjitdSDFxvBPXIVxk&#10;cl6IxcT5893lq8Qh2jAxZ6UUfOLcc+28Pvv5p9N1PeZULmU554pAJ0KP1/XEWRpTj0cjnS15xfSJ&#10;rLmAylyqihkoqsVortgaeq/KEXXdaLSWal4rmXGt4elFU+mc2f7znGfmbZ5rbkg5cWBuxl6Vvc7w&#10;Ojo7ZeOFYvWyyNppsGfMomKFgEH7ri6YYWSlioOuqiJTUsvcnGSyGsk8LzJu1wCr8dy91Vwpuart&#10;Whbj9aLuYQJo93B6drfZm7srVd/WNwqQWNcLwMKWcC2bXFX4D7MkGwvZfQ8Z3xiSwcMwCuMkBGQz&#10;qKOJmyZx2ICaLQH5g3bZ8tfPtBx1A48G01nXQBC9xUB/HQa3S1ZzC60eAwY3ihTziZMGoe+5CfUd&#10;IlgFdP0IpCVzTgyslxMfV4YTgRYIGTGbXySA4HXPNTx8ADlK/cQHXMghfl7gJxSrEL80pKFrOdmD&#10;wMa10uaKy4rgzcRRQGnLNHZ3rQ3MB0w7Exxay7KYXxZlaQvoRnxaKnLHwAFmC4ozhRYDq1KQNby8&#10;MICxD7tQi1nfweWlC7+H+sApXDC9bAaaw11rVQoYEDFrsME7s5ltLNw9njM5vwc4lWz8U9fZZQEd&#10;XjNtbpgChwSCQZAxb+GSlxJmK9s7hyyl+vuh52gPHIFah6zBwSeO/mvFFHdI+bsA9qReEGBEsIUg&#10;jCkU1G7NbLdGrKqpBAg9CGd1Zm/R3pTdba5k9QFi0TmOClVMZDD2xDHd7dQ0YQdiWcbPz60RxICa&#10;mWtxW2fYNYKPQL7bfGCqbl84Uu+N7PjKxnvvvbHFlkKer4zMC0sKxLlBtYUffKfh7os7UeBHceIH&#10;YdA50VQKAazlK0XmShaG9P4CfjQVbejpGNK4P8nLon7fgTKIQCH4DEQcIDIbPxiGOoJ28atzjxbQ&#10;shDo+QdIopPhY2TsnofY7WjrR2ZjVzD0Iyg9wHVt7kve9PoHz4H1NlzYAYa+ybKMC9P1WwqwRqsc&#10;PLlv2LrnYw1be2zK7fb3lMZ9CzuyFKZvXBVCqiY4DEffQpE39p23N+ve0hDjDpa+HQ+pGydBGKYB&#10;fSEigv5wIWAfmdhuL0MKH5nYy4ok8GmcAhtfiog0itIjEXuZciTiotMLGHK3+jb2QW7GQdzr2395&#10;a6Zh7HX6/7g1O98nD9scsEkHt9zxPMj14Bf126lNTznxAtwBMVkD46clk17qtgnPVsoFHoVw2WZE&#10;NPJSzJys2OszylfU9ygGvJ2EaiexjClNIUtpUtJtByDQGkX4XySWruf7buhB+tAkloeO9wWiGGXZ&#10;QArvaY8gjlCPNLmkS9P4q5WwTQwphdeBYw+yRj1MDKdflBiWC0wS8XUe5bKV1/8fuey5URzFNAqi&#10;T3PUHh+0W8onErcdjnZ0xJMNN+gPhrqNAagaut3Rx5Gp4F7D1Or73D2+wSkdBaZ6SezGj+jp/mjp&#10;M0cMv+0dMdA08ezuc3hUF9AEwmsXXXcOwp59znCMroPjySHhf6zDCC+IIg/Olr1HpPfTFMBABA10&#10;UhdggzhM3Lgh7DG+/hDxdStdrXCwn4Wslmo/YeF3p92ytdp+aDv7BwAA//8DAFBLAwQUAAYACAAA&#10;ACEAQ9vwuN8AAAAJAQAADwAAAGRycy9kb3ducmV2LnhtbEyPwU7DMBBE70j8g7VI3KidlAINcaqq&#10;Ak4VEi0S4raNt0nU2I5iN0n/nuUEx9kZzb7JV5NtxUB9aLzTkMwUCHKlN42rNHzuX++eQISIzmDr&#10;HWm4UIBVcX2VY2b86D5o2MVKcIkLGWqoY+wyKUNZk8Uw8x059o6+txhZ9pU0PY5cbluZKvUgLTaO&#10;P9TY0aam8rQ7Ww1vI47refIybE/HzeV7v3j/2iak9e3NtH4GEWmKf2H4xWd0KJjp4M/OBNGyTuac&#10;1JAuFyDYX6qUDwcN94+pAlnk8v+C4gcAAP//AwBQSwECLQAUAAYACAAAACEAtoM4kv4AAADhAQAA&#10;EwAAAAAAAAAAAAAAAAAAAAAAW0NvbnRlbnRfVHlwZXNdLnhtbFBLAQItABQABgAIAAAAIQA4/SH/&#10;1gAAAJQBAAALAAAAAAAAAAAAAAAAAC8BAABfcmVscy8ucmVsc1BLAQItABQABgAIAAAAIQDvVD/8&#10;9AQAALAbAAAOAAAAAAAAAAAAAAAAAC4CAABkcnMvZTJvRG9jLnhtbFBLAQItABQABgAIAAAAIQBD&#10;2/C43wAAAAkBAAAPAAAAAAAAAAAAAAAAAE4HAABkcnMvZG93bnJldi54bWxQSwUGAAAAAAQABADz&#10;AAAAWggAAAAA&#10;">
                <v:shape id="Zone de texte 3" o:spid="_x0000_s1040" type="#_x0000_t202" style="position:absolute;left:22383;width:14383;height:9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La0yQAAAOIAAAAPAAAAZHJzL2Rvd25yZXYueG1sRI9Ba8JA&#10;FITvhf6H5RV6q7saLTZ1FRFSBE9GodfX7DMJzb4N2W2S/ntXEDwOM/MNs9qMthE9db52rGE6USCI&#10;C2dqLjWcT9nbEoQPyAYbx6Thnzxs1s9PK0yNG/hIfR5KESHsU9RQhdCmUvqiIot+4lri6F1cZzFE&#10;2ZXSdDhEuG3kTKl3abHmuFBhS7uKit/8z2qY59l5eym+kx32Kvv5Is4PQ6L168u4/QQRaAyP8L29&#10;Nxo+5otkqpazBG6X4h2Q6ysAAAD//wMAUEsBAi0AFAAGAAgAAAAhANvh9svuAAAAhQEAABMAAAAA&#10;AAAAAAAAAAAAAAAAAFtDb250ZW50X1R5cGVzXS54bWxQSwECLQAUAAYACAAAACEAWvQsW78AAAAV&#10;AQAACwAAAAAAAAAAAAAAAAAfAQAAX3JlbHMvLnJlbHNQSwECLQAUAAYACAAAACEAxSC2tMkAAADi&#10;AAAADwAAAAAAAAAAAAAAAAAHAgAAZHJzL2Rvd25yZXYueG1sUEsFBgAAAAADAAMAtwAAAP0CAAAA&#10;AA==&#10;" fillcolor="#e7e6e6 [3214]" strokecolor="red" strokeweight="2pt">
                  <v:stroke dashstyle="dash"/>
                  <v:textbox>
                    <w:txbxContent>
                      <w:p w14:paraId="233B4A5C" w14:textId="77777777" w:rsidR="00E67F89" w:rsidRPr="00E67F89" w:rsidRDefault="00E67F89" w:rsidP="00E67F89"/>
                      <w:p w14:paraId="34A060D9" w14:textId="77777777" w:rsidR="00E67F89" w:rsidRPr="00E67F89" w:rsidRDefault="00E67F89" w:rsidP="00E67F89"/>
                      <w:p w14:paraId="07B02BDE" w14:textId="77777777" w:rsidR="00E67F89" w:rsidRPr="00E67F89" w:rsidRDefault="00E67F89" w:rsidP="00E67F89">
                        <w:r w:rsidRPr="00E67F89">
                          <w:t>Zone de travail</w:t>
                        </w:r>
                      </w:p>
                    </w:txbxContent>
                  </v:textbox>
                </v:shape>
                <v:line id="Connecteur droit 1" o:spid="_x0000_s1041" style="position:absolute;flip:y;visibility:visible;mso-wrap-style:square" from="0,5143" to="56578,5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FkPywAAAOIAAAAPAAAAZHJzL2Rvd25yZXYueG1sRI9BSwMx&#10;FITvgv8hPKE3m7Vdt2VtWmSh6sGLVUqPj83r7tbkZUnSdttfbwTB4zAz3zCL1WCNOJEPnWMFD+MM&#10;BHHtdMeNgq/P9f0cRIjIGo1jUnChAKvl7c0CS+3O/EGnTWxEgnAoUUEbY19KGeqWLIax64mTt3fe&#10;YkzSN1J7PCe4NXKSZYW02HFaaLGnqqX6e3O0Ciqz3Q2vL57j9nDdH99pXR2MUWp0Nzw/gYg0xP/w&#10;X/tNK8inxWw+zR9z+L2U7oBc/gAAAP//AwBQSwECLQAUAAYACAAAACEA2+H2y+4AAACFAQAAEwAA&#10;AAAAAAAAAAAAAAAAAAAAW0NvbnRlbnRfVHlwZXNdLnhtbFBLAQItABQABgAIAAAAIQBa9CxbvwAA&#10;ABUBAAALAAAAAAAAAAAAAAAAAB8BAABfcmVscy8ucmVsc1BLAQItABQABgAIAAAAIQDxJFkPywAA&#10;AOIAAAAPAAAAAAAAAAAAAAAAAAcCAABkcnMvZG93bnJldi54bWxQSwUGAAAAAAMAAwC3AAAA/wIA&#10;AAAA&#10;" strokecolor="black [3213]" strokeweight=".5pt">
                  <v:stroke joinstyle="miter"/>
                </v:line>
                <v:line id="Connecteur droit 1" o:spid="_x0000_s1042" style="position:absolute;flip:y;visibility:visible;mso-wrap-style:square" from="0,20002" to="56578,20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juJywAAAOMAAAAPAAAAZHJzL2Rvd25yZXYueG1sRI9PSwMx&#10;FMTvgt8hPMGbzbq0WtdNiyxUPXixSvH42LzuH5OXJcm22356Iwgeh5n5DVOuJ2vEgXzoHCu4nWUg&#10;iGunO24UfH5sbpYgQkTWaByTghMFWK8uL0ostDvyOx22sREJwqFABW2MQyFlqFuyGGZuIE7e3nmL&#10;MUnfSO3xmODWyDzL7qTFjtNCiwNVLdXf29EqqMzua3p59hx3/Xk/vtGm6o1R6vpqenoEEWmK/+G/&#10;9qtWkGf3y/li8TDP4fdT+gNy9QMAAP//AwBQSwECLQAUAAYACAAAACEA2+H2y+4AAACFAQAAEwAA&#10;AAAAAAAAAAAAAAAAAAAAW0NvbnRlbnRfVHlwZXNdLnhtbFBLAQItABQABgAIAAAAIQBa9CxbvwAA&#10;ABUBAAALAAAAAAAAAAAAAAAAAB8BAABfcmVscy8ucmVsc1BLAQItABQABgAIAAAAIQDOujuJywAA&#10;AOMAAAAPAAAAAAAAAAAAAAAAAAcCAABkcnMvZG93bnJldi54bWxQSwUGAAAAAAMAAwC3AAAA/wIA&#10;AAAA&#10;" strokecolor="black [3213]" strokeweight=".5pt">
                  <v:stroke joinstyle="miter"/>
                </v:line>
                <v:line id="Connecteur droit 1" o:spid="_x0000_s1043" style="position:absolute;flip:y;visibility:visible;mso-wrap-style:square" from="0,22669" to="56578,22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K1UywAAAOIAAAAPAAAAZHJzL2Rvd25yZXYueG1sRI9BawIx&#10;FITvQv9DeIXeNFsrdV2NUhbUHnqpLeLxsXnuriYvSxJ121/fFAo9DjPzDbNY9daIK/nQOlbwOMpA&#10;EFdOt1wr+PxYD3MQISJrNI5JwRcFWC3vBgsstLvxO113sRYJwqFABU2MXSFlqBqyGEauI07e0XmL&#10;MUlfS+3xluDWyHGWPUuLLaeFBjsqG6rOu4tVUJr9od9uPMf96ft4eaN1eTJGqYf7/mUOIlIf/8N/&#10;7VetIJ88jaezaT6B30vpDsjlDwAAAP//AwBQSwECLQAUAAYACAAAACEA2+H2y+4AAACFAQAAEwAA&#10;AAAAAAAAAAAAAAAAAAAAW0NvbnRlbnRfVHlwZXNdLnhtbFBLAQItABQABgAIAAAAIQBa9CxbvwAA&#10;ABUBAAALAAAAAAAAAAAAAAAAAB8BAABfcmVscy8ucmVsc1BLAQItABQABgAIAAAAIQCzQK1UywAA&#10;AOIAAAAPAAAAAAAAAAAAAAAAAAcCAABkcnMvZG93bnJldi54bWxQSwUGAAAAAAMAAwC3AAAA/wIA&#10;AAAA&#10;" strokecolor="black [3213]" strokeweight=".5pt">
                  <v:stroke joinstyle="miter"/>
                </v:line>
                <v:line id="Connecteur droit 1" o:spid="_x0000_s1044" style="position:absolute;flip:y;visibility:visible;mso-wrap-style:square" from="0,2571" to="56578,2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JRIygAAAOIAAAAPAAAAZHJzL2Rvd25yZXYueG1sRI9BawIx&#10;FITvhf6H8Aq91ayudGVrFFmw7aGXqkiPj81zdzV5WZKo2/76plDwOMzMN8x8OVgjLuRD51jBeJSB&#10;IK6d7rhRsNuun2YgQkTWaByTgm8KsFzc382x1O7Kn3TZxEYkCIcSFbQx9qWUoW7JYhi5njh5B+ct&#10;xiR9I7XHa4JbIydZ9iwtdpwWWuypaqk+bc5WQWX2X8Pbq+e4P/4czh+0ro7GKPX4MKxeQEQa4i38&#10;337XCop8ms+KaZHD36V0B+TiFwAA//8DAFBLAQItABQABgAIAAAAIQDb4fbL7gAAAIUBAAATAAAA&#10;AAAAAAAAAAAAAAAAAABbQ29udGVudF9UeXBlc10ueG1sUEsBAi0AFAAGAAgAAAAhAFr0LFu/AAAA&#10;FQEAAAsAAAAAAAAAAAAAAAAAHwEAAF9yZWxzLy5yZWxzUEsBAi0AFAAGAAgAAAAhANAclEjKAAAA&#10;4gAAAA8AAAAAAAAAAAAAAAAABwIAAGRycy9kb3ducmV2LnhtbFBLBQYAAAAAAwADALcAAAD+AgAA&#10;AAA=&#10;" strokecolor="black [3213]" strokeweight=".5pt">
                  <v:stroke joinstyle="miter"/>
                </v:line>
                <v:group id="Groupe 14" o:spid="_x0000_s1045" style="position:absolute;top:1905;width:41243;height:26193" coordorigin="-23129" coordsize="57229,26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4qtyQAAAOMAAAAPAAAAZHJzL2Rvd25yZXYueG1sRE/RasJA&#10;EHwv9B+OLfStXqIkSOopIlX6IEKjIL4tuTUJ5vZC7kzi3/cKQudtd3Zmdhar0TSip87VlhXEkwgE&#10;cWF1zaWC03H7MQfhPLLGxjIpeJCD1fL1ZYGZtgP/UJ/7UgQTdhkqqLxvMyldUZFBN7EtceCutjPo&#10;w9iVUnc4BHPTyGkUpdJgzSGhwpY2FRW3/G4U7AYc1rP4q9/frpvH5ZgczvuYlHp/G9efIDyN/v/4&#10;qf7W4f04SZOAdAp/ncIC5PIXAAD//wMAUEsBAi0AFAAGAAgAAAAhANvh9svuAAAAhQEAABMAAAAA&#10;AAAAAAAAAAAAAAAAAFtDb250ZW50X1R5cGVzXS54bWxQSwECLQAUAAYACAAAACEAWvQsW78AAAAV&#10;AQAACwAAAAAAAAAAAAAAAAAfAQAAX3JlbHMvLnJlbHNQSwECLQAUAAYACAAAACEAYCeKrckAAADj&#10;AAAADwAAAAAAAAAAAAAAAAAHAgAAZHJzL2Rvd25yZXYueG1sUEsFBgAAAAADAAMAtwAAAP0CAAAA&#10;AA==&#10;">
                  <v:line id="Connecteur droit 11" o:spid="_x0000_s1046" style="position:absolute;visibility:visible;mso-wrap-style:square" from="0,0" to="4762,9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2TVywAAAOIAAAAPAAAAZHJzL2Rvd25yZXYueG1sRI9BSwMx&#10;FITvgv8hPMFLsUkslbo2LXWLIHjqqgdvj81zd+nmZUlid/XXG0HocZiZb5j1dnK9OFGInWcDeq5A&#10;ENfedtwYeHt9ulmBiAnZYu+ZDHxThO3m8mKNhfUjH+hUpUZkCMcCDbQpDYWUsW7JYZz7gTh7nz44&#10;TFmGRtqAY4a7Xt4qdScddpwXWhyobKk+Vl/OwHIV9+WxHGezl/3jrvoI7z8HrY25vpp2DyASTekc&#10;/m8/WwP3Si8Waqk1/F3Kd0BufgEAAP//AwBQSwECLQAUAAYACAAAACEA2+H2y+4AAACFAQAAEwAA&#10;AAAAAAAAAAAAAAAAAAAAW0NvbnRlbnRfVHlwZXNdLnhtbFBLAQItABQABgAIAAAAIQBa9CxbvwAA&#10;ABUBAAALAAAAAAAAAAAAAAAAAB8BAABfcmVscy8ucmVsc1BLAQItABQABgAIAAAAIQCHJ2TVywAA&#10;AOIAAAAPAAAAAAAAAAAAAAAAAAcCAABkcnMvZG93bnJldi54bWxQSwUGAAAAAAMAAwC3AAAA/wIA&#10;AAAA&#10;" strokecolor="#ffc000" strokeweight="1.75pt">
                    <v:stroke dashstyle="longDash" joinstyle="miter"/>
                  </v:line>
                  <v:line id="Connecteur droit 12" o:spid="_x0000_s1047" style="position:absolute;visibility:visible;mso-wrap-style:square" from="4762,9048" to="29813,9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N+QyQAAAOMAAAAPAAAAZHJzL2Rvd25yZXYueG1sRE9PS8Mw&#10;FL8LfofwBC9jSzs0G3XZmB2C4GnVHbw9mmdb1ryUJK7VT28EweP7/X+b3WR7cSEfOsca8kUGgrh2&#10;puNGw9vr03wNIkRkg71j0vBFAXbb66sNFsaNfKRLFRuRQjgUqKGNcSikDHVLFsPCDcSJ+3DeYkyn&#10;b6TxOKZw28tllilpsePU0OJAZUv1ufq0Gu7X4VCey3E2ezk87qt3f/o+5rnWtzfT/gFEpCn+i//c&#10;zybNz9RKrZbqTsHvTwkAuf0BAAD//wMAUEsBAi0AFAAGAAgAAAAhANvh9svuAAAAhQEAABMAAAAA&#10;AAAAAAAAAAAAAAAAAFtDb250ZW50X1R5cGVzXS54bWxQSwECLQAUAAYACAAAACEAWvQsW78AAAAV&#10;AQAACwAAAAAAAAAAAAAAAAAfAQAAX3JlbHMvLnJlbHNQSwECLQAUAAYACAAAACEA/BjfkMkAAADj&#10;AAAADwAAAAAAAAAAAAAAAAAHAgAAZHJzL2Rvd25yZXYueG1sUEsFBgAAAAADAAMAtwAAAP0CAAAA&#10;AA==&#10;" strokecolor="#ffc000" strokeweight="1.75pt">
                    <v:stroke dashstyle="longDash" joinstyle="miter"/>
                  </v:line>
                  <v:line id="Connecteur droit 13" o:spid="_x0000_s1048" style="position:absolute;flip:x;visibility:visible;mso-wrap-style:square" from="29813,0" to="34099,9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FzgzAAAAOMAAAAPAAAAZHJzL2Rvd25yZXYueG1sRI/NTsMw&#10;EITvlXgHa5G4tXYLakqoW1X8CS6VaCrOS7xNosbrYJs08PQYCanH0cx8o1muB9uKnnxoHGuYThQI&#10;4tKZhisN++JpvAARIrLB1jFp+KYA69XFaIm5cSd+o34XK5EgHHLUUMfY5VKGsiaLYeI64uQdnLcY&#10;k/SVNB5PCW5bOVNqLi02nBZq7Oi+pvK4+7IaHj6LH9/S83F//bj96IvbzevhvdL66nLY3IGINMRz&#10;+L/9YjTM1DybLjKV3cDfp/QH5OoXAAD//wMAUEsBAi0AFAAGAAgAAAAhANvh9svuAAAAhQEAABMA&#10;AAAAAAAAAAAAAAAAAAAAAFtDb250ZW50X1R5cGVzXS54bWxQSwECLQAUAAYACAAAACEAWvQsW78A&#10;AAAVAQAACwAAAAAAAAAAAAAAAAAfAQAAX3JlbHMvLnJlbHNQSwECLQAUAAYACAAAACEAhmhc4MwA&#10;AADjAAAADwAAAAAAAAAAAAAAAAAHAgAAZHJzL2Rvd25yZXYueG1sUEsFBgAAAAADAAMAtwAAAAAD&#10;AAAAAA==&#10;" strokecolor="#ffc000" strokeweight="1.75pt">
                    <v:stroke dashstyle="longDash" joinstyle="miter"/>
                  </v:line>
                  <v:line id="Connecteur droit 11" o:spid="_x0000_s1049" style="position:absolute;visibility:visible;mso-wrap-style:square" from="-23129,26193" to="-18371,261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PCpyQAAAOMAAAAPAAAAZHJzL2Rvd25yZXYueG1sRE9PS8Mw&#10;FL8LfofwBC/DpXFaRl02ZocgeFp1h90ezbMta15KEtfqpzeCsOP7/X+rzWR7cSYfOsca1DwDQVw7&#10;03Gj4eP95W4JIkRkg71j0vBNATbr66sVFsaNvKdzFRuRQjgUqKGNcSikDHVLFsPcDcSJ+3TeYkyn&#10;b6TxOKZw28v7LMulxY5TQ4sDlS3Vp+rLanhchl15KsfZ7G33vK2O/vCzV0rr25tp+wQi0hQv4n/3&#10;q0nzH/JcLVSmFvD3UwJArn8BAAD//wMAUEsBAi0AFAAGAAgAAAAhANvh9svuAAAAhQEAABMAAAAA&#10;AAAAAAAAAAAAAAAAAFtDb250ZW50X1R5cGVzXS54bWxQSwECLQAUAAYACAAAACEAWvQsW78AAAAV&#10;AQAACwAAAAAAAAAAAAAAAAAfAQAAX3JlbHMvLnJlbHNQSwECLQAUAAYACAAAACEARJDwqckAAADj&#10;AAAADwAAAAAAAAAAAAAAAAAHAgAAZHJzL2Rvd25yZXYueG1sUEsFBgAAAAADAAMAtwAAAP0CAAAA&#10;AA==&#10;" strokecolor="#ffc000" strokeweight="1.75pt">
                    <v:stroke dashstyle="longDash" joinstyle="miter"/>
                  </v:line>
                </v:group>
              </v:group>
            </w:pict>
          </mc:Fallback>
        </mc:AlternateContent>
      </w:r>
    </w:p>
    <w:p w14:paraId="53EB649B" w14:textId="77777777" w:rsidR="00E67F89" w:rsidRPr="00E67F89" w:rsidRDefault="00E67F89" w:rsidP="00E67F89">
      <w:r w:rsidRPr="00E67F89">
        <w:rPr>
          <w:noProof/>
        </w:rPr>
        <mc:AlternateContent>
          <mc:Choice Requires="wps">
            <w:drawing>
              <wp:anchor distT="0" distB="0" distL="114300" distR="114300" simplePos="0" relativeHeight="251658269" behindDoc="0" locked="0" layoutInCell="1" allowOverlap="1" wp14:anchorId="68648766" wp14:editId="73AB45AE">
                <wp:simplePos x="0" y="0"/>
                <wp:positionH relativeFrom="column">
                  <wp:posOffset>186055</wp:posOffset>
                </wp:positionH>
                <wp:positionV relativeFrom="paragraph">
                  <wp:posOffset>198120</wp:posOffset>
                </wp:positionV>
                <wp:extent cx="743585" cy="216000"/>
                <wp:effectExtent l="0" t="0" r="0" b="0"/>
                <wp:wrapNone/>
                <wp:docPr id="350258570" name="Zone de texte 18"/>
                <wp:cNvGraphicFramePr/>
                <a:graphic xmlns:a="http://schemas.openxmlformats.org/drawingml/2006/main">
                  <a:graphicData uri="http://schemas.microsoft.com/office/word/2010/wordprocessingShape">
                    <wps:wsp>
                      <wps:cNvSpPr txBox="1"/>
                      <wps:spPr>
                        <a:xfrm>
                          <a:off x="0" y="0"/>
                          <a:ext cx="743585" cy="216000"/>
                        </a:xfrm>
                        <a:prstGeom prst="rect">
                          <a:avLst/>
                        </a:prstGeom>
                        <a:solidFill>
                          <a:schemeClr val="lt1"/>
                        </a:solidFill>
                        <a:ln w="6350">
                          <a:noFill/>
                        </a:ln>
                      </wps:spPr>
                      <wps:txbx>
                        <w:txbxContent>
                          <w:p w14:paraId="7CC4EB5C" w14:textId="77777777" w:rsidR="00E67F89" w:rsidRPr="00E67F89" w:rsidRDefault="00E67F89" w:rsidP="00E67F89">
                            <w:r w:rsidRPr="00E67F89">
                              <w:t>Trottoir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8648766" id="Zone de texte 18" o:spid="_x0000_s1050" type="#_x0000_t202" style="position:absolute;left:0;text-align:left;margin-left:14.65pt;margin-top:15.6pt;width:58.55pt;height:17pt;z-index:25165826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sCkMQIAAFoEAAAOAAAAZHJzL2Uyb0RvYy54bWysVEtv2zAMvg/YfxB0X+ykSdoZcYosRYYB&#10;RVsgHXpWZCkWIIuapMTOfv0oOa91Ow27yKRI8fF9pGf3XaPJXjivwJR0OMgpEYZDpcy2pN9fV5/u&#10;KPGBmYppMKKkB+Hp/fzjh1lrCzGCGnQlHMEgxhetLWkdgi2yzPNaNMwPwAqDRgmuYQFVt80qx1qM&#10;3uhslOfTrAVXWQdceI+3D72RzlN8KQUPz1J6EYguKdYW0unSuYlnNp+xYuuYrRU/lsH+oYqGKYNJ&#10;z6EeWGBk59QfoRrFHXiQYcChyUBKxUXqAbsZ5u+6WdfMitQLguPtGSb//8Lyp/3avjgSui/QIYER&#10;kNb6wuNl7KeTrolfrJSgHSE8nGETXSAcL2/HN5O7CSUcTaPhNM8TrNnlsXU+fBXQkCiU1CErCSy2&#10;f/QBE6LrySXm8qBVtVJaJyVOglhqR/YMOdQhlYgvfvPShrQlnd5M8hTYQHzeR9YGE1xailLoNh1R&#10;VUnHp3Y3UB0QBQf9gHjLVwprfWQ+vDCHE4GN45SHZzykBswFR4mSGtzPv91HfyQKrZS0OGEl9T92&#10;zAlK9DeDFH4ejsdxJJMyntyOUHHXls21xeyaJSAAQ9wny5MY/YM+idJB84bLsIhZ0cQMx9wlDSdx&#10;Gfq5x2XiYrFITjiEloVHs7Y8ho6ARyZeuzfm7JGugDw/wWkWWfGOtd43vjSw2AWQKlEace5RPcKP&#10;A5yYPi5b3JBrPXldfgnzXwAAAP//AwBQSwMEFAAGAAgAAAAhAAQhM4zgAAAACAEAAA8AAABkcnMv&#10;ZG93bnJldi54bWxMj09Pg0AUxO8mfofNM/Fi7FJoUZFHY4zaxJvFP/G2ZZ9AZN8Sdgv47d2e9DiZ&#10;ycxv8s1sOjHS4FrLCMtFBIK4srrlGuG1fLy8BuG8Yq06y4TwQw42xelJrjJtJ36hcedrEUrYZQqh&#10;8b7PpHRVQ0a5he2Jg/dlB6N8kEMt9aCmUG46GUdRKo1qOSw0qqf7hqrv3cEgfF7UH89ufnqbknXS&#10;P2zH8updl4jnZ/PdLQhPs/8LwxE/oEMRmPb2wNqJDiG+SUISIVnGII7+Kl2B2COk6xhkkcv/B4pf&#10;AAAA//8DAFBLAQItABQABgAIAAAAIQC2gziS/gAAAOEBAAATAAAAAAAAAAAAAAAAAAAAAABbQ29u&#10;dGVudF9UeXBlc10ueG1sUEsBAi0AFAAGAAgAAAAhADj9If/WAAAAlAEAAAsAAAAAAAAAAAAAAAAA&#10;LwEAAF9yZWxzLy5yZWxzUEsBAi0AFAAGAAgAAAAhAJqKwKQxAgAAWgQAAA4AAAAAAAAAAAAAAAAA&#10;LgIAAGRycy9lMm9Eb2MueG1sUEsBAi0AFAAGAAgAAAAhAAQhM4zgAAAACAEAAA8AAAAAAAAAAAAA&#10;AAAAiwQAAGRycy9kb3ducmV2LnhtbFBLBQYAAAAABAAEAPMAAACYBQAAAAA=&#10;" fillcolor="white [3201]" stroked="f" strokeweight=".5pt">
                <v:textbox>
                  <w:txbxContent>
                    <w:p w14:paraId="7CC4EB5C" w14:textId="77777777" w:rsidR="00E67F89" w:rsidRPr="00E67F89" w:rsidRDefault="00E67F89" w:rsidP="00E67F89">
                      <w:r w:rsidRPr="00E67F89">
                        <w:t>Trottoir</w:t>
                      </w:r>
                    </w:p>
                  </w:txbxContent>
                </v:textbox>
              </v:shape>
            </w:pict>
          </mc:Fallback>
        </mc:AlternateContent>
      </w:r>
      <w:r w:rsidRPr="00E67F89">
        <w:rPr>
          <w:noProof/>
        </w:rPr>
        <w:drawing>
          <wp:anchor distT="0" distB="0" distL="114300" distR="114300" simplePos="0" relativeHeight="251658255" behindDoc="1" locked="0" layoutInCell="1" allowOverlap="1" wp14:anchorId="0C9D22D8" wp14:editId="034E6B0D">
            <wp:simplePos x="0" y="0"/>
            <wp:positionH relativeFrom="column">
              <wp:posOffset>4825365</wp:posOffset>
            </wp:positionH>
            <wp:positionV relativeFrom="paragraph">
              <wp:posOffset>100965</wp:posOffset>
            </wp:positionV>
            <wp:extent cx="424180" cy="417195"/>
            <wp:effectExtent l="0" t="0" r="0" b="1905"/>
            <wp:wrapNone/>
            <wp:docPr id="127497032" name="Image 127497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106170" name="Image 515106170"/>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24180" cy="417195"/>
                    </a:xfrm>
                    <a:prstGeom prst="rect">
                      <a:avLst/>
                    </a:prstGeom>
                  </pic:spPr>
                </pic:pic>
              </a:graphicData>
            </a:graphic>
          </wp:anchor>
        </w:drawing>
      </w:r>
      <w:r w:rsidRPr="00E67F89">
        <w:rPr>
          <w:noProof/>
        </w:rPr>
        <w:drawing>
          <wp:anchor distT="0" distB="0" distL="114300" distR="114300" simplePos="0" relativeHeight="251658248" behindDoc="1" locked="0" layoutInCell="1" allowOverlap="1" wp14:anchorId="726D7623" wp14:editId="6C5A0132">
            <wp:simplePos x="0" y="0"/>
            <wp:positionH relativeFrom="column">
              <wp:posOffset>5462905</wp:posOffset>
            </wp:positionH>
            <wp:positionV relativeFrom="paragraph">
              <wp:posOffset>167640</wp:posOffset>
            </wp:positionV>
            <wp:extent cx="482400" cy="417600"/>
            <wp:effectExtent l="0" t="0" r="0" b="1905"/>
            <wp:wrapNone/>
            <wp:docPr id="196541305"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41305" name="Image 196541305"/>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82400" cy="417600"/>
                    </a:xfrm>
                    <a:prstGeom prst="rect">
                      <a:avLst/>
                    </a:prstGeom>
                  </pic:spPr>
                </pic:pic>
              </a:graphicData>
            </a:graphic>
            <wp14:sizeRelH relativeFrom="page">
              <wp14:pctWidth>0</wp14:pctWidth>
            </wp14:sizeRelH>
            <wp14:sizeRelV relativeFrom="page">
              <wp14:pctHeight>0</wp14:pctHeight>
            </wp14:sizeRelV>
          </wp:anchor>
        </w:drawing>
      </w:r>
    </w:p>
    <w:p w14:paraId="087F6B4C" w14:textId="77777777" w:rsidR="00E67F89" w:rsidRPr="00E67F89" w:rsidRDefault="00E67F89" w:rsidP="00E67F89">
      <w:r w:rsidRPr="00E67F89">
        <w:rPr>
          <w:noProof/>
        </w:rPr>
        <w:drawing>
          <wp:anchor distT="0" distB="0" distL="114300" distR="114300" simplePos="0" relativeHeight="251658252" behindDoc="1" locked="0" layoutInCell="1" allowOverlap="1" wp14:anchorId="53ECBBE5" wp14:editId="752D403E">
            <wp:simplePos x="0" y="0"/>
            <wp:positionH relativeFrom="column">
              <wp:posOffset>4853305</wp:posOffset>
            </wp:positionH>
            <wp:positionV relativeFrom="paragraph">
              <wp:posOffset>230505</wp:posOffset>
            </wp:positionV>
            <wp:extent cx="410400" cy="417600"/>
            <wp:effectExtent l="0" t="0" r="8890" b="1905"/>
            <wp:wrapNone/>
            <wp:docPr id="114691065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910659" name="Image 1146910659"/>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10400" cy="417600"/>
                    </a:xfrm>
                    <a:prstGeom prst="rect">
                      <a:avLst/>
                    </a:prstGeom>
                  </pic:spPr>
                </pic:pic>
              </a:graphicData>
            </a:graphic>
            <wp14:sizeRelH relativeFrom="margin">
              <wp14:pctWidth>0</wp14:pctWidth>
            </wp14:sizeRelH>
            <wp14:sizeRelV relativeFrom="margin">
              <wp14:pctHeight>0</wp14:pctHeight>
            </wp14:sizeRelV>
          </wp:anchor>
        </w:drawing>
      </w:r>
    </w:p>
    <w:p w14:paraId="1B44060C" w14:textId="77777777" w:rsidR="00E67F89" w:rsidRPr="00E67F89" w:rsidRDefault="00E67F89" w:rsidP="00E67F89">
      <w:r w:rsidRPr="00E67F89">
        <w:rPr>
          <w:noProof/>
        </w:rPr>
        <w:drawing>
          <wp:anchor distT="0" distB="0" distL="114300" distR="114300" simplePos="0" relativeHeight="251658268" behindDoc="1" locked="0" layoutInCell="1" allowOverlap="1" wp14:anchorId="2E605579" wp14:editId="40BBC92A">
            <wp:simplePos x="0" y="0"/>
            <wp:positionH relativeFrom="column">
              <wp:posOffset>3824605</wp:posOffset>
            </wp:positionH>
            <wp:positionV relativeFrom="paragraph">
              <wp:posOffset>153095</wp:posOffset>
            </wp:positionV>
            <wp:extent cx="293697" cy="417600"/>
            <wp:effectExtent l="0" t="0" r="0" b="1905"/>
            <wp:wrapNone/>
            <wp:docPr id="156042002"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42002" name="Image 156042002"/>
                    <pic:cNvPicPr/>
                  </pic:nvPicPr>
                  <pic:blipFill>
                    <a:blip r:embed="rId57">
                      <a:extLst>
                        <a:ext uri="{28A0092B-C50C-407E-A947-70E740481C1C}">
                          <a14:useLocalDpi xmlns:a14="http://schemas.microsoft.com/office/drawing/2010/main" val="0"/>
                        </a:ext>
                      </a:extLst>
                    </a:blip>
                    <a:stretch>
                      <a:fillRect/>
                    </a:stretch>
                  </pic:blipFill>
                  <pic:spPr>
                    <a:xfrm>
                      <a:off x="0" y="0"/>
                      <a:ext cx="293697" cy="417600"/>
                    </a:xfrm>
                    <a:prstGeom prst="rect">
                      <a:avLst/>
                    </a:prstGeom>
                  </pic:spPr>
                </pic:pic>
              </a:graphicData>
            </a:graphic>
            <wp14:sizeRelH relativeFrom="page">
              <wp14:pctWidth>0</wp14:pctWidth>
            </wp14:sizeRelH>
            <wp14:sizeRelV relativeFrom="page">
              <wp14:pctHeight>0</wp14:pctHeight>
            </wp14:sizeRelV>
          </wp:anchor>
        </w:drawing>
      </w:r>
      <w:r w:rsidRPr="00E67F89">
        <w:rPr>
          <w:noProof/>
        </w:rPr>
        <w:drawing>
          <wp:anchor distT="0" distB="0" distL="114300" distR="114300" simplePos="0" relativeHeight="251658263" behindDoc="1" locked="0" layoutInCell="1" allowOverlap="1" wp14:anchorId="7F2131A9" wp14:editId="377B25B1">
            <wp:simplePos x="0" y="0"/>
            <wp:positionH relativeFrom="column">
              <wp:posOffset>1871980</wp:posOffset>
            </wp:positionH>
            <wp:positionV relativeFrom="paragraph">
              <wp:posOffset>133985</wp:posOffset>
            </wp:positionV>
            <wp:extent cx="293697" cy="417600"/>
            <wp:effectExtent l="0" t="0" r="0" b="1905"/>
            <wp:wrapNone/>
            <wp:docPr id="478095729" name="Image 478095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82115" name="Image 83282115"/>
                    <pic:cNvPicPr/>
                  </pic:nvPicPr>
                  <pic:blipFill>
                    <a:blip r:embed="rId57">
                      <a:extLst>
                        <a:ext uri="{28A0092B-C50C-407E-A947-70E740481C1C}">
                          <a14:useLocalDpi xmlns:a14="http://schemas.microsoft.com/office/drawing/2010/main" val="0"/>
                        </a:ext>
                      </a:extLst>
                    </a:blip>
                    <a:stretch>
                      <a:fillRect/>
                    </a:stretch>
                  </pic:blipFill>
                  <pic:spPr>
                    <a:xfrm>
                      <a:off x="0" y="0"/>
                      <a:ext cx="293697" cy="417600"/>
                    </a:xfrm>
                    <a:prstGeom prst="rect">
                      <a:avLst/>
                    </a:prstGeom>
                  </pic:spPr>
                </pic:pic>
              </a:graphicData>
            </a:graphic>
            <wp14:sizeRelH relativeFrom="page">
              <wp14:pctWidth>0</wp14:pctWidth>
            </wp14:sizeRelH>
            <wp14:sizeRelV relativeFrom="page">
              <wp14:pctHeight>0</wp14:pctHeight>
            </wp14:sizeRelV>
          </wp:anchor>
        </w:drawing>
      </w:r>
      <w:r w:rsidRPr="00E67F89">
        <w:rPr>
          <w:noProof/>
        </w:rPr>
        <w:drawing>
          <wp:anchor distT="0" distB="0" distL="114300" distR="114300" simplePos="0" relativeHeight="251658260" behindDoc="1" locked="0" layoutInCell="1" allowOverlap="1" wp14:anchorId="0A61D68A" wp14:editId="66701A70">
            <wp:simplePos x="0" y="0"/>
            <wp:positionH relativeFrom="column">
              <wp:posOffset>1871980</wp:posOffset>
            </wp:positionH>
            <wp:positionV relativeFrom="paragraph">
              <wp:posOffset>134045</wp:posOffset>
            </wp:positionV>
            <wp:extent cx="293697" cy="417600"/>
            <wp:effectExtent l="0" t="0" r="0" b="1905"/>
            <wp:wrapNone/>
            <wp:docPr id="83282115"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82115" name="Image 83282115"/>
                    <pic:cNvPicPr/>
                  </pic:nvPicPr>
                  <pic:blipFill>
                    <a:blip r:embed="rId57">
                      <a:extLst>
                        <a:ext uri="{28A0092B-C50C-407E-A947-70E740481C1C}">
                          <a14:useLocalDpi xmlns:a14="http://schemas.microsoft.com/office/drawing/2010/main" val="0"/>
                        </a:ext>
                      </a:extLst>
                    </a:blip>
                    <a:stretch>
                      <a:fillRect/>
                    </a:stretch>
                  </pic:blipFill>
                  <pic:spPr>
                    <a:xfrm>
                      <a:off x="0" y="0"/>
                      <a:ext cx="293697" cy="417600"/>
                    </a:xfrm>
                    <a:prstGeom prst="rect">
                      <a:avLst/>
                    </a:prstGeom>
                  </pic:spPr>
                </pic:pic>
              </a:graphicData>
            </a:graphic>
            <wp14:sizeRelH relativeFrom="page">
              <wp14:pctWidth>0</wp14:pctWidth>
            </wp14:sizeRelH>
            <wp14:sizeRelV relativeFrom="page">
              <wp14:pctHeight>0</wp14:pctHeight>
            </wp14:sizeRelV>
          </wp:anchor>
        </w:drawing>
      </w:r>
    </w:p>
    <w:p w14:paraId="1BA8C01F" w14:textId="77777777" w:rsidR="00E67F89" w:rsidRPr="00E67F89" w:rsidRDefault="00E67F89" w:rsidP="00E67F89">
      <w:r w:rsidRPr="00E67F89">
        <w:rPr>
          <w:noProof/>
        </w:rPr>
        <w:drawing>
          <wp:anchor distT="0" distB="0" distL="114300" distR="114300" simplePos="0" relativeHeight="251658249" behindDoc="1" locked="0" layoutInCell="1" allowOverlap="1" wp14:anchorId="75B31E44" wp14:editId="739CFFE6">
            <wp:simplePos x="0" y="0"/>
            <wp:positionH relativeFrom="column">
              <wp:posOffset>4814570</wp:posOffset>
            </wp:positionH>
            <wp:positionV relativeFrom="paragraph">
              <wp:posOffset>97155</wp:posOffset>
            </wp:positionV>
            <wp:extent cx="481965" cy="417195"/>
            <wp:effectExtent l="0" t="0" r="0" b="1905"/>
            <wp:wrapNone/>
            <wp:docPr id="1930789466"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789466" name="Image 5"/>
                    <pic:cNvPicPr/>
                  </pic:nvPicPr>
                  <pic:blipFill>
                    <a:blip r:embed="rId58" cstate="print">
                      <a:extLst>
                        <a:ext uri="{28A0092B-C50C-407E-A947-70E740481C1C}">
                          <a14:useLocalDpi xmlns:a14="http://schemas.microsoft.com/office/drawing/2010/main" val="0"/>
                        </a:ext>
                      </a:extLst>
                    </a:blip>
                    <a:stretch>
                      <a:fillRect/>
                    </a:stretch>
                  </pic:blipFill>
                  <pic:spPr>
                    <a:xfrm flipH="1">
                      <a:off x="0" y="0"/>
                      <a:ext cx="481965" cy="417195"/>
                    </a:xfrm>
                    <a:prstGeom prst="rect">
                      <a:avLst/>
                    </a:prstGeom>
                  </pic:spPr>
                </pic:pic>
              </a:graphicData>
            </a:graphic>
            <wp14:sizeRelH relativeFrom="margin">
              <wp14:pctWidth>0</wp14:pctWidth>
            </wp14:sizeRelH>
            <wp14:sizeRelV relativeFrom="margin">
              <wp14:pctHeight>0</wp14:pctHeight>
            </wp14:sizeRelV>
          </wp:anchor>
        </w:drawing>
      </w:r>
      <w:r w:rsidRPr="00E67F89">
        <w:rPr>
          <w:noProof/>
        </w:rPr>
        <w:drawing>
          <wp:anchor distT="0" distB="0" distL="114300" distR="114300" simplePos="0" relativeHeight="251658254" behindDoc="1" locked="0" layoutInCell="1" allowOverlap="1" wp14:anchorId="69121BA7" wp14:editId="76BBD4AB">
            <wp:simplePos x="0" y="0"/>
            <wp:positionH relativeFrom="column">
              <wp:posOffset>471170</wp:posOffset>
            </wp:positionH>
            <wp:positionV relativeFrom="paragraph">
              <wp:posOffset>137160</wp:posOffset>
            </wp:positionV>
            <wp:extent cx="481965" cy="417195"/>
            <wp:effectExtent l="0" t="0" r="0" b="1905"/>
            <wp:wrapNone/>
            <wp:docPr id="11566991" name="Image 11566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789466" name="Image 5"/>
                    <pic:cNvPicPr/>
                  </pic:nvPicPr>
                  <pic:blipFill>
                    <a:blip r:embed="rId58" cstate="print">
                      <a:extLst>
                        <a:ext uri="{28A0092B-C50C-407E-A947-70E740481C1C}">
                          <a14:useLocalDpi xmlns:a14="http://schemas.microsoft.com/office/drawing/2010/main" val="0"/>
                        </a:ext>
                      </a:extLst>
                    </a:blip>
                    <a:stretch>
                      <a:fillRect/>
                    </a:stretch>
                  </pic:blipFill>
                  <pic:spPr>
                    <a:xfrm flipH="1">
                      <a:off x="0" y="0"/>
                      <a:ext cx="481965" cy="417195"/>
                    </a:xfrm>
                    <a:prstGeom prst="rect">
                      <a:avLst/>
                    </a:prstGeom>
                  </pic:spPr>
                </pic:pic>
              </a:graphicData>
            </a:graphic>
            <wp14:sizeRelH relativeFrom="margin">
              <wp14:pctWidth>0</wp14:pctWidth>
            </wp14:sizeRelH>
            <wp14:sizeRelV relativeFrom="margin">
              <wp14:pctHeight>0</wp14:pctHeight>
            </wp14:sizeRelV>
          </wp:anchor>
        </w:drawing>
      </w:r>
      <w:r w:rsidRPr="00E67F89">
        <w:br/>
      </w:r>
    </w:p>
    <w:p w14:paraId="33DF1CDC" w14:textId="77777777" w:rsidR="00E67F89" w:rsidRPr="00E67F89" w:rsidRDefault="00E67F89" w:rsidP="00E67F89">
      <w:r w:rsidRPr="00E67F89">
        <w:rPr>
          <w:noProof/>
        </w:rPr>
        <w:drawing>
          <wp:anchor distT="0" distB="0" distL="114300" distR="114300" simplePos="0" relativeHeight="251658253" behindDoc="1" locked="0" layoutInCell="1" allowOverlap="1" wp14:anchorId="1EDA9FC1" wp14:editId="44726F86">
            <wp:simplePos x="0" y="0"/>
            <wp:positionH relativeFrom="column">
              <wp:posOffset>519430</wp:posOffset>
            </wp:positionH>
            <wp:positionV relativeFrom="paragraph">
              <wp:posOffset>110490</wp:posOffset>
            </wp:positionV>
            <wp:extent cx="410400" cy="417600"/>
            <wp:effectExtent l="0" t="0" r="8890" b="1905"/>
            <wp:wrapNone/>
            <wp:docPr id="2110857472" name="Image 2110857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910659" name="Image 1146910659"/>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10400" cy="417600"/>
                    </a:xfrm>
                    <a:prstGeom prst="rect">
                      <a:avLst/>
                    </a:prstGeom>
                  </pic:spPr>
                </pic:pic>
              </a:graphicData>
            </a:graphic>
            <wp14:sizeRelH relativeFrom="margin">
              <wp14:pctWidth>0</wp14:pctWidth>
            </wp14:sizeRelH>
            <wp14:sizeRelV relativeFrom="margin">
              <wp14:pctHeight>0</wp14:pctHeight>
            </wp14:sizeRelV>
          </wp:anchor>
        </w:drawing>
      </w:r>
    </w:p>
    <w:p w14:paraId="1162F539" w14:textId="77777777" w:rsidR="00E67F89" w:rsidRPr="00E67F89" w:rsidRDefault="00E67F89" w:rsidP="00E67F89">
      <w:r w:rsidRPr="00E67F89">
        <w:rPr>
          <w:noProof/>
        </w:rPr>
        <w:drawing>
          <wp:anchor distT="0" distB="0" distL="114300" distR="114300" simplePos="0" relativeHeight="251658251" behindDoc="1" locked="0" layoutInCell="1" allowOverlap="1" wp14:anchorId="6CFC5D73" wp14:editId="289A00A3">
            <wp:simplePos x="0" y="0"/>
            <wp:positionH relativeFrom="column">
              <wp:posOffset>519430</wp:posOffset>
            </wp:positionH>
            <wp:positionV relativeFrom="paragraph">
              <wp:posOffset>248285</wp:posOffset>
            </wp:positionV>
            <wp:extent cx="424180" cy="417195"/>
            <wp:effectExtent l="0" t="0" r="0" b="1905"/>
            <wp:wrapNone/>
            <wp:docPr id="51510617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106170" name="Image 515106170"/>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24180" cy="417195"/>
                    </a:xfrm>
                    <a:prstGeom prst="rect">
                      <a:avLst/>
                    </a:prstGeom>
                  </pic:spPr>
                </pic:pic>
              </a:graphicData>
            </a:graphic>
          </wp:anchor>
        </w:drawing>
      </w:r>
      <w:r w:rsidRPr="00E67F89">
        <w:rPr>
          <w:noProof/>
        </w:rPr>
        <w:drawing>
          <wp:anchor distT="0" distB="0" distL="114300" distR="114300" simplePos="0" relativeHeight="251658256" behindDoc="1" locked="0" layoutInCell="1" allowOverlap="1" wp14:anchorId="37172A6F" wp14:editId="0EC3A72A">
            <wp:simplePos x="0" y="0"/>
            <wp:positionH relativeFrom="column">
              <wp:posOffset>-156845</wp:posOffset>
            </wp:positionH>
            <wp:positionV relativeFrom="paragraph">
              <wp:posOffset>210185</wp:posOffset>
            </wp:positionV>
            <wp:extent cx="482400" cy="417600"/>
            <wp:effectExtent l="0" t="0" r="0" b="1905"/>
            <wp:wrapNone/>
            <wp:docPr id="682060685" name="Image 682060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41305" name="Image 196541305"/>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82400" cy="417600"/>
                    </a:xfrm>
                    <a:prstGeom prst="rect">
                      <a:avLst/>
                    </a:prstGeom>
                  </pic:spPr>
                </pic:pic>
              </a:graphicData>
            </a:graphic>
            <wp14:sizeRelH relativeFrom="page">
              <wp14:pctWidth>0</wp14:pctWidth>
            </wp14:sizeRelH>
            <wp14:sizeRelV relativeFrom="page">
              <wp14:pctHeight>0</wp14:pctHeight>
            </wp14:sizeRelV>
          </wp:anchor>
        </w:drawing>
      </w:r>
    </w:p>
    <w:p w14:paraId="1C664242" w14:textId="77777777" w:rsidR="00E67F89" w:rsidRPr="00E67F89" w:rsidRDefault="00E67F89" w:rsidP="00E67F89"/>
    <w:p w14:paraId="1A089A72" w14:textId="77777777" w:rsidR="00E67F89" w:rsidRPr="00E67F89" w:rsidRDefault="00E67F89" w:rsidP="00E67F89">
      <w:r w:rsidRPr="00E67F89">
        <w:t>Notes :</w:t>
      </w:r>
    </w:p>
    <w:p w14:paraId="5719D14B" w14:textId="77777777" w:rsidR="00E67F89" w:rsidRPr="00E67F89" w:rsidRDefault="00E67F89" w:rsidP="00E67F89">
      <w:r w:rsidRPr="00E67F89">
        <w:t xml:space="preserve">             : Bandes fluo</w:t>
      </w:r>
    </w:p>
    <w:p w14:paraId="147F07D6" w14:textId="77777777" w:rsidR="00E67F89" w:rsidRPr="00E67F89" w:rsidRDefault="00E67F89" w:rsidP="00E67F89">
      <w:r w:rsidRPr="00E67F89">
        <w:t>Le plan n’est pas à l’échelle</w:t>
      </w:r>
    </w:p>
    <w:p w14:paraId="685C4B32" w14:textId="77777777" w:rsidR="00E67F89" w:rsidRPr="00E67F89" w:rsidRDefault="00E67F89" w:rsidP="00E67F89">
      <w:r w:rsidRPr="00E67F89">
        <w:rPr>
          <w:noProof/>
        </w:rPr>
        <w:lastRenderedPageBreak/>
        <w:drawing>
          <wp:anchor distT="0" distB="0" distL="114300" distR="114300" simplePos="0" relativeHeight="251658289" behindDoc="0" locked="0" layoutInCell="1" allowOverlap="1" wp14:anchorId="02F0AAA3" wp14:editId="65CEE16A">
            <wp:simplePos x="0" y="0"/>
            <wp:positionH relativeFrom="column">
              <wp:posOffset>4120515</wp:posOffset>
            </wp:positionH>
            <wp:positionV relativeFrom="paragraph">
              <wp:posOffset>95585</wp:posOffset>
            </wp:positionV>
            <wp:extent cx="1688465" cy="1295400"/>
            <wp:effectExtent l="19050" t="19050" r="26035" b="19050"/>
            <wp:wrapSquare wrapText="bothSides"/>
            <wp:docPr id="737817579" name="Image 1" descr="Une image contenant texte, Panneau de signalisation, Police, signalis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817579" name="Image 1" descr="Une image contenant texte, Panneau de signalisation, Police, signalisation&#10;&#10;Description générée automatiquement"/>
                    <pic:cNvPicPr/>
                  </pic:nvPicPr>
                  <pic:blipFill>
                    <a:blip r:embed="rId59">
                      <a:extLst>
                        <a:ext uri="{28A0092B-C50C-407E-A947-70E740481C1C}">
                          <a14:useLocalDpi xmlns:a14="http://schemas.microsoft.com/office/drawing/2010/main" val="0"/>
                        </a:ext>
                      </a:extLst>
                    </a:blip>
                    <a:stretch>
                      <a:fillRect/>
                    </a:stretch>
                  </pic:blipFill>
                  <pic:spPr>
                    <a:xfrm>
                      <a:off x="0" y="0"/>
                      <a:ext cx="1688465" cy="1295400"/>
                    </a:xfrm>
                    <a:prstGeom prst="rect">
                      <a:avLst/>
                    </a:prstGeom>
                    <a:ln w="635">
                      <a:solidFill>
                        <a:schemeClr val="accent1"/>
                      </a:solidFill>
                    </a:ln>
                  </pic:spPr>
                </pic:pic>
              </a:graphicData>
            </a:graphic>
            <wp14:sizeRelH relativeFrom="page">
              <wp14:pctWidth>0</wp14:pctWidth>
            </wp14:sizeRelH>
            <wp14:sizeRelV relativeFrom="page">
              <wp14:pctHeight>0</wp14:pctHeight>
            </wp14:sizeRelV>
          </wp:anchor>
        </w:drawing>
      </w:r>
      <w:r w:rsidRPr="00E67F89">
        <w:t>Le panneau « Travaux » sera à environ 150 mètres du front de chantier</w:t>
      </w:r>
    </w:p>
    <w:p w14:paraId="37BDAEAE" w14:textId="77777777" w:rsidR="00E67F89" w:rsidRPr="00E67F89" w:rsidRDefault="00E67F89" w:rsidP="00E67F89">
      <w:r w:rsidRPr="00E67F89">
        <w:t>Le panneau de danger (« rétrécissement ») et les panneaux des mesures (limitation de vitesse et interdiction de dépassement) sont à environ 50m du front de chantier. Ils doivent être placés ensemble (soit côte à côte soit sur un même montant – comme sur la photo ci-contre), bien visibles et ne pas gêner la circulation des piétons et des véhicules.</w:t>
      </w:r>
    </w:p>
    <w:p w14:paraId="02E32A2C" w14:textId="77777777" w:rsidR="00E67F89" w:rsidRPr="00E67F89" w:rsidRDefault="00E67F89" w:rsidP="00E67F89">
      <w:r w:rsidRPr="00E67F89">
        <w:t xml:space="preserve">Des casseurs de vitesse peuvent être aménagés à l’entrée d’une agglomération ou sur une zone donnée, en fonction des enjeux particuliers qui y sont rencontrés </w:t>
      </w:r>
    </w:p>
    <w:p w14:paraId="5FD58F1B" w14:textId="77777777" w:rsidR="00E67F89" w:rsidRPr="00E67F89" w:rsidRDefault="00E67F89" w:rsidP="00E67F89">
      <w:r w:rsidRPr="00E67F89">
        <w:t>Les flagwomen ne sont pas montrés sur le plan.</w:t>
      </w:r>
    </w:p>
    <w:p w14:paraId="1EDFF6B3" w14:textId="77777777" w:rsidR="00E67F89" w:rsidRPr="00E67F89" w:rsidRDefault="00E67F89" w:rsidP="00E67F89">
      <w:r w:rsidRPr="00E67F89">
        <w:t>Modèle avec une intersection</w:t>
      </w:r>
    </w:p>
    <w:p w14:paraId="1107ED1F" w14:textId="77777777" w:rsidR="00E67F89" w:rsidRPr="00E67F89" w:rsidRDefault="00E67F89" w:rsidP="00E67F89">
      <w:r w:rsidRPr="00E67F89">
        <w:rPr>
          <w:noProof/>
        </w:rPr>
        <mc:AlternateContent>
          <mc:Choice Requires="wpg">
            <w:drawing>
              <wp:anchor distT="0" distB="0" distL="114300" distR="114300" simplePos="0" relativeHeight="251658280" behindDoc="0" locked="0" layoutInCell="1" allowOverlap="1" wp14:anchorId="4CAA942C" wp14:editId="470345B5">
                <wp:simplePos x="0" y="0"/>
                <wp:positionH relativeFrom="column">
                  <wp:posOffset>71755</wp:posOffset>
                </wp:positionH>
                <wp:positionV relativeFrom="paragraph">
                  <wp:posOffset>187325</wp:posOffset>
                </wp:positionV>
                <wp:extent cx="5657850" cy="3350895"/>
                <wp:effectExtent l="0" t="0" r="19050" b="1905"/>
                <wp:wrapNone/>
                <wp:docPr id="681174741" name="Groupe 19"/>
                <wp:cNvGraphicFramePr/>
                <a:graphic xmlns:a="http://schemas.openxmlformats.org/drawingml/2006/main">
                  <a:graphicData uri="http://schemas.microsoft.com/office/word/2010/wordprocessingGroup">
                    <wpg:wgp>
                      <wpg:cNvGrpSpPr/>
                      <wpg:grpSpPr>
                        <a:xfrm>
                          <a:off x="0" y="0"/>
                          <a:ext cx="5657850" cy="3350895"/>
                          <a:chOff x="0" y="0"/>
                          <a:chExt cx="5657850" cy="3350895"/>
                        </a:xfrm>
                      </wpg:grpSpPr>
                      <pic:pic xmlns:pic="http://schemas.openxmlformats.org/drawingml/2006/picture">
                        <pic:nvPicPr>
                          <pic:cNvPr id="1263797326" name="Image 1263797326"/>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flipH="1">
                            <a:off x="3162300" y="2143125"/>
                            <a:ext cx="481965" cy="417195"/>
                          </a:xfrm>
                          <a:prstGeom prst="rect">
                            <a:avLst/>
                          </a:prstGeom>
                        </pic:spPr>
                      </pic:pic>
                      <pic:pic xmlns:pic="http://schemas.openxmlformats.org/drawingml/2006/picture">
                        <pic:nvPicPr>
                          <pic:cNvPr id="1129446549" name="Image 1129446549"/>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3648075" y="2143125"/>
                            <a:ext cx="398145" cy="417195"/>
                          </a:xfrm>
                          <a:prstGeom prst="rect">
                            <a:avLst/>
                          </a:prstGeom>
                        </pic:spPr>
                      </pic:pic>
                      <wpg:grpSp>
                        <wpg:cNvPr id="570107344" name="Groupe 15"/>
                        <wpg:cNvGrpSpPr/>
                        <wpg:grpSpPr>
                          <a:xfrm>
                            <a:off x="0" y="0"/>
                            <a:ext cx="5657850" cy="3295650"/>
                            <a:chOff x="0" y="0"/>
                            <a:chExt cx="5657850" cy="3295650"/>
                          </a:xfrm>
                        </wpg:grpSpPr>
                        <wps:wsp>
                          <wps:cNvPr id="639091746" name="Zone de texte 3"/>
                          <wps:cNvSpPr txBox="1"/>
                          <wps:spPr>
                            <a:xfrm>
                              <a:off x="2238375" y="0"/>
                              <a:ext cx="1438275" cy="952500"/>
                            </a:xfrm>
                            <a:prstGeom prst="rect">
                              <a:avLst/>
                            </a:prstGeom>
                            <a:solidFill>
                              <a:schemeClr val="bg2"/>
                            </a:solidFill>
                            <a:ln w="25400">
                              <a:solidFill>
                                <a:srgbClr val="FF0000"/>
                              </a:solidFill>
                              <a:prstDash val="dash"/>
                            </a:ln>
                          </wps:spPr>
                          <wps:txbx>
                            <w:txbxContent>
                              <w:p w14:paraId="1C3B8394" w14:textId="77777777" w:rsidR="00E67F89" w:rsidRPr="00E67F89" w:rsidRDefault="00E67F89" w:rsidP="00E67F89"/>
                              <w:p w14:paraId="32339098" w14:textId="77777777" w:rsidR="00E67F89" w:rsidRPr="00E67F89" w:rsidRDefault="00E67F89" w:rsidP="00E67F89"/>
                              <w:p w14:paraId="7F3EEA29" w14:textId="77777777" w:rsidR="00E67F89" w:rsidRPr="00E67F89" w:rsidRDefault="00E67F89" w:rsidP="00E67F89">
                                <w:r w:rsidRPr="00E67F89">
                                  <w:t>Zone de travail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623424" name="Connecteur droit 1"/>
                          <wps:cNvCnPr/>
                          <wps:spPr>
                            <a:xfrm flipV="1">
                              <a:off x="0" y="514350"/>
                              <a:ext cx="56578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77406912" name="Connecteur droit 1"/>
                          <wps:cNvCnPr/>
                          <wps:spPr>
                            <a:xfrm flipV="1">
                              <a:off x="0" y="2000250"/>
                              <a:ext cx="2088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65655076" name="Connecteur droit 1"/>
                          <wps:cNvCnPr/>
                          <wps:spPr>
                            <a:xfrm flipV="1">
                              <a:off x="0" y="2266950"/>
                              <a:ext cx="1800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88762431" name="Connecteur droit 1"/>
                          <wps:cNvCnPr/>
                          <wps:spPr>
                            <a:xfrm flipV="1">
                              <a:off x="0" y="257175"/>
                              <a:ext cx="56578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1501072102" name="Groupe 14"/>
                          <wpg:cNvGrpSpPr/>
                          <wpg:grpSpPr>
                            <a:xfrm>
                              <a:off x="1666875" y="190500"/>
                              <a:ext cx="2457450" cy="904875"/>
                              <a:chOff x="0" y="0"/>
                              <a:chExt cx="3409950" cy="904875"/>
                            </a:xfrm>
                          </wpg:grpSpPr>
                          <wps:wsp>
                            <wps:cNvPr id="884218526" name="Connecteur droit 11"/>
                            <wps:cNvCnPr/>
                            <wps:spPr>
                              <a:xfrm>
                                <a:off x="0" y="0"/>
                                <a:ext cx="476250" cy="902970"/>
                              </a:xfrm>
                              <a:prstGeom prst="line">
                                <a:avLst/>
                              </a:prstGeom>
                              <a:ln w="22225">
                                <a:solidFill>
                                  <a:srgbClr val="FFC000"/>
                                </a:solidFill>
                                <a:prstDash val="lgDash"/>
                              </a:ln>
                            </wps:spPr>
                            <wps:style>
                              <a:lnRef idx="1">
                                <a:schemeClr val="accent1"/>
                              </a:lnRef>
                              <a:fillRef idx="0">
                                <a:schemeClr val="accent1"/>
                              </a:fillRef>
                              <a:effectRef idx="0">
                                <a:schemeClr val="accent1"/>
                              </a:effectRef>
                              <a:fontRef idx="minor">
                                <a:schemeClr val="tx1"/>
                              </a:fontRef>
                            </wps:style>
                            <wps:bodyPr/>
                          </wps:wsp>
                          <wps:wsp>
                            <wps:cNvPr id="1010254971" name="Connecteur droit 12"/>
                            <wps:cNvCnPr/>
                            <wps:spPr>
                              <a:xfrm>
                                <a:off x="476250" y="904875"/>
                                <a:ext cx="2505075" cy="0"/>
                              </a:xfrm>
                              <a:prstGeom prst="line">
                                <a:avLst/>
                              </a:prstGeom>
                              <a:ln w="22225">
                                <a:solidFill>
                                  <a:srgbClr val="FFC000"/>
                                </a:solidFill>
                                <a:prstDash val="lgDash"/>
                              </a:ln>
                            </wps:spPr>
                            <wps:style>
                              <a:lnRef idx="1">
                                <a:schemeClr val="accent1"/>
                              </a:lnRef>
                              <a:fillRef idx="0">
                                <a:schemeClr val="accent1"/>
                              </a:fillRef>
                              <a:effectRef idx="0">
                                <a:schemeClr val="accent1"/>
                              </a:effectRef>
                              <a:fontRef idx="minor">
                                <a:schemeClr val="tx1"/>
                              </a:fontRef>
                            </wps:style>
                            <wps:bodyPr/>
                          </wps:wsp>
                          <wps:wsp>
                            <wps:cNvPr id="293336347" name="Connecteur droit 13"/>
                            <wps:cNvCnPr/>
                            <wps:spPr>
                              <a:xfrm flipH="1">
                                <a:off x="2981325" y="0"/>
                                <a:ext cx="428625" cy="900000"/>
                              </a:xfrm>
                              <a:prstGeom prst="line">
                                <a:avLst/>
                              </a:prstGeom>
                              <a:ln w="22225">
                                <a:solidFill>
                                  <a:srgbClr val="FFC000"/>
                                </a:solidFill>
                                <a:prstDash val="lgDash"/>
                              </a:ln>
                            </wps:spPr>
                            <wps:style>
                              <a:lnRef idx="1">
                                <a:schemeClr val="accent1"/>
                              </a:lnRef>
                              <a:fillRef idx="0">
                                <a:schemeClr val="accent1"/>
                              </a:fillRef>
                              <a:effectRef idx="0">
                                <a:schemeClr val="accent1"/>
                              </a:effectRef>
                              <a:fontRef idx="minor">
                                <a:schemeClr val="tx1"/>
                              </a:fontRef>
                            </wps:style>
                            <wps:bodyPr/>
                          </wps:wsp>
                        </wpg:grpSp>
                        <wps:wsp>
                          <wps:cNvPr id="35959530" name="Connecteur droit 1"/>
                          <wps:cNvCnPr/>
                          <wps:spPr>
                            <a:xfrm flipV="1">
                              <a:off x="3562230" y="1990725"/>
                              <a:ext cx="2088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24556713" name="Connecteur droit 1"/>
                          <wps:cNvCnPr/>
                          <wps:spPr>
                            <a:xfrm flipV="1">
                              <a:off x="3560082" y="2000250"/>
                              <a:ext cx="0" cy="12477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64927594" name="Connecteur droit 1"/>
                          <wps:cNvCnPr/>
                          <wps:spPr>
                            <a:xfrm flipV="1">
                              <a:off x="2102877" y="2000250"/>
                              <a:ext cx="0" cy="12477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31767874" name="Connecteur droit 1"/>
                          <wps:cNvCnPr/>
                          <wps:spPr>
                            <a:xfrm flipV="1">
                              <a:off x="3866921" y="2266950"/>
                              <a:ext cx="0" cy="10287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03104923" name="Connecteur droit 1"/>
                          <wps:cNvCnPr/>
                          <wps:spPr>
                            <a:xfrm flipV="1">
                              <a:off x="1797852" y="2266950"/>
                              <a:ext cx="0" cy="10287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1778470324" name="Image 1778470324" descr="Une image contenant texte, Panneau de signalisation, signalisation, signe&#10;&#10;Description générée automatiquement"/>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3162300" y="2933700"/>
                            <a:ext cx="481965" cy="417195"/>
                          </a:xfrm>
                          <a:prstGeom prst="rect">
                            <a:avLst/>
                          </a:prstGeom>
                        </pic:spPr>
                      </pic:pic>
                    </wpg:wgp>
                  </a:graphicData>
                </a:graphic>
              </wp:anchor>
            </w:drawing>
          </mc:Choice>
          <mc:Fallback>
            <w:pict>
              <v:group w14:anchorId="4CAA942C" id="Groupe 19" o:spid="_x0000_s1051" style="position:absolute;left:0;text-align:left;margin-left:5.65pt;margin-top:14.75pt;width:445.5pt;height:263.85pt;z-index:251658280;mso-position-horizontal-relative:text;mso-position-vertical-relative:text" coordsize="56578,335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huTeN/BwAAri4AAA4AAABkcnMvZTJvRG9jLnhtbOxa2Y7bRhZ9H2D+&#10;gdAA85RY3BfF7aCne9oxYCSNOAuQtxJVkoiQLKZYaqnzR/4O/1jOrSqSorq9TrcnSmTDMpdab517&#10;7sL79OtdVTo3XLaFqM8m3hN34vA6F4uiXp1Nfvzh6st04rSK1QtWipqfTW55O/n62T//8XTbzLgv&#10;1qJccOlgkLqdbZuzyVqpZjadtvmaV6x9Ihpe4+VSyIop3MrVdCHZFqNX5dR33Xi6FXLRSJHztsXT&#10;S/Ny8kyPv1zyXH23XLZcOeXZBGtT+lfq3zn9Tp89ZbOVZM26yO0y2CesomJFjUn7oS6ZYs5GFneG&#10;qopcilYs1ZNcVFOxXBY513vAbjz3YDfPpdg0ei+r2XbV9GKCaA/k9MnD5t/ePJfNq+ZaQhLbZgVZ&#10;6Dvay24pK/ofq3R2WmS3vcj4Tjk5HkZxlKQRJJvjXRBEbppFRqj5GpK/0y9f//c9PafdxNPRcpoi&#10;n+GflQGu7sjg/VhBL7WRfGIHqT5ojIrJXzfNlziuhqliXpSFutXQw8HQouqb6yK/luYG4ryWTrGA&#10;KvhxkGRJ4McTp2YVoP+iYivu7D2HxGkA6mNGYLTDlyL/tXVqcbFm9Yqftw0wjOFIqNNxc307mn5e&#10;Fs1VUZZ0anRtNwq8H+DlHlkZLF6KfFPxWhnlkrzEnkXdroumnThyxqs5x+bki4WHI4diK2yskUWt&#10;zKG3SnKVr2n+JdbxPdZO62az/oVe9LBO2lEL9HV4c5ZY9je03z3kBV7sBy5ABoz5Xhh4vsVYh8Iw&#10;9bI4MiAMvcQzGOyRBLnKVj3nonLoAuvHuvQE7OZla1fYNbFiNovSq8UazUnh4njw5/lZGMZRmB3g&#10;b3h+1PjzHwd/+6iLw9RNgKq3oS7IUi98XNT1FGjIeaCXKIG5SIIw7E5X2wrQi9YM6vawzO5nYHpr&#10;Lj+O2YeevT6OmX3bwPS3HVfh7g5bfZR1e7VmDYdy07CDvOIgczMvCXs2/gXuiLPgjgKHcCcg+rI9&#10;yBg6avcfAfOmaZee73PUHkZ8P0gDixErnY6TwFOpT6/IMmaRH4HADBd2drVjnA8iJVCoKItFx+7a&#10;QeIXpXRuGFyb+cq3g49albWzBWVGIeamVY9etnI17we4unLx574xaJWXrF2biRa4sq3KGlQ5yIau&#10;1G6+09bPorCdzcXiFuKUAqwLAm+b/KrAgC9Zq66ZhKuFh3Af1Xf4WZYCqxX2auKshfz9vufUHhjB&#10;24mzhet2Nml/2zCy6+WLGujJvDDEsErfhFHi40buv5nvv6k31YWACGHQsDp9Se1V2V0upah+hpd5&#10;TrPiFatzzH02Ud3lhTIOJbzUnJ+f60bGXXhZv2rgZBhjRoL8Yfczk409cILet6LDK5sdGCPTlo6t&#10;FucbJZaFtlQkZyNVK37ojsHuoyuR5wUwxKHfk86FqGuYUr6RzkKKQjm9vkDzLmrrVI61R1v4nzqh&#10;jHzLCDrTkUynRiMHswPoWzSoLGrS/DuSJMtPjwmxh0pAgcagR2pnHK1RK/DWPVhv1W3Jzajf8yVQ&#10;r+lCTzAek+U5HKpu3LJGa2pl/CPb0arnuzra9tSV68Cmn/UDOvc99MyiVn3nqqiFNOQwnn0QxdK0&#10;77Td7HuAIZEa3X1GHEZJErpx5sEJML71AwMRkaULwiaig7RtwOK7aUocqQn9hEQN4h5XBv9/PyTG&#10;MQgqcpPer3hoJPpxnB0i0SMcnpDYc+iJE2FOwU5J7CM4fixOjBIP7uyIEk/G2frCx2KcbX7vMJr0&#10;Ioomfc/tDWoXToa0wY8MJ704jlMbFHmZawOfPUMKnzwEp5nIyA2prYbV+wLLIHQzIsODjv/PuDJN&#10;Q99LoyHLd5f/P8AnJgIbecIHrkcIzR727WfJ/+x+6LjQ95FIo7nfFRdekKXB8UDKo2bjuLBcUYxo&#10;2528ZXLxTWz8J/CWodtIAWTJOyyDzh6QE//2uG0Pox0cKbGxp769oxxB57vMR4edTw7ZTkgdRajj&#10;aLL3v+l0bJxmXPFjjOv8LAiCOAiTt7sw+4m6dyUYDj8h+MjVBmA7SuYekqufgl07o6Ida0N3J8j2&#10;6cEx6o7D2xmyzJ8pPRZEGf4G8E8eOCkRRDESzRgX4PWyDJ7agR9+Sk1Yz+M4kGmzZfZbIu4e44uH&#10;5/lhFMWJFzwGHl03RawAPN6bKrMuOlaQJMa57330O99iT0nbIf08ptm/lnH3wjjM8EEse/ivBxS4&#10;pgm8hhMeEaSN0/hjSJ34cSjQSQMviZM0eXg8BimStj7CLcLjfQncjh8Jtn10/cnu5t0IfgyB4UvO&#10;XgB/+qilP4L9icL01A08FxT58PbaQyEaclQnPGpNGSvHMfLjfmRDBXRHVZeWJGmYuMFQRGDrIvee&#10;L3ibo6TiR1ToFLpoMscXaF6zWplynS+ca4bCA7ahAp62WNWsLFpdqPjFfbf83//anX+lfy5p5KKh&#10;mkZn9eZ1/ea1fPOaOwzlFSgwLn7boBjA1DKSXKl86PgqM8Efj1GZuZf/G9VjImdjbdiQ4f8M9Zha&#10;B1AUrRPTtoCbqq737zW5D2Xmz/4AAAD//wMAUEsDBAoAAAAAAAAAIQCt88ISgxUAAIMVAAAVAAAA&#10;ZHJzL21lZGlhL2ltYWdlMS5qcGVn/9j/4AAQSkZJRgABAQEA3ADcAAD/2wBDAAIBAQEBAQIBAQEC&#10;AgICAgQDAgICAgUEBAMEBgUGBgYFBgYGBwkIBgcJBwYGCAsICQoKCgoKBggLDAsKDAkKCgr/2wBD&#10;AQICAgICAgUDAwUKBwYHCgoKCgoKCgoKCgoKCgoKCgoKCgoKCgoKCgoKCgoKCgoKCgoKCgoKCgoK&#10;CgoKCgoKCgr/wAARCABkAHQ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hIO7Cl3r/eFM+yw/wB2j7PGOQKz/eASZHXNFRyZXaoNSc45qlzd&#10;QGSZzxTHI25bFOd8jpWZ4h1e20fS7jULmURrDHuZm7VjiK0MPRlUlsiqdOdSajHqefftJ/tL/D39&#10;nDwhN4r8dapHBDDGWbcei+pA5/Lk9BzXH/so/t8/B39qeSSDwTrETTRsA0ZV0YNz8pWRVfOBnOME&#10;dK/Mz/grj+1ZdfF7x/dfDzR79pNN01j9qkjb5WkB+VPQ7eT7kmvLP+Cf3x31H4AfFDT/ABZNftHa&#10;3EscGoZ6KuRhz/u8Z9uPWvyXFcV5lLHvEwlamn8Nt13P6Oy3wVhiOC3jZP8A2hx5kvI/oHiYuTg4&#10;qRD82K5D4VfEHT/H/ha312yuPMWRBuZf8/5Fdaki/er9WwOMp47Cwqw2aP52xWHq4SvKjUVnF2fy&#10;JaKaHU96XcM4zXYYC0UUUAFFFFABRRRQAyQZbNLu3cEU2ZiCOaC20YI61PwgQzSqhx/KvkH/AIKk&#10;/thab8CvhlP4d0q+T+076MxW8fmAF3I4UeuOp7e9fTXxR8d6V8PPCl34k1SRVWCFmw38RxwOfevw&#10;r/bH+M+pftSftHaxf6x4o+y6bpu638P2q27zfa5y2CBtAA3HgN/PNfnfG2cckVgabtzK8n2S/wAz&#10;9Y8KOFaed5wsXi0/Y0tXpu+iMf8AZg+EOo/tG/GqKTWnmewsbk3mr3HZ+pCfRj/I+hx6B+2z8A0+&#10;FPjaDx34bt44dG1hVRoY4/lhuRnkdBtYcnJ6g+tfQ37HvwOX4M/C22tbqFf7S1DFxqEm3kMRwufQ&#10;Djr6123xe+Guk/Fb4f33g3VYlYXELCGRo8sj44ce4OMe2PSv5TxHHjjxFyRl+7T5Wt1bY/oqtxN7&#10;PO17PSivd5eliH/gkH+1wmo6W3wi8X6nJ9osMJbmWTOYT93k+nT/APVX6KWVyLmNXRSFK5Ge9fz/&#10;AHhLW9Z/Zh+LFjqUV9eNrWl6k0Osae1o0cTwA4DK5P7wMOegxX7X/si/HrRPjX8K9P17TLxZGNsh&#10;b58tjHf3/rX9NcE52qMvqU5XjPWD/Q/C/F/hWlh8as1wetOpvZWsz1xPu08dVqJZCRkf/rqWP5hk&#10;iv1aMk9j8PQ+iiiqKCiiigBvme1Bk4+7TqbL0oAaTkciobmYwoWxTnLAbc151+0f8XtO+D3w41Dx&#10;NfXccbxW7FXkYYXjlj9BzXm5tmFHLcDOvUfwo68Bg62YYqGHoq8pOyR8af8ABYz9sR/DHhZfhN4O&#10;1GNdQvGaNpo2+aAYw79eoBwPc+1fFP8AwT9+BL/ETx2vjbxDDI2n6TNuhjZR+/nH1HzAdTj25rgf&#10;jB8QPFX7VXx2m1Oy+0yNqt6sOmWsmWMceeD9cHc3ua9m/wCCjB8a/sb/APBL3W7/AODfiy+0PXNP&#10;a1B1bTWMcokZ/nIYcjNfy/xFmGKzrHQwUavLWxMktfsp6I/sGph8P4c8ERwkIr2s43lbfuz7SaGO&#10;2QRIhUDjaV2j8yOtI8Y8pQR/wJV/rX4hf8ENf25P2uvjx+3xovw++MH7QHijxBotxpN89xpup6pJ&#10;JC5WEkZXvz/Kvfv+Djr9qf8AaF/Zo1f4Xw/Ab4va54VXVLPUjqS6LfNAtxsaDYXA6lcnH1r4PGeD&#10;mOw/GlLJHiIt1IOfNr076b6H5XT4op1MteMSdk7eZ9N/8FAvgf8A2haR/GPw/YSNJCuzUvL6GMdH&#10;9/1rS/4JO/tbN8NPGv8AwqfxDesIbyTOn+a/B5+aP69wOO9fM3/BAX48fGr9rf4M/EO3/aI+JWse&#10;LmW8ht45NdvGmaONkOQC1WPil4J8S/s4/GOWGxaSM6feLcadcKeq5ypz6gcfpX3WVxxHDeZTybEV&#10;lKtQs4yV9Vv1sfqfCuKwXH3Cc8txEfeabi32R/QJoepxatp0OpWz7o5lDKfqK0ISQMEV8v8A/BOT&#10;9quw+Pfwk09LmfbeRxbZIz/Cw4Kn3z+mK+nbZy6gt61/SnDubU83y+NZb7Ndmtz+S89yfE5HmlTC&#10;Vo2cXb5E9FGaK+gPICiiigApsv3eRTs1Ddt+54NAFe/uIrW1kuJJNqquS2elflF/wWS/bCufEWs/&#10;8KP8LXzRK3N8VbIMIONvH9/Gcf3cetfdv7cP7ROgfAb4R6jqmqXrRyfZGKLE43seyj69Pzr8VtE0&#10;Xxh+1B8bz9rkknvNa1Lzr65258qLPzN/uhBtX6KK/E/ELiC9T2EZWp09Zu+/kf0T4I8HxqYiee4y&#10;P7ulqr7NnuP/AATo+BJuppvjNrdioP8AqtKEif8Afcg9s/KD35p//BeCQQ/8Ez/G3yKB9ptOn/XS&#10;vq3wZ4W03wj4esfC+iWscNvaW6wwwxrhUxX5Lf8AByj+3FA0GlfsXeAtaLCNxqHjBoZAQ0g/1MPH&#10;TH3iPXFfztwH/anGHihRrU1enSlzN9FGP9aHX4icQ/XadatVe91FeXQ+Yv8Ag3cbP/BSbw+D/wBA&#10;fUP/AEQ1fSn/AAdXArrnwfOP+XPV/wD0K2rV/wCDbP8AYdu7K01L9tjx1pcsM0kbab4PhaMqXQnE&#10;9yPbgRr/AMDPORj6N/4L3fsO3n7Vf7Kh+Jfg+0M3iT4eLNf2sMalnuLMgfaIgO5wPM/4Bj0r9izj&#10;i7J6XjbhoSnpCHs5PopNOyf3n5nhMDjJ8JyUVq3f5Hiv/BrbCB8HviGwH/MWt/8A0A19xftyfA2L&#10;4j/D2TxXo9sP7U0pTKCkfzTR91z7dfwNfjX/AMEDP257f9l79qFfhN8QdS+z+F/G2LOaSQgLbXmc&#10;QyNnsT8p9jX9A1zBbahZm2kG+OSM5/iBGO31r8z8ZqGacO+ICzO37upZprqtmj7TgDOPqdGEqTtK&#10;D1/W58J/8E/P2mdS+AHxmtdNvb1o9L1C8jjnXzsCGYnCtj0b7re2PSv248BeJ7LxV4ctNcs5FZbi&#10;INw3Q+n17e1fg7+1/wDBa8+C/wAV5tR0myeHTdSlNzYyKpXa2fmTPYqeR7EV+hn/AASY/a+X4k+A&#10;k8B+Jrxf7R0/91Llh8zDpIP95cA+6n1r9a4B4kVHFU6l/wB1WS+Uu/zPrvGThOOdZPT4hwMU3b30&#10;v67n3kWzT1UDvVS2naRQxA9asx5zxX9BKWmh/Ko+iiinzAVzO4OGAqj4g1q20jSptRvXVY4UJLfh&#10;V9yg5avkr/gpz+1TY/BL4XXWn6bf/wCnXEZjhjjk+Z5CMAf1PtXzfE2cRyXK5Vuuy7tvY97hvJMR&#10;xBnFLBUVdyaX/BPgX/gq7+1hc/GH4tN8P9I1If2dpkmb7Z/G4+6n0A5+p57V3H/BPn4CjwR4Ib4m&#10;+ILArqOtc2nmdYbbqBjtnr684r5f/Zv+EetftBfG2OTXLhri3W4+2axNKu5WG7O0n1J/Sv0s0nTL&#10;XSrCHTrSBY4oYVSNFUKFUDheP8/lX8X+JXEzp4V4OEvfnrL5n9gcQfV+F8joZDg3slztHJ/H/wCK&#10;1t8B/gZ4s+MV/pzXEPhrQLi/lhjb5pPLQnA98468V/NL8PtP8ef8FGf267HTfFOsr/a3jzxRuuri&#10;ZiFiQsWIXPZUBCjrwK/om/4KRDH7BHxcAH/Mi6h/6KNfz/8A/BHFM/8ABSn4Yg/9B5v/AEU9fo3g&#10;Hh6OD4HzHMqatWSlZ9uWLaX36n86cWSlVzahSk7xb2P6Rfg18J/DHwP+Feh/CXwXYR2+maDp8Nra&#10;xxrjhVwWPuTyfc10V1ZR3UElrdQo8UiFZEkQMrKRyCDwRipomJG5qdxjIr+V8XmGIrZxPFzk3Nzc&#10;m+t7/ofoOHoU6eGUErKx/Nh/wWH/AGT7X9hr9tu+t/AJW30fXJP7b0GCFubLe5JiHoqPnb3247g1&#10;+2P/AASJ/aj1z9rf9iXwv8QfE0DLqdjCdM1Cdm5uHhG3zPxGK/Lz/g59TP7XnhcKf+ZVH/ow19yf&#10;8G4Mjr/wT1tQf+hiu/5iv628TorNfBzCZhiPeqpQ9576qz++33n5xkLlh+KatCHw6n1l+1F8DdL+&#10;Nfws1DRpLZRqFvG02kzf3JlHH59Pxr4X/Zs+MXiD9m3402uv+bNbx2995Gr26sTwDtPXqVIz+ANf&#10;po4SZCrrwfvV8Hf8FBfgDJ4F8Xr8U9DtwNP1iQJfKq58qcLgEY45x+f1r8V8NeIpe9l9aW/w36Nd&#10;j+juC8wo4qnWyfGawq6K+yZ+yfwK+Kei/FPwHY+JdHvkuBJboZGjbgnA5Hsa7yJ8nJr8sP8Agjz+&#10;1zDoU4+C/ivVWxDzZiaTLCMn7vPXB/Q1+o1jew3kKTQS7lZQVYMCDX9pcFZ2syy/2NV/vKejTer8&#10;z+W+PuFa3CfEFXDSXuNtxfSxdopu80V9sfEHN/EHxhY+C/DN1rl9KqrDCzL9cV+Hv/BQf9pDUv2h&#10;fjTcQWmpNNpunzNDaxx8q8hOGY/yFfqR/wAFIrvxfdfCq58LeELhre/1GwnTS5twUNOEOFBPGeeA&#10;fcgHBr8WZfgf8eLS6kt7r4VeImkWQh5Bpcr7mz97cBgnPORX4bxtnHtM8eHxHuwgk15u2/Y/qTwB&#10;ynJqftMxxFSKqbRu1ofb37FPw08NfCD4YxTahdxvqV9i4vAJEDbjyFG5lGR9a9xTxR4fVcnVrdc/&#10;wtOmR+R6/TNflzF8FvjY+2Ob4ZeIvXDabLx+Yz+VTn4AfG6VvM/4VV4gZfX+z5f8K/Ac24NwecYq&#10;dSpXV2738ux+pZnwfhMfjJYmpj4XlrbT/M++v2tvCq/HL9mvxv8ABnwv4h02HUvFHhu60+wmvLjZ&#10;CksiFV3MASoz6A1+Yv7BP/BC39p39lj9rfwh8fPH3xO+H9xo/h7UmubyHT9YuHndfLYYUG3Ck5Pd&#10;h+NenWXwI+Nduu3/AIVh4gAY/wDQNk/wqc/A74yxjMfws14Z540uXn/x3mvsuF44/hXJa+WYPERd&#10;Ore91d6q2mp8njPC3h7H4qFerjo80HpY/Su18VaDLGHXVrcA8rmcdKdJ4p8OwoS+u2gxznzlr8zp&#10;/gj8Z2G4/CzXG9/7Ll/+JpjfA/4zBRj4Wa4P+4XL/wDE1+cS8OMB7TmeK36W8z2v9R8pUUlj4W/H&#10;8yx/wWI/4JT/ABp/4KFfHbRfib8GviR4Js7HT9F+yzR65q0sUhffngRwyZHPrX0V/wAEnv2Y/Ef7&#10;Cn7LcXwO+KnjTw/e6tFq09zJJo98ZIdrnj5nRCfyr5oX4I/GyRdj/DHXivdf7Ml/+JqKP4GfG4u4&#10;X4W+IJB0CnS5Tj/x2v0zNauIzXhOnkFXEQdGKVrKz0va7PMwfhTw7RzCWLWOjzPzXU/Tr/hNvDX8&#10;OtWrDvi4X/EVyfxbsvh58VPh/qfhPW9VtFivIGVo5biPcG7H5SR1Axyce1fnaPgh8clDSL8HfEA7&#10;Fv7Hl/wpo+Bfxvkl3/8ACpPEm49SNJm/+Jr4bA8D5fgpxnDELmTvc+io8C5VRrRqxzCCcdf61Lnh&#10;nxD4m+AXxaGr6TdkXOi3xDSLykig8j3BX04r9sP2KP2iND+O3wq0/VbC+jaRoFO1ZssOOn4V+JNz&#10;8C/jo4U/8Kl8Q/Ny27SZP/ia+9/+CRXgb4u/DGxFl4t0y+s3vtQ3Wen3EZ3LHkFsquSgxuPIHYcZ&#10;AP7HwxmUsHn1B4eXM5WjJLr5s8Pxyynh3MeGoYmNeLrU0l7rTvbc/TCKc7OT+VFQwNIYgSn4M3T9&#10;KK/ov20Vpc/irl7GT4/+H/g/4j6DP4c8aaFDfWcuN0Mw6H1U9VPuCDXiGo/8E3fgLeXcl0PFvxCh&#10;8x93lQePb1UTPYDfwPaiivleJMHg61ZOpTi/VJ/mj2MvxOIoK1Obj6Nr8inH/wAE8vhJoCyHQviT&#10;8RLdpsCRpPF0lzkAg8C4WQJnoSoBwTzTdT/4J0fCjWNUuL9viz8TLdnbd5dr4ydEX2C7MAUUV8u8&#10;vy/l/gx/8BX+R61XH47lX72X/gT/AMzm77/gmZ8PB4khuYP2j/jJFb+SUexj8bL5TNkEPkwFw3bh&#10;guOoJ5rQb/gml8NCoH/C/vi9/wCFwf8A41RRS/s/Af8APmP/AICv8jlljsb/AM/Zf+BP/MbJ/wAE&#10;zfhkTg/H74vf+Fyf/jVNH/BMr4YscH4//F//AMLo/wDxqiinLLcu5v4MP/AV/kH17G/8/Zf+BP8A&#10;zHf8OxPhe/yj9oH4wr7r46P/AMaqrcf8Es/hRKxMn7QnxkO3n/kez/8AGaKKn+zct/58w/8AAV/k&#10;OOOxv/P2X/gT/wAyjcf8Etvh3FrFvqFt+078ao44beQvZ/8ACbRNHMwwQzFrYuCOnyso55B4I6LV&#10;/wDgnf8AD3XLUaXd/HD4nRxmRG3WviaKFwVDD76QBsNuyRnGVXGMclFVLLcu5f4MP/AV/kavHY7l&#10;/iy/8Cf+Zkv/AMEpvgo4UzfG74vvxzu+IMvP5JXuXwC/Zf8AhT+z5amHwNb6pdXMw2Tapr2rzX10&#10;646eZMxIHsMCiivayfBYOnU5oU4prqopP8jz8ZisVUpcs6kmvNtnpioqDAHvRRRX3UV7qPDP/9lQ&#10;SwMECgAAAAAAAAAhAIgPl/suEgAALhIAABUAAABkcnMvbWVkaWEvaW1hZ2UyLmpwZWf/2P/gABBK&#10;RklGAAEBAQDcANwAAP/bAEMAAgEBAQEBAgEBAQICAgICBAMCAgICBQQEAwQGBQYGBgUGBgYHCQgG&#10;BwkHBgYICwgJCgoKCgoGCAsMCwoMCQoKCv/bAEMBAgICAgICBQMDBQoHBgcKCgoKCgoKCgoKCgoK&#10;CgoKCgoKCgoKCgoKCgoKCgoKCgoKCgoKCgoKCgoKCgoKCgoKCv/AABEIAGQAY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J4ozVG8vIdP&#10;ha4uJcKv+PT3P880AF9eQWMDz3Em1VXr6+w9T7dTXjP7Q37eP7NP7J+o2OmfH74vaf4fvNWjaax0&#10;1rKa6uDGpwXZIQzKM9yAM5AJwced/wDBR7/go/4B/Yd8Cefc+TqvjrVbdv8AhF/C3nf6rjBubgg5&#10;VFP4sflXksw/CX4u/F74jfHr4jar8Vvip4muNW1vV7gy3l1M3T+6iDoiIPlVRgKBxXzuc5/Ty/8A&#10;d0rSn1XRL5H654eeFuK4uvi8Y3Tw6uk1bmk/7t1ay6u3kvL92/8Ah9T/AME6e/7SNv8A+EvqH/xq&#10;kb/gtZ/wTpPP/DSFt/4S+of/ABuvwD2r/dpCqn+Gvnf9bsd/JH8f8z9Y/wCIA8N/9BFT/wAl/wAj&#10;9/W/4LXf8E6T/wA3IW3/AIS9/wD/ABug/wDBa7/gnUef+GkLb/wmL/8A+N1+AOxT1UflS7R1IH5U&#10;/wDW7HfyR/H/ADF/xAPhv/oIqffH/wCRP6b/AILftA/DT49+BrT4pfCjxrY694dvsrBqVjuXynVi&#10;rJIjfMhB4IYAqeo716EjZXNfzkfsAf8ABQD4ofsIfE5te0B5tT8K6pIi+KPC8kv7u7QDHmx5+VJl&#10;Xo3RgNrfLgr+9P7Ov7Rfwx/aF+GenfFf4SeKY9T8P6kg2MOJLGTo0MqnlCrfKVPIPHTBr6nKM4o5&#10;nTttNbr9V3R+HcfeH+YcF4y+s6Evhn+kuia/Hp2XqVFNhk3puzTs8Zr2j89Kd5fx2MDTTyhVVv8A&#10;9Q+pr5P/AOCkH/BSLwJ+w/4F8xzb6p481OBv+Eb8MrJnyMgj7TcYOVjB/En5VPJNL/wUn/4KP+Cf&#10;2GfAivLHDqXjzWLQ/wDCM+GzJxEp4+0zY6IpHXuRtHc1+E3xY+K3xA+OXxC1L4p/FHxLcatreqzG&#10;W8vLhs/RVHREHQKOAPzr5nPM8jgYujR1m1/4Dfr69j9k8MfDOtxRXjjscnHCxfo5tdF5d38l5Hxa&#10;+LXxC+OfxC1T4p/FHxNcatrWsXDTXV3O35Ig6Iij5VUYCgACue4xgCkHTgU6vziU5VJOUnds/sHD&#10;Yahg6EaNGKjCKsklZJLZIKKM0VBuFFBOOtGaAG7O+enNe8fsC/t9fFH9hL4njxL4Zkk1DwxqUip4&#10;m8MyTfuryLOPMTPCTKOjcAgBW4wV8J570zbnvW2HxFbC1lUpOzWzPPzXKsBnWAng8XBThJWaf5rs&#10;10a6n9M37Of7R/wv/aI+GGm/Ff4SeJo9S0DUYxgg/vLKTo0UqnlCrZBB5B9sGvTY5A6Zr+cP9gX9&#10;vb4nfsJfFJfEvhuSXUfDOoSqnibwzJL+6u4+B5idllVejd+FPB+X98v2av2hPhx+0h8L9L+K3wh1&#10;5dT0PUlwrZ/eWcoGWhkHUMpOCDyPpzX6hk+cUczo2ek1uv1XkfxT4geH+O4Lx/Mryw837sv/AG19&#10;mvxPyD/4OIAx/bw01Sfu/D2wH/k3e18J52jk192/8HDuf+G8dPyf+ae2H/pVe18bfBr4WeIPjj8W&#10;/Dfwe8K7F1DxJrVvp8EkmQsZkkCtIf8AZVcscc4HFfn+cRnPOKkIq7crffY/qfw/xFHCeH+DrVNI&#10;xp3b6JK7b+45vc2cFaCwzjNfot8QP2Sf+CPn7N/xIP7Mnxw+KPja48Z23kRaxrVuClraTTRpIpbC&#10;lVULIrHk4BFfNP7Yv7IPgb9kj9qvR/hff/E2HXPA+r3Fldrr1jIjTQ6e8/lzh9hIEsaq546jb3zW&#10;eIyvEYaPM2mk0nZ7N9GdOT8eZVnGI9lTp1IuUXKDlFpTUd3Hvp03Pn9WyKCxBxX6Y/s6f8E0f+CX&#10;H7U9n4ivfg/8evGGoL4Vs47rWi8YTyY3Em08jnPlP+VfJ37Zfw9/YG8HeFNHvf2Pfi1rniTUp9QY&#10;atBq0O1Yrbyzhl4HO7FViMpxGHo+2lKPL0s9/TuZ5Xx9lma5o8DSo1VNNJ80GlG6uuZ9Lra58/7i&#10;ei0eZ7V9u/suf8E6/wBnnw3+y/Z/tp/t8/EfUNB8LaxIE8O6Hpvy3N8pLbH6FiX2llUDlPmPGK6j&#10;Uf8AgnZ+xF+2J8HfEvxC/wCCc3xJ1yTxJ4Vt/PvfCfiDmS5AUsAAQGUsFIUjILYBxVRybFypqWl2&#10;rpX95rvYzxHiNkWHxkqTjN04z5JVFFunGV7WcvXRvZdz8+lcGjef4hX1x/wSu/YP+D/7aTfEi8+M&#10;/iTV9LtfBOn2d0raawDFZPtJk3AjsIR+teqfC/8A4Juf8E7/ANsK01zwX+x9+0t4gl8Xabo8l/b2&#10;etWYEciAhMtxnZvaMMRyN3vSo5PjMRRjUjb3r2V0m7b6FZl4iZHlmYVMLVU/3fLzyUG4x5kmm2tk&#10;77n55MCzV+zv/Bt6cfsheMEX/opc/wD6b7Gvxt13RdS8Oa9feHNYt2hutPu5La6hb+CSNyjL+BBF&#10;fsj/AMG35/4xF8YY/wCikzf+kFlXo8LxlDNkn/Kz5fxtqRrcC+0jqnODX4nyl/wcPjP7eVgf+qeW&#10;H/pVe18kfs1J8WP+F+eE7j4FWL3Xi611qG70G1jxmWaE+bt5IBBCkEdxkd6+t/8Ag4fI/wCG8bDB&#10;/wCaeWH/AKV3tfEXg3xh4k+Hvi7TPHfg3VZbHVdHvorzT7yEkNFLGwdSPofzHWuHNZRjnVSUm9JX&#10;030sfQcDUamI8N8NSgk3KlZKXwu6as/J9fI/R74xft7fsk+P/Hs3w8/4KS/sJNpPjeyWGLXdW03D&#10;SRbokKSYBDt+7K9ScDA7V4J/wVs/Yx+Hf7KXjzwd4m+D/iDULvwv480WW+0201S4aSaz8vyywy3O&#10;xhPGwzyDuHYV1z/8Fq7vxZFb638Yv2P/AAD4o8TWsKxx69dWrK8xQYDSL068gDjHSvnH9r39sD4s&#10;fto/E1PiP8UpbeH7JZ/ZNJ0qxUrb2EAOdiD68knk4GegruzHHYLEYOSclOTacXy2a11v3dj5jhHh&#10;niLLs+o1PYyoUYKSnF1OeEnay9nHVxV9fwPsX/ggGqnwz+0If+pPsT/45f1+cFu22GM4P3a92/Y0&#10;/bw+In7Fdj4103wL4Q0nVU8caZDZXzak0gMCRifBTYRyfPPX0FeFpEEjVMk7RivLxWIo1MDRpxes&#10;b3Xa7TR9rkuS43B8T5ljK0Uqdbk5HftFp6dNT9JP+Cqllf8AjX/gmB+zV498Cq114Z0vRrSDU2tR&#10;ujt7htPijQvjhSrRzR5PRmx1OKxf+DdrQPEcX7SPjjx+8Mkfh7TfAc1tqV8/ywCd7mCSNC3Tdsjl&#10;b2H1rxL9jv8A4Kf/ABa/ZW+Hl18EdX8HaR438D3czSL4d8QRlktmZtzeWewJO7aeA2T1rqPjt/wW&#10;A+Ivj/4R6l8DvgV8IvD/AMNND1hWTWH8Pxlbi5jI2vGW4wGHBI5xkZxXrxxmXyxUMbKbUoxXu26p&#10;WVn2Pga3DPFdHJK/DdPDqVKpUclW5lZQlLmba35ltofQf/BDzUvBWveO/wBp/WJndfD95FBN/oow&#10;y2TzamfkHr5Z4rm/gf8Atm/8Epf2DDr3xM/ZQ8O+Ntc8WaloradaRayGEYjZkfaWY4QFo0JPJ+Wv&#10;k79jb9uz4h/sWaT420fwH4O0nVI/HWmw2WoNqTSK0CRrOAybCOT57df7orw6JQirGOwrB51Gjg6S&#10;pJc65t1td6WPUXh1UzHPsZPHTmqE1TUVGVlNRik+Zb6NF7xJr+oeLfE2oeK9XYNeapfz3d0yjAMk&#10;js7fqxr9j/8Ag2+/5NG8YH/qpU3/AKQWVfjJk+ZX7N/8G33H7I3jAn/opU3/AKQWVXwu5Sza77P9&#10;DPxspxo8C8kVZKcEvRHin/Bwp+y/8U9X+KWj/ta+HtHbUPCa+G7fSdUmt1LPp8yTzuHkHZG84KG7&#10;MuDjIr8z1IPKmv6kvF/g3RfE+jXmja5o1vqFhqFu0Oo6bdRho7mMjBBB4Jx69enpj8Rf+Cq3/BKn&#10;Wv2TNbm+NnwVsp7/AOHGpTlpYlUtJoMh58qTjPk54Vj0OFPYnu4iyWcaksVS1T3XW/f0PlvCHxIw&#10;ssNTyLHtRlHSnLo/7r7Pt3Pin6UUin5aWvjD+jQ9sUUUUAGB6UUUUAHvijNFLa2d3f3cVjp9tJNc&#10;TSKkMMMZZ5HYgBFA5JJIAA5JNCvLREylGnFyk7JBbWl5qF7Hp9hayTzzyLHDBEhZ3dm2qqgckkkA&#10;AdTxX7v/APBFT9lv4mfsn/spv4e+LlqtnrPivxJJri6Wo/eWUL20EaJKf75EO49gWA7c+Pf8ElP+&#10;CSMPwPt9O/aL/aS8PR3Xja6jE/hvw3cKGj0ZG/5bS/8ATbn/AICDgZbJP6SaVp32NTJM3mTPzJJt&#10;6+w9AO3tX6Fw5ktTCf7TW0k1ovJ9/M/k3xc8RsPn3/CRgLSpRleU/wCaS2S8l36suGNOhrA8X+EN&#10;J8UaNfaJrejW+oWOoQtDqWnXUIeO6jIIKlTwSRxzwRwe2OiHy/hTGgzxX1rjGUWnrc/CIylCalF2&#10;ad+349z8Kf8Agq1/wSo1j9k3Wrn45fBCyuNQ+GupXJ863VWeTQJXbHlSd/JLHCufun5W5wT8RRsX&#10;XIOa/qW8W+EdH8SaXeaJq+iW2oWOoW7Q6lp93EHiuYmXBBU8fdyOeD0PYj8fv25P+CFXxi0b4qSe&#10;J/2KvC66/wCE9YkeY6NJqMME2jS5z5OZ3XfGd3y8llxtYcbj8FnnDtSFT22FV0/sro+5/UPhn4tY&#10;erh1l2d1FGUV7tST0aXST7rv19T87Duow1fVB/4Isf8ABSTPH7Pjf+FFYf8Ax+j/AIcs/wDBSPr/&#10;AMM9t/4UNh/8fr53+ycy/wCfUvuP13/Xzg7/AKDqX/gR8r4agBs19Uf8OWf+Ckfb9nxv/ChsP/j9&#10;N/4ctf8ABSTt+z23/hQ2H/x+j+ycy/59S+4P9fOD/wDoOpf+BHy3aWt7qFzFY6fbS3E88ixwwwxl&#10;nkkY4VFUcliSAAOSTiv2C/4JLf8ABJC2+Blvp/7Rn7R3h+O88cXaLN4d8NXCho9DQj/Wy9vPIOSe&#10;ifdXLZNXv+CVH/BIOP8AZunh+Ov7S3h+11D4hbm/sLQWkSa30NMkeczLlXmP94EqoOBlsk/oppek&#10;R2Sec7tJNJzJIw6/T0HYD+pJP1+Q8PqjbEYle90Xbzfn+R+AeKHipLNHLK8onaltOa+33S/u/n6b&#10;mlaUlmpml/eTO2ZJD3PoPQDt/jk1oAADAFAGBiivsT+fwooooAgn4c/57VXi06xd2mNpHvbBZggy&#10;TnrRRR/X4ijv/XdjxZ2g6Wsf/fAoNrakY+yx/wDfIoooKD7Haf8APtH/AN8ij7Jaf8+kf/fAooqS&#10;xbeztYJWkht0ViAMqgHHXHFW16UUVRmFFFFAH//ZUEsDBAoAAAAAAAAAIQDoUHcpmxcAAJsXAAAV&#10;AAAAZHJzL21lZGlhL2ltYWdlMy5qcGVn/9j/4AAQSkZJRgABAQEA3ADcAAD/2wBDAAIBAQEBAQIB&#10;AQECAgICAgQDAgICAgUEBAMEBgUGBgYFBgYGBwkIBgcJBwYGCAsICQoKCgoKBggLDAsKDAkKCgr/&#10;2wBDAQICAgICAgUDAwUKBwYHCgoKCgoKCgoKCgoKCgoKCgoKCgoKCgoKCgoKCgoKCgoKCgoKCgoK&#10;CgoKCgoKCgoKCgr/wAARCABkAHQ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gkA4NADX6U0kYwacz5GBVe9njt0ZnbbtUmoqTjC&#10;LlLZBaTdkc78U/iT4c+F/ha48UeJLpY7eFSeWGTgZr53+Bn/AAVT/Z7+NfxBk8BaFr0JnWUorMkq&#10;hgDjcDIiq43fLlSRnnOCK+af+Cx/7Yr7D8FfCWrmSadP9LW3bmKE5y31b7o9snuM/nb8A/FmvfD/&#10;AMcWfjDRLtornTbrzbYt0cZwykd1PI/lyK/Is04qzPEYx1MJPlpweitfmtuf0dwV4MUc64XnjsW7&#10;VZJuHT0P6Ure4SZFkiYFWGQRVgbQc5rwX9iH9pLQ/jz8KNL1mxvd8hswWjY/NHjIKE9ypG0+pFe7&#10;RyIw5r9IyXNKObYCFeHVa+TPwPNssxOT4+phK6tKDt/wSaimh1Pel3DtXsHmi0UA55ooAKKKKACi&#10;ikLKOpoAWigMp71GXOc0ANuJREPu14V+3V+0/wCGf2ePg7qGvajqCx3DQsqHfhkB4B+pOFAHdvY1&#10;7L4o1yx8PaRPq+oyqkNvGZJGYdFAyf0Ffij/AMFPf2mbv9oz9oqHwDe+I5tP8J6LMZNUaxg+0O9y&#10;BhECggNs78j5s9cV8FxpnLw+HjgaT96pu/5V1Z+keGfCf+sufRdZP2VP3padunnc8Qa38Y/tW/HK&#10;S3meQ33iC+82eRGytvFnrk/3VGB9PY19J/tdfso6P4c+FWleKPAFqIz4XtRDqCrHlp4P4mbAyWDE&#10;t75atT9gD9nn/hAfDU3xW1yE/wBoa0u2x8yPa0VqCdrexc/MfQY96+kJ9PtdRspbC7iVoZozG0bL&#10;kFT2/wAfYD0r+SuIeNqmDz6NLDzvCk7O2z7n9MZrxL9VzOjHBaUqWllonpqfJ/8AwTP/AGq7j4L/&#10;ABbtfBusX7LpetOogXzBtSbA49BuGBkdxnvX7IeGPElj4l0mHVtOk3RTIGVs+o6fXsfevwe/aX+C&#10;lh8DfiDqZVtSgiu5lu/CjWtuvkqxkzJGz7tyBBkjardhX6Mf8EpP2xrf4p+BofA/ia4WLVbVlhuI&#10;5JMnzdmd30cAnPQsGHWv3zgniang61PllejXSa/uyPzPxg4Zw+c4NZ7l62+Oy/Hzsfb6dKevf6VF&#10;HJv5RqkRmxkiv3KElLY/mm1mSDpRQOlFaFBRRRQAVG6knkd6kpsv3aAGgYGKZM/lqf60pLVyPxh+&#10;JOn/AAv8C33ibUJlUwW7NEJH2hmwcAnsPftXDmOPo4DBTxFV2UU2zowuHrYytGlSV3JpJep8u/8A&#10;BV/9s6H4J/Ci58J+HpYZtW1D9xbQ5/5a8EN9EHzH6Ad6/L/9ln4L6n8ffjAYtZae4s7eQ3uvXbMT&#10;53zZChj3dzj1ABNH7YP7QOrftMfG+81ewvJLq1junt9NWNjtuMvzIo7eYenoCvXFfaH7KPwaj+C3&#10;wvs9JuIIxqV0gn1KYKATIV+79FHy1/J/H3F1SjhKmIlL97V0iuqj0/4J/ZeUZVR8OeDIUYpLEVle&#10;Te6uj0W3s9P0TStqNBa2llbj/WOESONQBnkjgDg1meBPih8NfiLd3Vh4C8faLrUtlIyXkelalFcm&#10;EhiNjhD8jDHPBHvXz3/wWA1/VNN/Ya8VWnhrxhFpmoOIWkX7YsM1xaedGJYlO4M24Yyq9cV8A/8A&#10;BEb4b/HjWP2xNH+JfhTTdUtfCtktw3iDUmjZbW6h2Ovk7vusS+OBkgg4xivhcl8O6GbcF4jPcbXV&#10;Ocb2T69Vq+5+Q47Pq9LOIYWnHm5t3/kfq3+1N8DbX44fC2bR7chNSsFafS5NvWQAnafUE4PpkCvj&#10;P9mT4567+zL8bbPxPIJo4Uk+z6xar94oHHQeqt82f9njriv0bESbFWVtzbQCx7n144/pXw/+3v8A&#10;AmTwf4wX4l+G9PVdO1FsXgiBJjnJPJ4wAw7/AN7jvmsvDfiGjLmy3EStfWLvs/I/Z+DcXhsVRqZN&#10;jNYVVZX6N7n7GfAP4q6b8WvAtp4m027jm8yJSzRNlWyAQw9iOR9a7qMlhlq/K/8A4JDftm3eh6o3&#10;wW8X3TeXCoOnsz/62Huo/wBw4I9QxH8NfqRp92l1Gk0Um5Hj3KfWv7H4MztZngfZVP4lPR+fZ/cf&#10;y1x9wpiOE+IauGa9xtuL7ovDOOaKB0or7Y+ICiiigApsxGzrSsSBxVe7P7rBo2AS4kCwM6uOM9Ww&#10;K/Mr/gsv+2Fc29ovwY8G6yvmXq4uJIJA22EfeYjtuOVGf7rV9q/thftAaF8AvhLqHiLVL9If9Dcq&#10;N4DcDt9ScfU1+I+tal49/al+PUt0R9ovteusKrcLbxj5VXH92NQAe52nucV+M+IWfe1n9UhJKFPW&#10;o72WmqVz+gvBDguOOx7zvGR/c0VdX2bR6F/wTv8A2fLXxt4xX4o+IdNL6VpUjDT4Wj+SW4HcH/pn&#10;kY9Gwe2Kq/HP9rD9ub9pT4/+Nv2aP2Jn0Xwj4d8CyR23inxteIrXEbFHLMrsGCLmNyFRNx2E7hX2&#10;t8Ivhtpfwn8A6d4H0CDbDp9rs+bgyPt5ZuOSW5Jr81/2nNK/aI/4J6fAL4y+JfFHh7SftHxs8bS2&#10;mn+I9P1zzJdPjmE7hGiMYbJtludrK2FLkNglQfwfg/HZfxVxNiKk1GdSPLGlGesdXrJLZ2R6niRn&#10;2IzTGus5P2ava3RLY/Or4xeMfH/ir4gapH4r+LOoeLJIb6aOTWLm4kkF5iQDeBIWwpxkcDhq/ZL/&#10;AIIQfF+9+Jf7Ea+DNTsrOOTwXrUmmQS2tsI/Ot3UTo7bQAzhpJAT6YzX5gf8E0fgT4T+O/7WHh/w&#10;F4ru7X7KIbq/hs5Nqi/nghMkcC44JZscHGceuBX6Gf8ABAPXtJ07wP8AFD4a3l6sOtWPjL7RPpky&#10;lJI4DGI1YggfxIVI6gjkDiv1jxmw+FnwZVwUKdpUlCT5dE7vey0sflPCUKksyjiJu6k2ld3P0IUb&#10;eAK5/wCJfgLSPiB4QvvC+s24eO8tWiLbclcg8j3FdIeTlee1A+ddy/MpOM+v09ehr+IcLiquFxEJ&#10;r4k915H7FRxEqMozi7NH5hX8fi79nL4yLapL5Oo6NqGbdpvlEydQD6oy8/Umv2b/AGAP2ktG+Pnw&#10;b0vVYb1fNjtFHlyS/OuOCpzzlTxz1696+Bf+ChPwG/4TPQI/il4W0sNqWkxlNQaNRumt/wDFSSR7&#10;Fh6V59/wTP8A2qL74GfFWHwxqOqeVpeqTqF8zO1ZWO0LnsHHHpnFf1rwNxVL2eHzKF9PdqLq03a/&#10;yPsONOH6fiFwSsXRS+s0Vquun+Z+4KSIy8MPzp2R61h+E/Euk+K9Ii1jS7tZI5Fzx/CcZx+FbIPN&#10;f1PQxFPEUI1abvGWqZ/F8qdSlNwmrNOzQ+iiituYkhYuOCao6zq1ppWmy6jfShI4VLMx7ACrzOAu&#10;72r5N/4KbftX2HwQ+F11YWN0rXk6mOOHfgySsPkTP/jx4PCmvnOJM4jkuWSrbyekV3b2Pc4dyXE8&#10;QZtSwVFaydvRdz4V/wCCtX7XE/xa+JEnww0PVGWx06QtqBXG0tnKR9ei43HjkuP7ozof8E6fgQ+i&#10;eG3+MPiiwX7XqXyaSrfeigHVjnuxH4jmvmf4EfDXxF+0T8dYbTULqW4ga8a91q4PKyKGGQ31yAB7&#10;47Gv0x0bR7bRLG30vTrdY4beFUSNFACgD/8AV+Vfxl4j8TVsJgpYJO9Wo3KXXc/sjPI4XhPh+hkO&#10;CavZOdi/FjO0CvzR/wCDjDxvp7+BPhz8J7O6jkvLzWLzUprdZBuRI4VijYjOcM0zgeu1q/QX4y/F&#10;rwr8BPhbrfxi8bNMum+H7Fru4W2hMkkmOFRR/eLEAE8AkE8A1+Vn7D/wi8e/8FYP25dW/ad+O0Kf&#10;8In4Xvo7y9sd5MLHk21ggyMRgDLY5I9C2R5fhJlLwWIrcTYl2oYaL17ya0SR+E8SVvaRjg4aupp6&#10;I4r/AIKC/sZ+Lf2MPDnwh/at+C802kxz6Dp8GoXFixWTT9Uit0bzs4x+9XkjB+aNuu4Z97/Yt+Cv&#10;7SPgv4q+Hf8AgpD8Obi88b+D/iBosknjrSdNt4bXUkm+ZJlFuZglwy3KOwZDluTtBOK9k/4LyQLY&#10;/sLwxRXDCIeLLNI4QuAi+XLwPQdvYYr0j/gkHdafqn/BPT4cw6NqVvcSWtndRXUVvMHMM322dtjA&#10;H5WwwODg4YHuK/S8244zDGeHscylRU+ecoSTT1g9l8tLM8PB5XTo506EZcvKk1qexeDfj18IPHFj&#10;PcaP4yhgk0+3aXUrTVAbS5sVUZYzRTBZI8e6/pg14P8AtV/8FRvgT8Jf2Y9Z+M3wZ8e6P4l1j7a2&#10;l+HtPhl/1t1vCPKUOCY41JbOAHHevnL/AIL3fEX4WNb6P4f8MfGRY/FmnzLHq3hGxsUZmt5UyJpZ&#10;1wy4G0CNt4IbJA7/AJfXMjTLsMjY/u54rfw58F8n4gwtHOK7lBSabpy6Ltsr3Izviyvg60sPBJ26&#10;pn1P/wAPrP20da+IWneI/GHiWzutHtSF1Lw/bWMUcF9Bu+ZWAUHcV4619AeONO8PwXGlfFD4W3LS&#10;+EvFFiup+HL2Phowx+eB+fllikDIRngqOeePzIkjWOTJP8NfXv8AwTc+NkXi7QdS/Yx8Wassa6tc&#10;Sal4DuLg5+zakR+9tkz/AAzLnC92VepJJ/YuKOEcryvA/WMtoqCiveilvHqz6Pwn8QK+WcQLD42T&#10;dOq0nfbXuftz/wAEjP2xofiv4AXwD4r1R31jTW+z3RkYHzGHSUY7OvJ98+uK+7IJA4zg1/PT+yx8&#10;aNe/Zp+NkHi6R57eGC4NprFnGp3bA/PHdkYZH0IPWv3Z+Avxb0j4seArLxLpd5HL5sCs3ltkEEcM&#10;PUHPBwK5vD/OfZSlltWWm8G+qfT1Q/GzgmnkOdPMcGr0K3vJra7PQt3tRTI3JTIor9Y5ZH4Ymjmv&#10;iZ43sfAXhS81++lUeTC3lox++2OB9TX4bf8ABQT9pq6/aG+MtxLZ6rJNpekTSQ2cauQskhP7yQ+v&#10;IVQew6da/V7/AIKKWeu6v8L5vDWn35sU1axuLW01JshLe6MbBNzD7ucnB7lT0OM/jfP+xN+1BY3D&#10;2o+G00yoxCvHqVu24Z4PzSZ/OvwnjzOKjz2WHxHuwgly72betz+ovAHLuH8OqmY4qrFVVpG7tY9q&#10;+CNnZfCv4DyWHws+Pvgnwz471y5tp9SvNenimVIFPzQKnmKc7Txk4BJzVrVfH/7XdzrE8/hv/goJ&#10;8FbfTXkLWMOpaJbNcRxk/Kshjl2lx907eDj8B4fbfsWftPKVEXwnvNo/hjvrfHPqBL/+utCH9iL9&#10;qNl3x/CW6X/evrYE8Y/56egA+gr8w+r5a6kpTnTnzO95U1Jq/Rto/SM74L4czjMJ4yvmaUpbpSVv&#10;lY9YvPFH7Xuq2U2m6j/wUG+As9vcRtHPDJ4dhZJEYEFWBkwQQeh4Nec/s3fs2/F79lSXxBJ8Cv27&#10;Pgppi+Jr5bvUoV0GORQy7tqRgyHy0G9sKuAN3GBxUEX7E/7UEY+f4T3Wf+wlbf8Ax2nn9ij9p+X7&#10;3wluT/vahbf/AB2uijUp0MPLD0atNQlvFU1Z+q2PHfhrwVKoqjzJNrrf/gml+058BP2gf2u/h0nw&#10;u+NP/BRH4TzaTHqEV4sVjo8cDiRAwHzB84+Y5+gqp+z1+zX8cf2W/hXd/CL4Jf8ABRX4WaXpt7cz&#10;XNxN/ZqzXHnyJsMqvJI3luFCgFAv3RnJqs37EX7Sufn+Fzr/AL2oW3/xyk/4Yi/aQByPhm3/AIML&#10;b/45W0cZWWDWFVaHs078vs48t+9gl4a8EVKzqyzJcz631/M8e8V/8EkNE8Z+Jr/xh4v/AOChngXU&#10;dV1K7e51C+urwu80zklnbMvJJPU89unFUT/wRx8A5wf29vh/+DLx/wCRa9sf9jH9pbdz8OZOP+ol&#10;bf8Ax2nL+xv+02vA+HUn/gytv/jtd1Li7iDDxUIY5KK0SUUkccvCXw7qSvLHRfz/AOCeF3n/AARr&#10;+HkwEZ/b9+H0ef4ty/8Ax2tbQP8AgkB8H/C9ha6hpv7c3huLxdY61FeafrVnqCpbWscf8JhB8wyi&#10;TDBwwA27SDXrF1+xr+0/KrKvw0lkzx5a6la8j8ZelQxfsW/tVlxj4RXWxfuqupWQAGc9PO//AF11&#10;PjTPKlNweOUk97xQ6fhH4cU5Kax6TT6SRY/ab8MeGbbWtP8AEeh+O9H1rUdSsY18RS6LKPJe+SNV&#10;knRckoJNobBOc9zX1d/wSG/bGfQ9V/4U/wCLtV/49/mtxKeWhPGB/uk9PQ18nx/sb/tOmPypfhdM&#10;uQB82r2X5f6+u8/Zv/ZH+Ofhr406H428W6ZDoOn6TeJNcTzapCzSrnmNRE75yM53YUDPtXnUM0o4&#10;f2c6NTmrRkmrX77W8z7riuhwXjOBZZZXxaqOnF8rum/I/cK0vI7q2juIHBR1ypDUVyvwfutTHw80&#10;2TVLOXdJFviEmCwjPK5xntjvRX9R4PEVq2Fp1JRs2k362R/AVaiqdaUYu6Tdjp9e0HRfEFlLpOu6&#10;Vb3lrPHsmt7mEOjr1wQRg8149qf/AATy/Y61m9k1O/8AgnYtNMxeQpeXCgt9BIAPwoorHG4XC4h3&#10;qwjL1Sf5m9GtWpxfJJr0divB/wAE7f2StM3jQvhxcaa1xG0Ukun65eRMVI5GRLRrX/BO79k3xJdL&#10;qesfD26lnMKqZBr94uQFwOko/OiiuGOW5bf+DD/wFf5F/WsVp77+9mJq/wDwSq/Yu1bUbXUZvAut&#10;RPayM6x23jDUY0lyMbZFWfDjuAcgGpB/wSw/YvI/5EDVv/Cu1H/4/RRR/ZmWt60Yf+Ax/wAh/WcR&#10;/O/vYL/wSw/YsIy3w71Q/XxXqH/x6g/8Erf2Kj/zTrU//Cq1D/49RRRLK8t/58Q/8Bj/AJC+s4j+&#10;d/exjf8ABKT9iSThvhvqn/hV6h/8epjf8Emf2HgM/wDCuNW/8K7Uf/j9FFUsryv/AJ8Q/wDAY/5C&#10;+s4j+d/eynq//BIf9hvV7NrGTwFr1uGwfOs/GmpRSLg54ZZ8jp+IrotE/wCCcP7K/h7TY9K0fw3r&#10;kNvCzhYx4svjkMrIwJMpJBDH8eewooqnleWf8+If+Ax/yH9YxH87+9mRD/wSe/Ydh3L/AMKv1B+g&#10;zJ4ov2P6zV03w0/4J6/sg/CnX18S+Efg7a/boWBhuNQvJ7sp34EzsBzg9OCB6UUVMcuy+MrqjH/w&#10;Ff5CeIxFrc7+9nsiRqo2iiiivSWxzH//2VBLAwQUAAYACAAAACEAEGgiFOAAAAAJAQAADwAAAGRy&#10;cy9kb3ducmV2LnhtbEyPQUvDQBCF74L/YRnBm90kJWrTbEop6qkIbQXpbZudJqHZ2ZDdJum/dzzp&#10;8c17vPlevppsKwbsfeNIQTyLQCCVzjRUKfg6vD+9gvBBk9GtI1RwQw+r4v4u15lxI+1w2IdKcAn5&#10;TCuoQ+gyKX1Zo9V+5jok9s6utzqw7Ctpej1yuW1lEkXP0uqG+EOtO9zUWF72V6vgY9Tjeh6/DdvL&#10;eXM7HtLP722MSj0+TOsliIBT+AvDLz6jQ8FMJ3cl40XLOp5zUkGySEGwv4gSPpwUpOlLArLI5f8F&#10;xQ8AAAD//wMAUEsDBBQABgAIAAAAIQCgpierzgAAACwCAAAZAAAAZHJzL19yZWxzL2Uyb0RvYy54&#10;bWwucmVsc7yRy2rDMBBF94X8g5h9LD8ghBI5m1DItqQfMEhjWYn1QFJL8/cVFEoNJtl5OTPccw/M&#10;4fhtJ/ZFMRnvBDRVDYyc9Mo4LeDj8rbdA0sZncLJOxJwpwTHfvNyeKcJcwml0YTECsUlAWPO4ZXz&#10;JEeymCofyJXL4KPFXMaoeUB5Q028resdj/8Z0M+Y7KwExLPqgF3uoTQ/Z/thMJJOXn5acnmhghtb&#10;ugsQo6YswJIy+LvsqmsgDXxZol1Hon0o0awj0fxJ8NmP+x8AAAD//wMAUEsBAi0AFAAGAAgAAAAh&#10;AIoVP5gMAQAAFQIAABMAAAAAAAAAAAAAAAAAAAAAAFtDb250ZW50X1R5cGVzXS54bWxQSwECLQAU&#10;AAYACAAAACEAOP0h/9YAAACUAQAACwAAAAAAAAAAAAAAAAA9AQAAX3JlbHMvLnJlbHNQSwECLQAU&#10;AAYACAAAACEAKG5N438HAACuLgAADgAAAAAAAAAAAAAAAAA8AgAAZHJzL2Uyb0RvYy54bWxQSwEC&#10;LQAKAAAAAAAAACEArfPCEoMVAACDFQAAFQAAAAAAAAAAAAAAAADnCQAAZHJzL21lZGlhL2ltYWdl&#10;MS5qcGVnUEsBAi0ACgAAAAAAAAAhAIgPl/suEgAALhIAABUAAAAAAAAAAAAAAAAAnR8AAGRycy9t&#10;ZWRpYS9pbWFnZTIuanBlZ1BLAQItAAoAAAAAAAAAIQDoUHcpmxcAAJsXAAAVAAAAAAAAAAAAAAAA&#10;AP4xAABkcnMvbWVkaWEvaW1hZ2UzLmpwZWdQSwECLQAUAAYACAAAACEAEGgiFOAAAAAJAQAADwAA&#10;AAAAAAAAAAAAAADMSQAAZHJzL2Rvd25yZXYueG1sUEsBAi0AFAAGAAgAAAAhAKCmJ6vOAAAALAIA&#10;ABkAAAAAAAAAAAAAAAAA2UoAAGRycy9fcmVscy9lMm9Eb2MueG1sLnJlbHNQSwUGAAAAAAgACAAD&#10;AgAA3ksAAAAA&#10;">
                <v:shape id="Image 1263797326" o:spid="_x0000_s1052" type="#_x0000_t75" style="position:absolute;left:31623;top:21431;width:4819;height:417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7v6SyQAAAOMAAAAPAAAAZHJzL2Rvd25yZXYueG1sRE/NTsJA&#10;EL6b+A6bMeEmW0tSoLIQIYJwMQIePA7dodvYna3dBcrbsyYmHuf7n8mss7U4U+srxwqe+gkI4sLp&#10;iksFn/vl4wiED8gaa8ek4EoeZtP7uwnm2l14S+ddKEUMYZ+jAhNCk0vpC0MWfd81xJE7utZiiGdb&#10;St3iJYbbWqZJkkmLFccGgw0tDBXfu5NV0Gze0vfV6mP+dfjJRgfzGo6JGyvVe+henkEE6sK/+M+9&#10;1nF+mg2G4+EgzeD3pwiAnN4AAAD//wMAUEsBAi0AFAAGAAgAAAAhANvh9svuAAAAhQEAABMAAAAA&#10;AAAAAAAAAAAAAAAAAFtDb250ZW50X1R5cGVzXS54bWxQSwECLQAUAAYACAAAACEAWvQsW78AAAAV&#10;AQAACwAAAAAAAAAAAAAAAAAfAQAAX3JlbHMvLnJlbHNQSwECLQAUAAYACAAAACEAuO7+kskAAADj&#10;AAAADwAAAAAAAAAAAAAAAAAHAgAAZHJzL2Rvd25yZXYueG1sUEsFBgAAAAADAAMAtwAAAP0CAAAA&#10;AA==&#10;">
                  <v:imagedata r:id="rId61" o:title=""/>
                </v:shape>
                <v:shape id="Image 1129446549" o:spid="_x0000_s1053" type="#_x0000_t75" style="position:absolute;left:36480;top:21431;width:3982;height:4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AhSyQAAAOMAAAAPAAAAZHJzL2Rvd25yZXYueG1sRE+9bsIw&#10;EN6R+g7WVWIDBxQQpBiEWlWwdCBhaLeTfSQR8TmNXQg8fV2pEuN9/7fa9LYRF+p87VjBZJyAINbO&#10;1FwqOBbvowUIH5ANNo5JwY08bNZPgxVmxl35QJc8lCKGsM9QQRVCm0npdUUW/di1xJE7uc5iiGdX&#10;StPhNYbbRk6TZC4t1hwbKmzptSJ9zn+sgo+ve8GH2ZZPOtfN8fv2dv7cFUoNn/vtC4hAfXiI/917&#10;E+dPpss0nc/SJfz9FAGQ618AAAD//wMAUEsBAi0AFAAGAAgAAAAhANvh9svuAAAAhQEAABMAAAAA&#10;AAAAAAAAAAAAAAAAAFtDb250ZW50X1R5cGVzXS54bWxQSwECLQAUAAYACAAAACEAWvQsW78AAAAV&#10;AQAACwAAAAAAAAAAAAAAAAAfAQAAX3JlbHMvLnJlbHNQSwECLQAUAAYACAAAACEArhwIUskAAADj&#10;AAAADwAAAAAAAAAAAAAAAAAHAgAAZHJzL2Rvd25yZXYueG1sUEsFBgAAAAADAAMAtwAAAP0CAAAA&#10;AA==&#10;">
                  <v:imagedata r:id="rId62" o:title=""/>
                </v:shape>
                <v:group id="_x0000_s1054" style="position:absolute;width:56578;height:32956" coordsize="56578,32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EaKygAAAOIAAAAPAAAAZHJzL2Rvd25yZXYueG1sRI9Pa8JA&#10;FMTvBb/D8gq96W78T+oqIm3pQQS1ULw9ss8kmH0bstskfvtuQehxmJnfMKtNbyvRUuNLxxqSkQJB&#10;nDlTcq7h6/w+XILwAdlg5Zg03MnDZj14WmFqXMdHak8hFxHCPkUNRQh1KqXPCrLoR64mjt7VNRZD&#10;lE0uTYNdhNtKjpWaS4slx4UCa9oVlN1OP1bDR4fddpK8tfvbdXe/nGeH731CWr8899tXEIH68B9+&#10;tD+NhtlCJWoxmU7h71K8A3L9CwAA//8DAFBLAQItABQABgAIAAAAIQDb4fbL7gAAAIUBAAATAAAA&#10;AAAAAAAAAAAAAAAAAABbQ29udGVudF9UeXBlc10ueG1sUEsBAi0AFAAGAAgAAAAhAFr0LFu/AAAA&#10;FQEAAAsAAAAAAAAAAAAAAAAAHwEAAF9yZWxzLy5yZWxzUEsBAi0AFAAGAAgAAAAhADBwRorKAAAA&#10;4gAAAA8AAAAAAAAAAAAAAAAABwIAAGRycy9kb3ducmV2LnhtbFBLBQYAAAAAAwADALcAAAD+AgAA&#10;AAA=&#10;">
                  <v:shape id="Zone de texte 3" o:spid="_x0000_s1055" type="#_x0000_t202" style="position:absolute;left:22383;width:14383;height:9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U5pyQAAAOIAAAAPAAAAZHJzL2Rvd25yZXYueG1sRI9Ba8JA&#10;FITvhf6H5RV6q7saiTW6iggphZ4aBa+v2WcSzL4N2TVJ/323UOhxmJlvmO1+sq0YqPeNYw3zmQJB&#10;XDrTcKXhfMpfXkH4gGywdUwavsnDfvf4sMXMuJE/aShCJSKEfYYa6hC6TEpf1mTRz1xHHL2r6y2G&#10;KPtKmh7HCLetXCiVSosNx4UaOzrWVN6Ku9WwLPLz4VpekiMOKv96Iy4+xkTr56fpsAERaAr/4b/2&#10;u9GQJmu1nq+WKfxeindA7n4AAAD//wMAUEsBAi0AFAAGAAgAAAAhANvh9svuAAAAhQEAABMAAAAA&#10;AAAAAAAAAAAAAAAAAFtDb250ZW50X1R5cGVzXS54bWxQSwECLQAUAAYACAAAACEAWvQsW78AAAAV&#10;AQAACwAAAAAAAAAAAAAAAAAfAQAAX3JlbHMvLnJlbHNQSwECLQAUAAYACAAAACEAvaFOackAAADi&#10;AAAADwAAAAAAAAAAAAAAAAAHAgAAZHJzL2Rvd25yZXYueG1sUEsFBgAAAAADAAMAtwAAAP0CAAAA&#10;AA==&#10;" fillcolor="#e7e6e6 [3214]" strokecolor="red" strokeweight="2pt">
                    <v:stroke dashstyle="dash"/>
                    <v:textbox>
                      <w:txbxContent>
                        <w:p w14:paraId="1C3B8394" w14:textId="77777777" w:rsidR="00E67F89" w:rsidRPr="00E67F89" w:rsidRDefault="00E67F89" w:rsidP="00E67F89"/>
                        <w:p w14:paraId="32339098" w14:textId="77777777" w:rsidR="00E67F89" w:rsidRPr="00E67F89" w:rsidRDefault="00E67F89" w:rsidP="00E67F89"/>
                        <w:p w14:paraId="7F3EEA29" w14:textId="77777777" w:rsidR="00E67F89" w:rsidRPr="00E67F89" w:rsidRDefault="00E67F89" w:rsidP="00E67F89">
                          <w:r w:rsidRPr="00E67F89">
                            <w:t>Zone de travail</w:t>
                          </w:r>
                        </w:p>
                      </w:txbxContent>
                    </v:textbox>
                  </v:shape>
                  <v:line id="Connecteur droit 1" o:spid="_x0000_s1056" style="position:absolute;flip:y;visibility:visible;mso-wrap-style:square" from="0,5143" to="56578,5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Pu6xgAAAOIAAAAPAAAAZHJzL2Rvd25yZXYueG1sRE/Pa8Iw&#10;FL4L+x/CG3ibqVVkVKOMgpsHL9MhHh/Ns61LXkoStdtfbwYDjx/f78Wqt0ZcyYfWsYLxKANBXDnd&#10;cq3ga79+eQURIrJG45gU/FCA1fJpsMBCuxt/0nUXa5FCOBSooImxK6QMVUMWw8h1xIk7OW8xJuhr&#10;qT3eUrg1Ms+ymbTYcmposKOyoep7d7EKSnM49h/vnuPh/Hu6bGldno1Ravjcv81BROrjQ/zv3ug0&#10;fzyZ5ZNpPoW/SwmDXN4BAAD//wMAUEsBAi0AFAAGAAgAAAAhANvh9svuAAAAhQEAABMAAAAAAAAA&#10;AAAAAAAAAAAAAFtDb250ZW50X1R5cGVzXS54bWxQSwECLQAUAAYACAAAACEAWvQsW78AAAAVAQAA&#10;CwAAAAAAAAAAAAAAAAAfAQAAX3JlbHMvLnJlbHNQSwECLQAUAAYACAAAACEAz+T7usYAAADiAAAA&#10;DwAAAAAAAAAAAAAAAAAHAgAAZHJzL2Rvd25yZXYueG1sUEsFBgAAAAADAAMAtwAAAPoCAAAAAA==&#10;" strokecolor="black [3213]" strokeweight=".5pt">
                    <v:stroke joinstyle="miter"/>
                  </v:line>
                  <v:line id="Connecteur droit 1" o:spid="_x0000_s1057" style="position:absolute;flip:y;visibility:visible;mso-wrap-style:square" from="0,20002" to="20880,20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NtZyAAAAOMAAAAPAAAAZHJzL2Rvd25yZXYueG1sRE9LawIx&#10;EL4X+h/CFHqrWaW+VqOUBVsPvWiLeBw24+7aZLIkUVd/fVMoeJzvPfNlZ404kw+NYwX9XgaCuHS6&#10;4UrB99fqZQIiRGSNxjEpuFKA5eLxYY65dhfe0HkbK5FCOOSooI6xzaUMZU0WQ8+1xIk7OG8xptNX&#10;Unu8pHBr5CDLRtJiw6mhxpaKmsqf7ckqKMxu3328e4674+1w+qRVcTRGqeen7m0GIlIX7+J/91qn&#10;+cPx+DUbTfsD+PspASAXvwAAAP//AwBQSwECLQAUAAYACAAAACEA2+H2y+4AAACFAQAAEwAAAAAA&#10;AAAAAAAAAAAAAAAAW0NvbnRlbnRfVHlwZXNdLnhtbFBLAQItABQABgAIAAAAIQBa9CxbvwAAABUB&#10;AAALAAAAAAAAAAAAAAAAAB8BAABfcmVscy8ucmVsc1BLAQItABQABgAIAAAAIQAmSNtZyAAAAOMA&#10;AAAPAAAAAAAAAAAAAAAAAAcCAABkcnMvZG93bnJldi54bWxQSwUGAAAAAAMAAwC3AAAA/AIAAAAA&#10;" strokecolor="black [3213]" strokeweight=".5pt">
                    <v:stroke joinstyle="miter"/>
                  </v:line>
                  <v:line id="Connecteur droit 1" o:spid="_x0000_s1058" style="position:absolute;flip:y;visibility:visible;mso-wrap-style:square" from="0,22669" to="18000,22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0umWxwAAAOMAAAAPAAAAZHJzL2Rvd25yZXYueG1sRE/NSgMx&#10;EL4LvkMYwZvNWtgoa9MiC609eGmV4nHYTHe3JpMlSdutT98Igsf5/me2GJ0VJwqx96zhcVKAIG68&#10;6bnV8PmxfHgGEROyQeuZNFwowmJ+ezPDyvgzb+i0Ta3IIRwr1NClNFRSxqYjh3HiB+LM7X1wmPIZ&#10;WmkCnnO4s3JaFEo67Dk3dDhQ3VHzvT06DbXdfY1vq8Bpd/jZH99pWR+s1fr+bnx9AZFoTP/iP/fa&#10;5PlKlaosiycFvz9lAOT8CgAA//8DAFBLAQItABQABgAIAAAAIQDb4fbL7gAAAIUBAAATAAAAAAAA&#10;AAAAAAAAAAAAAABbQ29udGVudF9UeXBlc10ueG1sUEsBAi0AFAAGAAgAAAAhAFr0LFu/AAAAFQEA&#10;AAsAAAAAAAAAAAAAAAAAHwEAAF9yZWxzLy5yZWxzUEsBAi0AFAAGAAgAAAAhAH3S6ZbHAAAA4wAA&#10;AA8AAAAAAAAAAAAAAAAABwIAAGRycy9kb3ducmV2LnhtbFBLBQYAAAAAAwADALcAAAD7AgAAAAA=&#10;" strokecolor="black [3213]" strokeweight=".5pt">
                    <v:stroke joinstyle="miter"/>
                  </v:line>
                  <v:line id="Connecteur droit 1" o:spid="_x0000_s1059" style="position:absolute;flip:y;visibility:visible;mso-wrap-style:square" from="0,2571" to="56578,2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6v7tyAAAAOMAAAAPAAAAZHJzL2Rvd25yZXYueG1sRE9LawIx&#10;EL4X+h/CFLzVrA/ssjVKWbB68FJbpMdhM+6uTSZLEnXtr2+Egsf53jNf9taIM/nQOlYwGmYgiCun&#10;W64VfH2unnMQISJrNI5JwZUCLBePD3MstLvwB513sRYphEOBCpoYu0LKUDVkMQxdR5y4g/MWYzp9&#10;LbXHSwq3Ro6zbCYttpwaGuyobKj62Z2sgtLsv/v1u+e4P/4eTltalUdjlBo89W+vICL18S7+d290&#10;mp/l+ctsPJ2M4PZTAkAu/gAAAP//AwBQSwECLQAUAAYACAAAACEA2+H2y+4AAACFAQAAEwAAAAAA&#10;AAAAAAAAAAAAAAAAW0NvbnRlbnRfVHlwZXNdLnhtbFBLAQItABQABgAIAAAAIQBa9CxbvwAAABUB&#10;AAALAAAAAAAAAAAAAAAAAB8BAABfcmVscy8ucmVsc1BLAQItABQABgAIAAAAIQB86v7tyAAAAOMA&#10;AAAPAAAAAAAAAAAAAAAAAAcCAABkcnMvZG93bnJldi54bWxQSwUGAAAAAAMAAwC3AAAA/AIAAAAA&#10;" strokecolor="black [3213]" strokeweight=".5pt">
                    <v:stroke joinstyle="miter"/>
                  </v:line>
                  <v:group id="Groupe 14" o:spid="_x0000_s1060" style="position:absolute;left:16668;top:1905;width:24575;height:9048" coordsize="34099,9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YVtyAAAAOMAAAAPAAAAZHJzL2Rvd25yZXYueG1sRE9fa8Iw&#10;EH8f+B3CDfY2k3S4jc4oIk58kMF0IL4dzdkWm0tpsrZ++2Uw2OP9/t98ObpG9NSF2rMBPVUgiAtv&#10;ay4NfB3fH19BhIhssfFMBm4UYLmY3M0xt37gT+oPsRQphEOOBqoY21zKUFTkMEx9S5y4i+8cxnR2&#10;pbQdDincNTJT6lk6rDk1VNjSuqLievh2BrYDDqsnven318v6dj7OPk57TcY83I+rNxCRxvgv/nPv&#10;bJo/U1q9ZFpl8PtTAkAufgAAAP//AwBQSwECLQAUAAYACAAAACEA2+H2y+4AAACFAQAAEwAAAAAA&#10;AAAAAAAAAAAAAAAAW0NvbnRlbnRfVHlwZXNdLnhtbFBLAQItABQABgAIAAAAIQBa9CxbvwAAABUB&#10;AAALAAAAAAAAAAAAAAAAAB8BAABfcmVscy8ucmVsc1BLAQItABQABgAIAAAAIQDU3YVtyAAAAOMA&#10;AAAPAAAAAAAAAAAAAAAAAAcCAABkcnMvZG93bnJldi54bWxQSwUGAAAAAAMAAwC3AAAA/AIAAAAA&#10;">
                    <v:line id="Connecteur droit 11" o:spid="_x0000_s1061" style="position:absolute;visibility:visible;mso-wrap-style:square" from="0,0" to="4762,9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4VbywAAAOIAAAAPAAAAZHJzL2Rvd25yZXYueG1sRI9BS8NA&#10;FITvgv9heYKXYjcJtiyx21JTBMFTox68PbLPJDT7NuyuTfTXu4LQ4zAz3zCb3WwHcSYfesca8mUG&#10;grhxpudWw9vr050CESKywcExafimALvt9dUGS+MmPtK5jq1IEA4lauhiHEspQ9ORxbB0I3HyPp23&#10;GJP0rTQepwS3gyyybC0t9pwWOhyp6qg51V9Ww0qFQ3WqpsXi5fC4rz/8+88xz7W+vZn3DyAizfES&#10;/m8/Gw1K3Re5WhVr+LuU7oDc/gIAAP//AwBQSwECLQAUAAYACAAAACEA2+H2y+4AAACFAQAAEwAA&#10;AAAAAAAAAAAAAAAAAAAAW0NvbnRlbnRfVHlwZXNdLnhtbFBLAQItABQABgAIAAAAIQBa9CxbvwAA&#10;ABUBAAALAAAAAAAAAAAAAAAAAB8BAABfcmVscy8ucmVsc1BLAQItABQABgAIAAAAIQBFx4VbywAA&#10;AOIAAAAPAAAAAAAAAAAAAAAAAAcCAABkcnMvZG93bnJldi54bWxQSwUGAAAAAAMAAwC3AAAA/wIA&#10;AAAA&#10;" strokecolor="#ffc000" strokeweight="1.75pt">
                      <v:stroke dashstyle="longDash" joinstyle="miter"/>
                    </v:line>
                    <v:line id="Connecteur droit 12" o:spid="_x0000_s1062" style="position:absolute;visibility:visible;mso-wrap-style:square" from="4762,9048" to="29813,9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ltyyQAAAOMAAAAPAAAAZHJzL2Rvd25yZXYueG1sRE9PS8Mw&#10;FL8LfofwBC/DJRlOZ102ZocgeFrVg7dH82zLmpeSxLX66Y0geHy//2+9nVwvThRi59mAnisQxLW3&#10;HTcGXl8er1YgYkK22HsmA18UYbs5P1tjYf3IBzpVqRE5hGOBBtqUhkLKWLfkMM79QJy5Dx8cpnyG&#10;RtqAYw53vVwodSMddpwbWhyobKk+Vp/OwHIV9+WxHGez5/3DrnoPb98HrY25vJh29yASTelf/Od+&#10;snm+0mqxvL671fD7UwZAbn4AAAD//wMAUEsBAi0AFAAGAAgAAAAhANvh9svuAAAAhQEAABMAAAAA&#10;AAAAAAAAAAAAAAAAAFtDb250ZW50X1R5cGVzXS54bWxQSwECLQAUAAYACAAAACEAWvQsW78AAAAV&#10;AQAACwAAAAAAAAAAAAAAAAAfAQAAX3JlbHMvLnJlbHNQSwECLQAUAAYACAAAACEAOn5bcskAAADj&#10;AAAADwAAAAAAAAAAAAAAAAAHAgAAZHJzL2Rvd25yZXYueG1sUEsFBgAAAAADAAMAtwAAAP0CAAAA&#10;AA==&#10;" strokecolor="#ffc000" strokeweight="1.75pt">
                      <v:stroke dashstyle="longDash" joinstyle="miter"/>
                    </v:line>
                    <v:line id="Connecteur droit 13" o:spid="_x0000_s1063" style="position:absolute;flip:x;visibility:visible;mso-wrap-style:square" from="29813,0" to="34099,9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kPwzAAAAOIAAAAPAAAAZHJzL2Rvd25yZXYueG1sRI/NTsMw&#10;EITvlXgHaytxa53WqNBQt6r4E70g0VScl3ibRI3XwTZp4OkxEhLH0cx8o1ltBtuKnnxoHGuYTTMQ&#10;xKUzDVcaDsXj5AZEiMgGW8ek4YsCbNYXoxXmxp35lfp9rESCcMhRQx1jl0sZyposhqnriJN3dN5i&#10;TNJX0ng8J7ht5TzLFtJiw2mhxo7uaipP+0+r4f6j+PYtPZ0O6uHlvS+W293xrdL6cjxsb0FEGuJ/&#10;+K/9bDTMl0qphbq6ht9L6Q7I9Q8AAAD//wMAUEsBAi0AFAAGAAgAAAAhANvh9svuAAAAhQEAABMA&#10;AAAAAAAAAAAAAAAAAAAAAFtDb250ZW50X1R5cGVzXS54bWxQSwECLQAUAAYACAAAACEAWvQsW78A&#10;AAAVAQAACwAAAAAAAAAAAAAAAAAfAQAAX3JlbHMvLnJlbHNQSwECLQAUAAYACAAAACEAsJpD8MwA&#10;AADiAAAADwAAAAAAAAAAAAAAAAAHAgAAZHJzL2Rvd25yZXYueG1sUEsFBgAAAAADAAMAtwAAAAAD&#10;AAAAAA==&#10;" strokecolor="#ffc000" strokeweight="1.75pt">
                      <v:stroke dashstyle="longDash" joinstyle="miter"/>
                    </v:line>
                  </v:group>
                  <v:line id="Connecteur droit 1" o:spid="_x0000_s1064" style="position:absolute;flip:y;visibility:visible;mso-wrap-style:square" from="35622,19907" to="56502,199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OF7yQAAAOEAAAAPAAAAZHJzL2Rvd25yZXYueG1sRI/BTgIx&#10;EIbvJr5DMybepCtEgwuFkE1QD14EQzhOtsPuYjvdtAVWn945mJA5Teb/v8k3Xw7eqTPF1AU28Dgq&#10;QBHXwXbcGPjarh+moFJGtugCk4EfSrBc3N7MsbThwp903uRGCYRTiQbanPtS61S35DGNQk8st0OI&#10;HrOssdE24kXg3ulxUTxrjx3LhxZ7qlqqvzcnb6Byu/3w9ho5746/h9MHraujc8bc3w2rGahMQ76G&#10;/9vv1sDk6UVmIg5iJDagF38AAAD//wMAUEsBAi0AFAAGAAgAAAAhANvh9svuAAAAhQEAABMAAAAA&#10;AAAAAAAAAAAAAAAAAFtDb250ZW50X1R5cGVzXS54bWxQSwECLQAUAAYACAAAACEAWvQsW78AAAAV&#10;AQAACwAAAAAAAAAAAAAAAAAfAQAAX3JlbHMvLnJlbHNQSwECLQAUAAYACAAAACEA8wThe8kAAADh&#10;AAAADwAAAAAAAAAAAAAAAAAHAgAAZHJzL2Rvd25yZXYueG1sUEsFBgAAAAADAAMAtwAAAP0CAAAA&#10;AA==&#10;" strokecolor="black [3213]" strokeweight=".5pt">
                    <v:stroke joinstyle="miter"/>
                  </v:line>
                  <v:line id="Connecteur droit 1" o:spid="_x0000_s1065" style="position:absolute;flip:y;visibility:visible;mso-wrap-style:square" from="35600,20002" to="35600,32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tuyQAAAOMAAAAPAAAAZHJzL2Rvd25yZXYueG1sRE9LTwIx&#10;EL6b+B+aMfEm3UUeZqUQswnKwYtoCMfJdthdbKebtsDCr6ckJh7ne89s0VsjjuRD61hBPshAEFdO&#10;t1wr+PlePr2ACBFZo3FMCs4UYDG/v5thod2Jv+i4jrVIIRwKVNDE2BVShqohi2HgOuLE7Zy3GNPp&#10;a6k9nlK4NXKYZRNpseXU0GBHZUPV7/pgFZRms+0/3j3Hzf6yO3zSstwbo9TjQ//2CiJSH//Ff+6V&#10;TvPz4Wg8nkzzZ7j9lACQ8ysAAAD//wMAUEsBAi0AFAAGAAgAAAAhANvh9svuAAAAhQEAABMAAAAA&#10;AAAAAAAAAAAAAAAAAFtDb250ZW50X1R5cGVzXS54bWxQSwECLQAUAAYACAAAACEAWvQsW78AAAAV&#10;AQAACwAAAAAAAAAAAAAAAAAfAQAAX3JlbHMvLnJlbHNQSwECLQAUAAYACAAAACEAHfz7bskAAADj&#10;AAAADwAAAAAAAAAAAAAAAAAHAgAAZHJzL2Rvd25yZXYueG1sUEsFBgAAAAADAAMAtwAAAP0CAAAA&#10;AA==&#10;" strokecolor="black [3213]" strokeweight=".5pt">
                    <v:stroke joinstyle="miter"/>
                  </v:line>
                  <v:line id="Connecteur droit 1" o:spid="_x0000_s1066" style="position:absolute;flip:y;visibility:visible;mso-wrap-style:square" from="21028,20002" to="21028,32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PayyAAAAOMAAAAPAAAAZHJzL2Rvd25yZXYueG1sRE/NTgIx&#10;EL6b+A7NmHiTLmRBWSnEbIJy8CIa4nGyHXYX2ummLbDw9JTExON8/zNb9NaII/nQOlYwHGQgiCun&#10;W64V/Hwvn15AhIis0TgmBWcKsJjf382w0O7EX3Rcx1qkEA4FKmhi7AopQ9WQxTBwHXHits5bjOn0&#10;tdQeTyncGjnKsom02HJqaLCjsqFqvz5YBaXZ/PYf757jZnfZHj5pWe6MUerxoX97BRGpj//iP/dK&#10;p/n5JJ+OnsfTHG4/JQDk/AoAAP//AwBQSwECLQAUAAYACAAAACEA2+H2y+4AAACFAQAAEwAAAAAA&#10;AAAAAAAAAAAAAAAAW0NvbnRlbnRfVHlwZXNdLnhtbFBLAQItABQABgAIAAAAIQBa9CxbvwAAABUB&#10;AAALAAAAAAAAAAAAAAAAAB8BAABfcmVscy8ucmVsc1BLAQItABQABgAIAAAAIQBjlPayyAAAAOMA&#10;AAAPAAAAAAAAAAAAAAAAAAcCAABkcnMvZG93bnJldi54bWxQSwUGAAAAAAMAAwC3AAAA/AIAAAAA&#10;" strokecolor="black [3213]" strokeweight=".5pt">
                    <v:stroke joinstyle="miter"/>
                  </v:line>
                  <v:line id="Connecteur droit 1" o:spid="_x0000_s1067" style="position:absolute;flip:y;visibility:visible;mso-wrap-style:square" from="38669,22669" to="38669,32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bljyAAAAOMAAAAPAAAAZHJzL2Rvd25yZXYueG1sRE9Pa8Iw&#10;FL8P/A7hCbvN1G3Y0hlFCm477DI3ZMdH82yryUtJonZ+ejMYeHy//2++HKwRJ/Khc6xgOslAENdO&#10;d9wo+P5aPxQgQkTWaByTgl8KsFyM7uZYanfmTzptYiNSCIcSFbQx9qWUoW7JYpi4njhxO+ctxnT6&#10;RmqP5xRujXzMspm02HFqaLGnqqX6sDlaBZXZ/gxvr57jdn/ZHT9oXe2NUep+PKxeQEQa4k38737X&#10;aX7xNM1neZE/w99PCQC5uAIAAP//AwBQSwECLQAUAAYACAAAACEA2+H2y+4AAACFAQAAEwAAAAAA&#10;AAAAAAAAAAAAAAAAW0NvbnRlbnRfVHlwZXNdLnhtbFBLAQItABQABgAIAAAAIQBa9CxbvwAAABUB&#10;AAALAAAAAAAAAAAAAAAAAB8BAABfcmVscy8ucmVsc1BLAQItABQABgAIAAAAIQAvjbljyAAAAOMA&#10;AAAPAAAAAAAAAAAAAAAAAAcCAABkcnMvZG93bnJldi54bWxQSwUGAAAAAAMAAwC3AAAA/AIAAAAA&#10;" strokecolor="black [3213]" strokeweight=".5pt">
                    <v:stroke joinstyle="miter"/>
                  </v:line>
                  <v:line id="Connecteur droit 1" o:spid="_x0000_s1068" style="position:absolute;flip:y;visibility:visible;mso-wrap-style:square" from="17978,22669" to="17978,32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1vUxwAAAOMAAAAPAAAAZHJzL2Rvd25yZXYueG1sRE/NagIx&#10;EL4X+g5hCt5qopZiV6PIgtpDL7VFehw24+5qMlmSqNs+fVMoeJzvf+bL3llxoRBbzxpGQwWCuPKm&#10;5VrD58f6cQoiJmSD1jNp+KYIy8X93RwL46/8TpddqkUO4VighialrpAyVg05jEPfEWfu4IPDlM9Q&#10;SxPwmsOdlWOlnqXDlnNDgx2VDVWn3dlpKO3+q99uAqf98edwfqN1ebRW68FDv5qBSNSnm/jf/Wry&#10;/KmajNTTy3gCfz9lAOTiFwAA//8DAFBLAQItABQABgAIAAAAIQDb4fbL7gAAAIUBAAATAAAAAAAA&#10;AAAAAAAAAAAAAABbQ29udGVudF9UeXBlc10ueG1sUEsBAi0AFAAGAAgAAAAhAFr0LFu/AAAAFQEA&#10;AAsAAAAAAAAAAAAAAAAAHwEAAF9yZWxzLy5yZWxzUEsBAi0AFAAGAAgAAAAhAHpvW9THAAAA4wAA&#10;AA8AAAAAAAAAAAAAAAAABwIAAGRycy9kb3ducmV2LnhtbFBLBQYAAAAAAwADALcAAAD7AgAAAAA=&#10;" strokecolor="black [3213]" strokeweight=".5pt">
                    <v:stroke joinstyle="miter"/>
                  </v:line>
                </v:group>
                <v:shape id="Image 1778470324" o:spid="_x0000_s1069" type="#_x0000_t75" alt="Une image contenant texte, Panneau de signalisation, signalisation, signe&#10;&#10;Description générée automatiquement" style="position:absolute;left:31623;top:29337;width:4819;height:4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vwpxgAAAOMAAAAPAAAAZHJzL2Rvd25yZXYueG1sRE9ba8Iw&#10;FH4f7D+EM/Btpl6w0hllDASfNrz8gENy1habk9qkmvXXL4Lg4/nuZ7WJthFX6nztWMFknIEg1s7U&#10;XCo4HbfvSxA+IBtsHJOCP/KwWb++rLAw7sZ7uh5CKVII+wIVVCG0hZReV2TRj11LnLhf11kM6exK&#10;aTq8pXDbyGmWLaTFmlNDhS19VaTPh94q+L4M+tL3Pu624ccudDs0kQalRm/x8wNEoBie4od7Z9L8&#10;PF/O82w2ncP9pwSAXP8DAAD//wMAUEsBAi0AFAAGAAgAAAAhANvh9svuAAAAhQEAABMAAAAAAAAA&#10;AAAAAAAAAAAAAFtDb250ZW50X1R5cGVzXS54bWxQSwECLQAUAAYACAAAACEAWvQsW78AAAAVAQAA&#10;CwAAAAAAAAAAAAAAAAAfAQAAX3JlbHMvLnJlbHNQSwECLQAUAAYACAAAACEADMb8KcYAAADjAAAA&#10;DwAAAAAAAAAAAAAAAAAHAgAAZHJzL2Rvd25yZXYueG1sUEsFBgAAAAADAAMAtwAAAPoCAAAAAA==&#10;">
                  <v:imagedata r:id="rId63" o:title="Une image contenant texte, Panneau de signalisation, signalisation, signe&#10;&#10;Description générée automatiquement"/>
                </v:shape>
              </v:group>
            </w:pict>
          </mc:Fallback>
        </mc:AlternateContent>
      </w:r>
      <w:r w:rsidRPr="00E67F89">
        <w:rPr>
          <w:noProof/>
        </w:rPr>
        <mc:AlternateContent>
          <mc:Choice Requires="wpg">
            <w:drawing>
              <wp:anchor distT="0" distB="0" distL="114300" distR="114300" simplePos="0" relativeHeight="251658286" behindDoc="0" locked="0" layoutInCell="1" allowOverlap="1" wp14:anchorId="639615E8" wp14:editId="0FD3475E">
                <wp:simplePos x="0" y="0"/>
                <wp:positionH relativeFrom="column">
                  <wp:posOffset>71755</wp:posOffset>
                </wp:positionH>
                <wp:positionV relativeFrom="paragraph">
                  <wp:posOffset>186690</wp:posOffset>
                </wp:positionV>
                <wp:extent cx="5659800" cy="2266950"/>
                <wp:effectExtent l="0" t="0" r="36195" b="19050"/>
                <wp:wrapNone/>
                <wp:docPr id="1348103418" name="Groupe 15"/>
                <wp:cNvGraphicFramePr/>
                <a:graphic xmlns:a="http://schemas.openxmlformats.org/drawingml/2006/main">
                  <a:graphicData uri="http://schemas.microsoft.com/office/word/2010/wordprocessingGroup">
                    <wpg:wgp>
                      <wpg:cNvGrpSpPr/>
                      <wpg:grpSpPr>
                        <a:xfrm>
                          <a:off x="0" y="0"/>
                          <a:ext cx="5659800" cy="2266950"/>
                          <a:chOff x="0" y="0"/>
                          <a:chExt cx="5659800" cy="2266950"/>
                        </a:xfrm>
                      </wpg:grpSpPr>
                      <wps:wsp>
                        <wps:cNvPr id="812348224" name="Zone de texte 3"/>
                        <wps:cNvSpPr txBox="1"/>
                        <wps:spPr>
                          <a:xfrm>
                            <a:off x="2238375" y="0"/>
                            <a:ext cx="1438275" cy="952500"/>
                          </a:xfrm>
                          <a:prstGeom prst="rect">
                            <a:avLst/>
                          </a:prstGeom>
                          <a:solidFill>
                            <a:schemeClr val="bg2"/>
                          </a:solidFill>
                          <a:ln w="25400">
                            <a:solidFill>
                              <a:srgbClr val="FF0000"/>
                            </a:solidFill>
                            <a:prstDash val="dash"/>
                          </a:ln>
                        </wps:spPr>
                        <wps:txbx>
                          <w:txbxContent>
                            <w:p w14:paraId="3A1AD6DC" w14:textId="77777777" w:rsidR="00E67F89" w:rsidRPr="00E67F89" w:rsidRDefault="00E67F89" w:rsidP="00E67F89"/>
                            <w:p w14:paraId="32B195FB" w14:textId="77777777" w:rsidR="00E67F89" w:rsidRPr="00E67F89" w:rsidRDefault="00E67F89" w:rsidP="00E67F89"/>
                            <w:p w14:paraId="61D392C7" w14:textId="77777777" w:rsidR="00E67F89" w:rsidRPr="00E67F89" w:rsidRDefault="00E67F89" w:rsidP="00E67F89">
                              <w:r w:rsidRPr="00E67F89">
                                <w:t>Zone de travail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78374824" name="Connecteur droit 1"/>
                        <wps:cNvCnPr/>
                        <wps:spPr>
                          <a:xfrm flipV="1">
                            <a:off x="0" y="514350"/>
                            <a:ext cx="56578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70809728" name="Connecteur droit 1"/>
                        <wps:cNvCnPr/>
                        <wps:spPr>
                          <a:xfrm flipV="1">
                            <a:off x="0" y="257175"/>
                            <a:ext cx="56578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755865553" name="Groupe 14"/>
                        <wpg:cNvGrpSpPr/>
                        <wpg:grpSpPr>
                          <a:xfrm>
                            <a:off x="1666875" y="190500"/>
                            <a:ext cx="2457450" cy="904875"/>
                            <a:chOff x="0" y="0"/>
                            <a:chExt cx="3409950" cy="904875"/>
                          </a:xfrm>
                        </wpg:grpSpPr>
                        <wps:wsp>
                          <wps:cNvPr id="2083153993" name="Connecteur droit 11"/>
                          <wps:cNvCnPr/>
                          <wps:spPr>
                            <a:xfrm>
                              <a:off x="0" y="0"/>
                              <a:ext cx="476250" cy="902970"/>
                            </a:xfrm>
                            <a:prstGeom prst="line">
                              <a:avLst/>
                            </a:prstGeom>
                            <a:ln w="22225">
                              <a:solidFill>
                                <a:srgbClr val="FFC000"/>
                              </a:solidFill>
                              <a:prstDash val="lgDash"/>
                            </a:ln>
                          </wps:spPr>
                          <wps:style>
                            <a:lnRef idx="1">
                              <a:schemeClr val="accent1"/>
                            </a:lnRef>
                            <a:fillRef idx="0">
                              <a:schemeClr val="accent1"/>
                            </a:fillRef>
                            <a:effectRef idx="0">
                              <a:schemeClr val="accent1"/>
                            </a:effectRef>
                            <a:fontRef idx="minor">
                              <a:schemeClr val="tx1"/>
                            </a:fontRef>
                          </wps:style>
                          <wps:bodyPr/>
                        </wps:wsp>
                        <wps:wsp>
                          <wps:cNvPr id="800758544" name="Connecteur droit 12"/>
                          <wps:cNvCnPr/>
                          <wps:spPr>
                            <a:xfrm>
                              <a:off x="476250" y="904875"/>
                              <a:ext cx="2505075" cy="0"/>
                            </a:xfrm>
                            <a:prstGeom prst="line">
                              <a:avLst/>
                            </a:prstGeom>
                            <a:ln w="22225">
                              <a:solidFill>
                                <a:srgbClr val="FFC000"/>
                              </a:solidFill>
                              <a:prstDash val="lgDash"/>
                            </a:ln>
                          </wps:spPr>
                          <wps:style>
                            <a:lnRef idx="1">
                              <a:schemeClr val="accent1"/>
                            </a:lnRef>
                            <a:fillRef idx="0">
                              <a:schemeClr val="accent1"/>
                            </a:fillRef>
                            <a:effectRef idx="0">
                              <a:schemeClr val="accent1"/>
                            </a:effectRef>
                            <a:fontRef idx="minor">
                              <a:schemeClr val="tx1"/>
                            </a:fontRef>
                          </wps:style>
                          <wps:bodyPr/>
                        </wps:wsp>
                        <wps:wsp>
                          <wps:cNvPr id="1859478361" name="Connecteur droit 13"/>
                          <wps:cNvCnPr/>
                          <wps:spPr>
                            <a:xfrm flipH="1">
                              <a:off x="2981325" y="0"/>
                              <a:ext cx="428625" cy="900000"/>
                            </a:xfrm>
                            <a:prstGeom prst="line">
                              <a:avLst/>
                            </a:prstGeom>
                            <a:ln w="22225">
                              <a:solidFill>
                                <a:srgbClr val="FFC000"/>
                              </a:solidFill>
                              <a:prstDash val="lgDash"/>
                            </a:ln>
                          </wps:spPr>
                          <wps:style>
                            <a:lnRef idx="1">
                              <a:schemeClr val="accent1"/>
                            </a:lnRef>
                            <a:fillRef idx="0">
                              <a:schemeClr val="accent1"/>
                            </a:fillRef>
                            <a:effectRef idx="0">
                              <a:schemeClr val="accent1"/>
                            </a:effectRef>
                            <a:fontRef idx="minor">
                              <a:schemeClr val="tx1"/>
                            </a:fontRef>
                          </wps:style>
                          <wps:bodyPr/>
                        </wps:wsp>
                      </wpg:grpSp>
                      <wps:wsp>
                        <wps:cNvPr id="71258054" name="Connecteur droit 1"/>
                        <wps:cNvCnPr/>
                        <wps:spPr>
                          <a:xfrm flipV="1">
                            <a:off x="3859800" y="2266950"/>
                            <a:ext cx="1800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639615E8" id="_x0000_s1070" style="position:absolute;left:0;text-align:left;margin-left:5.65pt;margin-top:14.7pt;width:445.65pt;height:178.5pt;z-index:251658286;mso-position-horizontal-relative:text;mso-position-vertical-relative:text;mso-height-relative:margin" coordsize="56598,22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0GGuwQAAH0WAAAOAAAAZHJzL2Uyb0RvYy54bWzsWMtu4zYU3RfoPxDaN5YoUQ8jziB1mrRA&#10;MBM00w7QHS1RtgCJVEk6dvr1vaRE+TlOmmnTGSBZKCJ5+To+5/JQ5+/WTY0emFSV4BMvOPM9xHgu&#10;iorPJ95vH69/SD2kNOUFrQVnE++RKe/dxfffna/aMcNiIeqCSQSDcDVetRNvoXU7Ho1UvmANVWei&#10;ZRwaSyEbqqEo56NC0hWM3tQj7PvxaCVk0UqRM6Wg9qpr9C7s+GXJcv2hLBXTqJ54sDZtn9I+Z+Y5&#10;ujin47mk7aLK+2XQF6yioRWHSYehrqimaCmrg6GaKpdCiVKf5aIZibKscmb3ALsJ/L3d3EixbO1e&#10;5uPVvB1gAmj3cHrxsPn7hxvZ3rd3EpBYtXPAwpbMXtalbMx/WCVaW8geB8jYWqMcKklMstQHZHNo&#10;wziOM9KDmi8A+YN++eKnJ3qO3MSjneWsWiCI2mCgvgyD+wVtmYVWjQGDO4mqYuKlAQ6jFOPIQ5w2&#10;QNc/gLSoYEjDfhkKDV3MQqCHgQzp9Y8CQAhcvYLKI8hhHKZhQjx0iF8QhSk2TQa/jGACWMIkAwh0&#10;3Eqlb5hokHmZeBIobZlGH26V7kJdiJlaiboqrqu6tgUjIzatJXqgIIDZHPeD70TVHK3gxyMRzH04&#10;hJzPhgGur334OzaGWcIVVYtuogLe+qiaw24MZh025k2vZ2sLd2xiTM1MFI8ApxSdPlWbX1cw4C1V&#10;+o5KECQQDJKM/gCPshawWtG/eWgh5F/H6k08cARaPbQCgU889eeSSuah+hcO7MmCKDIZwRYikmAo&#10;yO2W2XYLXzZTARAGkM7a3L6aeF2711KK5hPkokszKzRRnsPcE0+716nu0g7kspxdXtogyAEt1bf8&#10;vs3N0AZ8A+TH9Scq2/4HN9R7Lxxf6Xjvd+9iTU8uLpdalJUlxQbVHn7QTof1fy6iIEiA7SCjQUVT&#10;wTnQli0lKqSoNBoEA0Ka8j73OIp0+kdlXbW/O1R2UhAB0bgss5WHkhQqrY4cQ10Cc/roEa0rbqR/&#10;AKVRmak2lD0tJL22OwCVbgkJSkfIrvRjzbpRf2Ul0N7mCzvBrjhpnjOu3bg1h2gTVYKUh469Pk91&#10;7ONNV2bPv3/SeehhZxZcD52bigvZZYfd2TdQlF28k3u37w0PTaoypVckYpr4qZ8lGDxIl87/ZSJi&#10;kgSQu2FnAPbmWHsjojm/vhUi9pancz8bK5AQksaEkNBxx5oxhoKoO7TmxgQ81zoFcRynvQEIMr8/&#10;5DekwXD+RC57ZX5kYi2rnjJRYeRnxnF19mHoONiH/8FDYT8NAxJm2YDcoeqekf+Npnayfm8rnc6i&#10;JAaz5DaOs+SLk741QRhj8qQJmj7LBNVzY4jM7/h2MtiT5Os5GeDGkpCURCccinXK5rz6vEXZoqhj&#10;ozHxgwq39E1A887lvxEVbNOuidj1Pt/KyfEKF9IgJVkEdjqGe8fnLMz2rfSUmf55z0zjLA1CyHZH&#10;bqURTiG7uuS6ded7saN+S647N/Fdwr+a7d7YgVe6CyYBJqlPTuTZzk2dSrNHb4IhCMN+d9r/7OT8&#10;QQCt5ph+uxB2F0h7R/l6L4SWmfCN05ql/nus+Yi6Xbb+YfPV+OJvAAAA//8DAFBLAwQUAAYACAAA&#10;ACEA4JIrseAAAAAJAQAADwAAAGRycy9kb3ducmV2LnhtbEyPT2vCQBTE74V+h+UJvdXNHxs0ZiMi&#10;bU9SqBZKb8/kmQSzuyG7JvHb9/VUj8MMM7/JNpNuxUC9a6xREM4DEGQKWzamUvB1fHtegnAeTYmt&#10;NaTgRg42+eNDhmlpR/NJw8FXgkuMS1FB7X2XSumKmjS6ue3IsHe2vUbPsq9k2ePI5bqVURAkUmNj&#10;eKHGjnY1FZfDVSt4H3HcxuHrsL+cd7ef48vH9z4kpZ5m03YNwtPk/8Pwh8/okDPTyV5N6UTLOow5&#10;qSBaLUCwvwqiBMRJQbxMFiDzTN4/yH8BAAD//wMAUEsBAi0AFAAGAAgAAAAhALaDOJL+AAAA4QEA&#10;ABMAAAAAAAAAAAAAAAAAAAAAAFtDb250ZW50X1R5cGVzXS54bWxQSwECLQAUAAYACAAAACEAOP0h&#10;/9YAAACUAQAACwAAAAAAAAAAAAAAAAAvAQAAX3JlbHMvLnJlbHNQSwECLQAUAAYACAAAACEAaMNB&#10;hrsEAAB9FgAADgAAAAAAAAAAAAAAAAAuAgAAZHJzL2Uyb0RvYy54bWxQSwECLQAUAAYACAAAACEA&#10;4JIrseAAAAAJAQAADwAAAAAAAAAAAAAAAAAVBwAAZHJzL2Rvd25yZXYueG1sUEsFBgAAAAAEAAQA&#10;8wAAACIIAAAAAA==&#10;">
                <v:shape id="Zone de texte 3" o:spid="_x0000_s1071" type="#_x0000_t202" style="position:absolute;left:22383;width:14383;height:9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godyAAAAOIAAAAPAAAAZHJzL2Rvd25yZXYueG1sRI9Ba4NA&#10;FITvhf6H5RVya9aoFLFZJQQMgZ5qA7m+ui8qdd+Ku1Xz77uFQo/DzHzD7MvVDGKmyfWWFey2EQji&#10;xuqeWwWXj+o5A+E8ssbBMim4k4OyeHzYY67twu80174VAcIuRwWd92MupWs6Mui2diQO3s1OBn2Q&#10;Uyv1hEuAm0HGUfQiDfYcFjoc6dhR81V/GwVpXV0Ot+aaHHGOqs8Tcf22JEptntbDKwhPq/8P/7XP&#10;WkG2i5M0i+MUfi+FOyCLHwAAAP//AwBQSwECLQAUAAYACAAAACEA2+H2y+4AAACFAQAAEwAAAAAA&#10;AAAAAAAAAAAAAAAAW0NvbnRlbnRfVHlwZXNdLnhtbFBLAQItABQABgAIAAAAIQBa9CxbvwAAABUB&#10;AAALAAAAAAAAAAAAAAAAAB8BAABfcmVscy8ucmVsc1BLAQItABQABgAIAAAAIQDYvgodyAAAAOIA&#10;AAAPAAAAAAAAAAAAAAAAAAcCAABkcnMvZG93bnJldi54bWxQSwUGAAAAAAMAAwC3AAAA/AIAAAAA&#10;" fillcolor="#e7e6e6 [3214]" strokecolor="red" strokeweight="2pt">
                  <v:stroke dashstyle="dash"/>
                  <v:textbox>
                    <w:txbxContent>
                      <w:p w14:paraId="3A1AD6DC" w14:textId="77777777" w:rsidR="00E67F89" w:rsidRPr="00E67F89" w:rsidRDefault="00E67F89" w:rsidP="00E67F89"/>
                      <w:p w14:paraId="32B195FB" w14:textId="77777777" w:rsidR="00E67F89" w:rsidRPr="00E67F89" w:rsidRDefault="00E67F89" w:rsidP="00E67F89"/>
                      <w:p w14:paraId="61D392C7" w14:textId="77777777" w:rsidR="00E67F89" w:rsidRPr="00E67F89" w:rsidRDefault="00E67F89" w:rsidP="00E67F89">
                        <w:r w:rsidRPr="00E67F89">
                          <w:t>Zone de travail</w:t>
                        </w:r>
                      </w:p>
                    </w:txbxContent>
                  </v:textbox>
                </v:shape>
                <v:line id="Connecteur droit 1" o:spid="_x0000_s1072" style="position:absolute;flip:y;visibility:visible;mso-wrap-style:square" from="0,5143" to="56578,5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lxbyAAAAOMAAAAPAAAAZHJzL2Rvd25yZXYueG1sRE/NagIx&#10;EL4X+g5hCr3VrFZ0WY1SFmw99KIt0uOwGXdXk8mSRN369I0g9Djf/8yXvTXiTD60jhUMBxkI4srp&#10;lmsF31+rlxxEiMgajWNS8EsBlovHhzkW2l14Q+dtrEUK4VCggibGrpAyVA1ZDAPXESdu77zFmE5f&#10;S+3xksKtkaMsm0iLLaeGBjsqG6qO25NVUJrdT//x7jnuDtf96ZNW5cEYpZ6f+rcZiEh9/Bff3Wud&#10;5g+n+et0nI/GcPspASAXfwAAAP//AwBQSwECLQAUAAYACAAAACEA2+H2y+4AAACFAQAAEwAAAAAA&#10;AAAAAAAAAAAAAAAAW0NvbnRlbnRfVHlwZXNdLnhtbFBLAQItABQABgAIAAAAIQBa9CxbvwAAABUB&#10;AAALAAAAAAAAAAAAAAAAAB8BAABfcmVscy8ucmVsc1BLAQItABQABgAIAAAAIQDgGlxbyAAAAOMA&#10;AAAPAAAAAAAAAAAAAAAAAAcCAABkcnMvZG93bnJldi54bWxQSwUGAAAAAAMAAwC3AAAA/AIAAAAA&#10;" strokecolor="black [3213]" strokeweight=".5pt">
                  <v:stroke joinstyle="miter"/>
                </v:line>
                <v:line id="Connecteur droit 1" o:spid="_x0000_s1073" style="position:absolute;flip:y;visibility:visible;mso-wrap-style:square" from="0,2571" to="56578,2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lJTygAAAOMAAAAPAAAAZHJzL2Rvd25yZXYueG1sRI9BT8Mw&#10;DIXvSPyHyEjcWMIOrJRlE6o04MCFgSaOVuO1HYlTJdlW+PX4gMTRfs/vfV6up+DViVIeIlu4nRlQ&#10;xG10A3cWPt43NxWoXJAd+shk4ZsyrFeXF0usXTzzG522pVMSwrlGC30pY611bnsKmGdxJBZtH1PA&#10;ImPqtEt4lvDg9dyYOx1wYGnocaSmp/ZrewwWGr/7nJ6fEpfd4Wd/fKVNc/De2uur6fEBVKGp/Jv/&#10;rl+c4FcLU5n7xVyg5SdZgF79AgAA//8DAFBLAQItABQABgAIAAAAIQDb4fbL7gAAAIUBAAATAAAA&#10;AAAAAAAAAAAAAAAAAABbQ29udGVudF9UeXBlc10ueG1sUEsBAi0AFAAGAAgAAAAhAFr0LFu/AAAA&#10;FQEAAAsAAAAAAAAAAAAAAAAAHwEAAF9yZWxzLy5yZWxzUEsBAi0AFAAGAAgAAAAhAAw+UlPKAAAA&#10;4wAAAA8AAAAAAAAAAAAAAAAABwIAAGRycy9kb3ducmV2LnhtbFBLBQYAAAAAAwADALcAAAD+AgAA&#10;AAA=&#10;" strokecolor="black [3213]" strokeweight=".5pt">
                  <v:stroke joinstyle="miter"/>
                </v:line>
                <v:group id="Groupe 14" o:spid="_x0000_s1074" style="position:absolute;left:16668;top:1905;width:24575;height:9048" coordsize="34099,9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sbywAAAOIAAAAPAAAAZHJzL2Rvd25yZXYueG1sRI9Ba8JA&#10;FITvQv/D8gq96SaVVUldRaQtPYhgLJTeHtlnEsy+DdltEv99t1DwOMzMN8x6O9pG9NT52rGGdJaA&#10;IC6cqbnU8Hl+m65A+IBssHFMGm7kYbt5mKwxM27gE/V5KEWEsM9QQxVCm0npi4os+plriaN3cZ3F&#10;EGVXStPhEOG2kc9JspAWa44LFba0r6i45j9Ww/uAw26evvaH62V/+z6r49chJa2fHsfdC4hAY7iH&#10;/9sfRsNSqdVCKTWHv0vxDsjNLwAAAP//AwBQSwECLQAUAAYACAAAACEA2+H2y+4AAACFAQAAEwAA&#10;AAAAAAAAAAAAAAAAAAAAW0NvbnRlbnRfVHlwZXNdLnhtbFBLAQItABQABgAIAAAAIQBa9CxbvwAA&#10;ABUBAAALAAAAAAAAAAAAAAAAAB8BAABfcmVscy8ucmVsc1BLAQItABQABgAIAAAAIQC+RqsbywAA&#10;AOIAAAAPAAAAAAAAAAAAAAAAAAcCAABkcnMvZG93bnJldi54bWxQSwUGAAAAAAMAAwC3AAAA/wIA&#10;AAAA&#10;">
                  <v:line id="Connecteur droit 11" o:spid="_x0000_s1075" style="position:absolute;visibility:visible;mso-wrap-style:square" from="0,0" to="4762,9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sbjzQAAAOMAAAAPAAAAZHJzL2Rvd25yZXYueG1sRI9BS8NA&#10;FITvgv9heYKXYjdpqKSx21JTBMFToz309sg+k9Ds27C7NtFf7wpCj8PMfMOst5PpxYWc7ywrSOcJ&#10;COLa6o4bBR/vLw85CB+QNfaWScE3edhubm/WWGg78oEuVWhEhLAvUEEbwlBI6euWDPq5HYij92md&#10;wRCla6R2OEa46eUiSR6lwY7jQosDlS3V5+rLKFjmfl+ey3E2e9s/76qTO/4c0lSp+7tp9wQi0BSu&#10;4f/2q1awSPIsXWarVQZ/n+IfkJtfAAAA//8DAFBLAQItABQABgAIAAAAIQDb4fbL7gAAAIUBAAAT&#10;AAAAAAAAAAAAAAAAAAAAAABbQ29udGVudF9UeXBlc10ueG1sUEsBAi0AFAAGAAgAAAAhAFr0LFu/&#10;AAAAFQEAAAsAAAAAAAAAAAAAAAAAHwEAAF9yZWxzLy5yZWxzUEsBAi0AFAAGAAgAAAAhANd6xuPN&#10;AAAA4wAAAA8AAAAAAAAAAAAAAAAABwIAAGRycy9kb3ducmV2LnhtbFBLBQYAAAAAAwADALcAAAAB&#10;AwAAAAA=&#10;" strokecolor="#ffc000" strokeweight="1.75pt">
                    <v:stroke dashstyle="longDash" joinstyle="miter"/>
                  </v:line>
                  <v:line id="Connecteur droit 12" o:spid="_x0000_s1076" style="position:absolute;visibility:visible;mso-wrap-style:square" from="4762,9048" to="29813,9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M01ywAAAOIAAAAPAAAAZHJzL2Rvd25yZXYueG1sRI9BS8NA&#10;FITvgv9heYKXYncjjYbYbakpguCpUQ/eHtlnEpp9G3bXJvrrXUHocZiZb5j1draDOJEPvWMN2VKB&#10;IG6c6bnV8Pb6dFOACBHZ4OCYNHxTgO3m8mKNpXETH+hUx1YkCIcSNXQxjqWUoenIYli6kTh5n85b&#10;jEn6VhqPU4LbQd4qdSct9pwWOhyp6qg51l9WQ16EfXWspsXiZf+4qz/8+88hy7S+vpp3DyAizfEc&#10;/m8/Gw2FUvd5ka9W8Hcp3QG5+QUAAP//AwBQSwECLQAUAAYACAAAACEA2+H2y+4AAACFAQAAEwAA&#10;AAAAAAAAAAAAAAAAAAAAW0NvbnRlbnRfVHlwZXNdLnhtbFBLAQItABQABgAIAAAAIQBa9CxbvwAA&#10;ABUBAAALAAAAAAAAAAAAAAAAAB8BAABfcmVscy8ucmVsc1BLAQItABQABgAIAAAAIQCP7M01ywAA&#10;AOIAAAAPAAAAAAAAAAAAAAAAAAcCAABkcnMvZG93bnJldi54bWxQSwUGAAAAAAMAAwC3AAAA/wIA&#10;AAAA&#10;" strokecolor="#ffc000" strokeweight="1.75pt">
                    <v:stroke dashstyle="longDash" joinstyle="miter"/>
                  </v:line>
                  <v:line id="Connecteur droit 13" o:spid="_x0000_s1077" style="position:absolute;flip:x;visibility:visible;mso-wrap-style:square" from="29813,0" to="34099,9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3qryQAAAOMAAAAPAAAAZHJzL2Rvd25yZXYueG1sRE9LT8JA&#10;EL6b8B82Q+JNtoBCqSyE+ApeTKSE89gd2obubNldS/XXuyYmHud7z3Ldm0Z05HxtWcF4lIAgLqyu&#10;uVSwz59vUhA+IGtsLJOCL/KwXg2ulphpe+F36nahFDGEfYYKqhDaTEpfVGTQj2xLHLmjdQZDPF0p&#10;tcNLDDeNnCTJTBqsOTZU2NJDRcVp92kUPJ7zb9fQy2k/fXr76PLF5vV4KJW6HvabexCB+vAv/nNv&#10;dZyf3i1u5+l0NobfnyIAcvUDAAD//wMAUEsBAi0AFAAGAAgAAAAhANvh9svuAAAAhQEAABMAAAAA&#10;AAAAAAAAAAAAAAAAAFtDb250ZW50X1R5cGVzXS54bWxQSwECLQAUAAYACAAAACEAWvQsW78AAAAV&#10;AQAACwAAAAAAAAAAAAAAAAAfAQAAX3JlbHMvLnJlbHNQSwECLQAUAAYACAAAACEAkmt6q8kAAADj&#10;AAAADwAAAAAAAAAAAAAAAAAHAgAAZHJzL2Rvd25yZXYueG1sUEsFBgAAAAADAAMAtwAAAP0CAAAA&#10;AA==&#10;" strokecolor="#ffc000" strokeweight="1.75pt">
                    <v:stroke dashstyle="longDash" joinstyle="miter"/>
                  </v:line>
                </v:group>
                <v:line id="Connecteur droit 1" o:spid="_x0000_s1078" style="position:absolute;flip:y;visibility:visible;mso-wrap-style:square" from="38598,22669" to="56598,22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xCyyQAAAOEAAAAPAAAAZHJzL2Rvd25yZXYueG1sRI9BawIx&#10;FITvQv9DeIXeNKvUdlmNUhZsPfSiLdLjY/PcXU1eliTq1l/fCAWPw8x8w8yXvTXiTD60jhWMRxkI&#10;4srplmsF31+rYQ4iRGSNxjEp+KUAy8XDYI6Fdhfe0Hkba5EgHApU0MTYFVKGqiGLYeQ64uTtnbcY&#10;k/S11B4vCW6NnGTZi7TYclposKOyoeq4PVkFpdn99B/vnuPucN2fPmlVHoxR6umxf5uBiNTHe/i/&#10;vdYKXseTaZ5Nn+H2KL0BufgDAAD//wMAUEsBAi0AFAAGAAgAAAAhANvh9svuAAAAhQEAABMAAAAA&#10;AAAAAAAAAAAAAAAAAFtDb250ZW50X1R5cGVzXS54bWxQSwECLQAUAAYACAAAACEAWvQsW78AAAAV&#10;AQAACwAAAAAAAAAAAAAAAAAfAQAAX3JlbHMvLnJlbHNQSwECLQAUAAYACAAAACEAKpsQsskAAADh&#10;AAAADwAAAAAAAAAAAAAAAAAHAgAAZHJzL2Rvd25yZXYueG1sUEsFBgAAAAADAAMAtwAAAP0CAAAA&#10;AA==&#10;" strokecolor="black [3213]" strokeweight=".5pt">
                  <v:stroke joinstyle="miter"/>
                </v:line>
              </v:group>
            </w:pict>
          </mc:Fallback>
        </mc:AlternateContent>
      </w:r>
    </w:p>
    <w:p w14:paraId="78208BA9" w14:textId="77777777" w:rsidR="00E67F89" w:rsidRPr="00E67F89" w:rsidRDefault="00E67F89" w:rsidP="00E67F89">
      <w:r w:rsidRPr="00E67F89">
        <w:rPr>
          <w:noProof/>
        </w:rPr>
        <w:drawing>
          <wp:anchor distT="0" distB="0" distL="114300" distR="114300" simplePos="0" relativeHeight="251658283" behindDoc="1" locked="0" layoutInCell="1" allowOverlap="1" wp14:anchorId="37658BB5" wp14:editId="4DAD7F30">
            <wp:simplePos x="0" y="0"/>
            <wp:positionH relativeFrom="column">
              <wp:posOffset>4825365</wp:posOffset>
            </wp:positionH>
            <wp:positionV relativeFrom="paragraph">
              <wp:posOffset>100965</wp:posOffset>
            </wp:positionV>
            <wp:extent cx="424180" cy="417195"/>
            <wp:effectExtent l="0" t="0" r="0" b="1905"/>
            <wp:wrapNone/>
            <wp:docPr id="1487671640" name="Image 1487671640" descr="Une image contenant texte, cercle, symbo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671640" name="Image 1487671640" descr="Une image contenant texte, cercle, symbole&#10;&#10;Description générée automatiquement"/>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24180" cy="417195"/>
                    </a:xfrm>
                    <a:prstGeom prst="rect">
                      <a:avLst/>
                    </a:prstGeom>
                  </pic:spPr>
                </pic:pic>
              </a:graphicData>
            </a:graphic>
          </wp:anchor>
        </w:drawing>
      </w:r>
    </w:p>
    <w:p w14:paraId="139AC497" w14:textId="77777777" w:rsidR="00E67F89" w:rsidRPr="00E67F89" w:rsidRDefault="00E67F89" w:rsidP="00E67F89">
      <w:r w:rsidRPr="00E67F89">
        <w:rPr>
          <w:noProof/>
        </w:rPr>
        <w:drawing>
          <wp:anchor distT="0" distB="0" distL="114300" distR="114300" simplePos="0" relativeHeight="251658265" behindDoc="1" locked="0" layoutInCell="1" allowOverlap="1" wp14:anchorId="13F52583" wp14:editId="3EACDA99">
            <wp:simplePos x="0" y="0"/>
            <wp:positionH relativeFrom="column">
              <wp:posOffset>5426743</wp:posOffset>
            </wp:positionH>
            <wp:positionV relativeFrom="paragraph">
              <wp:posOffset>149860</wp:posOffset>
            </wp:positionV>
            <wp:extent cx="482400" cy="417600"/>
            <wp:effectExtent l="0" t="0" r="0" b="1905"/>
            <wp:wrapNone/>
            <wp:docPr id="1488813683" name="Image 1488813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41305" name="Image 196541305"/>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82400" cy="417600"/>
                    </a:xfrm>
                    <a:prstGeom prst="rect">
                      <a:avLst/>
                    </a:prstGeom>
                  </pic:spPr>
                </pic:pic>
              </a:graphicData>
            </a:graphic>
            <wp14:sizeRelH relativeFrom="page">
              <wp14:pctWidth>0</wp14:pctWidth>
            </wp14:sizeRelH>
            <wp14:sizeRelV relativeFrom="page">
              <wp14:pctHeight>0</wp14:pctHeight>
            </wp14:sizeRelV>
          </wp:anchor>
        </w:drawing>
      </w:r>
      <w:r w:rsidRPr="00E67F89">
        <w:rPr>
          <w:noProof/>
        </w:rPr>
        <w:drawing>
          <wp:anchor distT="0" distB="0" distL="114300" distR="114300" simplePos="0" relativeHeight="251658275" behindDoc="1" locked="0" layoutInCell="1" allowOverlap="1" wp14:anchorId="084AE86B" wp14:editId="3F51E95D">
            <wp:simplePos x="0" y="0"/>
            <wp:positionH relativeFrom="column">
              <wp:posOffset>4853305</wp:posOffset>
            </wp:positionH>
            <wp:positionV relativeFrom="paragraph">
              <wp:posOffset>230505</wp:posOffset>
            </wp:positionV>
            <wp:extent cx="410400" cy="417600"/>
            <wp:effectExtent l="0" t="0" r="8890" b="1905"/>
            <wp:wrapNone/>
            <wp:docPr id="234301581" name="Image 234301581" descr="Une image contenant texte, cercle, signe, Panneau de signalis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301581" name="Image 234301581" descr="Une image contenant texte, cercle, signe, Panneau de signalisation&#10;&#10;Description générée automatiquement"/>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10400" cy="417600"/>
                    </a:xfrm>
                    <a:prstGeom prst="rect">
                      <a:avLst/>
                    </a:prstGeom>
                  </pic:spPr>
                </pic:pic>
              </a:graphicData>
            </a:graphic>
            <wp14:sizeRelH relativeFrom="margin">
              <wp14:pctWidth>0</wp14:pctWidth>
            </wp14:sizeRelH>
            <wp14:sizeRelV relativeFrom="margin">
              <wp14:pctHeight>0</wp14:pctHeight>
            </wp14:sizeRelV>
          </wp:anchor>
        </w:drawing>
      </w:r>
    </w:p>
    <w:p w14:paraId="33748170" w14:textId="77777777" w:rsidR="00E67F89" w:rsidRPr="00E67F89" w:rsidRDefault="00E67F89" w:rsidP="00E67F89">
      <w:r w:rsidRPr="00E67F89">
        <w:rPr>
          <w:noProof/>
        </w:rPr>
        <w:drawing>
          <wp:anchor distT="0" distB="0" distL="114300" distR="114300" simplePos="0" relativeHeight="251658287" behindDoc="1" locked="0" layoutInCell="1" allowOverlap="1" wp14:anchorId="1DFB397E" wp14:editId="49D95CAE">
            <wp:simplePos x="0" y="0"/>
            <wp:positionH relativeFrom="column">
              <wp:posOffset>3824605</wp:posOffset>
            </wp:positionH>
            <wp:positionV relativeFrom="paragraph">
              <wp:posOffset>153095</wp:posOffset>
            </wp:positionV>
            <wp:extent cx="293697" cy="417600"/>
            <wp:effectExtent l="0" t="0" r="0" b="1905"/>
            <wp:wrapNone/>
            <wp:docPr id="1040221333" name="Image 104022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42002" name="Image 156042002"/>
                    <pic:cNvPicPr/>
                  </pic:nvPicPr>
                  <pic:blipFill>
                    <a:blip r:embed="rId57">
                      <a:extLst>
                        <a:ext uri="{28A0092B-C50C-407E-A947-70E740481C1C}">
                          <a14:useLocalDpi xmlns:a14="http://schemas.microsoft.com/office/drawing/2010/main" val="0"/>
                        </a:ext>
                      </a:extLst>
                    </a:blip>
                    <a:stretch>
                      <a:fillRect/>
                    </a:stretch>
                  </pic:blipFill>
                  <pic:spPr>
                    <a:xfrm>
                      <a:off x="0" y="0"/>
                      <a:ext cx="293697" cy="417600"/>
                    </a:xfrm>
                    <a:prstGeom prst="rect">
                      <a:avLst/>
                    </a:prstGeom>
                  </pic:spPr>
                </pic:pic>
              </a:graphicData>
            </a:graphic>
            <wp14:sizeRelH relativeFrom="page">
              <wp14:pctWidth>0</wp14:pctWidth>
            </wp14:sizeRelH>
            <wp14:sizeRelV relativeFrom="page">
              <wp14:pctHeight>0</wp14:pctHeight>
            </wp14:sizeRelV>
          </wp:anchor>
        </w:drawing>
      </w:r>
      <w:r w:rsidRPr="00E67F89">
        <w:rPr>
          <w:noProof/>
        </w:rPr>
        <w:drawing>
          <wp:anchor distT="0" distB="0" distL="114300" distR="114300" simplePos="0" relativeHeight="251658288" behindDoc="1" locked="0" layoutInCell="1" allowOverlap="1" wp14:anchorId="32C56B1C" wp14:editId="5AAADA3A">
            <wp:simplePos x="0" y="0"/>
            <wp:positionH relativeFrom="column">
              <wp:posOffset>1871980</wp:posOffset>
            </wp:positionH>
            <wp:positionV relativeFrom="paragraph">
              <wp:posOffset>133985</wp:posOffset>
            </wp:positionV>
            <wp:extent cx="293697" cy="417600"/>
            <wp:effectExtent l="0" t="0" r="0" b="1905"/>
            <wp:wrapNone/>
            <wp:docPr id="581709657" name="Image 581709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82115" name="Image 83282115"/>
                    <pic:cNvPicPr/>
                  </pic:nvPicPr>
                  <pic:blipFill>
                    <a:blip r:embed="rId57">
                      <a:extLst>
                        <a:ext uri="{28A0092B-C50C-407E-A947-70E740481C1C}">
                          <a14:useLocalDpi xmlns:a14="http://schemas.microsoft.com/office/drawing/2010/main" val="0"/>
                        </a:ext>
                      </a:extLst>
                    </a:blip>
                    <a:stretch>
                      <a:fillRect/>
                    </a:stretch>
                  </pic:blipFill>
                  <pic:spPr>
                    <a:xfrm>
                      <a:off x="0" y="0"/>
                      <a:ext cx="293697" cy="417600"/>
                    </a:xfrm>
                    <a:prstGeom prst="rect">
                      <a:avLst/>
                    </a:prstGeom>
                  </pic:spPr>
                </pic:pic>
              </a:graphicData>
            </a:graphic>
            <wp14:sizeRelH relativeFrom="page">
              <wp14:pctWidth>0</wp14:pctWidth>
            </wp14:sizeRelH>
            <wp14:sizeRelV relativeFrom="page">
              <wp14:pctHeight>0</wp14:pctHeight>
            </wp14:sizeRelV>
          </wp:anchor>
        </w:drawing>
      </w:r>
      <w:r w:rsidRPr="00E67F89">
        <w:rPr>
          <w:noProof/>
        </w:rPr>
        <w:drawing>
          <wp:anchor distT="0" distB="0" distL="114300" distR="114300" simplePos="0" relativeHeight="251658285" behindDoc="1" locked="0" layoutInCell="1" allowOverlap="1" wp14:anchorId="6782C0BB" wp14:editId="1E28A1B9">
            <wp:simplePos x="0" y="0"/>
            <wp:positionH relativeFrom="column">
              <wp:posOffset>1871980</wp:posOffset>
            </wp:positionH>
            <wp:positionV relativeFrom="paragraph">
              <wp:posOffset>134045</wp:posOffset>
            </wp:positionV>
            <wp:extent cx="293697" cy="417600"/>
            <wp:effectExtent l="0" t="0" r="0" b="1905"/>
            <wp:wrapNone/>
            <wp:docPr id="1050599788" name="Image 1050599788" descr="Une image contenant cône, orange, chap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599788" name="Image 1050599788" descr="Une image contenant cône, orange, chapeau&#10;&#10;Description générée automatiquement"/>
                    <pic:cNvPicPr/>
                  </pic:nvPicPr>
                  <pic:blipFill>
                    <a:blip r:embed="rId57">
                      <a:extLst>
                        <a:ext uri="{28A0092B-C50C-407E-A947-70E740481C1C}">
                          <a14:useLocalDpi xmlns:a14="http://schemas.microsoft.com/office/drawing/2010/main" val="0"/>
                        </a:ext>
                      </a:extLst>
                    </a:blip>
                    <a:stretch>
                      <a:fillRect/>
                    </a:stretch>
                  </pic:blipFill>
                  <pic:spPr>
                    <a:xfrm>
                      <a:off x="0" y="0"/>
                      <a:ext cx="293697" cy="417600"/>
                    </a:xfrm>
                    <a:prstGeom prst="rect">
                      <a:avLst/>
                    </a:prstGeom>
                  </pic:spPr>
                </pic:pic>
              </a:graphicData>
            </a:graphic>
            <wp14:sizeRelH relativeFrom="page">
              <wp14:pctWidth>0</wp14:pctWidth>
            </wp14:sizeRelH>
            <wp14:sizeRelV relativeFrom="page">
              <wp14:pctHeight>0</wp14:pctHeight>
            </wp14:sizeRelV>
          </wp:anchor>
        </w:drawing>
      </w:r>
    </w:p>
    <w:p w14:paraId="17968274" w14:textId="77777777" w:rsidR="00E67F89" w:rsidRPr="00E67F89" w:rsidRDefault="00E67F89" w:rsidP="00E67F89">
      <w:r w:rsidRPr="00E67F89">
        <w:rPr>
          <w:noProof/>
        </w:rPr>
        <w:drawing>
          <wp:anchor distT="0" distB="0" distL="114300" distR="114300" simplePos="0" relativeHeight="251658266" behindDoc="1" locked="0" layoutInCell="1" allowOverlap="1" wp14:anchorId="17D0FD3E" wp14:editId="478FEE7E">
            <wp:simplePos x="0" y="0"/>
            <wp:positionH relativeFrom="column">
              <wp:posOffset>4814570</wp:posOffset>
            </wp:positionH>
            <wp:positionV relativeFrom="paragraph">
              <wp:posOffset>97155</wp:posOffset>
            </wp:positionV>
            <wp:extent cx="481965" cy="417195"/>
            <wp:effectExtent l="0" t="0" r="0" b="1905"/>
            <wp:wrapNone/>
            <wp:docPr id="70020715" name="Image 70020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789466" name="Image 5"/>
                    <pic:cNvPicPr/>
                  </pic:nvPicPr>
                  <pic:blipFill>
                    <a:blip r:embed="rId58" cstate="print">
                      <a:extLst>
                        <a:ext uri="{28A0092B-C50C-407E-A947-70E740481C1C}">
                          <a14:useLocalDpi xmlns:a14="http://schemas.microsoft.com/office/drawing/2010/main" val="0"/>
                        </a:ext>
                      </a:extLst>
                    </a:blip>
                    <a:stretch>
                      <a:fillRect/>
                    </a:stretch>
                  </pic:blipFill>
                  <pic:spPr>
                    <a:xfrm flipH="1">
                      <a:off x="0" y="0"/>
                      <a:ext cx="481965" cy="417195"/>
                    </a:xfrm>
                    <a:prstGeom prst="rect">
                      <a:avLst/>
                    </a:prstGeom>
                  </pic:spPr>
                </pic:pic>
              </a:graphicData>
            </a:graphic>
            <wp14:sizeRelH relativeFrom="margin">
              <wp14:pctWidth>0</wp14:pctWidth>
            </wp14:sizeRelH>
            <wp14:sizeRelV relativeFrom="margin">
              <wp14:pctHeight>0</wp14:pctHeight>
            </wp14:sizeRelV>
          </wp:anchor>
        </w:drawing>
      </w:r>
      <w:r w:rsidRPr="00E67F89">
        <w:rPr>
          <w:noProof/>
        </w:rPr>
        <w:drawing>
          <wp:anchor distT="0" distB="0" distL="114300" distR="114300" simplePos="0" relativeHeight="251658282" behindDoc="1" locked="0" layoutInCell="1" allowOverlap="1" wp14:anchorId="77BD2FBC" wp14:editId="2FDD48F1">
            <wp:simplePos x="0" y="0"/>
            <wp:positionH relativeFrom="column">
              <wp:posOffset>471170</wp:posOffset>
            </wp:positionH>
            <wp:positionV relativeFrom="paragraph">
              <wp:posOffset>137160</wp:posOffset>
            </wp:positionV>
            <wp:extent cx="481965" cy="417195"/>
            <wp:effectExtent l="0" t="0" r="0" b="1905"/>
            <wp:wrapNone/>
            <wp:docPr id="766054609" name="Image 766054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789466" name="Image 5"/>
                    <pic:cNvPicPr/>
                  </pic:nvPicPr>
                  <pic:blipFill>
                    <a:blip r:embed="rId58" cstate="print">
                      <a:extLst>
                        <a:ext uri="{28A0092B-C50C-407E-A947-70E740481C1C}">
                          <a14:useLocalDpi xmlns:a14="http://schemas.microsoft.com/office/drawing/2010/main" val="0"/>
                        </a:ext>
                      </a:extLst>
                    </a:blip>
                    <a:stretch>
                      <a:fillRect/>
                    </a:stretch>
                  </pic:blipFill>
                  <pic:spPr>
                    <a:xfrm flipH="1">
                      <a:off x="0" y="0"/>
                      <a:ext cx="481965" cy="417195"/>
                    </a:xfrm>
                    <a:prstGeom prst="rect">
                      <a:avLst/>
                    </a:prstGeom>
                  </pic:spPr>
                </pic:pic>
              </a:graphicData>
            </a:graphic>
            <wp14:sizeRelH relativeFrom="margin">
              <wp14:pctWidth>0</wp14:pctWidth>
            </wp14:sizeRelH>
            <wp14:sizeRelV relativeFrom="margin">
              <wp14:pctHeight>0</wp14:pctHeight>
            </wp14:sizeRelV>
          </wp:anchor>
        </w:drawing>
      </w:r>
    </w:p>
    <w:p w14:paraId="04174AAD" w14:textId="77777777" w:rsidR="00E67F89" w:rsidRPr="00E67F89" w:rsidRDefault="00E67F89" w:rsidP="00E67F89"/>
    <w:p w14:paraId="0C987A9C" w14:textId="77777777" w:rsidR="00E67F89" w:rsidRPr="00E67F89" w:rsidRDefault="00E67F89" w:rsidP="00E67F89">
      <w:r w:rsidRPr="00E67F89">
        <w:rPr>
          <w:noProof/>
        </w:rPr>
        <w:drawing>
          <wp:anchor distT="0" distB="0" distL="114300" distR="114300" simplePos="0" relativeHeight="251658284" behindDoc="1" locked="0" layoutInCell="1" allowOverlap="1" wp14:anchorId="574412F3" wp14:editId="6997E677">
            <wp:simplePos x="0" y="0"/>
            <wp:positionH relativeFrom="column">
              <wp:posOffset>-156845</wp:posOffset>
            </wp:positionH>
            <wp:positionV relativeFrom="paragraph">
              <wp:posOffset>86995</wp:posOffset>
            </wp:positionV>
            <wp:extent cx="482400" cy="417600"/>
            <wp:effectExtent l="0" t="0" r="0" b="1905"/>
            <wp:wrapNone/>
            <wp:docPr id="683859438" name="Image 683859438" descr="Une image contenant texte, Panneau de signalisation, signalisation, s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859438" name="Image 683859438" descr="Une image contenant texte, Panneau de signalisation, signalisation, signe&#10;&#10;Description générée automatiquement"/>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82400" cy="417600"/>
                    </a:xfrm>
                    <a:prstGeom prst="rect">
                      <a:avLst/>
                    </a:prstGeom>
                  </pic:spPr>
                </pic:pic>
              </a:graphicData>
            </a:graphic>
            <wp14:sizeRelH relativeFrom="page">
              <wp14:pctWidth>0</wp14:pctWidth>
            </wp14:sizeRelH>
            <wp14:sizeRelV relativeFrom="page">
              <wp14:pctHeight>0</wp14:pctHeight>
            </wp14:sizeRelV>
          </wp:anchor>
        </w:drawing>
      </w:r>
      <w:r w:rsidRPr="00E67F89">
        <w:rPr>
          <w:noProof/>
        </w:rPr>
        <w:drawing>
          <wp:anchor distT="0" distB="0" distL="114300" distR="114300" simplePos="0" relativeHeight="251658281" behindDoc="1" locked="0" layoutInCell="1" allowOverlap="1" wp14:anchorId="03715C8B" wp14:editId="0A176A33">
            <wp:simplePos x="0" y="0"/>
            <wp:positionH relativeFrom="column">
              <wp:posOffset>519430</wp:posOffset>
            </wp:positionH>
            <wp:positionV relativeFrom="paragraph">
              <wp:posOffset>64770</wp:posOffset>
            </wp:positionV>
            <wp:extent cx="410400" cy="417600"/>
            <wp:effectExtent l="0" t="0" r="8890" b="1905"/>
            <wp:wrapNone/>
            <wp:docPr id="875847231" name="Image 875847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910659" name="Image 1146910659"/>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10400" cy="417600"/>
                    </a:xfrm>
                    <a:prstGeom prst="rect">
                      <a:avLst/>
                    </a:prstGeom>
                  </pic:spPr>
                </pic:pic>
              </a:graphicData>
            </a:graphic>
            <wp14:sizeRelH relativeFrom="margin">
              <wp14:pctWidth>0</wp14:pctWidth>
            </wp14:sizeRelH>
            <wp14:sizeRelV relativeFrom="margin">
              <wp14:pctHeight>0</wp14:pctHeight>
            </wp14:sizeRelV>
          </wp:anchor>
        </w:drawing>
      </w:r>
    </w:p>
    <w:p w14:paraId="50A46925" w14:textId="77777777" w:rsidR="00E67F89" w:rsidRPr="00E67F89" w:rsidRDefault="00E67F89" w:rsidP="00E67F89">
      <w:r w:rsidRPr="00E67F89">
        <w:rPr>
          <w:noProof/>
        </w:rPr>
        <w:drawing>
          <wp:anchor distT="0" distB="0" distL="114300" distR="114300" simplePos="0" relativeHeight="251658271" behindDoc="1" locked="0" layoutInCell="1" allowOverlap="1" wp14:anchorId="79C78415" wp14:editId="7623121C">
            <wp:simplePos x="0" y="0"/>
            <wp:positionH relativeFrom="column">
              <wp:posOffset>519430</wp:posOffset>
            </wp:positionH>
            <wp:positionV relativeFrom="paragraph">
              <wp:posOffset>248285</wp:posOffset>
            </wp:positionV>
            <wp:extent cx="424180" cy="417195"/>
            <wp:effectExtent l="0" t="0" r="0" b="1905"/>
            <wp:wrapNone/>
            <wp:docPr id="1406524949" name="Image 1406524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106170" name="Image 515106170"/>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24180" cy="417195"/>
                    </a:xfrm>
                    <a:prstGeom prst="rect">
                      <a:avLst/>
                    </a:prstGeom>
                  </pic:spPr>
                </pic:pic>
              </a:graphicData>
            </a:graphic>
          </wp:anchor>
        </w:drawing>
      </w:r>
    </w:p>
    <w:p w14:paraId="4E628C4E" w14:textId="77777777" w:rsidR="00E67F89" w:rsidRPr="00E67F89" w:rsidRDefault="00E67F89" w:rsidP="00E67F89"/>
    <w:p w14:paraId="35AD5A56" w14:textId="77777777" w:rsidR="00E67F89" w:rsidRPr="00E67F89" w:rsidRDefault="00E67F89" w:rsidP="00E67F89"/>
    <w:p w14:paraId="566F7274" w14:textId="77777777" w:rsidR="00E67F89" w:rsidRPr="00E67F89" w:rsidRDefault="00E67F89" w:rsidP="00E67F89"/>
    <w:p w14:paraId="0C86A47C" w14:textId="77777777" w:rsidR="00E67F89" w:rsidRPr="00E67F89" w:rsidRDefault="00E67F89" w:rsidP="00E67F89"/>
    <w:p w14:paraId="2460E272" w14:textId="77777777" w:rsidR="00E67F89" w:rsidRPr="00E67F89" w:rsidRDefault="00E67F89" w:rsidP="00E67F89"/>
    <w:p w14:paraId="33DBE823" w14:textId="77777777" w:rsidR="00E67F89" w:rsidRPr="00E67F89" w:rsidRDefault="00E67F89" w:rsidP="00E67F89">
      <w:r w:rsidRPr="00E67F89">
        <w:t>Note : Des ralentisseurs peuvent être aménagés à l’entrée d’une zone habitée ou sur une zone donnée, en fonction des enjeux particuliers qui y sont rencontrés.</w:t>
      </w:r>
    </w:p>
    <w:p w14:paraId="16654D73" w14:textId="77777777" w:rsidR="00E67F89" w:rsidRPr="00E67F89" w:rsidRDefault="00E67F89" w:rsidP="00E67F89">
      <w:r w:rsidRPr="00E67F89">
        <w:t>Modèle lié à une section en circulation alternée</w:t>
      </w:r>
    </w:p>
    <w:bookmarkEnd w:id="982"/>
    <w:p w14:paraId="4758FA3C" w14:textId="77777777" w:rsidR="00E67F89" w:rsidRPr="00E67F89" w:rsidRDefault="00E67F89" w:rsidP="00E67F89">
      <w:r w:rsidRPr="00E67F89">
        <w:t>Cela suppose une situation où le danger temporaire est localisé sur une voie de circulation. Choix : la régulation du trafic est faite avec des piquets mobiles.</w:t>
      </w:r>
    </w:p>
    <w:p w14:paraId="3B84B83F" w14:textId="77777777" w:rsidR="00E67F89" w:rsidRPr="00E67F89" w:rsidRDefault="00E67F89" w:rsidP="00E67F89">
      <w:r w:rsidRPr="00E67F89">
        <w:rPr>
          <w:noProof/>
        </w:rPr>
        <w:drawing>
          <wp:anchor distT="0" distB="0" distL="114300" distR="114300" simplePos="0" relativeHeight="251658267" behindDoc="1" locked="0" layoutInCell="1" allowOverlap="1" wp14:anchorId="3A7ABF5F" wp14:editId="120C7B74">
            <wp:simplePos x="0" y="0"/>
            <wp:positionH relativeFrom="column">
              <wp:posOffset>4851400</wp:posOffset>
            </wp:positionH>
            <wp:positionV relativeFrom="paragraph">
              <wp:posOffset>104511</wp:posOffset>
            </wp:positionV>
            <wp:extent cx="302895" cy="290830"/>
            <wp:effectExtent l="0" t="0" r="1905" b="0"/>
            <wp:wrapNone/>
            <wp:docPr id="426901398" name="Image 42690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901398" name="Image 426901398"/>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02895" cy="290830"/>
                    </a:xfrm>
                    <a:prstGeom prst="rect">
                      <a:avLst/>
                    </a:prstGeom>
                  </pic:spPr>
                </pic:pic>
              </a:graphicData>
            </a:graphic>
            <wp14:sizeRelH relativeFrom="margin">
              <wp14:pctWidth>0</wp14:pctWidth>
            </wp14:sizeRelH>
            <wp14:sizeRelV relativeFrom="margin">
              <wp14:pctHeight>0</wp14:pctHeight>
            </wp14:sizeRelV>
          </wp:anchor>
        </w:drawing>
      </w:r>
      <w:r w:rsidRPr="00E67F89">
        <w:rPr>
          <w:noProof/>
        </w:rPr>
        <mc:AlternateContent>
          <mc:Choice Requires="wpg">
            <w:drawing>
              <wp:anchor distT="0" distB="0" distL="114300" distR="114300" simplePos="0" relativeHeight="251658276" behindDoc="0" locked="0" layoutInCell="1" allowOverlap="1" wp14:anchorId="03E8BFC0" wp14:editId="1310DB7B">
                <wp:simplePos x="0" y="0"/>
                <wp:positionH relativeFrom="column">
                  <wp:posOffset>62230</wp:posOffset>
                </wp:positionH>
                <wp:positionV relativeFrom="paragraph">
                  <wp:posOffset>259080</wp:posOffset>
                </wp:positionV>
                <wp:extent cx="5657850" cy="2009775"/>
                <wp:effectExtent l="0" t="0" r="19050" b="28575"/>
                <wp:wrapNone/>
                <wp:docPr id="739270772" name="Groupe 15"/>
                <wp:cNvGraphicFramePr/>
                <a:graphic xmlns:a="http://schemas.openxmlformats.org/drawingml/2006/main">
                  <a:graphicData uri="http://schemas.microsoft.com/office/word/2010/wordprocessingGroup">
                    <wpg:wgp>
                      <wpg:cNvGrpSpPr/>
                      <wpg:grpSpPr>
                        <a:xfrm>
                          <a:off x="0" y="0"/>
                          <a:ext cx="5657850" cy="2009775"/>
                          <a:chOff x="0" y="257175"/>
                          <a:chExt cx="5657850" cy="2009775"/>
                        </a:xfrm>
                      </wpg:grpSpPr>
                      <wps:wsp>
                        <wps:cNvPr id="1173763" name="Zone de texte 3"/>
                        <wps:cNvSpPr txBox="1"/>
                        <wps:spPr>
                          <a:xfrm>
                            <a:off x="990600" y="514349"/>
                            <a:ext cx="3533776" cy="676275"/>
                          </a:xfrm>
                          <a:prstGeom prst="rect">
                            <a:avLst/>
                          </a:prstGeom>
                          <a:solidFill>
                            <a:schemeClr val="bg2"/>
                          </a:solidFill>
                          <a:ln w="25400">
                            <a:solidFill>
                              <a:srgbClr val="FF0000"/>
                            </a:solidFill>
                            <a:prstDash val="dash"/>
                          </a:ln>
                        </wps:spPr>
                        <wps:txbx>
                          <w:txbxContent>
                            <w:p w14:paraId="3F6C633D" w14:textId="77777777" w:rsidR="00E67F89" w:rsidRPr="00E67F89" w:rsidRDefault="00E67F89" w:rsidP="00E67F89"/>
                            <w:p w14:paraId="3C27F586" w14:textId="77777777" w:rsidR="00E67F89" w:rsidRPr="00E67F89" w:rsidRDefault="00E67F89" w:rsidP="00E67F89">
                              <w:r w:rsidRPr="00E67F89">
                                <w:t>Zone de travail : ex. mise en place de la couche de roulement (pouvant aller jusqu’à 1km, voire plus)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5216992" name="Connecteur droit 1"/>
                        <wps:cNvCnPr/>
                        <wps:spPr>
                          <a:xfrm flipV="1">
                            <a:off x="0" y="514350"/>
                            <a:ext cx="56578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72311525" name="Connecteur droit 1"/>
                        <wps:cNvCnPr/>
                        <wps:spPr>
                          <a:xfrm flipV="1">
                            <a:off x="0" y="2000250"/>
                            <a:ext cx="56578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4129403" name="Connecteur droit 1"/>
                        <wps:cNvCnPr/>
                        <wps:spPr>
                          <a:xfrm flipV="1">
                            <a:off x="0" y="2266950"/>
                            <a:ext cx="56578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17167406" name="Connecteur droit 1"/>
                        <wps:cNvCnPr/>
                        <wps:spPr>
                          <a:xfrm flipV="1">
                            <a:off x="0" y="257175"/>
                            <a:ext cx="56578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60324446" name="Connecteur droit 12"/>
                        <wps:cNvCnPr/>
                        <wps:spPr>
                          <a:xfrm>
                            <a:off x="695613" y="1266825"/>
                            <a:ext cx="3996000" cy="0"/>
                          </a:xfrm>
                          <a:prstGeom prst="line">
                            <a:avLst/>
                          </a:prstGeom>
                          <a:ln w="22225">
                            <a:solidFill>
                              <a:srgbClr val="FFC000"/>
                            </a:solidFill>
                            <a:prstDash val="lgDash"/>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03E8BFC0" id="_x0000_s1079" style="position:absolute;left:0;text-align:left;margin-left:4.9pt;margin-top:20.4pt;width:445.5pt;height:158.25pt;z-index:251658276;mso-position-horizontal-relative:text;mso-position-vertical-relative:text;mso-height-relative:margin" coordorigin=",2571" coordsize="56578,20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4WYJgQAALcSAAAOAAAAZHJzL2Uyb0RvYy54bWzsWNtu4zYQfS/QfyD03lh3RUacReo0QYFg&#10;N2i2XaBvtETJAiRSJenY2a/vIXWLEu+23Uuf7AeZl+EMeXRmOKOLN4emJo9MqkrwleOduQ5hPBN5&#10;xcuV8/v7m5/OHaI05TmtBWcr54kp583ljz9c7Nsl88VW1DmTBEq4Wu7blbPVul0uFirbsoaqM9Ey&#10;jslCyIZqdGW5yCXdQ3tTL3zXjRd7IfNWiowphdHrbtK5tPqLgmX6XVEopkm9crA3bZ/SPjfmubi8&#10;oMtS0nZbZf026BfsoqEVh9FR1TXVlOxk9UpVU2VSKFHos0w0C1EUVcbsGXAaz31xmlspdq09S7nc&#10;l+0IE6B9gdMXq83ePt7K9qG9l0Bi35bAwvbMWQ6FbMw/dkkOFrKnETJ20CTDYBRHyXkEZDPM4YWk&#10;SRJ1oGZbID+t86PEm6Z++Yfli8H6YranfQuWqAkI9XVAPGxpyyy+agkg7iWpcpDYS4IkDhzCaQPG&#10;/gnekpwRjSMzEpjDmW1A3qBG9OFnARy8YVxh8Ah4aerGLmACSpEXBmHagTTAGERBkCRxB2OcxH4H&#10;1QgDXbZS6VsmGmIaK0eC2ZZw9PFOaewJooOIMa9EXeU3VV3bjvEmtq4leaTwg03pG+tYMZOqOdnj&#10;HUYh9vlahSw3o4KbGxe/YzrMFq6p2naGcrR6qZrDoMGtw8e09GFzsIAnRsaMbET+BEil6NxUtdlN&#10;BYV3VOl7KuGXABCxRr/Do6gFdiv6lkO2Qn48Nm7kwRLMOmQPP1856q8dlcwh9a8c/Em9MDSBwXbC&#10;KPHRkc9nNs9n+K5ZC0DoIaq1mW0aeV0PzUKK5gNC0pWxiinKM9heOXpornUXfRDSMnZ1ZYUQClqq&#10;7/hDmxnVBnwD5PvDByrb/oUb+r0VA2Pp8sV772TNSi6udloUlSXFhGoPP7ynw/q7u1EQRb4Xp6k/&#10;ONJacA7Wsp0kuRSVJqPPwJfWvI9AA0O6AECKumr/GECZBSLjRgg8oA5dDm40i0YDQYcwNrhHD2hd&#10;ceP7r5A0TmaGDWNfeIi9lSY/0gd7grkfoXeE60o/1azT+hsrwHobMqyBuW/SLGNcD3prDmkjVcCT&#10;x4W9e35uYS9vljJ7C/6XxeMKa1lwPS5uKi5kFxzm1icoik5+8Pbu3BMNTdwxvf+Ph16S+IHnRX70&#10;nYiIW8/1T0wcb4c5hU9MHBOLMPT8NHTHzOIbB0Tfj+P0xMMTD6dyaEgXTMSdElxUGokXJ6GLfLPL&#10;cb81E5/l+qer2TkFxPI4EcPYDfwwDD/DQ1up9PT9RI5ospQ+M0T8iz3EV1RZHqLhOe78WX4YpCmq&#10;MKTlplr96vzQlku+DyNmC7NaSs3LpfW/Kpfq0pROny6YTklkXyHOkkj7hQBfR5BYzj6/PO/bpHP6&#10;3nT5NwAAAP//AwBQSwMEFAAGAAgAAAAhAMJUD0zfAAAACAEAAA8AAABkcnMvZG93bnJldi54bWxM&#10;j0FPwzAMhe9I/IfISNxYUsqAlabTNAGnCYkNCXHzGq+t1iRVk7Xdv8c7wcnPetZ7n/PlZFsxUB8a&#10;7zQkMwWCXOlN4yoNX7u3u2cQIaIz2HpHGs4UYFlcX+WYGT+6Txq2sRIc4kKGGuoYu0zKUNZkMcx8&#10;R469g+8tRl77SpoeRw63rbxX6lFabBw31NjRuqbyuD1ZDe8jjqs0eR02x8P6/LObf3xvEtL69mZa&#10;vYCINMW/Y7jgMzoUzLT3J2eCaDUsGDxqeFA82V6oi9hrSOdPKcgil/8fKH4BAAD//wMAUEsBAi0A&#10;FAAGAAgAAAAhALaDOJL+AAAA4QEAABMAAAAAAAAAAAAAAAAAAAAAAFtDb250ZW50X1R5cGVzXS54&#10;bWxQSwECLQAUAAYACAAAACEAOP0h/9YAAACUAQAACwAAAAAAAAAAAAAAAAAvAQAAX3JlbHMvLnJl&#10;bHNQSwECLQAUAAYACAAAACEAI5eFmCYEAAC3EgAADgAAAAAAAAAAAAAAAAAuAgAAZHJzL2Uyb0Rv&#10;Yy54bWxQSwECLQAUAAYACAAAACEAwlQPTN8AAAAIAQAADwAAAAAAAAAAAAAAAACABgAAZHJzL2Rv&#10;d25yZXYueG1sUEsFBgAAAAAEAAQA8wAAAIwHAAAAAA==&#10;">
                <v:shape id="Zone de texte 3" o:spid="_x0000_s1080" type="#_x0000_t202" style="position:absolute;left:9906;top:5143;width:35337;height:6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LKBwgAAAOAAAAAPAAAAZHJzL2Rvd25yZXYueG1sRE9Ni8Iw&#10;EL0v+B/CCN7WVCsq1SgidFnwZBW8js3YFptJabJt/febhQWPj/e93Q+mFh21rrKsYDaNQBDnVldc&#10;KLhe0s81COeRNdaWScGLHOx3o48tJtr2fKYu84UIIewSVFB63yRSurwkg25qG+LAPWxr0AfYFlK3&#10;2IdwU8t5FC2lwYpDQ4kNHUvKn9mPUbDI0uvhkd/iI3ZRev8izk59rNRkPBw2IDwN/i3+d3/rMH+2&#10;ilfLGP4OBQRy9wsAAP//AwBQSwECLQAUAAYACAAAACEA2+H2y+4AAACFAQAAEwAAAAAAAAAAAAAA&#10;AAAAAAAAW0NvbnRlbnRfVHlwZXNdLnhtbFBLAQItABQABgAIAAAAIQBa9CxbvwAAABUBAAALAAAA&#10;AAAAAAAAAAAAAB8BAABfcmVscy8ucmVsc1BLAQItABQABgAIAAAAIQCPdLKBwgAAAOAAAAAPAAAA&#10;AAAAAAAAAAAAAAcCAABkcnMvZG93bnJldi54bWxQSwUGAAAAAAMAAwC3AAAA9gIAAAAA&#10;" fillcolor="#e7e6e6 [3214]" strokecolor="red" strokeweight="2pt">
                  <v:stroke dashstyle="dash"/>
                  <v:textbox>
                    <w:txbxContent>
                      <w:p w14:paraId="3F6C633D" w14:textId="77777777" w:rsidR="00E67F89" w:rsidRPr="00E67F89" w:rsidRDefault="00E67F89" w:rsidP="00E67F89"/>
                      <w:p w14:paraId="3C27F586" w14:textId="77777777" w:rsidR="00E67F89" w:rsidRPr="00E67F89" w:rsidRDefault="00E67F89" w:rsidP="00E67F89">
                        <w:r w:rsidRPr="00E67F89">
                          <w:t>Zone de travail : ex. mise en place de la couche de roulement (pouvant aller jusqu’à 1km, voire plus)</w:t>
                        </w:r>
                      </w:p>
                    </w:txbxContent>
                  </v:textbox>
                </v:shape>
                <v:line id="Connecteur droit 1" o:spid="_x0000_s1081" style="position:absolute;flip:y;visibility:visible;mso-wrap-style:square" from="0,5143" to="56578,5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GhBygAAAOIAAAAPAAAAZHJzL2Rvd25yZXYueG1sRI9BawIx&#10;FITvgv8hvII3zbpFqVujyIK1By+1RXp8bJ67a5OXJYm67a9vhEKPw8x8wyzXvTXiSj60jhVMJxkI&#10;4srplmsFH+/b8ROIEJE1Gsek4JsCrFfDwRIL7W78RtdDrEWCcChQQRNjV0gZqoYshonriJN3ct5i&#10;TNLXUnu8Jbg1Ms+yubTYclposKOyoerrcLEKSnP87HcvnuPx/HO67Glbno1RavTQb55BROrjf/iv&#10;/aoVPM5m+XS+WORwv5TugFz9AgAA//8DAFBLAQItABQABgAIAAAAIQDb4fbL7gAAAIUBAAATAAAA&#10;AAAAAAAAAAAAAAAAAABbQ29udGVudF9UeXBlc10ueG1sUEsBAi0AFAAGAAgAAAAhAFr0LFu/AAAA&#10;FQEAAAsAAAAAAAAAAAAAAAAAHwEAAF9yZWxzLy5yZWxzUEsBAi0AFAAGAAgAAAAhAIpkaEHKAAAA&#10;4gAAAA8AAAAAAAAAAAAAAAAABwIAAGRycy9kb3ducmV2LnhtbFBLBQYAAAAAAwADALcAAAD+AgAA&#10;AAA=&#10;" strokecolor="black [3213]" strokeweight=".5pt">
                  <v:stroke joinstyle="miter"/>
                </v:line>
                <v:line id="Connecteur droit 1" o:spid="_x0000_s1082" style="position:absolute;flip:y;visibility:visible;mso-wrap-style:square" from="0,20002" to="56578,20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bOByAAAAOMAAAAPAAAAZHJzL2Rvd25yZXYueG1sRE9Pa8Iw&#10;FL8P9h3CG+w203Y4RzWKFHQ77DIV2fHRPNtq8lKSqN0+/TIYeHy//2+2GKwRF/Khc6wgH2UgiGun&#10;O24U7Larp1cQISJrNI5JwTcFWMzv72ZYanflT7psYiNSCIcSFbQx9qWUoW7JYhi5njhxB+ctxnT6&#10;RmqP1xRujSyy7EVa7Dg1tNhT1VJ92pytgsrsv4a3tee4P/4czh+0qo7GKPX4MCynICIN8Sb+d7/r&#10;NH8yKZ7zfFyM4e+nBICc/wIAAP//AwBQSwECLQAUAAYACAAAACEA2+H2y+4AAACFAQAAEwAAAAAA&#10;AAAAAAAAAAAAAAAAW0NvbnRlbnRfVHlwZXNdLnhtbFBLAQItABQABgAIAAAAIQBa9CxbvwAAABUB&#10;AAALAAAAAAAAAAAAAAAAAB8BAABfcmVscy8ucmVsc1BLAQItABQABgAIAAAAIQDhqbOByAAAAOMA&#10;AAAPAAAAAAAAAAAAAAAAAAcCAABkcnMvZG93bnJldi54bWxQSwUGAAAAAAMAAwC3AAAA/AIAAAAA&#10;" strokecolor="black [3213]" strokeweight=".5pt">
                  <v:stroke joinstyle="miter"/>
                </v:line>
                <v:line id="Connecteur droit 1" o:spid="_x0000_s1083" style="position:absolute;flip:y;visibility:visible;mso-wrap-style:square" from="0,22669" to="56578,22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0T+SyQAAAOEAAAAPAAAAZHJzL2Rvd25yZXYueG1sRI9BawIx&#10;FITvQv9DeIXeNKtdpK5GKQu2PfRSLeLxsXnuriYvSxJ121/fFASPw8x8wyxWvTXiQj60jhWMRxkI&#10;4srplmsF39v18AVEiMgajWNS8EMBVsuHwQIL7a78RZdNrEWCcChQQRNjV0gZqoYshpHriJN3cN5i&#10;TNLXUnu8Jrg1cpJlU2mx5bTQYEdlQ9Vpc7YKSrPb9+9vnuPu+Hs4f9K6PBqj1NNj/zoHEamP9/Ct&#10;/aEV5Pl4MsuzZ/h/lN6AXP4BAAD//wMAUEsBAi0AFAAGAAgAAAAhANvh9svuAAAAhQEAABMAAAAA&#10;AAAAAAAAAAAAAAAAAFtDb250ZW50X1R5cGVzXS54bWxQSwECLQAUAAYACAAAACEAWvQsW78AAAAV&#10;AQAACwAAAAAAAAAAAAAAAAAfAQAAX3JlbHMvLnJlbHNQSwECLQAUAAYACAAAACEA+tE/kskAAADh&#10;AAAADwAAAAAAAAAAAAAAAAAHAgAAZHJzL2Rvd25yZXYueG1sUEsFBgAAAAADAAMAtwAAAP0CAAAA&#10;AA==&#10;" strokecolor="black [3213]" strokeweight=".5pt">
                  <v:stroke joinstyle="miter"/>
                </v:line>
                <v:line id="Connecteur droit 1" o:spid="_x0000_s1084" style="position:absolute;flip:y;visibility:visible;mso-wrap-style:square" from="0,2571" to="56578,2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T3jywAAAOMAAAAPAAAAZHJzL2Rvd25yZXYueG1sRI9BSwMx&#10;FITvQv9DeII3m2yRbVmbFllo9eDFKqXHx+Z1d2vysiRpu/rrjSB4HGbmG2a5Hp0VFwqx96yhmCoQ&#10;xI03PbcaPt439wsQMSEbtJ5JwxdFWK8mN0usjL/yG112qRUZwrFCDV1KQyVlbDpyGKd+IM7e0QeH&#10;KcvQShPwmuHOyplSpXTYc17ocKC6o+Zzd3Yaars/jM/bwGl/+j6eX2lTn6zV+u52fHoEkWhM/+G/&#10;9ovRMFPFvCjnD6qE30/5D8jVDwAAAP//AwBQSwECLQAUAAYACAAAACEA2+H2y+4AAACFAQAAEwAA&#10;AAAAAAAAAAAAAAAAAAAAW0NvbnRlbnRfVHlwZXNdLnhtbFBLAQItABQABgAIAAAAIQBa9CxbvwAA&#10;ABUBAAALAAAAAAAAAAAAAAAAAB8BAABfcmVscy8ucmVsc1BLAQItABQABgAIAAAAIQDo3T3jywAA&#10;AOMAAAAPAAAAAAAAAAAAAAAAAAcCAABkcnMvZG93bnJldi54bWxQSwUGAAAAAAMAAwC3AAAA/wIA&#10;AAAA&#10;" strokecolor="black [3213]" strokeweight=".5pt">
                  <v:stroke joinstyle="miter"/>
                </v:line>
                <v:line id="Connecteur droit 12" o:spid="_x0000_s1085" style="position:absolute;visibility:visible;mso-wrap-style:square" from="6956,12668" to="46916,12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xfBzAAAAOIAAAAPAAAAZHJzL2Rvd25yZXYueG1sRI9BS8NA&#10;FITvQv/D8gQvxW5SYyix29KmFARPjXrw9sg+k9Ds27C7Nqm/3hUEj8PMfMOst5PpxYWc7ywrSBcJ&#10;COLa6o4bBW+vx/sVCB+QNfaWScGVPGw3s5s1FtqOfKJLFRoRIewLVNCGMBRS+rolg35hB+LofVpn&#10;METpGqkdjhFuerlMklwa7DgutDhQ2VJ9rr6MgseVP5TncpzPXw77XfXh3r9PaarU3e20ewIRaAr/&#10;4b/2s1aQ5cnDMsuyHH4vxTsgNz8AAAD//wMAUEsBAi0AFAAGAAgAAAAhANvh9svuAAAAhQEAABMA&#10;AAAAAAAAAAAAAAAAAAAAAFtDb250ZW50X1R5cGVzXS54bWxQSwECLQAUAAYACAAAACEAWvQsW78A&#10;AAAVAQAACwAAAAAAAAAAAAAAAAAfAQAAX3JlbHMvLnJlbHNQSwECLQAUAAYACAAAACEAwNMXwcwA&#10;AADiAAAADwAAAAAAAAAAAAAAAAAHAgAAZHJzL2Rvd25yZXYueG1sUEsFBgAAAAADAAMAtwAAAAAD&#10;AAAAAA==&#10;" strokecolor="#ffc000" strokeweight="1.75pt">
                  <v:stroke dashstyle="longDash" joinstyle="miter"/>
                </v:line>
              </v:group>
            </w:pict>
          </mc:Fallback>
        </mc:AlternateContent>
      </w:r>
    </w:p>
    <w:p w14:paraId="6D9D2AAA" w14:textId="77777777" w:rsidR="00E67F89" w:rsidRPr="00E67F89" w:rsidRDefault="00E67F89" w:rsidP="00E67F89">
      <w:r w:rsidRPr="00E67F89">
        <w:rPr>
          <w:noProof/>
        </w:rPr>
        <w:drawing>
          <wp:anchor distT="0" distB="0" distL="114300" distR="114300" simplePos="0" relativeHeight="251658279" behindDoc="1" locked="0" layoutInCell="1" allowOverlap="1" wp14:anchorId="08C0B00A" wp14:editId="632E2581">
            <wp:simplePos x="0" y="0"/>
            <wp:positionH relativeFrom="column">
              <wp:posOffset>4861560</wp:posOffset>
            </wp:positionH>
            <wp:positionV relativeFrom="paragraph">
              <wp:posOffset>142611</wp:posOffset>
            </wp:positionV>
            <wp:extent cx="292735" cy="217805"/>
            <wp:effectExtent l="0" t="0" r="0" b="0"/>
            <wp:wrapNone/>
            <wp:docPr id="1731621153" name="Image 173162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621153" name="Image 1731621153"/>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92735" cy="217805"/>
                    </a:xfrm>
                    <a:prstGeom prst="rect">
                      <a:avLst/>
                    </a:prstGeom>
                  </pic:spPr>
                </pic:pic>
              </a:graphicData>
            </a:graphic>
            <wp14:sizeRelH relativeFrom="margin">
              <wp14:pctWidth>0</wp14:pctWidth>
            </wp14:sizeRelH>
            <wp14:sizeRelV relativeFrom="margin">
              <wp14:pctHeight>0</wp14:pctHeight>
            </wp14:sizeRelV>
          </wp:anchor>
        </w:drawing>
      </w:r>
      <w:r w:rsidRPr="00E67F89">
        <w:rPr>
          <w:noProof/>
        </w:rPr>
        <w:drawing>
          <wp:anchor distT="0" distB="0" distL="114300" distR="114300" simplePos="0" relativeHeight="251658259" behindDoc="1" locked="0" layoutInCell="1" allowOverlap="1" wp14:anchorId="7C61B6B4" wp14:editId="4BAB065C">
            <wp:simplePos x="0" y="0"/>
            <wp:positionH relativeFrom="column">
              <wp:posOffset>5462938</wp:posOffset>
            </wp:positionH>
            <wp:positionV relativeFrom="paragraph">
              <wp:posOffset>50800</wp:posOffset>
            </wp:positionV>
            <wp:extent cx="482400" cy="417600"/>
            <wp:effectExtent l="0" t="0" r="0" b="1905"/>
            <wp:wrapNone/>
            <wp:docPr id="114770084" name="Image 114770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41305" name="Image 196541305"/>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82400" cy="417600"/>
                    </a:xfrm>
                    <a:prstGeom prst="rect">
                      <a:avLst/>
                    </a:prstGeom>
                  </pic:spPr>
                </pic:pic>
              </a:graphicData>
            </a:graphic>
            <wp14:sizeRelH relativeFrom="page">
              <wp14:pctWidth>0</wp14:pctWidth>
            </wp14:sizeRelH>
            <wp14:sizeRelV relativeFrom="page">
              <wp14:pctHeight>0</wp14:pctHeight>
            </wp14:sizeRelV>
          </wp:anchor>
        </w:drawing>
      </w:r>
    </w:p>
    <w:p w14:paraId="417ABD89" w14:textId="77777777" w:rsidR="00E67F89" w:rsidRPr="00E67F89" w:rsidRDefault="00E67F89" w:rsidP="00E67F89">
      <w:r w:rsidRPr="00E67F89">
        <w:rPr>
          <w:noProof/>
        </w:rPr>
        <w:lastRenderedPageBreak/>
        <w:drawing>
          <wp:anchor distT="0" distB="0" distL="114300" distR="114300" simplePos="0" relativeHeight="251658273" behindDoc="1" locked="0" layoutInCell="1" allowOverlap="1" wp14:anchorId="7B1FD1B5" wp14:editId="0EBD083D">
            <wp:simplePos x="0" y="0"/>
            <wp:positionH relativeFrom="column">
              <wp:posOffset>4851400</wp:posOffset>
            </wp:positionH>
            <wp:positionV relativeFrom="paragraph">
              <wp:posOffset>113401</wp:posOffset>
            </wp:positionV>
            <wp:extent cx="292735" cy="287655"/>
            <wp:effectExtent l="0" t="0" r="0" b="0"/>
            <wp:wrapNone/>
            <wp:docPr id="1281172988" name="Image 1281172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106170" name="Image 515106170"/>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92735" cy="287655"/>
                    </a:xfrm>
                    <a:prstGeom prst="rect">
                      <a:avLst/>
                    </a:prstGeom>
                  </pic:spPr>
                </pic:pic>
              </a:graphicData>
            </a:graphic>
            <wp14:sizeRelH relativeFrom="margin">
              <wp14:pctWidth>0</wp14:pctWidth>
            </wp14:sizeRelH>
            <wp14:sizeRelV relativeFrom="margin">
              <wp14:pctHeight>0</wp14:pctHeight>
            </wp14:sizeRelV>
          </wp:anchor>
        </w:drawing>
      </w:r>
    </w:p>
    <w:p w14:paraId="1CC5FB53" w14:textId="77777777" w:rsidR="00E67F89" w:rsidRPr="00E67F89" w:rsidRDefault="00E67F89" w:rsidP="00E67F89">
      <w:r w:rsidRPr="00E67F89">
        <w:rPr>
          <w:noProof/>
        </w:rPr>
        <w:drawing>
          <wp:anchor distT="0" distB="0" distL="114300" distR="114300" simplePos="0" relativeHeight="251658257" behindDoc="1" locked="0" layoutInCell="1" allowOverlap="1" wp14:anchorId="04F1CCD4" wp14:editId="4B4B8B20">
            <wp:simplePos x="0" y="0"/>
            <wp:positionH relativeFrom="column">
              <wp:posOffset>4858385</wp:posOffset>
            </wp:positionH>
            <wp:positionV relativeFrom="paragraph">
              <wp:posOffset>123561</wp:posOffset>
            </wp:positionV>
            <wp:extent cx="332105" cy="287655"/>
            <wp:effectExtent l="0" t="0" r="0" b="0"/>
            <wp:wrapNone/>
            <wp:docPr id="964272067" name="Image 96427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789466" name="Image 5"/>
                    <pic:cNvPicPr/>
                  </pic:nvPicPr>
                  <pic:blipFill>
                    <a:blip r:embed="rId67" cstate="print">
                      <a:extLst>
                        <a:ext uri="{28A0092B-C50C-407E-A947-70E740481C1C}">
                          <a14:useLocalDpi xmlns:a14="http://schemas.microsoft.com/office/drawing/2010/main" val="0"/>
                        </a:ext>
                      </a:extLst>
                    </a:blip>
                    <a:stretch>
                      <a:fillRect/>
                    </a:stretch>
                  </pic:blipFill>
                  <pic:spPr>
                    <a:xfrm flipH="1">
                      <a:off x="0" y="0"/>
                      <a:ext cx="332105" cy="287655"/>
                    </a:xfrm>
                    <a:prstGeom prst="rect">
                      <a:avLst/>
                    </a:prstGeom>
                  </pic:spPr>
                </pic:pic>
              </a:graphicData>
            </a:graphic>
            <wp14:sizeRelH relativeFrom="margin">
              <wp14:pctWidth>0</wp14:pctWidth>
            </wp14:sizeRelH>
            <wp14:sizeRelV relativeFrom="margin">
              <wp14:pctHeight>0</wp14:pctHeight>
            </wp14:sizeRelV>
          </wp:anchor>
        </w:drawing>
      </w:r>
      <w:r w:rsidRPr="00E67F89">
        <w:rPr>
          <w:noProof/>
        </w:rPr>
        <w:drawing>
          <wp:anchor distT="0" distB="0" distL="114300" distR="114300" simplePos="0" relativeHeight="251658277" behindDoc="1" locked="0" layoutInCell="1" allowOverlap="1" wp14:anchorId="2C25279D" wp14:editId="286D7579">
            <wp:simplePos x="0" y="0"/>
            <wp:positionH relativeFrom="column">
              <wp:posOffset>803072</wp:posOffset>
            </wp:positionH>
            <wp:positionV relativeFrom="paragraph">
              <wp:posOffset>51184</wp:posOffset>
            </wp:positionV>
            <wp:extent cx="293697" cy="417600"/>
            <wp:effectExtent l="0" t="0" r="0" b="1905"/>
            <wp:wrapNone/>
            <wp:docPr id="1308101774" name="Image 1308101774" descr="Une image contenant cône, orange, chap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101774" name="Image 1308101774" descr="Une image contenant cône, orange, chapeau&#10;&#10;Description générée automatiquement"/>
                    <pic:cNvPicPr/>
                  </pic:nvPicPr>
                  <pic:blipFill>
                    <a:blip r:embed="rId57">
                      <a:extLst>
                        <a:ext uri="{28A0092B-C50C-407E-A947-70E740481C1C}">
                          <a14:useLocalDpi xmlns:a14="http://schemas.microsoft.com/office/drawing/2010/main" val="0"/>
                        </a:ext>
                      </a:extLst>
                    </a:blip>
                    <a:stretch>
                      <a:fillRect/>
                    </a:stretch>
                  </pic:blipFill>
                  <pic:spPr>
                    <a:xfrm>
                      <a:off x="0" y="0"/>
                      <a:ext cx="293697" cy="417600"/>
                    </a:xfrm>
                    <a:prstGeom prst="rect">
                      <a:avLst/>
                    </a:prstGeom>
                  </pic:spPr>
                </pic:pic>
              </a:graphicData>
            </a:graphic>
            <wp14:sizeRelH relativeFrom="page">
              <wp14:pctWidth>0</wp14:pctWidth>
            </wp14:sizeRelH>
            <wp14:sizeRelV relativeFrom="page">
              <wp14:pctHeight>0</wp14:pctHeight>
            </wp14:sizeRelV>
          </wp:anchor>
        </w:drawing>
      </w:r>
      <w:r w:rsidRPr="00E67F89">
        <w:rPr>
          <w:noProof/>
        </w:rPr>
        <w:drawing>
          <wp:anchor distT="0" distB="0" distL="114300" distR="114300" simplePos="0" relativeHeight="251658258" behindDoc="1" locked="0" layoutInCell="1" allowOverlap="1" wp14:anchorId="0A4068B8" wp14:editId="63FE1270">
            <wp:simplePos x="0" y="0"/>
            <wp:positionH relativeFrom="column">
              <wp:posOffset>4533265</wp:posOffset>
            </wp:positionH>
            <wp:positionV relativeFrom="paragraph">
              <wp:posOffset>49530</wp:posOffset>
            </wp:positionV>
            <wp:extent cx="293370" cy="417195"/>
            <wp:effectExtent l="0" t="0" r="0" b="1905"/>
            <wp:wrapNone/>
            <wp:docPr id="2038279976" name="Image 2038279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42002" name="Image 156042002"/>
                    <pic:cNvPicPr/>
                  </pic:nvPicPr>
                  <pic:blipFill>
                    <a:blip r:embed="rId57">
                      <a:extLst>
                        <a:ext uri="{28A0092B-C50C-407E-A947-70E740481C1C}">
                          <a14:useLocalDpi xmlns:a14="http://schemas.microsoft.com/office/drawing/2010/main" val="0"/>
                        </a:ext>
                      </a:extLst>
                    </a:blip>
                    <a:stretch>
                      <a:fillRect/>
                    </a:stretch>
                  </pic:blipFill>
                  <pic:spPr>
                    <a:xfrm>
                      <a:off x="0" y="0"/>
                      <a:ext cx="293370" cy="417195"/>
                    </a:xfrm>
                    <a:prstGeom prst="rect">
                      <a:avLst/>
                    </a:prstGeom>
                  </pic:spPr>
                </pic:pic>
              </a:graphicData>
            </a:graphic>
            <wp14:sizeRelH relativeFrom="page">
              <wp14:pctWidth>0</wp14:pctWidth>
            </wp14:sizeRelH>
            <wp14:sizeRelV relativeFrom="page">
              <wp14:pctHeight>0</wp14:pctHeight>
            </wp14:sizeRelV>
          </wp:anchor>
        </w:drawing>
      </w:r>
      <w:r w:rsidRPr="00E67F89">
        <w:tab/>
      </w:r>
    </w:p>
    <w:p w14:paraId="72476EB9" w14:textId="77777777" w:rsidR="00E67F89" w:rsidRPr="00E67F89" w:rsidRDefault="00E67F89" w:rsidP="00E67F89"/>
    <w:p w14:paraId="396FABAA" w14:textId="77777777" w:rsidR="00E67F89" w:rsidRPr="00E67F89" w:rsidRDefault="00E67F89" w:rsidP="00E67F89">
      <w:r w:rsidRPr="00E67F89">
        <w:rPr>
          <w:noProof/>
        </w:rPr>
        <w:drawing>
          <wp:anchor distT="0" distB="0" distL="114300" distR="114300" simplePos="0" relativeHeight="251658261" behindDoc="1" locked="0" layoutInCell="1" allowOverlap="1" wp14:anchorId="25164A5A" wp14:editId="632F153E">
            <wp:simplePos x="0" y="0"/>
            <wp:positionH relativeFrom="column">
              <wp:posOffset>515356</wp:posOffset>
            </wp:positionH>
            <wp:positionV relativeFrom="paragraph">
              <wp:posOffset>91440</wp:posOffset>
            </wp:positionV>
            <wp:extent cx="332105" cy="287655"/>
            <wp:effectExtent l="0" t="0" r="0" b="0"/>
            <wp:wrapNone/>
            <wp:docPr id="1025835423" name="Image 1025835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789466" name="Image 5"/>
                    <pic:cNvPicPr/>
                  </pic:nvPicPr>
                  <pic:blipFill>
                    <a:blip r:embed="rId67" cstate="print">
                      <a:extLst>
                        <a:ext uri="{28A0092B-C50C-407E-A947-70E740481C1C}">
                          <a14:useLocalDpi xmlns:a14="http://schemas.microsoft.com/office/drawing/2010/main" val="0"/>
                        </a:ext>
                      </a:extLst>
                    </a:blip>
                    <a:stretch>
                      <a:fillRect/>
                    </a:stretch>
                  </pic:blipFill>
                  <pic:spPr>
                    <a:xfrm flipH="1">
                      <a:off x="0" y="0"/>
                      <a:ext cx="332105" cy="287655"/>
                    </a:xfrm>
                    <a:prstGeom prst="rect">
                      <a:avLst/>
                    </a:prstGeom>
                  </pic:spPr>
                </pic:pic>
              </a:graphicData>
            </a:graphic>
            <wp14:sizeRelH relativeFrom="margin">
              <wp14:pctWidth>0</wp14:pctWidth>
            </wp14:sizeRelH>
            <wp14:sizeRelV relativeFrom="margin">
              <wp14:pctHeight>0</wp14:pctHeight>
            </wp14:sizeRelV>
          </wp:anchor>
        </w:drawing>
      </w:r>
      <w:r w:rsidRPr="00E67F89">
        <w:rPr>
          <w:noProof/>
        </w:rPr>
        <w:drawing>
          <wp:anchor distT="0" distB="0" distL="114300" distR="114300" simplePos="0" relativeHeight="251658274" behindDoc="1" locked="0" layoutInCell="1" allowOverlap="1" wp14:anchorId="204ECE5B" wp14:editId="0A4F42F1">
            <wp:simplePos x="0" y="0"/>
            <wp:positionH relativeFrom="column">
              <wp:posOffset>-242570</wp:posOffset>
            </wp:positionH>
            <wp:positionV relativeFrom="paragraph">
              <wp:posOffset>321945</wp:posOffset>
            </wp:positionV>
            <wp:extent cx="481965" cy="417195"/>
            <wp:effectExtent l="0" t="0" r="0" b="1905"/>
            <wp:wrapNone/>
            <wp:docPr id="367772117" name="Image 367772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41305" name="Image 196541305"/>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81965" cy="417195"/>
                    </a:xfrm>
                    <a:prstGeom prst="rect">
                      <a:avLst/>
                    </a:prstGeom>
                  </pic:spPr>
                </pic:pic>
              </a:graphicData>
            </a:graphic>
            <wp14:sizeRelH relativeFrom="page">
              <wp14:pctWidth>0</wp14:pctWidth>
            </wp14:sizeRelH>
            <wp14:sizeRelV relativeFrom="page">
              <wp14:pctHeight>0</wp14:pctHeight>
            </wp14:sizeRelV>
          </wp:anchor>
        </w:drawing>
      </w:r>
    </w:p>
    <w:p w14:paraId="0C19675C" w14:textId="77777777" w:rsidR="00E67F89" w:rsidRPr="00E67F89" w:rsidRDefault="00E67F89" w:rsidP="00E67F89">
      <w:r w:rsidRPr="00E67F89">
        <w:rPr>
          <w:noProof/>
        </w:rPr>
        <w:drawing>
          <wp:anchor distT="0" distB="0" distL="114300" distR="114300" simplePos="0" relativeHeight="251658264" behindDoc="1" locked="0" layoutInCell="1" allowOverlap="1" wp14:anchorId="1DC7CEC6" wp14:editId="155456C0">
            <wp:simplePos x="0" y="0"/>
            <wp:positionH relativeFrom="column">
              <wp:posOffset>526415</wp:posOffset>
            </wp:positionH>
            <wp:positionV relativeFrom="paragraph">
              <wp:posOffset>88636</wp:posOffset>
            </wp:positionV>
            <wp:extent cx="292735" cy="287655"/>
            <wp:effectExtent l="0" t="0" r="0" b="0"/>
            <wp:wrapNone/>
            <wp:docPr id="1521446785" name="Image 1521446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106170" name="Image 515106170"/>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92735" cy="287655"/>
                    </a:xfrm>
                    <a:prstGeom prst="rect">
                      <a:avLst/>
                    </a:prstGeom>
                  </pic:spPr>
                </pic:pic>
              </a:graphicData>
            </a:graphic>
            <wp14:sizeRelH relativeFrom="margin">
              <wp14:pctWidth>0</wp14:pctWidth>
            </wp14:sizeRelH>
            <wp14:sizeRelV relativeFrom="margin">
              <wp14:pctHeight>0</wp14:pctHeight>
            </wp14:sizeRelV>
          </wp:anchor>
        </w:drawing>
      </w:r>
    </w:p>
    <w:p w14:paraId="459EFCA7" w14:textId="77777777" w:rsidR="00E67F89" w:rsidRPr="00E67F89" w:rsidRDefault="00E67F89" w:rsidP="00E67F89">
      <w:r w:rsidRPr="00E67F89">
        <w:rPr>
          <w:noProof/>
        </w:rPr>
        <w:drawing>
          <wp:anchor distT="0" distB="0" distL="114300" distR="114300" simplePos="0" relativeHeight="251658270" behindDoc="1" locked="0" layoutInCell="1" allowOverlap="1" wp14:anchorId="5F90CEE7" wp14:editId="66273B36">
            <wp:simplePos x="0" y="0"/>
            <wp:positionH relativeFrom="column">
              <wp:posOffset>546735</wp:posOffset>
            </wp:positionH>
            <wp:positionV relativeFrom="paragraph">
              <wp:posOffset>141341</wp:posOffset>
            </wp:positionV>
            <wp:extent cx="282575" cy="210185"/>
            <wp:effectExtent l="0" t="0" r="3175" b="0"/>
            <wp:wrapNone/>
            <wp:docPr id="230108707" name="Image 230108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108707" name="Image 230108707"/>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82575" cy="210185"/>
                    </a:xfrm>
                    <a:prstGeom prst="rect">
                      <a:avLst/>
                    </a:prstGeom>
                  </pic:spPr>
                </pic:pic>
              </a:graphicData>
            </a:graphic>
            <wp14:sizeRelH relativeFrom="margin">
              <wp14:pctWidth>0</wp14:pctWidth>
            </wp14:sizeRelH>
            <wp14:sizeRelV relativeFrom="margin">
              <wp14:pctHeight>0</wp14:pctHeight>
            </wp14:sizeRelV>
          </wp:anchor>
        </w:drawing>
      </w:r>
    </w:p>
    <w:p w14:paraId="7F4F7066" w14:textId="77777777" w:rsidR="00E67F89" w:rsidRPr="00E67F89" w:rsidRDefault="00E67F89" w:rsidP="00E67F89">
      <w:r w:rsidRPr="00E67F89">
        <w:rPr>
          <w:noProof/>
        </w:rPr>
        <w:drawing>
          <wp:anchor distT="0" distB="0" distL="114300" distR="114300" simplePos="0" relativeHeight="251658278" behindDoc="1" locked="0" layoutInCell="1" allowOverlap="1" wp14:anchorId="2AEAF0DD" wp14:editId="12271FCF">
            <wp:simplePos x="0" y="0"/>
            <wp:positionH relativeFrom="column">
              <wp:posOffset>538744</wp:posOffset>
            </wp:positionH>
            <wp:positionV relativeFrom="paragraph">
              <wp:posOffset>90170</wp:posOffset>
            </wp:positionV>
            <wp:extent cx="311150" cy="298887"/>
            <wp:effectExtent l="0" t="0" r="0" b="6350"/>
            <wp:wrapNone/>
            <wp:docPr id="1340766877" name="Image 1340766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766877" name="Image 1340766877"/>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11150" cy="298887"/>
                    </a:xfrm>
                    <a:prstGeom prst="rect">
                      <a:avLst/>
                    </a:prstGeom>
                  </pic:spPr>
                </pic:pic>
              </a:graphicData>
            </a:graphic>
            <wp14:sizeRelH relativeFrom="margin">
              <wp14:pctWidth>0</wp14:pctWidth>
            </wp14:sizeRelH>
            <wp14:sizeRelV relativeFrom="margin">
              <wp14:pctHeight>0</wp14:pctHeight>
            </wp14:sizeRelV>
          </wp:anchor>
        </w:drawing>
      </w:r>
    </w:p>
    <w:p w14:paraId="2598022D" w14:textId="77777777" w:rsidR="00E67F89" w:rsidRPr="00E67F89" w:rsidRDefault="00E67F89" w:rsidP="00E67F89"/>
    <w:p w14:paraId="53983B68" w14:textId="77777777" w:rsidR="00E67F89" w:rsidRPr="00E67F89" w:rsidRDefault="00E67F89" w:rsidP="00E67F89">
      <w:r w:rsidRPr="00E67F89">
        <w:rPr>
          <w:noProof/>
        </w:rPr>
        <w:drawing>
          <wp:anchor distT="0" distB="0" distL="114300" distR="114300" simplePos="0" relativeHeight="251658272" behindDoc="0" locked="0" layoutInCell="1" allowOverlap="1" wp14:anchorId="01FC13A8" wp14:editId="3E8AC423">
            <wp:simplePos x="0" y="0"/>
            <wp:positionH relativeFrom="column">
              <wp:posOffset>-4445</wp:posOffset>
            </wp:positionH>
            <wp:positionV relativeFrom="paragraph">
              <wp:posOffset>97790</wp:posOffset>
            </wp:positionV>
            <wp:extent cx="1137002" cy="847989"/>
            <wp:effectExtent l="0" t="0" r="6350" b="9525"/>
            <wp:wrapSquare wrapText="bothSides"/>
            <wp:docPr id="154540011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400110" name="Image 1545400110"/>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137002" cy="847989"/>
                    </a:xfrm>
                    <a:prstGeom prst="rect">
                      <a:avLst/>
                    </a:prstGeom>
                  </pic:spPr>
                </pic:pic>
              </a:graphicData>
            </a:graphic>
            <wp14:sizeRelH relativeFrom="page">
              <wp14:pctWidth>0</wp14:pctWidth>
            </wp14:sizeRelH>
            <wp14:sizeRelV relativeFrom="page">
              <wp14:pctHeight>0</wp14:pctHeight>
            </wp14:sizeRelV>
          </wp:anchor>
        </w:drawing>
      </w:r>
    </w:p>
    <w:p w14:paraId="122BF46D" w14:textId="77777777" w:rsidR="00E67F89" w:rsidRPr="00E67F89" w:rsidRDefault="00E67F89" w:rsidP="00E67F89">
      <w:r w:rsidRPr="00E67F89">
        <w:t>: Circulation alternée</w:t>
      </w:r>
    </w:p>
    <w:p w14:paraId="5FCDC2BC" w14:textId="77777777" w:rsidR="00575CDF" w:rsidRPr="00D42025" w:rsidRDefault="00575CDF" w:rsidP="00D42025">
      <w:pPr>
        <w:pStyle w:val="ListParagraph"/>
        <w:spacing w:after="40" w:line="276" w:lineRule="auto"/>
        <w:contextualSpacing w:val="0"/>
        <w:jc w:val="center"/>
        <w:rPr>
          <w:b/>
          <w:bCs/>
          <w:color w:val="auto"/>
          <w:sz w:val="160"/>
          <w:szCs w:val="160"/>
        </w:rPr>
      </w:pPr>
    </w:p>
    <w:p w14:paraId="3897B1F8" w14:textId="77777777" w:rsidR="00575CDF" w:rsidRPr="00C801A6" w:rsidRDefault="00575CDF" w:rsidP="00575CDF">
      <w:pPr>
        <w:spacing w:after="40"/>
        <w:rPr>
          <w:color w:val="auto"/>
          <w:sz w:val="20"/>
          <w:szCs w:val="20"/>
        </w:rPr>
      </w:pPr>
    </w:p>
    <w:p w14:paraId="6491421C" w14:textId="17685796" w:rsidR="00E92633" w:rsidRPr="00C801A6" w:rsidRDefault="00E92633" w:rsidP="00824555">
      <w:pPr>
        <w:pStyle w:val="Caption"/>
        <w:rPr>
          <w:color w:val="auto"/>
        </w:rPr>
      </w:pPr>
      <w:bookmarkStart w:id="985" w:name="_Toc13580885"/>
      <w:bookmarkStart w:id="986" w:name="_Toc13583770"/>
      <w:bookmarkStart w:id="987" w:name="_Toc13650534"/>
      <w:bookmarkStart w:id="988" w:name="_Toc13663599"/>
      <w:bookmarkStart w:id="989" w:name="_Toc13665069"/>
      <w:bookmarkStart w:id="990" w:name="_Toc13668272"/>
      <w:bookmarkStart w:id="991" w:name="_Toc13687736"/>
      <w:bookmarkStart w:id="992" w:name="_Toc13689307"/>
      <w:bookmarkStart w:id="993" w:name="_Toc13690879"/>
      <w:bookmarkStart w:id="994" w:name="_Toc13692968"/>
      <w:bookmarkEnd w:id="985"/>
      <w:bookmarkEnd w:id="986"/>
      <w:bookmarkEnd w:id="987"/>
      <w:bookmarkEnd w:id="988"/>
      <w:bookmarkEnd w:id="989"/>
      <w:bookmarkEnd w:id="990"/>
      <w:bookmarkEnd w:id="991"/>
      <w:bookmarkEnd w:id="992"/>
      <w:bookmarkEnd w:id="993"/>
      <w:bookmarkEnd w:id="994"/>
    </w:p>
    <w:sectPr w:rsidR="00E92633" w:rsidRPr="00C801A6" w:rsidSect="00D42025">
      <w:footerReference w:type="default" r:id="rId72"/>
      <w:footerReference w:type="first" r:id="rId73"/>
      <w:pgSz w:w="11907" w:h="16840" w:code="9"/>
      <w:pgMar w:top="1418" w:right="1134" w:bottom="1418" w:left="1276" w:header="425" w:footer="720" w:gutter="0"/>
      <w:pgNumType w:fmt="upperRoman"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CE91CCB" w14:textId="77777777" w:rsidR="00EC16B3" w:rsidRDefault="00EC16B3" w:rsidP="00A95B58">
      <w:pPr>
        <w:spacing w:after="0" w:line="240" w:lineRule="auto"/>
      </w:pPr>
      <w:r>
        <w:separator/>
      </w:r>
    </w:p>
  </w:endnote>
  <w:endnote w:type="continuationSeparator" w:id="0">
    <w:p w14:paraId="7F660E63" w14:textId="77777777" w:rsidR="00EC16B3" w:rsidRDefault="00EC16B3" w:rsidP="00A95B58">
      <w:pPr>
        <w:spacing w:after="0" w:line="240" w:lineRule="auto"/>
      </w:pPr>
      <w:r>
        <w:continuationSeparator/>
      </w:r>
    </w:p>
  </w:endnote>
  <w:endnote w:type="continuationNotice" w:id="1">
    <w:p w14:paraId="66262E0E" w14:textId="77777777" w:rsidR="00EC16B3" w:rsidRDefault="00EC16B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BankGothic Md BT">
    <w:charset w:val="00"/>
    <w:family w:val="swiss"/>
    <w:pitch w:val="variable"/>
    <w:sig w:usb0="00000087" w:usb1="00000000" w:usb2="00000000" w:usb3="00000000" w:csb0="0000001B" w:csb1="00000000"/>
  </w:font>
  <w:font w:name="Calibri">
    <w:panose1 w:val="020F0502020204030204"/>
    <w:charset w:val="00"/>
    <w:family w:val="swiss"/>
    <w:pitch w:val="variable"/>
    <w:sig w:usb0="E4002EFF" w:usb1="C200247B" w:usb2="00000009" w:usb3="00000000" w:csb0="000001FF" w:csb1="00000000"/>
  </w:font>
  <w:font w:name="Bodoni MT">
    <w:panose1 w:val="02070603080606020203"/>
    <w:charset w:val="00"/>
    <w:family w:val="roman"/>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Gras">
    <w:altName w:val="Arial"/>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 w:name="EYInterstate">
    <w:altName w:val="Corbel"/>
    <w:charset w:val="00"/>
    <w:family w:val="auto"/>
    <w:pitch w:val="variable"/>
    <w:sig w:usb0="00000001" w:usb1="5000206A" w:usb2="00000000" w:usb3="00000000" w:csb0="0000009F" w:csb1="00000000"/>
  </w:font>
  <w:font w:name="EYInterstate Light">
    <w:altName w:val="Cambria Math"/>
    <w:charset w:val="00"/>
    <w:family w:val="auto"/>
    <w:pitch w:val="variable"/>
    <w:sig w:usb0="00000001" w:usb1="5000206A"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Times New Roman Gras">
    <w:altName w:val="Times New Roman"/>
    <w:panose1 w:val="00000000000000000000"/>
    <w:charset w:val="00"/>
    <w:family w:val="roman"/>
    <w:notTrueType/>
    <w:pitch w:val="default"/>
  </w:font>
  <w:font w:name="Roboto">
    <w:panose1 w:val="02000000000000000000"/>
    <w:charset w:val="00"/>
    <w:family w:val="auto"/>
    <w:pitch w:val="variable"/>
    <w:sig w:usb0="E0000AFF" w:usb1="5000217F" w:usb2="00000021" w:usb3="00000000" w:csb0="0000019F" w:csb1="00000000"/>
  </w:font>
  <w:font w:name="Verdana">
    <w:panose1 w:val="020B0604030504040204"/>
    <w:charset w:val="00"/>
    <w:family w:val="swiss"/>
    <w:pitch w:val="variable"/>
    <w:sig w:usb0="A00006FF" w:usb1="4000205B" w:usb2="00000010" w:usb3="00000000" w:csb0="0000019F" w:csb1="00000000"/>
  </w:font>
  <w:font w:name="Garamond">
    <w:panose1 w:val="02020404030301010803"/>
    <w:charset w:val="00"/>
    <w:family w:val="roman"/>
    <w:pitch w:val="variable"/>
    <w:sig w:usb0="00000287" w:usb1="00000000" w:usb2="00000000" w:usb3="00000000" w:csb0="0000009F" w:csb1="00000000"/>
  </w:font>
  <w:font w:name="Arial Unicode MS">
    <w:panose1 w:val="020B0604020202020204"/>
    <w:charset w:val="00"/>
    <w:family w:val="roman"/>
    <w:pitch w:val="variable"/>
    <w:sig w:usb0="00000003" w:usb1="00000000" w:usb2="00000000" w:usb3="00000000" w:csb0="00000001" w:csb1="00000000"/>
  </w:font>
  <w:font w:name="Comic Sans MS">
    <w:panose1 w:val="030F0702030302020204"/>
    <w:charset w:val="00"/>
    <w:family w:val="script"/>
    <w:pitch w:val="variable"/>
    <w:sig w:usb0="00000687" w:usb1="00000013" w:usb2="00000000" w:usb3="00000000" w:csb0="0000009F" w:csb1="00000000"/>
  </w:font>
  <w:font w:name="Futura Std Book">
    <w:altName w:val="Century Gothic"/>
    <w:panose1 w:val="00000000000000000000"/>
    <w:charset w:val="00"/>
    <w:family w:val="swiss"/>
    <w:notTrueType/>
    <w:pitch w:val="default"/>
    <w:sig w:usb0="00000003" w:usb1="00000000" w:usb2="00000000" w:usb3="00000000" w:csb0="00000001" w:csb1="00000000"/>
  </w:font>
  <w:font w:name="Futura Std">
    <w:altName w:val="Century Gothic"/>
    <w:panose1 w:val="00000000000000000000"/>
    <w:charset w:val="00"/>
    <w:family w:val="swiss"/>
    <w:notTrueType/>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ArialMT">
    <w:altName w:val="Arial"/>
    <w:panose1 w:val="00000000000000000000"/>
    <w:charset w:val="00"/>
    <w:family w:val="auto"/>
    <w:notTrueType/>
    <w:pitch w:val="default"/>
    <w:sig w:usb0="20000003" w:usb1="00000000" w:usb2="00000000" w:usb3="00000000" w:csb0="00000101" w:csb1="00000000"/>
  </w:font>
  <w:font w:name="MS Mincho">
    <w:panose1 w:val="02020609040205080304"/>
    <w:charset w:val="80"/>
    <w:family w:val="modern"/>
    <w:pitch w:val="fixed"/>
    <w:sig w:usb0="E00002FF" w:usb1="6AC7FDFB" w:usb2="08000012" w:usb3="00000000" w:csb0="0002009F" w:csb1="00000000"/>
  </w:font>
  <w:font w:name="MingLiU">
    <w:panose1 w:val="02010609000101010101"/>
    <w:charset w:val="88"/>
    <w:family w:val="modern"/>
    <w:pitch w:val="fixed"/>
    <w:sig w:usb0="A00002FF" w:usb1="28CFFCFA" w:usb2="00000016" w:usb3="00000000" w:csb0="00100001" w:csb1="00000000"/>
  </w:font>
  <w:font w:name="Adobe Garamond Pro">
    <w:altName w:val="Garamond"/>
    <w:panose1 w:val="00000000000000000000"/>
    <w:charset w:val="00"/>
    <w:family w:val="roman"/>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Times New Roman Bold">
    <w:altName w:val="Times New Roman"/>
    <w:panose1 w:val="02020803070505020304"/>
    <w:charset w:val="00"/>
    <w:family w:val="roman"/>
    <w:pitch w:val="variable"/>
    <w:sig w:usb0="00000000" w:usb1="C0007841" w:usb2="00000009" w:usb3="00000000" w:csb0="000001FF" w:csb1="00000000"/>
  </w:font>
  <w:font w:name="Optima">
    <w:altName w:val="Calibri"/>
    <w:charset w:val="00"/>
    <w:family w:val="auto"/>
    <w:pitch w:val="variable"/>
    <w:sig w:usb0="80000067" w:usb1="00000000" w:usb2="00000000" w:usb3="00000000" w:csb0="00000001" w:csb1="00000000"/>
  </w:font>
  <w:font w:name="DaneHelveticaNeue">
    <w:altName w:val="Cambria"/>
    <w:panose1 w:val="00000000000000000000"/>
    <w:charset w:val="00"/>
    <w:family w:val="auto"/>
    <w:notTrueType/>
    <w:pitch w:val="variable"/>
    <w:sig w:usb0="00000003" w:usb1="00000000" w:usb2="00000000" w:usb3="00000000" w:csb0="00000001" w:csb1="00000000"/>
  </w:font>
  <w:font w:name="Times">
    <w:altName w:val="Times"/>
    <w:panose1 w:val="02020603050405020304"/>
    <w:charset w:val="00"/>
    <w:family w:val="roman"/>
    <w:pitch w:val="variable"/>
    <w:sig w:usb0="E0002EFF" w:usb1="C000785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Tms Rmn">
    <w:panose1 w:val="02020603040505020304"/>
    <w:charset w:val="00"/>
    <w:family w:val="roman"/>
    <w:pitch w:val="variable"/>
    <w:sig w:usb0="00000003" w:usb1="00000000" w:usb2="00000000" w:usb3="00000000" w:csb0="00000001" w:csb1="00000000"/>
  </w:font>
  <w:font w:name="Century Schoolbook">
    <w:panose1 w:val="02040604050505020304"/>
    <w:charset w:val="00"/>
    <w:family w:val="roman"/>
    <w:pitch w:val="variable"/>
    <w:sig w:usb0="00000287" w:usb1="00000000" w:usb2="00000000" w:usb3="00000000" w:csb0="0000009F" w:csb1="00000000"/>
  </w:font>
  <w:font w:name="Palatino">
    <w:altName w:val="Book Antiqua"/>
    <w:charset w:val="00"/>
    <w:family w:val="auto"/>
    <w:pitch w:val="variable"/>
    <w:sig w:usb0="03000003" w:usb1="00000000" w:usb2="00000000" w:usb3="00000000" w:csb0="00000001" w:csb1="00000000"/>
  </w:font>
  <w:font w:name="Bodoni Bk BT">
    <w:altName w:val="Times New Roman"/>
    <w:panose1 w:val="00000000000000000000"/>
    <w:charset w:val="00"/>
    <w:family w:val="roman"/>
    <w:notTrueType/>
    <w:pitch w:val="default"/>
  </w:font>
  <w:font w:name="Liberation Sans Narrow">
    <w:altName w:val="Arial"/>
    <w:charset w:val="00"/>
    <w:family w:val="swiss"/>
    <w:pitch w:val="variable"/>
  </w:font>
  <w:font w:name="Univers 45 Light">
    <w:charset w:val="00"/>
    <w:family w:val="auto"/>
    <w:pitch w:val="variable"/>
    <w:sig w:usb0="8000002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Aptos">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4585BE" w14:textId="1C2C9F26" w:rsidR="00AB7DD7" w:rsidRDefault="00AB7DD7">
    <w:pPr>
      <w:pStyle w:val="Footer"/>
    </w:pPr>
    <w:r>
      <w:rPr>
        <w:noProof/>
      </w:rPr>
      <mc:AlternateContent>
        <mc:Choice Requires="wps">
          <w:drawing>
            <wp:anchor distT="0" distB="0" distL="0" distR="0" simplePos="0" relativeHeight="251658241" behindDoc="0" locked="0" layoutInCell="1" allowOverlap="1" wp14:anchorId="76E233BE" wp14:editId="197381D1">
              <wp:simplePos x="635" y="635"/>
              <wp:positionH relativeFrom="page">
                <wp:align>right</wp:align>
              </wp:positionH>
              <wp:positionV relativeFrom="page">
                <wp:align>bottom</wp:align>
              </wp:positionV>
              <wp:extent cx="1172210" cy="368935"/>
              <wp:effectExtent l="0" t="0" r="0" b="0"/>
              <wp:wrapNone/>
              <wp:docPr id="1400759314" name="Text Box 2"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72210" cy="368935"/>
                      </a:xfrm>
                      <a:prstGeom prst="rect">
                        <a:avLst/>
                      </a:prstGeom>
                      <a:noFill/>
                      <a:ln>
                        <a:noFill/>
                      </a:ln>
                    </wps:spPr>
                    <wps:txbx>
                      <w:txbxContent>
                        <w:p w14:paraId="640713E6" w14:textId="7E934AD3" w:rsidR="00AB7DD7" w:rsidRPr="00AB7DD7" w:rsidRDefault="00AB7DD7" w:rsidP="00AB7DD7">
                          <w:pPr>
                            <w:spacing w:after="0"/>
                            <w:rPr>
                              <w:rFonts w:ascii="Aptos" w:eastAsia="Aptos" w:hAnsi="Aptos" w:cs="Aptos"/>
                              <w:noProof/>
                              <w:color w:val="000000"/>
                              <w:sz w:val="20"/>
                              <w:szCs w:val="20"/>
                            </w:rPr>
                          </w:pPr>
                          <w:r w:rsidRPr="00AB7DD7">
                            <w:rPr>
                              <w:rFonts w:ascii="Aptos" w:eastAsia="Aptos" w:hAnsi="Aptos" w:cs="Aptos"/>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76E233BE" id="_x0000_t202" coordsize="21600,21600" o:spt="202" path="m,l,21600r21600,l21600,xe">
              <v:stroke joinstyle="miter"/>
              <v:path gradientshapeok="t" o:connecttype="rect"/>
            </v:shapetype>
            <v:shape id="Text Box 2" o:spid="_x0000_s1086" type="#_x0000_t202" alt="Official Use Only" style="position:absolute;left:0;text-align:left;margin-left:41.1pt;margin-top:0;width:92.3pt;height:29.05pt;z-index:251658241;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OQlDwIAABsEAAAOAAAAZHJzL2Uyb0RvYy54bWysU8Fu2zAMvQ/YPwi6L7bTpWuNOEXWIsOA&#10;oC2QDj0rshQbkERBUmJnXz9KdpKu22nYRaZI+pF8fJrf9VqRg3C+BVPRYpJTIgyHujW7iv54WX26&#10;ocQHZmqmwIiKHoWnd4uPH+adLcUUGlC1cARBjC87W9EmBFtmmeeN0MxPwAqDQQlOs4BXt8tqxzpE&#10;1yqb5vl11oGrrQMuvEfvwxCki4QvpeDhSUovAlEVxd5COl06t/HMFnNW7hyzTcvHNtg/dKFZa7Do&#10;GeqBBUb2rv0DSrfcgQcZJhx0BlK2XKQZcJoifzfNpmFWpFmQHG/PNPn/B8sfDxv77Ejov0KPC4yE&#10;dNaXHp1xnl46Hb/YKcE4Ung80yb6QHj8qfgynRYY4hi7ur65vZpFmOzyt3U+fBOgSTQq6nAtiS12&#10;WPswpJ5SYjEDq1aptBplfnMgZvRklxajFfptP/a9hfqI4zgYNu0tX7VYc818eGYOV4ttolzDEx5S&#10;QVdRGC1KGnA//+aP+cg4RinpUCoVNahlStR3g5uIqjoZLhnT2ec8R/c23YrbfBZvZq/vAVVY4IOw&#10;PJnodUGdTOlAv6Kal7EahpjhWLOi25N5Hwbh4mvgYrlMSagiy8LabCyP0JGsyORL/8qcHekOuKhH&#10;OImJle9YH3Ljn94u9wG5TyuJxA5sjnyjAtNSx9cSJf72nrIub3rxCwAA//8DAFBLAwQUAAYACAAA&#10;ACEAaq4IddwAAAAEAQAADwAAAGRycy9kb3ducmV2LnhtbEyPUUvDMBSF3wX/Q7jCXsSlkxlKbTq2&#10;gQ8DGThFX9Pm2pYlNyXJuu7fm/miLxcO53DOd8vVZA0b0YfekYTFPAOG1DjdUyvh4/3lIQcWoiKt&#10;jCOUcMEAq+r2plSFdmd6w/EQW5ZKKBRKQhfjUHAemg6tCnM3ICXv23mrYpK+5dqrcyq3hj9mmeBW&#10;9ZQWOjXgtsPmeDhZCZv78Fm/Hv1lt1868TVuhRn2QsrZ3bR+BhZxin9huOIndKgSU+1OpAMzEtIj&#10;8fdevXwpgNUSnvIF8Krk/+GrHwAAAP//AwBQSwECLQAUAAYACAAAACEAtoM4kv4AAADhAQAAEwAA&#10;AAAAAAAAAAAAAAAAAAAAW0NvbnRlbnRfVHlwZXNdLnhtbFBLAQItABQABgAIAAAAIQA4/SH/1gAA&#10;AJQBAAALAAAAAAAAAAAAAAAAAC8BAABfcmVscy8ucmVsc1BLAQItABQABgAIAAAAIQA7VOQlDwIA&#10;ABsEAAAOAAAAAAAAAAAAAAAAAC4CAABkcnMvZTJvRG9jLnhtbFBLAQItABQABgAIAAAAIQBqrgh1&#10;3AAAAAQBAAAPAAAAAAAAAAAAAAAAAGkEAABkcnMvZG93bnJldi54bWxQSwUGAAAAAAQABADzAAAA&#10;cgUAAAAA&#10;" filled="f" stroked="f">
              <v:textbox style="mso-fit-shape-to-text:t" inset="0,0,20pt,15pt">
                <w:txbxContent>
                  <w:p w14:paraId="640713E6" w14:textId="7E934AD3" w:rsidR="00AB7DD7" w:rsidRPr="00AB7DD7" w:rsidRDefault="00AB7DD7" w:rsidP="00AB7DD7">
                    <w:pPr>
                      <w:spacing w:after="0"/>
                      <w:rPr>
                        <w:rFonts w:ascii="Aptos" w:eastAsia="Aptos" w:hAnsi="Aptos" w:cs="Aptos"/>
                        <w:noProof/>
                        <w:color w:val="000000"/>
                        <w:sz w:val="20"/>
                        <w:szCs w:val="20"/>
                      </w:rPr>
                    </w:pPr>
                    <w:r w:rsidRPr="00AB7DD7">
                      <w:rPr>
                        <w:rFonts w:ascii="Aptos" w:eastAsia="Aptos" w:hAnsi="Aptos" w:cs="Aptos"/>
                        <w:noProof/>
                        <w:color w:val="000000"/>
                        <w:sz w:val="20"/>
                        <w:szCs w:val="20"/>
                      </w:rPr>
                      <w:t>Official Use Only</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754289" w14:textId="4FA5A95A" w:rsidR="007055EF" w:rsidRDefault="007055EF">
    <w:pPr>
      <w:pStyle w:val="Footer"/>
      <w:jc w:val="center"/>
    </w:pPr>
  </w:p>
  <w:p w14:paraId="7E9E19B1" w14:textId="1F4B93E4" w:rsidR="00E87A90" w:rsidRDefault="00E87A90">
    <w:pPr>
      <w:pStyle w:val="Footer"/>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27F22C" w14:textId="23334CCD" w:rsidR="00AB7DD7" w:rsidRDefault="00AB7DD7">
    <w:pPr>
      <w:pStyle w:val="Footer"/>
    </w:pPr>
    <w:r>
      <w:rPr>
        <w:noProof/>
      </w:rPr>
      <mc:AlternateContent>
        <mc:Choice Requires="wps">
          <w:drawing>
            <wp:anchor distT="0" distB="0" distL="0" distR="0" simplePos="0" relativeHeight="251658240" behindDoc="0" locked="0" layoutInCell="1" allowOverlap="1" wp14:anchorId="021614D7" wp14:editId="464070DE">
              <wp:simplePos x="635" y="635"/>
              <wp:positionH relativeFrom="page">
                <wp:align>right</wp:align>
              </wp:positionH>
              <wp:positionV relativeFrom="page">
                <wp:align>bottom</wp:align>
              </wp:positionV>
              <wp:extent cx="1172210" cy="368935"/>
              <wp:effectExtent l="0" t="0" r="0" b="0"/>
              <wp:wrapNone/>
              <wp:docPr id="264630713" name="Text Box 1"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72210" cy="368935"/>
                      </a:xfrm>
                      <a:prstGeom prst="rect">
                        <a:avLst/>
                      </a:prstGeom>
                      <a:noFill/>
                      <a:ln>
                        <a:noFill/>
                      </a:ln>
                    </wps:spPr>
                    <wps:txbx>
                      <w:txbxContent>
                        <w:p w14:paraId="3F60353A" w14:textId="68E6BCD9" w:rsidR="00AB7DD7" w:rsidRPr="00AB7DD7" w:rsidRDefault="00AB7DD7" w:rsidP="00AB7DD7">
                          <w:pPr>
                            <w:spacing w:after="0"/>
                            <w:rPr>
                              <w:rFonts w:ascii="Aptos" w:eastAsia="Aptos" w:hAnsi="Aptos" w:cs="Aptos"/>
                              <w:noProof/>
                              <w:color w:val="000000"/>
                              <w:sz w:val="20"/>
                              <w:szCs w:val="20"/>
                            </w:rPr>
                          </w:pPr>
                          <w:r w:rsidRPr="00AB7DD7">
                            <w:rPr>
                              <w:rFonts w:ascii="Aptos" w:eastAsia="Aptos" w:hAnsi="Aptos" w:cs="Aptos"/>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021614D7" id="_x0000_t202" coordsize="21600,21600" o:spt="202" path="m,l,21600r21600,l21600,xe">
              <v:stroke joinstyle="miter"/>
              <v:path gradientshapeok="t" o:connecttype="rect"/>
            </v:shapetype>
            <v:shape id="Text Box 1" o:spid="_x0000_s1087" type="#_x0000_t202" alt="Official Use Only" style="position:absolute;left:0;text-align:left;margin-left:41.1pt;margin-top:0;width:92.3pt;height:29.05pt;z-index:251658240;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yE0EgIAACIEAAAOAAAAZHJzL2Uyb0RvYy54bWysU8tu2zAQvBfoPxC815KcOk0Ey4GbwEUB&#10;IwngFDlTFGkJILkESVtyv75Lyo807anohVrurvYxM5zfDVqRvXC+A1PRYpJTIgyHpjPbiv54WX26&#10;ocQHZhqmwIiKHoSnd4uPH+a9LcUUWlCNcASLGF/2tqJtCLbMMs9boZmfgBUGgxKcZgGvbps1jvVY&#10;XatsmufXWQ+usQ648B69D2OQLlJ9KQUPT1J6EYiqKM4W0unSWcczW8xZuXXMth0/jsH+YQrNOoNN&#10;z6UeWGBk57o/SumOO/Agw4SDzkDKjou0A25T5O+22bTMirQLguPtGSb//8ryx/3GPjsShq8wIIER&#10;kN760qMz7jNIp+MXJyUYRwgPZ9jEEAiPPxVfptMCQxxjV9c3t1ezWCa7/G2dD98EaBKNijqkJaHF&#10;9msfxtRTSmxmYNUplahR5jcH1oye7DJitMJQD6Rr3oxfQ3PArRyMhHvLVx22XjMfnplDhnFaVG14&#10;wkMq6CsKR4uSFtzPv/ljPgKPUUp6VExFDUqaEvXdICFRXCfDJWM6+5zn6K7TrbjNZ/FmdvoeUIwF&#10;vgvLk4leF9TJlA70K4p6GbthiBmOPStan8z7MOoXHwUXy2VKQjFZFtZmY3ksHTGLgL4Mr8zZI+oB&#10;+XqEk6ZY+Q78MTf+6e1yF5CCxEzEd0TzCDsKMXF7fDRR6W/vKevytBe/AAAA//8DAFBLAwQUAAYA&#10;CAAAACEAaq4IddwAAAAEAQAADwAAAGRycy9kb3ducmV2LnhtbEyPUUvDMBSF3wX/Q7jCXsSlkxlK&#10;bTq2gQ8DGThFX9Pm2pYlNyXJuu7fm/miLxcO53DOd8vVZA0b0YfekYTFPAOG1DjdUyvh4/3lIQcW&#10;oiKtjCOUcMEAq+r2plSFdmd6w/EQW5ZKKBRKQhfjUHAemg6tCnM3ICXv23mrYpK+5dqrcyq3hj9m&#10;meBW9ZQWOjXgtsPmeDhZCZv78Fm/Hv1lt1868TVuhRn2QsrZ3bR+BhZxin9huOIndKgSU+1OpAMz&#10;EtIj8fdevXwpgNUSnvIF8Krk/+GrHwAAAP//AwBQSwECLQAUAAYACAAAACEAtoM4kv4AAADhAQAA&#10;EwAAAAAAAAAAAAAAAAAAAAAAW0NvbnRlbnRfVHlwZXNdLnhtbFBLAQItABQABgAIAAAAIQA4/SH/&#10;1gAAAJQBAAALAAAAAAAAAAAAAAAAAC8BAABfcmVscy8ucmVsc1BLAQItABQABgAIAAAAIQDtjyE0&#10;EgIAACIEAAAOAAAAAAAAAAAAAAAAAC4CAABkcnMvZTJvRG9jLnhtbFBLAQItABQABgAIAAAAIQBq&#10;rgh13AAAAAQBAAAPAAAAAAAAAAAAAAAAAGwEAABkcnMvZG93bnJldi54bWxQSwUGAAAAAAQABADz&#10;AAAAdQUAAAAA&#10;" filled="f" stroked="f">
              <v:textbox style="mso-fit-shape-to-text:t" inset="0,0,20pt,15pt">
                <w:txbxContent>
                  <w:p w14:paraId="3F60353A" w14:textId="68E6BCD9" w:rsidR="00AB7DD7" w:rsidRPr="00AB7DD7" w:rsidRDefault="00AB7DD7" w:rsidP="00AB7DD7">
                    <w:pPr>
                      <w:spacing w:after="0"/>
                      <w:rPr>
                        <w:rFonts w:ascii="Aptos" w:eastAsia="Aptos" w:hAnsi="Aptos" w:cs="Aptos"/>
                        <w:noProof/>
                        <w:color w:val="000000"/>
                        <w:sz w:val="20"/>
                        <w:szCs w:val="20"/>
                      </w:rPr>
                    </w:pPr>
                    <w:r w:rsidRPr="00AB7DD7">
                      <w:rPr>
                        <w:rFonts w:ascii="Aptos" w:eastAsia="Aptos" w:hAnsi="Aptos" w:cs="Aptos"/>
                        <w:noProof/>
                        <w:color w:val="000000"/>
                        <w:sz w:val="20"/>
                        <w:szCs w:val="20"/>
                      </w:rPr>
                      <w:t>Official Use Only</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color w:val="auto"/>
      </w:rPr>
      <w:id w:val="-334237340"/>
      <w:docPartObj>
        <w:docPartGallery w:val="Page Numbers (Bottom of Page)"/>
        <w:docPartUnique/>
      </w:docPartObj>
    </w:sdtPr>
    <w:sdtEndPr>
      <w:rPr>
        <w:noProof/>
      </w:rPr>
    </w:sdtEndPr>
    <w:sdtContent>
      <w:sdt>
        <w:sdtPr>
          <w:id w:val="-1935192074"/>
          <w:docPartObj>
            <w:docPartGallery w:val="Page Numbers (Bottom of Page)"/>
            <w:docPartUnique/>
          </w:docPartObj>
        </w:sdtPr>
        <w:sdtEndPr>
          <w:rPr>
            <w:noProof/>
          </w:rPr>
        </w:sdtEndPr>
        <w:sdtContent>
          <w:sdt>
            <w:sdtPr>
              <w:rPr>
                <w:color w:val="auto"/>
              </w:rPr>
              <w:id w:val="2110783984"/>
              <w:docPartObj>
                <w:docPartGallery w:val="Page Numbers (Bottom of Page)"/>
                <w:docPartUnique/>
              </w:docPartObj>
            </w:sdtPr>
            <w:sdtEndPr>
              <w:rPr>
                <w:noProof/>
              </w:rPr>
            </w:sdtEndPr>
            <w:sdtContent>
              <w:sdt>
                <w:sdtPr>
                  <w:rPr>
                    <w:color w:val="auto"/>
                  </w:rPr>
                  <w:id w:val="-137804652"/>
                  <w:docPartObj>
                    <w:docPartGallery w:val="Page Numbers (Bottom of Page)"/>
                    <w:docPartUnique/>
                  </w:docPartObj>
                </w:sdtPr>
                <w:sdtEndPr>
                  <w:rPr>
                    <w:noProof/>
                  </w:rPr>
                </w:sdtEndPr>
                <w:sdtContent>
                  <w:sdt>
                    <w:sdtPr>
                      <w:id w:val="679021004"/>
                      <w:docPartObj>
                        <w:docPartGallery w:val="Page Numbers (Bottom of Page)"/>
                        <w:docPartUnique/>
                      </w:docPartObj>
                    </w:sdtPr>
                    <w:sdtEndPr>
                      <w:rPr>
                        <w:noProof/>
                      </w:rPr>
                    </w:sdtEndPr>
                    <w:sdtContent>
                      <w:p w14:paraId="7D49D0FB" w14:textId="20DCC735" w:rsidR="002F0AD5" w:rsidRPr="00D13682" w:rsidRDefault="002F0AD5" w:rsidP="00D13682">
                        <w:pPr>
                          <w:pStyle w:val="Footer"/>
                          <w:jc w:val="center"/>
                        </w:pPr>
                        <w:r>
                          <w:fldChar w:fldCharType="begin"/>
                        </w:r>
                        <w:r>
                          <w:instrText xml:space="preserve"> PAGE   \* MERGEFORMAT </w:instrText>
                        </w:r>
                        <w:r>
                          <w:fldChar w:fldCharType="separate"/>
                        </w:r>
                        <w:r>
                          <w:t>viii</w:t>
                        </w:r>
                        <w:r>
                          <w:rPr>
                            <w:noProof/>
                          </w:rPr>
                          <w:fldChar w:fldCharType="end"/>
                        </w:r>
                      </w:p>
                    </w:sdtContent>
                  </w:sdt>
                </w:sdtContent>
              </w:sdt>
            </w:sdtContent>
          </w:sdt>
        </w:sdtContent>
      </w:sdt>
      <w:p w14:paraId="227634D0" w14:textId="13E316E9" w:rsidR="007055EF" w:rsidRPr="002F0AD5" w:rsidRDefault="00000000">
        <w:pPr>
          <w:pStyle w:val="Footer"/>
          <w:jc w:val="center"/>
          <w:rPr>
            <w:color w:val="auto"/>
          </w:rPr>
        </w:pPr>
      </w:p>
    </w:sdtContent>
  </w:sdt>
  <w:p w14:paraId="34E2A136" w14:textId="5752E709" w:rsidR="00E87A90" w:rsidRPr="009C2364" w:rsidRDefault="00E87A90" w:rsidP="009C2364">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84421023"/>
      <w:docPartObj>
        <w:docPartGallery w:val="Page Numbers (Bottom of Page)"/>
        <w:docPartUnique/>
      </w:docPartObj>
    </w:sdtPr>
    <w:sdtEndPr>
      <w:rPr>
        <w:noProof/>
      </w:rPr>
    </w:sdtEndPr>
    <w:sdtContent>
      <w:p w14:paraId="0D9ACD45" w14:textId="77777777" w:rsidR="00E67F89" w:rsidRDefault="00E67F8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6C17695" w14:textId="77777777" w:rsidR="00E67F89" w:rsidRPr="009C2364" w:rsidRDefault="00E67F89" w:rsidP="009C2364">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B024C7" w14:textId="77777777" w:rsidR="00E67F89" w:rsidRPr="00E67F89" w:rsidRDefault="00E67F89" w:rsidP="00E67F89"/>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49CE1F" w14:textId="77777777" w:rsidR="00E67F89" w:rsidRPr="00E67F89" w:rsidRDefault="00E67F89" w:rsidP="00E67F89"/>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23CC11" w14:textId="6825ECB4" w:rsidR="00E87A90" w:rsidRPr="00667D91" w:rsidRDefault="00AB7DD7" w:rsidP="00347FDB">
    <w:r>
      <w:rPr>
        <w:noProof/>
      </w:rPr>
      <mc:AlternateContent>
        <mc:Choice Requires="wps">
          <w:drawing>
            <wp:anchor distT="0" distB="0" distL="0" distR="0" simplePos="0" relativeHeight="251658242" behindDoc="0" locked="0" layoutInCell="1" allowOverlap="1" wp14:anchorId="11F69EBE" wp14:editId="0E10A2E6">
              <wp:simplePos x="635" y="635"/>
              <wp:positionH relativeFrom="page">
                <wp:align>right</wp:align>
              </wp:positionH>
              <wp:positionV relativeFrom="page">
                <wp:align>bottom</wp:align>
              </wp:positionV>
              <wp:extent cx="1172210" cy="368935"/>
              <wp:effectExtent l="0" t="0" r="0" b="0"/>
              <wp:wrapNone/>
              <wp:docPr id="747157806" name="Text Box 5"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72210" cy="368935"/>
                      </a:xfrm>
                      <a:prstGeom prst="rect">
                        <a:avLst/>
                      </a:prstGeom>
                      <a:noFill/>
                      <a:ln>
                        <a:noFill/>
                      </a:ln>
                    </wps:spPr>
                    <wps:txbx>
                      <w:txbxContent>
                        <w:p w14:paraId="4C39F9BA" w14:textId="672E203F" w:rsidR="00AB7DD7" w:rsidRPr="00AB7DD7" w:rsidRDefault="00AB7DD7" w:rsidP="00AB7DD7">
                          <w:pPr>
                            <w:spacing w:after="0"/>
                            <w:rPr>
                              <w:rFonts w:ascii="Aptos" w:eastAsia="Aptos" w:hAnsi="Aptos" w:cs="Aptos"/>
                              <w:noProof/>
                              <w:color w:val="000000"/>
                              <w:sz w:val="20"/>
                              <w:szCs w:val="20"/>
                            </w:rPr>
                          </w:pPr>
                          <w:r w:rsidRPr="00AB7DD7">
                            <w:rPr>
                              <w:rFonts w:ascii="Aptos" w:eastAsia="Aptos" w:hAnsi="Aptos" w:cs="Aptos"/>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11F69EBE" id="_x0000_t202" coordsize="21600,21600" o:spt="202" path="m,l,21600r21600,l21600,xe">
              <v:stroke joinstyle="miter"/>
              <v:path gradientshapeok="t" o:connecttype="rect"/>
            </v:shapetype>
            <v:shape id="Text Box 5" o:spid="_x0000_s1088" type="#_x0000_t202" alt="Official Use Only" style="position:absolute;left:0;text-align:left;margin-left:41.1pt;margin-top:0;width:92.3pt;height:29.05pt;z-index:251658242;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dJ2FAIAACIEAAAOAAAAZHJzL2Uyb0RvYy54bWysU8tu2zAQvBfoPxC813qkThPBcuAmcFHA&#10;SAI4Rc4URVoCRC5B0pbcr++Ssuw07anohVrurvYxM1zcDaojB2FdC7qk2SylRGgOdat3Jf3xsv50&#10;Q4nzTNesAy1KehSO3i0/flj0phA5NNDVwhIsol3Rm5I23psiSRxvhGJuBkZoDEqwinm82l1SW9Zj&#10;ddUleZpeJz3Y2ljgwjn0PoxBuoz1pRTcP0nphCddSXE2H08bzyqcyXLBip1lpmn5aQz2D1Mo1mps&#10;ei71wDwje9v+UUq13IID6WccVAJStlzEHXCbLH23zbZhRsRdEBxnzjC5/1eWPx625tkSP3yFAQkM&#10;gPTGFQ6dYZ9BWhW+OCnBOEJ4PMMmBk94+Cn7kucZhjjGrq5vbq/moUxy+dtY578JUCQYJbVIS0SL&#10;HTbOj6lTSmimYd12XaSm0785sGbwJJcRg+WHaiBtXdJ8Gr+C+ohbWRgJd4avW2y9Yc4/M4sM47So&#10;Wv+Eh+ygLymcLEoasD//5g/5CDxGKelRMSXVKGlKuu8aCQnimgwbjXz+OU3RXcVbdpvOw03v1T2g&#10;GDN8F4ZHE73Wd5MpLahXFPUqdMMQ0xx7lrSazHs/6hcfBRerVUxCMRnmN3preCgdMAuAvgyvzJoT&#10;6h75eoRJU6x4B/6YG/50ZrX3SEFkJuA7onmCHYUYuT09mqD0t/eYdXnay18AAAD//wMAUEsDBBQA&#10;BgAIAAAAIQBqrgh13AAAAAQBAAAPAAAAZHJzL2Rvd25yZXYueG1sTI9RS8MwFIXfBf9DuMJexKWT&#10;GUptOraBDwMZOEVf0+baliU3Jcm67t+b+aIvFw7ncM53y9VkDRvRh96RhMU8A4bUON1TK+Hj/eUh&#10;BxaiIq2MI5RwwQCr6vamVIV2Z3rD8RBblkooFEpCF+NQcB6aDq0KczcgJe/beatikr7l2qtzKreG&#10;P2aZ4Fb1lBY6NeC2w+Z4OFkJm/vwWb8e/WW3XzrxNW6FGfZCytndtH4GFnGKf2G44id0qBJT7U6k&#10;AzMS0iPx9169fCmA1RKe8gXwquT/4asfAAAA//8DAFBLAQItABQABgAIAAAAIQC2gziS/gAAAOEB&#10;AAATAAAAAAAAAAAAAAAAAAAAAABbQ29udGVudF9UeXBlc10ueG1sUEsBAi0AFAAGAAgAAAAhADj9&#10;If/WAAAAlAEAAAsAAAAAAAAAAAAAAAAALwEAAF9yZWxzLy5yZWxzUEsBAi0AFAAGAAgAAAAhALwZ&#10;0nYUAgAAIgQAAA4AAAAAAAAAAAAAAAAALgIAAGRycy9lMm9Eb2MueG1sUEsBAi0AFAAGAAgAAAAh&#10;AGquCHXcAAAABAEAAA8AAAAAAAAAAAAAAAAAbgQAAGRycy9kb3ducmV2LnhtbFBLBQYAAAAABAAE&#10;APMAAAB3BQAAAAA=&#10;" filled="f" stroked="f">
              <v:textbox style="mso-fit-shape-to-text:t" inset="0,0,20pt,15pt">
                <w:txbxContent>
                  <w:p w14:paraId="4C39F9BA" w14:textId="672E203F" w:rsidR="00AB7DD7" w:rsidRPr="00AB7DD7" w:rsidRDefault="00AB7DD7" w:rsidP="00AB7DD7">
                    <w:pPr>
                      <w:spacing w:after="0"/>
                      <w:rPr>
                        <w:rFonts w:ascii="Aptos" w:eastAsia="Aptos" w:hAnsi="Aptos" w:cs="Aptos"/>
                        <w:noProof/>
                        <w:color w:val="000000"/>
                        <w:sz w:val="20"/>
                        <w:szCs w:val="20"/>
                      </w:rPr>
                    </w:pPr>
                    <w:r w:rsidRPr="00AB7DD7">
                      <w:rPr>
                        <w:rFonts w:ascii="Aptos" w:eastAsia="Aptos" w:hAnsi="Aptos" w:cs="Aptos"/>
                        <w:noProof/>
                        <w:color w:val="000000"/>
                        <w:sz w:val="20"/>
                        <w:szCs w:val="20"/>
                      </w:rPr>
                      <w:t>Official Use Only</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46966073"/>
      <w:docPartObj>
        <w:docPartGallery w:val="Page Numbers (Bottom of Page)"/>
        <w:docPartUnique/>
      </w:docPartObj>
    </w:sdtPr>
    <w:sdtEndPr>
      <w:rPr>
        <w:noProof/>
      </w:rPr>
    </w:sdtEndPr>
    <w:sdtContent>
      <w:p w14:paraId="26CE06AA" w14:textId="78298AA5" w:rsidR="007055EF" w:rsidRDefault="007055EF">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948A970" w14:textId="44024997" w:rsidR="007055EF" w:rsidRDefault="007055E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C40A5B0" w14:textId="77777777" w:rsidR="00EC16B3" w:rsidRDefault="00EC16B3" w:rsidP="00A95B58">
      <w:pPr>
        <w:spacing w:after="0" w:line="240" w:lineRule="auto"/>
      </w:pPr>
      <w:r>
        <w:separator/>
      </w:r>
    </w:p>
  </w:footnote>
  <w:footnote w:type="continuationSeparator" w:id="0">
    <w:p w14:paraId="3ADB0F5A" w14:textId="77777777" w:rsidR="00EC16B3" w:rsidRDefault="00EC16B3" w:rsidP="00A95B58">
      <w:pPr>
        <w:spacing w:after="0" w:line="240" w:lineRule="auto"/>
      </w:pPr>
      <w:r>
        <w:continuationSeparator/>
      </w:r>
    </w:p>
  </w:footnote>
  <w:footnote w:type="continuationNotice" w:id="1">
    <w:p w14:paraId="79DF4899" w14:textId="77777777" w:rsidR="00EC16B3" w:rsidRDefault="00EC16B3">
      <w:pPr>
        <w:spacing w:after="0" w:line="240" w:lineRule="auto"/>
      </w:pPr>
    </w:p>
  </w:footnote>
  <w:footnote w:id="2">
    <w:p w14:paraId="36ADD0BD" w14:textId="127FB6C7" w:rsidR="00E87A90" w:rsidRPr="00B4765A" w:rsidRDefault="00E87A90" w:rsidP="00D36171">
      <w:pPr>
        <w:pStyle w:val="FootnoteText"/>
      </w:pPr>
      <w:r w:rsidRPr="00B4765A">
        <w:rPr>
          <w:rStyle w:val="FootnoteReference"/>
          <w:rFonts w:ascii="Book Antiqua" w:hAnsi="Book Antiqua"/>
          <w:iCs/>
          <w:sz w:val="18"/>
          <w:szCs w:val="18"/>
        </w:rPr>
        <w:footnoteRef/>
      </w:r>
      <w:r w:rsidRPr="00B4765A">
        <w:t xml:space="preserve"> Cf. </w:t>
      </w:r>
      <w:r w:rsidRPr="00B4765A">
        <w:fldChar w:fldCharType="begin"/>
      </w:r>
      <w:r w:rsidRPr="00B4765A">
        <w:instrText xml:space="preserve"> REF _Ref71592141 \h  \* MERGEFORMAT </w:instrText>
      </w:r>
      <w:r w:rsidRPr="00B4765A">
        <w:fldChar w:fldCharType="separate"/>
      </w:r>
      <w:r w:rsidRPr="00C801A6">
        <w:t>ANALYSE DES ALTERNATIVES</w:t>
      </w:r>
      <w:r w:rsidRPr="00B4765A">
        <w:fldChar w:fldCharType="end"/>
      </w:r>
      <w:r w:rsidRPr="00B4765A">
        <w:t xml:space="preserve"> (cliquer dessus)</w:t>
      </w:r>
    </w:p>
  </w:footnote>
  <w:footnote w:id="3">
    <w:p w14:paraId="2DC1014C" w14:textId="11AF0B9B" w:rsidR="00F10D72" w:rsidRDefault="00F10D72" w:rsidP="00D36171">
      <w:pPr>
        <w:pStyle w:val="FootnoteText"/>
      </w:pPr>
      <w:r>
        <w:rPr>
          <w:rStyle w:val="FootnoteReference"/>
        </w:rPr>
        <w:footnoteRef/>
      </w:r>
      <w:r>
        <w:t xml:space="preserve"> RN4 (section 1) dans les régions Analamanga, Betsiboka et Boeny</w:t>
      </w:r>
    </w:p>
  </w:footnote>
  <w:footnote w:id="4">
    <w:p w14:paraId="0A83D70A" w14:textId="5D41B56C" w:rsidR="00F10D72" w:rsidRDefault="00F10D72" w:rsidP="00D36171">
      <w:pPr>
        <w:pStyle w:val="FootnoteText"/>
      </w:pPr>
      <w:r>
        <w:rPr>
          <w:rStyle w:val="FootnoteReference"/>
        </w:rPr>
        <w:footnoteRef/>
      </w:r>
      <w:r>
        <w:t xml:space="preserve"> RN6 (section 2) dans les régions Boeny et Sofia (Ambondromamy à Antsohihy), et région Sofia et Diana pour section 3 (Antsohihy à Ambanja)</w:t>
      </w:r>
    </w:p>
  </w:footnote>
  <w:footnote w:id="5">
    <w:p w14:paraId="7CEECAA5" w14:textId="77777777" w:rsidR="00E87A90" w:rsidRDefault="00E87A90" w:rsidP="00D36171">
      <w:pPr>
        <w:pStyle w:val="FootnoteText"/>
      </w:pPr>
      <w:r>
        <w:rPr>
          <w:rStyle w:val="FootnoteReference"/>
        </w:rPr>
        <w:footnoteRef/>
      </w:r>
      <w:r>
        <w:t xml:space="preserve"> </w:t>
      </w:r>
      <w:r w:rsidRPr="00200475">
        <w:t xml:space="preserve">La longueur des linéaires </w:t>
      </w:r>
      <w:r>
        <w:t>à réhabiliter</w:t>
      </w:r>
      <w:r w:rsidRPr="00200475">
        <w:t xml:space="preserve"> </w:t>
      </w:r>
      <w:r>
        <w:t xml:space="preserve">de ces RN </w:t>
      </w:r>
      <w:r w:rsidRPr="00200475">
        <w:t>seront définies à l’issue de ces études préparatoires et du budget disponible</w:t>
      </w:r>
      <w:r>
        <w:t>.</w:t>
      </w:r>
    </w:p>
  </w:footnote>
  <w:footnote w:id="6">
    <w:p w14:paraId="0A4C29F7" w14:textId="0287576F" w:rsidR="00E87A90" w:rsidRDefault="00E87A90" w:rsidP="006A5365">
      <w:pPr>
        <w:spacing w:after="0" w:line="240" w:lineRule="auto"/>
      </w:pPr>
      <w:r>
        <w:footnoteRef/>
      </w:r>
      <w:r>
        <w:t xml:space="preserve"> Centre de santé de base de niveau I</w:t>
      </w:r>
    </w:p>
  </w:footnote>
  <w:footnote w:id="7">
    <w:p w14:paraId="22D47197" w14:textId="59CE0997" w:rsidR="00E87A90" w:rsidRDefault="00E87A90" w:rsidP="006A5365">
      <w:pPr>
        <w:spacing w:after="0" w:line="240" w:lineRule="auto"/>
      </w:pPr>
      <w:r>
        <w:footnoteRef/>
      </w:r>
      <w:r>
        <w:t xml:space="preserve"> Centre de santé de base de niveau II</w:t>
      </w:r>
    </w:p>
  </w:footnote>
  <w:footnote w:id="8">
    <w:p w14:paraId="051617E4" w14:textId="2E376291" w:rsidR="00E87A90" w:rsidRDefault="00E87A90" w:rsidP="006A5365">
      <w:pPr>
        <w:spacing w:after="0" w:line="240" w:lineRule="auto"/>
      </w:pPr>
      <w:r>
        <w:footnoteRef/>
      </w:r>
      <w:r>
        <w:t xml:space="preserve"> Centre hospitalier de district de niveau I</w:t>
      </w:r>
    </w:p>
  </w:footnote>
  <w:footnote w:id="9">
    <w:p w14:paraId="51AD54B8" w14:textId="23D1F9C4" w:rsidR="00E87A90" w:rsidRDefault="00E87A90" w:rsidP="006A5365">
      <w:pPr>
        <w:spacing w:after="0" w:line="240" w:lineRule="auto"/>
      </w:pPr>
      <w:r>
        <w:footnoteRef/>
      </w:r>
      <w:r>
        <w:t xml:space="preserve"> Centre hospitalier de district de niveau II</w:t>
      </w:r>
    </w:p>
  </w:footnote>
  <w:footnote w:id="10">
    <w:p w14:paraId="01A236E5" w14:textId="46163A15" w:rsidR="00E87A90" w:rsidRDefault="00E87A90" w:rsidP="006A5365">
      <w:pPr>
        <w:spacing w:after="0" w:line="240" w:lineRule="auto"/>
      </w:pPr>
      <w:r>
        <w:footnoteRef/>
      </w:r>
      <w:r>
        <w:t xml:space="preserve"> Centre hospitalier universiatire</w:t>
      </w:r>
    </w:p>
  </w:footnote>
  <w:footnote w:id="11">
    <w:p w14:paraId="6125F14A" w14:textId="1DF472FE" w:rsidR="00E87A90" w:rsidRDefault="00E87A90" w:rsidP="006A5365">
      <w:pPr>
        <w:spacing w:after="0" w:line="240" w:lineRule="auto"/>
      </w:pPr>
      <w:r>
        <w:footnoteRef/>
      </w:r>
      <w:r>
        <w:t xml:space="preserve"> Centre hospitalier régional</w:t>
      </w:r>
    </w:p>
  </w:footnote>
  <w:footnote w:id="12">
    <w:p w14:paraId="50162E0C" w14:textId="77777777" w:rsidR="00E87A90" w:rsidRPr="00916FD6" w:rsidRDefault="00E87A90" w:rsidP="00D36171">
      <w:pPr>
        <w:pStyle w:val="FootnoteText"/>
        <w:rPr>
          <w:rFonts w:ascii="Book Antiqua" w:hAnsi="Book Antiqua"/>
          <w:iCs/>
          <w:sz w:val="18"/>
          <w:szCs w:val="18"/>
        </w:rPr>
      </w:pPr>
      <w:r w:rsidRPr="00916FD6">
        <w:rPr>
          <w:rStyle w:val="FootnoteReference"/>
          <w:rFonts w:ascii="Book Antiqua" w:hAnsi="Book Antiqua"/>
          <w:iCs/>
          <w:sz w:val="18"/>
          <w:szCs w:val="18"/>
        </w:rPr>
        <w:footnoteRef/>
      </w:r>
      <w:r w:rsidRPr="00916FD6">
        <w:rPr>
          <w:rFonts w:ascii="Book Antiqua" w:hAnsi="Book Antiqua"/>
          <w:iCs/>
          <w:sz w:val="18"/>
          <w:szCs w:val="18"/>
        </w:rPr>
        <w:t xml:space="preserve"> </w:t>
      </w:r>
      <w:hyperlink r:id="rId1" w:history="1">
        <w:r w:rsidRPr="00916FD6">
          <w:rPr>
            <w:rStyle w:val="Hyperlink"/>
            <w:rFonts w:ascii="Book Antiqua" w:hAnsi="Book Antiqua"/>
            <w:iCs/>
            <w:color w:val="auto"/>
            <w:sz w:val="18"/>
            <w:szCs w:val="18"/>
            <w:u w:val="none"/>
          </w:rPr>
          <w:t>https://madagascar.unfpa.org/fr/publications/rapport-annuel-2020-madagascar-comores-maurice-seychelles-la-marche-continue-m%C3%AAme-avec</w:t>
        </w:r>
      </w:hyperlink>
    </w:p>
  </w:footnote>
  <w:footnote w:id="13">
    <w:p w14:paraId="2E09839C" w14:textId="58541799" w:rsidR="00E87A90" w:rsidRDefault="00E87A90">
      <w:r>
        <w:footnoteRef/>
      </w:r>
      <w:r>
        <w:t xml:space="preserve"> C’est un lien social qui régit la société à travers des règles et de normes qui définissent un code de bonne conduite</w:t>
      </w:r>
    </w:p>
  </w:footnote>
  <w:footnote w:id="14">
    <w:p w14:paraId="7DF15EAB" w14:textId="2B9BCA08" w:rsidR="00E87A90" w:rsidRDefault="00E87A90" w:rsidP="00D36171">
      <w:pPr>
        <w:pStyle w:val="FootnoteText"/>
      </w:pPr>
      <w:r>
        <w:rPr>
          <w:rStyle w:val="FootnoteReference"/>
        </w:rPr>
        <w:footnoteRef/>
      </w:r>
      <w:r>
        <w:t xml:space="preserve"> Ces mécanismes peuvent changer avec le partenaire ou dans l’espace</w:t>
      </w:r>
    </w:p>
  </w:footnote>
  <w:footnote w:id="15">
    <w:p w14:paraId="3391A203" w14:textId="30A08333" w:rsidR="00E87A90" w:rsidRPr="004C4CFA" w:rsidRDefault="00E87A90" w:rsidP="00D36171">
      <w:pPr>
        <w:pStyle w:val="FootnoteText"/>
      </w:pPr>
      <w:r>
        <w:rPr>
          <w:rStyle w:val="FootnoteReference"/>
        </w:rPr>
        <w:footnoteRef/>
      </w:r>
      <w:r w:rsidRPr="004C4CFA">
        <w:t xml:space="preserve"> </w:t>
      </w:r>
      <w:r>
        <w:t>Banque mondiale : citée dans</w:t>
      </w:r>
      <w:r w:rsidRPr="004C4CFA">
        <w:t xml:space="preserve"> </w:t>
      </w:r>
      <w:hyperlink r:id="rId2" w:history="1">
        <w:r w:rsidRPr="004C4CFA">
          <w:rPr>
            <w:rStyle w:val="Hyperlink"/>
          </w:rPr>
          <w:t>https://midi-madagasikara.mg/2021/02/08/secteur-de-la-peche-une-production-annuelle-dune-valeur-de-750-millions-usd/</w:t>
        </w:r>
      </w:hyperlink>
      <w:r>
        <w:t xml:space="preserve"> </w:t>
      </w:r>
    </w:p>
  </w:footnote>
  <w:footnote w:id="16">
    <w:p w14:paraId="31C62B28" w14:textId="77777777" w:rsidR="00E87A90" w:rsidRDefault="00E87A90" w:rsidP="00D36171">
      <w:pPr>
        <w:pStyle w:val="FootnoteText"/>
      </w:pPr>
      <w:r>
        <w:rPr>
          <w:rStyle w:val="FootnoteReference"/>
        </w:rPr>
        <w:footnoteRef/>
      </w:r>
      <w:r>
        <w:t xml:space="preserve"> </w:t>
      </w:r>
      <w:hyperlink r:id="rId3" w:history="1">
        <w:r w:rsidRPr="00FD1F3C">
          <w:rPr>
            <w:rStyle w:val="Hyperlink"/>
          </w:rPr>
          <w:t>https://www.banquemondiale.org/fr/country/madagascar/publication/madagascar-economic-update-fostering-financial-inclusion</w:t>
        </w:r>
      </w:hyperlink>
    </w:p>
  </w:footnote>
  <w:footnote w:id="17">
    <w:p w14:paraId="163614B7" w14:textId="77777777" w:rsidR="00E87A90" w:rsidRDefault="00E87A90" w:rsidP="00D36171">
      <w:pPr>
        <w:pStyle w:val="FootnoteText"/>
      </w:pPr>
      <w:r>
        <w:rPr>
          <w:rStyle w:val="FootnoteReference"/>
        </w:rPr>
        <w:footnoteRef/>
      </w:r>
      <w:r>
        <w:t xml:space="preserve"> </w:t>
      </w:r>
      <w:hyperlink r:id="rId4" w:history="1">
        <w:r w:rsidRPr="00FD1F3C">
          <w:rPr>
            <w:rStyle w:val="Hyperlink"/>
          </w:rPr>
          <w:t>https://www.banquemondiale.org/fr/country/madagascar/publication/madagascar-economic-update-fostering-financial-inclusion</w:t>
        </w:r>
      </w:hyperlink>
    </w:p>
  </w:footnote>
  <w:footnote w:id="18">
    <w:p w14:paraId="6CFAB6C1" w14:textId="77777777" w:rsidR="00E87A90" w:rsidRPr="00FA02F8" w:rsidRDefault="00E87A90" w:rsidP="00575CDF">
      <w:pPr>
        <w:rPr>
          <w:i/>
          <w:sz w:val="20"/>
        </w:rPr>
      </w:pPr>
      <w:r w:rsidRPr="00FA02F8">
        <w:rPr>
          <w:sz w:val="20"/>
          <w:vertAlign w:val="superscript"/>
        </w:rPr>
        <w:footnoteRef/>
      </w:r>
      <w:r w:rsidRPr="00FA02F8">
        <w:rPr>
          <w:vertAlign w:val="superscript"/>
        </w:rPr>
        <w:t xml:space="preserve"> </w:t>
      </w:r>
      <w:hyperlink r:id="rId5" w:history="1">
        <w:r w:rsidRPr="00FA02F8">
          <w:rPr>
            <w:rStyle w:val="Hyperlink"/>
            <w:i/>
            <w:sz w:val="20"/>
          </w:rPr>
          <w:t>https://www.ifc.org/wps/wcm/connect/topics_ext_content/ifc_external_corporate_site/sustainability-at-ifc/policies-standards/ehs-guidelines</w:t>
        </w:r>
      </w:hyperlink>
      <w:r w:rsidRPr="00FA02F8">
        <w:rPr>
          <w:i/>
          <w:sz w:val="20"/>
        </w:rPr>
        <w:t xml:space="preserve"> </w:t>
      </w:r>
    </w:p>
  </w:footnote>
  <w:footnote w:id="19">
    <w:p w14:paraId="6941F376" w14:textId="3909413A" w:rsidR="00E87A90" w:rsidRDefault="00E87A90" w:rsidP="00D36171">
      <w:pPr>
        <w:pStyle w:val="FootnoteText"/>
      </w:pPr>
      <w:r>
        <w:rPr>
          <w:rStyle w:val="FootnoteReference"/>
        </w:rPr>
        <w:footnoteRef/>
      </w:r>
      <w:r>
        <w:t xml:space="preserve"> </w:t>
      </w:r>
      <w:r w:rsidR="00CE71D9" w:rsidRPr="00CE71D9">
        <w:t>https://www.ifc.org/en/insights-reports/general-environmental-health-and-safety-guidelines</w:t>
      </w:r>
    </w:p>
  </w:footnote>
  <w:footnote w:id="20">
    <w:p w14:paraId="2C621A80" w14:textId="28D78DB7" w:rsidR="00744A60" w:rsidRDefault="00744A60" w:rsidP="00D36171">
      <w:pPr>
        <w:pStyle w:val="FootnoteText"/>
      </w:pPr>
      <w:r>
        <w:rPr>
          <w:rStyle w:val="FootnoteReference"/>
        </w:rPr>
        <w:footnoteRef/>
      </w:r>
      <w:r>
        <w:t xml:space="preserve"> Dans le cadre de CERC1 uniquement</w:t>
      </w:r>
    </w:p>
  </w:footnote>
  <w:footnote w:id="21">
    <w:p w14:paraId="2225DEB2" w14:textId="009920D9" w:rsidR="00E87A90" w:rsidRPr="00C112A3" w:rsidRDefault="00E87A90" w:rsidP="00D36171">
      <w:pPr>
        <w:pStyle w:val="FootnoteText"/>
      </w:pPr>
      <w:r w:rsidRPr="00C112A3">
        <w:rPr>
          <w:rStyle w:val="FootnoteReference"/>
          <w:rFonts w:ascii="Book Antiqua" w:hAnsi="Book Antiqua"/>
          <w:iCs/>
          <w:sz w:val="18"/>
          <w:szCs w:val="18"/>
        </w:rPr>
        <w:footnoteRef/>
      </w:r>
      <w:r w:rsidRPr="00C112A3">
        <w:t xml:space="preserve"> Voir les détails </w:t>
      </w:r>
      <w:r>
        <w:t>en annexe</w:t>
      </w:r>
    </w:p>
  </w:footnote>
  <w:footnote w:id="22">
    <w:p w14:paraId="21DD0A90" w14:textId="77777777" w:rsidR="00E87A90" w:rsidRPr="00730874" w:rsidRDefault="00E87A90" w:rsidP="00D36171">
      <w:pPr>
        <w:pStyle w:val="FootnoteText"/>
      </w:pPr>
      <w:r w:rsidRPr="00730874">
        <w:rPr>
          <w:rStyle w:val="FootnoteReference"/>
          <w:rFonts w:ascii="Book Antiqua" w:hAnsi="Book Antiqua"/>
          <w:iCs/>
          <w:sz w:val="18"/>
          <w:szCs w:val="18"/>
        </w:rPr>
        <w:footnoteRef/>
      </w:r>
      <w:r w:rsidRPr="00730874">
        <w:t xml:space="preserve"> Société Financière Internationale</w:t>
      </w:r>
    </w:p>
  </w:footnote>
  <w:footnote w:id="23">
    <w:p w14:paraId="37EAFD1F" w14:textId="77777777" w:rsidR="00E87A90" w:rsidRPr="009D41CC" w:rsidRDefault="00E87A90" w:rsidP="00D36171">
      <w:pPr>
        <w:pStyle w:val="FootnoteText"/>
      </w:pPr>
      <w:r w:rsidRPr="009D41CC">
        <w:rPr>
          <w:rStyle w:val="FootnoteReference"/>
          <w:rFonts w:ascii="Book Antiqua" w:hAnsi="Book Antiqua"/>
          <w:iCs/>
          <w:sz w:val="18"/>
          <w:szCs w:val="18"/>
        </w:rPr>
        <w:footnoteRef/>
      </w:r>
      <w:r w:rsidRPr="009D41CC">
        <w:t xml:space="preserve"> </w:t>
      </w:r>
      <w:r w:rsidRPr="009D41CC">
        <w:rPr>
          <w:u w:val="single"/>
        </w:rPr>
        <w:t>Note</w:t>
      </w:r>
      <w:r w:rsidRPr="009D41CC">
        <w:t xml:space="preserve"> : Plus tard, quand les axes à entretenir seront connus, durant la préparation des études environnementales et sociales relatives à l’entretien d’un axe donné, il faudra définir le profil des villages, les zones habitées et fréquentées, le long de la zone d’influence immédiate de l’axe considéré. L’étude évaluera également les risques et les effets sur la santé et la sécurité des populations, notamment les populations vulnérables, y compris les risques de violences basées sur le genre (VBG) et d’exploitation et abus sexuels liés à l’afflux des travailleurs chargés de la construction / réhabilitation et de se conformer à l’étude et aux dispositions de l’analyse de risques de VBG et des plans d’actions retenus. L’étude proposera des mesures d’atténuation des risques identifiés.</w:t>
      </w:r>
    </w:p>
  </w:footnote>
  <w:footnote w:id="24">
    <w:p w14:paraId="41131E07" w14:textId="1B4EB1FB" w:rsidR="00E87A90" w:rsidRDefault="00E87A90" w:rsidP="00D36171">
      <w:pPr>
        <w:pStyle w:val="FootnoteText"/>
      </w:pPr>
      <w:r>
        <w:rPr>
          <w:rStyle w:val="FootnoteReference"/>
        </w:rPr>
        <w:footnoteRef/>
      </w:r>
      <w:r>
        <w:t xml:space="preserve"> Schéma d’aménagement communal</w:t>
      </w:r>
    </w:p>
  </w:footnote>
  <w:footnote w:id="25">
    <w:p w14:paraId="68866C11" w14:textId="192FA61A" w:rsidR="00E87A90" w:rsidRDefault="00E87A90" w:rsidP="00D36171">
      <w:pPr>
        <w:pStyle w:val="FootnoteText"/>
      </w:pPr>
      <w:r>
        <w:rPr>
          <w:rStyle w:val="FootnoteReference"/>
        </w:rPr>
        <w:footnoteRef/>
      </w:r>
      <w:r>
        <w:t xml:space="preserve"> Schéma régional de l’aménagement du territoire</w:t>
      </w:r>
    </w:p>
  </w:footnote>
  <w:footnote w:id="26">
    <w:p w14:paraId="7DE0284D" w14:textId="77777777" w:rsidR="00E87A90" w:rsidRDefault="00E87A90" w:rsidP="00D36171">
      <w:pPr>
        <w:pStyle w:val="FootnoteText"/>
      </w:pPr>
      <w:r>
        <w:rPr>
          <w:rStyle w:val="FootnoteReference"/>
        </w:rPr>
        <w:footnoteRef/>
      </w:r>
      <w:r>
        <w:t xml:space="preserve"> 4 ans car les périodes de temps pour les études sont à défalquer de la durée du Projet</w:t>
      </w:r>
    </w:p>
  </w:footnote>
  <w:footnote w:id="27">
    <w:p w14:paraId="6C933DB8" w14:textId="77777777" w:rsidR="00E67F89" w:rsidRPr="00E67F89" w:rsidRDefault="00E67F89" w:rsidP="00E67F89">
      <w:r w:rsidRPr="00E67F89">
        <w:footnoteRef/>
      </w:r>
      <w:r w:rsidRPr="00E67F89">
        <w:t>BPISA : Les bonnes pratiques internationales d’un secteur d’activité (BPISA) sont des pratiques que l’on peut raisonnablement attendre de professionnels qualifiés et chevronnés faisant preuve de compétence professionnelle, de diligence, de prudence et de prévoyance dans le cadre de la poursuite d’activités du même type dans des circonstances identiques ou semblables, partout dans la région ou à travers le monde . L’adoption de telles pratiques devrait avoir pour conséquence que les technologies les mieux appropriées soient employées dans le cadre particulier du projet.</w:t>
      </w:r>
    </w:p>
  </w:footnote>
  <w:footnote w:id="28">
    <w:p w14:paraId="67B3A5DD" w14:textId="77777777" w:rsidR="00E67F89" w:rsidRPr="00E67F89" w:rsidRDefault="00E67F89" w:rsidP="00E67F89">
      <w:r w:rsidRPr="00E67F89">
        <w:footnoteRef/>
      </w:r>
      <w:r w:rsidRPr="00E67F89">
        <w:t xml:space="preserve"> Exemple : exploitation de produits rocheux</w:t>
      </w:r>
    </w:p>
  </w:footnote>
  <w:footnote w:id="29">
    <w:p w14:paraId="71EF1062" w14:textId="77777777" w:rsidR="00E67F89" w:rsidRPr="00E67F89" w:rsidRDefault="00E67F89" w:rsidP="00E67F89">
      <w:r w:rsidRPr="00E67F89">
        <w:footnoteRef/>
      </w:r>
      <w:r w:rsidRPr="00E67F89">
        <w:t xml:space="preserve"> L’expression « défavorisé ou vulnérable » désigne des individus ou des groupes qui risquent davantage de souffrir des impacts du projet et/ou sont plus limités que d’autres dans leur capacité à profiter des avantages d’un projet. Ces individus ou ces groupes sont aussi plus susceptibles d’être exclus du processus général de consultation ou de ne pouvoir y participer pleinement, et peuvent de ce fait avoir besoin de mesures et/ou d’une assistance particulières.</w:t>
      </w:r>
    </w:p>
  </w:footnote>
  <w:footnote w:id="30">
    <w:p w14:paraId="7B547E87" w14:textId="77777777" w:rsidR="00E67F89" w:rsidRPr="00E67F89" w:rsidRDefault="00E67F89" w:rsidP="00E67F89">
      <w:r w:rsidRPr="00E67F89">
        <w:footnoteRef/>
      </w:r>
      <w:r w:rsidRPr="00E67F89">
        <w:t xml:space="preserve"> Modes Alternatifs de Règlement des Litiges </w:t>
      </w:r>
    </w:p>
  </w:footnote>
  <w:footnote w:id="31">
    <w:p w14:paraId="7386F5DA" w14:textId="77777777" w:rsidR="00E67F89" w:rsidRPr="00E67F89" w:rsidRDefault="00E67F89" w:rsidP="00E67F89">
      <w:r w:rsidRPr="00E67F89">
        <w:footnoteRef/>
      </w:r>
      <w:r w:rsidRPr="00E67F89">
        <w:t xml:space="preserve"> Source : SFI. Directives environnementales, sanitaires et sécuritaires. Extraction des matériaux de construction. Avril 2017.</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667B0D" w14:textId="594F66D1" w:rsidR="00E87A90" w:rsidRPr="002F0AD5" w:rsidRDefault="00E87A90" w:rsidP="002F0AD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4A14ED" w14:textId="1DF5A768" w:rsidR="00E87A90" w:rsidRPr="00DF575C" w:rsidRDefault="00E87A90" w:rsidP="00DF575C"/>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600C6A" w14:textId="77777777" w:rsidR="00E87A90" w:rsidRPr="00A57A21" w:rsidRDefault="00E87A90" w:rsidP="00A57A21">
    <w:pPr>
      <w:pStyle w:val="Header"/>
      <w:keepNext/>
      <w:keepLines/>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64149639"/>
      <w:docPartObj>
        <w:docPartGallery w:val="Page Numbers (Top of Page)"/>
        <w:docPartUnique/>
      </w:docPartObj>
    </w:sdtPr>
    <w:sdtContent>
      <w:p w14:paraId="1B92B34B" w14:textId="77777777" w:rsidR="00E67F89" w:rsidRPr="00E67F89" w:rsidRDefault="00E67F89" w:rsidP="00E67F89">
        <w:r w:rsidRPr="00E67F89">
          <w:fldChar w:fldCharType="begin"/>
        </w:r>
        <w:r w:rsidRPr="00E67F89">
          <w:instrText>PAGE   \* MERGEFORMAT</w:instrText>
        </w:r>
        <w:r w:rsidRPr="00E67F89">
          <w:fldChar w:fldCharType="separate"/>
        </w:r>
        <w:r w:rsidRPr="00E67F89">
          <w:t>226</w:t>
        </w:r>
        <w:r w:rsidRPr="00E67F89">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33A21C6A"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25pt;height:11.25pt" o:bullet="t">
        <v:imagedata r:id="rId1" o:title="mso9D6B"/>
      </v:shape>
    </w:pict>
  </w:numPicBullet>
  <w:numPicBullet w:numPicBulletId="1">
    <w:pict>
      <v:shape id="_x0000_i1026" type="#_x0000_t75" style="width:11.25pt;height:11.25pt" o:bullet="t">
        <v:imagedata r:id="rId2" o:title="BD10264_"/>
      </v:shape>
    </w:pict>
  </w:numPicBullet>
  <w:abstractNum w:abstractNumId="0" w15:restartNumberingAfterBreak="0">
    <w:nsid w:val="FFFFFF7F"/>
    <w:multiLevelType w:val="singleLevel"/>
    <w:tmpl w:val="83501DA2"/>
    <w:lvl w:ilvl="0">
      <w:start w:val="1"/>
      <w:numFmt w:val="decimal"/>
      <w:pStyle w:val="ListNumber2"/>
      <w:lvlText w:val="%1."/>
      <w:lvlJc w:val="left"/>
      <w:pPr>
        <w:tabs>
          <w:tab w:val="num" w:pos="643"/>
        </w:tabs>
        <w:ind w:left="643" w:hanging="360"/>
      </w:pPr>
    </w:lvl>
  </w:abstractNum>
  <w:abstractNum w:abstractNumId="1" w15:restartNumberingAfterBreak="0">
    <w:nsid w:val="FFFFFF82"/>
    <w:multiLevelType w:val="singleLevel"/>
    <w:tmpl w:val="DBDE5866"/>
    <w:lvl w:ilvl="0">
      <w:start w:val="1"/>
      <w:numFmt w:val="bullet"/>
      <w:pStyle w:val="ListBullet3"/>
      <w:lvlText w:val=""/>
      <w:lvlJc w:val="left"/>
      <w:pPr>
        <w:tabs>
          <w:tab w:val="num" w:pos="926"/>
        </w:tabs>
        <w:ind w:left="926" w:hanging="360"/>
      </w:pPr>
      <w:rPr>
        <w:rFonts w:ascii="Symbol" w:hAnsi="Symbol" w:cs="Times New Roman" w:hint="default"/>
      </w:rPr>
    </w:lvl>
  </w:abstractNum>
  <w:abstractNum w:abstractNumId="2" w15:restartNumberingAfterBreak="0">
    <w:nsid w:val="FFFFFF83"/>
    <w:multiLevelType w:val="singleLevel"/>
    <w:tmpl w:val="221A8B64"/>
    <w:lvl w:ilvl="0">
      <w:start w:val="1"/>
      <w:numFmt w:val="bullet"/>
      <w:pStyle w:val="ListBullet2"/>
      <w:lvlText w:val=""/>
      <w:lvlJc w:val="left"/>
      <w:pPr>
        <w:tabs>
          <w:tab w:val="num" w:pos="643"/>
        </w:tabs>
        <w:ind w:left="643" w:hanging="360"/>
      </w:pPr>
      <w:rPr>
        <w:rFonts w:ascii="Symbol" w:hAnsi="Symbol" w:cs="Times New Roman" w:hint="default"/>
      </w:rPr>
    </w:lvl>
  </w:abstractNum>
  <w:abstractNum w:abstractNumId="3" w15:restartNumberingAfterBreak="0">
    <w:nsid w:val="FFFFFF89"/>
    <w:multiLevelType w:val="singleLevel"/>
    <w:tmpl w:val="1610AD20"/>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FFFFFFFE"/>
    <w:multiLevelType w:val="singleLevel"/>
    <w:tmpl w:val="FFFFFFFF"/>
    <w:lvl w:ilvl="0">
      <w:numFmt w:val="decimal"/>
      <w:pStyle w:val="Russite"/>
      <w:lvlText w:val="*"/>
      <w:lvlJc w:val="left"/>
    </w:lvl>
  </w:abstractNum>
  <w:abstractNum w:abstractNumId="5" w15:restartNumberingAfterBreak="0">
    <w:nsid w:val="00F3110A"/>
    <w:multiLevelType w:val="hybridMultilevel"/>
    <w:tmpl w:val="DB307310"/>
    <w:lvl w:ilvl="0" w:tplc="040C0017">
      <w:start w:val="1"/>
      <w:numFmt w:val="lowerLetter"/>
      <w:lvlText w:val="%1)"/>
      <w:lvlJc w:val="left"/>
      <w:pPr>
        <w:ind w:left="720" w:hanging="360"/>
      </w:pPr>
      <w:rPr>
        <w:rFonts w:hint="default"/>
      </w:rPr>
    </w:lvl>
    <w:lvl w:ilvl="1" w:tplc="2000000F">
      <w:start w:val="1"/>
      <w:numFmt w:val="decimal"/>
      <w:lvlText w:val="%2."/>
      <w:lvlJc w:val="left"/>
      <w:pPr>
        <w:ind w:left="1440" w:hanging="360"/>
      </w:pPr>
      <w:rPr>
        <w:rFonts w:hint="default"/>
      </w:rPr>
    </w:lvl>
    <w:lvl w:ilvl="2" w:tplc="49CED7CA">
      <w:start w:val="1"/>
      <w:numFmt w:val="decimal"/>
      <w:lvlText w:val="%3."/>
      <w:lvlJc w:val="left"/>
      <w:pPr>
        <w:ind w:left="2340" w:hanging="360"/>
      </w:pPr>
      <w:rPr>
        <w:rFonts w:hint="default"/>
      </w:r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0255247A"/>
    <w:multiLevelType w:val="hybridMultilevel"/>
    <w:tmpl w:val="1E66797C"/>
    <w:lvl w:ilvl="0" w:tplc="FFFFFFFF">
      <w:start w:val="1"/>
      <w:numFmt w:val="bullet"/>
      <w:pStyle w:val="Coche0Liste"/>
      <w:lvlText w:val=""/>
      <w:lvlJc w:val="left"/>
      <w:pPr>
        <w:tabs>
          <w:tab w:val="num" w:pos="360"/>
        </w:tabs>
        <w:ind w:left="283" w:hanging="283"/>
      </w:pPr>
      <w:rPr>
        <w:rFonts w:ascii="Symbol" w:hAnsi="Symbol" w:hint="default"/>
        <w:b/>
        <w:i w:val="0"/>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2D1459E"/>
    <w:multiLevelType w:val="hybridMultilevel"/>
    <w:tmpl w:val="13A63EEE"/>
    <w:lvl w:ilvl="0" w:tplc="040C0001">
      <w:start w:val="1"/>
      <w:numFmt w:val="bullet"/>
      <w:pStyle w:val="ListNumber"/>
      <w:lvlText w:val=""/>
      <w:lvlJc w:val="left"/>
      <w:pPr>
        <w:tabs>
          <w:tab w:val="num" w:pos="720"/>
        </w:tabs>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cs="Times New Roman"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start w:val="1"/>
      <w:numFmt w:val="bullet"/>
      <w:lvlText w:val="o"/>
      <w:lvlJc w:val="left"/>
      <w:pPr>
        <w:tabs>
          <w:tab w:val="num" w:pos="3600"/>
        </w:tabs>
        <w:ind w:left="3600" w:hanging="360"/>
      </w:pPr>
      <w:rPr>
        <w:rFonts w:ascii="Courier New" w:hAnsi="Courier New" w:cs="Times New Roman" w:hint="default"/>
      </w:rPr>
    </w:lvl>
    <w:lvl w:ilvl="5" w:tplc="040C0005">
      <w:start w:val="1"/>
      <w:numFmt w:val="bullet"/>
      <w:lvlText w:val=""/>
      <w:lvlJc w:val="left"/>
      <w:pPr>
        <w:tabs>
          <w:tab w:val="num" w:pos="4320"/>
        </w:tabs>
        <w:ind w:left="4320" w:hanging="360"/>
      </w:pPr>
      <w:rPr>
        <w:rFonts w:ascii="Wingdings" w:hAnsi="Wingdings" w:hint="default"/>
      </w:rPr>
    </w:lvl>
    <w:lvl w:ilvl="6" w:tplc="040C0001">
      <w:start w:val="1"/>
      <w:numFmt w:val="bullet"/>
      <w:lvlText w:val=""/>
      <w:lvlJc w:val="left"/>
      <w:pPr>
        <w:tabs>
          <w:tab w:val="num" w:pos="5040"/>
        </w:tabs>
        <w:ind w:left="5040" w:hanging="360"/>
      </w:pPr>
      <w:rPr>
        <w:rFonts w:ascii="Symbol" w:hAnsi="Symbol" w:hint="default"/>
      </w:rPr>
    </w:lvl>
    <w:lvl w:ilvl="7" w:tplc="040C0003">
      <w:start w:val="1"/>
      <w:numFmt w:val="bullet"/>
      <w:lvlText w:val="o"/>
      <w:lvlJc w:val="left"/>
      <w:pPr>
        <w:tabs>
          <w:tab w:val="num" w:pos="5760"/>
        </w:tabs>
        <w:ind w:left="5760" w:hanging="360"/>
      </w:pPr>
      <w:rPr>
        <w:rFonts w:ascii="Courier New" w:hAnsi="Courier New" w:cs="Times New Roman" w:hint="default"/>
      </w:rPr>
    </w:lvl>
    <w:lvl w:ilvl="8" w:tplc="040C0005">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3951531"/>
    <w:multiLevelType w:val="hybridMultilevel"/>
    <w:tmpl w:val="93E2BD5C"/>
    <w:styleLink w:val="WWNum331"/>
    <w:lvl w:ilvl="0" w:tplc="FFFFFFFF">
      <w:start w:val="1"/>
      <w:numFmt w:val="bullet"/>
      <w:pStyle w:val="Coche4Liste"/>
      <w:lvlText w:val=""/>
      <w:lvlJc w:val="left"/>
      <w:pPr>
        <w:tabs>
          <w:tab w:val="num" w:pos="1494"/>
        </w:tabs>
        <w:ind w:left="1417" w:hanging="283"/>
      </w:pPr>
      <w:rPr>
        <w:rFonts w:ascii="Symbol" w:hAnsi="Symbol" w:hint="default"/>
        <w:b/>
        <w:i w:val="0"/>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039C3165"/>
    <w:multiLevelType w:val="hybridMultilevel"/>
    <w:tmpl w:val="44E2DDC8"/>
    <w:styleLink w:val="WWNum143"/>
    <w:lvl w:ilvl="0" w:tplc="FF109070">
      <w:start w:val="1"/>
      <w:numFmt w:val="decimal"/>
      <w:lvlText w:val="%1."/>
      <w:lvlJc w:val="left"/>
      <w:pPr>
        <w:ind w:left="720" w:hanging="360"/>
      </w:pPr>
    </w:lvl>
    <w:lvl w:ilvl="1" w:tplc="040C0003">
      <w:start w:val="1"/>
      <w:numFmt w:val="lowerLetter"/>
      <w:lvlText w:val="%2."/>
      <w:lvlJc w:val="left"/>
      <w:pPr>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0" w15:restartNumberingAfterBreak="0">
    <w:nsid w:val="03B84B6A"/>
    <w:multiLevelType w:val="hybridMultilevel"/>
    <w:tmpl w:val="C0C85D30"/>
    <w:lvl w:ilvl="0" w:tplc="0409000F">
      <w:start w:val="1"/>
      <w:numFmt w:val="decimal"/>
      <w:lvlText w:val="%1."/>
      <w:lvlJc w:val="left"/>
      <w:pPr>
        <w:ind w:left="54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03C412A0"/>
    <w:multiLevelType w:val="singleLevel"/>
    <w:tmpl w:val="CE4A6166"/>
    <w:lvl w:ilvl="0">
      <w:start w:val="1"/>
      <w:numFmt w:val="decimal"/>
      <w:pStyle w:val="Numro2Liste"/>
      <w:lvlText w:val="%1."/>
      <w:lvlJc w:val="left"/>
      <w:pPr>
        <w:tabs>
          <w:tab w:val="num" w:pos="964"/>
        </w:tabs>
        <w:ind w:left="964" w:hanging="397"/>
      </w:pPr>
      <w:rPr>
        <w:rFonts w:ascii="Arial" w:hAnsi="Arial" w:hint="default"/>
        <w:b/>
        <w:i w:val="0"/>
        <w:sz w:val="22"/>
      </w:rPr>
    </w:lvl>
  </w:abstractNum>
  <w:abstractNum w:abstractNumId="12" w15:restartNumberingAfterBreak="0">
    <w:nsid w:val="03DD6F4E"/>
    <w:multiLevelType w:val="multilevel"/>
    <w:tmpl w:val="0B16CDF6"/>
    <w:lvl w:ilvl="0">
      <w:start w:val="1"/>
      <w:numFmt w:val="decimal"/>
      <w:lvlText w:val="Partie %1:"/>
      <w:lvlJc w:val="left"/>
      <w:pPr>
        <w:tabs>
          <w:tab w:val="num" w:pos="7853"/>
        </w:tabs>
        <w:ind w:left="3544" w:firstLine="0"/>
      </w:pPr>
      <w:rPr>
        <w:rFonts w:ascii="BankGothic Md BT" w:hAnsi="BankGothic Md BT" w:hint="default"/>
        <w:b/>
        <w:i w:val="0"/>
        <w:color w:val="003366"/>
        <w:sz w:val="56"/>
        <w:szCs w:val="56"/>
        <w:u w:val="none"/>
      </w:rPr>
    </w:lvl>
    <w:lvl w:ilvl="1">
      <w:start w:val="1"/>
      <w:numFmt w:val="upperRoman"/>
      <w:lvlText w:val="CHAPITRE %2 : "/>
      <w:lvlJc w:val="left"/>
      <w:pPr>
        <w:tabs>
          <w:tab w:val="num" w:pos="4310"/>
        </w:tabs>
        <w:ind w:left="4366" w:hanging="4082"/>
      </w:pPr>
      <w:rPr>
        <w:b w:val="0"/>
        <w:bCs w:val="0"/>
        <w:i w:val="0"/>
        <w:iCs w:val="0"/>
        <w:caps w:val="0"/>
        <w:smallCaps w:val="0"/>
        <w:strike w:val="0"/>
        <w:dstrike w:val="0"/>
        <w:noProof w:val="0"/>
        <w:vanish w:val="0"/>
        <w:color w:val="000000"/>
        <w:spacing w:val="0"/>
        <w:kern w:val="0"/>
        <w:position w:val="0"/>
        <w:u w:val="none"/>
        <w:vertAlign w:val="baseline"/>
        <w:em w:val="none"/>
      </w:rPr>
    </w:lvl>
    <w:lvl w:ilvl="2">
      <w:start w:val="1"/>
      <w:numFmt w:val="decimal"/>
      <w:lvlText w:val="%3.   "/>
      <w:lvlJc w:val="left"/>
      <w:pPr>
        <w:tabs>
          <w:tab w:val="num" w:pos="1078"/>
        </w:tabs>
        <w:ind w:left="1135" w:hanging="851"/>
      </w:pPr>
      <w:rPr>
        <w:rFonts w:ascii="Times New Roman" w:hAnsi="Times New Roman" w:hint="default"/>
        <w:b/>
        <w:i w:val="0"/>
        <w:sz w:val="32"/>
        <w:szCs w:val="32"/>
      </w:rPr>
    </w:lvl>
    <w:lvl w:ilvl="3">
      <w:start w:val="1"/>
      <w:numFmt w:val="decimal"/>
      <w:lvlText w:val="%3. %4. "/>
      <w:lvlJc w:val="left"/>
      <w:pPr>
        <w:tabs>
          <w:tab w:val="num" w:pos="1815"/>
        </w:tabs>
        <w:ind w:left="1815" w:hanging="1247"/>
      </w:pPr>
      <w:rPr>
        <w:rFonts w:ascii="Times New Roman" w:hAnsi="Times New Roman" w:hint="default"/>
        <w:b/>
        <w:i w:val="0"/>
        <w:sz w:val="22"/>
        <w:szCs w:val="22"/>
        <w:u w:val="none"/>
      </w:rPr>
    </w:lvl>
    <w:lvl w:ilvl="4">
      <w:start w:val="1"/>
      <w:numFmt w:val="decimal"/>
      <w:pStyle w:val="5Titre3"/>
      <w:lvlText w:val="%3.%4.%5.  "/>
      <w:lvlJc w:val="left"/>
      <w:pPr>
        <w:tabs>
          <w:tab w:val="num" w:pos="2552"/>
        </w:tabs>
        <w:ind w:left="2608" w:hanging="1757"/>
      </w:pPr>
      <w:rPr>
        <w:rFonts w:hint="default"/>
        <w:b/>
        <w:i/>
      </w:rPr>
    </w:lvl>
    <w:lvl w:ilvl="5">
      <w:start w:val="1"/>
      <w:numFmt w:val="lowerLetter"/>
      <w:lvlText w:val="%6.  "/>
      <w:lvlJc w:val="left"/>
      <w:pPr>
        <w:tabs>
          <w:tab w:val="num" w:pos="1475"/>
        </w:tabs>
        <w:ind w:left="1531" w:hanging="963"/>
      </w:pPr>
      <w:rPr>
        <w:rFonts w:hint="default"/>
        <w:b/>
        <w:i w:val="0"/>
        <w:sz w:val="24"/>
        <w:szCs w:val="24"/>
      </w:rPr>
    </w:lvl>
    <w:lvl w:ilvl="6">
      <w:start w:val="1"/>
      <w:numFmt w:val="bullet"/>
      <w:lvlText w:val=""/>
      <w:lvlJc w:val="left"/>
      <w:pPr>
        <w:tabs>
          <w:tab w:val="num" w:pos="1531"/>
        </w:tabs>
        <w:ind w:left="1475" w:hanging="907"/>
      </w:pPr>
      <w:rPr>
        <w:rFonts w:ascii="Symbol" w:hAnsi="Symbol" w:hint="default"/>
        <w:color w:val="auto"/>
      </w:rPr>
    </w:lvl>
    <w:lvl w:ilvl="7">
      <w:start w:val="1"/>
      <w:numFmt w:val="lowerLetter"/>
      <w:lvlText w:val="%8."/>
      <w:lvlJc w:val="left"/>
      <w:pPr>
        <w:tabs>
          <w:tab w:val="num" w:pos="10724"/>
        </w:tabs>
        <w:ind w:left="10724" w:hanging="360"/>
      </w:pPr>
      <w:rPr>
        <w:rFonts w:hint="default"/>
      </w:rPr>
    </w:lvl>
    <w:lvl w:ilvl="8">
      <w:start w:val="1"/>
      <w:numFmt w:val="lowerRoman"/>
      <w:lvlText w:val="%9."/>
      <w:lvlJc w:val="left"/>
      <w:pPr>
        <w:tabs>
          <w:tab w:val="num" w:pos="11084"/>
        </w:tabs>
        <w:ind w:left="11084" w:hanging="360"/>
      </w:pPr>
      <w:rPr>
        <w:rFonts w:hint="default"/>
      </w:rPr>
    </w:lvl>
  </w:abstractNum>
  <w:abstractNum w:abstractNumId="13" w15:restartNumberingAfterBreak="0">
    <w:nsid w:val="043B77E6"/>
    <w:multiLevelType w:val="hybridMultilevel"/>
    <w:tmpl w:val="90046AB2"/>
    <w:lvl w:ilvl="0" w:tplc="35043786">
      <w:start w:val="1"/>
      <w:numFmt w:val="bullet"/>
      <w:lvlText w:val=""/>
      <w:lvlJc w:val="left"/>
      <w:pPr>
        <w:ind w:left="720" w:hanging="360"/>
      </w:pPr>
      <w:rPr>
        <w:rFonts w:ascii="Symbol" w:hAnsi="Symbol" w:hint="default"/>
        <w:sz w:val="18"/>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05D27DC1"/>
    <w:multiLevelType w:val="hybridMultilevel"/>
    <w:tmpl w:val="388252EC"/>
    <w:lvl w:ilvl="0" w:tplc="89A4D400">
      <w:numFmt w:val="bullet"/>
      <w:lvlText w:val="•"/>
      <w:lvlJc w:val="left"/>
      <w:pPr>
        <w:ind w:left="1068" w:hanging="360"/>
      </w:pPr>
      <w:rPr>
        <w:rFonts w:ascii="Arial" w:eastAsia="Times New Roman" w:hAnsi="Arial" w:cs="Arial" w:hint="default"/>
      </w:rPr>
    </w:lvl>
    <w:lvl w:ilvl="1" w:tplc="BB08B916">
      <w:start w:val="1"/>
      <w:numFmt w:val="bullet"/>
      <w:lvlText w:val="o"/>
      <w:lvlJc w:val="left"/>
      <w:pPr>
        <w:ind w:left="1440" w:hanging="360"/>
      </w:pPr>
      <w:rPr>
        <w:rFonts w:ascii="Courier New" w:hAnsi="Courier New" w:cs="Courier New" w:hint="default"/>
        <w:sz w:val="18"/>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05E84BD0"/>
    <w:multiLevelType w:val="hybridMultilevel"/>
    <w:tmpl w:val="B2C84106"/>
    <w:lvl w:ilvl="0" w:tplc="D49017CE">
      <w:start w:val="1"/>
      <w:numFmt w:val="bullet"/>
      <w:pStyle w:val="Puceniveau3"/>
      <w:lvlText w:val="-"/>
      <w:lvlJc w:val="left"/>
      <w:pPr>
        <w:tabs>
          <w:tab w:val="num" w:pos="680"/>
        </w:tabs>
        <w:ind w:left="680" w:hanging="226"/>
      </w:pPr>
      <w:rPr>
        <w:rFonts w:ascii="Arial" w:hAnsi="Arial" w:hint="default"/>
        <w:b w:val="0"/>
        <w:i w:val="0"/>
        <w:color w:val="auto"/>
        <w:sz w:val="20"/>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06FA6677"/>
    <w:multiLevelType w:val="hybridMultilevel"/>
    <w:tmpl w:val="7A80F596"/>
    <w:lvl w:ilvl="0" w:tplc="5558A292">
      <w:start w:val="1"/>
      <w:numFmt w:val="bullet"/>
      <w:lvlText w:val=""/>
      <w:lvlJc w:val="left"/>
      <w:pPr>
        <w:ind w:left="862" w:hanging="360"/>
      </w:pPr>
      <w:rPr>
        <w:rFonts w:ascii="Symbol" w:hAnsi="Symbol" w:hint="default"/>
      </w:rPr>
    </w:lvl>
    <w:lvl w:ilvl="1" w:tplc="040C0003" w:tentative="1">
      <w:start w:val="1"/>
      <w:numFmt w:val="bullet"/>
      <w:lvlText w:val="o"/>
      <w:lvlJc w:val="left"/>
      <w:pPr>
        <w:ind w:left="1582" w:hanging="360"/>
      </w:pPr>
      <w:rPr>
        <w:rFonts w:ascii="Courier New" w:hAnsi="Courier New" w:cs="Courier New" w:hint="default"/>
      </w:rPr>
    </w:lvl>
    <w:lvl w:ilvl="2" w:tplc="040C0005" w:tentative="1">
      <w:start w:val="1"/>
      <w:numFmt w:val="bullet"/>
      <w:lvlText w:val=""/>
      <w:lvlJc w:val="left"/>
      <w:pPr>
        <w:ind w:left="2302" w:hanging="360"/>
      </w:pPr>
      <w:rPr>
        <w:rFonts w:ascii="Wingdings" w:hAnsi="Wingdings" w:hint="default"/>
      </w:rPr>
    </w:lvl>
    <w:lvl w:ilvl="3" w:tplc="040C0001" w:tentative="1">
      <w:start w:val="1"/>
      <w:numFmt w:val="bullet"/>
      <w:lvlText w:val=""/>
      <w:lvlJc w:val="left"/>
      <w:pPr>
        <w:ind w:left="3022" w:hanging="360"/>
      </w:pPr>
      <w:rPr>
        <w:rFonts w:ascii="Symbol" w:hAnsi="Symbol" w:hint="default"/>
      </w:rPr>
    </w:lvl>
    <w:lvl w:ilvl="4" w:tplc="040C0003" w:tentative="1">
      <w:start w:val="1"/>
      <w:numFmt w:val="bullet"/>
      <w:lvlText w:val="o"/>
      <w:lvlJc w:val="left"/>
      <w:pPr>
        <w:ind w:left="3742" w:hanging="360"/>
      </w:pPr>
      <w:rPr>
        <w:rFonts w:ascii="Courier New" w:hAnsi="Courier New" w:cs="Courier New" w:hint="default"/>
      </w:rPr>
    </w:lvl>
    <w:lvl w:ilvl="5" w:tplc="040C0005" w:tentative="1">
      <w:start w:val="1"/>
      <w:numFmt w:val="bullet"/>
      <w:lvlText w:val=""/>
      <w:lvlJc w:val="left"/>
      <w:pPr>
        <w:ind w:left="4462" w:hanging="360"/>
      </w:pPr>
      <w:rPr>
        <w:rFonts w:ascii="Wingdings" w:hAnsi="Wingdings" w:hint="default"/>
      </w:rPr>
    </w:lvl>
    <w:lvl w:ilvl="6" w:tplc="040C0001" w:tentative="1">
      <w:start w:val="1"/>
      <w:numFmt w:val="bullet"/>
      <w:lvlText w:val=""/>
      <w:lvlJc w:val="left"/>
      <w:pPr>
        <w:ind w:left="5182" w:hanging="360"/>
      </w:pPr>
      <w:rPr>
        <w:rFonts w:ascii="Symbol" w:hAnsi="Symbol" w:hint="default"/>
      </w:rPr>
    </w:lvl>
    <w:lvl w:ilvl="7" w:tplc="040C0003" w:tentative="1">
      <w:start w:val="1"/>
      <w:numFmt w:val="bullet"/>
      <w:lvlText w:val="o"/>
      <w:lvlJc w:val="left"/>
      <w:pPr>
        <w:ind w:left="5902" w:hanging="360"/>
      </w:pPr>
      <w:rPr>
        <w:rFonts w:ascii="Courier New" w:hAnsi="Courier New" w:cs="Courier New" w:hint="default"/>
      </w:rPr>
    </w:lvl>
    <w:lvl w:ilvl="8" w:tplc="040C0005" w:tentative="1">
      <w:start w:val="1"/>
      <w:numFmt w:val="bullet"/>
      <w:lvlText w:val=""/>
      <w:lvlJc w:val="left"/>
      <w:pPr>
        <w:ind w:left="6622" w:hanging="360"/>
      </w:pPr>
      <w:rPr>
        <w:rFonts w:ascii="Wingdings" w:hAnsi="Wingdings" w:hint="default"/>
      </w:rPr>
    </w:lvl>
  </w:abstractNum>
  <w:abstractNum w:abstractNumId="17" w15:restartNumberingAfterBreak="0">
    <w:nsid w:val="07310739"/>
    <w:multiLevelType w:val="hybridMultilevel"/>
    <w:tmpl w:val="AF607E54"/>
    <w:lvl w:ilvl="0" w:tplc="EB445200">
      <w:start w:val="1"/>
      <w:numFmt w:val="bullet"/>
      <w:lvlText w:val="•"/>
      <w:lvlJc w:val="left"/>
      <w:pPr>
        <w:ind w:left="1434" w:hanging="360"/>
      </w:pPr>
      <w:rPr>
        <w:rFonts w:hint="default"/>
      </w:rPr>
    </w:lvl>
    <w:lvl w:ilvl="1" w:tplc="040C0003" w:tentative="1">
      <w:start w:val="1"/>
      <w:numFmt w:val="bullet"/>
      <w:lvlText w:val="o"/>
      <w:lvlJc w:val="left"/>
      <w:pPr>
        <w:ind w:left="2154" w:hanging="360"/>
      </w:pPr>
      <w:rPr>
        <w:rFonts w:ascii="Courier New" w:hAnsi="Courier New" w:cs="Courier New" w:hint="default"/>
      </w:rPr>
    </w:lvl>
    <w:lvl w:ilvl="2" w:tplc="040C0005" w:tentative="1">
      <w:start w:val="1"/>
      <w:numFmt w:val="bullet"/>
      <w:lvlText w:val=""/>
      <w:lvlJc w:val="left"/>
      <w:pPr>
        <w:ind w:left="2874" w:hanging="360"/>
      </w:pPr>
      <w:rPr>
        <w:rFonts w:ascii="Wingdings" w:hAnsi="Wingdings" w:hint="default"/>
      </w:rPr>
    </w:lvl>
    <w:lvl w:ilvl="3" w:tplc="040C0001" w:tentative="1">
      <w:start w:val="1"/>
      <w:numFmt w:val="bullet"/>
      <w:lvlText w:val=""/>
      <w:lvlJc w:val="left"/>
      <w:pPr>
        <w:ind w:left="3594" w:hanging="360"/>
      </w:pPr>
      <w:rPr>
        <w:rFonts w:ascii="Symbol" w:hAnsi="Symbol" w:hint="default"/>
      </w:rPr>
    </w:lvl>
    <w:lvl w:ilvl="4" w:tplc="040C0003" w:tentative="1">
      <w:start w:val="1"/>
      <w:numFmt w:val="bullet"/>
      <w:lvlText w:val="o"/>
      <w:lvlJc w:val="left"/>
      <w:pPr>
        <w:ind w:left="4314" w:hanging="360"/>
      </w:pPr>
      <w:rPr>
        <w:rFonts w:ascii="Courier New" w:hAnsi="Courier New" w:cs="Courier New" w:hint="default"/>
      </w:rPr>
    </w:lvl>
    <w:lvl w:ilvl="5" w:tplc="040C0005" w:tentative="1">
      <w:start w:val="1"/>
      <w:numFmt w:val="bullet"/>
      <w:lvlText w:val=""/>
      <w:lvlJc w:val="left"/>
      <w:pPr>
        <w:ind w:left="5034" w:hanging="360"/>
      </w:pPr>
      <w:rPr>
        <w:rFonts w:ascii="Wingdings" w:hAnsi="Wingdings" w:hint="default"/>
      </w:rPr>
    </w:lvl>
    <w:lvl w:ilvl="6" w:tplc="040C0001" w:tentative="1">
      <w:start w:val="1"/>
      <w:numFmt w:val="bullet"/>
      <w:lvlText w:val=""/>
      <w:lvlJc w:val="left"/>
      <w:pPr>
        <w:ind w:left="5754" w:hanging="360"/>
      </w:pPr>
      <w:rPr>
        <w:rFonts w:ascii="Symbol" w:hAnsi="Symbol" w:hint="default"/>
      </w:rPr>
    </w:lvl>
    <w:lvl w:ilvl="7" w:tplc="040C0003" w:tentative="1">
      <w:start w:val="1"/>
      <w:numFmt w:val="bullet"/>
      <w:lvlText w:val="o"/>
      <w:lvlJc w:val="left"/>
      <w:pPr>
        <w:ind w:left="6474" w:hanging="360"/>
      </w:pPr>
      <w:rPr>
        <w:rFonts w:ascii="Courier New" w:hAnsi="Courier New" w:cs="Courier New" w:hint="default"/>
      </w:rPr>
    </w:lvl>
    <w:lvl w:ilvl="8" w:tplc="040C0005" w:tentative="1">
      <w:start w:val="1"/>
      <w:numFmt w:val="bullet"/>
      <w:lvlText w:val=""/>
      <w:lvlJc w:val="left"/>
      <w:pPr>
        <w:ind w:left="7194" w:hanging="360"/>
      </w:pPr>
      <w:rPr>
        <w:rFonts w:ascii="Wingdings" w:hAnsi="Wingdings" w:hint="default"/>
      </w:rPr>
    </w:lvl>
  </w:abstractNum>
  <w:abstractNum w:abstractNumId="18" w15:restartNumberingAfterBreak="0">
    <w:nsid w:val="080A134C"/>
    <w:multiLevelType w:val="hybridMultilevel"/>
    <w:tmpl w:val="DE4EDFE8"/>
    <w:lvl w:ilvl="0" w:tplc="0A20D51A">
      <w:start w:val="1"/>
      <w:numFmt w:val="bullet"/>
      <w:lvlText w:val="-"/>
      <w:lvlJc w:val="left"/>
      <w:pPr>
        <w:ind w:left="720" w:hanging="360"/>
      </w:pPr>
      <w:rPr>
        <w:rFonts w:ascii="Times New Roman" w:eastAsiaTheme="minorHAnsi" w:hAnsi="Times New Roman" w:cs="Times New Roman" w:hint="default"/>
        <w:i w:val="0"/>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089F7170"/>
    <w:multiLevelType w:val="hybridMultilevel"/>
    <w:tmpl w:val="36CCC112"/>
    <w:styleLink w:val="WWNum1411"/>
    <w:lvl w:ilvl="0" w:tplc="040C000F">
      <w:start w:val="3"/>
      <w:numFmt w:val="bullet"/>
      <w:lvlText w:val="-"/>
      <w:lvlJc w:val="left"/>
      <w:pPr>
        <w:ind w:left="720" w:hanging="360"/>
      </w:pPr>
      <w:rPr>
        <w:rFonts w:ascii="Arial" w:hAnsi="Arial" w:cs="Arial" w:hint="default"/>
        <w:b w:val="0"/>
        <w:color w:val="auto"/>
        <w:sz w:val="20"/>
        <w:szCs w:val="20"/>
      </w:rPr>
    </w:lvl>
    <w:lvl w:ilvl="1" w:tplc="040C0019">
      <w:start w:val="1"/>
      <w:numFmt w:val="decimal"/>
      <w:lvlText w:val="%2."/>
      <w:lvlJc w:val="left"/>
      <w:pPr>
        <w:tabs>
          <w:tab w:val="num" w:pos="1440"/>
        </w:tabs>
        <w:ind w:left="1440" w:hanging="360"/>
      </w:pPr>
    </w:lvl>
    <w:lvl w:ilvl="2" w:tplc="040C001B">
      <w:start w:val="1"/>
      <w:numFmt w:val="decimal"/>
      <w:lvlText w:val="%3."/>
      <w:lvlJc w:val="left"/>
      <w:pPr>
        <w:tabs>
          <w:tab w:val="num" w:pos="2160"/>
        </w:tabs>
        <w:ind w:left="2160" w:hanging="360"/>
      </w:pPr>
    </w:lvl>
    <w:lvl w:ilvl="3" w:tplc="040C000F">
      <w:start w:val="1"/>
      <w:numFmt w:val="decimal"/>
      <w:lvlText w:val="%4."/>
      <w:lvlJc w:val="left"/>
      <w:pPr>
        <w:tabs>
          <w:tab w:val="num" w:pos="2880"/>
        </w:tabs>
        <w:ind w:left="2880" w:hanging="360"/>
      </w:pPr>
    </w:lvl>
    <w:lvl w:ilvl="4" w:tplc="040C0019">
      <w:start w:val="1"/>
      <w:numFmt w:val="decimal"/>
      <w:lvlText w:val="%5."/>
      <w:lvlJc w:val="left"/>
      <w:pPr>
        <w:tabs>
          <w:tab w:val="num" w:pos="3600"/>
        </w:tabs>
        <w:ind w:left="3600" w:hanging="360"/>
      </w:pPr>
    </w:lvl>
    <w:lvl w:ilvl="5" w:tplc="040C001B">
      <w:start w:val="1"/>
      <w:numFmt w:val="decimal"/>
      <w:lvlText w:val="%6."/>
      <w:lvlJc w:val="left"/>
      <w:pPr>
        <w:tabs>
          <w:tab w:val="num" w:pos="4320"/>
        </w:tabs>
        <w:ind w:left="4320" w:hanging="360"/>
      </w:pPr>
    </w:lvl>
    <w:lvl w:ilvl="6" w:tplc="040C000F">
      <w:start w:val="1"/>
      <w:numFmt w:val="decimal"/>
      <w:lvlText w:val="%7."/>
      <w:lvlJc w:val="left"/>
      <w:pPr>
        <w:tabs>
          <w:tab w:val="num" w:pos="5040"/>
        </w:tabs>
        <w:ind w:left="5040" w:hanging="360"/>
      </w:pPr>
    </w:lvl>
    <w:lvl w:ilvl="7" w:tplc="040C0019">
      <w:start w:val="1"/>
      <w:numFmt w:val="decimal"/>
      <w:lvlText w:val="%8."/>
      <w:lvlJc w:val="left"/>
      <w:pPr>
        <w:tabs>
          <w:tab w:val="num" w:pos="5760"/>
        </w:tabs>
        <w:ind w:left="5760" w:hanging="360"/>
      </w:pPr>
    </w:lvl>
    <w:lvl w:ilvl="8" w:tplc="040C001B">
      <w:start w:val="1"/>
      <w:numFmt w:val="decimal"/>
      <w:lvlText w:val="%9."/>
      <w:lvlJc w:val="left"/>
      <w:pPr>
        <w:tabs>
          <w:tab w:val="num" w:pos="6480"/>
        </w:tabs>
        <w:ind w:left="6480" w:hanging="360"/>
      </w:pPr>
    </w:lvl>
  </w:abstractNum>
  <w:abstractNum w:abstractNumId="20" w15:restartNumberingAfterBreak="0">
    <w:nsid w:val="08F677DE"/>
    <w:multiLevelType w:val="hybridMultilevel"/>
    <w:tmpl w:val="C1103B08"/>
    <w:lvl w:ilvl="0" w:tplc="040C0007">
      <w:start w:val="1"/>
      <w:numFmt w:val="bullet"/>
      <w:lvlText w:val=""/>
      <w:lvlPicBulletId w:val="0"/>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091779D0"/>
    <w:multiLevelType w:val="singleLevel"/>
    <w:tmpl w:val="0D5CCFA2"/>
    <w:lvl w:ilvl="0">
      <w:start w:val="1"/>
      <w:numFmt w:val="bullet"/>
      <w:pStyle w:val="Tiret2liste"/>
      <w:lvlText w:val=""/>
      <w:lvlJc w:val="left"/>
      <w:pPr>
        <w:tabs>
          <w:tab w:val="num" w:pos="1211"/>
        </w:tabs>
        <w:ind w:left="1191" w:hanging="340"/>
      </w:pPr>
      <w:rPr>
        <w:rFonts w:ascii="Symbol" w:hAnsi="Symbol" w:hint="default"/>
        <w:b/>
        <w:i w:val="0"/>
      </w:rPr>
    </w:lvl>
  </w:abstractNum>
  <w:abstractNum w:abstractNumId="22" w15:restartNumberingAfterBreak="0">
    <w:nsid w:val="0AA46848"/>
    <w:multiLevelType w:val="hybridMultilevel"/>
    <w:tmpl w:val="1EC85512"/>
    <w:lvl w:ilvl="0" w:tplc="040C0017">
      <w:start w:val="1"/>
      <w:numFmt w:val="lowerLetter"/>
      <w:lvlText w:val="%1)"/>
      <w:lvlJc w:val="left"/>
      <w:pPr>
        <w:ind w:left="720" w:hanging="360"/>
      </w:pPr>
      <w:rPr>
        <w:rFonts w:hint="default"/>
      </w:rPr>
    </w:lvl>
    <w:lvl w:ilvl="1" w:tplc="BE22B5D2">
      <w:start w:val="1"/>
      <w:numFmt w:val="decimal"/>
      <w:lvlText w:val="%2-"/>
      <w:lvlJc w:val="left"/>
      <w:pPr>
        <w:ind w:left="1440" w:hanging="360"/>
      </w:pPr>
      <w:rPr>
        <w:rFonts w:hint="default"/>
      </w:rPr>
    </w:lvl>
    <w:lvl w:ilvl="2" w:tplc="49CED7CA">
      <w:start w:val="1"/>
      <w:numFmt w:val="decimal"/>
      <w:lvlText w:val="%3."/>
      <w:lvlJc w:val="left"/>
      <w:pPr>
        <w:ind w:left="2340" w:hanging="360"/>
      </w:pPr>
      <w:rPr>
        <w:rFonts w:hint="default"/>
      </w:r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15:restartNumberingAfterBreak="0">
    <w:nsid w:val="0B3055E1"/>
    <w:multiLevelType w:val="hybridMultilevel"/>
    <w:tmpl w:val="B2364012"/>
    <w:lvl w:ilvl="0" w:tplc="5D7E35BE">
      <w:start w:val="1"/>
      <w:numFmt w:val="bullet"/>
      <w:lvlText w:val=""/>
      <w:lvlJc w:val="left"/>
      <w:pPr>
        <w:ind w:left="363" w:hanging="360"/>
      </w:pPr>
      <w:rPr>
        <w:rFonts w:ascii="Symbol" w:hAnsi="Symbol" w:hint="default"/>
        <w:sz w:val="18"/>
      </w:rPr>
    </w:lvl>
    <w:lvl w:ilvl="1" w:tplc="EBC8EE34">
      <w:start w:val="6"/>
      <w:numFmt w:val="bullet"/>
      <w:lvlText w:val="•"/>
      <w:lvlJc w:val="left"/>
      <w:pPr>
        <w:ind w:left="1428" w:hanging="705"/>
      </w:pPr>
      <w:rPr>
        <w:rFonts w:ascii="Times New Roman" w:eastAsia="Calibri" w:hAnsi="Times New Roman" w:cs="Times New Roman" w:hint="default"/>
      </w:rPr>
    </w:lvl>
    <w:lvl w:ilvl="2" w:tplc="040C0005" w:tentative="1">
      <w:start w:val="1"/>
      <w:numFmt w:val="bullet"/>
      <w:lvlText w:val=""/>
      <w:lvlJc w:val="left"/>
      <w:pPr>
        <w:ind w:left="1803" w:hanging="360"/>
      </w:pPr>
      <w:rPr>
        <w:rFonts w:ascii="Wingdings" w:hAnsi="Wingdings" w:hint="default"/>
      </w:rPr>
    </w:lvl>
    <w:lvl w:ilvl="3" w:tplc="040C0001" w:tentative="1">
      <w:start w:val="1"/>
      <w:numFmt w:val="bullet"/>
      <w:lvlText w:val=""/>
      <w:lvlJc w:val="left"/>
      <w:pPr>
        <w:ind w:left="2523" w:hanging="360"/>
      </w:pPr>
      <w:rPr>
        <w:rFonts w:ascii="Symbol" w:hAnsi="Symbol" w:hint="default"/>
      </w:rPr>
    </w:lvl>
    <w:lvl w:ilvl="4" w:tplc="040C0003" w:tentative="1">
      <w:start w:val="1"/>
      <w:numFmt w:val="bullet"/>
      <w:lvlText w:val="o"/>
      <w:lvlJc w:val="left"/>
      <w:pPr>
        <w:ind w:left="3243" w:hanging="360"/>
      </w:pPr>
      <w:rPr>
        <w:rFonts w:ascii="Courier New" w:hAnsi="Courier New" w:cs="Courier New" w:hint="default"/>
      </w:rPr>
    </w:lvl>
    <w:lvl w:ilvl="5" w:tplc="040C0005" w:tentative="1">
      <w:start w:val="1"/>
      <w:numFmt w:val="bullet"/>
      <w:lvlText w:val=""/>
      <w:lvlJc w:val="left"/>
      <w:pPr>
        <w:ind w:left="3963" w:hanging="360"/>
      </w:pPr>
      <w:rPr>
        <w:rFonts w:ascii="Wingdings" w:hAnsi="Wingdings" w:hint="default"/>
      </w:rPr>
    </w:lvl>
    <w:lvl w:ilvl="6" w:tplc="040C0001" w:tentative="1">
      <w:start w:val="1"/>
      <w:numFmt w:val="bullet"/>
      <w:lvlText w:val=""/>
      <w:lvlJc w:val="left"/>
      <w:pPr>
        <w:ind w:left="4683" w:hanging="360"/>
      </w:pPr>
      <w:rPr>
        <w:rFonts w:ascii="Symbol" w:hAnsi="Symbol" w:hint="default"/>
      </w:rPr>
    </w:lvl>
    <w:lvl w:ilvl="7" w:tplc="040C0003" w:tentative="1">
      <w:start w:val="1"/>
      <w:numFmt w:val="bullet"/>
      <w:lvlText w:val="o"/>
      <w:lvlJc w:val="left"/>
      <w:pPr>
        <w:ind w:left="5403" w:hanging="360"/>
      </w:pPr>
      <w:rPr>
        <w:rFonts w:ascii="Courier New" w:hAnsi="Courier New" w:cs="Courier New" w:hint="default"/>
      </w:rPr>
    </w:lvl>
    <w:lvl w:ilvl="8" w:tplc="040C0005" w:tentative="1">
      <w:start w:val="1"/>
      <w:numFmt w:val="bullet"/>
      <w:lvlText w:val=""/>
      <w:lvlJc w:val="left"/>
      <w:pPr>
        <w:ind w:left="6123" w:hanging="360"/>
      </w:pPr>
      <w:rPr>
        <w:rFonts w:ascii="Wingdings" w:hAnsi="Wingdings" w:hint="default"/>
      </w:rPr>
    </w:lvl>
  </w:abstractNum>
  <w:abstractNum w:abstractNumId="24" w15:restartNumberingAfterBreak="0">
    <w:nsid w:val="0C612316"/>
    <w:multiLevelType w:val="hybridMultilevel"/>
    <w:tmpl w:val="A3EAC662"/>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99A02F0C">
      <w:start w:val="1"/>
      <w:numFmt w:val="lowerRoman"/>
      <w:lvlText w:val="%3)"/>
      <w:lvlJc w:val="left"/>
      <w:pPr>
        <w:ind w:left="2700" w:hanging="720"/>
      </w:pPr>
      <w:rPr>
        <w:rFonts w:hint="default"/>
      </w:rPr>
    </w:lvl>
    <w:lvl w:ilvl="3" w:tplc="2030136A">
      <w:start w:val="1"/>
      <w:numFmt w:val="lowerLetter"/>
      <w:lvlText w:val="%4)"/>
      <w:lvlJc w:val="left"/>
      <w:pPr>
        <w:ind w:left="2880" w:hanging="360"/>
      </w:pPr>
      <w:rPr>
        <w:rFonts w:hint="default"/>
      </w:rPr>
    </w:lvl>
    <w:lvl w:ilvl="4" w:tplc="36E8EE2A">
      <w:start w:val="1"/>
      <w:numFmt w:val="decimal"/>
      <w:lvlText w:val="%5)"/>
      <w:lvlJc w:val="left"/>
      <w:pPr>
        <w:ind w:left="3600" w:hanging="360"/>
      </w:pPr>
      <w:rPr>
        <w:rFonts w:hint="default"/>
      </w:r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15:restartNumberingAfterBreak="0">
    <w:nsid w:val="0C6F41CC"/>
    <w:multiLevelType w:val="hybridMultilevel"/>
    <w:tmpl w:val="57D018DE"/>
    <w:lvl w:ilvl="0" w:tplc="0E68FC00">
      <w:start w:val="269"/>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0D0B086E"/>
    <w:multiLevelType w:val="hybridMultilevel"/>
    <w:tmpl w:val="444A3DC6"/>
    <w:lvl w:ilvl="0" w:tplc="040C001B">
      <w:start w:val="1"/>
      <w:numFmt w:val="lowerRoman"/>
      <w:lvlText w:val="%1."/>
      <w:lvlJc w:val="right"/>
      <w:pPr>
        <w:ind w:left="1429" w:hanging="360"/>
      </w:pPr>
    </w:lvl>
    <w:lvl w:ilvl="1" w:tplc="040C0019" w:tentative="1">
      <w:start w:val="1"/>
      <w:numFmt w:val="lowerLetter"/>
      <w:lvlText w:val="%2."/>
      <w:lvlJc w:val="left"/>
      <w:pPr>
        <w:ind w:left="2149" w:hanging="360"/>
      </w:pPr>
    </w:lvl>
    <w:lvl w:ilvl="2" w:tplc="040C001B" w:tentative="1">
      <w:start w:val="1"/>
      <w:numFmt w:val="lowerRoman"/>
      <w:lvlText w:val="%3."/>
      <w:lvlJc w:val="right"/>
      <w:pPr>
        <w:ind w:left="2869" w:hanging="180"/>
      </w:pPr>
    </w:lvl>
    <w:lvl w:ilvl="3" w:tplc="040C000F" w:tentative="1">
      <w:start w:val="1"/>
      <w:numFmt w:val="decimal"/>
      <w:lvlText w:val="%4."/>
      <w:lvlJc w:val="left"/>
      <w:pPr>
        <w:ind w:left="3589" w:hanging="360"/>
      </w:pPr>
    </w:lvl>
    <w:lvl w:ilvl="4" w:tplc="040C0019" w:tentative="1">
      <w:start w:val="1"/>
      <w:numFmt w:val="lowerLetter"/>
      <w:lvlText w:val="%5."/>
      <w:lvlJc w:val="left"/>
      <w:pPr>
        <w:ind w:left="4309" w:hanging="360"/>
      </w:pPr>
    </w:lvl>
    <w:lvl w:ilvl="5" w:tplc="040C001B" w:tentative="1">
      <w:start w:val="1"/>
      <w:numFmt w:val="lowerRoman"/>
      <w:lvlText w:val="%6."/>
      <w:lvlJc w:val="right"/>
      <w:pPr>
        <w:ind w:left="5029" w:hanging="180"/>
      </w:pPr>
    </w:lvl>
    <w:lvl w:ilvl="6" w:tplc="040C000F" w:tentative="1">
      <w:start w:val="1"/>
      <w:numFmt w:val="decimal"/>
      <w:lvlText w:val="%7."/>
      <w:lvlJc w:val="left"/>
      <w:pPr>
        <w:ind w:left="5749" w:hanging="360"/>
      </w:pPr>
    </w:lvl>
    <w:lvl w:ilvl="7" w:tplc="040C0019" w:tentative="1">
      <w:start w:val="1"/>
      <w:numFmt w:val="lowerLetter"/>
      <w:lvlText w:val="%8."/>
      <w:lvlJc w:val="left"/>
      <w:pPr>
        <w:ind w:left="6469" w:hanging="360"/>
      </w:pPr>
    </w:lvl>
    <w:lvl w:ilvl="8" w:tplc="040C001B" w:tentative="1">
      <w:start w:val="1"/>
      <w:numFmt w:val="lowerRoman"/>
      <w:lvlText w:val="%9."/>
      <w:lvlJc w:val="right"/>
      <w:pPr>
        <w:ind w:left="7189" w:hanging="180"/>
      </w:pPr>
    </w:lvl>
  </w:abstractNum>
  <w:abstractNum w:abstractNumId="27" w15:restartNumberingAfterBreak="0">
    <w:nsid w:val="0D1E5D4E"/>
    <w:multiLevelType w:val="hybridMultilevel"/>
    <w:tmpl w:val="20A814D8"/>
    <w:lvl w:ilvl="0" w:tplc="26EEFCB4">
      <w:start w:val="1"/>
      <w:numFmt w:val="lowerRoman"/>
      <w:lvlText w:val="(%1)"/>
      <w:lvlJc w:val="left"/>
      <w:pPr>
        <w:ind w:left="69" w:hanging="297"/>
      </w:pPr>
      <w:rPr>
        <w:rFonts w:ascii="Arial" w:eastAsia="Times New Roman" w:hAnsi="Arial" w:cs="Arial" w:hint="default"/>
        <w:w w:val="99"/>
        <w:sz w:val="20"/>
        <w:szCs w:val="20"/>
        <w:lang w:val="fr-FR" w:eastAsia="en-US" w:bidi="ar-SA"/>
      </w:rPr>
    </w:lvl>
    <w:lvl w:ilvl="1" w:tplc="7720AD10">
      <w:numFmt w:val="bullet"/>
      <w:lvlText w:val="•"/>
      <w:lvlJc w:val="left"/>
      <w:pPr>
        <w:ind w:left="425" w:hanging="297"/>
      </w:pPr>
      <w:rPr>
        <w:rFonts w:hint="default"/>
        <w:lang w:val="fr-FR" w:eastAsia="en-US" w:bidi="ar-SA"/>
      </w:rPr>
    </w:lvl>
    <w:lvl w:ilvl="2" w:tplc="ECAC285E">
      <w:numFmt w:val="bullet"/>
      <w:lvlText w:val="•"/>
      <w:lvlJc w:val="left"/>
      <w:pPr>
        <w:ind w:left="790" w:hanging="297"/>
      </w:pPr>
      <w:rPr>
        <w:rFonts w:hint="default"/>
        <w:lang w:val="fr-FR" w:eastAsia="en-US" w:bidi="ar-SA"/>
      </w:rPr>
    </w:lvl>
    <w:lvl w:ilvl="3" w:tplc="26086594">
      <w:numFmt w:val="bullet"/>
      <w:lvlText w:val="•"/>
      <w:lvlJc w:val="left"/>
      <w:pPr>
        <w:ind w:left="1155" w:hanging="297"/>
      </w:pPr>
      <w:rPr>
        <w:rFonts w:hint="default"/>
        <w:lang w:val="fr-FR" w:eastAsia="en-US" w:bidi="ar-SA"/>
      </w:rPr>
    </w:lvl>
    <w:lvl w:ilvl="4" w:tplc="7C24E136">
      <w:numFmt w:val="bullet"/>
      <w:lvlText w:val="•"/>
      <w:lvlJc w:val="left"/>
      <w:pPr>
        <w:ind w:left="1520" w:hanging="297"/>
      </w:pPr>
      <w:rPr>
        <w:rFonts w:hint="default"/>
        <w:lang w:val="fr-FR" w:eastAsia="en-US" w:bidi="ar-SA"/>
      </w:rPr>
    </w:lvl>
    <w:lvl w:ilvl="5" w:tplc="8766D616">
      <w:numFmt w:val="bullet"/>
      <w:lvlText w:val="•"/>
      <w:lvlJc w:val="left"/>
      <w:pPr>
        <w:ind w:left="1885" w:hanging="297"/>
      </w:pPr>
      <w:rPr>
        <w:rFonts w:hint="default"/>
        <w:lang w:val="fr-FR" w:eastAsia="en-US" w:bidi="ar-SA"/>
      </w:rPr>
    </w:lvl>
    <w:lvl w:ilvl="6" w:tplc="C60415E8">
      <w:numFmt w:val="bullet"/>
      <w:lvlText w:val="•"/>
      <w:lvlJc w:val="left"/>
      <w:pPr>
        <w:ind w:left="2250" w:hanging="297"/>
      </w:pPr>
      <w:rPr>
        <w:rFonts w:hint="default"/>
        <w:lang w:val="fr-FR" w:eastAsia="en-US" w:bidi="ar-SA"/>
      </w:rPr>
    </w:lvl>
    <w:lvl w:ilvl="7" w:tplc="D416D71E">
      <w:numFmt w:val="bullet"/>
      <w:lvlText w:val="•"/>
      <w:lvlJc w:val="left"/>
      <w:pPr>
        <w:ind w:left="2615" w:hanging="297"/>
      </w:pPr>
      <w:rPr>
        <w:rFonts w:hint="default"/>
        <w:lang w:val="fr-FR" w:eastAsia="en-US" w:bidi="ar-SA"/>
      </w:rPr>
    </w:lvl>
    <w:lvl w:ilvl="8" w:tplc="278A6352">
      <w:numFmt w:val="bullet"/>
      <w:lvlText w:val="•"/>
      <w:lvlJc w:val="left"/>
      <w:pPr>
        <w:ind w:left="2980" w:hanging="297"/>
      </w:pPr>
      <w:rPr>
        <w:rFonts w:hint="default"/>
        <w:lang w:val="fr-FR" w:eastAsia="en-US" w:bidi="ar-SA"/>
      </w:rPr>
    </w:lvl>
  </w:abstractNum>
  <w:abstractNum w:abstractNumId="28" w15:restartNumberingAfterBreak="0">
    <w:nsid w:val="0DE656B8"/>
    <w:multiLevelType w:val="hybridMultilevel"/>
    <w:tmpl w:val="33386FA4"/>
    <w:lvl w:ilvl="0" w:tplc="040C0003">
      <w:start w:val="1"/>
      <w:numFmt w:val="bullet"/>
      <w:lvlText w:val="o"/>
      <w:lvlJc w:val="left"/>
      <w:pPr>
        <w:ind w:left="1571" w:hanging="360"/>
      </w:pPr>
      <w:rPr>
        <w:rFonts w:ascii="Courier New" w:hAnsi="Courier New" w:cs="Courier New"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29" w15:restartNumberingAfterBreak="0">
    <w:nsid w:val="0E6564C6"/>
    <w:multiLevelType w:val="hybridMultilevel"/>
    <w:tmpl w:val="A9A6E07C"/>
    <w:styleLink w:val="WWNum2521"/>
    <w:lvl w:ilvl="0" w:tplc="FFFFFFFF">
      <w:numFmt w:val="bullet"/>
      <w:lvlText w:val="-"/>
      <w:lvlJc w:val="left"/>
      <w:pPr>
        <w:ind w:left="360" w:hanging="360"/>
      </w:pPr>
      <w:rPr>
        <w:rFonts w:ascii="Arial" w:eastAsia="Times New Roman" w:hAnsi="Arial" w:cs="Arial" w:hint="default"/>
        <w:sz w:val="20"/>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0" w15:restartNumberingAfterBreak="0">
    <w:nsid w:val="0E812C74"/>
    <w:multiLevelType w:val="hybridMultilevel"/>
    <w:tmpl w:val="034A6C3C"/>
    <w:lvl w:ilvl="0" w:tplc="040C0001">
      <w:start w:val="1"/>
      <w:numFmt w:val="bullet"/>
      <w:lvlText w:val=""/>
      <w:lvlJc w:val="left"/>
      <w:pPr>
        <w:ind w:left="720" w:hanging="360"/>
      </w:pPr>
      <w:rPr>
        <w:rFonts w:ascii="Symbol" w:hAnsi="Symbol" w:hint="default"/>
      </w:rPr>
    </w:lvl>
    <w:lvl w:ilvl="1" w:tplc="B20AC736">
      <w:start w:val="1"/>
      <w:numFmt w:val="bullet"/>
      <w:lvlText w:val="o"/>
      <w:lvlJc w:val="left"/>
      <w:pPr>
        <w:ind w:left="1440" w:hanging="360"/>
      </w:pPr>
      <w:rPr>
        <w:rFonts w:ascii="Courier New" w:hAnsi="Courier New" w:cs="Courier New" w:hint="default"/>
        <w:sz w:val="20"/>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0F0013FA"/>
    <w:multiLevelType w:val="hybridMultilevel"/>
    <w:tmpl w:val="2DE05446"/>
    <w:lvl w:ilvl="0" w:tplc="FFFFFFFF">
      <w:start w:val="1"/>
      <w:numFmt w:val="bullet"/>
      <w:pStyle w:val="Puce0Liste"/>
      <w:lvlText w:val=""/>
      <w:lvlJc w:val="left"/>
      <w:pPr>
        <w:tabs>
          <w:tab w:val="num" w:pos="644"/>
        </w:tabs>
        <w:ind w:left="567" w:hanging="283"/>
      </w:pPr>
      <w:rPr>
        <w:rFonts w:ascii="Symbol" w:hAnsi="Symbol" w:hint="default"/>
        <w:b/>
        <w:i w:val="0"/>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0FBB357B"/>
    <w:multiLevelType w:val="hybridMultilevel"/>
    <w:tmpl w:val="0724632C"/>
    <w:lvl w:ilvl="0" w:tplc="E3BAD5C8">
      <w:start w:val="1"/>
      <w:numFmt w:val="bullet"/>
      <w:lvlText w:val=""/>
      <w:lvlJc w:val="left"/>
      <w:pPr>
        <w:ind w:left="720" w:hanging="360"/>
      </w:pPr>
      <w:rPr>
        <w:rFonts w:ascii="Wingdings" w:hAnsi="Wingdings" w:hint="default"/>
        <w:color w:val="auto"/>
        <w:sz w:val="18"/>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10000A40"/>
    <w:multiLevelType w:val="hybridMultilevel"/>
    <w:tmpl w:val="AA62F458"/>
    <w:lvl w:ilvl="0" w:tplc="FFFFFFFF">
      <w:start w:val="1"/>
      <w:numFmt w:val="decimal"/>
      <w:pStyle w:val="Numero5Liste"/>
      <w:lvlText w:val="%1."/>
      <w:lvlJc w:val="left"/>
      <w:pPr>
        <w:tabs>
          <w:tab w:val="num" w:pos="1814"/>
        </w:tabs>
        <w:ind w:left="1814" w:hanging="396"/>
      </w:pPr>
      <w:rPr>
        <w:rFonts w:ascii="Arial" w:hAnsi="Arial" w:hint="default"/>
        <w:b/>
        <w:i w:val="0"/>
        <w:sz w:val="22"/>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4" w15:restartNumberingAfterBreak="0">
    <w:nsid w:val="10151DFE"/>
    <w:multiLevelType w:val="hybridMultilevel"/>
    <w:tmpl w:val="A106DE84"/>
    <w:lvl w:ilvl="0" w:tplc="2000000D">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5" w15:restartNumberingAfterBreak="0">
    <w:nsid w:val="102D48B0"/>
    <w:multiLevelType w:val="hybridMultilevel"/>
    <w:tmpl w:val="BD6437CC"/>
    <w:lvl w:ilvl="0" w:tplc="08669418">
      <w:start w:val="2"/>
      <w:numFmt w:val="bullet"/>
      <w:lvlText w:val="-"/>
      <w:lvlJc w:val="left"/>
      <w:pPr>
        <w:ind w:left="1429" w:hanging="360"/>
      </w:pPr>
      <w:rPr>
        <w:rFonts w:ascii="Arial" w:eastAsia="Times New Roman" w:hAnsi="Arial" w:cs="Aria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36" w15:restartNumberingAfterBreak="0">
    <w:nsid w:val="103F6EBB"/>
    <w:multiLevelType w:val="hybridMultilevel"/>
    <w:tmpl w:val="FBAA72CC"/>
    <w:lvl w:ilvl="0" w:tplc="FE548F96">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7" w15:restartNumberingAfterBreak="0">
    <w:nsid w:val="106F31A3"/>
    <w:multiLevelType w:val="hybridMultilevel"/>
    <w:tmpl w:val="C9BA8D7A"/>
    <w:lvl w:ilvl="0" w:tplc="2000000D">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8" w15:restartNumberingAfterBreak="0">
    <w:nsid w:val="10792CAC"/>
    <w:multiLevelType w:val="hybridMultilevel"/>
    <w:tmpl w:val="EEBC6ABC"/>
    <w:lvl w:ilvl="0" w:tplc="FD6A8D3C">
      <w:start w:val="1"/>
      <w:numFmt w:val="bullet"/>
      <w:lvlText w:val="o"/>
      <w:lvlJc w:val="left"/>
      <w:pPr>
        <w:ind w:left="1413" w:hanging="705"/>
      </w:pPr>
      <w:rPr>
        <w:rFonts w:ascii="Courier New" w:hAnsi="Courier New" w:hint="default"/>
        <w:sz w:val="18"/>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9" w15:restartNumberingAfterBreak="0">
    <w:nsid w:val="10A9656C"/>
    <w:multiLevelType w:val="hybridMultilevel"/>
    <w:tmpl w:val="499EB63C"/>
    <w:lvl w:ilvl="0" w:tplc="BDFACB26">
      <w:start w:val="1"/>
      <w:numFmt w:val="bullet"/>
      <w:lvlText w:val="•"/>
      <w:lvlJc w:val="left"/>
      <w:pPr>
        <w:ind w:left="720" w:hanging="360"/>
      </w:pPr>
      <w:rPr>
        <w:rFonts w:ascii="Arial" w:hAnsi="Arial" w:hint="default"/>
      </w:rPr>
    </w:lvl>
    <w:lvl w:ilvl="1" w:tplc="018CC892">
      <w:start w:val="1"/>
      <w:numFmt w:val="bullet"/>
      <w:lvlText w:val="o"/>
      <w:lvlJc w:val="left"/>
      <w:pPr>
        <w:ind w:left="1440" w:hanging="360"/>
      </w:pPr>
      <w:rPr>
        <w:rFonts w:ascii="Courier New" w:hAnsi="Courier New" w:hint="default"/>
      </w:rPr>
    </w:lvl>
    <w:lvl w:ilvl="2" w:tplc="3F6206EE">
      <w:start w:val="1"/>
      <w:numFmt w:val="bullet"/>
      <w:lvlText w:val=""/>
      <w:lvlJc w:val="left"/>
      <w:pPr>
        <w:ind w:left="2160" w:hanging="360"/>
      </w:pPr>
      <w:rPr>
        <w:rFonts w:ascii="Wingdings" w:hAnsi="Wingdings" w:hint="default"/>
      </w:rPr>
    </w:lvl>
    <w:lvl w:ilvl="3" w:tplc="1B947752">
      <w:start w:val="1"/>
      <w:numFmt w:val="bullet"/>
      <w:lvlText w:val=""/>
      <w:lvlJc w:val="left"/>
      <w:pPr>
        <w:ind w:left="2880" w:hanging="360"/>
      </w:pPr>
      <w:rPr>
        <w:rFonts w:ascii="Symbol" w:hAnsi="Symbol" w:hint="default"/>
      </w:rPr>
    </w:lvl>
    <w:lvl w:ilvl="4" w:tplc="F962ED4E">
      <w:start w:val="1"/>
      <w:numFmt w:val="bullet"/>
      <w:lvlText w:val="o"/>
      <w:lvlJc w:val="left"/>
      <w:pPr>
        <w:ind w:left="3600" w:hanging="360"/>
      </w:pPr>
      <w:rPr>
        <w:rFonts w:ascii="Courier New" w:hAnsi="Courier New" w:hint="default"/>
      </w:rPr>
    </w:lvl>
    <w:lvl w:ilvl="5" w:tplc="522A9DDA">
      <w:start w:val="1"/>
      <w:numFmt w:val="bullet"/>
      <w:lvlText w:val=""/>
      <w:lvlJc w:val="left"/>
      <w:pPr>
        <w:ind w:left="4320" w:hanging="360"/>
      </w:pPr>
      <w:rPr>
        <w:rFonts w:ascii="Wingdings" w:hAnsi="Wingdings" w:hint="default"/>
      </w:rPr>
    </w:lvl>
    <w:lvl w:ilvl="6" w:tplc="1F76587A">
      <w:start w:val="1"/>
      <w:numFmt w:val="bullet"/>
      <w:lvlText w:val=""/>
      <w:lvlJc w:val="left"/>
      <w:pPr>
        <w:ind w:left="5040" w:hanging="360"/>
      </w:pPr>
      <w:rPr>
        <w:rFonts w:ascii="Symbol" w:hAnsi="Symbol" w:hint="default"/>
      </w:rPr>
    </w:lvl>
    <w:lvl w:ilvl="7" w:tplc="AFD643AA">
      <w:start w:val="1"/>
      <w:numFmt w:val="bullet"/>
      <w:lvlText w:val="o"/>
      <w:lvlJc w:val="left"/>
      <w:pPr>
        <w:ind w:left="5760" w:hanging="360"/>
      </w:pPr>
      <w:rPr>
        <w:rFonts w:ascii="Courier New" w:hAnsi="Courier New" w:hint="default"/>
      </w:rPr>
    </w:lvl>
    <w:lvl w:ilvl="8" w:tplc="1D20D248">
      <w:start w:val="1"/>
      <w:numFmt w:val="bullet"/>
      <w:lvlText w:val=""/>
      <w:lvlJc w:val="left"/>
      <w:pPr>
        <w:ind w:left="6480" w:hanging="360"/>
      </w:pPr>
      <w:rPr>
        <w:rFonts w:ascii="Wingdings" w:hAnsi="Wingdings" w:hint="default"/>
      </w:rPr>
    </w:lvl>
  </w:abstractNum>
  <w:abstractNum w:abstractNumId="40" w15:restartNumberingAfterBreak="0">
    <w:nsid w:val="12724E4B"/>
    <w:multiLevelType w:val="hybridMultilevel"/>
    <w:tmpl w:val="8CC4A166"/>
    <w:lvl w:ilvl="0" w:tplc="040C0001">
      <w:start w:val="1"/>
      <w:numFmt w:val="bullet"/>
      <w:lvlText w:val=""/>
      <w:lvlJc w:val="left"/>
      <w:pPr>
        <w:ind w:left="1570" w:hanging="360"/>
      </w:pPr>
      <w:rPr>
        <w:rFonts w:ascii="Symbol" w:hAnsi="Symbol" w:hint="default"/>
      </w:rPr>
    </w:lvl>
    <w:lvl w:ilvl="1" w:tplc="040C0003" w:tentative="1">
      <w:start w:val="1"/>
      <w:numFmt w:val="bullet"/>
      <w:lvlText w:val="o"/>
      <w:lvlJc w:val="left"/>
      <w:pPr>
        <w:ind w:left="2290" w:hanging="360"/>
      </w:pPr>
      <w:rPr>
        <w:rFonts w:ascii="Courier New" w:hAnsi="Courier New" w:cs="Courier New" w:hint="default"/>
      </w:rPr>
    </w:lvl>
    <w:lvl w:ilvl="2" w:tplc="040C0005" w:tentative="1">
      <w:start w:val="1"/>
      <w:numFmt w:val="bullet"/>
      <w:lvlText w:val=""/>
      <w:lvlJc w:val="left"/>
      <w:pPr>
        <w:ind w:left="3010" w:hanging="360"/>
      </w:pPr>
      <w:rPr>
        <w:rFonts w:ascii="Wingdings" w:hAnsi="Wingdings" w:hint="default"/>
      </w:rPr>
    </w:lvl>
    <w:lvl w:ilvl="3" w:tplc="040C0001" w:tentative="1">
      <w:start w:val="1"/>
      <w:numFmt w:val="bullet"/>
      <w:lvlText w:val=""/>
      <w:lvlJc w:val="left"/>
      <w:pPr>
        <w:ind w:left="3730" w:hanging="360"/>
      </w:pPr>
      <w:rPr>
        <w:rFonts w:ascii="Symbol" w:hAnsi="Symbol" w:hint="default"/>
      </w:rPr>
    </w:lvl>
    <w:lvl w:ilvl="4" w:tplc="040C0003" w:tentative="1">
      <w:start w:val="1"/>
      <w:numFmt w:val="bullet"/>
      <w:lvlText w:val="o"/>
      <w:lvlJc w:val="left"/>
      <w:pPr>
        <w:ind w:left="4450" w:hanging="360"/>
      </w:pPr>
      <w:rPr>
        <w:rFonts w:ascii="Courier New" w:hAnsi="Courier New" w:cs="Courier New" w:hint="default"/>
      </w:rPr>
    </w:lvl>
    <w:lvl w:ilvl="5" w:tplc="040C0005" w:tentative="1">
      <w:start w:val="1"/>
      <w:numFmt w:val="bullet"/>
      <w:lvlText w:val=""/>
      <w:lvlJc w:val="left"/>
      <w:pPr>
        <w:ind w:left="5170" w:hanging="360"/>
      </w:pPr>
      <w:rPr>
        <w:rFonts w:ascii="Wingdings" w:hAnsi="Wingdings" w:hint="default"/>
      </w:rPr>
    </w:lvl>
    <w:lvl w:ilvl="6" w:tplc="040C0001" w:tentative="1">
      <w:start w:val="1"/>
      <w:numFmt w:val="bullet"/>
      <w:lvlText w:val=""/>
      <w:lvlJc w:val="left"/>
      <w:pPr>
        <w:ind w:left="5890" w:hanging="360"/>
      </w:pPr>
      <w:rPr>
        <w:rFonts w:ascii="Symbol" w:hAnsi="Symbol" w:hint="default"/>
      </w:rPr>
    </w:lvl>
    <w:lvl w:ilvl="7" w:tplc="040C0003" w:tentative="1">
      <w:start w:val="1"/>
      <w:numFmt w:val="bullet"/>
      <w:lvlText w:val="o"/>
      <w:lvlJc w:val="left"/>
      <w:pPr>
        <w:ind w:left="6610" w:hanging="360"/>
      </w:pPr>
      <w:rPr>
        <w:rFonts w:ascii="Courier New" w:hAnsi="Courier New" w:cs="Courier New" w:hint="default"/>
      </w:rPr>
    </w:lvl>
    <w:lvl w:ilvl="8" w:tplc="040C0005" w:tentative="1">
      <w:start w:val="1"/>
      <w:numFmt w:val="bullet"/>
      <w:lvlText w:val=""/>
      <w:lvlJc w:val="left"/>
      <w:pPr>
        <w:ind w:left="7330" w:hanging="360"/>
      </w:pPr>
      <w:rPr>
        <w:rFonts w:ascii="Wingdings" w:hAnsi="Wingdings" w:hint="default"/>
      </w:rPr>
    </w:lvl>
  </w:abstractNum>
  <w:abstractNum w:abstractNumId="41" w15:restartNumberingAfterBreak="0">
    <w:nsid w:val="14C4581A"/>
    <w:multiLevelType w:val="hybridMultilevel"/>
    <w:tmpl w:val="419C77EA"/>
    <w:lvl w:ilvl="0" w:tplc="1F345750">
      <w:start w:val="1"/>
      <w:numFmt w:val="bullet"/>
      <w:lvlText w:val=""/>
      <w:lvlJc w:val="left"/>
      <w:pPr>
        <w:tabs>
          <w:tab w:val="num" w:pos="340"/>
        </w:tabs>
        <w:ind w:left="340" w:hanging="340"/>
      </w:pPr>
      <w:rPr>
        <w:rFonts w:ascii="Wingdings" w:hAnsi="Wingdings" w:hint="default"/>
        <w:sz w:val="20"/>
        <w:szCs w:val="20"/>
      </w:rPr>
    </w:lvl>
    <w:lvl w:ilvl="1" w:tplc="0C0C0003" w:tentative="1">
      <w:start w:val="1"/>
      <w:numFmt w:val="bullet"/>
      <w:lvlText w:val="o"/>
      <w:lvlJc w:val="left"/>
      <w:pPr>
        <w:tabs>
          <w:tab w:val="num" w:pos="1440"/>
        </w:tabs>
        <w:ind w:left="1440" w:hanging="360"/>
      </w:pPr>
      <w:rPr>
        <w:rFonts w:ascii="Courier New" w:hAnsi="Courier New" w:cs="Courier New" w:hint="default"/>
      </w:rPr>
    </w:lvl>
    <w:lvl w:ilvl="2" w:tplc="0C0C0005" w:tentative="1">
      <w:start w:val="1"/>
      <w:numFmt w:val="bullet"/>
      <w:lvlText w:val=""/>
      <w:lvlJc w:val="left"/>
      <w:pPr>
        <w:tabs>
          <w:tab w:val="num" w:pos="2160"/>
        </w:tabs>
        <w:ind w:left="2160" w:hanging="360"/>
      </w:pPr>
      <w:rPr>
        <w:rFonts w:ascii="Wingdings" w:hAnsi="Wingdings" w:hint="default"/>
      </w:rPr>
    </w:lvl>
    <w:lvl w:ilvl="3" w:tplc="0C0C0001" w:tentative="1">
      <w:start w:val="1"/>
      <w:numFmt w:val="bullet"/>
      <w:lvlText w:val=""/>
      <w:lvlJc w:val="left"/>
      <w:pPr>
        <w:tabs>
          <w:tab w:val="num" w:pos="2880"/>
        </w:tabs>
        <w:ind w:left="2880" w:hanging="360"/>
      </w:pPr>
      <w:rPr>
        <w:rFonts w:ascii="Symbol" w:hAnsi="Symbol" w:hint="default"/>
      </w:rPr>
    </w:lvl>
    <w:lvl w:ilvl="4" w:tplc="0C0C0003" w:tentative="1">
      <w:start w:val="1"/>
      <w:numFmt w:val="bullet"/>
      <w:lvlText w:val="o"/>
      <w:lvlJc w:val="left"/>
      <w:pPr>
        <w:tabs>
          <w:tab w:val="num" w:pos="3600"/>
        </w:tabs>
        <w:ind w:left="3600" w:hanging="360"/>
      </w:pPr>
      <w:rPr>
        <w:rFonts w:ascii="Courier New" w:hAnsi="Courier New" w:cs="Courier New" w:hint="default"/>
      </w:rPr>
    </w:lvl>
    <w:lvl w:ilvl="5" w:tplc="0C0C0005" w:tentative="1">
      <w:start w:val="1"/>
      <w:numFmt w:val="bullet"/>
      <w:lvlText w:val=""/>
      <w:lvlJc w:val="left"/>
      <w:pPr>
        <w:tabs>
          <w:tab w:val="num" w:pos="4320"/>
        </w:tabs>
        <w:ind w:left="4320" w:hanging="360"/>
      </w:pPr>
      <w:rPr>
        <w:rFonts w:ascii="Wingdings" w:hAnsi="Wingdings" w:hint="default"/>
      </w:rPr>
    </w:lvl>
    <w:lvl w:ilvl="6" w:tplc="0C0C0001" w:tentative="1">
      <w:start w:val="1"/>
      <w:numFmt w:val="bullet"/>
      <w:lvlText w:val=""/>
      <w:lvlJc w:val="left"/>
      <w:pPr>
        <w:tabs>
          <w:tab w:val="num" w:pos="5040"/>
        </w:tabs>
        <w:ind w:left="5040" w:hanging="360"/>
      </w:pPr>
      <w:rPr>
        <w:rFonts w:ascii="Symbol" w:hAnsi="Symbol" w:hint="default"/>
      </w:rPr>
    </w:lvl>
    <w:lvl w:ilvl="7" w:tplc="0C0C0003" w:tentative="1">
      <w:start w:val="1"/>
      <w:numFmt w:val="bullet"/>
      <w:lvlText w:val="o"/>
      <w:lvlJc w:val="left"/>
      <w:pPr>
        <w:tabs>
          <w:tab w:val="num" w:pos="5760"/>
        </w:tabs>
        <w:ind w:left="5760" w:hanging="360"/>
      </w:pPr>
      <w:rPr>
        <w:rFonts w:ascii="Courier New" w:hAnsi="Courier New" w:cs="Courier New" w:hint="default"/>
      </w:rPr>
    </w:lvl>
    <w:lvl w:ilvl="8" w:tplc="0C0C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15F64389"/>
    <w:multiLevelType w:val="hybridMultilevel"/>
    <w:tmpl w:val="572EF47E"/>
    <w:lvl w:ilvl="0" w:tplc="82C4FA74">
      <w:numFmt w:val="bullet"/>
      <w:lvlText w:val="-"/>
      <w:lvlJc w:val="left"/>
      <w:pPr>
        <w:ind w:left="720" w:hanging="360"/>
      </w:pPr>
      <w:rPr>
        <w:rFonts w:ascii="Times New Roman" w:eastAsia="Times New Roman" w:hAnsi="Times New Roman" w:cs="Times New Roman" w:hint="default"/>
        <w:b w:val="0"/>
        <w:color w:val="C00000"/>
        <w:sz w:val="22"/>
        <w:szCs w:val="22"/>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3" w15:restartNumberingAfterBreak="0">
    <w:nsid w:val="17275A5D"/>
    <w:multiLevelType w:val="hybridMultilevel"/>
    <w:tmpl w:val="B9825C20"/>
    <w:styleLink w:val="WWNum1421"/>
    <w:lvl w:ilvl="0" w:tplc="040C0003">
      <w:start w:val="1"/>
      <w:numFmt w:val="upperRoman"/>
      <w:lvlText w:val="%1."/>
      <w:lvlJc w:val="right"/>
      <w:pPr>
        <w:ind w:left="502" w:hanging="360"/>
      </w:pPr>
      <w:rPr>
        <w:color w:val="000000"/>
      </w:rPr>
    </w:lvl>
    <w:lvl w:ilvl="1" w:tplc="040C0003" w:tentative="1">
      <w:start w:val="1"/>
      <w:numFmt w:val="lowerLetter"/>
      <w:lvlText w:val="%2."/>
      <w:lvlJc w:val="left"/>
      <w:pPr>
        <w:ind w:left="1222" w:hanging="360"/>
      </w:pPr>
    </w:lvl>
    <w:lvl w:ilvl="2" w:tplc="040C0005" w:tentative="1">
      <w:start w:val="1"/>
      <w:numFmt w:val="lowerRoman"/>
      <w:lvlText w:val="%3."/>
      <w:lvlJc w:val="right"/>
      <w:pPr>
        <w:ind w:left="1942" w:hanging="180"/>
      </w:pPr>
    </w:lvl>
    <w:lvl w:ilvl="3" w:tplc="040C0001" w:tentative="1">
      <w:start w:val="1"/>
      <w:numFmt w:val="decimal"/>
      <w:lvlText w:val="%4."/>
      <w:lvlJc w:val="left"/>
      <w:pPr>
        <w:ind w:left="2662" w:hanging="360"/>
      </w:pPr>
    </w:lvl>
    <w:lvl w:ilvl="4" w:tplc="040C0003" w:tentative="1">
      <w:start w:val="1"/>
      <w:numFmt w:val="lowerLetter"/>
      <w:lvlText w:val="%5."/>
      <w:lvlJc w:val="left"/>
      <w:pPr>
        <w:ind w:left="3382" w:hanging="360"/>
      </w:pPr>
    </w:lvl>
    <w:lvl w:ilvl="5" w:tplc="040C0005" w:tentative="1">
      <w:start w:val="1"/>
      <w:numFmt w:val="lowerRoman"/>
      <w:lvlText w:val="%6."/>
      <w:lvlJc w:val="right"/>
      <w:pPr>
        <w:ind w:left="4102" w:hanging="180"/>
      </w:pPr>
    </w:lvl>
    <w:lvl w:ilvl="6" w:tplc="040C0001" w:tentative="1">
      <w:start w:val="1"/>
      <w:numFmt w:val="decimal"/>
      <w:lvlText w:val="%7."/>
      <w:lvlJc w:val="left"/>
      <w:pPr>
        <w:ind w:left="4822" w:hanging="360"/>
      </w:pPr>
    </w:lvl>
    <w:lvl w:ilvl="7" w:tplc="040C0003" w:tentative="1">
      <w:start w:val="1"/>
      <w:numFmt w:val="lowerLetter"/>
      <w:lvlText w:val="%8."/>
      <w:lvlJc w:val="left"/>
      <w:pPr>
        <w:ind w:left="5542" w:hanging="360"/>
      </w:pPr>
    </w:lvl>
    <w:lvl w:ilvl="8" w:tplc="040C0005" w:tentative="1">
      <w:start w:val="1"/>
      <w:numFmt w:val="lowerRoman"/>
      <w:lvlText w:val="%9."/>
      <w:lvlJc w:val="right"/>
      <w:pPr>
        <w:ind w:left="6262" w:hanging="180"/>
      </w:pPr>
    </w:lvl>
  </w:abstractNum>
  <w:abstractNum w:abstractNumId="44" w15:restartNumberingAfterBreak="0">
    <w:nsid w:val="187C741B"/>
    <w:multiLevelType w:val="hybridMultilevel"/>
    <w:tmpl w:val="0B760AAE"/>
    <w:lvl w:ilvl="0" w:tplc="82C4FA74">
      <w:numFmt w:val="bullet"/>
      <w:lvlText w:val="-"/>
      <w:lvlJc w:val="left"/>
      <w:pPr>
        <w:tabs>
          <w:tab w:val="num" w:pos="720"/>
        </w:tabs>
        <w:ind w:left="720" w:hanging="360"/>
      </w:pPr>
      <w:rPr>
        <w:rFonts w:ascii="Times New Roman" w:eastAsia="Times New Roman" w:hAnsi="Times New Roman" w:cs="Times New Roman" w:hint="default"/>
      </w:rPr>
    </w:lvl>
    <w:lvl w:ilvl="1" w:tplc="0C0C0003" w:tentative="1">
      <w:start w:val="1"/>
      <w:numFmt w:val="bullet"/>
      <w:lvlText w:val="o"/>
      <w:lvlJc w:val="left"/>
      <w:pPr>
        <w:tabs>
          <w:tab w:val="num" w:pos="1800"/>
        </w:tabs>
        <w:ind w:left="1800" w:hanging="360"/>
      </w:pPr>
      <w:rPr>
        <w:rFonts w:ascii="Courier New" w:hAnsi="Courier New" w:cs="Courier New" w:hint="default"/>
      </w:rPr>
    </w:lvl>
    <w:lvl w:ilvl="2" w:tplc="0C0C0005" w:tentative="1">
      <w:start w:val="1"/>
      <w:numFmt w:val="bullet"/>
      <w:lvlText w:val=""/>
      <w:lvlJc w:val="left"/>
      <w:pPr>
        <w:tabs>
          <w:tab w:val="num" w:pos="2520"/>
        </w:tabs>
        <w:ind w:left="2520" w:hanging="360"/>
      </w:pPr>
      <w:rPr>
        <w:rFonts w:ascii="Wingdings" w:hAnsi="Wingdings" w:hint="default"/>
      </w:rPr>
    </w:lvl>
    <w:lvl w:ilvl="3" w:tplc="0C0C0001" w:tentative="1">
      <w:start w:val="1"/>
      <w:numFmt w:val="bullet"/>
      <w:lvlText w:val=""/>
      <w:lvlJc w:val="left"/>
      <w:pPr>
        <w:tabs>
          <w:tab w:val="num" w:pos="3240"/>
        </w:tabs>
        <w:ind w:left="3240" w:hanging="360"/>
      </w:pPr>
      <w:rPr>
        <w:rFonts w:ascii="Symbol" w:hAnsi="Symbol" w:hint="default"/>
      </w:rPr>
    </w:lvl>
    <w:lvl w:ilvl="4" w:tplc="0C0C0003" w:tentative="1">
      <w:start w:val="1"/>
      <w:numFmt w:val="bullet"/>
      <w:lvlText w:val="o"/>
      <w:lvlJc w:val="left"/>
      <w:pPr>
        <w:tabs>
          <w:tab w:val="num" w:pos="3960"/>
        </w:tabs>
        <w:ind w:left="3960" w:hanging="360"/>
      </w:pPr>
      <w:rPr>
        <w:rFonts w:ascii="Courier New" w:hAnsi="Courier New" w:cs="Courier New" w:hint="default"/>
      </w:rPr>
    </w:lvl>
    <w:lvl w:ilvl="5" w:tplc="0C0C0005" w:tentative="1">
      <w:start w:val="1"/>
      <w:numFmt w:val="bullet"/>
      <w:lvlText w:val=""/>
      <w:lvlJc w:val="left"/>
      <w:pPr>
        <w:tabs>
          <w:tab w:val="num" w:pos="4680"/>
        </w:tabs>
        <w:ind w:left="4680" w:hanging="360"/>
      </w:pPr>
      <w:rPr>
        <w:rFonts w:ascii="Wingdings" w:hAnsi="Wingdings" w:hint="default"/>
      </w:rPr>
    </w:lvl>
    <w:lvl w:ilvl="6" w:tplc="0C0C0001" w:tentative="1">
      <w:start w:val="1"/>
      <w:numFmt w:val="bullet"/>
      <w:lvlText w:val=""/>
      <w:lvlJc w:val="left"/>
      <w:pPr>
        <w:tabs>
          <w:tab w:val="num" w:pos="5400"/>
        </w:tabs>
        <w:ind w:left="5400" w:hanging="360"/>
      </w:pPr>
      <w:rPr>
        <w:rFonts w:ascii="Symbol" w:hAnsi="Symbol" w:hint="default"/>
      </w:rPr>
    </w:lvl>
    <w:lvl w:ilvl="7" w:tplc="0C0C0003" w:tentative="1">
      <w:start w:val="1"/>
      <w:numFmt w:val="bullet"/>
      <w:lvlText w:val="o"/>
      <w:lvlJc w:val="left"/>
      <w:pPr>
        <w:tabs>
          <w:tab w:val="num" w:pos="6120"/>
        </w:tabs>
        <w:ind w:left="6120" w:hanging="360"/>
      </w:pPr>
      <w:rPr>
        <w:rFonts w:ascii="Courier New" w:hAnsi="Courier New" w:cs="Courier New" w:hint="default"/>
      </w:rPr>
    </w:lvl>
    <w:lvl w:ilvl="8" w:tplc="0C0C0005" w:tentative="1">
      <w:start w:val="1"/>
      <w:numFmt w:val="bullet"/>
      <w:lvlText w:val=""/>
      <w:lvlJc w:val="left"/>
      <w:pPr>
        <w:tabs>
          <w:tab w:val="num" w:pos="6840"/>
        </w:tabs>
        <w:ind w:left="6840" w:hanging="360"/>
      </w:pPr>
      <w:rPr>
        <w:rFonts w:ascii="Wingdings" w:hAnsi="Wingdings" w:hint="default"/>
      </w:rPr>
    </w:lvl>
  </w:abstractNum>
  <w:abstractNum w:abstractNumId="45" w15:restartNumberingAfterBreak="0">
    <w:nsid w:val="1890131B"/>
    <w:multiLevelType w:val="hybridMultilevel"/>
    <w:tmpl w:val="71E618E8"/>
    <w:styleLink w:val="WWNum311"/>
    <w:lvl w:ilvl="0" w:tplc="6BB2F0BC">
      <w:start w:val="3"/>
      <w:numFmt w:val="bullet"/>
      <w:lvlText w:val="-"/>
      <w:lvlJc w:val="left"/>
      <w:pPr>
        <w:ind w:left="720" w:hanging="360"/>
      </w:pPr>
      <w:rPr>
        <w:rFonts w:ascii="Arial" w:hAnsi="Arial" w:cs="Arial" w:hint="default"/>
        <w:b w:val="0"/>
        <w:color w:val="auto"/>
        <w:sz w:val="20"/>
        <w:szCs w:val="20"/>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46" w15:restartNumberingAfterBreak="0">
    <w:nsid w:val="19503AD9"/>
    <w:multiLevelType w:val="hybridMultilevel"/>
    <w:tmpl w:val="159C609A"/>
    <w:lvl w:ilvl="0" w:tplc="6DDE466E">
      <w:start w:val="1"/>
      <w:numFmt w:val="bullet"/>
      <w:lvlText w:val="o"/>
      <w:lvlJc w:val="left"/>
      <w:pPr>
        <w:ind w:left="720" w:hanging="360"/>
      </w:pPr>
      <w:rPr>
        <w:rFonts w:ascii="Courier New" w:hAnsi="Courier New" w:hint="default"/>
        <w:sz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19580622"/>
    <w:multiLevelType w:val="hybridMultilevel"/>
    <w:tmpl w:val="DB725440"/>
    <w:lvl w:ilvl="0" w:tplc="A3F6B77A">
      <w:start w:val="1"/>
      <w:numFmt w:val="decimal"/>
      <w:lvlText w:val="%1)"/>
      <w:lvlJc w:val="left"/>
      <w:pPr>
        <w:ind w:left="720" w:hanging="360"/>
      </w:pPr>
      <w:rPr>
        <w:rFonts w:hint="default"/>
        <w:b w:val="0"/>
        <w:bCs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8" w15:restartNumberingAfterBreak="0">
    <w:nsid w:val="199B7B46"/>
    <w:multiLevelType w:val="hybridMultilevel"/>
    <w:tmpl w:val="1C3CA306"/>
    <w:styleLink w:val="WWNum33"/>
    <w:lvl w:ilvl="0" w:tplc="20B63B50">
      <w:start w:val="1"/>
      <w:numFmt w:val="bullet"/>
      <w:lvlText w:val=""/>
      <w:lvlJc w:val="left"/>
      <w:pPr>
        <w:ind w:left="720" w:hanging="360"/>
      </w:pPr>
      <w:rPr>
        <w:rFonts w:ascii="Symbol" w:hAnsi="Symbol" w:hint="default"/>
      </w:rPr>
    </w:lvl>
    <w:lvl w:ilvl="1" w:tplc="E612D672">
      <w:start w:val="1"/>
      <w:numFmt w:val="decimal"/>
      <w:lvlText w:val="%2."/>
      <w:lvlJc w:val="left"/>
      <w:pPr>
        <w:tabs>
          <w:tab w:val="num" w:pos="1440"/>
        </w:tabs>
        <w:ind w:left="1440" w:hanging="360"/>
      </w:pPr>
    </w:lvl>
    <w:lvl w:ilvl="2" w:tplc="4B36BD00">
      <w:start w:val="1"/>
      <w:numFmt w:val="decimal"/>
      <w:lvlText w:val="%3."/>
      <w:lvlJc w:val="left"/>
      <w:pPr>
        <w:tabs>
          <w:tab w:val="num" w:pos="2160"/>
        </w:tabs>
        <w:ind w:left="2160" w:hanging="360"/>
      </w:pPr>
    </w:lvl>
    <w:lvl w:ilvl="3" w:tplc="35F8EE7E">
      <w:start w:val="1"/>
      <w:numFmt w:val="decimal"/>
      <w:lvlText w:val="%4."/>
      <w:lvlJc w:val="left"/>
      <w:pPr>
        <w:tabs>
          <w:tab w:val="num" w:pos="2880"/>
        </w:tabs>
        <w:ind w:left="2880" w:hanging="360"/>
      </w:pPr>
    </w:lvl>
    <w:lvl w:ilvl="4" w:tplc="E6A273F0">
      <w:start w:val="1"/>
      <w:numFmt w:val="decimal"/>
      <w:lvlText w:val="%5."/>
      <w:lvlJc w:val="left"/>
      <w:pPr>
        <w:tabs>
          <w:tab w:val="num" w:pos="3600"/>
        </w:tabs>
        <w:ind w:left="3600" w:hanging="360"/>
      </w:pPr>
    </w:lvl>
    <w:lvl w:ilvl="5" w:tplc="21D06B3E">
      <w:start w:val="1"/>
      <w:numFmt w:val="decimal"/>
      <w:lvlText w:val="%6."/>
      <w:lvlJc w:val="left"/>
      <w:pPr>
        <w:tabs>
          <w:tab w:val="num" w:pos="4320"/>
        </w:tabs>
        <w:ind w:left="4320" w:hanging="360"/>
      </w:pPr>
    </w:lvl>
    <w:lvl w:ilvl="6" w:tplc="A8E6EE32">
      <w:start w:val="1"/>
      <w:numFmt w:val="decimal"/>
      <w:lvlText w:val="%7."/>
      <w:lvlJc w:val="left"/>
      <w:pPr>
        <w:tabs>
          <w:tab w:val="num" w:pos="5040"/>
        </w:tabs>
        <w:ind w:left="5040" w:hanging="360"/>
      </w:pPr>
    </w:lvl>
    <w:lvl w:ilvl="7" w:tplc="75829388">
      <w:start w:val="1"/>
      <w:numFmt w:val="decimal"/>
      <w:lvlText w:val="%8."/>
      <w:lvlJc w:val="left"/>
      <w:pPr>
        <w:tabs>
          <w:tab w:val="num" w:pos="5760"/>
        </w:tabs>
        <w:ind w:left="5760" w:hanging="360"/>
      </w:pPr>
    </w:lvl>
    <w:lvl w:ilvl="8" w:tplc="40EA9CFE">
      <w:start w:val="1"/>
      <w:numFmt w:val="decimal"/>
      <w:lvlText w:val="%9."/>
      <w:lvlJc w:val="left"/>
      <w:pPr>
        <w:tabs>
          <w:tab w:val="num" w:pos="6480"/>
        </w:tabs>
        <w:ind w:left="6480" w:hanging="360"/>
      </w:pPr>
    </w:lvl>
  </w:abstractNum>
  <w:abstractNum w:abstractNumId="49" w15:restartNumberingAfterBreak="0">
    <w:nsid w:val="199F160E"/>
    <w:multiLevelType w:val="hybridMultilevel"/>
    <w:tmpl w:val="910CEF52"/>
    <w:styleLink w:val="WWNum1431"/>
    <w:lvl w:ilvl="0" w:tplc="AF4A21B6">
      <w:start w:val="1"/>
      <w:numFmt w:val="bullet"/>
      <w:lvlText w:val=""/>
      <w:lvlJc w:val="left"/>
      <w:pPr>
        <w:ind w:left="720" w:hanging="360"/>
      </w:pPr>
      <w:rPr>
        <w:rFonts w:ascii="Symbol" w:hAnsi="Symbol" w:hint="default"/>
      </w:rPr>
    </w:lvl>
    <w:lvl w:ilvl="1" w:tplc="B1F0B6C2" w:tentative="1">
      <w:start w:val="1"/>
      <w:numFmt w:val="bullet"/>
      <w:lvlText w:val="o"/>
      <w:lvlJc w:val="left"/>
      <w:pPr>
        <w:ind w:left="1440" w:hanging="360"/>
      </w:pPr>
      <w:rPr>
        <w:rFonts w:ascii="Courier New" w:hAnsi="Courier New" w:cs="Courier New" w:hint="default"/>
      </w:rPr>
    </w:lvl>
    <w:lvl w:ilvl="2" w:tplc="D21864CC" w:tentative="1">
      <w:start w:val="1"/>
      <w:numFmt w:val="bullet"/>
      <w:lvlText w:val=""/>
      <w:lvlJc w:val="left"/>
      <w:pPr>
        <w:ind w:left="2160" w:hanging="360"/>
      </w:pPr>
      <w:rPr>
        <w:rFonts w:ascii="Wingdings" w:hAnsi="Wingdings" w:hint="default"/>
      </w:rPr>
    </w:lvl>
    <w:lvl w:ilvl="3" w:tplc="862A6322" w:tentative="1">
      <w:start w:val="1"/>
      <w:numFmt w:val="bullet"/>
      <w:lvlText w:val=""/>
      <w:lvlJc w:val="left"/>
      <w:pPr>
        <w:ind w:left="2880" w:hanging="360"/>
      </w:pPr>
      <w:rPr>
        <w:rFonts w:ascii="Symbol" w:hAnsi="Symbol" w:hint="default"/>
      </w:rPr>
    </w:lvl>
    <w:lvl w:ilvl="4" w:tplc="888C06DC" w:tentative="1">
      <w:start w:val="1"/>
      <w:numFmt w:val="bullet"/>
      <w:lvlText w:val="o"/>
      <w:lvlJc w:val="left"/>
      <w:pPr>
        <w:ind w:left="3600" w:hanging="360"/>
      </w:pPr>
      <w:rPr>
        <w:rFonts w:ascii="Courier New" w:hAnsi="Courier New" w:cs="Courier New" w:hint="default"/>
      </w:rPr>
    </w:lvl>
    <w:lvl w:ilvl="5" w:tplc="7C146CC2" w:tentative="1">
      <w:start w:val="1"/>
      <w:numFmt w:val="bullet"/>
      <w:lvlText w:val=""/>
      <w:lvlJc w:val="left"/>
      <w:pPr>
        <w:ind w:left="4320" w:hanging="360"/>
      </w:pPr>
      <w:rPr>
        <w:rFonts w:ascii="Wingdings" w:hAnsi="Wingdings" w:hint="default"/>
      </w:rPr>
    </w:lvl>
    <w:lvl w:ilvl="6" w:tplc="BE567674" w:tentative="1">
      <w:start w:val="1"/>
      <w:numFmt w:val="bullet"/>
      <w:lvlText w:val=""/>
      <w:lvlJc w:val="left"/>
      <w:pPr>
        <w:ind w:left="5040" w:hanging="360"/>
      </w:pPr>
      <w:rPr>
        <w:rFonts w:ascii="Symbol" w:hAnsi="Symbol" w:hint="default"/>
      </w:rPr>
    </w:lvl>
    <w:lvl w:ilvl="7" w:tplc="C29081A4" w:tentative="1">
      <w:start w:val="1"/>
      <w:numFmt w:val="bullet"/>
      <w:lvlText w:val="o"/>
      <w:lvlJc w:val="left"/>
      <w:pPr>
        <w:ind w:left="5760" w:hanging="360"/>
      </w:pPr>
      <w:rPr>
        <w:rFonts w:ascii="Courier New" w:hAnsi="Courier New" w:cs="Courier New" w:hint="default"/>
      </w:rPr>
    </w:lvl>
    <w:lvl w:ilvl="8" w:tplc="0F30E502" w:tentative="1">
      <w:start w:val="1"/>
      <w:numFmt w:val="bullet"/>
      <w:lvlText w:val=""/>
      <w:lvlJc w:val="left"/>
      <w:pPr>
        <w:ind w:left="6480" w:hanging="360"/>
      </w:pPr>
      <w:rPr>
        <w:rFonts w:ascii="Wingdings" w:hAnsi="Wingdings" w:hint="default"/>
      </w:rPr>
    </w:lvl>
  </w:abstractNum>
  <w:abstractNum w:abstractNumId="50" w15:restartNumberingAfterBreak="0">
    <w:nsid w:val="1A3D3D04"/>
    <w:multiLevelType w:val="multilevel"/>
    <w:tmpl w:val="2EFC0938"/>
    <w:lvl w:ilvl="0">
      <w:start w:val="1"/>
      <w:numFmt w:val="decimal"/>
      <w:lvlText w:val="%1."/>
      <w:lvlJc w:val="left"/>
      <w:pPr>
        <w:ind w:left="1210" w:hanging="360"/>
      </w:pPr>
      <w:rPr>
        <w:rFonts w:hint="default"/>
      </w:rPr>
    </w:lvl>
    <w:lvl w:ilvl="1">
      <w:start w:val="1"/>
      <w:numFmt w:val="decimal"/>
      <w:isLgl/>
      <w:lvlText w:val="%1.%2."/>
      <w:lvlJc w:val="left"/>
      <w:pPr>
        <w:ind w:left="1210" w:hanging="360"/>
      </w:pPr>
      <w:rPr>
        <w:rFonts w:hint="default"/>
      </w:rPr>
    </w:lvl>
    <w:lvl w:ilvl="2">
      <w:start w:val="1"/>
      <w:numFmt w:val="decimal"/>
      <w:isLgl/>
      <w:lvlText w:val="%1.%2.%3."/>
      <w:lvlJc w:val="left"/>
      <w:pPr>
        <w:ind w:left="1570" w:hanging="720"/>
      </w:pPr>
      <w:rPr>
        <w:rFonts w:hint="default"/>
      </w:rPr>
    </w:lvl>
    <w:lvl w:ilvl="3">
      <w:start w:val="1"/>
      <w:numFmt w:val="decimal"/>
      <w:isLgl/>
      <w:lvlText w:val="%1.%2.%3.%4."/>
      <w:lvlJc w:val="left"/>
      <w:pPr>
        <w:ind w:left="1570" w:hanging="720"/>
      </w:pPr>
      <w:rPr>
        <w:rFonts w:hint="default"/>
      </w:rPr>
    </w:lvl>
    <w:lvl w:ilvl="4">
      <w:start w:val="1"/>
      <w:numFmt w:val="decimal"/>
      <w:isLgl/>
      <w:lvlText w:val="%1.%2.%3.%4.%5."/>
      <w:lvlJc w:val="left"/>
      <w:pPr>
        <w:ind w:left="1930" w:hanging="1080"/>
      </w:pPr>
      <w:rPr>
        <w:rFonts w:hint="default"/>
      </w:rPr>
    </w:lvl>
    <w:lvl w:ilvl="5">
      <w:start w:val="1"/>
      <w:numFmt w:val="decimal"/>
      <w:isLgl/>
      <w:lvlText w:val="%1.%2.%3.%4.%5.%6."/>
      <w:lvlJc w:val="left"/>
      <w:pPr>
        <w:ind w:left="1930" w:hanging="1080"/>
      </w:pPr>
      <w:rPr>
        <w:rFonts w:hint="default"/>
      </w:rPr>
    </w:lvl>
    <w:lvl w:ilvl="6">
      <w:start w:val="1"/>
      <w:numFmt w:val="decimal"/>
      <w:isLgl/>
      <w:lvlText w:val="%1.%2.%3.%4.%5.%6.%7."/>
      <w:lvlJc w:val="left"/>
      <w:pPr>
        <w:ind w:left="2290" w:hanging="1440"/>
      </w:pPr>
      <w:rPr>
        <w:rFonts w:hint="default"/>
      </w:rPr>
    </w:lvl>
    <w:lvl w:ilvl="7">
      <w:start w:val="1"/>
      <w:numFmt w:val="decimal"/>
      <w:isLgl/>
      <w:lvlText w:val="%1.%2.%3.%4.%5.%6.%7.%8."/>
      <w:lvlJc w:val="left"/>
      <w:pPr>
        <w:ind w:left="2290" w:hanging="1440"/>
      </w:pPr>
      <w:rPr>
        <w:rFonts w:hint="default"/>
      </w:rPr>
    </w:lvl>
    <w:lvl w:ilvl="8">
      <w:start w:val="1"/>
      <w:numFmt w:val="decimal"/>
      <w:isLgl/>
      <w:lvlText w:val="%1.%2.%3.%4.%5.%6.%7.%8.%9."/>
      <w:lvlJc w:val="left"/>
      <w:pPr>
        <w:ind w:left="2650" w:hanging="1800"/>
      </w:pPr>
      <w:rPr>
        <w:rFonts w:hint="default"/>
      </w:rPr>
    </w:lvl>
  </w:abstractNum>
  <w:abstractNum w:abstractNumId="51" w15:restartNumberingAfterBreak="0">
    <w:nsid w:val="1A710C6A"/>
    <w:multiLevelType w:val="hybridMultilevel"/>
    <w:tmpl w:val="02B2A1D8"/>
    <w:lvl w:ilvl="0" w:tplc="2000000D">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2" w15:restartNumberingAfterBreak="0">
    <w:nsid w:val="1AAA245F"/>
    <w:multiLevelType w:val="hybridMultilevel"/>
    <w:tmpl w:val="EE18A5C0"/>
    <w:styleLink w:val="WWNum3111"/>
    <w:lvl w:ilvl="0" w:tplc="FFFFFFFF">
      <w:numFmt w:val="bullet"/>
      <w:lvlText w:val="-"/>
      <w:lvlJc w:val="left"/>
      <w:pPr>
        <w:ind w:left="707" w:hanging="360"/>
      </w:pPr>
      <w:rPr>
        <w:rFonts w:ascii="Times New Roman" w:eastAsia="Times New Roman" w:hAnsi="Times New Roman" w:cs="Times New Roman" w:hint="default"/>
      </w:rPr>
    </w:lvl>
    <w:lvl w:ilvl="1" w:tplc="FFFFFFFF" w:tentative="1">
      <w:start w:val="1"/>
      <w:numFmt w:val="bullet"/>
      <w:lvlText w:val="o"/>
      <w:lvlJc w:val="left"/>
      <w:pPr>
        <w:ind w:left="1427" w:hanging="360"/>
      </w:pPr>
      <w:rPr>
        <w:rFonts w:ascii="Courier New" w:hAnsi="Courier New" w:cs="Courier New" w:hint="default"/>
      </w:rPr>
    </w:lvl>
    <w:lvl w:ilvl="2" w:tplc="FFFFFFFF" w:tentative="1">
      <w:start w:val="1"/>
      <w:numFmt w:val="bullet"/>
      <w:lvlText w:val=""/>
      <w:lvlJc w:val="left"/>
      <w:pPr>
        <w:ind w:left="2147" w:hanging="360"/>
      </w:pPr>
      <w:rPr>
        <w:rFonts w:ascii="Wingdings" w:hAnsi="Wingdings" w:hint="default"/>
      </w:rPr>
    </w:lvl>
    <w:lvl w:ilvl="3" w:tplc="FFFFFFFF" w:tentative="1">
      <w:start w:val="1"/>
      <w:numFmt w:val="bullet"/>
      <w:lvlText w:val=""/>
      <w:lvlJc w:val="left"/>
      <w:pPr>
        <w:ind w:left="2867" w:hanging="360"/>
      </w:pPr>
      <w:rPr>
        <w:rFonts w:ascii="Symbol" w:hAnsi="Symbol" w:hint="default"/>
      </w:rPr>
    </w:lvl>
    <w:lvl w:ilvl="4" w:tplc="FFFFFFFF" w:tentative="1">
      <w:start w:val="1"/>
      <w:numFmt w:val="bullet"/>
      <w:lvlText w:val="o"/>
      <w:lvlJc w:val="left"/>
      <w:pPr>
        <w:ind w:left="3587" w:hanging="360"/>
      </w:pPr>
      <w:rPr>
        <w:rFonts w:ascii="Courier New" w:hAnsi="Courier New" w:cs="Courier New" w:hint="default"/>
      </w:rPr>
    </w:lvl>
    <w:lvl w:ilvl="5" w:tplc="FFFFFFFF" w:tentative="1">
      <w:start w:val="1"/>
      <w:numFmt w:val="bullet"/>
      <w:lvlText w:val=""/>
      <w:lvlJc w:val="left"/>
      <w:pPr>
        <w:ind w:left="4307" w:hanging="360"/>
      </w:pPr>
      <w:rPr>
        <w:rFonts w:ascii="Wingdings" w:hAnsi="Wingdings" w:hint="default"/>
      </w:rPr>
    </w:lvl>
    <w:lvl w:ilvl="6" w:tplc="FFFFFFFF" w:tentative="1">
      <w:start w:val="1"/>
      <w:numFmt w:val="bullet"/>
      <w:lvlText w:val=""/>
      <w:lvlJc w:val="left"/>
      <w:pPr>
        <w:ind w:left="5027" w:hanging="360"/>
      </w:pPr>
      <w:rPr>
        <w:rFonts w:ascii="Symbol" w:hAnsi="Symbol" w:hint="default"/>
      </w:rPr>
    </w:lvl>
    <w:lvl w:ilvl="7" w:tplc="FFFFFFFF" w:tentative="1">
      <w:start w:val="1"/>
      <w:numFmt w:val="bullet"/>
      <w:lvlText w:val="o"/>
      <w:lvlJc w:val="left"/>
      <w:pPr>
        <w:ind w:left="5747" w:hanging="360"/>
      </w:pPr>
      <w:rPr>
        <w:rFonts w:ascii="Courier New" w:hAnsi="Courier New" w:cs="Courier New" w:hint="default"/>
      </w:rPr>
    </w:lvl>
    <w:lvl w:ilvl="8" w:tplc="FFFFFFFF" w:tentative="1">
      <w:start w:val="1"/>
      <w:numFmt w:val="bullet"/>
      <w:lvlText w:val=""/>
      <w:lvlJc w:val="left"/>
      <w:pPr>
        <w:ind w:left="6467" w:hanging="360"/>
      </w:pPr>
      <w:rPr>
        <w:rFonts w:ascii="Wingdings" w:hAnsi="Wingdings" w:hint="default"/>
      </w:rPr>
    </w:lvl>
  </w:abstractNum>
  <w:abstractNum w:abstractNumId="53" w15:restartNumberingAfterBreak="0">
    <w:nsid w:val="1AD21EB4"/>
    <w:multiLevelType w:val="hybridMultilevel"/>
    <w:tmpl w:val="51802930"/>
    <w:lvl w:ilvl="0" w:tplc="040C0009">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54" w15:restartNumberingAfterBreak="0">
    <w:nsid w:val="1C1B5D3C"/>
    <w:multiLevelType w:val="hybridMultilevel"/>
    <w:tmpl w:val="E87680FE"/>
    <w:lvl w:ilvl="0" w:tplc="F3EE7E8E">
      <w:start w:val="1"/>
      <w:numFmt w:val="bullet"/>
      <w:pStyle w:val="ea"/>
      <w:lvlText w:val=""/>
      <w:lvlJc w:val="left"/>
      <w:pPr>
        <w:tabs>
          <w:tab w:val="num" w:pos="568"/>
        </w:tabs>
        <w:ind w:left="568" w:hanging="284"/>
      </w:pPr>
      <w:rPr>
        <w:rFonts w:ascii="Symbol" w:hAnsi="Symbol" w:hint="default"/>
        <w:caps w:val="0"/>
        <w:strike w:val="0"/>
        <w:dstrike w:val="0"/>
        <w:vanish w:val="0"/>
        <w:color w:val="009BB4"/>
        <w:sz w:val="20"/>
        <w:szCs w:val="20"/>
        <w:vertAlign w:val="baseline"/>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1C2D2A3B"/>
    <w:multiLevelType w:val="hybridMultilevel"/>
    <w:tmpl w:val="AE70B29E"/>
    <w:styleLink w:val="WWNum2511"/>
    <w:lvl w:ilvl="0" w:tplc="2E2A45C4">
      <w:start w:val="3"/>
      <w:numFmt w:val="bullet"/>
      <w:lvlText w:val="-"/>
      <w:lvlJc w:val="left"/>
      <w:pPr>
        <w:ind w:left="720" w:hanging="360"/>
      </w:pPr>
      <w:rPr>
        <w:rFonts w:ascii="Arial" w:hAnsi="Arial" w:cs="Arial" w:hint="default"/>
        <w:b w:val="0"/>
        <w:color w:val="auto"/>
        <w:sz w:val="20"/>
        <w:szCs w:val="20"/>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56" w15:restartNumberingAfterBreak="0">
    <w:nsid w:val="1E8209F7"/>
    <w:multiLevelType w:val="hybridMultilevel"/>
    <w:tmpl w:val="F23225C2"/>
    <w:lvl w:ilvl="0" w:tplc="040C0003">
      <w:start w:val="1"/>
      <w:numFmt w:val="bullet"/>
      <w:lvlText w:val="o"/>
      <w:lvlJc w:val="left"/>
      <w:pPr>
        <w:ind w:left="862" w:hanging="360"/>
      </w:pPr>
      <w:rPr>
        <w:rFonts w:ascii="Courier New" w:hAnsi="Courier New" w:cs="Courier New" w:hint="default"/>
      </w:rPr>
    </w:lvl>
    <w:lvl w:ilvl="1" w:tplc="040C0003" w:tentative="1">
      <w:start w:val="1"/>
      <w:numFmt w:val="bullet"/>
      <w:lvlText w:val="o"/>
      <w:lvlJc w:val="left"/>
      <w:pPr>
        <w:ind w:left="1582" w:hanging="360"/>
      </w:pPr>
      <w:rPr>
        <w:rFonts w:ascii="Courier New" w:hAnsi="Courier New" w:cs="Courier New" w:hint="default"/>
      </w:rPr>
    </w:lvl>
    <w:lvl w:ilvl="2" w:tplc="040C0005" w:tentative="1">
      <w:start w:val="1"/>
      <w:numFmt w:val="bullet"/>
      <w:lvlText w:val=""/>
      <w:lvlJc w:val="left"/>
      <w:pPr>
        <w:ind w:left="2302" w:hanging="360"/>
      </w:pPr>
      <w:rPr>
        <w:rFonts w:ascii="Wingdings" w:hAnsi="Wingdings" w:hint="default"/>
      </w:rPr>
    </w:lvl>
    <w:lvl w:ilvl="3" w:tplc="040C0001" w:tentative="1">
      <w:start w:val="1"/>
      <w:numFmt w:val="bullet"/>
      <w:lvlText w:val=""/>
      <w:lvlJc w:val="left"/>
      <w:pPr>
        <w:ind w:left="3022" w:hanging="360"/>
      </w:pPr>
      <w:rPr>
        <w:rFonts w:ascii="Symbol" w:hAnsi="Symbol" w:hint="default"/>
      </w:rPr>
    </w:lvl>
    <w:lvl w:ilvl="4" w:tplc="040C0003" w:tentative="1">
      <w:start w:val="1"/>
      <w:numFmt w:val="bullet"/>
      <w:lvlText w:val="o"/>
      <w:lvlJc w:val="left"/>
      <w:pPr>
        <w:ind w:left="3742" w:hanging="360"/>
      </w:pPr>
      <w:rPr>
        <w:rFonts w:ascii="Courier New" w:hAnsi="Courier New" w:cs="Courier New" w:hint="default"/>
      </w:rPr>
    </w:lvl>
    <w:lvl w:ilvl="5" w:tplc="040C0005" w:tentative="1">
      <w:start w:val="1"/>
      <w:numFmt w:val="bullet"/>
      <w:lvlText w:val=""/>
      <w:lvlJc w:val="left"/>
      <w:pPr>
        <w:ind w:left="4462" w:hanging="360"/>
      </w:pPr>
      <w:rPr>
        <w:rFonts w:ascii="Wingdings" w:hAnsi="Wingdings" w:hint="default"/>
      </w:rPr>
    </w:lvl>
    <w:lvl w:ilvl="6" w:tplc="040C0001" w:tentative="1">
      <w:start w:val="1"/>
      <w:numFmt w:val="bullet"/>
      <w:lvlText w:val=""/>
      <w:lvlJc w:val="left"/>
      <w:pPr>
        <w:ind w:left="5182" w:hanging="360"/>
      </w:pPr>
      <w:rPr>
        <w:rFonts w:ascii="Symbol" w:hAnsi="Symbol" w:hint="default"/>
      </w:rPr>
    </w:lvl>
    <w:lvl w:ilvl="7" w:tplc="040C0003" w:tentative="1">
      <w:start w:val="1"/>
      <w:numFmt w:val="bullet"/>
      <w:lvlText w:val="o"/>
      <w:lvlJc w:val="left"/>
      <w:pPr>
        <w:ind w:left="5902" w:hanging="360"/>
      </w:pPr>
      <w:rPr>
        <w:rFonts w:ascii="Courier New" w:hAnsi="Courier New" w:cs="Courier New" w:hint="default"/>
      </w:rPr>
    </w:lvl>
    <w:lvl w:ilvl="8" w:tplc="040C0005" w:tentative="1">
      <w:start w:val="1"/>
      <w:numFmt w:val="bullet"/>
      <w:lvlText w:val=""/>
      <w:lvlJc w:val="left"/>
      <w:pPr>
        <w:ind w:left="6622" w:hanging="360"/>
      </w:pPr>
      <w:rPr>
        <w:rFonts w:ascii="Wingdings" w:hAnsi="Wingdings" w:hint="default"/>
      </w:rPr>
    </w:lvl>
  </w:abstractNum>
  <w:abstractNum w:abstractNumId="57" w15:restartNumberingAfterBreak="0">
    <w:nsid w:val="1EB8211E"/>
    <w:multiLevelType w:val="hybridMultilevel"/>
    <w:tmpl w:val="F75888C0"/>
    <w:lvl w:ilvl="0" w:tplc="90FA2B34">
      <w:start w:val="4"/>
      <w:numFmt w:val="bullet"/>
      <w:lvlText w:val=""/>
      <w:lvlJc w:val="left"/>
      <w:pPr>
        <w:ind w:left="720" w:hanging="360"/>
      </w:pPr>
      <w:rPr>
        <w:rFonts w:ascii="Wingdings" w:eastAsiaTheme="minorHAnsi" w:hAnsi="Wingdings"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8" w15:restartNumberingAfterBreak="0">
    <w:nsid w:val="20B03225"/>
    <w:multiLevelType w:val="hybridMultilevel"/>
    <w:tmpl w:val="D1A8A330"/>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9" w15:restartNumberingAfterBreak="0">
    <w:nsid w:val="20B27205"/>
    <w:multiLevelType w:val="hybridMultilevel"/>
    <w:tmpl w:val="135E6098"/>
    <w:styleLink w:val="WWNum3121"/>
    <w:lvl w:ilvl="0" w:tplc="4D7AC018">
      <w:start w:val="1"/>
      <w:numFmt w:val="bullet"/>
      <w:lvlText w:val=""/>
      <w:lvlJc w:val="left"/>
      <w:pPr>
        <w:ind w:left="720" w:hanging="360"/>
      </w:pPr>
      <w:rPr>
        <w:rFonts w:ascii="Symbol" w:hAnsi="Symbol" w:hint="default"/>
      </w:rPr>
    </w:lvl>
    <w:lvl w:ilvl="1" w:tplc="DD360B04" w:tentative="1">
      <w:start w:val="1"/>
      <w:numFmt w:val="bullet"/>
      <w:lvlText w:val="o"/>
      <w:lvlJc w:val="left"/>
      <w:pPr>
        <w:ind w:left="1440" w:hanging="360"/>
      </w:pPr>
      <w:rPr>
        <w:rFonts w:ascii="Courier New" w:hAnsi="Courier New" w:cs="Courier New" w:hint="default"/>
      </w:rPr>
    </w:lvl>
    <w:lvl w:ilvl="2" w:tplc="EA240C8A" w:tentative="1">
      <w:start w:val="1"/>
      <w:numFmt w:val="bullet"/>
      <w:lvlText w:val=""/>
      <w:lvlJc w:val="left"/>
      <w:pPr>
        <w:ind w:left="2160" w:hanging="360"/>
      </w:pPr>
      <w:rPr>
        <w:rFonts w:ascii="Wingdings" w:hAnsi="Wingdings" w:hint="default"/>
      </w:rPr>
    </w:lvl>
    <w:lvl w:ilvl="3" w:tplc="494EC744" w:tentative="1">
      <w:start w:val="1"/>
      <w:numFmt w:val="bullet"/>
      <w:lvlText w:val=""/>
      <w:lvlJc w:val="left"/>
      <w:pPr>
        <w:ind w:left="2880" w:hanging="360"/>
      </w:pPr>
      <w:rPr>
        <w:rFonts w:ascii="Symbol" w:hAnsi="Symbol" w:hint="default"/>
      </w:rPr>
    </w:lvl>
    <w:lvl w:ilvl="4" w:tplc="31A6311E" w:tentative="1">
      <w:start w:val="1"/>
      <w:numFmt w:val="bullet"/>
      <w:lvlText w:val="o"/>
      <w:lvlJc w:val="left"/>
      <w:pPr>
        <w:ind w:left="3600" w:hanging="360"/>
      </w:pPr>
      <w:rPr>
        <w:rFonts w:ascii="Courier New" w:hAnsi="Courier New" w:cs="Courier New" w:hint="default"/>
      </w:rPr>
    </w:lvl>
    <w:lvl w:ilvl="5" w:tplc="A2C84436" w:tentative="1">
      <w:start w:val="1"/>
      <w:numFmt w:val="bullet"/>
      <w:lvlText w:val=""/>
      <w:lvlJc w:val="left"/>
      <w:pPr>
        <w:ind w:left="4320" w:hanging="360"/>
      </w:pPr>
      <w:rPr>
        <w:rFonts w:ascii="Wingdings" w:hAnsi="Wingdings" w:hint="default"/>
      </w:rPr>
    </w:lvl>
    <w:lvl w:ilvl="6" w:tplc="28000ED4" w:tentative="1">
      <w:start w:val="1"/>
      <w:numFmt w:val="bullet"/>
      <w:lvlText w:val=""/>
      <w:lvlJc w:val="left"/>
      <w:pPr>
        <w:ind w:left="5040" w:hanging="360"/>
      </w:pPr>
      <w:rPr>
        <w:rFonts w:ascii="Symbol" w:hAnsi="Symbol" w:hint="default"/>
      </w:rPr>
    </w:lvl>
    <w:lvl w:ilvl="7" w:tplc="44804858" w:tentative="1">
      <w:start w:val="1"/>
      <w:numFmt w:val="bullet"/>
      <w:lvlText w:val="o"/>
      <w:lvlJc w:val="left"/>
      <w:pPr>
        <w:ind w:left="5760" w:hanging="360"/>
      </w:pPr>
      <w:rPr>
        <w:rFonts w:ascii="Courier New" w:hAnsi="Courier New" w:cs="Courier New" w:hint="default"/>
      </w:rPr>
    </w:lvl>
    <w:lvl w:ilvl="8" w:tplc="C1489282" w:tentative="1">
      <w:start w:val="1"/>
      <w:numFmt w:val="bullet"/>
      <w:lvlText w:val=""/>
      <w:lvlJc w:val="left"/>
      <w:pPr>
        <w:ind w:left="6480" w:hanging="360"/>
      </w:pPr>
      <w:rPr>
        <w:rFonts w:ascii="Wingdings" w:hAnsi="Wingdings" w:hint="default"/>
      </w:rPr>
    </w:lvl>
  </w:abstractNum>
  <w:abstractNum w:abstractNumId="60" w15:restartNumberingAfterBreak="0">
    <w:nsid w:val="222D4997"/>
    <w:multiLevelType w:val="hybridMultilevel"/>
    <w:tmpl w:val="B9464756"/>
    <w:lvl w:ilvl="0" w:tplc="04090001">
      <w:start w:val="1"/>
      <w:numFmt w:val="bullet"/>
      <w:lvlText w:val=""/>
      <w:lvlJc w:val="left"/>
      <w:pPr>
        <w:ind w:left="1854" w:hanging="360"/>
      </w:pPr>
      <w:rPr>
        <w:rFonts w:ascii="Symbol" w:hAnsi="Symbol"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61" w15:restartNumberingAfterBreak="0">
    <w:nsid w:val="22B0029F"/>
    <w:multiLevelType w:val="singleLevel"/>
    <w:tmpl w:val="85C091CC"/>
    <w:lvl w:ilvl="0">
      <w:start w:val="120"/>
      <w:numFmt w:val="bullet"/>
      <w:pStyle w:val="Outline1"/>
      <w:lvlText w:val="-"/>
      <w:lvlJc w:val="left"/>
      <w:pPr>
        <w:tabs>
          <w:tab w:val="num" w:pos="360"/>
        </w:tabs>
        <w:ind w:left="360" w:hanging="360"/>
      </w:pPr>
      <w:rPr>
        <w:rFonts w:hint="default"/>
      </w:rPr>
    </w:lvl>
  </w:abstractNum>
  <w:abstractNum w:abstractNumId="62" w15:restartNumberingAfterBreak="0">
    <w:nsid w:val="23786B30"/>
    <w:multiLevelType w:val="hybridMultilevel"/>
    <w:tmpl w:val="4C98DB62"/>
    <w:lvl w:ilvl="0" w:tplc="0409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3" w15:restartNumberingAfterBreak="0">
    <w:nsid w:val="24157124"/>
    <w:multiLevelType w:val="hybridMultilevel"/>
    <w:tmpl w:val="4294AC86"/>
    <w:lvl w:ilvl="0" w:tplc="1A4891FC">
      <w:start w:val="1"/>
      <w:numFmt w:val="bullet"/>
      <w:lvlText w:val=""/>
      <w:lvlJc w:val="left"/>
      <w:pPr>
        <w:ind w:left="1065" w:hanging="705"/>
      </w:pPr>
      <w:rPr>
        <w:rFonts w:ascii="Symbol" w:hAnsi="Symbol" w:hint="default"/>
        <w:color w:val="0070C0"/>
      </w:rPr>
    </w:lvl>
    <w:lvl w:ilvl="1" w:tplc="DA66F338">
      <w:start w:val="1"/>
      <w:numFmt w:val="bullet"/>
      <w:lvlText w:val="o"/>
      <w:lvlJc w:val="left"/>
      <w:pPr>
        <w:ind w:left="1785" w:hanging="705"/>
      </w:pPr>
      <w:rPr>
        <w:rFonts w:ascii="Courier New" w:hAnsi="Courier New" w:cs="Courier New" w:hint="default"/>
        <w:sz w:val="14"/>
        <w:szCs w:val="18"/>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4" w15:restartNumberingAfterBreak="0">
    <w:nsid w:val="24B438D4"/>
    <w:multiLevelType w:val="hybridMultilevel"/>
    <w:tmpl w:val="95F8D486"/>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65" w15:restartNumberingAfterBreak="0">
    <w:nsid w:val="25210AC9"/>
    <w:multiLevelType w:val="hybridMultilevel"/>
    <w:tmpl w:val="F078C544"/>
    <w:lvl w:ilvl="0" w:tplc="82C4FA74">
      <w:numFmt w:val="bullet"/>
      <w:lvlText w:val="-"/>
      <w:lvlJc w:val="left"/>
      <w:pPr>
        <w:ind w:left="720" w:hanging="360"/>
      </w:pPr>
      <w:rPr>
        <w:rFonts w:ascii="Times New Roman" w:eastAsia="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6" w15:restartNumberingAfterBreak="0">
    <w:nsid w:val="255574F0"/>
    <w:multiLevelType w:val="hybridMultilevel"/>
    <w:tmpl w:val="76EA8C6A"/>
    <w:lvl w:ilvl="0" w:tplc="838E77FC">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7" w15:restartNumberingAfterBreak="0">
    <w:nsid w:val="25805891"/>
    <w:multiLevelType w:val="multilevel"/>
    <w:tmpl w:val="065C4362"/>
    <w:styleLink w:val="WWNum1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8" w15:restartNumberingAfterBreak="0">
    <w:nsid w:val="25B66DB2"/>
    <w:multiLevelType w:val="hybridMultilevel"/>
    <w:tmpl w:val="3E384DD4"/>
    <w:lvl w:ilvl="0" w:tplc="2000000D">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9" w15:restartNumberingAfterBreak="0">
    <w:nsid w:val="268A3D33"/>
    <w:multiLevelType w:val="hybridMultilevel"/>
    <w:tmpl w:val="22125A08"/>
    <w:lvl w:ilvl="0" w:tplc="CD781D22">
      <w:start w:val="1"/>
      <w:numFmt w:val="bullet"/>
      <w:pStyle w:val="PuceTableau"/>
      <w:lvlText w:val=""/>
      <w:lvlJc w:val="left"/>
      <w:pPr>
        <w:tabs>
          <w:tab w:val="num" w:pos="315"/>
        </w:tabs>
        <w:ind w:left="315" w:hanging="360"/>
      </w:pPr>
      <w:rPr>
        <w:rFonts w:ascii="Symbol" w:hAnsi="Symbol" w:hint="default"/>
        <w:b w:val="0"/>
        <w:i w:val="0"/>
        <w:color w:val="93AC0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0" w15:restartNumberingAfterBreak="0">
    <w:nsid w:val="268C07F5"/>
    <w:multiLevelType w:val="multilevel"/>
    <w:tmpl w:val="E626FD18"/>
    <w:styleLink w:val="WWNum25"/>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71" w15:restartNumberingAfterBreak="0">
    <w:nsid w:val="268F76F6"/>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2" w15:restartNumberingAfterBreak="0">
    <w:nsid w:val="269C746A"/>
    <w:multiLevelType w:val="hybridMultilevel"/>
    <w:tmpl w:val="CC0A286A"/>
    <w:styleLink w:val="WWNum2531"/>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3" w15:restartNumberingAfterBreak="0">
    <w:nsid w:val="27047C6F"/>
    <w:multiLevelType w:val="hybridMultilevel"/>
    <w:tmpl w:val="0058AD1E"/>
    <w:lvl w:ilvl="0" w:tplc="D13EC20C">
      <w:numFmt w:val="bullet"/>
      <w:lvlText w:val="-"/>
      <w:lvlJc w:val="left"/>
      <w:pPr>
        <w:ind w:left="720" w:hanging="360"/>
      </w:pPr>
      <w:rPr>
        <w:rFonts w:ascii="Calibri" w:eastAsia="Calibr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4" w15:restartNumberingAfterBreak="0">
    <w:nsid w:val="278C5C27"/>
    <w:multiLevelType w:val="hybridMultilevel"/>
    <w:tmpl w:val="219480CC"/>
    <w:styleLink w:val="WWNum253"/>
    <w:lvl w:ilvl="0" w:tplc="FFFFFFFF">
      <w:numFmt w:val="bullet"/>
      <w:lvlText w:val="-"/>
      <w:lvlJc w:val="left"/>
      <w:pPr>
        <w:ind w:left="720" w:hanging="360"/>
      </w:pPr>
      <w:rPr>
        <w:rFonts w:ascii="Arial" w:eastAsia="Calibri" w:hAnsi="Arial" w:cs="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5" w15:restartNumberingAfterBreak="0">
    <w:nsid w:val="27F0625E"/>
    <w:multiLevelType w:val="hybridMultilevel"/>
    <w:tmpl w:val="1B20E718"/>
    <w:lvl w:ilvl="0" w:tplc="040C0001">
      <w:start w:val="1"/>
      <w:numFmt w:val="bullet"/>
      <w:lvlText w:val=""/>
      <w:lvlJc w:val="left"/>
      <w:pPr>
        <w:ind w:left="1571" w:hanging="360"/>
      </w:pPr>
      <w:rPr>
        <w:rFonts w:ascii="Symbol" w:hAnsi="Symbol" w:hint="default"/>
        <w:sz w:val="18"/>
        <w:szCs w:val="22"/>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76" w15:restartNumberingAfterBreak="0">
    <w:nsid w:val="2862737C"/>
    <w:multiLevelType w:val="singleLevel"/>
    <w:tmpl w:val="F7E235F6"/>
    <w:styleLink w:val="WWNum1412"/>
    <w:lvl w:ilvl="0">
      <w:start w:val="1"/>
      <w:numFmt w:val="bullet"/>
      <w:pStyle w:val="Puce5Liste"/>
      <w:lvlText w:val=""/>
      <w:lvlJc w:val="left"/>
      <w:pPr>
        <w:tabs>
          <w:tab w:val="num" w:pos="1778"/>
        </w:tabs>
        <w:ind w:left="1701" w:hanging="283"/>
      </w:pPr>
      <w:rPr>
        <w:rFonts w:ascii="Symbol" w:hAnsi="Symbol" w:hint="default"/>
        <w:b/>
        <w:i w:val="0"/>
      </w:rPr>
    </w:lvl>
  </w:abstractNum>
  <w:abstractNum w:abstractNumId="77" w15:restartNumberingAfterBreak="0">
    <w:nsid w:val="28770498"/>
    <w:multiLevelType w:val="hybridMultilevel"/>
    <w:tmpl w:val="D610A40E"/>
    <w:lvl w:ilvl="0" w:tplc="FFFFFFFF">
      <w:start w:val="1"/>
      <w:numFmt w:val="lowerLetter"/>
      <w:pStyle w:val="Liste1"/>
      <w:lvlText w:val="%1)"/>
      <w:lvlJc w:val="left"/>
      <w:pPr>
        <w:tabs>
          <w:tab w:val="num" w:pos="567"/>
        </w:tabs>
        <w:ind w:left="567" w:hanging="567"/>
      </w:pPr>
      <w:rPr>
        <w:rFonts w:hint="default"/>
        <w:b/>
        <w:i w:val="0"/>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78" w15:restartNumberingAfterBreak="0">
    <w:nsid w:val="2978286D"/>
    <w:multiLevelType w:val="hybridMultilevel"/>
    <w:tmpl w:val="E048EA64"/>
    <w:lvl w:ilvl="0" w:tplc="80F48968">
      <w:start w:val="1"/>
      <w:numFmt w:val="bullet"/>
      <w:pStyle w:val="Puceniveau1"/>
      <w:lvlText w:val=""/>
      <w:lvlJc w:val="left"/>
      <w:pPr>
        <w:tabs>
          <w:tab w:val="num" w:pos="340"/>
        </w:tabs>
        <w:ind w:left="340" w:hanging="340"/>
      </w:pPr>
      <w:rPr>
        <w:rFonts w:ascii="Wingdings" w:hAnsi="Wingdings" w:hint="default"/>
        <w:b w:val="0"/>
        <w:i w:val="0"/>
        <w:color w:val="93AC00"/>
        <w:sz w:val="18"/>
      </w:rPr>
    </w:lvl>
    <w:lvl w:ilvl="1" w:tplc="040C0019">
      <w:start w:val="1"/>
      <w:numFmt w:val="lowerLetter"/>
      <w:lvlText w:val="%2."/>
      <w:lvlJc w:val="left"/>
      <w:pPr>
        <w:tabs>
          <w:tab w:val="num" w:pos="1440"/>
        </w:tabs>
        <w:ind w:left="1440" w:hanging="360"/>
      </w:pPr>
      <w:rPr>
        <w:rFonts w:cs="Times New Roman"/>
      </w:rPr>
    </w:lvl>
    <w:lvl w:ilvl="2" w:tplc="040C001B">
      <w:start w:val="1"/>
      <w:numFmt w:val="lowerRoman"/>
      <w:lvlText w:val="%3."/>
      <w:lvlJc w:val="right"/>
      <w:pPr>
        <w:tabs>
          <w:tab w:val="num" w:pos="2160"/>
        </w:tabs>
        <w:ind w:left="2160" w:hanging="180"/>
      </w:pPr>
      <w:rPr>
        <w:rFonts w:cs="Times New Roman"/>
      </w:rPr>
    </w:lvl>
    <w:lvl w:ilvl="3" w:tplc="040C000F">
      <w:start w:val="1"/>
      <w:numFmt w:val="decimal"/>
      <w:lvlText w:val="%4."/>
      <w:lvlJc w:val="left"/>
      <w:pPr>
        <w:tabs>
          <w:tab w:val="num" w:pos="2880"/>
        </w:tabs>
        <w:ind w:left="2880" w:hanging="360"/>
      </w:pPr>
      <w:rPr>
        <w:rFonts w:cs="Times New Roman"/>
      </w:rPr>
    </w:lvl>
    <w:lvl w:ilvl="4" w:tplc="040C0019">
      <w:start w:val="1"/>
      <w:numFmt w:val="lowerLetter"/>
      <w:lvlText w:val="%5."/>
      <w:lvlJc w:val="left"/>
      <w:pPr>
        <w:tabs>
          <w:tab w:val="num" w:pos="3600"/>
        </w:tabs>
        <w:ind w:left="3600" w:hanging="360"/>
      </w:pPr>
      <w:rPr>
        <w:rFonts w:cs="Times New Roman"/>
      </w:rPr>
    </w:lvl>
    <w:lvl w:ilvl="5" w:tplc="040C001B">
      <w:start w:val="1"/>
      <w:numFmt w:val="lowerRoman"/>
      <w:lvlText w:val="%6."/>
      <w:lvlJc w:val="right"/>
      <w:pPr>
        <w:tabs>
          <w:tab w:val="num" w:pos="4320"/>
        </w:tabs>
        <w:ind w:left="4320" w:hanging="180"/>
      </w:pPr>
      <w:rPr>
        <w:rFonts w:cs="Times New Roman"/>
      </w:rPr>
    </w:lvl>
    <w:lvl w:ilvl="6" w:tplc="040C000F" w:tentative="1">
      <w:start w:val="1"/>
      <w:numFmt w:val="decimal"/>
      <w:lvlText w:val="%7."/>
      <w:lvlJc w:val="left"/>
      <w:pPr>
        <w:tabs>
          <w:tab w:val="num" w:pos="5040"/>
        </w:tabs>
        <w:ind w:left="5040" w:hanging="360"/>
      </w:pPr>
      <w:rPr>
        <w:rFonts w:cs="Times New Roman"/>
      </w:rPr>
    </w:lvl>
    <w:lvl w:ilvl="7" w:tplc="040C0019" w:tentative="1">
      <w:start w:val="1"/>
      <w:numFmt w:val="lowerLetter"/>
      <w:lvlText w:val="%8."/>
      <w:lvlJc w:val="left"/>
      <w:pPr>
        <w:tabs>
          <w:tab w:val="num" w:pos="5760"/>
        </w:tabs>
        <w:ind w:left="5760" w:hanging="360"/>
      </w:pPr>
      <w:rPr>
        <w:rFonts w:cs="Times New Roman"/>
      </w:rPr>
    </w:lvl>
    <w:lvl w:ilvl="8" w:tplc="040C001B" w:tentative="1">
      <w:start w:val="1"/>
      <w:numFmt w:val="lowerRoman"/>
      <w:lvlText w:val="%9."/>
      <w:lvlJc w:val="right"/>
      <w:pPr>
        <w:tabs>
          <w:tab w:val="num" w:pos="6480"/>
        </w:tabs>
        <w:ind w:left="6480" w:hanging="180"/>
      </w:pPr>
      <w:rPr>
        <w:rFonts w:cs="Times New Roman"/>
      </w:rPr>
    </w:lvl>
  </w:abstractNum>
  <w:abstractNum w:abstractNumId="79" w15:restartNumberingAfterBreak="0">
    <w:nsid w:val="2C196455"/>
    <w:multiLevelType w:val="multilevel"/>
    <w:tmpl w:val="3FE6E822"/>
    <w:lvl w:ilvl="0">
      <w:start w:val="1"/>
      <w:numFmt w:val="decimal"/>
      <w:pStyle w:val="TIT1"/>
      <w:lvlText w:val="%1."/>
      <w:lvlJc w:val="left"/>
      <w:pPr>
        <w:ind w:left="720" w:hanging="360"/>
      </w:pPr>
    </w:lvl>
    <w:lvl w:ilvl="1">
      <w:start w:val="1"/>
      <w:numFmt w:val="decimal"/>
      <w:isLgl/>
      <w:lvlText w:val="%1.%2."/>
      <w:lvlJc w:val="left"/>
      <w:pPr>
        <w:ind w:left="1288"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80" w15:restartNumberingAfterBreak="0">
    <w:nsid w:val="2C340A44"/>
    <w:multiLevelType w:val="hybridMultilevel"/>
    <w:tmpl w:val="FF0E7B5E"/>
    <w:lvl w:ilvl="0" w:tplc="100AC2A6">
      <w:start w:val="1"/>
      <w:numFmt w:val="decimal"/>
      <w:lvlText w:val="%1)"/>
      <w:lvlJc w:val="left"/>
      <w:pPr>
        <w:ind w:left="720" w:hanging="360"/>
      </w:pPr>
      <w:rPr>
        <w:rFonts w:hint="default"/>
        <w:b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1" w15:restartNumberingAfterBreak="0">
    <w:nsid w:val="2D501DCB"/>
    <w:multiLevelType w:val="hybridMultilevel"/>
    <w:tmpl w:val="6D888112"/>
    <w:styleLink w:val="WWNum2512"/>
    <w:lvl w:ilvl="0" w:tplc="FFFFFFFF">
      <w:start w:val="3"/>
      <w:numFmt w:val="bullet"/>
      <w:lvlText w:val="-"/>
      <w:lvlJc w:val="left"/>
      <w:pPr>
        <w:tabs>
          <w:tab w:val="num" w:pos="927"/>
        </w:tabs>
        <w:ind w:left="927" w:hanging="360"/>
      </w:pPr>
      <w:rPr>
        <w:rFonts w:ascii="Bodoni MT" w:hAnsi="Bodoni MT" w:hint="default"/>
        <w:b w:val="0"/>
        <w:i w:val="0"/>
        <w:color w:val="auto"/>
        <w:sz w:val="40"/>
        <w:szCs w:val="40"/>
      </w:rPr>
    </w:lvl>
    <w:lvl w:ilvl="1" w:tplc="FFFFFFFF">
      <w:start w:val="1"/>
      <w:numFmt w:val="bullet"/>
      <w:lvlText w:val=""/>
      <w:lvlJc w:val="left"/>
      <w:pPr>
        <w:tabs>
          <w:tab w:val="num" w:pos="1440"/>
        </w:tabs>
        <w:ind w:left="1440" w:hanging="360"/>
      </w:pPr>
      <w:rPr>
        <w:rFonts w:ascii="Symbol" w:hAnsi="Symbol"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2" w15:restartNumberingAfterBreak="0">
    <w:nsid w:val="2DDB69E6"/>
    <w:multiLevelType w:val="multilevel"/>
    <w:tmpl w:val="EC7C130A"/>
    <w:lvl w:ilvl="0">
      <w:start w:val="1"/>
      <w:numFmt w:val="decimal"/>
      <w:pStyle w:val="ColumnsLeft"/>
      <w:lvlText w:val="%1."/>
      <w:lvlJc w:val="left"/>
      <w:pPr>
        <w:tabs>
          <w:tab w:val="num" w:pos="432"/>
        </w:tabs>
        <w:ind w:left="432" w:hanging="432"/>
      </w:pPr>
      <w:rPr>
        <w:rFonts w:cs="Times New Roman" w:hint="default"/>
      </w:rPr>
    </w:lvl>
    <w:lvl w:ilvl="1">
      <w:start w:val="1"/>
      <w:numFmt w:val="decimal"/>
      <w:pStyle w:val="ColumnsRight"/>
      <w:lvlText w:val="%1.%2"/>
      <w:lvlJc w:val="left"/>
      <w:pPr>
        <w:tabs>
          <w:tab w:val="num" w:pos="576"/>
        </w:tabs>
        <w:ind w:left="576" w:hanging="576"/>
      </w:pPr>
      <w:rPr>
        <w:rFonts w:ascii="Times New Roman" w:eastAsia="SimSun" w:hAnsi="Times New Roman" w:cs="Times New Roman"/>
        <w:b w:val="0"/>
        <w:i w:val="0"/>
        <w:caps w:val="0"/>
        <w:smallCaps w:val="0"/>
        <w:strike w:val="0"/>
        <w:dstrike w:val="0"/>
        <w:vanish w:val="0"/>
        <w:color w:val="auto"/>
        <w:spacing w:val="0"/>
        <w:w w:val="100"/>
        <w:kern w:val="0"/>
        <w:position w:val="0"/>
        <w:sz w:val="24"/>
        <w:u w:val="none"/>
        <w:vertAlign w:val="baseline"/>
      </w:rPr>
    </w:lvl>
    <w:lvl w:ilvl="2">
      <w:start w:val="1"/>
      <w:numFmt w:val="decimal"/>
      <w:pStyle w:val="ColumnsRightSub"/>
      <w:lvlText w:val="%1.%2.%3"/>
      <w:lvlJc w:val="left"/>
      <w:pPr>
        <w:tabs>
          <w:tab w:val="num" w:pos="720"/>
        </w:tabs>
        <w:ind w:left="720" w:hanging="720"/>
      </w:pPr>
      <w:rPr>
        <w:rFonts w:cs="Times New Roman" w:hint="default"/>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83" w15:restartNumberingAfterBreak="0">
    <w:nsid w:val="2E2A3088"/>
    <w:multiLevelType w:val="hybridMultilevel"/>
    <w:tmpl w:val="CC72B3A0"/>
    <w:lvl w:ilvl="0" w:tplc="B8007D48">
      <w:numFmt w:val="bullet"/>
      <w:lvlText w:val="-"/>
      <w:lvlJc w:val="left"/>
      <w:pPr>
        <w:ind w:left="720" w:hanging="360"/>
      </w:pPr>
      <w:rPr>
        <w:rFonts w:ascii="Times New Roman" w:eastAsia="Calibr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4" w15:restartNumberingAfterBreak="0">
    <w:nsid w:val="2F0E7886"/>
    <w:multiLevelType w:val="hybridMultilevel"/>
    <w:tmpl w:val="FF5E4B42"/>
    <w:lvl w:ilvl="0" w:tplc="B436EC7E">
      <w:start w:val="1"/>
      <w:numFmt w:val="bullet"/>
      <w:lvlText w:val=""/>
      <w:lvlJc w:val="left"/>
      <w:pPr>
        <w:ind w:left="360" w:hanging="360"/>
      </w:pPr>
      <w:rPr>
        <w:rFonts w:ascii="Symbol" w:hAnsi="Symbol" w:hint="default"/>
        <w:color w:val="FF0000"/>
        <w:sz w:val="22"/>
        <w:szCs w:val="22"/>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85" w15:restartNumberingAfterBreak="0">
    <w:nsid w:val="30032BCA"/>
    <w:multiLevelType w:val="hybridMultilevel"/>
    <w:tmpl w:val="F71485FC"/>
    <w:lvl w:ilvl="0" w:tplc="818EC19C">
      <w:start w:val="1"/>
      <w:numFmt w:val="bullet"/>
      <w:lvlText w:val=""/>
      <w:lvlJc w:val="left"/>
      <w:pPr>
        <w:ind w:left="720" w:hanging="360"/>
      </w:pPr>
      <w:rPr>
        <w:rFonts w:ascii="Symbol" w:hAnsi="Symbol" w:hint="default"/>
        <w:sz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6" w15:restartNumberingAfterBreak="0">
    <w:nsid w:val="304804C8"/>
    <w:multiLevelType w:val="hybridMultilevel"/>
    <w:tmpl w:val="D9E6D1AA"/>
    <w:lvl w:ilvl="0" w:tplc="D7A436D4">
      <w:start w:val="1"/>
      <w:numFmt w:val="bullet"/>
      <w:pStyle w:val="Puceniveau2"/>
      <w:lvlText w:val=""/>
      <w:lvlJc w:val="left"/>
      <w:pPr>
        <w:tabs>
          <w:tab w:val="num" w:pos="454"/>
        </w:tabs>
        <w:ind w:left="454" w:hanging="227"/>
      </w:pPr>
      <w:rPr>
        <w:rFonts w:ascii="Symbol" w:hAnsi="Symbol" w:hint="default"/>
        <w:color w:val="999999"/>
        <w:sz w:val="20"/>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87" w15:restartNumberingAfterBreak="0">
    <w:nsid w:val="306669E5"/>
    <w:multiLevelType w:val="hybridMultilevel"/>
    <w:tmpl w:val="AA90E874"/>
    <w:lvl w:ilvl="0" w:tplc="66AE83EC">
      <w:numFmt w:val="bullet"/>
      <w:lvlText w:val="•"/>
      <w:lvlJc w:val="left"/>
      <w:pPr>
        <w:ind w:left="720" w:hanging="360"/>
      </w:pPr>
      <w:rPr>
        <w:rFonts w:ascii="Cambria" w:eastAsia="Calibri" w:hAnsi="Cambria" w:cs="Tahoma"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8" w15:restartNumberingAfterBreak="0">
    <w:nsid w:val="30C40934"/>
    <w:multiLevelType w:val="hybridMultilevel"/>
    <w:tmpl w:val="3B9AE856"/>
    <w:lvl w:ilvl="0" w:tplc="C936D540">
      <w:start w:val="1"/>
      <w:numFmt w:val="decimal"/>
      <w:lvlText w:val="%1)"/>
      <w:lvlJc w:val="left"/>
      <w:pPr>
        <w:ind w:left="720" w:hanging="360"/>
      </w:pPr>
      <w:rPr>
        <w:rFonts w:hint="default"/>
        <w:b w:val="0"/>
        <w:bCs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9" w15:restartNumberingAfterBreak="0">
    <w:nsid w:val="310D7795"/>
    <w:multiLevelType w:val="multilevel"/>
    <w:tmpl w:val="225448CC"/>
    <w:lvl w:ilvl="0">
      <w:start w:val="1"/>
      <w:numFmt w:val="decimal"/>
      <w:pStyle w:val="Section8Heading2"/>
      <w:lvlText w:val="%1."/>
      <w:lvlJc w:val="left"/>
      <w:pPr>
        <w:ind w:left="720" w:hanging="360"/>
      </w:pPr>
      <w:rPr>
        <w:rFonts w:hint="default"/>
      </w:rPr>
    </w:lvl>
    <w:lvl w:ilvl="1">
      <w:start w:val="4"/>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0" w15:restartNumberingAfterBreak="0">
    <w:nsid w:val="31973262"/>
    <w:multiLevelType w:val="hybridMultilevel"/>
    <w:tmpl w:val="432C62CA"/>
    <w:lvl w:ilvl="0" w:tplc="2EDAD5A8">
      <w:start w:val="1"/>
      <w:numFmt w:val="bullet"/>
      <w:pStyle w:val="Puce1Liste"/>
      <w:lvlText w:val=""/>
      <w:lvlJc w:val="left"/>
      <w:pPr>
        <w:tabs>
          <w:tab w:val="num" w:pos="644"/>
        </w:tabs>
        <w:ind w:left="567" w:hanging="283"/>
      </w:pPr>
      <w:rPr>
        <w:rFonts w:ascii="Symbol" w:hAnsi="Symbol" w:hint="default"/>
        <w:b/>
        <w:i w:val="0"/>
      </w:rPr>
    </w:lvl>
    <w:lvl w:ilvl="1" w:tplc="25CEDDDA">
      <w:numFmt w:val="bullet"/>
      <w:lvlText w:val="-"/>
      <w:lvlJc w:val="left"/>
      <w:pPr>
        <w:tabs>
          <w:tab w:val="num" w:pos="1440"/>
        </w:tabs>
        <w:ind w:left="1440" w:hanging="360"/>
      </w:pPr>
      <w:rPr>
        <w:rFonts w:ascii="Times New Roman" w:eastAsia="Times New Roman" w:hAnsi="Times New Roman" w:cs="Times New Roman" w:hint="default"/>
      </w:rPr>
    </w:lvl>
    <w:lvl w:ilvl="2" w:tplc="7666857A">
      <w:start w:val="1"/>
      <w:numFmt w:val="bullet"/>
      <w:lvlText w:val=""/>
      <w:lvlJc w:val="left"/>
      <w:pPr>
        <w:tabs>
          <w:tab w:val="num" w:pos="2160"/>
        </w:tabs>
        <w:ind w:left="2160" w:hanging="360"/>
      </w:pPr>
      <w:rPr>
        <w:rFonts w:ascii="Wingdings" w:hAnsi="Wingdings" w:hint="default"/>
      </w:rPr>
    </w:lvl>
    <w:lvl w:ilvl="3" w:tplc="02166AFC" w:tentative="1">
      <w:start w:val="1"/>
      <w:numFmt w:val="bullet"/>
      <w:lvlText w:val=""/>
      <w:lvlJc w:val="left"/>
      <w:pPr>
        <w:tabs>
          <w:tab w:val="num" w:pos="2880"/>
        </w:tabs>
        <w:ind w:left="2880" w:hanging="360"/>
      </w:pPr>
      <w:rPr>
        <w:rFonts w:ascii="Symbol" w:hAnsi="Symbol" w:hint="default"/>
      </w:rPr>
    </w:lvl>
    <w:lvl w:ilvl="4" w:tplc="D04A2C60" w:tentative="1">
      <w:start w:val="1"/>
      <w:numFmt w:val="bullet"/>
      <w:lvlText w:val="o"/>
      <w:lvlJc w:val="left"/>
      <w:pPr>
        <w:tabs>
          <w:tab w:val="num" w:pos="3600"/>
        </w:tabs>
        <w:ind w:left="3600" w:hanging="360"/>
      </w:pPr>
      <w:rPr>
        <w:rFonts w:ascii="Courier New" w:hAnsi="Courier New" w:hint="default"/>
      </w:rPr>
    </w:lvl>
    <w:lvl w:ilvl="5" w:tplc="D3608E34" w:tentative="1">
      <w:start w:val="1"/>
      <w:numFmt w:val="bullet"/>
      <w:lvlText w:val=""/>
      <w:lvlJc w:val="left"/>
      <w:pPr>
        <w:tabs>
          <w:tab w:val="num" w:pos="4320"/>
        </w:tabs>
        <w:ind w:left="4320" w:hanging="360"/>
      </w:pPr>
      <w:rPr>
        <w:rFonts w:ascii="Wingdings" w:hAnsi="Wingdings" w:hint="default"/>
      </w:rPr>
    </w:lvl>
    <w:lvl w:ilvl="6" w:tplc="D68C3550" w:tentative="1">
      <w:start w:val="1"/>
      <w:numFmt w:val="bullet"/>
      <w:lvlText w:val=""/>
      <w:lvlJc w:val="left"/>
      <w:pPr>
        <w:tabs>
          <w:tab w:val="num" w:pos="5040"/>
        </w:tabs>
        <w:ind w:left="5040" w:hanging="360"/>
      </w:pPr>
      <w:rPr>
        <w:rFonts w:ascii="Symbol" w:hAnsi="Symbol" w:hint="default"/>
      </w:rPr>
    </w:lvl>
    <w:lvl w:ilvl="7" w:tplc="8BD0499C" w:tentative="1">
      <w:start w:val="1"/>
      <w:numFmt w:val="bullet"/>
      <w:lvlText w:val="o"/>
      <w:lvlJc w:val="left"/>
      <w:pPr>
        <w:tabs>
          <w:tab w:val="num" w:pos="5760"/>
        </w:tabs>
        <w:ind w:left="5760" w:hanging="360"/>
      </w:pPr>
      <w:rPr>
        <w:rFonts w:ascii="Courier New" w:hAnsi="Courier New" w:hint="default"/>
      </w:rPr>
    </w:lvl>
    <w:lvl w:ilvl="8" w:tplc="4EBAA8C6" w:tentative="1">
      <w:start w:val="1"/>
      <w:numFmt w:val="bullet"/>
      <w:lvlText w:val=""/>
      <w:lvlJc w:val="left"/>
      <w:pPr>
        <w:tabs>
          <w:tab w:val="num" w:pos="6480"/>
        </w:tabs>
        <w:ind w:left="6480" w:hanging="360"/>
      </w:pPr>
      <w:rPr>
        <w:rFonts w:ascii="Wingdings" w:hAnsi="Wingdings" w:hint="default"/>
      </w:rPr>
    </w:lvl>
  </w:abstractNum>
  <w:abstractNum w:abstractNumId="91" w15:restartNumberingAfterBreak="0">
    <w:nsid w:val="33463D3A"/>
    <w:multiLevelType w:val="hybridMultilevel"/>
    <w:tmpl w:val="BD5E74CA"/>
    <w:lvl w:ilvl="0" w:tplc="17CAEB08">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2" w15:restartNumberingAfterBreak="0">
    <w:nsid w:val="33737F69"/>
    <w:multiLevelType w:val="hybridMultilevel"/>
    <w:tmpl w:val="C96E2B30"/>
    <w:lvl w:ilvl="0" w:tplc="040C0005">
      <w:start w:val="1"/>
      <w:numFmt w:val="bullet"/>
      <w:lvlText w:val=""/>
      <w:lvlPicBulletId w:val="1"/>
      <w:lvlJc w:val="left"/>
      <w:pPr>
        <w:ind w:left="720" w:hanging="360"/>
      </w:pPr>
      <w:rPr>
        <w:rFonts w:ascii="Wingdings" w:hAnsi="Wingdings" w:hint="default"/>
        <w:color w:val="002060"/>
        <w:sz w:val="16"/>
        <w:szCs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3" w15:restartNumberingAfterBreak="0">
    <w:nsid w:val="3398037E"/>
    <w:multiLevelType w:val="hybridMultilevel"/>
    <w:tmpl w:val="A9F22F96"/>
    <w:lvl w:ilvl="0" w:tplc="0C5C67E4">
      <w:start w:val="1"/>
      <w:numFmt w:val="lowerRoman"/>
      <w:lvlText w:val="%1."/>
      <w:lvlJc w:val="left"/>
      <w:pPr>
        <w:ind w:left="2137" w:hanging="720"/>
      </w:pPr>
      <w:rPr>
        <w:rFonts w:hint="default"/>
        <w:i w:val="0"/>
        <w:iCs/>
      </w:rPr>
    </w:lvl>
    <w:lvl w:ilvl="1" w:tplc="040C0019" w:tentative="1">
      <w:start w:val="1"/>
      <w:numFmt w:val="lowerLetter"/>
      <w:lvlText w:val="%2."/>
      <w:lvlJc w:val="left"/>
      <w:pPr>
        <w:ind w:left="2497" w:hanging="360"/>
      </w:pPr>
    </w:lvl>
    <w:lvl w:ilvl="2" w:tplc="040C001B" w:tentative="1">
      <w:start w:val="1"/>
      <w:numFmt w:val="lowerRoman"/>
      <w:lvlText w:val="%3."/>
      <w:lvlJc w:val="right"/>
      <w:pPr>
        <w:ind w:left="3217" w:hanging="180"/>
      </w:pPr>
    </w:lvl>
    <w:lvl w:ilvl="3" w:tplc="040C000F" w:tentative="1">
      <w:start w:val="1"/>
      <w:numFmt w:val="decimal"/>
      <w:lvlText w:val="%4."/>
      <w:lvlJc w:val="left"/>
      <w:pPr>
        <w:ind w:left="3937" w:hanging="360"/>
      </w:pPr>
    </w:lvl>
    <w:lvl w:ilvl="4" w:tplc="040C0019" w:tentative="1">
      <w:start w:val="1"/>
      <w:numFmt w:val="lowerLetter"/>
      <w:lvlText w:val="%5."/>
      <w:lvlJc w:val="left"/>
      <w:pPr>
        <w:ind w:left="4657" w:hanging="360"/>
      </w:pPr>
    </w:lvl>
    <w:lvl w:ilvl="5" w:tplc="040C001B" w:tentative="1">
      <w:start w:val="1"/>
      <w:numFmt w:val="lowerRoman"/>
      <w:lvlText w:val="%6."/>
      <w:lvlJc w:val="right"/>
      <w:pPr>
        <w:ind w:left="5377" w:hanging="180"/>
      </w:pPr>
    </w:lvl>
    <w:lvl w:ilvl="6" w:tplc="040C000F" w:tentative="1">
      <w:start w:val="1"/>
      <w:numFmt w:val="decimal"/>
      <w:lvlText w:val="%7."/>
      <w:lvlJc w:val="left"/>
      <w:pPr>
        <w:ind w:left="6097" w:hanging="360"/>
      </w:pPr>
    </w:lvl>
    <w:lvl w:ilvl="7" w:tplc="040C0019" w:tentative="1">
      <w:start w:val="1"/>
      <w:numFmt w:val="lowerLetter"/>
      <w:lvlText w:val="%8."/>
      <w:lvlJc w:val="left"/>
      <w:pPr>
        <w:ind w:left="6817" w:hanging="360"/>
      </w:pPr>
    </w:lvl>
    <w:lvl w:ilvl="8" w:tplc="040C001B" w:tentative="1">
      <w:start w:val="1"/>
      <w:numFmt w:val="lowerRoman"/>
      <w:lvlText w:val="%9."/>
      <w:lvlJc w:val="right"/>
      <w:pPr>
        <w:ind w:left="7537" w:hanging="180"/>
      </w:pPr>
    </w:lvl>
  </w:abstractNum>
  <w:abstractNum w:abstractNumId="94" w15:restartNumberingAfterBreak="0">
    <w:nsid w:val="33F57868"/>
    <w:multiLevelType w:val="hybridMultilevel"/>
    <w:tmpl w:val="00C86A32"/>
    <w:lvl w:ilvl="0" w:tplc="2000000D">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95" w15:restartNumberingAfterBreak="0">
    <w:nsid w:val="340618C2"/>
    <w:multiLevelType w:val="hybridMultilevel"/>
    <w:tmpl w:val="E6EC9F02"/>
    <w:lvl w:ilvl="0" w:tplc="5558A292">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6" w15:restartNumberingAfterBreak="0">
    <w:nsid w:val="363E3A1D"/>
    <w:multiLevelType w:val="hybridMultilevel"/>
    <w:tmpl w:val="C13475E2"/>
    <w:lvl w:ilvl="0" w:tplc="020007BA">
      <w:start w:val="1"/>
      <w:numFmt w:val="bullet"/>
      <w:lvlText w:val="o"/>
      <w:lvlJc w:val="left"/>
      <w:pPr>
        <w:ind w:left="1068" w:hanging="360"/>
      </w:pPr>
      <w:rPr>
        <w:rFonts w:ascii="Courier New" w:hAnsi="Courier New" w:hint="default"/>
        <w:sz w:val="20"/>
      </w:rPr>
    </w:lvl>
    <w:lvl w:ilvl="1" w:tplc="BB08B916">
      <w:start w:val="1"/>
      <w:numFmt w:val="bullet"/>
      <w:lvlText w:val="o"/>
      <w:lvlJc w:val="left"/>
      <w:pPr>
        <w:ind w:left="1440" w:hanging="360"/>
      </w:pPr>
      <w:rPr>
        <w:rFonts w:ascii="Courier New" w:hAnsi="Courier New" w:cs="Courier New" w:hint="default"/>
        <w:sz w:val="18"/>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7" w15:restartNumberingAfterBreak="0">
    <w:nsid w:val="37AD38FB"/>
    <w:multiLevelType w:val="hybridMultilevel"/>
    <w:tmpl w:val="62D27F3E"/>
    <w:name w:val="Liste numérotée 9"/>
    <w:lvl w:ilvl="0" w:tplc="F9FA7E86">
      <w:numFmt w:val="bullet"/>
      <w:lvlText w:val="o"/>
      <w:lvlJc w:val="left"/>
      <w:pPr>
        <w:ind w:left="1068" w:firstLine="0"/>
      </w:pPr>
      <w:rPr>
        <w:rFonts w:ascii="Courier New" w:hAnsi="Courier New" w:cs="Courier New"/>
      </w:rPr>
    </w:lvl>
    <w:lvl w:ilvl="1" w:tplc="82325502">
      <w:numFmt w:val="bullet"/>
      <w:lvlText w:val="o"/>
      <w:lvlJc w:val="left"/>
      <w:pPr>
        <w:ind w:left="1788" w:firstLine="0"/>
      </w:pPr>
      <w:rPr>
        <w:rFonts w:ascii="Courier New" w:hAnsi="Courier New" w:cs="Courier New"/>
      </w:rPr>
    </w:lvl>
    <w:lvl w:ilvl="2" w:tplc="B2A85230">
      <w:numFmt w:val="bullet"/>
      <w:lvlText w:val=""/>
      <w:lvlJc w:val="left"/>
      <w:pPr>
        <w:ind w:left="2508" w:firstLine="0"/>
      </w:pPr>
      <w:rPr>
        <w:rFonts w:ascii="Wingdings" w:eastAsia="Wingdings" w:hAnsi="Wingdings" w:cs="Wingdings"/>
      </w:rPr>
    </w:lvl>
    <w:lvl w:ilvl="3" w:tplc="592C719C">
      <w:numFmt w:val="bullet"/>
      <w:lvlText w:val=""/>
      <w:lvlJc w:val="left"/>
      <w:pPr>
        <w:ind w:left="3228" w:firstLine="0"/>
      </w:pPr>
      <w:rPr>
        <w:rFonts w:ascii="Symbol" w:hAnsi="Symbol"/>
      </w:rPr>
    </w:lvl>
    <w:lvl w:ilvl="4" w:tplc="0D0A8CB8">
      <w:numFmt w:val="bullet"/>
      <w:lvlText w:val="o"/>
      <w:lvlJc w:val="left"/>
      <w:pPr>
        <w:ind w:left="3948" w:firstLine="0"/>
      </w:pPr>
      <w:rPr>
        <w:rFonts w:ascii="Courier New" w:hAnsi="Courier New" w:cs="Courier New"/>
      </w:rPr>
    </w:lvl>
    <w:lvl w:ilvl="5" w:tplc="FB6E3AFE">
      <w:numFmt w:val="bullet"/>
      <w:lvlText w:val=""/>
      <w:lvlJc w:val="left"/>
      <w:pPr>
        <w:ind w:left="4668" w:firstLine="0"/>
      </w:pPr>
      <w:rPr>
        <w:rFonts w:ascii="Wingdings" w:eastAsia="Wingdings" w:hAnsi="Wingdings" w:cs="Wingdings"/>
      </w:rPr>
    </w:lvl>
    <w:lvl w:ilvl="6" w:tplc="9768EB08">
      <w:numFmt w:val="bullet"/>
      <w:lvlText w:val=""/>
      <w:lvlJc w:val="left"/>
      <w:pPr>
        <w:ind w:left="5388" w:firstLine="0"/>
      </w:pPr>
      <w:rPr>
        <w:rFonts w:ascii="Symbol" w:hAnsi="Symbol"/>
      </w:rPr>
    </w:lvl>
    <w:lvl w:ilvl="7" w:tplc="27DEDD4E">
      <w:numFmt w:val="bullet"/>
      <w:lvlText w:val="o"/>
      <w:lvlJc w:val="left"/>
      <w:pPr>
        <w:ind w:left="6108" w:firstLine="0"/>
      </w:pPr>
      <w:rPr>
        <w:rFonts w:ascii="Courier New" w:hAnsi="Courier New" w:cs="Courier New"/>
      </w:rPr>
    </w:lvl>
    <w:lvl w:ilvl="8" w:tplc="AE14B51C">
      <w:numFmt w:val="bullet"/>
      <w:lvlText w:val=""/>
      <w:lvlJc w:val="left"/>
      <w:pPr>
        <w:ind w:left="6828" w:firstLine="0"/>
      </w:pPr>
      <w:rPr>
        <w:rFonts w:ascii="Wingdings" w:eastAsia="Wingdings" w:hAnsi="Wingdings" w:cs="Wingdings"/>
      </w:rPr>
    </w:lvl>
  </w:abstractNum>
  <w:abstractNum w:abstractNumId="98" w15:restartNumberingAfterBreak="0">
    <w:nsid w:val="38A83D54"/>
    <w:multiLevelType w:val="hybridMultilevel"/>
    <w:tmpl w:val="A7981A7E"/>
    <w:lvl w:ilvl="0" w:tplc="CBFE77E0">
      <w:start w:val="1"/>
      <w:numFmt w:val="bullet"/>
      <w:lvlText w:val=""/>
      <w:lvlJc w:val="left"/>
      <w:pPr>
        <w:ind w:left="720" w:hanging="360"/>
      </w:pPr>
      <w:rPr>
        <w:rFonts w:ascii="Wingdings" w:hAnsi="Wingdings" w:hint="default"/>
        <w:color w:val="FF0000"/>
        <w:sz w:val="20"/>
        <w:szCs w:val="20"/>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99" w15:restartNumberingAfterBreak="0">
    <w:nsid w:val="38B955A8"/>
    <w:multiLevelType w:val="hybridMultilevel"/>
    <w:tmpl w:val="0CF8FB20"/>
    <w:styleLink w:val="WWNum14121"/>
    <w:lvl w:ilvl="0" w:tplc="3E4C4C3A">
      <w:start w:val="2"/>
      <w:numFmt w:val="upperLetter"/>
      <w:lvlText w:val="%1."/>
      <w:lvlJc w:val="left"/>
      <w:pPr>
        <w:ind w:left="720" w:hanging="360"/>
      </w:pPr>
      <w:rPr>
        <w:rFonts w:hint="default"/>
      </w:rPr>
    </w:lvl>
    <w:lvl w:ilvl="1" w:tplc="040C0003" w:tentative="1">
      <w:start w:val="1"/>
      <w:numFmt w:val="lowerLetter"/>
      <w:lvlText w:val="%2."/>
      <w:lvlJc w:val="left"/>
      <w:pPr>
        <w:ind w:left="1440" w:hanging="360"/>
      </w:pPr>
    </w:lvl>
    <w:lvl w:ilvl="2" w:tplc="040C0005" w:tentative="1">
      <w:start w:val="1"/>
      <w:numFmt w:val="lowerRoman"/>
      <w:lvlText w:val="%3."/>
      <w:lvlJc w:val="right"/>
      <w:pPr>
        <w:ind w:left="2160" w:hanging="180"/>
      </w:pPr>
    </w:lvl>
    <w:lvl w:ilvl="3" w:tplc="040C0001" w:tentative="1">
      <w:start w:val="1"/>
      <w:numFmt w:val="decimal"/>
      <w:lvlText w:val="%4."/>
      <w:lvlJc w:val="left"/>
      <w:pPr>
        <w:ind w:left="2880" w:hanging="360"/>
      </w:pPr>
    </w:lvl>
    <w:lvl w:ilvl="4" w:tplc="040C0003" w:tentative="1">
      <w:start w:val="1"/>
      <w:numFmt w:val="lowerLetter"/>
      <w:lvlText w:val="%5."/>
      <w:lvlJc w:val="left"/>
      <w:pPr>
        <w:ind w:left="3600" w:hanging="360"/>
      </w:pPr>
    </w:lvl>
    <w:lvl w:ilvl="5" w:tplc="040C0005" w:tentative="1">
      <w:start w:val="1"/>
      <w:numFmt w:val="lowerRoman"/>
      <w:lvlText w:val="%6."/>
      <w:lvlJc w:val="right"/>
      <w:pPr>
        <w:ind w:left="4320" w:hanging="180"/>
      </w:pPr>
    </w:lvl>
    <w:lvl w:ilvl="6" w:tplc="040C0001" w:tentative="1">
      <w:start w:val="1"/>
      <w:numFmt w:val="decimal"/>
      <w:lvlText w:val="%7."/>
      <w:lvlJc w:val="left"/>
      <w:pPr>
        <w:ind w:left="5040" w:hanging="360"/>
      </w:pPr>
    </w:lvl>
    <w:lvl w:ilvl="7" w:tplc="040C0003" w:tentative="1">
      <w:start w:val="1"/>
      <w:numFmt w:val="lowerLetter"/>
      <w:lvlText w:val="%8."/>
      <w:lvlJc w:val="left"/>
      <w:pPr>
        <w:ind w:left="5760" w:hanging="360"/>
      </w:pPr>
    </w:lvl>
    <w:lvl w:ilvl="8" w:tplc="040C0005" w:tentative="1">
      <w:start w:val="1"/>
      <w:numFmt w:val="lowerRoman"/>
      <w:lvlText w:val="%9."/>
      <w:lvlJc w:val="right"/>
      <w:pPr>
        <w:ind w:left="6480" w:hanging="180"/>
      </w:pPr>
    </w:lvl>
  </w:abstractNum>
  <w:abstractNum w:abstractNumId="100" w15:restartNumberingAfterBreak="0">
    <w:nsid w:val="391215B2"/>
    <w:multiLevelType w:val="hybridMultilevel"/>
    <w:tmpl w:val="15D00C3A"/>
    <w:lvl w:ilvl="0" w:tplc="81D8CFE4">
      <w:start w:val="1"/>
      <w:numFmt w:val="decimal"/>
      <w:lvlText w:val="%1)"/>
      <w:lvlJc w:val="left"/>
      <w:pPr>
        <w:ind w:left="720" w:hanging="360"/>
      </w:pPr>
      <w:rPr>
        <w:rFonts w:hint="default"/>
        <w:b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1" w15:restartNumberingAfterBreak="0">
    <w:nsid w:val="39692660"/>
    <w:multiLevelType w:val="multilevel"/>
    <w:tmpl w:val="09C428AE"/>
    <w:lvl w:ilvl="0">
      <w:start w:val="1"/>
      <w:numFmt w:val="decimal"/>
      <w:lvlText w:val="%1."/>
      <w:lvlJc w:val="left"/>
      <w:pPr>
        <w:tabs>
          <w:tab w:val="num" w:pos="431"/>
        </w:tabs>
        <w:ind w:left="431" w:hanging="431"/>
      </w:pPr>
      <w:rPr>
        <w:rFonts w:cs="Times New Roman"/>
        <w:b/>
        <w:i w:val="0"/>
      </w:rPr>
    </w:lvl>
    <w:lvl w:ilvl="1">
      <w:start w:val="1"/>
      <w:numFmt w:val="decimal"/>
      <w:pStyle w:val="c2b"/>
      <w:lvlText w:val="%1.%2"/>
      <w:lvlJc w:val="left"/>
      <w:pPr>
        <w:tabs>
          <w:tab w:val="num" w:pos="709"/>
        </w:tabs>
        <w:ind w:left="709" w:hanging="709"/>
      </w:pPr>
      <w:rPr>
        <w:rFonts w:ascii="Times New Roman" w:eastAsia="Times New Roman" w:hAnsi="Times New Roman" w:cs="Times New Roman"/>
      </w:rPr>
    </w:lvl>
    <w:lvl w:ilvl="2">
      <w:start w:val="1"/>
      <w:numFmt w:val="lowerLetter"/>
      <w:pStyle w:val="Clauses"/>
      <w:lvlText w:val="(%3)"/>
      <w:lvlJc w:val="left"/>
      <w:pPr>
        <w:tabs>
          <w:tab w:val="num" w:pos="1712"/>
        </w:tabs>
        <w:ind w:left="1418" w:hanging="426"/>
      </w:pPr>
      <w:rPr>
        <w:rFonts w:cs="Times New Roman"/>
        <w:b w:val="0"/>
        <w:i w:val="0"/>
      </w:rPr>
    </w:lvl>
    <w:lvl w:ilvl="3">
      <w:start w:val="1"/>
      <w:numFmt w:val="lowerRoman"/>
      <w:lvlText w:val="(%4)"/>
      <w:lvlJc w:val="left"/>
      <w:pPr>
        <w:tabs>
          <w:tab w:val="num" w:pos="2498"/>
        </w:tabs>
        <w:ind w:left="1843" w:hanging="425"/>
      </w:pPr>
      <w:rPr>
        <w:rFonts w:cs="Times New Roman"/>
      </w:rPr>
    </w:lvl>
    <w:lvl w:ilvl="4">
      <w:start w:val="1"/>
      <w:numFmt w:val="decimal"/>
      <w:lvlText w:val=".%5"/>
      <w:lvlJc w:val="left"/>
      <w:pPr>
        <w:tabs>
          <w:tab w:val="num" w:pos="0"/>
        </w:tabs>
      </w:pPr>
      <w:rPr>
        <w:rFonts w:cs="Times New Roman"/>
      </w:rPr>
    </w:lvl>
    <w:lvl w:ilvl="5">
      <w:start w:val="1"/>
      <w:numFmt w:val="decimal"/>
      <w:lvlText w:val=".%5.%6"/>
      <w:lvlJc w:val="left"/>
      <w:pPr>
        <w:tabs>
          <w:tab w:val="num" w:pos="0"/>
        </w:tabs>
      </w:pPr>
      <w:rPr>
        <w:rFonts w:cs="Times New Roman"/>
      </w:rPr>
    </w:lvl>
    <w:lvl w:ilvl="6">
      <w:start w:val="1"/>
      <w:numFmt w:val="decimal"/>
      <w:lvlText w:val=".%5.%6.%7"/>
      <w:lvlJc w:val="left"/>
      <w:pPr>
        <w:tabs>
          <w:tab w:val="num" w:pos="0"/>
        </w:tabs>
      </w:pPr>
      <w:rPr>
        <w:rFonts w:cs="Times New Roman"/>
      </w:rPr>
    </w:lvl>
    <w:lvl w:ilvl="7">
      <w:start w:val="1"/>
      <w:numFmt w:val="decimal"/>
      <w:lvlText w:val=".%5.%6.%7.%8"/>
      <w:lvlJc w:val="left"/>
      <w:pPr>
        <w:tabs>
          <w:tab w:val="num" w:pos="0"/>
        </w:tabs>
      </w:pPr>
      <w:rPr>
        <w:rFonts w:cs="Times New Roman"/>
      </w:rPr>
    </w:lvl>
    <w:lvl w:ilvl="8">
      <w:start w:val="1"/>
      <w:numFmt w:val="decimal"/>
      <w:lvlText w:val=".%5.%6.%7.%8.%9"/>
      <w:lvlJc w:val="left"/>
      <w:pPr>
        <w:tabs>
          <w:tab w:val="num" w:pos="0"/>
        </w:tabs>
        <w:ind w:left="4392" w:hanging="1584"/>
      </w:pPr>
      <w:rPr>
        <w:rFonts w:cs="Times New Roman"/>
      </w:rPr>
    </w:lvl>
  </w:abstractNum>
  <w:abstractNum w:abstractNumId="102" w15:restartNumberingAfterBreak="0">
    <w:nsid w:val="398B534C"/>
    <w:multiLevelType w:val="hybridMultilevel"/>
    <w:tmpl w:val="903A8206"/>
    <w:lvl w:ilvl="0" w:tplc="2000000D">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03" w15:restartNumberingAfterBreak="0">
    <w:nsid w:val="398D12F2"/>
    <w:multiLevelType w:val="hybridMultilevel"/>
    <w:tmpl w:val="4AFAC872"/>
    <w:lvl w:ilvl="0" w:tplc="65CCA36E">
      <w:start w:val="1"/>
      <w:numFmt w:val="bullet"/>
      <w:pStyle w:val="PuceRouge"/>
      <w:lvlText w:val="■"/>
      <w:lvlJc w:val="left"/>
      <w:pPr>
        <w:tabs>
          <w:tab w:val="num" w:pos="920"/>
        </w:tabs>
        <w:ind w:left="848" w:hanging="288"/>
      </w:pPr>
      <w:rPr>
        <w:rFonts w:ascii="Arial" w:hAnsi="Arial" w:cs="Times New Roman" w:hint="default"/>
        <w:b w:val="0"/>
        <w:i w:val="0"/>
        <w:color w:val="808080"/>
        <w:sz w:val="20"/>
        <w:szCs w:val="20"/>
      </w:rPr>
    </w:lvl>
    <w:lvl w:ilvl="1" w:tplc="339097E0">
      <w:start w:val="1990"/>
      <w:numFmt w:val="bullet"/>
      <w:lvlText w:val="-"/>
      <w:lvlJc w:val="left"/>
      <w:pPr>
        <w:tabs>
          <w:tab w:val="num" w:pos="1640"/>
        </w:tabs>
        <w:ind w:left="1640" w:hanging="360"/>
      </w:pPr>
      <w:rPr>
        <w:rFonts w:ascii="Arial" w:eastAsia="Times New Roman" w:hAnsi="Arial" w:cs="Arial" w:hint="default"/>
      </w:rPr>
    </w:lvl>
    <w:lvl w:ilvl="2" w:tplc="040C0005">
      <w:start w:val="1"/>
      <w:numFmt w:val="bullet"/>
      <w:lvlText w:val=""/>
      <w:lvlJc w:val="left"/>
      <w:pPr>
        <w:tabs>
          <w:tab w:val="num" w:pos="2360"/>
        </w:tabs>
        <w:ind w:left="2360" w:hanging="360"/>
      </w:pPr>
      <w:rPr>
        <w:rFonts w:ascii="Wingdings" w:hAnsi="Wingdings" w:hint="default"/>
      </w:rPr>
    </w:lvl>
    <w:lvl w:ilvl="3" w:tplc="040C0001">
      <w:start w:val="1"/>
      <w:numFmt w:val="bullet"/>
      <w:lvlText w:val=""/>
      <w:lvlJc w:val="left"/>
      <w:pPr>
        <w:tabs>
          <w:tab w:val="num" w:pos="3080"/>
        </w:tabs>
        <w:ind w:left="3080" w:hanging="360"/>
      </w:pPr>
      <w:rPr>
        <w:rFonts w:ascii="Symbol" w:hAnsi="Symbol" w:hint="default"/>
      </w:rPr>
    </w:lvl>
    <w:lvl w:ilvl="4" w:tplc="040C0003">
      <w:start w:val="1"/>
      <w:numFmt w:val="bullet"/>
      <w:lvlText w:val="o"/>
      <w:lvlJc w:val="left"/>
      <w:pPr>
        <w:tabs>
          <w:tab w:val="num" w:pos="3800"/>
        </w:tabs>
        <w:ind w:left="3800" w:hanging="360"/>
      </w:pPr>
      <w:rPr>
        <w:rFonts w:ascii="Courier New" w:hAnsi="Courier New" w:cs="Courier New" w:hint="default"/>
      </w:rPr>
    </w:lvl>
    <w:lvl w:ilvl="5" w:tplc="040C0005">
      <w:start w:val="1"/>
      <w:numFmt w:val="bullet"/>
      <w:lvlText w:val=""/>
      <w:lvlJc w:val="left"/>
      <w:pPr>
        <w:tabs>
          <w:tab w:val="num" w:pos="4520"/>
        </w:tabs>
        <w:ind w:left="4520" w:hanging="360"/>
      </w:pPr>
      <w:rPr>
        <w:rFonts w:ascii="Wingdings" w:hAnsi="Wingdings" w:hint="default"/>
      </w:rPr>
    </w:lvl>
    <w:lvl w:ilvl="6" w:tplc="040C0001">
      <w:start w:val="1"/>
      <w:numFmt w:val="bullet"/>
      <w:lvlText w:val=""/>
      <w:lvlJc w:val="left"/>
      <w:pPr>
        <w:tabs>
          <w:tab w:val="num" w:pos="5240"/>
        </w:tabs>
        <w:ind w:left="5240" w:hanging="360"/>
      </w:pPr>
      <w:rPr>
        <w:rFonts w:ascii="Symbol" w:hAnsi="Symbol" w:hint="default"/>
      </w:rPr>
    </w:lvl>
    <w:lvl w:ilvl="7" w:tplc="040C0003">
      <w:start w:val="1"/>
      <w:numFmt w:val="bullet"/>
      <w:lvlText w:val="o"/>
      <w:lvlJc w:val="left"/>
      <w:pPr>
        <w:tabs>
          <w:tab w:val="num" w:pos="5960"/>
        </w:tabs>
        <w:ind w:left="5960" w:hanging="360"/>
      </w:pPr>
      <w:rPr>
        <w:rFonts w:ascii="Courier New" w:hAnsi="Courier New" w:cs="Courier New" w:hint="default"/>
      </w:rPr>
    </w:lvl>
    <w:lvl w:ilvl="8" w:tplc="040C0005">
      <w:start w:val="1"/>
      <w:numFmt w:val="bullet"/>
      <w:lvlText w:val=""/>
      <w:lvlJc w:val="left"/>
      <w:pPr>
        <w:tabs>
          <w:tab w:val="num" w:pos="6680"/>
        </w:tabs>
        <w:ind w:left="6680" w:hanging="360"/>
      </w:pPr>
      <w:rPr>
        <w:rFonts w:ascii="Wingdings" w:hAnsi="Wingdings" w:hint="default"/>
      </w:rPr>
    </w:lvl>
  </w:abstractNum>
  <w:abstractNum w:abstractNumId="104" w15:restartNumberingAfterBreak="0">
    <w:nsid w:val="3A3552E0"/>
    <w:multiLevelType w:val="singleLevel"/>
    <w:tmpl w:val="79B23C3E"/>
    <w:lvl w:ilvl="0">
      <w:start w:val="1"/>
      <w:numFmt w:val="bullet"/>
      <w:pStyle w:val="Coche1liste"/>
      <w:lvlText w:val=""/>
      <w:lvlJc w:val="left"/>
      <w:pPr>
        <w:tabs>
          <w:tab w:val="num" w:pos="927"/>
        </w:tabs>
        <w:ind w:left="907" w:hanging="340"/>
      </w:pPr>
      <w:rPr>
        <w:rFonts w:ascii="Symbol" w:hAnsi="Symbol" w:hint="default"/>
        <w:b/>
        <w:i w:val="0"/>
        <w:sz w:val="22"/>
      </w:rPr>
    </w:lvl>
  </w:abstractNum>
  <w:abstractNum w:abstractNumId="105" w15:restartNumberingAfterBreak="0">
    <w:nsid w:val="3A6E5743"/>
    <w:multiLevelType w:val="singleLevel"/>
    <w:tmpl w:val="EF923D48"/>
    <w:lvl w:ilvl="0">
      <w:start w:val="1"/>
      <w:numFmt w:val="bullet"/>
      <w:pStyle w:val="EnumTiret1"/>
      <w:lvlText w:val="-"/>
      <w:lvlJc w:val="left"/>
      <w:pPr>
        <w:tabs>
          <w:tab w:val="num" w:pos="360"/>
        </w:tabs>
        <w:ind w:left="340" w:hanging="340"/>
      </w:pPr>
      <w:rPr>
        <w:b/>
        <w:i w:val="0"/>
      </w:rPr>
    </w:lvl>
  </w:abstractNum>
  <w:abstractNum w:abstractNumId="106" w15:restartNumberingAfterBreak="0">
    <w:nsid w:val="3BDB7AB2"/>
    <w:multiLevelType w:val="hybridMultilevel"/>
    <w:tmpl w:val="ADE4A13E"/>
    <w:lvl w:ilvl="0" w:tplc="9028CCE4">
      <w:start w:val="1"/>
      <w:numFmt w:val="bullet"/>
      <w:pStyle w:val="ListeaPuce1"/>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7" w15:restartNumberingAfterBreak="0">
    <w:nsid w:val="3BE929AD"/>
    <w:multiLevelType w:val="hybridMultilevel"/>
    <w:tmpl w:val="124EA0C2"/>
    <w:lvl w:ilvl="0" w:tplc="996C6C1A">
      <w:start w:val="1"/>
      <w:numFmt w:val="bullet"/>
      <w:lvlText w:val=""/>
      <w:lvlPicBulletId w:val="1"/>
      <w:lvlJc w:val="left"/>
      <w:pPr>
        <w:ind w:left="720" w:hanging="360"/>
      </w:pPr>
      <w:rPr>
        <w:rFonts w:ascii="Symbol" w:hAnsi="Symbol" w:hint="default"/>
        <w:color w:val="auto"/>
        <w:sz w:val="16"/>
        <w:szCs w:val="1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8" w15:restartNumberingAfterBreak="0">
    <w:nsid w:val="3C525768"/>
    <w:multiLevelType w:val="hybridMultilevel"/>
    <w:tmpl w:val="03CC2672"/>
    <w:lvl w:ilvl="0" w:tplc="FFFFFFFF">
      <w:start w:val="1"/>
      <w:numFmt w:val="bullet"/>
      <w:pStyle w:val="Descriptionoftasks"/>
      <w:lvlText w:val=""/>
      <w:lvlJc w:val="left"/>
      <w:pPr>
        <w:tabs>
          <w:tab w:val="num" w:pos="360"/>
        </w:tabs>
        <w:ind w:left="288" w:hanging="288"/>
      </w:pPr>
      <w:rPr>
        <w:rFonts w:ascii="Symbol" w:hAnsi="Symbol" w:cs="Times New Roman" w:hint="default"/>
        <w:color w:val="000000"/>
        <w:sz w:val="18"/>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09" w15:restartNumberingAfterBreak="0">
    <w:nsid w:val="3E6913BB"/>
    <w:multiLevelType w:val="hybridMultilevel"/>
    <w:tmpl w:val="A960783A"/>
    <w:lvl w:ilvl="0" w:tplc="FFFFFFFF">
      <w:start w:val="1"/>
      <w:numFmt w:val="bullet"/>
      <w:pStyle w:val="Fleche5Liste"/>
      <w:lvlText w:val=""/>
      <w:lvlJc w:val="left"/>
      <w:pPr>
        <w:tabs>
          <w:tab w:val="num" w:pos="2062"/>
        </w:tabs>
        <w:ind w:left="1986" w:hanging="284"/>
      </w:pPr>
      <w:rPr>
        <w:rFonts w:ascii="Wingdings" w:hAnsi="Wingdings" w:hint="default"/>
        <w:b/>
        <w:i w:val="0"/>
      </w:rPr>
    </w:lvl>
    <w:lvl w:ilvl="1" w:tplc="FFFFFFFF" w:tentative="1">
      <w:start w:val="1"/>
      <w:numFmt w:val="bullet"/>
      <w:lvlText w:val="o"/>
      <w:lvlJc w:val="left"/>
      <w:pPr>
        <w:tabs>
          <w:tab w:val="num" w:pos="3142"/>
        </w:tabs>
        <w:ind w:left="3142" w:hanging="360"/>
      </w:pPr>
      <w:rPr>
        <w:rFonts w:ascii="Courier New" w:hAnsi="Courier New" w:hint="default"/>
      </w:rPr>
    </w:lvl>
    <w:lvl w:ilvl="2" w:tplc="FFFFFFFF" w:tentative="1">
      <w:start w:val="1"/>
      <w:numFmt w:val="bullet"/>
      <w:lvlText w:val=""/>
      <w:lvlJc w:val="left"/>
      <w:pPr>
        <w:tabs>
          <w:tab w:val="num" w:pos="3862"/>
        </w:tabs>
        <w:ind w:left="3862" w:hanging="360"/>
      </w:pPr>
      <w:rPr>
        <w:rFonts w:ascii="Wingdings" w:hAnsi="Wingdings" w:hint="default"/>
      </w:rPr>
    </w:lvl>
    <w:lvl w:ilvl="3" w:tplc="FFFFFFFF" w:tentative="1">
      <w:start w:val="1"/>
      <w:numFmt w:val="bullet"/>
      <w:lvlText w:val=""/>
      <w:lvlJc w:val="left"/>
      <w:pPr>
        <w:tabs>
          <w:tab w:val="num" w:pos="4582"/>
        </w:tabs>
        <w:ind w:left="4582" w:hanging="360"/>
      </w:pPr>
      <w:rPr>
        <w:rFonts w:ascii="Symbol" w:hAnsi="Symbol" w:hint="default"/>
      </w:rPr>
    </w:lvl>
    <w:lvl w:ilvl="4" w:tplc="FFFFFFFF" w:tentative="1">
      <w:start w:val="1"/>
      <w:numFmt w:val="bullet"/>
      <w:lvlText w:val="o"/>
      <w:lvlJc w:val="left"/>
      <w:pPr>
        <w:tabs>
          <w:tab w:val="num" w:pos="5302"/>
        </w:tabs>
        <w:ind w:left="5302" w:hanging="360"/>
      </w:pPr>
      <w:rPr>
        <w:rFonts w:ascii="Courier New" w:hAnsi="Courier New" w:hint="default"/>
      </w:rPr>
    </w:lvl>
    <w:lvl w:ilvl="5" w:tplc="FFFFFFFF" w:tentative="1">
      <w:start w:val="1"/>
      <w:numFmt w:val="bullet"/>
      <w:lvlText w:val=""/>
      <w:lvlJc w:val="left"/>
      <w:pPr>
        <w:tabs>
          <w:tab w:val="num" w:pos="6022"/>
        </w:tabs>
        <w:ind w:left="6022" w:hanging="360"/>
      </w:pPr>
      <w:rPr>
        <w:rFonts w:ascii="Wingdings" w:hAnsi="Wingdings" w:hint="default"/>
      </w:rPr>
    </w:lvl>
    <w:lvl w:ilvl="6" w:tplc="FFFFFFFF" w:tentative="1">
      <w:start w:val="1"/>
      <w:numFmt w:val="bullet"/>
      <w:lvlText w:val=""/>
      <w:lvlJc w:val="left"/>
      <w:pPr>
        <w:tabs>
          <w:tab w:val="num" w:pos="6742"/>
        </w:tabs>
        <w:ind w:left="6742" w:hanging="360"/>
      </w:pPr>
      <w:rPr>
        <w:rFonts w:ascii="Symbol" w:hAnsi="Symbol" w:hint="default"/>
      </w:rPr>
    </w:lvl>
    <w:lvl w:ilvl="7" w:tplc="FFFFFFFF" w:tentative="1">
      <w:start w:val="1"/>
      <w:numFmt w:val="bullet"/>
      <w:lvlText w:val="o"/>
      <w:lvlJc w:val="left"/>
      <w:pPr>
        <w:tabs>
          <w:tab w:val="num" w:pos="7462"/>
        </w:tabs>
        <w:ind w:left="7462" w:hanging="360"/>
      </w:pPr>
      <w:rPr>
        <w:rFonts w:ascii="Courier New" w:hAnsi="Courier New" w:hint="default"/>
      </w:rPr>
    </w:lvl>
    <w:lvl w:ilvl="8" w:tplc="FFFFFFFF" w:tentative="1">
      <w:start w:val="1"/>
      <w:numFmt w:val="bullet"/>
      <w:lvlText w:val=""/>
      <w:lvlJc w:val="left"/>
      <w:pPr>
        <w:tabs>
          <w:tab w:val="num" w:pos="8182"/>
        </w:tabs>
        <w:ind w:left="8182" w:hanging="360"/>
      </w:pPr>
      <w:rPr>
        <w:rFonts w:ascii="Wingdings" w:hAnsi="Wingdings" w:hint="default"/>
      </w:rPr>
    </w:lvl>
  </w:abstractNum>
  <w:abstractNum w:abstractNumId="110" w15:restartNumberingAfterBreak="0">
    <w:nsid w:val="3F1720CD"/>
    <w:multiLevelType w:val="hybridMultilevel"/>
    <w:tmpl w:val="2A705344"/>
    <w:lvl w:ilvl="0" w:tplc="3CA034FA">
      <w:start w:val="1"/>
      <w:numFmt w:val="bullet"/>
      <w:pStyle w:val="Fleche0Liste"/>
      <w:lvlText w:val=""/>
      <w:lvlJc w:val="left"/>
      <w:pPr>
        <w:tabs>
          <w:tab w:val="num" w:pos="360"/>
        </w:tabs>
        <w:ind w:left="284" w:hanging="284"/>
      </w:pPr>
      <w:rPr>
        <w:rFonts w:ascii="Wingdings" w:hAnsi="Wingdings" w:hint="default"/>
        <w:b/>
        <w:i w:val="0"/>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11" w15:restartNumberingAfterBreak="0">
    <w:nsid w:val="3F527B93"/>
    <w:multiLevelType w:val="hybridMultilevel"/>
    <w:tmpl w:val="589828C6"/>
    <w:lvl w:ilvl="0" w:tplc="DCAC69AE">
      <w:start w:val="1"/>
      <w:numFmt w:val="decimal"/>
      <w:pStyle w:val="ParagraphNumbering"/>
      <w:lvlText w:val="%1."/>
      <w:lvlJc w:val="left"/>
      <w:pPr>
        <w:ind w:left="90" w:firstLine="0"/>
      </w:pPr>
      <w:rPr>
        <w:rFonts w:ascii="Calibri" w:hAnsi="Calibri" w:cs="Times New Roman" w:hint="default"/>
        <w:b w:val="0"/>
        <w:i w:val="0"/>
      </w:rPr>
    </w:lvl>
    <w:lvl w:ilvl="1" w:tplc="A1744E1E">
      <w:start w:val="1"/>
      <w:numFmt w:val="lowerLetter"/>
      <w:lvlText w:val="(%2)"/>
      <w:lvlJc w:val="left"/>
      <w:pPr>
        <w:ind w:left="1440" w:hanging="360"/>
      </w:pPr>
      <w:rPr>
        <w:rFonts w:hint="default"/>
        <w:b w:val="0"/>
      </w:rPr>
    </w:lvl>
    <w:lvl w:ilvl="2" w:tplc="2EE8E4DE" w:tentative="1">
      <w:start w:val="1"/>
      <w:numFmt w:val="lowerRoman"/>
      <w:lvlText w:val="%3."/>
      <w:lvlJc w:val="right"/>
      <w:pPr>
        <w:ind w:left="2160" w:hanging="180"/>
      </w:pPr>
    </w:lvl>
    <w:lvl w:ilvl="3" w:tplc="9C0C227C" w:tentative="1">
      <w:start w:val="1"/>
      <w:numFmt w:val="decimal"/>
      <w:lvlText w:val="%4."/>
      <w:lvlJc w:val="left"/>
      <w:pPr>
        <w:ind w:left="2880" w:hanging="360"/>
      </w:pPr>
    </w:lvl>
    <w:lvl w:ilvl="4" w:tplc="724899EA" w:tentative="1">
      <w:start w:val="1"/>
      <w:numFmt w:val="lowerLetter"/>
      <w:lvlText w:val="%5."/>
      <w:lvlJc w:val="left"/>
      <w:pPr>
        <w:ind w:left="3600" w:hanging="360"/>
      </w:pPr>
    </w:lvl>
    <w:lvl w:ilvl="5" w:tplc="223A77F2" w:tentative="1">
      <w:start w:val="1"/>
      <w:numFmt w:val="lowerRoman"/>
      <w:lvlText w:val="%6."/>
      <w:lvlJc w:val="right"/>
      <w:pPr>
        <w:ind w:left="4320" w:hanging="180"/>
      </w:pPr>
    </w:lvl>
    <w:lvl w:ilvl="6" w:tplc="241455BC" w:tentative="1">
      <w:start w:val="1"/>
      <w:numFmt w:val="decimal"/>
      <w:lvlText w:val="%7."/>
      <w:lvlJc w:val="left"/>
      <w:pPr>
        <w:ind w:left="5040" w:hanging="360"/>
      </w:pPr>
    </w:lvl>
    <w:lvl w:ilvl="7" w:tplc="A03CA270" w:tentative="1">
      <w:start w:val="1"/>
      <w:numFmt w:val="lowerLetter"/>
      <w:lvlText w:val="%8."/>
      <w:lvlJc w:val="left"/>
      <w:pPr>
        <w:ind w:left="5760" w:hanging="360"/>
      </w:pPr>
    </w:lvl>
    <w:lvl w:ilvl="8" w:tplc="3648CAA6" w:tentative="1">
      <w:start w:val="1"/>
      <w:numFmt w:val="lowerRoman"/>
      <w:lvlText w:val="%9."/>
      <w:lvlJc w:val="right"/>
      <w:pPr>
        <w:ind w:left="6480" w:hanging="180"/>
      </w:pPr>
    </w:lvl>
  </w:abstractNum>
  <w:abstractNum w:abstractNumId="112" w15:restartNumberingAfterBreak="0">
    <w:nsid w:val="40647279"/>
    <w:multiLevelType w:val="multilevel"/>
    <w:tmpl w:val="E2CA0BF2"/>
    <w:lvl w:ilvl="0">
      <w:start w:val="1"/>
      <w:numFmt w:val="upperRoman"/>
      <w:pStyle w:val="OMEF2"/>
      <w:lvlText w:val="%1."/>
      <w:lvlJc w:val="right"/>
      <w:pPr>
        <w:ind w:left="360" w:hanging="360"/>
      </w:pPr>
      <w:rPr>
        <w:lang w:val="fr-FR"/>
      </w:rPr>
    </w:lvl>
    <w:lvl w:ilvl="1">
      <w:start w:val="1"/>
      <w:numFmt w:val="decimal"/>
      <w:pStyle w:val="OMEF3"/>
      <w:lvlText w:val="%1.%2."/>
      <w:lvlJc w:val="left"/>
      <w:pPr>
        <w:ind w:left="792" w:hanging="432"/>
      </w:pPr>
    </w:lvl>
    <w:lvl w:ilvl="2">
      <w:start w:val="1"/>
      <w:numFmt w:val="decimal"/>
      <w:pStyle w:val="OMEF4"/>
      <w:lvlText w:val="%1.%2.%3."/>
      <w:lvlJc w:val="left"/>
      <w:pPr>
        <w:ind w:left="1224" w:hanging="504"/>
      </w:pPr>
    </w:lvl>
    <w:lvl w:ilvl="3">
      <w:start w:val="1"/>
      <w:numFmt w:val="decimal"/>
      <w:pStyle w:val="OMEF5"/>
      <w:lvlText w:val="%1.%2.%3.%4."/>
      <w:lvlJc w:val="left"/>
      <w:pPr>
        <w:ind w:left="2350" w:hanging="648"/>
      </w:pPr>
    </w:lvl>
    <w:lvl w:ilvl="4">
      <w:start w:val="1"/>
      <w:numFmt w:val="decimal"/>
      <w:pStyle w:val="OMEF6"/>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3" w15:restartNumberingAfterBreak="0">
    <w:nsid w:val="415B1155"/>
    <w:multiLevelType w:val="hybridMultilevel"/>
    <w:tmpl w:val="971809B2"/>
    <w:lvl w:ilvl="0" w:tplc="D94AA904">
      <w:start w:val="1"/>
      <w:numFmt w:val="bullet"/>
      <w:lvlText w:val=""/>
      <w:lvlJc w:val="left"/>
      <w:pPr>
        <w:ind w:left="1428" w:hanging="360"/>
      </w:pPr>
      <w:rPr>
        <w:rFonts w:ascii="Symbol" w:hAnsi="Symbol" w:hint="default"/>
        <w:sz w:val="20"/>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14" w15:restartNumberingAfterBreak="0">
    <w:nsid w:val="41C5620E"/>
    <w:multiLevelType w:val="hybridMultilevel"/>
    <w:tmpl w:val="FB7EC46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5" w15:restartNumberingAfterBreak="0">
    <w:nsid w:val="425912C2"/>
    <w:multiLevelType w:val="hybridMultilevel"/>
    <w:tmpl w:val="BC524602"/>
    <w:lvl w:ilvl="0" w:tplc="1A4891FC">
      <w:start w:val="1"/>
      <w:numFmt w:val="bullet"/>
      <w:lvlText w:val=""/>
      <w:lvlJc w:val="left"/>
      <w:pPr>
        <w:ind w:left="1065" w:hanging="705"/>
      </w:pPr>
      <w:rPr>
        <w:rFonts w:ascii="Symbol" w:hAnsi="Symbol" w:hint="default"/>
        <w:color w:val="0070C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6" w15:restartNumberingAfterBreak="0">
    <w:nsid w:val="43C34FA6"/>
    <w:multiLevelType w:val="multilevel"/>
    <w:tmpl w:val="4114170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pStyle w:val="P3Header1-Clauses"/>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7" w15:restartNumberingAfterBreak="0">
    <w:nsid w:val="443729C3"/>
    <w:multiLevelType w:val="hybridMultilevel"/>
    <w:tmpl w:val="A5D2E0A0"/>
    <w:styleLink w:val="WWNum312"/>
    <w:lvl w:ilvl="0" w:tplc="040C0001">
      <w:start w:val="1"/>
      <w:numFmt w:val="bullet"/>
      <w:lvlText w:val=""/>
      <w:lvlJc w:val="left"/>
      <w:pPr>
        <w:ind w:left="720" w:hanging="360"/>
      </w:pPr>
      <w:rPr>
        <w:rFonts w:ascii="Symbol" w:hAnsi="Symbol"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18" w15:restartNumberingAfterBreak="0">
    <w:nsid w:val="44D449FE"/>
    <w:multiLevelType w:val="hybridMultilevel"/>
    <w:tmpl w:val="E69CA104"/>
    <w:lvl w:ilvl="0" w:tplc="D13EC20C">
      <w:numFmt w:val="bullet"/>
      <w:lvlText w:val="-"/>
      <w:lvlJc w:val="left"/>
      <w:pPr>
        <w:ind w:left="720" w:hanging="360"/>
      </w:pPr>
      <w:rPr>
        <w:rFonts w:ascii="Calibri" w:eastAsia="Calibr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9" w15:restartNumberingAfterBreak="0">
    <w:nsid w:val="45DF3B2A"/>
    <w:multiLevelType w:val="hybridMultilevel"/>
    <w:tmpl w:val="C34E3C20"/>
    <w:styleLink w:val="WWNum14111"/>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0" w15:restartNumberingAfterBreak="0">
    <w:nsid w:val="46520826"/>
    <w:multiLevelType w:val="hybridMultilevel"/>
    <w:tmpl w:val="83B40CAC"/>
    <w:lvl w:ilvl="0" w:tplc="FC1AF8B6">
      <w:start w:val="1"/>
      <w:numFmt w:val="bullet"/>
      <w:lvlText w:val=""/>
      <w:lvlJc w:val="left"/>
      <w:pPr>
        <w:ind w:left="720" w:hanging="360"/>
      </w:pPr>
      <w:rPr>
        <w:rFonts w:ascii="Wingdings" w:hAnsi="Wingdings" w:hint="default"/>
      </w:rPr>
    </w:lvl>
    <w:lvl w:ilvl="1" w:tplc="20000003">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21" w15:restartNumberingAfterBreak="0">
    <w:nsid w:val="47526374"/>
    <w:multiLevelType w:val="singleLevel"/>
    <w:tmpl w:val="93A83494"/>
    <w:lvl w:ilvl="0">
      <w:start w:val="1"/>
      <w:numFmt w:val="bullet"/>
      <w:pStyle w:val="PuceRoseDtail"/>
      <w:lvlText w:val=""/>
      <w:lvlJc w:val="left"/>
      <w:pPr>
        <w:tabs>
          <w:tab w:val="num" w:pos="1008"/>
        </w:tabs>
        <w:ind w:left="936" w:hanging="288"/>
      </w:pPr>
      <w:rPr>
        <w:rFonts w:ascii="Symbol" w:hAnsi="Symbol" w:hint="default"/>
        <w:color w:val="FF00FF"/>
        <w:sz w:val="20"/>
      </w:rPr>
    </w:lvl>
  </w:abstractNum>
  <w:abstractNum w:abstractNumId="122" w15:restartNumberingAfterBreak="0">
    <w:nsid w:val="48110253"/>
    <w:multiLevelType w:val="singleLevel"/>
    <w:tmpl w:val="FCD2A83C"/>
    <w:lvl w:ilvl="0">
      <w:start w:val="1"/>
      <w:numFmt w:val="bullet"/>
      <w:pStyle w:val="Fleche4Liste"/>
      <w:lvlText w:val=""/>
      <w:lvlJc w:val="left"/>
      <w:pPr>
        <w:tabs>
          <w:tab w:val="num" w:pos="360"/>
        </w:tabs>
        <w:ind w:left="284" w:hanging="284"/>
      </w:pPr>
      <w:rPr>
        <w:rFonts w:ascii="Wingdings" w:hAnsi="Wingdings" w:hint="default"/>
        <w:b/>
        <w:i w:val="0"/>
      </w:rPr>
    </w:lvl>
  </w:abstractNum>
  <w:abstractNum w:abstractNumId="123" w15:restartNumberingAfterBreak="0">
    <w:nsid w:val="482E49D0"/>
    <w:multiLevelType w:val="hybridMultilevel"/>
    <w:tmpl w:val="91D66C38"/>
    <w:lvl w:ilvl="0" w:tplc="6632EEE8">
      <w:start w:val="1"/>
      <w:numFmt w:val="bullet"/>
      <w:lvlText w:val=""/>
      <w:lvlJc w:val="left"/>
      <w:pPr>
        <w:ind w:left="720" w:hanging="360"/>
      </w:pPr>
      <w:rPr>
        <w:rFonts w:ascii="Symbol" w:hAnsi="Symbol" w:hint="default"/>
      </w:rPr>
    </w:lvl>
    <w:lvl w:ilvl="1" w:tplc="27C4EC6A">
      <w:start w:val="1"/>
      <w:numFmt w:val="bullet"/>
      <w:lvlText w:val="−"/>
      <w:lvlJc w:val="left"/>
      <w:pPr>
        <w:ind w:left="1440" w:hanging="360"/>
      </w:pPr>
      <w:rPr>
        <w:rFonts w:ascii="Times New Roman" w:eastAsiaTheme="minorHAnsi" w:hAnsi="Times New Roman" w:cs="Times New Roman"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4" w15:restartNumberingAfterBreak="0">
    <w:nsid w:val="4A6137BE"/>
    <w:multiLevelType w:val="multilevel"/>
    <w:tmpl w:val="C6765164"/>
    <w:lvl w:ilvl="0">
      <w:start w:val="1"/>
      <w:numFmt w:val="decimal"/>
      <w:pStyle w:val="TITRE3"/>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sz w:val="24"/>
        <w:szCs w:val="24"/>
      </w:rPr>
    </w:lvl>
    <w:lvl w:ilvl="2">
      <w:start w:val="1"/>
      <w:numFmt w:val="decimal"/>
      <w:isLgl/>
      <w:lvlText w:val=". %2%1..%3"/>
      <w:lvlJc w:val="left"/>
      <w:pPr>
        <w:tabs>
          <w:tab w:val="num" w:pos="720"/>
        </w:tabs>
        <w:ind w:left="720" w:hanging="720"/>
      </w:pPr>
      <w:rPr>
        <w:rFonts w:hint="default"/>
        <w:i w:val="0"/>
      </w:rPr>
    </w:lvl>
    <w:lvl w:ilvl="3">
      <w:start w:val="1"/>
      <w:numFmt w:val="lowerLetter"/>
      <w:lvlText w:val="%1.%3.%2..%4) "/>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25" w15:restartNumberingAfterBreak="0">
    <w:nsid w:val="4AB122A8"/>
    <w:multiLevelType w:val="multilevel"/>
    <w:tmpl w:val="BF3AA0C4"/>
    <w:lvl w:ilvl="0">
      <w:start w:val="1"/>
      <w:numFmt w:val="bullet"/>
      <w:lvlText w:val=""/>
      <w:lvlJc w:val="left"/>
      <w:pPr>
        <w:tabs>
          <w:tab w:val="num" w:pos="720"/>
        </w:tabs>
        <w:ind w:left="720" w:hanging="360"/>
      </w:pPr>
      <w:rPr>
        <w:rFonts w:ascii="Symbol" w:hAnsi="Symbol" w:hint="default"/>
        <w:sz w:val="20"/>
      </w:rPr>
    </w:lvl>
    <w:lvl w:ilvl="1">
      <w:start w:val="1"/>
      <w:numFmt w:val="lowerRoman"/>
      <w:lvlText w:val="%2."/>
      <w:lvlJc w:val="left"/>
      <w:pPr>
        <w:ind w:left="1800" w:hanging="720"/>
      </w:pPr>
      <w:rPr>
        <w:rFonts w:hint="default"/>
        <w:i w:val="0"/>
        <w:iCs/>
      </w:rPr>
    </w:lvl>
    <w:lvl w:ilvl="2" w:tentative="1">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4AFF68FE"/>
    <w:multiLevelType w:val="hybridMultilevel"/>
    <w:tmpl w:val="8D4E8F6C"/>
    <w:lvl w:ilvl="0" w:tplc="3CA4B740">
      <w:start w:val="1"/>
      <w:numFmt w:val="low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7" w15:restartNumberingAfterBreak="0">
    <w:nsid w:val="4B1108CC"/>
    <w:multiLevelType w:val="hybridMultilevel"/>
    <w:tmpl w:val="BBC64FAC"/>
    <w:lvl w:ilvl="0" w:tplc="DD0EE184">
      <w:start w:val="1"/>
      <w:numFmt w:val="lowerLetter"/>
      <w:lvlText w:val="%1."/>
      <w:lvlJc w:val="left"/>
      <w:pPr>
        <w:ind w:left="720" w:hanging="360"/>
      </w:pPr>
      <w:rPr>
        <w:rFonts w:hint="default"/>
        <w:b/>
        <w:color w:val="auto"/>
        <w:sz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8" w15:restartNumberingAfterBreak="0">
    <w:nsid w:val="4BE67277"/>
    <w:multiLevelType w:val="hybridMultilevel"/>
    <w:tmpl w:val="2A382A94"/>
    <w:name w:val="Liste numérotée 7"/>
    <w:lvl w:ilvl="0" w:tplc="D51E9254">
      <w:numFmt w:val="bullet"/>
      <w:lvlText w:val=""/>
      <w:lvlJc w:val="left"/>
      <w:pPr>
        <w:ind w:left="1416" w:firstLine="0"/>
      </w:pPr>
      <w:rPr>
        <w:rFonts w:ascii="Symbol" w:hAnsi="Symbol"/>
      </w:rPr>
    </w:lvl>
    <w:lvl w:ilvl="1" w:tplc="3FD2A516">
      <w:numFmt w:val="bullet"/>
      <w:lvlText w:val="o"/>
      <w:lvlJc w:val="left"/>
      <w:pPr>
        <w:ind w:left="2136" w:firstLine="0"/>
      </w:pPr>
      <w:rPr>
        <w:rFonts w:ascii="Courier New" w:hAnsi="Courier New" w:cs="Courier New"/>
      </w:rPr>
    </w:lvl>
    <w:lvl w:ilvl="2" w:tplc="C304E648">
      <w:numFmt w:val="bullet"/>
      <w:lvlText w:val=""/>
      <w:lvlJc w:val="left"/>
      <w:pPr>
        <w:ind w:left="2856" w:firstLine="0"/>
      </w:pPr>
      <w:rPr>
        <w:rFonts w:ascii="Wingdings" w:eastAsia="Wingdings" w:hAnsi="Wingdings" w:cs="Wingdings"/>
      </w:rPr>
    </w:lvl>
    <w:lvl w:ilvl="3" w:tplc="E4567242">
      <w:numFmt w:val="bullet"/>
      <w:lvlText w:val=""/>
      <w:lvlJc w:val="left"/>
      <w:pPr>
        <w:ind w:left="3576" w:firstLine="0"/>
      </w:pPr>
      <w:rPr>
        <w:rFonts w:ascii="Symbol" w:hAnsi="Symbol"/>
      </w:rPr>
    </w:lvl>
    <w:lvl w:ilvl="4" w:tplc="E296478C">
      <w:numFmt w:val="bullet"/>
      <w:lvlText w:val="o"/>
      <w:lvlJc w:val="left"/>
      <w:pPr>
        <w:ind w:left="4296" w:firstLine="0"/>
      </w:pPr>
      <w:rPr>
        <w:rFonts w:ascii="Courier New" w:hAnsi="Courier New" w:cs="Courier New"/>
      </w:rPr>
    </w:lvl>
    <w:lvl w:ilvl="5" w:tplc="1D746780">
      <w:numFmt w:val="bullet"/>
      <w:lvlText w:val=""/>
      <w:lvlJc w:val="left"/>
      <w:pPr>
        <w:ind w:left="5016" w:firstLine="0"/>
      </w:pPr>
      <w:rPr>
        <w:rFonts w:ascii="Wingdings" w:eastAsia="Wingdings" w:hAnsi="Wingdings" w:cs="Wingdings"/>
      </w:rPr>
    </w:lvl>
    <w:lvl w:ilvl="6" w:tplc="2AEC13CC">
      <w:numFmt w:val="bullet"/>
      <w:lvlText w:val=""/>
      <w:lvlJc w:val="left"/>
      <w:pPr>
        <w:ind w:left="5736" w:firstLine="0"/>
      </w:pPr>
      <w:rPr>
        <w:rFonts w:ascii="Symbol" w:hAnsi="Symbol"/>
      </w:rPr>
    </w:lvl>
    <w:lvl w:ilvl="7" w:tplc="C6F8A164">
      <w:numFmt w:val="bullet"/>
      <w:lvlText w:val="o"/>
      <w:lvlJc w:val="left"/>
      <w:pPr>
        <w:ind w:left="6456" w:firstLine="0"/>
      </w:pPr>
      <w:rPr>
        <w:rFonts w:ascii="Courier New" w:hAnsi="Courier New" w:cs="Courier New"/>
      </w:rPr>
    </w:lvl>
    <w:lvl w:ilvl="8" w:tplc="FB56B436">
      <w:numFmt w:val="bullet"/>
      <w:lvlText w:val=""/>
      <w:lvlJc w:val="left"/>
      <w:pPr>
        <w:ind w:left="7176" w:firstLine="0"/>
      </w:pPr>
      <w:rPr>
        <w:rFonts w:ascii="Wingdings" w:eastAsia="Wingdings" w:hAnsi="Wingdings" w:cs="Wingdings"/>
      </w:rPr>
    </w:lvl>
  </w:abstractNum>
  <w:abstractNum w:abstractNumId="129" w15:restartNumberingAfterBreak="0">
    <w:nsid w:val="4C8E345D"/>
    <w:multiLevelType w:val="hybridMultilevel"/>
    <w:tmpl w:val="2D884508"/>
    <w:lvl w:ilvl="0" w:tplc="FFFFFFFF">
      <w:start w:val="1"/>
      <w:numFmt w:val="bullet"/>
      <w:pStyle w:val="Coche5Liste"/>
      <w:lvlText w:val=""/>
      <w:lvlJc w:val="left"/>
      <w:pPr>
        <w:tabs>
          <w:tab w:val="num" w:pos="1778"/>
        </w:tabs>
        <w:ind w:left="1701" w:hanging="283"/>
      </w:pPr>
      <w:rPr>
        <w:rFonts w:ascii="Symbol" w:hAnsi="Symbol" w:hint="default"/>
        <w:b/>
        <w:i w:val="0"/>
      </w:rPr>
    </w:lvl>
    <w:lvl w:ilvl="1" w:tplc="FFFFFFFF" w:tentative="1">
      <w:start w:val="1"/>
      <w:numFmt w:val="bullet"/>
      <w:lvlText w:val="o"/>
      <w:lvlJc w:val="left"/>
      <w:pPr>
        <w:tabs>
          <w:tab w:val="num" w:pos="2858"/>
        </w:tabs>
        <w:ind w:left="2858" w:hanging="360"/>
      </w:pPr>
      <w:rPr>
        <w:rFonts w:ascii="Courier New" w:hAnsi="Courier New" w:hint="default"/>
      </w:rPr>
    </w:lvl>
    <w:lvl w:ilvl="2" w:tplc="FFFFFFFF" w:tentative="1">
      <w:start w:val="1"/>
      <w:numFmt w:val="bullet"/>
      <w:lvlText w:val=""/>
      <w:lvlJc w:val="left"/>
      <w:pPr>
        <w:tabs>
          <w:tab w:val="num" w:pos="3578"/>
        </w:tabs>
        <w:ind w:left="3578" w:hanging="360"/>
      </w:pPr>
      <w:rPr>
        <w:rFonts w:ascii="Wingdings" w:hAnsi="Wingdings" w:hint="default"/>
      </w:rPr>
    </w:lvl>
    <w:lvl w:ilvl="3" w:tplc="FFFFFFFF" w:tentative="1">
      <w:start w:val="1"/>
      <w:numFmt w:val="bullet"/>
      <w:lvlText w:val=""/>
      <w:lvlJc w:val="left"/>
      <w:pPr>
        <w:tabs>
          <w:tab w:val="num" w:pos="4298"/>
        </w:tabs>
        <w:ind w:left="4298" w:hanging="360"/>
      </w:pPr>
      <w:rPr>
        <w:rFonts w:ascii="Symbol" w:hAnsi="Symbol" w:hint="default"/>
      </w:rPr>
    </w:lvl>
    <w:lvl w:ilvl="4" w:tplc="FFFFFFFF" w:tentative="1">
      <w:start w:val="1"/>
      <w:numFmt w:val="bullet"/>
      <w:lvlText w:val="o"/>
      <w:lvlJc w:val="left"/>
      <w:pPr>
        <w:tabs>
          <w:tab w:val="num" w:pos="5018"/>
        </w:tabs>
        <w:ind w:left="5018" w:hanging="360"/>
      </w:pPr>
      <w:rPr>
        <w:rFonts w:ascii="Courier New" w:hAnsi="Courier New" w:hint="default"/>
      </w:rPr>
    </w:lvl>
    <w:lvl w:ilvl="5" w:tplc="FFFFFFFF" w:tentative="1">
      <w:start w:val="1"/>
      <w:numFmt w:val="bullet"/>
      <w:lvlText w:val=""/>
      <w:lvlJc w:val="left"/>
      <w:pPr>
        <w:tabs>
          <w:tab w:val="num" w:pos="5738"/>
        </w:tabs>
        <w:ind w:left="5738" w:hanging="360"/>
      </w:pPr>
      <w:rPr>
        <w:rFonts w:ascii="Wingdings" w:hAnsi="Wingdings" w:hint="default"/>
      </w:rPr>
    </w:lvl>
    <w:lvl w:ilvl="6" w:tplc="FFFFFFFF" w:tentative="1">
      <w:start w:val="1"/>
      <w:numFmt w:val="bullet"/>
      <w:lvlText w:val=""/>
      <w:lvlJc w:val="left"/>
      <w:pPr>
        <w:tabs>
          <w:tab w:val="num" w:pos="6458"/>
        </w:tabs>
        <w:ind w:left="6458" w:hanging="360"/>
      </w:pPr>
      <w:rPr>
        <w:rFonts w:ascii="Symbol" w:hAnsi="Symbol" w:hint="default"/>
      </w:rPr>
    </w:lvl>
    <w:lvl w:ilvl="7" w:tplc="FFFFFFFF" w:tentative="1">
      <w:start w:val="1"/>
      <w:numFmt w:val="bullet"/>
      <w:lvlText w:val="o"/>
      <w:lvlJc w:val="left"/>
      <w:pPr>
        <w:tabs>
          <w:tab w:val="num" w:pos="7178"/>
        </w:tabs>
        <w:ind w:left="7178" w:hanging="360"/>
      </w:pPr>
      <w:rPr>
        <w:rFonts w:ascii="Courier New" w:hAnsi="Courier New" w:hint="default"/>
      </w:rPr>
    </w:lvl>
    <w:lvl w:ilvl="8" w:tplc="FFFFFFFF" w:tentative="1">
      <w:start w:val="1"/>
      <w:numFmt w:val="bullet"/>
      <w:lvlText w:val=""/>
      <w:lvlJc w:val="left"/>
      <w:pPr>
        <w:tabs>
          <w:tab w:val="num" w:pos="7898"/>
        </w:tabs>
        <w:ind w:left="7898" w:hanging="360"/>
      </w:pPr>
      <w:rPr>
        <w:rFonts w:ascii="Wingdings" w:hAnsi="Wingdings" w:hint="default"/>
      </w:rPr>
    </w:lvl>
  </w:abstractNum>
  <w:abstractNum w:abstractNumId="130" w15:restartNumberingAfterBreak="0">
    <w:nsid w:val="4CD83518"/>
    <w:multiLevelType w:val="hybridMultilevel"/>
    <w:tmpl w:val="24BC8E42"/>
    <w:lvl w:ilvl="0" w:tplc="BB08B916">
      <w:start w:val="1"/>
      <w:numFmt w:val="bullet"/>
      <w:lvlText w:val="o"/>
      <w:lvlJc w:val="left"/>
      <w:pPr>
        <w:ind w:left="1068" w:hanging="360"/>
      </w:pPr>
      <w:rPr>
        <w:rFonts w:ascii="Courier New" w:hAnsi="Courier New" w:cs="Courier New" w:hint="default"/>
        <w:sz w:val="18"/>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31" w15:restartNumberingAfterBreak="0">
    <w:nsid w:val="4D142D2F"/>
    <w:multiLevelType w:val="hybridMultilevel"/>
    <w:tmpl w:val="29F898B0"/>
    <w:lvl w:ilvl="0" w:tplc="02F6F0C8">
      <w:start w:val="1"/>
      <w:numFmt w:val="decimal"/>
      <w:lvlText w:val="%1."/>
      <w:lvlJc w:val="left"/>
      <w:pPr>
        <w:ind w:left="720" w:hanging="360"/>
      </w:pPr>
    </w:lvl>
    <w:lvl w:ilvl="1" w:tplc="C292FA22">
      <w:start w:val="1"/>
      <w:numFmt w:val="lowerLetter"/>
      <w:lvlText w:val="%2."/>
      <w:lvlJc w:val="left"/>
      <w:pPr>
        <w:ind w:left="1440" w:hanging="360"/>
      </w:pPr>
    </w:lvl>
    <w:lvl w:ilvl="2" w:tplc="75361FA8">
      <w:start w:val="1"/>
      <w:numFmt w:val="lowerRoman"/>
      <w:lvlText w:val="%3."/>
      <w:lvlJc w:val="right"/>
      <w:pPr>
        <w:ind w:left="2160" w:hanging="180"/>
      </w:pPr>
    </w:lvl>
    <w:lvl w:ilvl="3" w:tplc="FA16E6D2">
      <w:start w:val="1"/>
      <w:numFmt w:val="decimal"/>
      <w:lvlText w:val="%4."/>
      <w:lvlJc w:val="left"/>
      <w:pPr>
        <w:ind w:left="2880" w:hanging="360"/>
      </w:pPr>
    </w:lvl>
    <w:lvl w:ilvl="4" w:tplc="CD7CC51C">
      <w:start w:val="1"/>
      <w:numFmt w:val="lowerLetter"/>
      <w:lvlText w:val="%5."/>
      <w:lvlJc w:val="left"/>
      <w:pPr>
        <w:ind w:left="3600" w:hanging="360"/>
      </w:pPr>
    </w:lvl>
    <w:lvl w:ilvl="5" w:tplc="5B3EC1D0">
      <w:start w:val="1"/>
      <w:numFmt w:val="lowerRoman"/>
      <w:lvlText w:val="%6."/>
      <w:lvlJc w:val="right"/>
      <w:pPr>
        <w:ind w:left="4320" w:hanging="180"/>
      </w:pPr>
    </w:lvl>
    <w:lvl w:ilvl="6" w:tplc="E856CFF2">
      <w:start w:val="1"/>
      <w:numFmt w:val="decimal"/>
      <w:lvlText w:val="%7."/>
      <w:lvlJc w:val="left"/>
      <w:pPr>
        <w:ind w:left="5040" w:hanging="360"/>
      </w:pPr>
    </w:lvl>
    <w:lvl w:ilvl="7" w:tplc="F4E6DE10">
      <w:start w:val="1"/>
      <w:numFmt w:val="lowerLetter"/>
      <w:lvlText w:val="%8."/>
      <w:lvlJc w:val="left"/>
      <w:pPr>
        <w:ind w:left="5760" w:hanging="360"/>
      </w:pPr>
    </w:lvl>
    <w:lvl w:ilvl="8" w:tplc="CDA27CBC">
      <w:start w:val="1"/>
      <w:numFmt w:val="lowerRoman"/>
      <w:lvlText w:val="%9."/>
      <w:lvlJc w:val="right"/>
      <w:pPr>
        <w:ind w:left="6480" w:hanging="180"/>
      </w:pPr>
    </w:lvl>
  </w:abstractNum>
  <w:abstractNum w:abstractNumId="132" w15:restartNumberingAfterBreak="0">
    <w:nsid w:val="4E4E4C13"/>
    <w:multiLevelType w:val="hybridMultilevel"/>
    <w:tmpl w:val="126898D6"/>
    <w:lvl w:ilvl="0" w:tplc="E27A1DD8">
      <w:start w:val="1"/>
      <w:numFmt w:val="bullet"/>
      <w:lvlText w:val=""/>
      <w:lvlJc w:val="left"/>
      <w:pPr>
        <w:ind w:left="720" w:hanging="360"/>
      </w:pPr>
      <w:rPr>
        <w:rFonts w:ascii="Symbol" w:hAnsi="Symbol" w:hint="default"/>
        <w:color w:val="000000" w:themeColor="text1"/>
        <w:sz w:val="20"/>
        <w:szCs w:val="2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3" w15:restartNumberingAfterBreak="0">
    <w:nsid w:val="4E7C1FF9"/>
    <w:multiLevelType w:val="hybridMultilevel"/>
    <w:tmpl w:val="8CA8B5E4"/>
    <w:lvl w:ilvl="0" w:tplc="2000000D">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34" w15:restartNumberingAfterBreak="0">
    <w:nsid w:val="4F5A082A"/>
    <w:multiLevelType w:val="hybridMultilevel"/>
    <w:tmpl w:val="3698CA8A"/>
    <w:lvl w:ilvl="0" w:tplc="BE38E36A">
      <w:start w:val="1"/>
      <w:numFmt w:val="upperRoman"/>
      <w:pStyle w:val="Style6"/>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15:restartNumberingAfterBreak="0">
    <w:nsid w:val="501B672B"/>
    <w:multiLevelType w:val="hybridMultilevel"/>
    <w:tmpl w:val="7C4E36DA"/>
    <w:lvl w:ilvl="0" w:tplc="040C0001">
      <w:start w:val="1"/>
      <w:numFmt w:val="bullet"/>
      <w:lvlText w:val=""/>
      <w:lvlJc w:val="left"/>
      <w:pPr>
        <w:ind w:left="360" w:hanging="360"/>
      </w:pPr>
      <w:rPr>
        <w:rFonts w:ascii="Symbol" w:hAnsi="Symbol" w:hint="default"/>
        <w:sz w:val="18"/>
        <w:szCs w:val="16"/>
      </w:rPr>
    </w:lvl>
    <w:lvl w:ilvl="1" w:tplc="FFFFFFFF">
      <w:start w:val="1"/>
      <w:numFmt w:val="bullet"/>
      <w:lvlText w:val="o"/>
      <w:lvlJc w:val="left"/>
      <w:pPr>
        <w:ind w:left="1440" w:hanging="360"/>
      </w:pPr>
      <w:rPr>
        <w:rFonts w:ascii="Courier New" w:hAnsi="Courier New" w:cs="Courier New" w:hint="default"/>
        <w:sz w:val="18"/>
        <w:szCs w:val="18"/>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6" w15:restartNumberingAfterBreak="0">
    <w:nsid w:val="51E21B60"/>
    <w:multiLevelType w:val="hybridMultilevel"/>
    <w:tmpl w:val="BF5E0250"/>
    <w:lvl w:ilvl="0" w:tplc="04090001">
      <w:start w:val="1"/>
      <w:numFmt w:val="bullet"/>
      <w:pStyle w:val="Puce3Liste"/>
      <w:lvlText w:val=""/>
      <w:lvlJc w:val="left"/>
      <w:pPr>
        <w:tabs>
          <w:tab w:val="num" w:pos="644"/>
        </w:tabs>
        <w:ind w:left="567" w:hanging="283"/>
      </w:pPr>
      <w:rPr>
        <w:rFonts w:ascii="Symbol" w:hAnsi="Symbol" w:hint="default"/>
        <w:b/>
        <w:i w:val="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7" w15:restartNumberingAfterBreak="0">
    <w:nsid w:val="525E3800"/>
    <w:multiLevelType w:val="hybridMultilevel"/>
    <w:tmpl w:val="0E006C1C"/>
    <w:lvl w:ilvl="0" w:tplc="5044CE90">
      <w:numFmt w:val="bullet"/>
      <w:lvlText w:val="-"/>
      <w:lvlJc w:val="left"/>
      <w:pPr>
        <w:ind w:left="1386" w:hanging="360"/>
      </w:pPr>
      <w:rPr>
        <w:rFonts w:ascii="Times New Roman" w:eastAsiaTheme="minorHAnsi" w:hAnsi="Times New Roman" w:cs="Times New Roman" w:hint="default"/>
      </w:rPr>
    </w:lvl>
    <w:lvl w:ilvl="1" w:tplc="040C0003" w:tentative="1">
      <w:start w:val="1"/>
      <w:numFmt w:val="bullet"/>
      <w:lvlText w:val="o"/>
      <w:lvlJc w:val="left"/>
      <w:pPr>
        <w:ind w:left="2106" w:hanging="360"/>
      </w:pPr>
      <w:rPr>
        <w:rFonts w:ascii="Courier New" w:hAnsi="Courier New" w:cs="Courier New" w:hint="default"/>
      </w:rPr>
    </w:lvl>
    <w:lvl w:ilvl="2" w:tplc="040C0005" w:tentative="1">
      <w:start w:val="1"/>
      <w:numFmt w:val="bullet"/>
      <w:lvlText w:val=""/>
      <w:lvlJc w:val="left"/>
      <w:pPr>
        <w:ind w:left="2826" w:hanging="360"/>
      </w:pPr>
      <w:rPr>
        <w:rFonts w:ascii="Wingdings" w:hAnsi="Wingdings" w:hint="default"/>
      </w:rPr>
    </w:lvl>
    <w:lvl w:ilvl="3" w:tplc="040C0001" w:tentative="1">
      <w:start w:val="1"/>
      <w:numFmt w:val="bullet"/>
      <w:lvlText w:val=""/>
      <w:lvlJc w:val="left"/>
      <w:pPr>
        <w:ind w:left="3546" w:hanging="360"/>
      </w:pPr>
      <w:rPr>
        <w:rFonts w:ascii="Symbol" w:hAnsi="Symbol" w:hint="default"/>
      </w:rPr>
    </w:lvl>
    <w:lvl w:ilvl="4" w:tplc="040C0003" w:tentative="1">
      <w:start w:val="1"/>
      <w:numFmt w:val="bullet"/>
      <w:lvlText w:val="o"/>
      <w:lvlJc w:val="left"/>
      <w:pPr>
        <w:ind w:left="4266" w:hanging="360"/>
      </w:pPr>
      <w:rPr>
        <w:rFonts w:ascii="Courier New" w:hAnsi="Courier New" w:cs="Courier New" w:hint="default"/>
      </w:rPr>
    </w:lvl>
    <w:lvl w:ilvl="5" w:tplc="040C0005" w:tentative="1">
      <w:start w:val="1"/>
      <w:numFmt w:val="bullet"/>
      <w:lvlText w:val=""/>
      <w:lvlJc w:val="left"/>
      <w:pPr>
        <w:ind w:left="4986" w:hanging="360"/>
      </w:pPr>
      <w:rPr>
        <w:rFonts w:ascii="Wingdings" w:hAnsi="Wingdings" w:hint="default"/>
      </w:rPr>
    </w:lvl>
    <w:lvl w:ilvl="6" w:tplc="040C0001" w:tentative="1">
      <w:start w:val="1"/>
      <w:numFmt w:val="bullet"/>
      <w:lvlText w:val=""/>
      <w:lvlJc w:val="left"/>
      <w:pPr>
        <w:ind w:left="5706" w:hanging="360"/>
      </w:pPr>
      <w:rPr>
        <w:rFonts w:ascii="Symbol" w:hAnsi="Symbol" w:hint="default"/>
      </w:rPr>
    </w:lvl>
    <w:lvl w:ilvl="7" w:tplc="040C0003" w:tentative="1">
      <w:start w:val="1"/>
      <w:numFmt w:val="bullet"/>
      <w:lvlText w:val="o"/>
      <w:lvlJc w:val="left"/>
      <w:pPr>
        <w:ind w:left="6426" w:hanging="360"/>
      </w:pPr>
      <w:rPr>
        <w:rFonts w:ascii="Courier New" w:hAnsi="Courier New" w:cs="Courier New" w:hint="default"/>
      </w:rPr>
    </w:lvl>
    <w:lvl w:ilvl="8" w:tplc="040C0005" w:tentative="1">
      <w:start w:val="1"/>
      <w:numFmt w:val="bullet"/>
      <w:lvlText w:val=""/>
      <w:lvlJc w:val="left"/>
      <w:pPr>
        <w:ind w:left="7146" w:hanging="360"/>
      </w:pPr>
      <w:rPr>
        <w:rFonts w:ascii="Wingdings" w:hAnsi="Wingdings" w:hint="default"/>
      </w:rPr>
    </w:lvl>
  </w:abstractNum>
  <w:abstractNum w:abstractNumId="138" w15:restartNumberingAfterBreak="0">
    <w:nsid w:val="53496D18"/>
    <w:multiLevelType w:val="hybridMultilevel"/>
    <w:tmpl w:val="1EFADF92"/>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39" w15:restartNumberingAfterBreak="0">
    <w:nsid w:val="53604054"/>
    <w:multiLevelType w:val="hybridMultilevel"/>
    <w:tmpl w:val="4C469D6E"/>
    <w:lvl w:ilvl="0" w:tplc="0A20D51A">
      <w:start w:val="1"/>
      <w:numFmt w:val="bullet"/>
      <w:lvlText w:val="-"/>
      <w:lvlJc w:val="left"/>
      <w:pPr>
        <w:ind w:left="720" w:hanging="360"/>
      </w:pPr>
      <w:rPr>
        <w:rFonts w:ascii="Times New Roman" w:eastAsiaTheme="minorHAnsi" w:hAnsi="Times New Roman" w:cs="Times New Roman" w:hint="default"/>
        <w:i w:val="0"/>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0" w15:restartNumberingAfterBreak="0">
    <w:nsid w:val="536A53EA"/>
    <w:multiLevelType w:val="hybridMultilevel"/>
    <w:tmpl w:val="ED269290"/>
    <w:lvl w:ilvl="0" w:tplc="08669418">
      <w:start w:val="2"/>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1" w15:restartNumberingAfterBreak="0">
    <w:nsid w:val="540936D1"/>
    <w:multiLevelType w:val="hybridMultilevel"/>
    <w:tmpl w:val="5916234E"/>
    <w:lvl w:ilvl="0" w:tplc="040C000D">
      <w:start w:val="1"/>
      <w:numFmt w:val="decimal"/>
      <w:pStyle w:val="Numero3Liste"/>
      <w:lvlText w:val="%1."/>
      <w:lvlJc w:val="left"/>
      <w:pPr>
        <w:tabs>
          <w:tab w:val="num" w:pos="964"/>
        </w:tabs>
        <w:ind w:left="964" w:hanging="397"/>
      </w:pPr>
      <w:rPr>
        <w:rFonts w:ascii="Arial" w:hAnsi="Arial" w:hint="default"/>
        <w:b/>
        <w:i w:val="0"/>
        <w:sz w:val="22"/>
      </w:rPr>
    </w:lvl>
    <w:lvl w:ilvl="1" w:tplc="040C0003" w:tentative="1">
      <w:start w:val="1"/>
      <w:numFmt w:val="lowerLetter"/>
      <w:lvlText w:val="%2."/>
      <w:lvlJc w:val="left"/>
      <w:pPr>
        <w:tabs>
          <w:tab w:val="num" w:pos="1440"/>
        </w:tabs>
        <w:ind w:left="1440" w:hanging="360"/>
      </w:pPr>
    </w:lvl>
    <w:lvl w:ilvl="2" w:tplc="040C0005" w:tentative="1">
      <w:start w:val="1"/>
      <w:numFmt w:val="lowerRoman"/>
      <w:lvlText w:val="%3."/>
      <w:lvlJc w:val="right"/>
      <w:pPr>
        <w:tabs>
          <w:tab w:val="num" w:pos="2160"/>
        </w:tabs>
        <w:ind w:left="2160" w:hanging="180"/>
      </w:pPr>
    </w:lvl>
    <w:lvl w:ilvl="3" w:tplc="040C0001" w:tentative="1">
      <w:start w:val="1"/>
      <w:numFmt w:val="decimal"/>
      <w:lvlText w:val="%4."/>
      <w:lvlJc w:val="left"/>
      <w:pPr>
        <w:tabs>
          <w:tab w:val="num" w:pos="2880"/>
        </w:tabs>
        <w:ind w:left="2880" w:hanging="360"/>
      </w:pPr>
    </w:lvl>
    <w:lvl w:ilvl="4" w:tplc="040C0003" w:tentative="1">
      <w:start w:val="1"/>
      <w:numFmt w:val="lowerLetter"/>
      <w:lvlText w:val="%5."/>
      <w:lvlJc w:val="left"/>
      <w:pPr>
        <w:tabs>
          <w:tab w:val="num" w:pos="3600"/>
        </w:tabs>
        <w:ind w:left="3600" w:hanging="360"/>
      </w:pPr>
    </w:lvl>
    <w:lvl w:ilvl="5" w:tplc="040C0005" w:tentative="1">
      <w:start w:val="1"/>
      <w:numFmt w:val="lowerRoman"/>
      <w:lvlText w:val="%6."/>
      <w:lvlJc w:val="right"/>
      <w:pPr>
        <w:tabs>
          <w:tab w:val="num" w:pos="4320"/>
        </w:tabs>
        <w:ind w:left="4320" w:hanging="180"/>
      </w:pPr>
    </w:lvl>
    <w:lvl w:ilvl="6" w:tplc="040C0001" w:tentative="1">
      <w:start w:val="1"/>
      <w:numFmt w:val="decimal"/>
      <w:lvlText w:val="%7."/>
      <w:lvlJc w:val="left"/>
      <w:pPr>
        <w:tabs>
          <w:tab w:val="num" w:pos="5040"/>
        </w:tabs>
        <w:ind w:left="5040" w:hanging="360"/>
      </w:pPr>
    </w:lvl>
    <w:lvl w:ilvl="7" w:tplc="040C0003" w:tentative="1">
      <w:start w:val="1"/>
      <w:numFmt w:val="lowerLetter"/>
      <w:lvlText w:val="%8."/>
      <w:lvlJc w:val="left"/>
      <w:pPr>
        <w:tabs>
          <w:tab w:val="num" w:pos="5760"/>
        </w:tabs>
        <w:ind w:left="5760" w:hanging="360"/>
      </w:pPr>
    </w:lvl>
    <w:lvl w:ilvl="8" w:tplc="040C0005" w:tentative="1">
      <w:start w:val="1"/>
      <w:numFmt w:val="lowerRoman"/>
      <w:lvlText w:val="%9."/>
      <w:lvlJc w:val="right"/>
      <w:pPr>
        <w:tabs>
          <w:tab w:val="num" w:pos="6480"/>
        </w:tabs>
        <w:ind w:left="6480" w:hanging="180"/>
      </w:pPr>
    </w:lvl>
  </w:abstractNum>
  <w:abstractNum w:abstractNumId="142" w15:restartNumberingAfterBreak="0">
    <w:nsid w:val="54E51B59"/>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3" w15:restartNumberingAfterBreak="0">
    <w:nsid w:val="561072A5"/>
    <w:multiLevelType w:val="multilevel"/>
    <w:tmpl w:val="513C0502"/>
    <w:lvl w:ilvl="0">
      <w:start w:val="1"/>
      <w:numFmt w:val="decimal"/>
      <w:lvlText w:val="%1."/>
      <w:lvlJc w:val="left"/>
      <w:pPr>
        <w:ind w:left="720" w:hanging="360"/>
      </w:pPr>
      <w:rPr>
        <w:rFonts w:hint="default"/>
      </w:rPr>
    </w:lvl>
    <w:lvl w:ilvl="1">
      <w:start w:val="1"/>
      <w:numFmt w:val="decimal"/>
      <w:pStyle w:val="Titre11"/>
      <w:isLgl/>
      <w:lvlText w:val="%1.%2."/>
      <w:lvlJc w:val="left"/>
      <w:pPr>
        <w:ind w:left="1080" w:hanging="720"/>
      </w:pPr>
      <w:rPr>
        <w:rFonts w:hint="default"/>
      </w:rPr>
    </w:lvl>
    <w:lvl w:ilvl="2">
      <w:start w:val="1"/>
      <w:numFmt w:val="decimal"/>
      <w:isLgl/>
      <w:lvlText w:val="%1.%2.%3."/>
      <w:lvlJc w:val="left"/>
      <w:pPr>
        <w:ind w:left="1146" w:hanging="720"/>
      </w:pPr>
      <w:rPr>
        <w:rFonts w:hint="default"/>
      </w:rPr>
    </w:lvl>
    <w:lvl w:ilvl="3">
      <w:start w:val="1"/>
      <w:numFmt w:val="decimal"/>
      <w:pStyle w:val="Titre1111"/>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44" w15:restartNumberingAfterBreak="0">
    <w:nsid w:val="57EE7E2D"/>
    <w:multiLevelType w:val="hybridMultilevel"/>
    <w:tmpl w:val="A6B61C0E"/>
    <w:lvl w:ilvl="0" w:tplc="2000000D">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45" w15:restartNumberingAfterBreak="0">
    <w:nsid w:val="5825557A"/>
    <w:multiLevelType w:val="hybridMultilevel"/>
    <w:tmpl w:val="F39C3BA6"/>
    <w:lvl w:ilvl="0" w:tplc="5044CE90">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6" w15:restartNumberingAfterBreak="0">
    <w:nsid w:val="59013154"/>
    <w:multiLevelType w:val="hybridMultilevel"/>
    <w:tmpl w:val="48A0B54C"/>
    <w:lvl w:ilvl="0" w:tplc="040C001B">
      <w:start w:val="1"/>
      <w:numFmt w:val="lowerRoman"/>
      <w:lvlText w:val="%1."/>
      <w:lvlJc w:val="right"/>
      <w:pPr>
        <w:ind w:left="2149" w:hanging="360"/>
      </w:pPr>
      <w:rPr>
        <w:i w:val="0"/>
        <w:iCs w:val="0"/>
      </w:rPr>
    </w:lvl>
    <w:lvl w:ilvl="1" w:tplc="040C0019" w:tentative="1">
      <w:start w:val="1"/>
      <w:numFmt w:val="lowerLetter"/>
      <w:lvlText w:val="%2."/>
      <w:lvlJc w:val="left"/>
      <w:pPr>
        <w:ind w:left="2869" w:hanging="360"/>
      </w:pPr>
    </w:lvl>
    <w:lvl w:ilvl="2" w:tplc="040C001B" w:tentative="1">
      <w:start w:val="1"/>
      <w:numFmt w:val="lowerRoman"/>
      <w:lvlText w:val="%3."/>
      <w:lvlJc w:val="right"/>
      <w:pPr>
        <w:ind w:left="3589" w:hanging="180"/>
      </w:pPr>
    </w:lvl>
    <w:lvl w:ilvl="3" w:tplc="040C000F" w:tentative="1">
      <w:start w:val="1"/>
      <w:numFmt w:val="decimal"/>
      <w:lvlText w:val="%4."/>
      <w:lvlJc w:val="left"/>
      <w:pPr>
        <w:ind w:left="4309" w:hanging="360"/>
      </w:pPr>
    </w:lvl>
    <w:lvl w:ilvl="4" w:tplc="040C0019" w:tentative="1">
      <w:start w:val="1"/>
      <w:numFmt w:val="lowerLetter"/>
      <w:lvlText w:val="%5."/>
      <w:lvlJc w:val="left"/>
      <w:pPr>
        <w:ind w:left="5029" w:hanging="360"/>
      </w:pPr>
    </w:lvl>
    <w:lvl w:ilvl="5" w:tplc="040C001B" w:tentative="1">
      <w:start w:val="1"/>
      <w:numFmt w:val="lowerRoman"/>
      <w:lvlText w:val="%6."/>
      <w:lvlJc w:val="right"/>
      <w:pPr>
        <w:ind w:left="5749" w:hanging="180"/>
      </w:pPr>
    </w:lvl>
    <w:lvl w:ilvl="6" w:tplc="040C000F" w:tentative="1">
      <w:start w:val="1"/>
      <w:numFmt w:val="decimal"/>
      <w:lvlText w:val="%7."/>
      <w:lvlJc w:val="left"/>
      <w:pPr>
        <w:ind w:left="6469" w:hanging="360"/>
      </w:pPr>
    </w:lvl>
    <w:lvl w:ilvl="7" w:tplc="040C0019" w:tentative="1">
      <w:start w:val="1"/>
      <w:numFmt w:val="lowerLetter"/>
      <w:lvlText w:val="%8."/>
      <w:lvlJc w:val="left"/>
      <w:pPr>
        <w:ind w:left="7189" w:hanging="360"/>
      </w:pPr>
    </w:lvl>
    <w:lvl w:ilvl="8" w:tplc="040C001B" w:tentative="1">
      <w:start w:val="1"/>
      <w:numFmt w:val="lowerRoman"/>
      <w:lvlText w:val="%9."/>
      <w:lvlJc w:val="right"/>
      <w:pPr>
        <w:ind w:left="7909" w:hanging="180"/>
      </w:pPr>
    </w:lvl>
  </w:abstractNum>
  <w:abstractNum w:abstractNumId="147" w15:restartNumberingAfterBreak="0">
    <w:nsid w:val="59C81EEF"/>
    <w:multiLevelType w:val="hybridMultilevel"/>
    <w:tmpl w:val="5B2CFF22"/>
    <w:lvl w:ilvl="0" w:tplc="AFFE1BBC">
      <w:start w:val="1"/>
      <w:numFmt w:val="lowerLetter"/>
      <w:pStyle w:val="Listelettres"/>
      <w:lvlText w:val="%1)"/>
      <w:lvlJc w:val="left"/>
      <w:pPr>
        <w:tabs>
          <w:tab w:val="num" w:pos="340"/>
        </w:tabs>
        <w:ind w:left="340" w:hanging="340"/>
      </w:pPr>
      <w:rPr>
        <w:rFonts w:ascii="Arial Gras" w:hAnsi="Arial Gras" w:cs="Times New Roman" w:hint="default"/>
        <w:b/>
        <w:i w:val="0"/>
        <w:color w:val="333333"/>
        <w:sz w:val="18"/>
        <w:szCs w:val="18"/>
      </w:rPr>
    </w:lvl>
    <w:lvl w:ilvl="1" w:tplc="040C0019" w:tentative="1">
      <w:start w:val="1"/>
      <w:numFmt w:val="lowerLetter"/>
      <w:lvlText w:val="%2."/>
      <w:lvlJc w:val="left"/>
      <w:pPr>
        <w:tabs>
          <w:tab w:val="num" w:pos="1440"/>
        </w:tabs>
        <w:ind w:left="1440" w:hanging="360"/>
      </w:pPr>
      <w:rPr>
        <w:rFonts w:cs="Times New Roman"/>
      </w:rPr>
    </w:lvl>
    <w:lvl w:ilvl="2" w:tplc="040C001B" w:tentative="1">
      <w:start w:val="1"/>
      <w:numFmt w:val="lowerRoman"/>
      <w:lvlText w:val="%3."/>
      <w:lvlJc w:val="right"/>
      <w:pPr>
        <w:tabs>
          <w:tab w:val="num" w:pos="2160"/>
        </w:tabs>
        <w:ind w:left="2160" w:hanging="180"/>
      </w:pPr>
      <w:rPr>
        <w:rFonts w:cs="Times New Roman"/>
      </w:rPr>
    </w:lvl>
    <w:lvl w:ilvl="3" w:tplc="040C000F" w:tentative="1">
      <w:start w:val="1"/>
      <w:numFmt w:val="decimal"/>
      <w:lvlText w:val="%4."/>
      <w:lvlJc w:val="left"/>
      <w:pPr>
        <w:tabs>
          <w:tab w:val="num" w:pos="2880"/>
        </w:tabs>
        <w:ind w:left="2880" w:hanging="360"/>
      </w:pPr>
      <w:rPr>
        <w:rFonts w:cs="Times New Roman"/>
      </w:rPr>
    </w:lvl>
    <w:lvl w:ilvl="4" w:tplc="040C0019" w:tentative="1">
      <w:start w:val="1"/>
      <w:numFmt w:val="lowerLetter"/>
      <w:lvlText w:val="%5."/>
      <w:lvlJc w:val="left"/>
      <w:pPr>
        <w:tabs>
          <w:tab w:val="num" w:pos="3600"/>
        </w:tabs>
        <w:ind w:left="3600" w:hanging="360"/>
      </w:pPr>
      <w:rPr>
        <w:rFonts w:cs="Times New Roman"/>
      </w:rPr>
    </w:lvl>
    <w:lvl w:ilvl="5" w:tplc="040C001B" w:tentative="1">
      <w:start w:val="1"/>
      <w:numFmt w:val="lowerRoman"/>
      <w:lvlText w:val="%6."/>
      <w:lvlJc w:val="right"/>
      <w:pPr>
        <w:tabs>
          <w:tab w:val="num" w:pos="4320"/>
        </w:tabs>
        <w:ind w:left="4320" w:hanging="180"/>
      </w:pPr>
      <w:rPr>
        <w:rFonts w:cs="Times New Roman"/>
      </w:rPr>
    </w:lvl>
    <w:lvl w:ilvl="6" w:tplc="040C000F" w:tentative="1">
      <w:start w:val="1"/>
      <w:numFmt w:val="decimal"/>
      <w:lvlText w:val="%7."/>
      <w:lvlJc w:val="left"/>
      <w:pPr>
        <w:tabs>
          <w:tab w:val="num" w:pos="5040"/>
        </w:tabs>
        <w:ind w:left="5040" w:hanging="360"/>
      </w:pPr>
      <w:rPr>
        <w:rFonts w:cs="Times New Roman"/>
      </w:rPr>
    </w:lvl>
    <w:lvl w:ilvl="7" w:tplc="040C0019" w:tentative="1">
      <w:start w:val="1"/>
      <w:numFmt w:val="lowerLetter"/>
      <w:lvlText w:val="%8."/>
      <w:lvlJc w:val="left"/>
      <w:pPr>
        <w:tabs>
          <w:tab w:val="num" w:pos="5760"/>
        </w:tabs>
        <w:ind w:left="5760" w:hanging="360"/>
      </w:pPr>
      <w:rPr>
        <w:rFonts w:cs="Times New Roman"/>
      </w:rPr>
    </w:lvl>
    <w:lvl w:ilvl="8" w:tplc="040C001B" w:tentative="1">
      <w:start w:val="1"/>
      <w:numFmt w:val="lowerRoman"/>
      <w:lvlText w:val="%9."/>
      <w:lvlJc w:val="right"/>
      <w:pPr>
        <w:tabs>
          <w:tab w:val="num" w:pos="6480"/>
        </w:tabs>
        <w:ind w:left="6480" w:hanging="180"/>
      </w:pPr>
      <w:rPr>
        <w:rFonts w:cs="Times New Roman"/>
      </w:rPr>
    </w:lvl>
  </w:abstractNum>
  <w:abstractNum w:abstractNumId="148" w15:restartNumberingAfterBreak="0">
    <w:nsid w:val="5A2F0D46"/>
    <w:multiLevelType w:val="hybridMultilevel"/>
    <w:tmpl w:val="D2C08A8C"/>
    <w:lvl w:ilvl="0" w:tplc="2000000D">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49" w15:restartNumberingAfterBreak="0">
    <w:nsid w:val="5AF770FF"/>
    <w:multiLevelType w:val="hybridMultilevel"/>
    <w:tmpl w:val="520C1DC2"/>
    <w:lvl w:ilvl="0" w:tplc="6632EEE8">
      <w:start w:val="1"/>
      <w:numFmt w:val="bullet"/>
      <w:lvlText w:val=""/>
      <w:lvlJc w:val="left"/>
      <w:rPr>
        <w:rFonts w:ascii="Symbol" w:hAnsi="Symbol" w:hint="default"/>
      </w:rPr>
    </w:lvl>
    <w:lvl w:ilvl="1" w:tplc="040C0003">
      <w:numFmt w:val="decimal"/>
      <w:lvlText w:val=""/>
      <w:lvlJc w:val="left"/>
    </w:lvl>
    <w:lvl w:ilvl="2" w:tplc="040C0005">
      <w:numFmt w:val="decimal"/>
      <w:lvlText w:val=""/>
      <w:lvlJc w:val="left"/>
    </w:lvl>
    <w:lvl w:ilvl="3" w:tplc="040C0001">
      <w:numFmt w:val="decimal"/>
      <w:lvlText w:val=""/>
      <w:lvlJc w:val="left"/>
    </w:lvl>
    <w:lvl w:ilvl="4" w:tplc="040C0003">
      <w:numFmt w:val="decimal"/>
      <w:lvlText w:val=""/>
      <w:lvlJc w:val="left"/>
    </w:lvl>
    <w:lvl w:ilvl="5" w:tplc="040C0005">
      <w:numFmt w:val="decimal"/>
      <w:lvlText w:val=""/>
      <w:lvlJc w:val="left"/>
    </w:lvl>
    <w:lvl w:ilvl="6" w:tplc="040C0001">
      <w:numFmt w:val="decimal"/>
      <w:lvlText w:val=""/>
      <w:lvlJc w:val="left"/>
    </w:lvl>
    <w:lvl w:ilvl="7" w:tplc="040C0003">
      <w:numFmt w:val="decimal"/>
      <w:lvlText w:val=""/>
      <w:lvlJc w:val="left"/>
    </w:lvl>
    <w:lvl w:ilvl="8" w:tplc="040C0005">
      <w:numFmt w:val="decimal"/>
      <w:lvlText w:val=""/>
      <w:lvlJc w:val="left"/>
    </w:lvl>
  </w:abstractNum>
  <w:abstractNum w:abstractNumId="150" w15:restartNumberingAfterBreak="0">
    <w:nsid w:val="5B97777D"/>
    <w:multiLevelType w:val="hybridMultilevel"/>
    <w:tmpl w:val="E02803B2"/>
    <w:lvl w:ilvl="0" w:tplc="FF30A354">
      <w:start w:val="1"/>
      <w:numFmt w:val="decimal"/>
      <w:lvlText w:val="(%1)"/>
      <w:lvlJc w:val="left"/>
      <w:pPr>
        <w:ind w:left="720" w:hanging="360"/>
      </w:pPr>
      <w:rPr>
        <w:rFonts w:ascii="Times New Roman" w:eastAsia="Calibri" w:hAnsi="Times New Roman" w:cs="Times New Roman"/>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1" w15:restartNumberingAfterBreak="0">
    <w:nsid w:val="5C6C7048"/>
    <w:multiLevelType w:val="hybridMultilevel"/>
    <w:tmpl w:val="3D9E496E"/>
    <w:lvl w:ilvl="0" w:tplc="040C0015">
      <w:start w:val="1"/>
      <w:numFmt w:val="upp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2" w15:restartNumberingAfterBreak="0">
    <w:nsid w:val="5CA330C3"/>
    <w:multiLevelType w:val="hybridMultilevel"/>
    <w:tmpl w:val="B0A64970"/>
    <w:lvl w:ilvl="0" w:tplc="040C0017">
      <w:start w:val="1"/>
      <w:numFmt w:val="lowerLetter"/>
      <w:pStyle w:val="Grillemoyenne21"/>
      <w:lvlText w:val="%1)"/>
      <w:lvlJc w:val="left"/>
      <w:pPr>
        <w:ind w:left="3479" w:hanging="360"/>
      </w:pPr>
    </w:lvl>
    <w:lvl w:ilvl="1" w:tplc="040C0019" w:tentative="1">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153" w15:restartNumberingAfterBreak="0">
    <w:nsid w:val="5CD5296F"/>
    <w:multiLevelType w:val="hybridMultilevel"/>
    <w:tmpl w:val="50345808"/>
    <w:lvl w:ilvl="0" w:tplc="040C0017">
      <w:start w:val="1"/>
      <w:numFmt w:val="lowerLetter"/>
      <w:lvlText w:val="%1)"/>
      <w:lvlJc w:val="left"/>
      <w:pPr>
        <w:ind w:left="2126" w:hanging="360"/>
      </w:pPr>
    </w:lvl>
    <w:lvl w:ilvl="1" w:tplc="040C0019" w:tentative="1">
      <w:start w:val="1"/>
      <w:numFmt w:val="lowerLetter"/>
      <w:lvlText w:val="%2."/>
      <w:lvlJc w:val="left"/>
      <w:pPr>
        <w:ind w:left="2846" w:hanging="360"/>
      </w:pPr>
    </w:lvl>
    <w:lvl w:ilvl="2" w:tplc="040C001B" w:tentative="1">
      <w:start w:val="1"/>
      <w:numFmt w:val="lowerRoman"/>
      <w:lvlText w:val="%3."/>
      <w:lvlJc w:val="right"/>
      <w:pPr>
        <w:ind w:left="3566" w:hanging="180"/>
      </w:pPr>
    </w:lvl>
    <w:lvl w:ilvl="3" w:tplc="040C000F" w:tentative="1">
      <w:start w:val="1"/>
      <w:numFmt w:val="decimal"/>
      <w:lvlText w:val="%4."/>
      <w:lvlJc w:val="left"/>
      <w:pPr>
        <w:ind w:left="4286" w:hanging="360"/>
      </w:pPr>
    </w:lvl>
    <w:lvl w:ilvl="4" w:tplc="040C0019" w:tentative="1">
      <w:start w:val="1"/>
      <w:numFmt w:val="lowerLetter"/>
      <w:lvlText w:val="%5."/>
      <w:lvlJc w:val="left"/>
      <w:pPr>
        <w:ind w:left="5006" w:hanging="360"/>
      </w:pPr>
    </w:lvl>
    <w:lvl w:ilvl="5" w:tplc="040C001B" w:tentative="1">
      <w:start w:val="1"/>
      <w:numFmt w:val="lowerRoman"/>
      <w:lvlText w:val="%6."/>
      <w:lvlJc w:val="right"/>
      <w:pPr>
        <w:ind w:left="5726" w:hanging="180"/>
      </w:pPr>
    </w:lvl>
    <w:lvl w:ilvl="6" w:tplc="040C000F" w:tentative="1">
      <w:start w:val="1"/>
      <w:numFmt w:val="decimal"/>
      <w:lvlText w:val="%7."/>
      <w:lvlJc w:val="left"/>
      <w:pPr>
        <w:ind w:left="6446" w:hanging="360"/>
      </w:pPr>
    </w:lvl>
    <w:lvl w:ilvl="7" w:tplc="040C0019" w:tentative="1">
      <w:start w:val="1"/>
      <w:numFmt w:val="lowerLetter"/>
      <w:lvlText w:val="%8."/>
      <w:lvlJc w:val="left"/>
      <w:pPr>
        <w:ind w:left="7166" w:hanging="360"/>
      </w:pPr>
    </w:lvl>
    <w:lvl w:ilvl="8" w:tplc="040C001B" w:tentative="1">
      <w:start w:val="1"/>
      <w:numFmt w:val="lowerRoman"/>
      <w:lvlText w:val="%9."/>
      <w:lvlJc w:val="right"/>
      <w:pPr>
        <w:ind w:left="7886" w:hanging="180"/>
      </w:pPr>
    </w:lvl>
  </w:abstractNum>
  <w:abstractNum w:abstractNumId="154" w15:restartNumberingAfterBreak="0">
    <w:nsid w:val="5CE506FF"/>
    <w:multiLevelType w:val="hybridMultilevel"/>
    <w:tmpl w:val="08A6222E"/>
    <w:lvl w:ilvl="0" w:tplc="257C7F84">
      <w:start w:val="1"/>
      <w:numFmt w:val="bullet"/>
      <w:lvlText w:val="-"/>
      <w:lvlJc w:val="left"/>
      <w:pPr>
        <w:tabs>
          <w:tab w:val="num" w:pos="720"/>
        </w:tabs>
        <w:ind w:left="720" w:hanging="360"/>
      </w:pPr>
      <w:rPr>
        <w:rFonts w:ascii="Times New Roman" w:eastAsia="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55" w15:restartNumberingAfterBreak="0">
    <w:nsid w:val="5D584718"/>
    <w:multiLevelType w:val="hybridMultilevel"/>
    <w:tmpl w:val="53369EAA"/>
    <w:lvl w:ilvl="0" w:tplc="7806DD60">
      <w:start w:val="1"/>
      <w:numFmt w:val="bullet"/>
      <w:lvlText w:val="·"/>
      <w:lvlJc w:val="left"/>
      <w:pPr>
        <w:ind w:left="720" w:hanging="360"/>
      </w:pPr>
      <w:rPr>
        <w:rFonts w:ascii="Symbol" w:hAnsi="Symbol" w:hint="default"/>
      </w:rPr>
    </w:lvl>
    <w:lvl w:ilvl="1" w:tplc="3CACF5A0">
      <w:start w:val="1"/>
      <w:numFmt w:val="bullet"/>
      <w:lvlText w:val="o"/>
      <w:lvlJc w:val="left"/>
      <w:pPr>
        <w:ind w:left="1440" w:hanging="360"/>
      </w:pPr>
      <w:rPr>
        <w:rFonts w:ascii="Courier New" w:hAnsi="Courier New" w:hint="default"/>
      </w:rPr>
    </w:lvl>
    <w:lvl w:ilvl="2" w:tplc="C298E8D4">
      <w:start w:val="1"/>
      <w:numFmt w:val="bullet"/>
      <w:lvlText w:val=""/>
      <w:lvlJc w:val="left"/>
      <w:pPr>
        <w:ind w:left="2160" w:hanging="360"/>
      </w:pPr>
      <w:rPr>
        <w:rFonts w:ascii="Wingdings" w:hAnsi="Wingdings" w:hint="default"/>
      </w:rPr>
    </w:lvl>
    <w:lvl w:ilvl="3" w:tplc="BD1A0844">
      <w:start w:val="1"/>
      <w:numFmt w:val="bullet"/>
      <w:lvlText w:val=""/>
      <w:lvlJc w:val="left"/>
      <w:pPr>
        <w:ind w:left="2880" w:hanging="360"/>
      </w:pPr>
      <w:rPr>
        <w:rFonts w:ascii="Symbol" w:hAnsi="Symbol" w:hint="default"/>
      </w:rPr>
    </w:lvl>
    <w:lvl w:ilvl="4" w:tplc="9D5EC208">
      <w:start w:val="1"/>
      <w:numFmt w:val="bullet"/>
      <w:lvlText w:val="o"/>
      <w:lvlJc w:val="left"/>
      <w:pPr>
        <w:ind w:left="3600" w:hanging="360"/>
      </w:pPr>
      <w:rPr>
        <w:rFonts w:ascii="Courier New" w:hAnsi="Courier New" w:hint="default"/>
      </w:rPr>
    </w:lvl>
    <w:lvl w:ilvl="5" w:tplc="6406CC78">
      <w:start w:val="1"/>
      <w:numFmt w:val="bullet"/>
      <w:lvlText w:val=""/>
      <w:lvlJc w:val="left"/>
      <w:pPr>
        <w:ind w:left="4320" w:hanging="360"/>
      </w:pPr>
      <w:rPr>
        <w:rFonts w:ascii="Wingdings" w:hAnsi="Wingdings" w:hint="default"/>
      </w:rPr>
    </w:lvl>
    <w:lvl w:ilvl="6" w:tplc="B3847E14">
      <w:start w:val="1"/>
      <w:numFmt w:val="bullet"/>
      <w:lvlText w:val=""/>
      <w:lvlJc w:val="left"/>
      <w:pPr>
        <w:ind w:left="5040" w:hanging="360"/>
      </w:pPr>
      <w:rPr>
        <w:rFonts w:ascii="Symbol" w:hAnsi="Symbol" w:hint="default"/>
      </w:rPr>
    </w:lvl>
    <w:lvl w:ilvl="7" w:tplc="2ACE9C26">
      <w:start w:val="1"/>
      <w:numFmt w:val="bullet"/>
      <w:lvlText w:val="o"/>
      <w:lvlJc w:val="left"/>
      <w:pPr>
        <w:ind w:left="5760" w:hanging="360"/>
      </w:pPr>
      <w:rPr>
        <w:rFonts w:ascii="Courier New" w:hAnsi="Courier New" w:hint="default"/>
      </w:rPr>
    </w:lvl>
    <w:lvl w:ilvl="8" w:tplc="EEFCE086">
      <w:start w:val="1"/>
      <w:numFmt w:val="bullet"/>
      <w:lvlText w:val=""/>
      <w:lvlJc w:val="left"/>
      <w:pPr>
        <w:ind w:left="6480" w:hanging="360"/>
      </w:pPr>
      <w:rPr>
        <w:rFonts w:ascii="Wingdings" w:hAnsi="Wingdings" w:hint="default"/>
      </w:rPr>
    </w:lvl>
  </w:abstractNum>
  <w:abstractNum w:abstractNumId="156" w15:restartNumberingAfterBreak="0">
    <w:nsid w:val="5DB07117"/>
    <w:multiLevelType w:val="hybridMultilevel"/>
    <w:tmpl w:val="90965D24"/>
    <w:styleLink w:val="WWNum321"/>
    <w:lvl w:ilvl="0" w:tplc="B5D8BE06">
      <w:start w:val="1"/>
      <w:numFmt w:val="bullet"/>
      <w:lvlText w:val=""/>
      <w:lvlJc w:val="left"/>
      <w:pPr>
        <w:ind w:left="720" w:hanging="360"/>
      </w:pPr>
      <w:rPr>
        <w:rFonts w:ascii="Symbol" w:hAnsi="Symbol" w:hint="default"/>
      </w:rPr>
    </w:lvl>
    <w:lvl w:ilvl="1" w:tplc="817E3AF6" w:tentative="1">
      <w:start w:val="1"/>
      <w:numFmt w:val="bullet"/>
      <w:lvlText w:val="o"/>
      <w:lvlJc w:val="left"/>
      <w:pPr>
        <w:ind w:left="1440" w:hanging="360"/>
      </w:pPr>
      <w:rPr>
        <w:rFonts w:ascii="Courier New" w:hAnsi="Courier New" w:cs="Courier New" w:hint="default"/>
      </w:rPr>
    </w:lvl>
    <w:lvl w:ilvl="2" w:tplc="6ED42F26" w:tentative="1">
      <w:start w:val="1"/>
      <w:numFmt w:val="bullet"/>
      <w:lvlText w:val=""/>
      <w:lvlJc w:val="left"/>
      <w:pPr>
        <w:ind w:left="2160" w:hanging="360"/>
      </w:pPr>
      <w:rPr>
        <w:rFonts w:ascii="Wingdings" w:hAnsi="Wingdings" w:hint="default"/>
      </w:rPr>
    </w:lvl>
    <w:lvl w:ilvl="3" w:tplc="20FCDB1C" w:tentative="1">
      <w:start w:val="1"/>
      <w:numFmt w:val="bullet"/>
      <w:lvlText w:val=""/>
      <w:lvlJc w:val="left"/>
      <w:pPr>
        <w:ind w:left="2880" w:hanging="360"/>
      </w:pPr>
      <w:rPr>
        <w:rFonts w:ascii="Symbol" w:hAnsi="Symbol" w:hint="default"/>
      </w:rPr>
    </w:lvl>
    <w:lvl w:ilvl="4" w:tplc="7E9A460A" w:tentative="1">
      <w:start w:val="1"/>
      <w:numFmt w:val="bullet"/>
      <w:lvlText w:val="o"/>
      <w:lvlJc w:val="left"/>
      <w:pPr>
        <w:ind w:left="3600" w:hanging="360"/>
      </w:pPr>
      <w:rPr>
        <w:rFonts w:ascii="Courier New" w:hAnsi="Courier New" w:cs="Courier New" w:hint="default"/>
      </w:rPr>
    </w:lvl>
    <w:lvl w:ilvl="5" w:tplc="50683C1A" w:tentative="1">
      <w:start w:val="1"/>
      <w:numFmt w:val="bullet"/>
      <w:lvlText w:val=""/>
      <w:lvlJc w:val="left"/>
      <w:pPr>
        <w:ind w:left="4320" w:hanging="360"/>
      </w:pPr>
      <w:rPr>
        <w:rFonts w:ascii="Wingdings" w:hAnsi="Wingdings" w:hint="default"/>
      </w:rPr>
    </w:lvl>
    <w:lvl w:ilvl="6" w:tplc="27623C50" w:tentative="1">
      <w:start w:val="1"/>
      <w:numFmt w:val="bullet"/>
      <w:lvlText w:val=""/>
      <w:lvlJc w:val="left"/>
      <w:pPr>
        <w:ind w:left="5040" w:hanging="360"/>
      </w:pPr>
      <w:rPr>
        <w:rFonts w:ascii="Symbol" w:hAnsi="Symbol" w:hint="default"/>
      </w:rPr>
    </w:lvl>
    <w:lvl w:ilvl="7" w:tplc="4422536C" w:tentative="1">
      <w:start w:val="1"/>
      <w:numFmt w:val="bullet"/>
      <w:lvlText w:val="o"/>
      <w:lvlJc w:val="left"/>
      <w:pPr>
        <w:ind w:left="5760" w:hanging="360"/>
      </w:pPr>
      <w:rPr>
        <w:rFonts w:ascii="Courier New" w:hAnsi="Courier New" w:cs="Courier New" w:hint="default"/>
      </w:rPr>
    </w:lvl>
    <w:lvl w:ilvl="8" w:tplc="CBFC15E6" w:tentative="1">
      <w:start w:val="1"/>
      <w:numFmt w:val="bullet"/>
      <w:lvlText w:val=""/>
      <w:lvlJc w:val="left"/>
      <w:pPr>
        <w:ind w:left="6480" w:hanging="360"/>
      </w:pPr>
      <w:rPr>
        <w:rFonts w:ascii="Wingdings" w:hAnsi="Wingdings" w:hint="default"/>
      </w:rPr>
    </w:lvl>
  </w:abstractNum>
  <w:abstractNum w:abstractNumId="157" w15:restartNumberingAfterBreak="0">
    <w:nsid w:val="5E4959A0"/>
    <w:multiLevelType w:val="multilevel"/>
    <w:tmpl w:val="551C6E82"/>
    <w:styleLink w:val="WWNum3"/>
    <w:lvl w:ilvl="0">
      <w:numFmt w:val="bullet"/>
      <w:lvlText w:val=""/>
      <w:lvlJc w:val="left"/>
      <w:pPr>
        <w:ind w:left="3195" w:hanging="360"/>
      </w:pPr>
      <w:rPr>
        <w:rFonts w:ascii="Symbol" w:hAnsi="Symbol"/>
      </w:rPr>
    </w:lvl>
    <w:lvl w:ilvl="1">
      <w:numFmt w:val="bullet"/>
      <w:lvlText w:val="o"/>
      <w:lvlJc w:val="left"/>
      <w:pPr>
        <w:ind w:left="4272" w:hanging="360"/>
      </w:pPr>
      <w:rPr>
        <w:rFonts w:ascii="Courier New" w:hAnsi="Courier New" w:cs="Courier New"/>
      </w:rPr>
    </w:lvl>
    <w:lvl w:ilvl="2">
      <w:numFmt w:val="bullet"/>
      <w:lvlText w:val=""/>
      <w:lvlJc w:val="left"/>
      <w:pPr>
        <w:ind w:left="4992" w:hanging="360"/>
      </w:pPr>
      <w:rPr>
        <w:rFonts w:ascii="Wingdings" w:hAnsi="Wingdings"/>
      </w:rPr>
    </w:lvl>
    <w:lvl w:ilvl="3">
      <w:numFmt w:val="bullet"/>
      <w:lvlText w:val=""/>
      <w:lvlJc w:val="left"/>
      <w:pPr>
        <w:ind w:left="5712" w:hanging="360"/>
      </w:pPr>
      <w:rPr>
        <w:rFonts w:ascii="Symbol" w:hAnsi="Symbol"/>
      </w:rPr>
    </w:lvl>
    <w:lvl w:ilvl="4">
      <w:numFmt w:val="bullet"/>
      <w:lvlText w:val="o"/>
      <w:lvlJc w:val="left"/>
      <w:pPr>
        <w:ind w:left="6432" w:hanging="360"/>
      </w:pPr>
      <w:rPr>
        <w:rFonts w:ascii="Courier New" w:hAnsi="Courier New" w:cs="Courier New"/>
      </w:rPr>
    </w:lvl>
    <w:lvl w:ilvl="5">
      <w:numFmt w:val="bullet"/>
      <w:lvlText w:val=""/>
      <w:lvlJc w:val="left"/>
      <w:pPr>
        <w:ind w:left="7152" w:hanging="360"/>
      </w:pPr>
      <w:rPr>
        <w:rFonts w:ascii="Wingdings" w:hAnsi="Wingdings"/>
      </w:rPr>
    </w:lvl>
    <w:lvl w:ilvl="6">
      <w:numFmt w:val="bullet"/>
      <w:lvlText w:val=""/>
      <w:lvlJc w:val="left"/>
      <w:pPr>
        <w:ind w:left="7872" w:hanging="360"/>
      </w:pPr>
      <w:rPr>
        <w:rFonts w:ascii="Symbol" w:hAnsi="Symbol"/>
      </w:rPr>
    </w:lvl>
    <w:lvl w:ilvl="7">
      <w:numFmt w:val="bullet"/>
      <w:lvlText w:val="o"/>
      <w:lvlJc w:val="left"/>
      <w:pPr>
        <w:ind w:left="8592" w:hanging="360"/>
      </w:pPr>
      <w:rPr>
        <w:rFonts w:ascii="Courier New" w:hAnsi="Courier New" w:cs="Courier New"/>
      </w:rPr>
    </w:lvl>
    <w:lvl w:ilvl="8">
      <w:numFmt w:val="bullet"/>
      <w:lvlText w:val=""/>
      <w:lvlJc w:val="left"/>
      <w:pPr>
        <w:ind w:left="9312" w:hanging="360"/>
      </w:pPr>
      <w:rPr>
        <w:rFonts w:ascii="Wingdings" w:hAnsi="Wingdings"/>
      </w:rPr>
    </w:lvl>
  </w:abstractNum>
  <w:abstractNum w:abstractNumId="158" w15:restartNumberingAfterBreak="0">
    <w:nsid w:val="604216E4"/>
    <w:multiLevelType w:val="multilevel"/>
    <w:tmpl w:val="B5782CC4"/>
    <w:lvl w:ilvl="0">
      <w:start w:val="3"/>
      <w:numFmt w:val="upperRoman"/>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none"/>
      <w:pStyle w:val="StyleTitre3Avant0cmPremireligne0cmCrnage16pt"/>
      <w:lvlText w:val="III.2,1"/>
      <w:lvlJc w:val="left"/>
      <w:pPr>
        <w:tabs>
          <w:tab w:val="num" w:pos="720"/>
        </w:tabs>
        <w:ind w:left="720" w:hanging="1440"/>
      </w:pPr>
      <w:rPr>
        <w:rFonts w:hint="default"/>
      </w:rPr>
    </w:lvl>
    <w:lvl w:ilvl="3">
      <w:start w:val="1"/>
      <w:numFmt w:val="decimal"/>
      <w:lvlText w:val="%1.%2.%3.%4"/>
      <w:lvlJc w:val="left"/>
      <w:pPr>
        <w:tabs>
          <w:tab w:val="num" w:pos="864"/>
        </w:tabs>
        <w:ind w:left="864" w:hanging="864"/>
      </w:pPr>
      <w:rPr>
        <w:rFonts w:hint="default"/>
      </w:rPr>
    </w:lvl>
    <w:lvl w:ilvl="4">
      <w:start w:val="1"/>
      <w:numFmt w:val="decimal"/>
      <w:pStyle w:val="StyleTitre3Avant0cmPremireligne0cmCrnage16pt"/>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59" w15:restartNumberingAfterBreak="0">
    <w:nsid w:val="61000156"/>
    <w:multiLevelType w:val="hybridMultilevel"/>
    <w:tmpl w:val="8A80FA10"/>
    <w:lvl w:ilvl="0" w:tplc="0540CC46">
      <w:start w:val="1"/>
      <w:numFmt w:val="bullet"/>
      <w:lvlText w:val=""/>
      <w:lvlJc w:val="left"/>
      <w:pPr>
        <w:ind w:left="1065" w:hanging="705"/>
      </w:pPr>
      <w:rPr>
        <w:rFonts w:ascii="Wingdings" w:hAnsi="Wingdings" w:hint="default"/>
        <w:color w:val="FF000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0" w15:restartNumberingAfterBreak="0">
    <w:nsid w:val="611B23DF"/>
    <w:multiLevelType w:val="hybridMultilevel"/>
    <w:tmpl w:val="48D0DABC"/>
    <w:lvl w:ilvl="0" w:tplc="EF94C942">
      <w:start w:val="1"/>
      <w:numFmt w:val="bullet"/>
      <w:pStyle w:val="Puce1"/>
      <w:lvlText w:val=""/>
      <w:lvlJc w:val="left"/>
      <w:pPr>
        <w:ind w:left="360" w:hanging="360"/>
      </w:pPr>
      <w:rPr>
        <w:rFonts w:ascii="Wingdings" w:hAnsi="Wingdings" w:hint="default"/>
        <w:sz w:val="24"/>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61" w15:restartNumberingAfterBreak="0">
    <w:nsid w:val="615013CA"/>
    <w:multiLevelType w:val="hybridMultilevel"/>
    <w:tmpl w:val="E4F63A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620E7336"/>
    <w:multiLevelType w:val="hybridMultilevel"/>
    <w:tmpl w:val="70B40F24"/>
    <w:lvl w:ilvl="0" w:tplc="040C0001">
      <w:start w:val="1"/>
      <w:numFmt w:val="bullet"/>
      <w:lvlText w:val=""/>
      <w:lvlJc w:val="left"/>
      <w:pPr>
        <w:ind w:left="720" w:hanging="360"/>
      </w:pPr>
      <w:rPr>
        <w:rFonts w:ascii="Symbol" w:hAnsi="Symbol" w:hint="default"/>
        <w:sz w:val="18"/>
        <w:szCs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3" w15:restartNumberingAfterBreak="0">
    <w:nsid w:val="63075FF4"/>
    <w:multiLevelType w:val="hybridMultilevel"/>
    <w:tmpl w:val="13002446"/>
    <w:lvl w:ilvl="0" w:tplc="D35E5D56">
      <w:start w:val="1"/>
      <w:numFmt w:val="decimal"/>
      <w:lvlText w:val="%1)"/>
      <w:lvlJc w:val="left"/>
      <w:pPr>
        <w:ind w:left="720" w:hanging="360"/>
      </w:pPr>
      <w:rPr>
        <w:rFonts w:hint="default"/>
        <w:b w:val="0"/>
        <w:bCs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4" w15:restartNumberingAfterBreak="0">
    <w:nsid w:val="648D3EE3"/>
    <w:multiLevelType w:val="hybridMultilevel"/>
    <w:tmpl w:val="E2DC8E82"/>
    <w:lvl w:ilvl="0" w:tplc="FE548F96">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5" w15:restartNumberingAfterBreak="0">
    <w:nsid w:val="65996192"/>
    <w:multiLevelType w:val="multilevel"/>
    <w:tmpl w:val="1B3AF4A6"/>
    <w:name w:val="ARTELIA"/>
    <w:lvl w:ilvl="0">
      <w:start w:val="1"/>
      <w:numFmt w:val="decimal"/>
      <w:lvlText w:val="%1."/>
      <w:lvlJc w:val="left"/>
      <w:pPr>
        <w:ind w:left="709" w:hanging="709"/>
      </w:pPr>
      <w:rPr>
        <w:rFonts w:ascii="Calibri" w:hAnsi="Calibri" w:hint="default"/>
        <w:b/>
        <w:i w:val="0"/>
        <w:caps/>
        <w:strike w:val="0"/>
        <w:dstrike w:val="0"/>
        <w:vanish w:val="0"/>
        <w:color w:val="0578A1"/>
        <w:sz w:val="32"/>
        <w:vertAlign w:val="baseline"/>
      </w:rPr>
    </w:lvl>
    <w:lvl w:ilvl="1">
      <w:start w:val="1"/>
      <w:numFmt w:val="decimal"/>
      <w:lvlText w:val="%1.%2."/>
      <w:lvlJc w:val="left"/>
      <w:pPr>
        <w:ind w:left="709" w:hanging="709"/>
      </w:pPr>
      <w:rPr>
        <w:rFonts w:ascii="Calibri" w:hAnsi="Calibri" w:hint="default"/>
        <w:b/>
        <w:i w:val="0"/>
        <w:caps/>
        <w:strike w:val="0"/>
        <w:dstrike w:val="0"/>
        <w:vanish w:val="0"/>
        <w:color w:val="44546A"/>
        <w:sz w:val="28"/>
        <w:vertAlign w:val="baseline"/>
      </w:rPr>
    </w:lvl>
    <w:lvl w:ilvl="2">
      <w:start w:val="1"/>
      <w:numFmt w:val="decimal"/>
      <w:lvlText w:val="%1.%2.%3. "/>
      <w:lvlJc w:val="left"/>
      <w:pPr>
        <w:ind w:left="709" w:hanging="709"/>
      </w:pPr>
      <w:rPr>
        <w:rFonts w:ascii="Calibri" w:hAnsi="Calibri" w:hint="default"/>
        <w:b/>
        <w:i w:val="0"/>
        <w:caps/>
        <w:strike w:val="0"/>
        <w:dstrike w:val="0"/>
        <w:vanish w:val="0"/>
        <w:color w:val="0578A1"/>
        <w:sz w:val="24"/>
        <w:vertAlign w:val="baseline"/>
      </w:rPr>
    </w:lvl>
    <w:lvl w:ilvl="3">
      <w:start w:val="1"/>
      <w:numFmt w:val="decimal"/>
      <w:lvlText w:val="%1.%2.%3.%4. "/>
      <w:lvlJc w:val="left"/>
      <w:pPr>
        <w:ind w:left="851" w:hanging="851"/>
      </w:pPr>
      <w:rPr>
        <w:rFonts w:ascii="Calibri" w:hAnsi="Calibri" w:hint="default"/>
        <w:b/>
        <w:i w:val="0"/>
        <w:color w:val="00355B"/>
        <w:sz w:val="22"/>
      </w:rPr>
    </w:lvl>
    <w:lvl w:ilvl="4">
      <w:start w:val="1"/>
      <w:numFmt w:val="none"/>
      <w:lvlRestart w:val="0"/>
      <w:lvlText w:val=""/>
      <w:lvlJc w:val="left"/>
      <w:pPr>
        <w:ind w:left="1440" w:hanging="1440"/>
      </w:pPr>
      <w:rPr>
        <w:rFonts w:ascii="Calibri Light" w:hAnsi="Calibri Light" w:hint="default"/>
        <w:b w:val="0"/>
        <w:i w:val="0"/>
        <w:caps w:val="0"/>
        <w:strike w:val="0"/>
        <w:dstrike w:val="0"/>
        <w:vanish w:val="0"/>
        <w:sz w:val="20"/>
        <w:vertAlign w:val="baseline"/>
      </w:rPr>
    </w:lvl>
    <w:lvl w:ilvl="5">
      <w:start w:val="1"/>
      <w:numFmt w:val="none"/>
      <w:lvlRestart w:val="0"/>
      <w:lvlText w:val=""/>
      <w:lvlJc w:val="left"/>
      <w:pPr>
        <w:ind w:left="1440" w:hanging="1440"/>
      </w:pPr>
      <w:rPr>
        <w:rFonts w:ascii="Calibri Light" w:hAnsi="Calibri Light" w:hint="default"/>
        <w:caps w:val="0"/>
        <w:strike w:val="0"/>
        <w:dstrike w:val="0"/>
        <w:vanish w:val="0"/>
        <w:sz w:val="20"/>
        <w:vertAlign w:val="baseline"/>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6" w15:restartNumberingAfterBreak="0">
    <w:nsid w:val="65B170DB"/>
    <w:multiLevelType w:val="hybridMultilevel"/>
    <w:tmpl w:val="BDA052F6"/>
    <w:lvl w:ilvl="0" w:tplc="5558A292">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7" w15:restartNumberingAfterBreak="0">
    <w:nsid w:val="67491DA5"/>
    <w:multiLevelType w:val="hybridMultilevel"/>
    <w:tmpl w:val="098EF19C"/>
    <w:lvl w:ilvl="0" w:tplc="2000000D">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68" w15:restartNumberingAfterBreak="0">
    <w:nsid w:val="676E29C1"/>
    <w:multiLevelType w:val="hybridMultilevel"/>
    <w:tmpl w:val="13561DCE"/>
    <w:lvl w:ilvl="0" w:tplc="2DCEC750">
      <w:start w:val="1"/>
      <w:numFmt w:val="upperRoman"/>
      <w:pStyle w:val="Section8Header1"/>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9" w15:restartNumberingAfterBreak="0">
    <w:nsid w:val="682D62B5"/>
    <w:multiLevelType w:val="hybridMultilevel"/>
    <w:tmpl w:val="F8BA8738"/>
    <w:lvl w:ilvl="0" w:tplc="1A4891FC">
      <w:start w:val="1"/>
      <w:numFmt w:val="bullet"/>
      <w:lvlText w:val=""/>
      <w:lvlJc w:val="left"/>
      <w:pPr>
        <w:ind w:left="1065" w:hanging="705"/>
      </w:pPr>
      <w:rPr>
        <w:rFonts w:ascii="Symbol" w:hAnsi="Symbol" w:hint="default"/>
        <w:color w:val="0070C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0" w15:restartNumberingAfterBreak="0">
    <w:nsid w:val="696D4F8F"/>
    <w:multiLevelType w:val="hybridMultilevel"/>
    <w:tmpl w:val="3F46E03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1" w15:restartNumberingAfterBreak="0">
    <w:nsid w:val="6B381CD5"/>
    <w:multiLevelType w:val="multilevel"/>
    <w:tmpl w:val="07AC8B66"/>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72" w15:restartNumberingAfterBreak="0">
    <w:nsid w:val="6CEE35EA"/>
    <w:multiLevelType w:val="hybridMultilevel"/>
    <w:tmpl w:val="06822366"/>
    <w:lvl w:ilvl="0" w:tplc="040C000D">
      <w:start w:val="1"/>
      <w:numFmt w:val="bullet"/>
      <w:pStyle w:val="Keyqualifications"/>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73" w15:restartNumberingAfterBreak="0">
    <w:nsid w:val="6DAA5E3E"/>
    <w:multiLevelType w:val="singleLevel"/>
    <w:tmpl w:val="F866FBA6"/>
    <w:lvl w:ilvl="0">
      <w:start w:val="1"/>
      <w:numFmt w:val="bullet"/>
      <w:pStyle w:val="Enumtiret3"/>
      <w:lvlText w:val=""/>
      <w:lvlJc w:val="left"/>
      <w:pPr>
        <w:tabs>
          <w:tab w:val="num" w:pos="360"/>
        </w:tabs>
        <w:ind w:left="284" w:hanging="284"/>
      </w:pPr>
      <w:rPr>
        <w:rFonts w:ascii="Symbol" w:hAnsi="Symbol" w:hint="default"/>
        <w:b/>
        <w:i w:val="0"/>
      </w:rPr>
    </w:lvl>
  </w:abstractNum>
  <w:abstractNum w:abstractNumId="174" w15:restartNumberingAfterBreak="0">
    <w:nsid w:val="701C3EFB"/>
    <w:multiLevelType w:val="hybridMultilevel"/>
    <w:tmpl w:val="C130DDAE"/>
    <w:lvl w:ilvl="0" w:tplc="C8529F7A">
      <w:start w:val="1"/>
      <w:numFmt w:val="bullet"/>
      <w:lvlText w:val="o"/>
      <w:lvlJc w:val="left"/>
      <w:pPr>
        <w:ind w:left="720" w:hanging="360"/>
      </w:pPr>
      <w:rPr>
        <w:rFonts w:ascii="Courier New" w:hAnsi="Courier New" w:cs="Courier New" w:hint="default"/>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15:restartNumberingAfterBreak="0">
    <w:nsid w:val="708567C4"/>
    <w:multiLevelType w:val="hybridMultilevel"/>
    <w:tmpl w:val="35205CFE"/>
    <w:lvl w:ilvl="0" w:tplc="9B7A2D5E">
      <w:start w:val="1"/>
      <w:numFmt w:val="decimal"/>
      <w:pStyle w:val="Numro1Liste"/>
      <w:lvlText w:val="%1."/>
      <w:lvlJc w:val="left"/>
      <w:pPr>
        <w:tabs>
          <w:tab w:val="num" w:pos="680"/>
        </w:tabs>
        <w:ind w:left="680" w:hanging="396"/>
      </w:pPr>
      <w:rPr>
        <w:rFonts w:ascii="Arial" w:hAnsi="Arial" w:hint="default"/>
        <w:b/>
        <w:i w:val="0"/>
        <w:sz w:val="22"/>
      </w:rPr>
    </w:lvl>
    <w:lvl w:ilvl="1" w:tplc="040C0003" w:tentative="1">
      <w:start w:val="1"/>
      <w:numFmt w:val="lowerLetter"/>
      <w:lvlText w:val="%2."/>
      <w:lvlJc w:val="left"/>
      <w:pPr>
        <w:tabs>
          <w:tab w:val="num" w:pos="1440"/>
        </w:tabs>
        <w:ind w:left="1440" w:hanging="360"/>
      </w:pPr>
    </w:lvl>
    <w:lvl w:ilvl="2" w:tplc="040C0005" w:tentative="1">
      <w:start w:val="1"/>
      <w:numFmt w:val="lowerRoman"/>
      <w:lvlText w:val="%3."/>
      <w:lvlJc w:val="right"/>
      <w:pPr>
        <w:tabs>
          <w:tab w:val="num" w:pos="2160"/>
        </w:tabs>
        <w:ind w:left="2160" w:hanging="180"/>
      </w:pPr>
    </w:lvl>
    <w:lvl w:ilvl="3" w:tplc="040C0001" w:tentative="1">
      <w:start w:val="1"/>
      <w:numFmt w:val="decimal"/>
      <w:lvlText w:val="%4."/>
      <w:lvlJc w:val="left"/>
      <w:pPr>
        <w:tabs>
          <w:tab w:val="num" w:pos="2880"/>
        </w:tabs>
        <w:ind w:left="2880" w:hanging="360"/>
      </w:pPr>
    </w:lvl>
    <w:lvl w:ilvl="4" w:tplc="040C0003" w:tentative="1">
      <w:start w:val="1"/>
      <w:numFmt w:val="lowerLetter"/>
      <w:lvlText w:val="%5."/>
      <w:lvlJc w:val="left"/>
      <w:pPr>
        <w:tabs>
          <w:tab w:val="num" w:pos="3600"/>
        </w:tabs>
        <w:ind w:left="3600" w:hanging="360"/>
      </w:pPr>
    </w:lvl>
    <w:lvl w:ilvl="5" w:tplc="040C0005" w:tentative="1">
      <w:start w:val="1"/>
      <w:numFmt w:val="lowerRoman"/>
      <w:lvlText w:val="%6."/>
      <w:lvlJc w:val="right"/>
      <w:pPr>
        <w:tabs>
          <w:tab w:val="num" w:pos="4320"/>
        </w:tabs>
        <w:ind w:left="4320" w:hanging="180"/>
      </w:pPr>
    </w:lvl>
    <w:lvl w:ilvl="6" w:tplc="040C0001" w:tentative="1">
      <w:start w:val="1"/>
      <w:numFmt w:val="decimal"/>
      <w:lvlText w:val="%7."/>
      <w:lvlJc w:val="left"/>
      <w:pPr>
        <w:tabs>
          <w:tab w:val="num" w:pos="5040"/>
        </w:tabs>
        <w:ind w:left="5040" w:hanging="360"/>
      </w:pPr>
    </w:lvl>
    <w:lvl w:ilvl="7" w:tplc="040C0003" w:tentative="1">
      <w:start w:val="1"/>
      <w:numFmt w:val="lowerLetter"/>
      <w:lvlText w:val="%8."/>
      <w:lvlJc w:val="left"/>
      <w:pPr>
        <w:tabs>
          <w:tab w:val="num" w:pos="5760"/>
        </w:tabs>
        <w:ind w:left="5760" w:hanging="360"/>
      </w:pPr>
    </w:lvl>
    <w:lvl w:ilvl="8" w:tplc="040C0005" w:tentative="1">
      <w:start w:val="1"/>
      <w:numFmt w:val="lowerRoman"/>
      <w:lvlText w:val="%9."/>
      <w:lvlJc w:val="right"/>
      <w:pPr>
        <w:tabs>
          <w:tab w:val="num" w:pos="6480"/>
        </w:tabs>
        <w:ind w:left="6480" w:hanging="180"/>
      </w:pPr>
    </w:lvl>
  </w:abstractNum>
  <w:abstractNum w:abstractNumId="176" w15:restartNumberingAfterBreak="0">
    <w:nsid w:val="710A6392"/>
    <w:multiLevelType w:val="hybridMultilevel"/>
    <w:tmpl w:val="52E212A6"/>
    <w:lvl w:ilvl="0" w:tplc="35043786">
      <w:start w:val="1"/>
      <w:numFmt w:val="bullet"/>
      <w:lvlText w:val=""/>
      <w:lvlJc w:val="left"/>
      <w:pPr>
        <w:ind w:left="1571" w:hanging="360"/>
      </w:pPr>
      <w:rPr>
        <w:rFonts w:ascii="Symbol" w:hAnsi="Symbol" w:hint="default"/>
        <w:sz w:val="18"/>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177" w15:restartNumberingAfterBreak="0">
    <w:nsid w:val="731D67ED"/>
    <w:multiLevelType w:val="hybridMultilevel"/>
    <w:tmpl w:val="611AA5DA"/>
    <w:lvl w:ilvl="0" w:tplc="0E68FC00">
      <w:start w:val="269"/>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8" w15:restartNumberingAfterBreak="0">
    <w:nsid w:val="734165D9"/>
    <w:multiLevelType w:val="singleLevel"/>
    <w:tmpl w:val="535EA63A"/>
    <w:lvl w:ilvl="0">
      <w:start w:val="1"/>
      <w:numFmt w:val="bullet"/>
      <w:pStyle w:val="Puce2Liste"/>
      <w:lvlText w:val=""/>
      <w:lvlJc w:val="left"/>
      <w:pPr>
        <w:tabs>
          <w:tab w:val="num" w:pos="927"/>
        </w:tabs>
        <w:ind w:left="850" w:hanging="283"/>
      </w:pPr>
      <w:rPr>
        <w:rFonts w:ascii="Symbol" w:hAnsi="Symbol" w:hint="default"/>
        <w:b/>
        <w:i w:val="0"/>
      </w:rPr>
    </w:lvl>
  </w:abstractNum>
  <w:abstractNum w:abstractNumId="179" w15:restartNumberingAfterBreak="0">
    <w:nsid w:val="736D5FCE"/>
    <w:multiLevelType w:val="singleLevel"/>
    <w:tmpl w:val="475CFB4E"/>
    <w:name w:val="Liste numérotée 2"/>
    <w:lvl w:ilvl="0">
      <w:numFmt w:val="bullet"/>
      <w:lvlText w:val="-"/>
      <w:lvlJc w:val="left"/>
      <w:pPr>
        <w:ind w:left="708" w:firstLine="0"/>
      </w:pPr>
    </w:lvl>
  </w:abstractNum>
  <w:abstractNum w:abstractNumId="180" w15:restartNumberingAfterBreak="0">
    <w:nsid w:val="73734BEE"/>
    <w:multiLevelType w:val="multilevel"/>
    <w:tmpl w:val="A18CF272"/>
    <w:lvl w:ilvl="0">
      <w:start w:val="1"/>
      <w:numFmt w:val="decimal"/>
      <w:pStyle w:val="EYnumlevel1"/>
      <w:lvlText w:val="%1"/>
      <w:lvlJc w:val="left"/>
      <w:pPr>
        <w:ind w:left="851" w:hanging="851"/>
      </w:pPr>
      <w:rPr>
        <w:rFonts w:ascii="EYInterstate" w:hAnsi="EYInterstate" w:hint="default"/>
        <w:b w:val="0"/>
        <w:i w:val="0"/>
        <w:color w:val="808080"/>
        <w:sz w:val="32"/>
      </w:rPr>
    </w:lvl>
    <w:lvl w:ilvl="1">
      <w:start w:val="1"/>
      <w:numFmt w:val="decimal"/>
      <w:pStyle w:val="EYnumlevel1"/>
      <w:lvlText w:val="5.%2"/>
      <w:lvlJc w:val="left"/>
      <w:pPr>
        <w:ind w:left="851" w:hanging="851"/>
      </w:pPr>
      <w:rPr>
        <w:rFonts w:ascii="EYInterstate" w:hAnsi="EYInterstate" w:hint="default"/>
        <w:b w:val="0"/>
        <w:i w:val="0"/>
        <w:color w:val="808080"/>
        <w:sz w:val="28"/>
      </w:rPr>
    </w:lvl>
    <w:lvl w:ilvl="2">
      <w:start w:val="1"/>
      <w:numFmt w:val="decimal"/>
      <w:lvlText w:val="5.%2.%3"/>
      <w:lvlJc w:val="left"/>
      <w:pPr>
        <w:ind w:left="1134" w:hanging="1134"/>
      </w:pPr>
      <w:rPr>
        <w:rFonts w:ascii="EYInterstate" w:hAnsi="EYInterstate" w:hint="default"/>
        <w:b/>
        <w:i w:val="0"/>
        <w:color w:val="808080"/>
        <w:sz w:val="22"/>
      </w:rPr>
    </w:lvl>
    <w:lvl w:ilvl="3">
      <w:start w:val="1"/>
      <w:numFmt w:val="decimal"/>
      <w:lvlText w:val="%1.%2.%3.%4"/>
      <w:lvlJc w:val="left"/>
      <w:pPr>
        <w:ind w:left="1843" w:hanging="1701"/>
      </w:pPr>
      <w:rPr>
        <w:rFonts w:ascii="EYInterstate" w:hAnsi="EYInterstate" w:hint="default"/>
        <w:b w:val="0"/>
        <w:i w:val="0"/>
        <w:color w:val="808080"/>
        <w:sz w:val="20"/>
      </w:rPr>
    </w:lvl>
    <w:lvl w:ilvl="4">
      <w:start w:val="1"/>
      <w:numFmt w:val="decimal"/>
      <w:lvlText w:val="%1.%2.%3.%4.%5"/>
      <w:lvlJc w:val="left"/>
      <w:pPr>
        <w:ind w:left="1843" w:hanging="1843"/>
      </w:pPr>
      <w:rPr>
        <w:rFonts w:ascii="EYInterstate" w:hAnsi="EYInterstate" w:hint="default"/>
        <w:b w:val="0"/>
        <w:i w:val="0"/>
        <w:color w:val="808080"/>
        <w:sz w:val="18"/>
      </w:rPr>
    </w:lvl>
    <w:lvl w:ilvl="5">
      <w:start w:val="1"/>
      <w:numFmt w:val="decimal"/>
      <w:lvlText w:val="%1.%2.%3.%4.%5.%6"/>
      <w:lvlJc w:val="left"/>
      <w:pPr>
        <w:ind w:left="1843" w:hanging="1843"/>
      </w:pPr>
      <w:rPr>
        <w:rFonts w:ascii="EYInterstate Light" w:hAnsi="EYInterstate Light" w:hint="default"/>
        <w:b w:val="0"/>
        <w:i w:val="0"/>
        <w:color w:val="808080"/>
        <w:sz w:val="18"/>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81" w15:restartNumberingAfterBreak="0">
    <w:nsid w:val="74731DBE"/>
    <w:multiLevelType w:val="hybridMultilevel"/>
    <w:tmpl w:val="9A6233E4"/>
    <w:lvl w:ilvl="0" w:tplc="2172778C">
      <w:start w:val="1"/>
      <w:numFmt w:val="low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2" w15:restartNumberingAfterBreak="0">
    <w:nsid w:val="758300D4"/>
    <w:multiLevelType w:val="hybridMultilevel"/>
    <w:tmpl w:val="30606290"/>
    <w:styleLink w:val="WWNum25111"/>
    <w:lvl w:ilvl="0" w:tplc="040C000D">
      <w:numFmt w:val="bullet"/>
      <w:lvlText w:val="-"/>
      <w:lvlJc w:val="left"/>
      <w:pPr>
        <w:tabs>
          <w:tab w:val="num" w:pos="360"/>
        </w:tabs>
        <w:ind w:left="360" w:hanging="360"/>
      </w:pPr>
      <w:rPr>
        <w:rFonts w:ascii="Times New Roman" w:eastAsia="Times New Roman" w:hAnsi="Times New Roman" w:cs="Times New Roman" w:hint="default"/>
      </w:rPr>
    </w:lvl>
    <w:lvl w:ilvl="1" w:tplc="040C0003">
      <w:start w:val="1"/>
      <w:numFmt w:val="bullet"/>
      <w:lvlText w:val=""/>
      <w:lvlJc w:val="left"/>
      <w:pPr>
        <w:tabs>
          <w:tab w:val="num" w:pos="1440"/>
        </w:tabs>
        <w:ind w:left="1440" w:hanging="360"/>
      </w:pPr>
      <w:rPr>
        <w:rFonts w:ascii="Symbol" w:hAnsi="Symbol"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83" w15:restartNumberingAfterBreak="0">
    <w:nsid w:val="764A4035"/>
    <w:multiLevelType w:val="hybridMultilevel"/>
    <w:tmpl w:val="EA5085B2"/>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4" w15:restartNumberingAfterBreak="0">
    <w:nsid w:val="780935D6"/>
    <w:multiLevelType w:val="hybridMultilevel"/>
    <w:tmpl w:val="4B263D8A"/>
    <w:lvl w:ilvl="0" w:tplc="17CAEB08">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5" w15:restartNumberingAfterBreak="0">
    <w:nsid w:val="791025D2"/>
    <w:multiLevelType w:val="hybridMultilevel"/>
    <w:tmpl w:val="36DC1FA2"/>
    <w:lvl w:ilvl="0" w:tplc="8542940C">
      <w:start w:val="1"/>
      <w:numFmt w:val="decimal"/>
      <w:lvlText w:val="%1)"/>
      <w:lvlJc w:val="left"/>
      <w:pPr>
        <w:ind w:left="720" w:hanging="360"/>
      </w:pPr>
      <w:rPr>
        <w:rFonts w:hint="default"/>
        <w:b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6" w15:restartNumberingAfterBreak="0">
    <w:nsid w:val="7A35095C"/>
    <w:multiLevelType w:val="hybridMultilevel"/>
    <w:tmpl w:val="D62C0456"/>
    <w:lvl w:ilvl="0" w:tplc="9C4C7FC4">
      <w:start w:val="1"/>
      <w:numFmt w:val="bullet"/>
      <w:lvlText w:val=""/>
      <w:lvlJc w:val="left"/>
      <w:pPr>
        <w:ind w:left="1068" w:hanging="360"/>
      </w:pPr>
      <w:rPr>
        <w:rFonts w:ascii="Symbol" w:hAnsi="Symbol" w:hint="default"/>
        <w:sz w:val="20"/>
        <w:szCs w:val="22"/>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7" w15:restartNumberingAfterBreak="0">
    <w:nsid w:val="7A6A7865"/>
    <w:multiLevelType w:val="hybridMultilevel"/>
    <w:tmpl w:val="A072C064"/>
    <w:lvl w:ilvl="0" w:tplc="6C603B42">
      <w:start w:val="1"/>
      <w:numFmt w:val="low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8" w15:restartNumberingAfterBreak="0">
    <w:nsid w:val="7A9464F4"/>
    <w:multiLevelType w:val="hybridMultilevel"/>
    <w:tmpl w:val="668EF554"/>
    <w:lvl w:ilvl="0" w:tplc="D662FBCE">
      <w:start w:val="1"/>
      <w:numFmt w:val="bullet"/>
      <w:pStyle w:val="Fleche3Liste"/>
      <w:lvlText w:val=""/>
      <w:lvlJc w:val="left"/>
      <w:pPr>
        <w:tabs>
          <w:tab w:val="num" w:pos="1211"/>
        </w:tabs>
        <w:ind w:left="1135" w:hanging="284"/>
      </w:pPr>
      <w:rPr>
        <w:rFonts w:ascii="Wingdings" w:hAnsi="Wingdings" w:hint="default"/>
        <w:b/>
        <w:i w:val="0"/>
      </w:rPr>
    </w:lvl>
    <w:lvl w:ilvl="1" w:tplc="AFA0FE0A" w:tentative="1">
      <w:start w:val="1"/>
      <w:numFmt w:val="bullet"/>
      <w:lvlText w:val="o"/>
      <w:lvlJc w:val="left"/>
      <w:pPr>
        <w:tabs>
          <w:tab w:val="num" w:pos="1440"/>
        </w:tabs>
        <w:ind w:left="1440" w:hanging="360"/>
      </w:pPr>
      <w:rPr>
        <w:rFonts w:ascii="Courier New" w:hAnsi="Courier New" w:hint="default"/>
      </w:rPr>
    </w:lvl>
    <w:lvl w:ilvl="2" w:tplc="7BE47E2E" w:tentative="1">
      <w:start w:val="1"/>
      <w:numFmt w:val="bullet"/>
      <w:lvlText w:val=""/>
      <w:lvlJc w:val="left"/>
      <w:pPr>
        <w:tabs>
          <w:tab w:val="num" w:pos="2160"/>
        </w:tabs>
        <w:ind w:left="2160" w:hanging="360"/>
      </w:pPr>
      <w:rPr>
        <w:rFonts w:ascii="Wingdings" w:hAnsi="Wingdings" w:hint="default"/>
      </w:rPr>
    </w:lvl>
    <w:lvl w:ilvl="3" w:tplc="098E0B98" w:tentative="1">
      <w:start w:val="1"/>
      <w:numFmt w:val="bullet"/>
      <w:lvlText w:val=""/>
      <w:lvlJc w:val="left"/>
      <w:pPr>
        <w:tabs>
          <w:tab w:val="num" w:pos="2880"/>
        </w:tabs>
        <w:ind w:left="2880" w:hanging="360"/>
      </w:pPr>
      <w:rPr>
        <w:rFonts w:ascii="Symbol" w:hAnsi="Symbol" w:hint="default"/>
      </w:rPr>
    </w:lvl>
    <w:lvl w:ilvl="4" w:tplc="4B80F778" w:tentative="1">
      <w:start w:val="1"/>
      <w:numFmt w:val="bullet"/>
      <w:lvlText w:val="o"/>
      <w:lvlJc w:val="left"/>
      <w:pPr>
        <w:tabs>
          <w:tab w:val="num" w:pos="3600"/>
        </w:tabs>
        <w:ind w:left="3600" w:hanging="360"/>
      </w:pPr>
      <w:rPr>
        <w:rFonts w:ascii="Courier New" w:hAnsi="Courier New" w:hint="default"/>
      </w:rPr>
    </w:lvl>
    <w:lvl w:ilvl="5" w:tplc="6A665F28" w:tentative="1">
      <w:start w:val="1"/>
      <w:numFmt w:val="bullet"/>
      <w:lvlText w:val=""/>
      <w:lvlJc w:val="left"/>
      <w:pPr>
        <w:tabs>
          <w:tab w:val="num" w:pos="4320"/>
        </w:tabs>
        <w:ind w:left="4320" w:hanging="360"/>
      </w:pPr>
      <w:rPr>
        <w:rFonts w:ascii="Wingdings" w:hAnsi="Wingdings" w:hint="default"/>
      </w:rPr>
    </w:lvl>
    <w:lvl w:ilvl="6" w:tplc="F98AC8D0" w:tentative="1">
      <w:start w:val="1"/>
      <w:numFmt w:val="bullet"/>
      <w:lvlText w:val=""/>
      <w:lvlJc w:val="left"/>
      <w:pPr>
        <w:tabs>
          <w:tab w:val="num" w:pos="5040"/>
        </w:tabs>
        <w:ind w:left="5040" w:hanging="360"/>
      </w:pPr>
      <w:rPr>
        <w:rFonts w:ascii="Symbol" w:hAnsi="Symbol" w:hint="default"/>
      </w:rPr>
    </w:lvl>
    <w:lvl w:ilvl="7" w:tplc="8E7A7144" w:tentative="1">
      <w:start w:val="1"/>
      <w:numFmt w:val="bullet"/>
      <w:lvlText w:val="o"/>
      <w:lvlJc w:val="left"/>
      <w:pPr>
        <w:tabs>
          <w:tab w:val="num" w:pos="5760"/>
        </w:tabs>
        <w:ind w:left="5760" w:hanging="360"/>
      </w:pPr>
      <w:rPr>
        <w:rFonts w:ascii="Courier New" w:hAnsi="Courier New" w:hint="default"/>
      </w:rPr>
    </w:lvl>
    <w:lvl w:ilvl="8" w:tplc="DBAA85AC" w:tentative="1">
      <w:start w:val="1"/>
      <w:numFmt w:val="bullet"/>
      <w:lvlText w:val=""/>
      <w:lvlJc w:val="left"/>
      <w:pPr>
        <w:tabs>
          <w:tab w:val="num" w:pos="6480"/>
        </w:tabs>
        <w:ind w:left="6480" w:hanging="360"/>
      </w:pPr>
      <w:rPr>
        <w:rFonts w:ascii="Wingdings" w:hAnsi="Wingdings" w:hint="default"/>
      </w:rPr>
    </w:lvl>
  </w:abstractNum>
  <w:abstractNum w:abstractNumId="189" w15:restartNumberingAfterBreak="0">
    <w:nsid w:val="7B682168"/>
    <w:multiLevelType w:val="hybridMultilevel"/>
    <w:tmpl w:val="62C8314A"/>
    <w:lvl w:ilvl="0" w:tplc="2D28CFEC">
      <w:start w:val="1"/>
      <w:numFmt w:val="bullet"/>
      <w:lvlText w:val=""/>
      <w:lvlJc w:val="left"/>
      <w:pPr>
        <w:ind w:left="720" w:hanging="360"/>
      </w:pPr>
      <w:rPr>
        <w:rFonts w:ascii="Wingdings" w:hAnsi="Wingdings" w:hint="default"/>
        <w:color w:val="00683E"/>
        <w:sz w:val="20"/>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0" w15:restartNumberingAfterBreak="0">
    <w:nsid w:val="7C010857"/>
    <w:multiLevelType w:val="singleLevel"/>
    <w:tmpl w:val="95569D76"/>
    <w:lvl w:ilvl="0">
      <w:start w:val="1"/>
      <w:numFmt w:val="bullet"/>
      <w:pStyle w:val="PuceGriseExprience"/>
      <w:lvlText w:val="■"/>
      <w:lvlJc w:val="left"/>
      <w:pPr>
        <w:tabs>
          <w:tab w:val="num" w:pos="360"/>
        </w:tabs>
        <w:ind w:left="284" w:hanging="284"/>
      </w:pPr>
      <w:rPr>
        <w:rFonts w:ascii="Times New Roman" w:hAnsi="Times New Roman" w:cs="Times New Roman" w:hint="default"/>
        <w:b w:val="0"/>
        <w:i w:val="0"/>
        <w:sz w:val="24"/>
      </w:rPr>
    </w:lvl>
  </w:abstractNum>
  <w:abstractNum w:abstractNumId="191" w15:restartNumberingAfterBreak="0">
    <w:nsid w:val="7C7901F6"/>
    <w:multiLevelType w:val="hybridMultilevel"/>
    <w:tmpl w:val="CF0A5514"/>
    <w:lvl w:ilvl="0" w:tplc="040C0001">
      <w:start w:val="1"/>
      <w:numFmt w:val="bullet"/>
      <w:lvlText w:val=""/>
      <w:lvlJc w:val="left"/>
      <w:pPr>
        <w:tabs>
          <w:tab w:val="num" w:pos="1485"/>
        </w:tabs>
        <w:ind w:left="1485" w:hanging="360"/>
      </w:pPr>
      <w:rPr>
        <w:rFonts w:ascii="Symbol" w:hAnsi="Symbol" w:hint="default"/>
      </w:rPr>
    </w:lvl>
    <w:lvl w:ilvl="1" w:tplc="040C0003">
      <w:start w:val="1"/>
      <w:numFmt w:val="bullet"/>
      <w:pStyle w:val="offreret"/>
      <w:lvlText w:val=""/>
      <w:lvlJc w:val="left"/>
      <w:pPr>
        <w:tabs>
          <w:tab w:val="num" w:pos="2205"/>
        </w:tabs>
        <w:ind w:left="2205" w:hanging="360"/>
      </w:pPr>
      <w:rPr>
        <w:rFonts w:ascii="Symbol" w:hAnsi="Symbol" w:hint="default"/>
      </w:rPr>
    </w:lvl>
    <w:lvl w:ilvl="2" w:tplc="040C0005" w:tentative="1">
      <w:start w:val="1"/>
      <w:numFmt w:val="bullet"/>
      <w:lvlText w:val=""/>
      <w:lvlJc w:val="left"/>
      <w:pPr>
        <w:tabs>
          <w:tab w:val="num" w:pos="2925"/>
        </w:tabs>
        <w:ind w:left="2925" w:hanging="360"/>
      </w:pPr>
      <w:rPr>
        <w:rFonts w:ascii="Wingdings" w:hAnsi="Wingdings" w:hint="default"/>
      </w:rPr>
    </w:lvl>
    <w:lvl w:ilvl="3" w:tplc="040C0001" w:tentative="1">
      <w:start w:val="1"/>
      <w:numFmt w:val="bullet"/>
      <w:lvlText w:val=""/>
      <w:lvlJc w:val="left"/>
      <w:pPr>
        <w:tabs>
          <w:tab w:val="num" w:pos="3645"/>
        </w:tabs>
        <w:ind w:left="3645" w:hanging="360"/>
      </w:pPr>
      <w:rPr>
        <w:rFonts w:ascii="Symbol" w:hAnsi="Symbol" w:hint="default"/>
      </w:rPr>
    </w:lvl>
    <w:lvl w:ilvl="4" w:tplc="040C0003" w:tentative="1">
      <w:start w:val="1"/>
      <w:numFmt w:val="bullet"/>
      <w:lvlText w:val="o"/>
      <w:lvlJc w:val="left"/>
      <w:pPr>
        <w:tabs>
          <w:tab w:val="num" w:pos="4365"/>
        </w:tabs>
        <w:ind w:left="4365" w:hanging="360"/>
      </w:pPr>
      <w:rPr>
        <w:rFonts w:ascii="Courier New" w:hAnsi="Courier New" w:cs="Courier New" w:hint="default"/>
      </w:rPr>
    </w:lvl>
    <w:lvl w:ilvl="5" w:tplc="040C0005" w:tentative="1">
      <w:start w:val="1"/>
      <w:numFmt w:val="bullet"/>
      <w:lvlText w:val=""/>
      <w:lvlJc w:val="left"/>
      <w:pPr>
        <w:tabs>
          <w:tab w:val="num" w:pos="5085"/>
        </w:tabs>
        <w:ind w:left="5085" w:hanging="360"/>
      </w:pPr>
      <w:rPr>
        <w:rFonts w:ascii="Wingdings" w:hAnsi="Wingdings" w:hint="default"/>
      </w:rPr>
    </w:lvl>
    <w:lvl w:ilvl="6" w:tplc="040C0001" w:tentative="1">
      <w:start w:val="1"/>
      <w:numFmt w:val="bullet"/>
      <w:lvlText w:val=""/>
      <w:lvlJc w:val="left"/>
      <w:pPr>
        <w:tabs>
          <w:tab w:val="num" w:pos="5805"/>
        </w:tabs>
        <w:ind w:left="5805" w:hanging="360"/>
      </w:pPr>
      <w:rPr>
        <w:rFonts w:ascii="Symbol" w:hAnsi="Symbol" w:hint="default"/>
      </w:rPr>
    </w:lvl>
    <w:lvl w:ilvl="7" w:tplc="040C0003" w:tentative="1">
      <w:start w:val="1"/>
      <w:numFmt w:val="bullet"/>
      <w:lvlText w:val="o"/>
      <w:lvlJc w:val="left"/>
      <w:pPr>
        <w:tabs>
          <w:tab w:val="num" w:pos="6525"/>
        </w:tabs>
        <w:ind w:left="6525" w:hanging="360"/>
      </w:pPr>
      <w:rPr>
        <w:rFonts w:ascii="Courier New" w:hAnsi="Courier New" w:cs="Courier New" w:hint="default"/>
      </w:rPr>
    </w:lvl>
    <w:lvl w:ilvl="8" w:tplc="040C0005" w:tentative="1">
      <w:start w:val="1"/>
      <w:numFmt w:val="bullet"/>
      <w:lvlText w:val=""/>
      <w:lvlJc w:val="left"/>
      <w:pPr>
        <w:tabs>
          <w:tab w:val="num" w:pos="7245"/>
        </w:tabs>
        <w:ind w:left="7245" w:hanging="360"/>
      </w:pPr>
      <w:rPr>
        <w:rFonts w:ascii="Wingdings" w:hAnsi="Wingdings" w:hint="default"/>
      </w:rPr>
    </w:lvl>
  </w:abstractNum>
  <w:abstractNum w:abstractNumId="192" w15:restartNumberingAfterBreak="0">
    <w:nsid w:val="7C870DD6"/>
    <w:multiLevelType w:val="hybridMultilevel"/>
    <w:tmpl w:val="DEC8206E"/>
    <w:lvl w:ilvl="0" w:tplc="8362E728">
      <w:start w:val="1"/>
      <w:numFmt w:val="decimal"/>
      <w:pStyle w:val="SimpleList"/>
      <w:lvlText w:val="%1."/>
      <w:lvlJc w:val="left"/>
      <w:pPr>
        <w:tabs>
          <w:tab w:val="num" w:pos="720"/>
        </w:tabs>
        <w:ind w:left="720" w:hanging="720"/>
      </w:pPr>
      <w:rPr>
        <w:rFonts w:ascii="Times New Roman" w:eastAsia="SimSun" w:hAnsi="Times New Roman" w:cs="Times New Roman"/>
        <w:b w:val="0"/>
        <w:i w:val="0"/>
        <w:caps w:val="0"/>
        <w:smallCaps w:val="0"/>
        <w:strike w:val="0"/>
        <w:dstrike w:val="0"/>
        <w:vanish w:val="0"/>
        <w:color w:val="auto"/>
        <w:spacing w:val="0"/>
        <w:w w:val="100"/>
        <w:kern w:val="0"/>
        <w:position w:val="0"/>
        <w:sz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93" w15:restartNumberingAfterBreak="0">
    <w:nsid w:val="7CB73CF0"/>
    <w:multiLevelType w:val="hybridMultilevel"/>
    <w:tmpl w:val="17046FA8"/>
    <w:lvl w:ilvl="0" w:tplc="2000000D">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94" w15:restartNumberingAfterBreak="0">
    <w:nsid w:val="7D5D2EE4"/>
    <w:multiLevelType w:val="multilevel"/>
    <w:tmpl w:val="E2103E46"/>
    <w:lvl w:ilvl="0">
      <w:start w:val="1"/>
      <w:numFmt w:val="decimal"/>
      <w:lvlRestart w:val="0"/>
      <w:pStyle w:val="Listesnumrotes"/>
      <w:lvlText w:val="%1"/>
      <w:lvlJc w:val="left"/>
      <w:pPr>
        <w:tabs>
          <w:tab w:val="num" w:pos="0"/>
        </w:tabs>
        <w:ind w:left="284" w:hanging="284"/>
      </w:pPr>
      <w:rPr>
        <w:rFonts w:ascii="Arial Gras" w:hAnsi="Arial Gras" w:cs="Times New Roman" w:hint="default"/>
        <w:b/>
        <w:bCs/>
      </w:rPr>
    </w:lvl>
    <w:lvl w:ilvl="1">
      <w:start w:val="1"/>
      <w:numFmt w:val="lowerLetter"/>
      <w:lvlText w:val="%2."/>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2880"/>
        </w:tabs>
        <w:ind w:left="2880" w:hanging="360"/>
      </w:pPr>
      <w:rPr>
        <w:rFonts w:cs="Times New Roman" w:hint="default"/>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195" w15:restartNumberingAfterBreak="0">
    <w:nsid w:val="7DEB693F"/>
    <w:multiLevelType w:val="hybridMultilevel"/>
    <w:tmpl w:val="8A30D57A"/>
    <w:lvl w:ilvl="0" w:tplc="040C000B">
      <w:start w:val="1"/>
      <w:numFmt w:val="decimal"/>
      <w:pStyle w:val="Numero4Liste"/>
      <w:lvlText w:val="%1."/>
      <w:lvlJc w:val="left"/>
      <w:pPr>
        <w:tabs>
          <w:tab w:val="num" w:pos="1531"/>
        </w:tabs>
        <w:ind w:left="1531" w:hanging="397"/>
      </w:pPr>
      <w:rPr>
        <w:rFonts w:ascii="Arial" w:hAnsi="Arial" w:hint="default"/>
        <w:b/>
        <w:i w:val="0"/>
        <w:sz w:val="22"/>
      </w:rPr>
    </w:lvl>
    <w:lvl w:ilvl="1" w:tplc="040C0003" w:tentative="1">
      <w:start w:val="1"/>
      <w:numFmt w:val="lowerLetter"/>
      <w:lvlText w:val="%2."/>
      <w:lvlJc w:val="left"/>
      <w:pPr>
        <w:tabs>
          <w:tab w:val="num" w:pos="2574"/>
        </w:tabs>
        <w:ind w:left="2574" w:hanging="360"/>
      </w:pPr>
    </w:lvl>
    <w:lvl w:ilvl="2" w:tplc="040C0005" w:tentative="1">
      <w:start w:val="1"/>
      <w:numFmt w:val="lowerRoman"/>
      <w:lvlText w:val="%3."/>
      <w:lvlJc w:val="right"/>
      <w:pPr>
        <w:tabs>
          <w:tab w:val="num" w:pos="3294"/>
        </w:tabs>
        <w:ind w:left="3294" w:hanging="180"/>
      </w:pPr>
    </w:lvl>
    <w:lvl w:ilvl="3" w:tplc="040C0001" w:tentative="1">
      <w:start w:val="1"/>
      <w:numFmt w:val="decimal"/>
      <w:lvlText w:val="%4."/>
      <w:lvlJc w:val="left"/>
      <w:pPr>
        <w:tabs>
          <w:tab w:val="num" w:pos="4014"/>
        </w:tabs>
        <w:ind w:left="4014" w:hanging="360"/>
      </w:pPr>
    </w:lvl>
    <w:lvl w:ilvl="4" w:tplc="040C0003" w:tentative="1">
      <w:start w:val="1"/>
      <w:numFmt w:val="lowerLetter"/>
      <w:lvlText w:val="%5."/>
      <w:lvlJc w:val="left"/>
      <w:pPr>
        <w:tabs>
          <w:tab w:val="num" w:pos="4734"/>
        </w:tabs>
        <w:ind w:left="4734" w:hanging="360"/>
      </w:pPr>
    </w:lvl>
    <w:lvl w:ilvl="5" w:tplc="040C0005" w:tentative="1">
      <w:start w:val="1"/>
      <w:numFmt w:val="lowerRoman"/>
      <w:lvlText w:val="%6."/>
      <w:lvlJc w:val="right"/>
      <w:pPr>
        <w:tabs>
          <w:tab w:val="num" w:pos="5454"/>
        </w:tabs>
        <w:ind w:left="5454" w:hanging="180"/>
      </w:pPr>
    </w:lvl>
    <w:lvl w:ilvl="6" w:tplc="040C0001" w:tentative="1">
      <w:start w:val="1"/>
      <w:numFmt w:val="decimal"/>
      <w:lvlText w:val="%7."/>
      <w:lvlJc w:val="left"/>
      <w:pPr>
        <w:tabs>
          <w:tab w:val="num" w:pos="6174"/>
        </w:tabs>
        <w:ind w:left="6174" w:hanging="360"/>
      </w:pPr>
    </w:lvl>
    <w:lvl w:ilvl="7" w:tplc="040C0003" w:tentative="1">
      <w:start w:val="1"/>
      <w:numFmt w:val="lowerLetter"/>
      <w:lvlText w:val="%8."/>
      <w:lvlJc w:val="left"/>
      <w:pPr>
        <w:tabs>
          <w:tab w:val="num" w:pos="6894"/>
        </w:tabs>
        <w:ind w:left="6894" w:hanging="360"/>
      </w:pPr>
    </w:lvl>
    <w:lvl w:ilvl="8" w:tplc="040C0005" w:tentative="1">
      <w:start w:val="1"/>
      <w:numFmt w:val="lowerRoman"/>
      <w:lvlText w:val="%9."/>
      <w:lvlJc w:val="right"/>
      <w:pPr>
        <w:tabs>
          <w:tab w:val="num" w:pos="7614"/>
        </w:tabs>
        <w:ind w:left="7614" w:hanging="180"/>
      </w:pPr>
    </w:lvl>
  </w:abstractNum>
  <w:abstractNum w:abstractNumId="196" w15:restartNumberingAfterBreak="0">
    <w:nsid w:val="7E4C766C"/>
    <w:multiLevelType w:val="hybridMultilevel"/>
    <w:tmpl w:val="4C6E8AE8"/>
    <w:lvl w:ilvl="0" w:tplc="040C000B">
      <w:start w:val="1"/>
      <w:numFmt w:val="bullet"/>
      <w:lvlText w:val=""/>
      <w:lvlJc w:val="left"/>
      <w:pPr>
        <w:ind w:left="862" w:hanging="360"/>
      </w:pPr>
      <w:rPr>
        <w:rFonts w:ascii="Wingdings" w:hAnsi="Wingdings" w:hint="default"/>
      </w:rPr>
    </w:lvl>
    <w:lvl w:ilvl="1" w:tplc="040C0003" w:tentative="1">
      <w:start w:val="1"/>
      <w:numFmt w:val="bullet"/>
      <w:lvlText w:val="o"/>
      <w:lvlJc w:val="left"/>
      <w:pPr>
        <w:ind w:left="1582" w:hanging="360"/>
      </w:pPr>
      <w:rPr>
        <w:rFonts w:ascii="Courier New" w:hAnsi="Courier New" w:cs="Courier New" w:hint="default"/>
      </w:rPr>
    </w:lvl>
    <w:lvl w:ilvl="2" w:tplc="040C0005" w:tentative="1">
      <w:start w:val="1"/>
      <w:numFmt w:val="bullet"/>
      <w:lvlText w:val=""/>
      <w:lvlJc w:val="left"/>
      <w:pPr>
        <w:ind w:left="2302" w:hanging="360"/>
      </w:pPr>
      <w:rPr>
        <w:rFonts w:ascii="Wingdings" w:hAnsi="Wingdings" w:hint="default"/>
      </w:rPr>
    </w:lvl>
    <w:lvl w:ilvl="3" w:tplc="040C0001" w:tentative="1">
      <w:start w:val="1"/>
      <w:numFmt w:val="bullet"/>
      <w:lvlText w:val=""/>
      <w:lvlJc w:val="left"/>
      <w:pPr>
        <w:ind w:left="3022" w:hanging="360"/>
      </w:pPr>
      <w:rPr>
        <w:rFonts w:ascii="Symbol" w:hAnsi="Symbol" w:hint="default"/>
      </w:rPr>
    </w:lvl>
    <w:lvl w:ilvl="4" w:tplc="040C0003" w:tentative="1">
      <w:start w:val="1"/>
      <w:numFmt w:val="bullet"/>
      <w:lvlText w:val="o"/>
      <w:lvlJc w:val="left"/>
      <w:pPr>
        <w:ind w:left="3742" w:hanging="360"/>
      </w:pPr>
      <w:rPr>
        <w:rFonts w:ascii="Courier New" w:hAnsi="Courier New" w:cs="Courier New" w:hint="default"/>
      </w:rPr>
    </w:lvl>
    <w:lvl w:ilvl="5" w:tplc="040C0005" w:tentative="1">
      <w:start w:val="1"/>
      <w:numFmt w:val="bullet"/>
      <w:lvlText w:val=""/>
      <w:lvlJc w:val="left"/>
      <w:pPr>
        <w:ind w:left="4462" w:hanging="360"/>
      </w:pPr>
      <w:rPr>
        <w:rFonts w:ascii="Wingdings" w:hAnsi="Wingdings" w:hint="default"/>
      </w:rPr>
    </w:lvl>
    <w:lvl w:ilvl="6" w:tplc="040C0001" w:tentative="1">
      <w:start w:val="1"/>
      <w:numFmt w:val="bullet"/>
      <w:lvlText w:val=""/>
      <w:lvlJc w:val="left"/>
      <w:pPr>
        <w:ind w:left="5182" w:hanging="360"/>
      </w:pPr>
      <w:rPr>
        <w:rFonts w:ascii="Symbol" w:hAnsi="Symbol" w:hint="default"/>
      </w:rPr>
    </w:lvl>
    <w:lvl w:ilvl="7" w:tplc="040C0003" w:tentative="1">
      <w:start w:val="1"/>
      <w:numFmt w:val="bullet"/>
      <w:lvlText w:val="o"/>
      <w:lvlJc w:val="left"/>
      <w:pPr>
        <w:ind w:left="5902" w:hanging="360"/>
      </w:pPr>
      <w:rPr>
        <w:rFonts w:ascii="Courier New" w:hAnsi="Courier New" w:cs="Courier New" w:hint="default"/>
      </w:rPr>
    </w:lvl>
    <w:lvl w:ilvl="8" w:tplc="040C0005" w:tentative="1">
      <w:start w:val="1"/>
      <w:numFmt w:val="bullet"/>
      <w:lvlText w:val=""/>
      <w:lvlJc w:val="left"/>
      <w:pPr>
        <w:ind w:left="6622" w:hanging="360"/>
      </w:pPr>
      <w:rPr>
        <w:rFonts w:ascii="Wingdings" w:hAnsi="Wingdings" w:hint="default"/>
      </w:rPr>
    </w:lvl>
  </w:abstractNum>
  <w:abstractNum w:abstractNumId="197" w15:restartNumberingAfterBreak="0">
    <w:nsid w:val="7F537A19"/>
    <w:multiLevelType w:val="hybridMultilevel"/>
    <w:tmpl w:val="49E2CD96"/>
    <w:styleLink w:val="WWNum25121"/>
    <w:lvl w:ilvl="0" w:tplc="41AEFE88">
      <w:start w:val="1"/>
      <w:numFmt w:val="decimal"/>
      <w:lvlText w:val="%1."/>
      <w:lvlJc w:val="left"/>
      <w:pPr>
        <w:ind w:left="720" w:hanging="360"/>
      </w:pPr>
      <w:rPr>
        <w:rFonts w:hint="default"/>
        <w:b w:val="0"/>
      </w:rPr>
    </w:lvl>
    <w:lvl w:ilvl="1" w:tplc="6E5C4D46" w:tentative="1">
      <w:start w:val="1"/>
      <w:numFmt w:val="lowerLetter"/>
      <w:lvlText w:val="%2."/>
      <w:lvlJc w:val="left"/>
      <w:pPr>
        <w:ind w:left="1440" w:hanging="360"/>
      </w:pPr>
    </w:lvl>
    <w:lvl w:ilvl="2" w:tplc="CFD0031E" w:tentative="1">
      <w:start w:val="1"/>
      <w:numFmt w:val="lowerRoman"/>
      <w:lvlText w:val="%3."/>
      <w:lvlJc w:val="right"/>
      <w:pPr>
        <w:ind w:left="2160" w:hanging="180"/>
      </w:pPr>
    </w:lvl>
    <w:lvl w:ilvl="3" w:tplc="D8245D6E" w:tentative="1">
      <w:start w:val="1"/>
      <w:numFmt w:val="decimal"/>
      <w:lvlText w:val="%4."/>
      <w:lvlJc w:val="left"/>
      <w:pPr>
        <w:ind w:left="2880" w:hanging="360"/>
      </w:pPr>
    </w:lvl>
    <w:lvl w:ilvl="4" w:tplc="D10A0B6C" w:tentative="1">
      <w:start w:val="1"/>
      <w:numFmt w:val="lowerLetter"/>
      <w:lvlText w:val="%5."/>
      <w:lvlJc w:val="left"/>
      <w:pPr>
        <w:ind w:left="3600" w:hanging="360"/>
      </w:pPr>
    </w:lvl>
    <w:lvl w:ilvl="5" w:tplc="85464A50" w:tentative="1">
      <w:start w:val="1"/>
      <w:numFmt w:val="lowerRoman"/>
      <w:lvlText w:val="%6."/>
      <w:lvlJc w:val="right"/>
      <w:pPr>
        <w:ind w:left="4320" w:hanging="180"/>
      </w:pPr>
    </w:lvl>
    <w:lvl w:ilvl="6" w:tplc="4E743022" w:tentative="1">
      <w:start w:val="1"/>
      <w:numFmt w:val="decimal"/>
      <w:lvlText w:val="%7."/>
      <w:lvlJc w:val="left"/>
      <w:pPr>
        <w:ind w:left="5040" w:hanging="360"/>
      </w:pPr>
    </w:lvl>
    <w:lvl w:ilvl="7" w:tplc="F0D8290C" w:tentative="1">
      <w:start w:val="1"/>
      <w:numFmt w:val="lowerLetter"/>
      <w:lvlText w:val="%8."/>
      <w:lvlJc w:val="left"/>
      <w:pPr>
        <w:ind w:left="5760" w:hanging="360"/>
      </w:pPr>
    </w:lvl>
    <w:lvl w:ilvl="8" w:tplc="1BD66632" w:tentative="1">
      <w:start w:val="1"/>
      <w:numFmt w:val="lowerRoman"/>
      <w:lvlText w:val="%9."/>
      <w:lvlJc w:val="right"/>
      <w:pPr>
        <w:ind w:left="6480" w:hanging="180"/>
      </w:pPr>
    </w:lvl>
  </w:abstractNum>
  <w:abstractNum w:abstractNumId="198" w15:restartNumberingAfterBreak="0">
    <w:nsid w:val="7FDE45E8"/>
    <w:multiLevelType w:val="hybridMultilevel"/>
    <w:tmpl w:val="1FFC504A"/>
    <w:lvl w:ilvl="0" w:tplc="228C95EC">
      <w:start w:val="1"/>
      <w:numFmt w:val="decimal"/>
      <w:lvlText w:val="%1)"/>
      <w:lvlJc w:val="left"/>
      <w:pPr>
        <w:ind w:left="644" w:hanging="360"/>
      </w:pPr>
      <w:rPr>
        <w:rFonts w:hint="default"/>
      </w:rPr>
    </w:lvl>
    <w:lvl w:ilvl="1" w:tplc="040C0019" w:tentative="1">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num w:numId="1" w16cid:durableId="355667230">
    <w:abstractNumId w:val="138"/>
  </w:num>
  <w:num w:numId="2" w16cid:durableId="631442484">
    <w:abstractNumId w:val="85"/>
  </w:num>
  <w:num w:numId="3" w16cid:durableId="132068333">
    <w:abstractNumId w:val="159"/>
  </w:num>
  <w:num w:numId="4" w16cid:durableId="1147824476">
    <w:abstractNumId w:val="18"/>
  </w:num>
  <w:num w:numId="5" w16cid:durableId="713889666">
    <w:abstractNumId w:val="22"/>
  </w:num>
  <w:num w:numId="6" w16cid:durableId="1705058581">
    <w:abstractNumId w:val="78"/>
  </w:num>
  <w:num w:numId="7" w16cid:durableId="1610619245">
    <w:abstractNumId w:val="69"/>
  </w:num>
  <w:num w:numId="8" w16cid:durableId="1630277134">
    <w:abstractNumId w:val="123"/>
  </w:num>
  <w:num w:numId="9" w16cid:durableId="2002536650">
    <w:abstractNumId w:val="166"/>
  </w:num>
  <w:num w:numId="10" w16cid:durableId="1496534203">
    <w:abstractNumId w:val="44"/>
  </w:num>
  <w:num w:numId="11" w16cid:durableId="1936326920">
    <w:abstractNumId w:val="158"/>
  </w:num>
  <w:num w:numId="12" w16cid:durableId="2140802184">
    <w:abstractNumId w:val="56"/>
  </w:num>
  <w:num w:numId="13" w16cid:durableId="1796754527">
    <w:abstractNumId w:val="17"/>
  </w:num>
  <w:num w:numId="14" w16cid:durableId="1799957181">
    <w:abstractNumId w:val="20"/>
  </w:num>
  <w:num w:numId="15" w16cid:durableId="2020110649">
    <w:abstractNumId w:val="35"/>
  </w:num>
  <w:num w:numId="16" w16cid:durableId="1978534258">
    <w:abstractNumId w:val="53"/>
  </w:num>
  <w:num w:numId="17" w16cid:durableId="568460624">
    <w:abstractNumId w:val="153"/>
  </w:num>
  <w:num w:numId="18" w16cid:durableId="1201675068">
    <w:abstractNumId w:val="3"/>
  </w:num>
  <w:num w:numId="19" w16cid:durableId="626199338">
    <w:abstractNumId w:val="2"/>
  </w:num>
  <w:num w:numId="20" w16cid:durableId="1260716518">
    <w:abstractNumId w:val="1"/>
  </w:num>
  <w:num w:numId="21" w16cid:durableId="782530521">
    <w:abstractNumId w:val="4"/>
    <w:lvlOverride w:ilvl="0">
      <w:lvl w:ilvl="0">
        <w:start w:val="1"/>
        <w:numFmt w:val="bullet"/>
        <w:pStyle w:val="Russite"/>
        <w:lvlText w:val=""/>
        <w:legacy w:legacy="1" w:legacySpace="0" w:legacyIndent="240"/>
        <w:lvlJc w:val="left"/>
        <w:pPr>
          <w:ind w:left="240" w:hanging="240"/>
        </w:pPr>
        <w:rPr>
          <w:rFonts w:ascii="Wingdings" w:hAnsi="Wingdings"/>
          <w:sz w:val="12"/>
        </w:rPr>
      </w:lvl>
    </w:lvlOverride>
  </w:num>
  <w:num w:numId="22" w16cid:durableId="1347825737">
    <w:abstractNumId w:val="77"/>
  </w:num>
  <w:num w:numId="23" w16cid:durableId="2145156174">
    <w:abstractNumId w:val="61"/>
  </w:num>
  <w:num w:numId="24" w16cid:durableId="1241022419">
    <w:abstractNumId w:val="154"/>
  </w:num>
  <w:num w:numId="25" w16cid:durableId="837842718">
    <w:abstractNumId w:val="125"/>
  </w:num>
  <w:num w:numId="26" w16cid:durableId="1815826557">
    <w:abstractNumId w:val="140"/>
  </w:num>
  <w:num w:numId="27" w16cid:durableId="1358433722">
    <w:abstractNumId w:val="186"/>
  </w:num>
  <w:num w:numId="28" w16cid:durableId="1470054475">
    <w:abstractNumId w:val="14"/>
  </w:num>
  <w:num w:numId="29" w16cid:durableId="1011876684">
    <w:abstractNumId w:val="151"/>
  </w:num>
  <w:num w:numId="30" w16cid:durableId="342779901">
    <w:abstractNumId w:val="26"/>
  </w:num>
  <w:num w:numId="31" w16cid:durableId="1556501051">
    <w:abstractNumId w:val="146"/>
  </w:num>
  <w:num w:numId="32" w16cid:durableId="865946200">
    <w:abstractNumId w:val="93"/>
  </w:num>
  <w:num w:numId="33" w16cid:durableId="2053193139">
    <w:abstractNumId w:val="192"/>
  </w:num>
  <w:num w:numId="34" w16cid:durableId="1304232541">
    <w:abstractNumId w:val="13"/>
  </w:num>
  <w:num w:numId="35" w16cid:durableId="672924539">
    <w:abstractNumId w:val="50"/>
  </w:num>
  <w:num w:numId="36" w16cid:durableId="632441201">
    <w:abstractNumId w:val="130"/>
  </w:num>
  <w:num w:numId="37" w16cid:durableId="629633141">
    <w:abstractNumId w:val="96"/>
  </w:num>
  <w:num w:numId="38" w16cid:durableId="2058161351">
    <w:abstractNumId w:val="54"/>
  </w:num>
  <w:num w:numId="39" w16cid:durableId="1991785777">
    <w:abstractNumId w:val="106"/>
  </w:num>
  <w:num w:numId="40" w16cid:durableId="1165364796">
    <w:abstractNumId w:val="143"/>
  </w:num>
  <w:num w:numId="41" w16cid:durableId="1792704266">
    <w:abstractNumId w:val="152"/>
  </w:num>
  <w:num w:numId="42" w16cid:durableId="405347336">
    <w:abstractNumId w:val="92"/>
  </w:num>
  <w:num w:numId="43" w16cid:durableId="965812793">
    <w:abstractNumId w:val="176"/>
  </w:num>
  <w:num w:numId="44" w16cid:durableId="1762019955">
    <w:abstractNumId w:val="75"/>
  </w:num>
  <w:num w:numId="45" w16cid:durableId="348063284">
    <w:abstractNumId w:val="41"/>
  </w:num>
  <w:num w:numId="46" w16cid:durableId="2112627142">
    <w:abstractNumId w:val="162"/>
  </w:num>
  <w:num w:numId="47" w16cid:durableId="216163157">
    <w:abstractNumId w:val="101"/>
  </w:num>
  <w:num w:numId="48" w16cid:durableId="324478717">
    <w:abstractNumId w:val="25"/>
  </w:num>
  <w:num w:numId="49" w16cid:durableId="1865946779">
    <w:abstractNumId w:val="113"/>
  </w:num>
  <w:num w:numId="50" w16cid:durableId="139737550">
    <w:abstractNumId w:val="62"/>
  </w:num>
  <w:num w:numId="51" w16cid:durableId="723145407">
    <w:abstractNumId w:val="177"/>
  </w:num>
  <w:num w:numId="52" w16cid:durableId="474184740">
    <w:abstractNumId w:val="107"/>
  </w:num>
  <w:num w:numId="53" w16cid:durableId="676536719">
    <w:abstractNumId w:val="183"/>
  </w:num>
  <w:num w:numId="54" w16cid:durableId="1490053160">
    <w:abstractNumId w:val="111"/>
  </w:num>
  <w:num w:numId="55" w16cid:durableId="414934340">
    <w:abstractNumId w:val="10"/>
  </w:num>
  <w:num w:numId="56" w16cid:durableId="781612385">
    <w:abstractNumId w:val="60"/>
  </w:num>
  <w:num w:numId="57" w16cid:durableId="363754896">
    <w:abstractNumId w:val="118"/>
  </w:num>
  <w:num w:numId="58" w16cid:durableId="1668171114">
    <w:abstractNumId w:val="23"/>
  </w:num>
  <w:num w:numId="59" w16cid:durableId="1718163059">
    <w:abstractNumId w:val="30"/>
  </w:num>
  <w:num w:numId="60" w16cid:durableId="146409417">
    <w:abstractNumId w:val="73"/>
  </w:num>
  <w:num w:numId="61" w16cid:durableId="1966041155">
    <w:abstractNumId w:val="150"/>
  </w:num>
  <w:num w:numId="62" w16cid:durableId="1956012462">
    <w:abstractNumId w:val="127"/>
  </w:num>
  <w:num w:numId="63" w16cid:durableId="1403482575">
    <w:abstractNumId w:val="63"/>
  </w:num>
  <w:num w:numId="64" w16cid:durableId="557935369">
    <w:abstractNumId w:val="38"/>
  </w:num>
  <w:num w:numId="65" w16cid:durableId="1273711651">
    <w:abstractNumId w:val="32"/>
  </w:num>
  <w:num w:numId="66" w16cid:durableId="605499057">
    <w:abstractNumId w:val="149"/>
  </w:num>
  <w:num w:numId="67" w16cid:durableId="795753171">
    <w:abstractNumId w:val="161"/>
  </w:num>
  <w:num w:numId="68" w16cid:durableId="970479170">
    <w:abstractNumId w:val="174"/>
  </w:num>
  <w:num w:numId="69" w16cid:durableId="552304578">
    <w:abstractNumId w:val="16"/>
  </w:num>
  <w:num w:numId="70" w16cid:durableId="1196963817">
    <w:abstractNumId w:val="95"/>
  </w:num>
  <w:num w:numId="71" w16cid:durableId="1228689187">
    <w:abstractNumId w:val="64"/>
  </w:num>
  <w:num w:numId="72" w16cid:durableId="288555588">
    <w:abstractNumId w:val="27"/>
  </w:num>
  <w:num w:numId="73" w16cid:durableId="339508648">
    <w:abstractNumId w:val="87"/>
  </w:num>
  <w:num w:numId="74" w16cid:durableId="1062947163">
    <w:abstractNumId w:val="116"/>
  </w:num>
  <w:num w:numId="75" w16cid:durableId="93208188">
    <w:abstractNumId w:val="89"/>
  </w:num>
  <w:num w:numId="76" w16cid:durableId="1436292637">
    <w:abstractNumId w:val="168"/>
  </w:num>
  <w:num w:numId="77" w16cid:durableId="1412392455">
    <w:abstractNumId w:val="134"/>
  </w:num>
  <w:num w:numId="78" w16cid:durableId="406002391">
    <w:abstractNumId w:val="7"/>
  </w:num>
  <w:num w:numId="79" w16cid:durableId="1808743545">
    <w:abstractNumId w:val="103"/>
  </w:num>
  <w:num w:numId="80" w16cid:durableId="1246068504">
    <w:abstractNumId w:val="190"/>
  </w:num>
  <w:num w:numId="81" w16cid:durableId="228350455">
    <w:abstractNumId w:val="121"/>
  </w:num>
  <w:num w:numId="82" w16cid:durableId="1144276438">
    <w:abstractNumId w:val="90"/>
  </w:num>
  <w:num w:numId="83" w16cid:durableId="293683149">
    <w:abstractNumId w:val="76"/>
  </w:num>
  <w:num w:numId="84" w16cid:durableId="2033607154">
    <w:abstractNumId w:val="104"/>
  </w:num>
  <w:num w:numId="85" w16cid:durableId="353118192">
    <w:abstractNumId w:val="21"/>
  </w:num>
  <w:num w:numId="86" w16cid:durableId="202905484">
    <w:abstractNumId w:val="178"/>
  </w:num>
  <w:num w:numId="87" w16cid:durableId="1032341271">
    <w:abstractNumId w:val="0"/>
  </w:num>
  <w:num w:numId="88" w16cid:durableId="1660305627">
    <w:abstractNumId w:val="11"/>
  </w:num>
  <w:num w:numId="89" w16cid:durableId="1720744100">
    <w:abstractNumId w:val="122"/>
  </w:num>
  <w:num w:numId="90" w16cid:durableId="456684718">
    <w:abstractNumId w:val="8"/>
  </w:num>
  <w:num w:numId="91" w16cid:durableId="260723297">
    <w:abstractNumId w:val="188"/>
  </w:num>
  <w:num w:numId="92" w16cid:durableId="758406993">
    <w:abstractNumId w:val="129"/>
  </w:num>
  <w:num w:numId="93" w16cid:durableId="2042587127">
    <w:abstractNumId w:val="109"/>
  </w:num>
  <w:num w:numId="94" w16cid:durableId="686492155">
    <w:abstractNumId w:val="195"/>
  </w:num>
  <w:num w:numId="95" w16cid:durableId="1679695185">
    <w:abstractNumId w:val="33"/>
  </w:num>
  <w:num w:numId="96" w16cid:durableId="1700399482">
    <w:abstractNumId w:val="141"/>
  </w:num>
  <w:num w:numId="97" w16cid:durableId="1101753853">
    <w:abstractNumId w:val="6"/>
  </w:num>
  <w:num w:numId="98" w16cid:durableId="490289276">
    <w:abstractNumId w:val="110"/>
  </w:num>
  <w:num w:numId="99" w16cid:durableId="484972434">
    <w:abstractNumId w:val="31"/>
  </w:num>
  <w:num w:numId="100" w16cid:durableId="1901164750">
    <w:abstractNumId w:val="136"/>
  </w:num>
  <w:num w:numId="101" w16cid:durableId="1805853626">
    <w:abstractNumId w:val="175"/>
  </w:num>
  <w:num w:numId="102" w16cid:durableId="1262950743">
    <w:abstractNumId w:val="173"/>
  </w:num>
  <w:num w:numId="103" w16cid:durableId="1666670470">
    <w:abstractNumId w:val="105"/>
  </w:num>
  <w:num w:numId="104" w16cid:durableId="1836653536">
    <w:abstractNumId w:val="191"/>
  </w:num>
  <w:num w:numId="105" w16cid:durableId="483818355">
    <w:abstractNumId w:val="74"/>
  </w:num>
  <w:num w:numId="106" w16cid:durableId="308439349">
    <w:abstractNumId w:val="124"/>
  </w:num>
  <w:num w:numId="107" w16cid:durableId="1344405831">
    <w:abstractNumId w:val="157"/>
  </w:num>
  <w:num w:numId="108" w16cid:durableId="883324110">
    <w:abstractNumId w:val="67"/>
  </w:num>
  <w:num w:numId="109" w16cid:durableId="897593874">
    <w:abstractNumId w:val="70"/>
  </w:num>
  <w:num w:numId="110" w16cid:durableId="1597905500">
    <w:abstractNumId w:val="79"/>
  </w:num>
  <w:num w:numId="111" w16cid:durableId="1923103086">
    <w:abstractNumId w:val="172"/>
  </w:num>
  <w:num w:numId="112" w16cid:durableId="1154906427">
    <w:abstractNumId w:val="108"/>
  </w:num>
  <w:num w:numId="113" w16cid:durableId="1127547690">
    <w:abstractNumId w:val="182"/>
  </w:num>
  <w:num w:numId="114" w16cid:durableId="845050144">
    <w:abstractNumId w:val="72"/>
  </w:num>
  <w:num w:numId="115" w16cid:durableId="704521045">
    <w:abstractNumId w:val="81"/>
  </w:num>
  <w:num w:numId="116" w16cid:durableId="134182603">
    <w:abstractNumId w:val="99"/>
  </w:num>
  <w:num w:numId="117" w16cid:durableId="801702008">
    <w:abstractNumId w:val="49"/>
  </w:num>
  <w:num w:numId="118" w16cid:durableId="2136288167">
    <w:abstractNumId w:val="119"/>
  </w:num>
  <w:num w:numId="119" w16cid:durableId="694386565">
    <w:abstractNumId w:val="197"/>
  </w:num>
  <w:num w:numId="120" w16cid:durableId="1952200310">
    <w:abstractNumId w:val="52"/>
  </w:num>
  <w:num w:numId="121" w16cid:durableId="1218711169">
    <w:abstractNumId w:val="43"/>
  </w:num>
  <w:num w:numId="122" w16cid:durableId="694623967">
    <w:abstractNumId w:val="29"/>
  </w:num>
  <w:num w:numId="123" w16cid:durableId="1847014485">
    <w:abstractNumId w:val="59"/>
  </w:num>
  <w:num w:numId="124" w16cid:durableId="1714501868">
    <w:abstractNumId w:val="156"/>
  </w:num>
  <w:num w:numId="125" w16cid:durableId="1854606490">
    <w:abstractNumId w:val="82"/>
  </w:num>
  <w:num w:numId="126" w16cid:durableId="2112578723">
    <w:abstractNumId w:val="9"/>
  </w:num>
  <w:num w:numId="127" w16cid:durableId="865097315">
    <w:abstractNumId w:val="19"/>
  </w:num>
  <w:num w:numId="128" w16cid:durableId="31656029">
    <w:abstractNumId w:val="45"/>
  </w:num>
  <w:num w:numId="129" w16cid:durableId="273636653">
    <w:abstractNumId w:val="48"/>
  </w:num>
  <w:num w:numId="130" w16cid:durableId="1013415454">
    <w:abstractNumId w:val="55"/>
  </w:num>
  <w:num w:numId="131" w16cid:durableId="131602499">
    <w:abstractNumId w:val="117"/>
  </w:num>
  <w:num w:numId="132" w16cid:durableId="1800612412">
    <w:abstractNumId w:val="12"/>
  </w:num>
  <w:num w:numId="133" w16cid:durableId="739061782">
    <w:abstractNumId w:val="114"/>
  </w:num>
  <w:num w:numId="134" w16cid:durableId="1951936071">
    <w:abstractNumId w:val="147"/>
  </w:num>
  <w:num w:numId="135" w16cid:durableId="458228365">
    <w:abstractNumId w:val="86"/>
  </w:num>
  <w:num w:numId="136" w16cid:durableId="581260721">
    <w:abstractNumId w:val="15"/>
  </w:num>
  <w:num w:numId="137" w16cid:durableId="1255897950">
    <w:abstractNumId w:val="194"/>
  </w:num>
  <w:num w:numId="138" w16cid:durableId="1578590383">
    <w:abstractNumId w:val="112"/>
  </w:num>
  <w:num w:numId="139" w16cid:durableId="16077872">
    <w:abstractNumId w:val="180"/>
  </w:num>
  <w:num w:numId="140" w16cid:durableId="634530671">
    <w:abstractNumId w:val="155"/>
  </w:num>
  <w:num w:numId="141" w16cid:durableId="318929609">
    <w:abstractNumId w:val="39"/>
  </w:num>
  <w:num w:numId="142" w16cid:durableId="2037148830">
    <w:abstractNumId w:val="131"/>
  </w:num>
  <w:num w:numId="143" w16cid:durableId="1637948819">
    <w:abstractNumId w:val="160"/>
  </w:num>
  <w:num w:numId="144" w16cid:durableId="1802729834">
    <w:abstractNumId w:val="84"/>
  </w:num>
  <w:num w:numId="145" w16cid:durableId="1157843682">
    <w:abstractNumId w:val="115"/>
  </w:num>
  <w:num w:numId="146" w16cid:durableId="2038190688">
    <w:abstractNumId w:val="169"/>
  </w:num>
  <w:num w:numId="147" w16cid:durableId="437986107">
    <w:abstractNumId w:val="100"/>
  </w:num>
  <w:num w:numId="148" w16cid:durableId="1893150027">
    <w:abstractNumId w:val="88"/>
  </w:num>
  <w:num w:numId="149" w16cid:durableId="522859634">
    <w:abstractNumId w:val="164"/>
  </w:num>
  <w:num w:numId="150" w16cid:durableId="424421073">
    <w:abstractNumId w:val="36"/>
  </w:num>
  <w:num w:numId="151" w16cid:durableId="1842963568">
    <w:abstractNumId w:val="47"/>
  </w:num>
  <w:num w:numId="152" w16cid:durableId="419371627">
    <w:abstractNumId w:val="185"/>
  </w:num>
  <w:num w:numId="153" w16cid:durableId="806363812">
    <w:abstractNumId w:val="66"/>
  </w:num>
  <w:num w:numId="154" w16cid:durableId="910625343">
    <w:abstractNumId w:val="80"/>
  </w:num>
  <w:num w:numId="155" w16cid:durableId="1971593927">
    <w:abstractNumId w:val="184"/>
  </w:num>
  <w:num w:numId="156" w16cid:durableId="1598825476">
    <w:abstractNumId w:val="163"/>
  </w:num>
  <w:num w:numId="157" w16cid:durableId="416949051">
    <w:abstractNumId w:val="91"/>
  </w:num>
  <w:num w:numId="158" w16cid:durableId="1607499006">
    <w:abstractNumId w:val="198"/>
  </w:num>
  <w:num w:numId="159" w16cid:durableId="2066755744">
    <w:abstractNumId w:val="98"/>
  </w:num>
  <w:num w:numId="160" w16cid:durableId="1534463321">
    <w:abstractNumId w:val="40"/>
  </w:num>
  <w:num w:numId="161" w16cid:durableId="750084652">
    <w:abstractNumId w:val="135"/>
  </w:num>
  <w:num w:numId="162" w16cid:durableId="1414669117">
    <w:abstractNumId w:val="83"/>
  </w:num>
  <w:num w:numId="163" w16cid:durableId="1861578449">
    <w:abstractNumId w:val="51"/>
  </w:num>
  <w:num w:numId="164" w16cid:durableId="1921451858">
    <w:abstractNumId w:val="58"/>
  </w:num>
  <w:num w:numId="165" w16cid:durableId="1560436949">
    <w:abstractNumId w:val="102"/>
  </w:num>
  <w:num w:numId="166" w16cid:durableId="1516841387">
    <w:abstractNumId w:val="167"/>
  </w:num>
  <w:num w:numId="167" w16cid:durableId="1222860651">
    <w:abstractNumId w:val="148"/>
  </w:num>
  <w:num w:numId="168" w16cid:durableId="517040368">
    <w:abstractNumId w:val="68"/>
  </w:num>
  <w:num w:numId="169" w16cid:durableId="1503084588">
    <w:abstractNumId w:val="133"/>
  </w:num>
  <w:num w:numId="170" w16cid:durableId="836916733">
    <w:abstractNumId w:val="193"/>
  </w:num>
  <w:num w:numId="171" w16cid:durableId="1592811668">
    <w:abstractNumId w:val="144"/>
  </w:num>
  <w:num w:numId="172" w16cid:durableId="1803648114">
    <w:abstractNumId w:val="34"/>
  </w:num>
  <w:num w:numId="173" w16cid:durableId="294143674">
    <w:abstractNumId w:val="37"/>
  </w:num>
  <w:num w:numId="174" w16cid:durableId="1545633087">
    <w:abstractNumId w:val="94"/>
  </w:num>
  <w:num w:numId="175" w16cid:durableId="1456021033">
    <w:abstractNumId w:val="28"/>
  </w:num>
  <w:num w:numId="176" w16cid:durableId="1821924891">
    <w:abstractNumId w:val="189"/>
  </w:num>
  <w:num w:numId="177" w16cid:durableId="1512529889">
    <w:abstractNumId w:val="132"/>
  </w:num>
  <w:num w:numId="178" w16cid:durableId="1758288850">
    <w:abstractNumId w:val="196"/>
  </w:num>
  <w:num w:numId="179" w16cid:durableId="1686403824">
    <w:abstractNumId w:val="24"/>
  </w:num>
  <w:num w:numId="180" w16cid:durableId="326789044">
    <w:abstractNumId w:val="65"/>
  </w:num>
  <w:num w:numId="181" w16cid:durableId="217473683">
    <w:abstractNumId w:val="42"/>
  </w:num>
  <w:num w:numId="182" w16cid:durableId="323356794">
    <w:abstractNumId w:val="5"/>
  </w:num>
  <w:num w:numId="183" w16cid:durableId="727536652">
    <w:abstractNumId w:val="120"/>
  </w:num>
  <w:num w:numId="184" w16cid:durableId="1698892742">
    <w:abstractNumId w:val="139"/>
  </w:num>
  <w:num w:numId="185" w16cid:durableId="1002511545">
    <w:abstractNumId w:val="137"/>
  </w:num>
  <w:num w:numId="186" w16cid:durableId="1973750672">
    <w:abstractNumId w:val="145"/>
  </w:num>
  <w:num w:numId="187" w16cid:durableId="156112072">
    <w:abstractNumId w:val="57"/>
  </w:num>
  <w:num w:numId="188" w16cid:durableId="1491872829">
    <w:abstractNumId w:val="170"/>
  </w:num>
  <w:num w:numId="189" w16cid:durableId="1512185334">
    <w:abstractNumId w:val="181"/>
  </w:num>
  <w:num w:numId="190" w16cid:durableId="503398501">
    <w:abstractNumId w:val="187"/>
  </w:num>
  <w:num w:numId="191" w16cid:durableId="1441293212">
    <w:abstractNumId w:val="126"/>
  </w:num>
  <w:num w:numId="192" w16cid:durableId="118643698">
    <w:abstractNumId w:val="62"/>
  </w:num>
  <w:num w:numId="193" w16cid:durableId="69928996">
    <w:abstractNumId w:val="46"/>
  </w:num>
  <w:num w:numId="194" w16cid:durableId="801771341">
    <w:abstractNumId w:val="71"/>
  </w:num>
  <w:num w:numId="195" w16cid:durableId="207113603">
    <w:abstractNumId w:val="142"/>
  </w:num>
  <w:num w:numId="196" w16cid:durableId="165554327">
    <w:abstractNumId w:val="171"/>
  </w:num>
  <w:num w:numId="197" w16cid:durableId="227693326">
    <w:abstractNumId w:val="171"/>
  </w:num>
  <w:numIdMacAtCleanup w:val="19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activeWritingStyle w:appName="MSWord" w:lang="fr-ML" w:vendorID="64" w:dllVersion="0" w:nlCheck="1" w:checkStyle="0"/>
  <w:activeWritingStyle w:appName="MSWord" w:lang="fr-FR" w:vendorID="64" w:dllVersion="0" w:nlCheck="1" w:checkStyle="0"/>
  <w:activeWritingStyle w:appName="MSWord" w:lang="en-US" w:vendorID="64" w:dllVersion="0" w:nlCheck="1" w:checkStyle="0"/>
  <w:activeWritingStyle w:appName="MSWord" w:lang="fr-CH" w:vendorID="64" w:dllVersion="0" w:nlCheck="1" w:checkStyle="0"/>
  <w:activeWritingStyle w:appName="MSWord" w:lang="fr-CA" w:vendorID="64" w:dllVersion="0" w:nlCheck="1" w:checkStyle="0"/>
  <w:activeWritingStyle w:appName="MSWord" w:lang="fr-BE" w:vendorID="64" w:dllVersion="0" w:nlCheck="1" w:checkStyle="0"/>
  <w:activeWritingStyle w:appName="MSWord" w:lang="en-GB" w:vendorID="64" w:dllVersion="0" w:nlCheck="1" w:checkStyle="0"/>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92989"/>
    <w:rsid w:val="0000172F"/>
    <w:rsid w:val="000035AB"/>
    <w:rsid w:val="00004323"/>
    <w:rsid w:val="000048AF"/>
    <w:rsid w:val="000048F2"/>
    <w:rsid w:val="000054E2"/>
    <w:rsid w:val="000067DA"/>
    <w:rsid w:val="000074E8"/>
    <w:rsid w:val="0001028A"/>
    <w:rsid w:val="00010E0B"/>
    <w:rsid w:val="000129BE"/>
    <w:rsid w:val="00013B7B"/>
    <w:rsid w:val="00013E1A"/>
    <w:rsid w:val="00014BC0"/>
    <w:rsid w:val="00015E70"/>
    <w:rsid w:val="00020AFD"/>
    <w:rsid w:val="00020D7E"/>
    <w:rsid w:val="00023176"/>
    <w:rsid w:val="0002518F"/>
    <w:rsid w:val="00026415"/>
    <w:rsid w:val="0002644B"/>
    <w:rsid w:val="00030291"/>
    <w:rsid w:val="00030A9E"/>
    <w:rsid w:val="00030DAD"/>
    <w:rsid w:val="00031DE2"/>
    <w:rsid w:val="00035AAB"/>
    <w:rsid w:val="00036F74"/>
    <w:rsid w:val="00037F41"/>
    <w:rsid w:val="000410FA"/>
    <w:rsid w:val="00043D83"/>
    <w:rsid w:val="000451C5"/>
    <w:rsid w:val="00045343"/>
    <w:rsid w:val="000456C2"/>
    <w:rsid w:val="00045C48"/>
    <w:rsid w:val="00051503"/>
    <w:rsid w:val="000530E5"/>
    <w:rsid w:val="00053EB6"/>
    <w:rsid w:val="0005515E"/>
    <w:rsid w:val="000561B0"/>
    <w:rsid w:val="000645FD"/>
    <w:rsid w:val="00064FF0"/>
    <w:rsid w:val="00071C48"/>
    <w:rsid w:val="000751E8"/>
    <w:rsid w:val="00075261"/>
    <w:rsid w:val="00076237"/>
    <w:rsid w:val="00081621"/>
    <w:rsid w:val="0008162B"/>
    <w:rsid w:val="000817AE"/>
    <w:rsid w:val="00084D5F"/>
    <w:rsid w:val="00085808"/>
    <w:rsid w:val="00086D76"/>
    <w:rsid w:val="00092B86"/>
    <w:rsid w:val="0009382E"/>
    <w:rsid w:val="000949DD"/>
    <w:rsid w:val="000957A5"/>
    <w:rsid w:val="000A12E3"/>
    <w:rsid w:val="000A1B0D"/>
    <w:rsid w:val="000A2B4D"/>
    <w:rsid w:val="000A2DC7"/>
    <w:rsid w:val="000A2F12"/>
    <w:rsid w:val="000A339C"/>
    <w:rsid w:val="000A5734"/>
    <w:rsid w:val="000B4C49"/>
    <w:rsid w:val="000C095F"/>
    <w:rsid w:val="000C118B"/>
    <w:rsid w:val="000C118C"/>
    <w:rsid w:val="000C2C22"/>
    <w:rsid w:val="000C37C9"/>
    <w:rsid w:val="000C39C9"/>
    <w:rsid w:val="000C62C9"/>
    <w:rsid w:val="000C654B"/>
    <w:rsid w:val="000C7E9C"/>
    <w:rsid w:val="000C7F84"/>
    <w:rsid w:val="000D1C03"/>
    <w:rsid w:val="000D273E"/>
    <w:rsid w:val="000D3257"/>
    <w:rsid w:val="000D38F5"/>
    <w:rsid w:val="000D39F6"/>
    <w:rsid w:val="000D3AA6"/>
    <w:rsid w:val="000D4144"/>
    <w:rsid w:val="000D7EB0"/>
    <w:rsid w:val="000E04AA"/>
    <w:rsid w:val="000E176D"/>
    <w:rsid w:val="000E3562"/>
    <w:rsid w:val="000E40DE"/>
    <w:rsid w:val="000E437B"/>
    <w:rsid w:val="000E4A97"/>
    <w:rsid w:val="000E5238"/>
    <w:rsid w:val="000E76F0"/>
    <w:rsid w:val="000F02A8"/>
    <w:rsid w:val="000F03E2"/>
    <w:rsid w:val="000F1A0F"/>
    <w:rsid w:val="000F277C"/>
    <w:rsid w:val="000F5EE6"/>
    <w:rsid w:val="00101ABC"/>
    <w:rsid w:val="00101DEE"/>
    <w:rsid w:val="001047BA"/>
    <w:rsid w:val="00104A3B"/>
    <w:rsid w:val="00111D44"/>
    <w:rsid w:val="00112803"/>
    <w:rsid w:val="00114074"/>
    <w:rsid w:val="0011450F"/>
    <w:rsid w:val="0011479A"/>
    <w:rsid w:val="00116312"/>
    <w:rsid w:val="00116654"/>
    <w:rsid w:val="00122D7D"/>
    <w:rsid w:val="00124000"/>
    <w:rsid w:val="001246ED"/>
    <w:rsid w:val="0012471A"/>
    <w:rsid w:val="001252F8"/>
    <w:rsid w:val="00126F90"/>
    <w:rsid w:val="00127A75"/>
    <w:rsid w:val="00127E97"/>
    <w:rsid w:val="001317BB"/>
    <w:rsid w:val="00131B30"/>
    <w:rsid w:val="001320B8"/>
    <w:rsid w:val="001324ED"/>
    <w:rsid w:val="00132821"/>
    <w:rsid w:val="00132E88"/>
    <w:rsid w:val="00133E1E"/>
    <w:rsid w:val="0013425F"/>
    <w:rsid w:val="001342EC"/>
    <w:rsid w:val="00134670"/>
    <w:rsid w:val="00135E28"/>
    <w:rsid w:val="001365DC"/>
    <w:rsid w:val="00142973"/>
    <w:rsid w:val="00143554"/>
    <w:rsid w:val="00143A6C"/>
    <w:rsid w:val="00146425"/>
    <w:rsid w:val="00146590"/>
    <w:rsid w:val="001521AB"/>
    <w:rsid w:val="001538D6"/>
    <w:rsid w:val="00154782"/>
    <w:rsid w:val="00154C1E"/>
    <w:rsid w:val="00155EFD"/>
    <w:rsid w:val="00157594"/>
    <w:rsid w:val="00161E94"/>
    <w:rsid w:val="00164A31"/>
    <w:rsid w:val="00170751"/>
    <w:rsid w:val="00170890"/>
    <w:rsid w:val="00170AA7"/>
    <w:rsid w:val="00170EFA"/>
    <w:rsid w:val="00172588"/>
    <w:rsid w:val="00173FA1"/>
    <w:rsid w:val="00176B73"/>
    <w:rsid w:val="0017750A"/>
    <w:rsid w:val="001815A5"/>
    <w:rsid w:val="0018236A"/>
    <w:rsid w:val="0018391B"/>
    <w:rsid w:val="00185744"/>
    <w:rsid w:val="001902ED"/>
    <w:rsid w:val="00190509"/>
    <w:rsid w:val="00192014"/>
    <w:rsid w:val="001928A4"/>
    <w:rsid w:val="0019431D"/>
    <w:rsid w:val="00194657"/>
    <w:rsid w:val="00195F37"/>
    <w:rsid w:val="00197B34"/>
    <w:rsid w:val="001A0732"/>
    <w:rsid w:val="001A1225"/>
    <w:rsid w:val="001A3F8B"/>
    <w:rsid w:val="001A7C8C"/>
    <w:rsid w:val="001B0C10"/>
    <w:rsid w:val="001B12DC"/>
    <w:rsid w:val="001B1720"/>
    <w:rsid w:val="001B18F0"/>
    <w:rsid w:val="001B24E8"/>
    <w:rsid w:val="001B3E7F"/>
    <w:rsid w:val="001B491B"/>
    <w:rsid w:val="001B4CE0"/>
    <w:rsid w:val="001B63D1"/>
    <w:rsid w:val="001C03CB"/>
    <w:rsid w:val="001C2DFC"/>
    <w:rsid w:val="001C41F2"/>
    <w:rsid w:val="001C514D"/>
    <w:rsid w:val="001C51E7"/>
    <w:rsid w:val="001C76FC"/>
    <w:rsid w:val="001D25B8"/>
    <w:rsid w:val="001D2DF8"/>
    <w:rsid w:val="001D2F14"/>
    <w:rsid w:val="001D3C53"/>
    <w:rsid w:val="001D700F"/>
    <w:rsid w:val="001D735C"/>
    <w:rsid w:val="001E0949"/>
    <w:rsid w:val="001E0F54"/>
    <w:rsid w:val="001E114A"/>
    <w:rsid w:val="001E12A0"/>
    <w:rsid w:val="001E1ADC"/>
    <w:rsid w:val="001E296E"/>
    <w:rsid w:val="001E47FF"/>
    <w:rsid w:val="001E4C47"/>
    <w:rsid w:val="001E4DDF"/>
    <w:rsid w:val="001E67A9"/>
    <w:rsid w:val="001F054D"/>
    <w:rsid w:val="001F0BF7"/>
    <w:rsid w:val="001F34A2"/>
    <w:rsid w:val="001F446C"/>
    <w:rsid w:val="001F4DEB"/>
    <w:rsid w:val="00200D3B"/>
    <w:rsid w:val="002020BE"/>
    <w:rsid w:val="00202A6B"/>
    <w:rsid w:val="00204664"/>
    <w:rsid w:val="00206F77"/>
    <w:rsid w:val="00210425"/>
    <w:rsid w:val="00211993"/>
    <w:rsid w:val="00211DEC"/>
    <w:rsid w:val="00214FF5"/>
    <w:rsid w:val="00216772"/>
    <w:rsid w:val="00217B46"/>
    <w:rsid w:val="002256A1"/>
    <w:rsid w:val="002258B6"/>
    <w:rsid w:val="00227C9F"/>
    <w:rsid w:val="002322F1"/>
    <w:rsid w:val="002333BA"/>
    <w:rsid w:val="0023449D"/>
    <w:rsid w:val="00234E0C"/>
    <w:rsid w:val="00235075"/>
    <w:rsid w:val="00235920"/>
    <w:rsid w:val="00237ED4"/>
    <w:rsid w:val="00241913"/>
    <w:rsid w:val="00241E42"/>
    <w:rsid w:val="00242DC1"/>
    <w:rsid w:val="002430C3"/>
    <w:rsid w:val="0024393C"/>
    <w:rsid w:val="00243A76"/>
    <w:rsid w:val="00243E52"/>
    <w:rsid w:val="002447D1"/>
    <w:rsid w:val="00245325"/>
    <w:rsid w:val="00245FDC"/>
    <w:rsid w:val="0024606D"/>
    <w:rsid w:val="002469EE"/>
    <w:rsid w:val="00247EBB"/>
    <w:rsid w:val="00247FEE"/>
    <w:rsid w:val="002526B5"/>
    <w:rsid w:val="0025356F"/>
    <w:rsid w:val="00253F1A"/>
    <w:rsid w:val="00254809"/>
    <w:rsid w:val="002608F1"/>
    <w:rsid w:val="00261C4D"/>
    <w:rsid w:val="00262EFB"/>
    <w:rsid w:val="00264065"/>
    <w:rsid w:val="00264F04"/>
    <w:rsid w:val="00265051"/>
    <w:rsid w:val="00265B34"/>
    <w:rsid w:val="00265B7D"/>
    <w:rsid w:val="00266C9F"/>
    <w:rsid w:val="00266E64"/>
    <w:rsid w:val="00267DF7"/>
    <w:rsid w:val="00272040"/>
    <w:rsid w:val="0027241C"/>
    <w:rsid w:val="00273699"/>
    <w:rsid w:val="002740EE"/>
    <w:rsid w:val="00276998"/>
    <w:rsid w:val="002821F6"/>
    <w:rsid w:val="0028634F"/>
    <w:rsid w:val="0028752F"/>
    <w:rsid w:val="002913DB"/>
    <w:rsid w:val="002928E0"/>
    <w:rsid w:val="0029455F"/>
    <w:rsid w:val="002A46D6"/>
    <w:rsid w:val="002A498B"/>
    <w:rsid w:val="002A4F21"/>
    <w:rsid w:val="002A5285"/>
    <w:rsid w:val="002A57C9"/>
    <w:rsid w:val="002A6CBB"/>
    <w:rsid w:val="002A6E73"/>
    <w:rsid w:val="002B1CDA"/>
    <w:rsid w:val="002B38A5"/>
    <w:rsid w:val="002B4BCB"/>
    <w:rsid w:val="002B6BCD"/>
    <w:rsid w:val="002C18CD"/>
    <w:rsid w:val="002C37A7"/>
    <w:rsid w:val="002C3D7F"/>
    <w:rsid w:val="002C6F1E"/>
    <w:rsid w:val="002D098C"/>
    <w:rsid w:val="002D0DEC"/>
    <w:rsid w:val="002D1B39"/>
    <w:rsid w:val="002D2A09"/>
    <w:rsid w:val="002D4006"/>
    <w:rsid w:val="002D6F93"/>
    <w:rsid w:val="002E042C"/>
    <w:rsid w:val="002E152F"/>
    <w:rsid w:val="002E2DA7"/>
    <w:rsid w:val="002E30D0"/>
    <w:rsid w:val="002E454F"/>
    <w:rsid w:val="002E47D6"/>
    <w:rsid w:val="002E4ABA"/>
    <w:rsid w:val="002E4B25"/>
    <w:rsid w:val="002E6391"/>
    <w:rsid w:val="002E77FE"/>
    <w:rsid w:val="002F0244"/>
    <w:rsid w:val="002F0AD5"/>
    <w:rsid w:val="002F0FA8"/>
    <w:rsid w:val="002F116F"/>
    <w:rsid w:val="002F16BB"/>
    <w:rsid w:val="002F3C83"/>
    <w:rsid w:val="002F50CD"/>
    <w:rsid w:val="002F75E5"/>
    <w:rsid w:val="002F7A2F"/>
    <w:rsid w:val="002F7E21"/>
    <w:rsid w:val="00300258"/>
    <w:rsid w:val="00301790"/>
    <w:rsid w:val="003042DB"/>
    <w:rsid w:val="003045CF"/>
    <w:rsid w:val="00304FB4"/>
    <w:rsid w:val="0030610F"/>
    <w:rsid w:val="0030659E"/>
    <w:rsid w:val="00307714"/>
    <w:rsid w:val="003120F1"/>
    <w:rsid w:val="0031502A"/>
    <w:rsid w:val="00316A2E"/>
    <w:rsid w:val="0031958E"/>
    <w:rsid w:val="00320974"/>
    <w:rsid w:val="0032101F"/>
    <w:rsid w:val="003223E0"/>
    <w:rsid w:val="00326AD5"/>
    <w:rsid w:val="0033239B"/>
    <w:rsid w:val="00333D35"/>
    <w:rsid w:val="00333E54"/>
    <w:rsid w:val="003349AF"/>
    <w:rsid w:val="00334AE3"/>
    <w:rsid w:val="00334FB6"/>
    <w:rsid w:val="003350F8"/>
    <w:rsid w:val="003412BA"/>
    <w:rsid w:val="0034189F"/>
    <w:rsid w:val="003432A4"/>
    <w:rsid w:val="00343759"/>
    <w:rsid w:val="0034741E"/>
    <w:rsid w:val="0034756C"/>
    <w:rsid w:val="00347E89"/>
    <w:rsid w:val="00347FDB"/>
    <w:rsid w:val="0035130C"/>
    <w:rsid w:val="00351E3E"/>
    <w:rsid w:val="00353381"/>
    <w:rsid w:val="003609CC"/>
    <w:rsid w:val="003617DE"/>
    <w:rsid w:val="00364DA4"/>
    <w:rsid w:val="0036572F"/>
    <w:rsid w:val="00365B4F"/>
    <w:rsid w:val="00366DAC"/>
    <w:rsid w:val="00367A5D"/>
    <w:rsid w:val="00372589"/>
    <w:rsid w:val="00372764"/>
    <w:rsid w:val="00374F81"/>
    <w:rsid w:val="00375C10"/>
    <w:rsid w:val="00376A75"/>
    <w:rsid w:val="003773C4"/>
    <w:rsid w:val="00380810"/>
    <w:rsid w:val="00383923"/>
    <w:rsid w:val="003848EF"/>
    <w:rsid w:val="003852AA"/>
    <w:rsid w:val="00385DEC"/>
    <w:rsid w:val="00386780"/>
    <w:rsid w:val="003911E2"/>
    <w:rsid w:val="0039166D"/>
    <w:rsid w:val="003931B2"/>
    <w:rsid w:val="00394A8D"/>
    <w:rsid w:val="00394E19"/>
    <w:rsid w:val="003A07DE"/>
    <w:rsid w:val="003A2197"/>
    <w:rsid w:val="003A79E2"/>
    <w:rsid w:val="003B02B8"/>
    <w:rsid w:val="003B0F41"/>
    <w:rsid w:val="003B11DB"/>
    <w:rsid w:val="003B36F8"/>
    <w:rsid w:val="003B3A9B"/>
    <w:rsid w:val="003B4B0C"/>
    <w:rsid w:val="003B5173"/>
    <w:rsid w:val="003B71BB"/>
    <w:rsid w:val="003B75E8"/>
    <w:rsid w:val="003B7D75"/>
    <w:rsid w:val="003C2309"/>
    <w:rsid w:val="003C56E8"/>
    <w:rsid w:val="003C68F3"/>
    <w:rsid w:val="003D03EC"/>
    <w:rsid w:val="003D30E7"/>
    <w:rsid w:val="003D6733"/>
    <w:rsid w:val="003D6E79"/>
    <w:rsid w:val="003D75C1"/>
    <w:rsid w:val="003D76B7"/>
    <w:rsid w:val="003E15B6"/>
    <w:rsid w:val="003E190E"/>
    <w:rsid w:val="003E199D"/>
    <w:rsid w:val="003E1AAD"/>
    <w:rsid w:val="003E26CD"/>
    <w:rsid w:val="003E2D1A"/>
    <w:rsid w:val="003E4426"/>
    <w:rsid w:val="003E540B"/>
    <w:rsid w:val="003E5B4F"/>
    <w:rsid w:val="003E5DD6"/>
    <w:rsid w:val="003E6050"/>
    <w:rsid w:val="003E6147"/>
    <w:rsid w:val="003E69AF"/>
    <w:rsid w:val="003E6CAD"/>
    <w:rsid w:val="003E6E26"/>
    <w:rsid w:val="003E72E5"/>
    <w:rsid w:val="003F004D"/>
    <w:rsid w:val="003F0160"/>
    <w:rsid w:val="003F08A5"/>
    <w:rsid w:val="003F09EE"/>
    <w:rsid w:val="003F3E93"/>
    <w:rsid w:val="003F76CD"/>
    <w:rsid w:val="003F7ABB"/>
    <w:rsid w:val="0040061D"/>
    <w:rsid w:val="00400BD9"/>
    <w:rsid w:val="00400CAB"/>
    <w:rsid w:val="004016C9"/>
    <w:rsid w:val="00402E1F"/>
    <w:rsid w:val="0040337B"/>
    <w:rsid w:val="00404A0B"/>
    <w:rsid w:val="00404D73"/>
    <w:rsid w:val="00405B49"/>
    <w:rsid w:val="00406745"/>
    <w:rsid w:val="00407DB4"/>
    <w:rsid w:val="0041254A"/>
    <w:rsid w:val="00413C2B"/>
    <w:rsid w:val="00414644"/>
    <w:rsid w:val="00417EE0"/>
    <w:rsid w:val="00420249"/>
    <w:rsid w:val="00421431"/>
    <w:rsid w:val="00422C25"/>
    <w:rsid w:val="004233C4"/>
    <w:rsid w:val="004252AA"/>
    <w:rsid w:val="004273C0"/>
    <w:rsid w:val="0043239F"/>
    <w:rsid w:val="0043267D"/>
    <w:rsid w:val="00433ADB"/>
    <w:rsid w:val="00434EEE"/>
    <w:rsid w:val="00437BCA"/>
    <w:rsid w:val="004403E2"/>
    <w:rsid w:val="00440C57"/>
    <w:rsid w:val="004412B8"/>
    <w:rsid w:val="004418A1"/>
    <w:rsid w:val="00442CEE"/>
    <w:rsid w:val="0044488E"/>
    <w:rsid w:val="00445C34"/>
    <w:rsid w:val="00451067"/>
    <w:rsid w:val="00451762"/>
    <w:rsid w:val="0045251A"/>
    <w:rsid w:val="004545E7"/>
    <w:rsid w:val="004549EC"/>
    <w:rsid w:val="00454B7A"/>
    <w:rsid w:val="00455107"/>
    <w:rsid w:val="004572C3"/>
    <w:rsid w:val="004605C0"/>
    <w:rsid w:val="004630A7"/>
    <w:rsid w:val="00467AA8"/>
    <w:rsid w:val="00467B36"/>
    <w:rsid w:val="00467DA9"/>
    <w:rsid w:val="0047070C"/>
    <w:rsid w:val="00474BAC"/>
    <w:rsid w:val="004766DB"/>
    <w:rsid w:val="00481012"/>
    <w:rsid w:val="00482E24"/>
    <w:rsid w:val="00483D54"/>
    <w:rsid w:val="00484705"/>
    <w:rsid w:val="00484CF8"/>
    <w:rsid w:val="00485866"/>
    <w:rsid w:val="004864D7"/>
    <w:rsid w:val="00486702"/>
    <w:rsid w:val="00487789"/>
    <w:rsid w:val="004903D4"/>
    <w:rsid w:val="0049204C"/>
    <w:rsid w:val="00495299"/>
    <w:rsid w:val="0049625E"/>
    <w:rsid w:val="0049668F"/>
    <w:rsid w:val="00496E13"/>
    <w:rsid w:val="00497666"/>
    <w:rsid w:val="004979AA"/>
    <w:rsid w:val="004A0560"/>
    <w:rsid w:val="004A20C3"/>
    <w:rsid w:val="004A432A"/>
    <w:rsid w:val="004A59AB"/>
    <w:rsid w:val="004A789E"/>
    <w:rsid w:val="004B0D7A"/>
    <w:rsid w:val="004B21D4"/>
    <w:rsid w:val="004B4FBC"/>
    <w:rsid w:val="004B57C5"/>
    <w:rsid w:val="004C0098"/>
    <w:rsid w:val="004C0A55"/>
    <w:rsid w:val="004C211B"/>
    <w:rsid w:val="004C23BD"/>
    <w:rsid w:val="004C2823"/>
    <w:rsid w:val="004C3009"/>
    <w:rsid w:val="004C6B3A"/>
    <w:rsid w:val="004C6E32"/>
    <w:rsid w:val="004C7ED3"/>
    <w:rsid w:val="004D0C9A"/>
    <w:rsid w:val="004D2A6C"/>
    <w:rsid w:val="004D3511"/>
    <w:rsid w:val="004D3EAF"/>
    <w:rsid w:val="004E0A76"/>
    <w:rsid w:val="004E48A4"/>
    <w:rsid w:val="004E4940"/>
    <w:rsid w:val="004E4EC5"/>
    <w:rsid w:val="004F071F"/>
    <w:rsid w:val="004F1ACD"/>
    <w:rsid w:val="004F2052"/>
    <w:rsid w:val="004F27E2"/>
    <w:rsid w:val="004F284F"/>
    <w:rsid w:val="004F2D13"/>
    <w:rsid w:val="004F43EE"/>
    <w:rsid w:val="004F5470"/>
    <w:rsid w:val="004F5FC9"/>
    <w:rsid w:val="004F642D"/>
    <w:rsid w:val="00500270"/>
    <w:rsid w:val="00500965"/>
    <w:rsid w:val="0050096C"/>
    <w:rsid w:val="005011C1"/>
    <w:rsid w:val="005011F2"/>
    <w:rsid w:val="00501CA0"/>
    <w:rsid w:val="00504717"/>
    <w:rsid w:val="00506C7F"/>
    <w:rsid w:val="00510651"/>
    <w:rsid w:val="00510653"/>
    <w:rsid w:val="00511159"/>
    <w:rsid w:val="00512603"/>
    <w:rsid w:val="005142A1"/>
    <w:rsid w:val="00516326"/>
    <w:rsid w:val="00517272"/>
    <w:rsid w:val="00517B8D"/>
    <w:rsid w:val="00518176"/>
    <w:rsid w:val="00520D69"/>
    <w:rsid w:val="005233E5"/>
    <w:rsid w:val="00523718"/>
    <w:rsid w:val="0052400E"/>
    <w:rsid w:val="00524BE4"/>
    <w:rsid w:val="005273A7"/>
    <w:rsid w:val="00530996"/>
    <w:rsid w:val="0053211D"/>
    <w:rsid w:val="005321F1"/>
    <w:rsid w:val="0053302D"/>
    <w:rsid w:val="0053370C"/>
    <w:rsid w:val="00534A7F"/>
    <w:rsid w:val="00535612"/>
    <w:rsid w:val="00537124"/>
    <w:rsid w:val="005409E9"/>
    <w:rsid w:val="005414E8"/>
    <w:rsid w:val="00541925"/>
    <w:rsid w:val="0054237D"/>
    <w:rsid w:val="00542677"/>
    <w:rsid w:val="00542938"/>
    <w:rsid w:val="00542DF2"/>
    <w:rsid w:val="0054683C"/>
    <w:rsid w:val="00551490"/>
    <w:rsid w:val="00554F95"/>
    <w:rsid w:val="0056151E"/>
    <w:rsid w:val="005624EF"/>
    <w:rsid w:val="00562799"/>
    <w:rsid w:val="00562CB1"/>
    <w:rsid w:val="00563A16"/>
    <w:rsid w:val="0056455E"/>
    <w:rsid w:val="0056712D"/>
    <w:rsid w:val="005675BD"/>
    <w:rsid w:val="00567B42"/>
    <w:rsid w:val="00570D0A"/>
    <w:rsid w:val="0057177B"/>
    <w:rsid w:val="005728ED"/>
    <w:rsid w:val="005745FE"/>
    <w:rsid w:val="00574EEC"/>
    <w:rsid w:val="00575CDF"/>
    <w:rsid w:val="00575F21"/>
    <w:rsid w:val="00576FB5"/>
    <w:rsid w:val="0057769A"/>
    <w:rsid w:val="00577749"/>
    <w:rsid w:val="0058277A"/>
    <w:rsid w:val="00582DA6"/>
    <w:rsid w:val="00585E11"/>
    <w:rsid w:val="00586293"/>
    <w:rsid w:val="005864E5"/>
    <w:rsid w:val="00586DBC"/>
    <w:rsid w:val="005904DD"/>
    <w:rsid w:val="00591739"/>
    <w:rsid w:val="0059173F"/>
    <w:rsid w:val="00591B1A"/>
    <w:rsid w:val="00591B2F"/>
    <w:rsid w:val="00592DB0"/>
    <w:rsid w:val="0059393A"/>
    <w:rsid w:val="00593D5C"/>
    <w:rsid w:val="005A0351"/>
    <w:rsid w:val="005A1CF9"/>
    <w:rsid w:val="005A5497"/>
    <w:rsid w:val="005A749B"/>
    <w:rsid w:val="005B1205"/>
    <w:rsid w:val="005B19F9"/>
    <w:rsid w:val="005B338A"/>
    <w:rsid w:val="005B3C45"/>
    <w:rsid w:val="005B4ECF"/>
    <w:rsid w:val="005B709B"/>
    <w:rsid w:val="005C0F44"/>
    <w:rsid w:val="005C34CD"/>
    <w:rsid w:val="005C3971"/>
    <w:rsid w:val="005C399E"/>
    <w:rsid w:val="005C3E12"/>
    <w:rsid w:val="005C5B21"/>
    <w:rsid w:val="005C5D4F"/>
    <w:rsid w:val="005C6F15"/>
    <w:rsid w:val="005C71BD"/>
    <w:rsid w:val="005C7738"/>
    <w:rsid w:val="005D0CAA"/>
    <w:rsid w:val="005D77A4"/>
    <w:rsid w:val="005E17C9"/>
    <w:rsid w:val="005E39EF"/>
    <w:rsid w:val="005E3CD9"/>
    <w:rsid w:val="005E3E22"/>
    <w:rsid w:val="005E630E"/>
    <w:rsid w:val="005F27F6"/>
    <w:rsid w:val="005F4DDD"/>
    <w:rsid w:val="005F5906"/>
    <w:rsid w:val="005F634C"/>
    <w:rsid w:val="00600992"/>
    <w:rsid w:val="00604147"/>
    <w:rsid w:val="006042FC"/>
    <w:rsid w:val="0061038D"/>
    <w:rsid w:val="006104DB"/>
    <w:rsid w:val="00610D90"/>
    <w:rsid w:val="00610FA4"/>
    <w:rsid w:val="006111E8"/>
    <w:rsid w:val="006112F2"/>
    <w:rsid w:val="006144DD"/>
    <w:rsid w:val="0061472B"/>
    <w:rsid w:val="00615350"/>
    <w:rsid w:val="00616670"/>
    <w:rsid w:val="00622841"/>
    <w:rsid w:val="0062486F"/>
    <w:rsid w:val="00624F3A"/>
    <w:rsid w:val="00626E2C"/>
    <w:rsid w:val="00627BB9"/>
    <w:rsid w:val="0063046D"/>
    <w:rsid w:val="00630D28"/>
    <w:rsid w:val="006324B3"/>
    <w:rsid w:val="00633721"/>
    <w:rsid w:val="006354BC"/>
    <w:rsid w:val="00635A10"/>
    <w:rsid w:val="00636109"/>
    <w:rsid w:val="006371B3"/>
    <w:rsid w:val="00637419"/>
    <w:rsid w:val="006402CF"/>
    <w:rsid w:val="0064072D"/>
    <w:rsid w:val="00640A78"/>
    <w:rsid w:val="00645651"/>
    <w:rsid w:val="00646511"/>
    <w:rsid w:val="00647324"/>
    <w:rsid w:val="006479A4"/>
    <w:rsid w:val="006528B6"/>
    <w:rsid w:val="00654B02"/>
    <w:rsid w:val="0065625A"/>
    <w:rsid w:val="0065660E"/>
    <w:rsid w:val="006575AA"/>
    <w:rsid w:val="0066357C"/>
    <w:rsid w:val="0066448B"/>
    <w:rsid w:val="0066526A"/>
    <w:rsid w:val="00665DBF"/>
    <w:rsid w:val="00666CF2"/>
    <w:rsid w:val="00667111"/>
    <w:rsid w:val="00667BEA"/>
    <w:rsid w:val="00667E01"/>
    <w:rsid w:val="00672066"/>
    <w:rsid w:val="00673065"/>
    <w:rsid w:val="0067480F"/>
    <w:rsid w:val="00674CCB"/>
    <w:rsid w:val="00675664"/>
    <w:rsid w:val="00676357"/>
    <w:rsid w:val="006768DF"/>
    <w:rsid w:val="00680FB9"/>
    <w:rsid w:val="00682110"/>
    <w:rsid w:val="006835BB"/>
    <w:rsid w:val="0068789F"/>
    <w:rsid w:val="0069115D"/>
    <w:rsid w:val="00691214"/>
    <w:rsid w:val="00691CB0"/>
    <w:rsid w:val="00692B66"/>
    <w:rsid w:val="00692C2C"/>
    <w:rsid w:val="00693B2A"/>
    <w:rsid w:val="0069400C"/>
    <w:rsid w:val="00694C2B"/>
    <w:rsid w:val="0069567E"/>
    <w:rsid w:val="006973CB"/>
    <w:rsid w:val="006A3543"/>
    <w:rsid w:val="006A4ADA"/>
    <w:rsid w:val="006A5365"/>
    <w:rsid w:val="006A73FC"/>
    <w:rsid w:val="006A7830"/>
    <w:rsid w:val="006A7BF9"/>
    <w:rsid w:val="006B0F06"/>
    <w:rsid w:val="006B250C"/>
    <w:rsid w:val="006B2C2C"/>
    <w:rsid w:val="006B3F20"/>
    <w:rsid w:val="006B4687"/>
    <w:rsid w:val="006B50CE"/>
    <w:rsid w:val="006B5AC5"/>
    <w:rsid w:val="006B6993"/>
    <w:rsid w:val="006B6B39"/>
    <w:rsid w:val="006B6DEF"/>
    <w:rsid w:val="006C67E3"/>
    <w:rsid w:val="006C6991"/>
    <w:rsid w:val="006C7088"/>
    <w:rsid w:val="006C715A"/>
    <w:rsid w:val="006C741F"/>
    <w:rsid w:val="006C78BE"/>
    <w:rsid w:val="006D0EA6"/>
    <w:rsid w:val="006D3592"/>
    <w:rsid w:val="006D3BDC"/>
    <w:rsid w:val="006D450A"/>
    <w:rsid w:val="006D533A"/>
    <w:rsid w:val="006D6A1A"/>
    <w:rsid w:val="006E1481"/>
    <w:rsid w:val="006E20EA"/>
    <w:rsid w:val="006E4041"/>
    <w:rsid w:val="006E41E4"/>
    <w:rsid w:val="006E45EA"/>
    <w:rsid w:val="006E4868"/>
    <w:rsid w:val="006E5E7D"/>
    <w:rsid w:val="006E5EB6"/>
    <w:rsid w:val="006F3401"/>
    <w:rsid w:val="006F38A3"/>
    <w:rsid w:val="006F6F3D"/>
    <w:rsid w:val="00700A45"/>
    <w:rsid w:val="00700F6F"/>
    <w:rsid w:val="00701E0C"/>
    <w:rsid w:val="00702E0E"/>
    <w:rsid w:val="007039BB"/>
    <w:rsid w:val="0070401D"/>
    <w:rsid w:val="00704731"/>
    <w:rsid w:val="00704A82"/>
    <w:rsid w:val="007051C0"/>
    <w:rsid w:val="007055EF"/>
    <w:rsid w:val="00705B37"/>
    <w:rsid w:val="00705DAE"/>
    <w:rsid w:val="0071268E"/>
    <w:rsid w:val="00713745"/>
    <w:rsid w:val="007138D6"/>
    <w:rsid w:val="007147B3"/>
    <w:rsid w:val="0072203C"/>
    <w:rsid w:val="0072311C"/>
    <w:rsid w:val="00726D17"/>
    <w:rsid w:val="00730874"/>
    <w:rsid w:val="007313D3"/>
    <w:rsid w:val="007314EC"/>
    <w:rsid w:val="00732B4D"/>
    <w:rsid w:val="007340FA"/>
    <w:rsid w:val="007355FC"/>
    <w:rsid w:val="007359ED"/>
    <w:rsid w:val="00736782"/>
    <w:rsid w:val="0073697A"/>
    <w:rsid w:val="00736BC3"/>
    <w:rsid w:val="007403B4"/>
    <w:rsid w:val="00740B04"/>
    <w:rsid w:val="00741925"/>
    <w:rsid w:val="00742B55"/>
    <w:rsid w:val="00744A60"/>
    <w:rsid w:val="0074574F"/>
    <w:rsid w:val="00745CE2"/>
    <w:rsid w:val="007505B4"/>
    <w:rsid w:val="00751CDC"/>
    <w:rsid w:val="00753585"/>
    <w:rsid w:val="0075380B"/>
    <w:rsid w:val="0075384E"/>
    <w:rsid w:val="0075407E"/>
    <w:rsid w:val="00757008"/>
    <w:rsid w:val="0075735A"/>
    <w:rsid w:val="007616B0"/>
    <w:rsid w:val="00762D93"/>
    <w:rsid w:val="00764A09"/>
    <w:rsid w:val="00767219"/>
    <w:rsid w:val="007700DE"/>
    <w:rsid w:val="00770695"/>
    <w:rsid w:val="00770E72"/>
    <w:rsid w:val="007715A8"/>
    <w:rsid w:val="007715D1"/>
    <w:rsid w:val="00773D27"/>
    <w:rsid w:val="00774B0A"/>
    <w:rsid w:val="00774F8B"/>
    <w:rsid w:val="00781159"/>
    <w:rsid w:val="007837F5"/>
    <w:rsid w:val="0078391F"/>
    <w:rsid w:val="00784835"/>
    <w:rsid w:val="00784B22"/>
    <w:rsid w:val="00784C79"/>
    <w:rsid w:val="00785C94"/>
    <w:rsid w:val="00787DE1"/>
    <w:rsid w:val="00791F41"/>
    <w:rsid w:val="00792687"/>
    <w:rsid w:val="007946D2"/>
    <w:rsid w:val="00794BA7"/>
    <w:rsid w:val="007971CD"/>
    <w:rsid w:val="007A1CCA"/>
    <w:rsid w:val="007A4908"/>
    <w:rsid w:val="007A637B"/>
    <w:rsid w:val="007A770E"/>
    <w:rsid w:val="007A780C"/>
    <w:rsid w:val="007B0646"/>
    <w:rsid w:val="007B18F7"/>
    <w:rsid w:val="007B196A"/>
    <w:rsid w:val="007B1FC4"/>
    <w:rsid w:val="007B33D3"/>
    <w:rsid w:val="007B6B75"/>
    <w:rsid w:val="007B7494"/>
    <w:rsid w:val="007B7F95"/>
    <w:rsid w:val="007BA56E"/>
    <w:rsid w:val="007BFF4B"/>
    <w:rsid w:val="007C3799"/>
    <w:rsid w:val="007C3E55"/>
    <w:rsid w:val="007C610D"/>
    <w:rsid w:val="007C7CA8"/>
    <w:rsid w:val="007D1DC7"/>
    <w:rsid w:val="007D29B4"/>
    <w:rsid w:val="007D2BA3"/>
    <w:rsid w:val="007D4AE9"/>
    <w:rsid w:val="007D5B98"/>
    <w:rsid w:val="007E120C"/>
    <w:rsid w:val="007E133A"/>
    <w:rsid w:val="007E2F5D"/>
    <w:rsid w:val="007E3D7C"/>
    <w:rsid w:val="007E6624"/>
    <w:rsid w:val="007F0023"/>
    <w:rsid w:val="007F38AC"/>
    <w:rsid w:val="007F4D0F"/>
    <w:rsid w:val="008010B1"/>
    <w:rsid w:val="00801AED"/>
    <w:rsid w:val="00806E08"/>
    <w:rsid w:val="0081222A"/>
    <w:rsid w:val="008139AF"/>
    <w:rsid w:val="008139F0"/>
    <w:rsid w:val="00813FFB"/>
    <w:rsid w:val="008143E9"/>
    <w:rsid w:val="008144A8"/>
    <w:rsid w:val="00815A34"/>
    <w:rsid w:val="00816786"/>
    <w:rsid w:val="00820F8C"/>
    <w:rsid w:val="00822622"/>
    <w:rsid w:val="00823F21"/>
    <w:rsid w:val="00824555"/>
    <w:rsid w:val="008255B3"/>
    <w:rsid w:val="008263E1"/>
    <w:rsid w:val="00826718"/>
    <w:rsid w:val="008274DE"/>
    <w:rsid w:val="00827A61"/>
    <w:rsid w:val="00830A90"/>
    <w:rsid w:val="00831844"/>
    <w:rsid w:val="00831BA8"/>
    <w:rsid w:val="008355B9"/>
    <w:rsid w:val="00835692"/>
    <w:rsid w:val="00837710"/>
    <w:rsid w:val="008379CC"/>
    <w:rsid w:val="0084072A"/>
    <w:rsid w:val="0084162E"/>
    <w:rsid w:val="008431B8"/>
    <w:rsid w:val="00844538"/>
    <w:rsid w:val="008464FF"/>
    <w:rsid w:val="00846A55"/>
    <w:rsid w:val="00846E57"/>
    <w:rsid w:val="008475C2"/>
    <w:rsid w:val="0084768A"/>
    <w:rsid w:val="00847D29"/>
    <w:rsid w:val="00851177"/>
    <w:rsid w:val="00851A1D"/>
    <w:rsid w:val="00853CFE"/>
    <w:rsid w:val="00853D08"/>
    <w:rsid w:val="00854ACA"/>
    <w:rsid w:val="00855C82"/>
    <w:rsid w:val="00856276"/>
    <w:rsid w:val="00861C05"/>
    <w:rsid w:val="00863C41"/>
    <w:rsid w:val="00864CC6"/>
    <w:rsid w:val="008651C5"/>
    <w:rsid w:val="0086571E"/>
    <w:rsid w:val="00874153"/>
    <w:rsid w:val="008819C7"/>
    <w:rsid w:val="00881B38"/>
    <w:rsid w:val="00883050"/>
    <w:rsid w:val="0088414A"/>
    <w:rsid w:val="00885138"/>
    <w:rsid w:val="008854EF"/>
    <w:rsid w:val="00885790"/>
    <w:rsid w:val="008858D5"/>
    <w:rsid w:val="00887B38"/>
    <w:rsid w:val="008913D9"/>
    <w:rsid w:val="00891FB7"/>
    <w:rsid w:val="00893377"/>
    <w:rsid w:val="00895CE6"/>
    <w:rsid w:val="00896E31"/>
    <w:rsid w:val="00897EDF"/>
    <w:rsid w:val="008A375A"/>
    <w:rsid w:val="008A3888"/>
    <w:rsid w:val="008A41C2"/>
    <w:rsid w:val="008A5687"/>
    <w:rsid w:val="008A64E9"/>
    <w:rsid w:val="008A6EFB"/>
    <w:rsid w:val="008B03C8"/>
    <w:rsid w:val="008B05C4"/>
    <w:rsid w:val="008B13D1"/>
    <w:rsid w:val="008B3EF8"/>
    <w:rsid w:val="008B4372"/>
    <w:rsid w:val="008B49CF"/>
    <w:rsid w:val="008B57F1"/>
    <w:rsid w:val="008B73B7"/>
    <w:rsid w:val="008B77CC"/>
    <w:rsid w:val="008B7EED"/>
    <w:rsid w:val="008C225F"/>
    <w:rsid w:val="008C2319"/>
    <w:rsid w:val="008C4034"/>
    <w:rsid w:val="008C6AE8"/>
    <w:rsid w:val="008D0BB7"/>
    <w:rsid w:val="008D370B"/>
    <w:rsid w:val="008D3A39"/>
    <w:rsid w:val="008D41D6"/>
    <w:rsid w:val="008D4ADC"/>
    <w:rsid w:val="008D6751"/>
    <w:rsid w:val="008E1993"/>
    <w:rsid w:val="008E2DB2"/>
    <w:rsid w:val="008E2E39"/>
    <w:rsid w:val="008E46BA"/>
    <w:rsid w:val="008E6EB4"/>
    <w:rsid w:val="008E7457"/>
    <w:rsid w:val="008F1811"/>
    <w:rsid w:val="008F55FD"/>
    <w:rsid w:val="008F6785"/>
    <w:rsid w:val="009005FA"/>
    <w:rsid w:val="00904BC7"/>
    <w:rsid w:val="009119AB"/>
    <w:rsid w:val="00913CD3"/>
    <w:rsid w:val="009151ED"/>
    <w:rsid w:val="0091570E"/>
    <w:rsid w:val="00915B95"/>
    <w:rsid w:val="009167B3"/>
    <w:rsid w:val="00916FD6"/>
    <w:rsid w:val="00921987"/>
    <w:rsid w:val="00922A94"/>
    <w:rsid w:val="00924869"/>
    <w:rsid w:val="0092593F"/>
    <w:rsid w:val="0092680F"/>
    <w:rsid w:val="00926D82"/>
    <w:rsid w:val="009276A8"/>
    <w:rsid w:val="00927974"/>
    <w:rsid w:val="00934928"/>
    <w:rsid w:val="00936EFA"/>
    <w:rsid w:val="009371D4"/>
    <w:rsid w:val="0093737A"/>
    <w:rsid w:val="00941234"/>
    <w:rsid w:val="00943BEA"/>
    <w:rsid w:val="00946515"/>
    <w:rsid w:val="009477BC"/>
    <w:rsid w:val="00947D9B"/>
    <w:rsid w:val="009505A8"/>
    <w:rsid w:val="00951348"/>
    <w:rsid w:val="00951F33"/>
    <w:rsid w:val="0095287C"/>
    <w:rsid w:val="00953288"/>
    <w:rsid w:val="00953B5E"/>
    <w:rsid w:val="00954043"/>
    <w:rsid w:val="00954EC7"/>
    <w:rsid w:val="00957B6C"/>
    <w:rsid w:val="00957F31"/>
    <w:rsid w:val="00960105"/>
    <w:rsid w:val="0096186E"/>
    <w:rsid w:val="00962A6D"/>
    <w:rsid w:val="00962F83"/>
    <w:rsid w:val="00964B1D"/>
    <w:rsid w:val="00964F06"/>
    <w:rsid w:val="009652C7"/>
    <w:rsid w:val="00966173"/>
    <w:rsid w:val="00974E94"/>
    <w:rsid w:val="00975637"/>
    <w:rsid w:val="00975DCD"/>
    <w:rsid w:val="009767ED"/>
    <w:rsid w:val="0098087A"/>
    <w:rsid w:val="00982572"/>
    <w:rsid w:val="009836D4"/>
    <w:rsid w:val="009846D9"/>
    <w:rsid w:val="00986309"/>
    <w:rsid w:val="009868E6"/>
    <w:rsid w:val="00987286"/>
    <w:rsid w:val="009904B1"/>
    <w:rsid w:val="00990E68"/>
    <w:rsid w:val="00991C58"/>
    <w:rsid w:val="00994262"/>
    <w:rsid w:val="009953EE"/>
    <w:rsid w:val="009955D8"/>
    <w:rsid w:val="00995F7C"/>
    <w:rsid w:val="00996BDE"/>
    <w:rsid w:val="0099749B"/>
    <w:rsid w:val="009974C7"/>
    <w:rsid w:val="009A178B"/>
    <w:rsid w:val="009A26D7"/>
    <w:rsid w:val="009A27AF"/>
    <w:rsid w:val="009B14B4"/>
    <w:rsid w:val="009B20D3"/>
    <w:rsid w:val="009B322C"/>
    <w:rsid w:val="009B6ABA"/>
    <w:rsid w:val="009B6FED"/>
    <w:rsid w:val="009B73AB"/>
    <w:rsid w:val="009B7D11"/>
    <w:rsid w:val="009C01C2"/>
    <w:rsid w:val="009C0FE6"/>
    <w:rsid w:val="009C165F"/>
    <w:rsid w:val="009C1AA5"/>
    <w:rsid w:val="009C2364"/>
    <w:rsid w:val="009C4674"/>
    <w:rsid w:val="009C4F18"/>
    <w:rsid w:val="009C4F72"/>
    <w:rsid w:val="009C655C"/>
    <w:rsid w:val="009C6A43"/>
    <w:rsid w:val="009C6EFC"/>
    <w:rsid w:val="009D41CC"/>
    <w:rsid w:val="009D4786"/>
    <w:rsid w:val="009D4A2F"/>
    <w:rsid w:val="009D62F6"/>
    <w:rsid w:val="009D6B4E"/>
    <w:rsid w:val="009D7109"/>
    <w:rsid w:val="009D71FB"/>
    <w:rsid w:val="009D79F2"/>
    <w:rsid w:val="009E0FCD"/>
    <w:rsid w:val="009E1AFC"/>
    <w:rsid w:val="009E38A2"/>
    <w:rsid w:val="009E4198"/>
    <w:rsid w:val="009E4FA8"/>
    <w:rsid w:val="009E58D5"/>
    <w:rsid w:val="009E6242"/>
    <w:rsid w:val="009E703E"/>
    <w:rsid w:val="009E7BDC"/>
    <w:rsid w:val="009F348B"/>
    <w:rsid w:val="009F5DA3"/>
    <w:rsid w:val="009F685D"/>
    <w:rsid w:val="00A001A9"/>
    <w:rsid w:val="00A00475"/>
    <w:rsid w:val="00A0079B"/>
    <w:rsid w:val="00A009EB"/>
    <w:rsid w:val="00A0167E"/>
    <w:rsid w:val="00A0199E"/>
    <w:rsid w:val="00A01FCD"/>
    <w:rsid w:val="00A028E5"/>
    <w:rsid w:val="00A02E40"/>
    <w:rsid w:val="00A03D08"/>
    <w:rsid w:val="00A03E86"/>
    <w:rsid w:val="00A058CA"/>
    <w:rsid w:val="00A05BDF"/>
    <w:rsid w:val="00A0676E"/>
    <w:rsid w:val="00A06B1C"/>
    <w:rsid w:val="00A10ABC"/>
    <w:rsid w:val="00A11D53"/>
    <w:rsid w:val="00A134EB"/>
    <w:rsid w:val="00A14668"/>
    <w:rsid w:val="00A150EB"/>
    <w:rsid w:val="00A15E9A"/>
    <w:rsid w:val="00A17BB0"/>
    <w:rsid w:val="00A218A8"/>
    <w:rsid w:val="00A21BA5"/>
    <w:rsid w:val="00A231A2"/>
    <w:rsid w:val="00A25EB0"/>
    <w:rsid w:val="00A261C4"/>
    <w:rsid w:val="00A26FF0"/>
    <w:rsid w:val="00A278C6"/>
    <w:rsid w:val="00A3055C"/>
    <w:rsid w:val="00A311C8"/>
    <w:rsid w:val="00A31DCB"/>
    <w:rsid w:val="00A3387C"/>
    <w:rsid w:val="00A348EC"/>
    <w:rsid w:val="00A34FE2"/>
    <w:rsid w:val="00A36229"/>
    <w:rsid w:val="00A377B3"/>
    <w:rsid w:val="00A37AF8"/>
    <w:rsid w:val="00A42422"/>
    <w:rsid w:val="00A42DA7"/>
    <w:rsid w:val="00A43050"/>
    <w:rsid w:val="00A46AFD"/>
    <w:rsid w:val="00A47333"/>
    <w:rsid w:val="00A51D52"/>
    <w:rsid w:val="00A5663F"/>
    <w:rsid w:val="00A57357"/>
    <w:rsid w:val="00A57A21"/>
    <w:rsid w:val="00A611EE"/>
    <w:rsid w:val="00A6411A"/>
    <w:rsid w:val="00A641F6"/>
    <w:rsid w:val="00A65C51"/>
    <w:rsid w:val="00A67651"/>
    <w:rsid w:val="00A679F5"/>
    <w:rsid w:val="00A709A9"/>
    <w:rsid w:val="00A71419"/>
    <w:rsid w:val="00A71B4A"/>
    <w:rsid w:val="00A72F8A"/>
    <w:rsid w:val="00A743E2"/>
    <w:rsid w:val="00A75516"/>
    <w:rsid w:val="00A75645"/>
    <w:rsid w:val="00A75B54"/>
    <w:rsid w:val="00A76621"/>
    <w:rsid w:val="00A771B9"/>
    <w:rsid w:val="00A80F6E"/>
    <w:rsid w:val="00A8125D"/>
    <w:rsid w:val="00A81CA1"/>
    <w:rsid w:val="00A82E53"/>
    <w:rsid w:val="00A83498"/>
    <w:rsid w:val="00A84901"/>
    <w:rsid w:val="00A85D23"/>
    <w:rsid w:val="00A8662B"/>
    <w:rsid w:val="00A877AE"/>
    <w:rsid w:val="00A91523"/>
    <w:rsid w:val="00A91C8C"/>
    <w:rsid w:val="00A92874"/>
    <w:rsid w:val="00A949A4"/>
    <w:rsid w:val="00A95ABE"/>
    <w:rsid w:val="00A95AF1"/>
    <w:rsid w:val="00A95B58"/>
    <w:rsid w:val="00A96C6A"/>
    <w:rsid w:val="00AA1381"/>
    <w:rsid w:val="00AA15A7"/>
    <w:rsid w:val="00AA52B0"/>
    <w:rsid w:val="00AA6329"/>
    <w:rsid w:val="00AA6E28"/>
    <w:rsid w:val="00AB146D"/>
    <w:rsid w:val="00AB2622"/>
    <w:rsid w:val="00AB29A9"/>
    <w:rsid w:val="00AB2F7F"/>
    <w:rsid w:val="00AB31BA"/>
    <w:rsid w:val="00AB561A"/>
    <w:rsid w:val="00AB68FC"/>
    <w:rsid w:val="00AB7526"/>
    <w:rsid w:val="00AB7DD7"/>
    <w:rsid w:val="00AC015E"/>
    <w:rsid w:val="00AC0A39"/>
    <w:rsid w:val="00AC0D75"/>
    <w:rsid w:val="00AC0F56"/>
    <w:rsid w:val="00AC0F6D"/>
    <w:rsid w:val="00AC2DB6"/>
    <w:rsid w:val="00AC49E3"/>
    <w:rsid w:val="00AD6EEC"/>
    <w:rsid w:val="00AD76CC"/>
    <w:rsid w:val="00AD7C6E"/>
    <w:rsid w:val="00AE1063"/>
    <w:rsid w:val="00AE3342"/>
    <w:rsid w:val="00AE5324"/>
    <w:rsid w:val="00AE6B56"/>
    <w:rsid w:val="00AE759D"/>
    <w:rsid w:val="00AF4513"/>
    <w:rsid w:val="00AF4B1F"/>
    <w:rsid w:val="00AF5EBA"/>
    <w:rsid w:val="00AF7643"/>
    <w:rsid w:val="00B00E8A"/>
    <w:rsid w:val="00B01D98"/>
    <w:rsid w:val="00B0257F"/>
    <w:rsid w:val="00B033D2"/>
    <w:rsid w:val="00B03E96"/>
    <w:rsid w:val="00B04BEC"/>
    <w:rsid w:val="00B070D7"/>
    <w:rsid w:val="00B07926"/>
    <w:rsid w:val="00B1113D"/>
    <w:rsid w:val="00B11368"/>
    <w:rsid w:val="00B16A57"/>
    <w:rsid w:val="00B20F1D"/>
    <w:rsid w:val="00B22539"/>
    <w:rsid w:val="00B234EC"/>
    <w:rsid w:val="00B236FC"/>
    <w:rsid w:val="00B23D9C"/>
    <w:rsid w:val="00B2485B"/>
    <w:rsid w:val="00B27CE7"/>
    <w:rsid w:val="00B3145D"/>
    <w:rsid w:val="00B31ABC"/>
    <w:rsid w:val="00B3785B"/>
    <w:rsid w:val="00B42723"/>
    <w:rsid w:val="00B42AF4"/>
    <w:rsid w:val="00B4765A"/>
    <w:rsid w:val="00B50710"/>
    <w:rsid w:val="00B50718"/>
    <w:rsid w:val="00B510E5"/>
    <w:rsid w:val="00B55806"/>
    <w:rsid w:val="00B55C76"/>
    <w:rsid w:val="00B55D54"/>
    <w:rsid w:val="00B57285"/>
    <w:rsid w:val="00B57718"/>
    <w:rsid w:val="00B57C40"/>
    <w:rsid w:val="00B6251B"/>
    <w:rsid w:val="00B6745B"/>
    <w:rsid w:val="00B67E2E"/>
    <w:rsid w:val="00B72248"/>
    <w:rsid w:val="00B7244A"/>
    <w:rsid w:val="00B72874"/>
    <w:rsid w:val="00B744BF"/>
    <w:rsid w:val="00B75097"/>
    <w:rsid w:val="00B756D7"/>
    <w:rsid w:val="00B76931"/>
    <w:rsid w:val="00B81C9B"/>
    <w:rsid w:val="00B820EF"/>
    <w:rsid w:val="00B8291C"/>
    <w:rsid w:val="00B86B15"/>
    <w:rsid w:val="00B87963"/>
    <w:rsid w:val="00B87B2A"/>
    <w:rsid w:val="00B8FBF0"/>
    <w:rsid w:val="00B910A0"/>
    <w:rsid w:val="00B911D7"/>
    <w:rsid w:val="00B92206"/>
    <w:rsid w:val="00B93303"/>
    <w:rsid w:val="00B935E1"/>
    <w:rsid w:val="00B94548"/>
    <w:rsid w:val="00B94617"/>
    <w:rsid w:val="00B963FC"/>
    <w:rsid w:val="00BA03AF"/>
    <w:rsid w:val="00BA079C"/>
    <w:rsid w:val="00BA0830"/>
    <w:rsid w:val="00BA1420"/>
    <w:rsid w:val="00BA26C1"/>
    <w:rsid w:val="00BA2862"/>
    <w:rsid w:val="00BA2A9A"/>
    <w:rsid w:val="00BA3EBE"/>
    <w:rsid w:val="00BA7096"/>
    <w:rsid w:val="00BA7F7E"/>
    <w:rsid w:val="00BB0240"/>
    <w:rsid w:val="00BB66E1"/>
    <w:rsid w:val="00BB6BEC"/>
    <w:rsid w:val="00BB7815"/>
    <w:rsid w:val="00BB7B59"/>
    <w:rsid w:val="00BC35DF"/>
    <w:rsid w:val="00BC4554"/>
    <w:rsid w:val="00BC4578"/>
    <w:rsid w:val="00BC5F5B"/>
    <w:rsid w:val="00BD1545"/>
    <w:rsid w:val="00BD46A6"/>
    <w:rsid w:val="00BD627D"/>
    <w:rsid w:val="00BD6C29"/>
    <w:rsid w:val="00BE2229"/>
    <w:rsid w:val="00BE3040"/>
    <w:rsid w:val="00BE6BED"/>
    <w:rsid w:val="00BE728C"/>
    <w:rsid w:val="00BE7F19"/>
    <w:rsid w:val="00BF0583"/>
    <w:rsid w:val="00BF1EA9"/>
    <w:rsid w:val="00BF2D86"/>
    <w:rsid w:val="00BF40A4"/>
    <w:rsid w:val="00BF4DC8"/>
    <w:rsid w:val="00BF54E9"/>
    <w:rsid w:val="00BF5A84"/>
    <w:rsid w:val="00C01112"/>
    <w:rsid w:val="00C01CE7"/>
    <w:rsid w:val="00C03AA6"/>
    <w:rsid w:val="00C04D37"/>
    <w:rsid w:val="00C05A73"/>
    <w:rsid w:val="00C05C03"/>
    <w:rsid w:val="00C1008F"/>
    <w:rsid w:val="00C104F4"/>
    <w:rsid w:val="00C10B4E"/>
    <w:rsid w:val="00C112A3"/>
    <w:rsid w:val="00C11B72"/>
    <w:rsid w:val="00C1359B"/>
    <w:rsid w:val="00C13D5B"/>
    <w:rsid w:val="00C151E0"/>
    <w:rsid w:val="00C16116"/>
    <w:rsid w:val="00C165EB"/>
    <w:rsid w:val="00C26FF2"/>
    <w:rsid w:val="00C27605"/>
    <w:rsid w:val="00C301A2"/>
    <w:rsid w:val="00C3232B"/>
    <w:rsid w:val="00C32990"/>
    <w:rsid w:val="00C32D03"/>
    <w:rsid w:val="00C33A12"/>
    <w:rsid w:val="00C3615E"/>
    <w:rsid w:val="00C42355"/>
    <w:rsid w:val="00C4397C"/>
    <w:rsid w:val="00C43FE1"/>
    <w:rsid w:val="00C44A7F"/>
    <w:rsid w:val="00C46EAE"/>
    <w:rsid w:val="00C47490"/>
    <w:rsid w:val="00C47A29"/>
    <w:rsid w:val="00C50A06"/>
    <w:rsid w:val="00C52DC6"/>
    <w:rsid w:val="00C56CB5"/>
    <w:rsid w:val="00C576AA"/>
    <w:rsid w:val="00C60134"/>
    <w:rsid w:val="00C6291B"/>
    <w:rsid w:val="00C62947"/>
    <w:rsid w:val="00C62F84"/>
    <w:rsid w:val="00C63123"/>
    <w:rsid w:val="00C63332"/>
    <w:rsid w:val="00C64A75"/>
    <w:rsid w:val="00C654BC"/>
    <w:rsid w:val="00C65572"/>
    <w:rsid w:val="00C65708"/>
    <w:rsid w:val="00C665D3"/>
    <w:rsid w:val="00C6714D"/>
    <w:rsid w:val="00C6724E"/>
    <w:rsid w:val="00C67B03"/>
    <w:rsid w:val="00C716B3"/>
    <w:rsid w:val="00C7318E"/>
    <w:rsid w:val="00C73DF6"/>
    <w:rsid w:val="00C73F56"/>
    <w:rsid w:val="00C801A6"/>
    <w:rsid w:val="00C81FE0"/>
    <w:rsid w:val="00C8315D"/>
    <w:rsid w:val="00C83881"/>
    <w:rsid w:val="00C847EE"/>
    <w:rsid w:val="00C86C38"/>
    <w:rsid w:val="00C87C3A"/>
    <w:rsid w:val="00C9061E"/>
    <w:rsid w:val="00C90A0F"/>
    <w:rsid w:val="00C911D8"/>
    <w:rsid w:val="00C92989"/>
    <w:rsid w:val="00C93373"/>
    <w:rsid w:val="00C94AC6"/>
    <w:rsid w:val="00C94D71"/>
    <w:rsid w:val="00C9519B"/>
    <w:rsid w:val="00CA109C"/>
    <w:rsid w:val="00CA377F"/>
    <w:rsid w:val="00CA3BF8"/>
    <w:rsid w:val="00CA5406"/>
    <w:rsid w:val="00CA67DA"/>
    <w:rsid w:val="00CA750F"/>
    <w:rsid w:val="00CA7CDE"/>
    <w:rsid w:val="00CB0EBC"/>
    <w:rsid w:val="00CB1B58"/>
    <w:rsid w:val="00CB2832"/>
    <w:rsid w:val="00CB3432"/>
    <w:rsid w:val="00CB479E"/>
    <w:rsid w:val="00CB4938"/>
    <w:rsid w:val="00CB768D"/>
    <w:rsid w:val="00CC11FB"/>
    <w:rsid w:val="00CC1250"/>
    <w:rsid w:val="00CC4919"/>
    <w:rsid w:val="00CC629B"/>
    <w:rsid w:val="00CC62DA"/>
    <w:rsid w:val="00CC767A"/>
    <w:rsid w:val="00CC7CAE"/>
    <w:rsid w:val="00CC7F00"/>
    <w:rsid w:val="00CD2694"/>
    <w:rsid w:val="00CD30C0"/>
    <w:rsid w:val="00CD7918"/>
    <w:rsid w:val="00CD7FFA"/>
    <w:rsid w:val="00CE0770"/>
    <w:rsid w:val="00CE0F92"/>
    <w:rsid w:val="00CE12AB"/>
    <w:rsid w:val="00CE198E"/>
    <w:rsid w:val="00CE1E17"/>
    <w:rsid w:val="00CE20A7"/>
    <w:rsid w:val="00CE2655"/>
    <w:rsid w:val="00CE71D9"/>
    <w:rsid w:val="00CF0AC4"/>
    <w:rsid w:val="00CF0E95"/>
    <w:rsid w:val="00CF27BD"/>
    <w:rsid w:val="00CF2E32"/>
    <w:rsid w:val="00CF6842"/>
    <w:rsid w:val="00CF6A38"/>
    <w:rsid w:val="00D00433"/>
    <w:rsid w:val="00D01C6E"/>
    <w:rsid w:val="00D02DFB"/>
    <w:rsid w:val="00D03BC6"/>
    <w:rsid w:val="00D04742"/>
    <w:rsid w:val="00D05B60"/>
    <w:rsid w:val="00D06785"/>
    <w:rsid w:val="00D107A7"/>
    <w:rsid w:val="00D1342C"/>
    <w:rsid w:val="00D135C3"/>
    <w:rsid w:val="00D13682"/>
    <w:rsid w:val="00D142D6"/>
    <w:rsid w:val="00D15C50"/>
    <w:rsid w:val="00D169F9"/>
    <w:rsid w:val="00D214B9"/>
    <w:rsid w:val="00D22C28"/>
    <w:rsid w:val="00D26931"/>
    <w:rsid w:val="00D320D6"/>
    <w:rsid w:val="00D345F5"/>
    <w:rsid w:val="00D35A01"/>
    <w:rsid w:val="00D35F08"/>
    <w:rsid w:val="00D35FE0"/>
    <w:rsid w:val="00D36171"/>
    <w:rsid w:val="00D362BC"/>
    <w:rsid w:val="00D40848"/>
    <w:rsid w:val="00D42025"/>
    <w:rsid w:val="00D4215F"/>
    <w:rsid w:val="00D43612"/>
    <w:rsid w:val="00D44A5F"/>
    <w:rsid w:val="00D45B54"/>
    <w:rsid w:val="00D46BF5"/>
    <w:rsid w:val="00D47DEF"/>
    <w:rsid w:val="00D500A1"/>
    <w:rsid w:val="00D50F00"/>
    <w:rsid w:val="00D5122F"/>
    <w:rsid w:val="00D514CA"/>
    <w:rsid w:val="00D518EE"/>
    <w:rsid w:val="00D545EA"/>
    <w:rsid w:val="00D54F37"/>
    <w:rsid w:val="00D55B14"/>
    <w:rsid w:val="00D57007"/>
    <w:rsid w:val="00D57D9D"/>
    <w:rsid w:val="00D6045D"/>
    <w:rsid w:val="00D66491"/>
    <w:rsid w:val="00D678B5"/>
    <w:rsid w:val="00D71A10"/>
    <w:rsid w:val="00D73504"/>
    <w:rsid w:val="00D76E51"/>
    <w:rsid w:val="00D81A67"/>
    <w:rsid w:val="00D81BE8"/>
    <w:rsid w:val="00D82DCF"/>
    <w:rsid w:val="00D84890"/>
    <w:rsid w:val="00D856EC"/>
    <w:rsid w:val="00D8670E"/>
    <w:rsid w:val="00D87C62"/>
    <w:rsid w:val="00D9052F"/>
    <w:rsid w:val="00D90D33"/>
    <w:rsid w:val="00D911F3"/>
    <w:rsid w:val="00D93B1D"/>
    <w:rsid w:val="00D9596F"/>
    <w:rsid w:val="00D95AD8"/>
    <w:rsid w:val="00D95DC1"/>
    <w:rsid w:val="00D96329"/>
    <w:rsid w:val="00DA02EF"/>
    <w:rsid w:val="00DA292D"/>
    <w:rsid w:val="00DA318E"/>
    <w:rsid w:val="00DA3B4C"/>
    <w:rsid w:val="00DA3FEA"/>
    <w:rsid w:val="00DB1F4F"/>
    <w:rsid w:val="00DB2656"/>
    <w:rsid w:val="00DB281C"/>
    <w:rsid w:val="00DB3BD5"/>
    <w:rsid w:val="00DB4BF6"/>
    <w:rsid w:val="00DC2162"/>
    <w:rsid w:val="00DC243F"/>
    <w:rsid w:val="00DC377C"/>
    <w:rsid w:val="00DC3E29"/>
    <w:rsid w:val="00DC588D"/>
    <w:rsid w:val="00DC6278"/>
    <w:rsid w:val="00DD0594"/>
    <w:rsid w:val="00DD217E"/>
    <w:rsid w:val="00DD21DF"/>
    <w:rsid w:val="00DD34A2"/>
    <w:rsid w:val="00DD3E51"/>
    <w:rsid w:val="00DD4190"/>
    <w:rsid w:val="00DD4E32"/>
    <w:rsid w:val="00DD6B5F"/>
    <w:rsid w:val="00DD6CFE"/>
    <w:rsid w:val="00DE0FC3"/>
    <w:rsid w:val="00DE283E"/>
    <w:rsid w:val="00DF2965"/>
    <w:rsid w:val="00DF3A08"/>
    <w:rsid w:val="00DF3AAB"/>
    <w:rsid w:val="00DF575C"/>
    <w:rsid w:val="00DF67BC"/>
    <w:rsid w:val="00DF745E"/>
    <w:rsid w:val="00E00EA7"/>
    <w:rsid w:val="00E03109"/>
    <w:rsid w:val="00E03F37"/>
    <w:rsid w:val="00E050EB"/>
    <w:rsid w:val="00E054DF"/>
    <w:rsid w:val="00E064E5"/>
    <w:rsid w:val="00E106BA"/>
    <w:rsid w:val="00E129A5"/>
    <w:rsid w:val="00E13B1D"/>
    <w:rsid w:val="00E14579"/>
    <w:rsid w:val="00E15624"/>
    <w:rsid w:val="00E16481"/>
    <w:rsid w:val="00E167F6"/>
    <w:rsid w:val="00E17008"/>
    <w:rsid w:val="00E1760C"/>
    <w:rsid w:val="00E1791E"/>
    <w:rsid w:val="00E20E18"/>
    <w:rsid w:val="00E21E41"/>
    <w:rsid w:val="00E25A2B"/>
    <w:rsid w:val="00E261DB"/>
    <w:rsid w:val="00E2638F"/>
    <w:rsid w:val="00E3062A"/>
    <w:rsid w:val="00E3186F"/>
    <w:rsid w:val="00E31A8A"/>
    <w:rsid w:val="00E31B59"/>
    <w:rsid w:val="00E328BA"/>
    <w:rsid w:val="00E365FF"/>
    <w:rsid w:val="00E4051C"/>
    <w:rsid w:val="00E41E2C"/>
    <w:rsid w:val="00E44887"/>
    <w:rsid w:val="00E47194"/>
    <w:rsid w:val="00E4759D"/>
    <w:rsid w:val="00E51054"/>
    <w:rsid w:val="00E522BA"/>
    <w:rsid w:val="00E5320F"/>
    <w:rsid w:val="00E541F3"/>
    <w:rsid w:val="00E54D34"/>
    <w:rsid w:val="00E55906"/>
    <w:rsid w:val="00E57032"/>
    <w:rsid w:val="00E57510"/>
    <w:rsid w:val="00E575DE"/>
    <w:rsid w:val="00E57ECC"/>
    <w:rsid w:val="00E61DC1"/>
    <w:rsid w:val="00E62911"/>
    <w:rsid w:val="00E63854"/>
    <w:rsid w:val="00E67C43"/>
    <w:rsid w:val="00E67F89"/>
    <w:rsid w:val="00E72FBA"/>
    <w:rsid w:val="00E732F8"/>
    <w:rsid w:val="00E7445F"/>
    <w:rsid w:val="00E76CA2"/>
    <w:rsid w:val="00E80185"/>
    <w:rsid w:val="00E80EB3"/>
    <w:rsid w:val="00E82B74"/>
    <w:rsid w:val="00E84EC9"/>
    <w:rsid w:val="00E85B6D"/>
    <w:rsid w:val="00E86595"/>
    <w:rsid w:val="00E8737B"/>
    <w:rsid w:val="00E87A90"/>
    <w:rsid w:val="00E9087C"/>
    <w:rsid w:val="00E91086"/>
    <w:rsid w:val="00E92633"/>
    <w:rsid w:val="00E93202"/>
    <w:rsid w:val="00E937AC"/>
    <w:rsid w:val="00E93800"/>
    <w:rsid w:val="00E9509B"/>
    <w:rsid w:val="00E95631"/>
    <w:rsid w:val="00E960C3"/>
    <w:rsid w:val="00EA03D3"/>
    <w:rsid w:val="00EA2383"/>
    <w:rsid w:val="00EA25E6"/>
    <w:rsid w:val="00EA46FE"/>
    <w:rsid w:val="00EA5192"/>
    <w:rsid w:val="00EA522A"/>
    <w:rsid w:val="00EA6601"/>
    <w:rsid w:val="00EA690E"/>
    <w:rsid w:val="00EA6A52"/>
    <w:rsid w:val="00EA6D56"/>
    <w:rsid w:val="00EB1995"/>
    <w:rsid w:val="00EB2BDF"/>
    <w:rsid w:val="00EB2EE4"/>
    <w:rsid w:val="00EB4255"/>
    <w:rsid w:val="00EB5416"/>
    <w:rsid w:val="00EB7800"/>
    <w:rsid w:val="00EC03D8"/>
    <w:rsid w:val="00EC16B3"/>
    <w:rsid w:val="00EC1879"/>
    <w:rsid w:val="00EC3161"/>
    <w:rsid w:val="00EC609C"/>
    <w:rsid w:val="00EC6243"/>
    <w:rsid w:val="00EC6DA7"/>
    <w:rsid w:val="00ED11A8"/>
    <w:rsid w:val="00ED12F6"/>
    <w:rsid w:val="00ED1BF9"/>
    <w:rsid w:val="00ED4953"/>
    <w:rsid w:val="00ED4B62"/>
    <w:rsid w:val="00ED6AA7"/>
    <w:rsid w:val="00EE0080"/>
    <w:rsid w:val="00EE02E5"/>
    <w:rsid w:val="00EE1D5E"/>
    <w:rsid w:val="00EE3905"/>
    <w:rsid w:val="00EE3B08"/>
    <w:rsid w:val="00EE407A"/>
    <w:rsid w:val="00EE48FD"/>
    <w:rsid w:val="00EE49BB"/>
    <w:rsid w:val="00EF2514"/>
    <w:rsid w:val="00EF2B79"/>
    <w:rsid w:val="00EF3254"/>
    <w:rsid w:val="00EF3C00"/>
    <w:rsid w:val="00EF4097"/>
    <w:rsid w:val="00EF6701"/>
    <w:rsid w:val="00EF6D69"/>
    <w:rsid w:val="00F00DFE"/>
    <w:rsid w:val="00F01175"/>
    <w:rsid w:val="00F02913"/>
    <w:rsid w:val="00F02A7E"/>
    <w:rsid w:val="00F03943"/>
    <w:rsid w:val="00F041D9"/>
    <w:rsid w:val="00F07374"/>
    <w:rsid w:val="00F07704"/>
    <w:rsid w:val="00F07D35"/>
    <w:rsid w:val="00F1017C"/>
    <w:rsid w:val="00F10AAC"/>
    <w:rsid w:val="00F10D72"/>
    <w:rsid w:val="00F11404"/>
    <w:rsid w:val="00F13FC6"/>
    <w:rsid w:val="00F14586"/>
    <w:rsid w:val="00F14AAB"/>
    <w:rsid w:val="00F17E0C"/>
    <w:rsid w:val="00F2002E"/>
    <w:rsid w:val="00F22CFF"/>
    <w:rsid w:val="00F22F13"/>
    <w:rsid w:val="00F23117"/>
    <w:rsid w:val="00F2370C"/>
    <w:rsid w:val="00F247F7"/>
    <w:rsid w:val="00F3243E"/>
    <w:rsid w:val="00F32D1B"/>
    <w:rsid w:val="00F330A5"/>
    <w:rsid w:val="00F33C35"/>
    <w:rsid w:val="00F33CFC"/>
    <w:rsid w:val="00F373E5"/>
    <w:rsid w:val="00F37BC4"/>
    <w:rsid w:val="00F41264"/>
    <w:rsid w:val="00F4195A"/>
    <w:rsid w:val="00F44CB7"/>
    <w:rsid w:val="00F46B93"/>
    <w:rsid w:val="00F5174D"/>
    <w:rsid w:val="00F54A55"/>
    <w:rsid w:val="00F55471"/>
    <w:rsid w:val="00F55B27"/>
    <w:rsid w:val="00F573A1"/>
    <w:rsid w:val="00F6096B"/>
    <w:rsid w:val="00F61CCE"/>
    <w:rsid w:val="00F6445B"/>
    <w:rsid w:val="00F64AA8"/>
    <w:rsid w:val="00F65186"/>
    <w:rsid w:val="00F658C0"/>
    <w:rsid w:val="00F66CD1"/>
    <w:rsid w:val="00F66E10"/>
    <w:rsid w:val="00F66FC6"/>
    <w:rsid w:val="00F67DBB"/>
    <w:rsid w:val="00F70BD6"/>
    <w:rsid w:val="00F732F9"/>
    <w:rsid w:val="00F74223"/>
    <w:rsid w:val="00F74ED3"/>
    <w:rsid w:val="00F7756A"/>
    <w:rsid w:val="00F77B12"/>
    <w:rsid w:val="00F77FF0"/>
    <w:rsid w:val="00F827EE"/>
    <w:rsid w:val="00F83A5F"/>
    <w:rsid w:val="00F85677"/>
    <w:rsid w:val="00F8654A"/>
    <w:rsid w:val="00F873B5"/>
    <w:rsid w:val="00F90696"/>
    <w:rsid w:val="00F91372"/>
    <w:rsid w:val="00F92890"/>
    <w:rsid w:val="00F95AEC"/>
    <w:rsid w:val="00F96603"/>
    <w:rsid w:val="00F967C4"/>
    <w:rsid w:val="00F97687"/>
    <w:rsid w:val="00F979FD"/>
    <w:rsid w:val="00F97C7A"/>
    <w:rsid w:val="00FA0123"/>
    <w:rsid w:val="00FA1D74"/>
    <w:rsid w:val="00FA2915"/>
    <w:rsid w:val="00FA3DC7"/>
    <w:rsid w:val="00FB0526"/>
    <w:rsid w:val="00FB0E73"/>
    <w:rsid w:val="00FB273F"/>
    <w:rsid w:val="00FB3AA8"/>
    <w:rsid w:val="00FB4A2D"/>
    <w:rsid w:val="00FB4C8E"/>
    <w:rsid w:val="00FB52BA"/>
    <w:rsid w:val="00FB5364"/>
    <w:rsid w:val="00FB69E5"/>
    <w:rsid w:val="00FB7597"/>
    <w:rsid w:val="00FB8A60"/>
    <w:rsid w:val="00FC09EB"/>
    <w:rsid w:val="00FC0D1E"/>
    <w:rsid w:val="00FC1365"/>
    <w:rsid w:val="00FC3D1C"/>
    <w:rsid w:val="00FC4D3C"/>
    <w:rsid w:val="00FC4F17"/>
    <w:rsid w:val="00FC765C"/>
    <w:rsid w:val="00FD08CC"/>
    <w:rsid w:val="00FD0C6C"/>
    <w:rsid w:val="00FD0F03"/>
    <w:rsid w:val="00FD3227"/>
    <w:rsid w:val="00FD4D0D"/>
    <w:rsid w:val="00FD4E2C"/>
    <w:rsid w:val="00FD7EC7"/>
    <w:rsid w:val="00FE0021"/>
    <w:rsid w:val="00FE2D32"/>
    <w:rsid w:val="00FE3167"/>
    <w:rsid w:val="00FE56C9"/>
    <w:rsid w:val="00FE65F3"/>
    <w:rsid w:val="00FF028D"/>
    <w:rsid w:val="00FF0532"/>
    <w:rsid w:val="00FF08D4"/>
    <w:rsid w:val="00FF0A1D"/>
    <w:rsid w:val="00FF1011"/>
    <w:rsid w:val="00FF1D45"/>
    <w:rsid w:val="0114DD08"/>
    <w:rsid w:val="0158D6CB"/>
    <w:rsid w:val="01673787"/>
    <w:rsid w:val="0178C1EC"/>
    <w:rsid w:val="01AA341B"/>
    <w:rsid w:val="01B365BB"/>
    <w:rsid w:val="01B8DCAC"/>
    <w:rsid w:val="01C48BFA"/>
    <w:rsid w:val="01D55375"/>
    <w:rsid w:val="01DB11B5"/>
    <w:rsid w:val="01E3C655"/>
    <w:rsid w:val="01F393C8"/>
    <w:rsid w:val="020060F3"/>
    <w:rsid w:val="020EEA9A"/>
    <w:rsid w:val="02185643"/>
    <w:rsid w:val="0227C4B8"/>
    <w:rsid w:val="025FA3EF"/>
    <w:rsid w:val="026293C3"/>
    <w:rsid w:val="0262A9C2"/>
    <w:rsid w:val="02ADB887"/>
    <w:rsid w:val="02DEDE32"/>
    <w:rsid w:val="032445B6"/>
    <w:rsid w:val="0338E3E7"/>
    <w:rsid w:val="03529EA4"/>
    <w:rsid w:val="036489C6"/>
    <w:rsid w:val="0384A84A"/>
    <w:rsid w:val="03852BCC"/>
    <w:rsid w:val="038F6429"/>
    <w:rsid w:val="039F5341"/>
    <w:rsid w:val="03AA85A6"/>
    <w:rsid w:val="03D71D86"/>
    <w:rsid w:val="03DA2EA2"/>
    <w:rsid w:val="03E3FC5C"/>
    <w:rsid w:val="03E54010"/>
    <w:rsid w:val="03E95B52"/>
    <w:rsid w:val="04061D0D"/>
    <w:rsid w:val="040C1ED0"/>
    <w:rsid w:val="040FD058"/>
    <w:rsid w:val="04158A79"/>
    <w:rsid w:val="0431F21E"/>
    <w:rsid w:val="04B4DF63"/>
    <w:rsid w:val="04B844DC"/>
    <w:rsid w:val="04BEC527"/>
    <w:rsid w:val="04C6DE08"/>
    <w:rsid w:val="04D27175"/>
    <w:rsid w:val="04D6DF57"/>
    <w:rsid w:val="04EC038F"/>
    <w:rsid w:val="04FDB19E"/>
    <w:rsid w:val="05096495"/>
    <w:rsid w:val="0511B3F6"/>
    <w:rsid w:val="0538CD61"/>
    <w:rsid w:val="054A8463"/>
    <w:rsid w:val="058D8B4F"/>
    <w:rsid w:val="0592DB50"/>
    <w:rsid w:val="0595C75A"/>
    <w:rsid w:val="0599385C"/>
    <w:rsid w:val="05A9085E"/>
    <w:rsid w:val="05B1F783"/>
    <w:rsid w:val="05B5AD76"/>
    <w:rsid w:val="05B8CF00"/>
    <w:rsid w:val="05BE360A"/>
    <w:rsid w:val="05C3C2F1"/>
    <w:rsid w:val="05E9870B"/>
    <w:rsid w:val="05EF7846"/>
    <w:rsid w:val="05F7F9C2"/>
    <w:rsid w:val="05F9B9C8"/>
    <w:rsid w:val="06219EAF"/>
    <w:rsid w:val="063734CE"/>
    <w:rsid w:val="06383365"/>
    <w:rsid w:val="063F74ED"/>
    <w:rsid w:val="06475AFD"/>
    <w:rsid w:val="0675678E"/>
    <w:rsid w:val="06855B05"/>
    <w:rsid w:val="06A39971"/>
    <w:rsid w:val="06C84AFF"/>
    <w:rsid w:val="06CC0F27"/>
    <w:rsid w:val="06DE292F"/>
    <w:rsid w:val="06E02D48"/>
    <w:rsid w:val="06F9016C"/>
    <w:rsid w:val="06FCF89E"/>
    <w:rsid w:val="070E19F3"/>
    <w:rsid w:val="0716EC58"/>
    <w:rsid w:val="071D7EA1"/>
    <w:rsid w:val="071FFF6A"/>
    <w:rsid w:val="074D3423"/>
    <w:rsid w:val="077F7718"/>
    <w:rsid w:val="07B29248"/>
    <w:rsid w:val="07CDC02B"/>
    <w:rsid w:val="07DD54B0"/>
    <w:rsid w:val="07F17C7C"/>
    <w:rsid w:val="07FB4F7C"/>
    <w:rsid w:val="0872717C"/>
    <w:rsid w:val="087C63C7"/>
    <w:rsid w:val="08A87163"/>
    <w:rsid w:val="08E4C2BC"/>
    <w:rsid w:val="08EBB27C"/>
    <w:rsid w:val="09026B9F"/>
    <w:rsid w:val="090ECDB6"/>
    <w:rsid w:val="091122BF"/>
    <w:rsid w:val="09286103"/>
    <w:rsid w:val="0936EBB3"/>
    <w:rsid w:val="095AE973"/>
    <w:rsid w:val="096709AF"/>
    <w:rsid w:val="0970D2CD"/>
    <w:rsid w:val="09801566"/>
    <w:rsid w:val="0983DB14"/>
    <w:rsid w:val="09C054A9"/>
    <w:rsid w:val="0A03AFE9"/>
    <w:rsid w:val="0A153E3B"/>
    <w:rsid w:val="0A2EF5B1"/>
    <w:rsid w:val="0A536C15"/>
    <w:rsid w:val="0A703659"/>
    <w:rsid w:val="0A96E57F"/>
    <w:rsid w:val="0A9AEFDE"/>
    <w:rsid w:val="0ABD3F03"/>
    <w:rsid w:val="0AD71A27"/>
    <w:rsid w:val="0ADCA5BC"/>
    <w:rsid w:val="0AEE1DFC"/>
    <w:rsid w:val="0AF2CC32"/>
    <w:rsid w:val="0B016564"/>
    <w:rsid w:val="0B08ADB3"/>
    <w:rsid w:val="0B2BCEA6"/>
    <w:rsid w:val="0B5C0AE4"/>
    <w:rsid w:val="0B8CA0B0"/>
    <w:rsid w:val="0B95EE01"/>
    <w:rsid w:val="0B999AB2"/>
    <w:rsid w:val="0BAB396C"/>
    <w:rsid w:val="0BB7F470"/>
    <w:rsid w:val="0C00D9C8"/>
    <w:rsid w:val="0C0FE541"/>
    <w:rsid w:val="0C47D590"/>
    <w:rsid w:val="0C5F1152"/>
    <w:rsid w:val="0C602A60"/>
    <w:rsid w:val="0C675F57"/>
    <w:rsid w:val="0C984592"/>
    <w:rsid w:val="0CA9C382"/>
    <w:rsid w:val="0CB37C85"/>
    <w:rsid w:val="0CF48DD2"/>
    <w:rsid w:val="0D1BF829"/>
    <w:rsid w:val="0D1E4F65"/>
    <w:rsid w:val="0D589DB6"/>
    <w:rsid w:val="0DE04020"/>
    <w:rsid w:val="0DF8D359"/>
    <w:rsid w:val="0E116B87"/>
    <w:rsid w:val="0E240050"/>
    <w:rsid w:val="0E51D56A"/>
    <w:rsid w:val="0E86F9BE"/>
    <w:rsid w:val="0E90B571"/>
    <w:rsid w:val="0EA8D596"/>
    <w:rsid w:val="0EB7CDBA"/>
    <w:rsid w:val="0ED77EAB"/>
    <w:rsid w:val="0EDB0122"/>
    <w:rsid w:val="0F06B779"/>
    <w:rsid w:val="0F244B24"/>
    <w:rsid w:val="0F38208D"/>
    <w:rsid w:val="0F460B54"/>
    <w:rsid w:val="0F8758C8"/>
    <w:rsid w:val="0F8C1EF8"/>
    <w:rsid w:val="0FBB1DBB"/>
    <w:rsid w:val="0FC1177B"/>
    <w:rsid w:val="0FF792EC"/>
    <w:rsid w:val="1002E427"/>
    <w:rsid w:val="100C14D2"/>
    <w:rsid w:val="1034C62B"/>
    <w:rsid w:val="1045977E"/>
    <w:rsid w:val="104B2554"/>
    <w:rsid w:val="1060A6CD"/>
    <w:rsid w:val="1072A9AC"/>
    <w:rsid w:val="10919A90"/>
    <w:rsid w:val="10E56715"/>
    <w:rsid w:val="10ECC156"/>
    <w:rsid w:val="10FB6C77"/>
    <w:rsid w:val="10FD4E00"/>
    <w:rsid w:val="113F6D1A"/>
    <w:rsid w:val="1140052B"/>
    <w:rsid w:val="1159319B"/>
    <w:rsid w:val="116D4ABD"/>
    <w:rsid w:val="11A38464"/>
    <w:rsid w:val="11B6856F"/>
    <w:rsid w:val="11CDDC9C"/>
    <w:rsid w:val="11E3D8A7"/>
    <w:rsid w:val="11EFFE88"/>
    <w:rsid w:val="11FA18EF"/>
    <w:rsid w:val="12086358"/>
    <w:rsid w:val="1221F9E2"/>
    <w:rsid w:val="12230B42"/>
    <w:rsid w:val="12294463"/>
    <w:rsid w:val="12919FD8"/>
    <w:rsid w:val="12922CA4"/>
    <w:rsid w:val="12B99A0C"/>
    <w:rsid w:val="12E5BF63"/>
    <w:rsid w:val="12FB843F"/>
    <w:rsid w:val="131B4309"/>
    <w:rsid w:val="131BE98C"/>
    <w:rsid w:val="134A9B68"/>
    <w:rsid w:val="134D3055"/>
    <w:rsid w:val="13610CB4"/>
    <w:rsid w:val="137AA88A"/>
    <w:rsid w:val="137EABF9"/>
    <w:rsid w:val="13B0485A"/>
    <w:rsid w:val="13D17AE7"/>
    <w:rsid w:val="13FF4CDA"/>
    <w:rsid w:val="1472758F"/>
    <w:rsid w:val="14836E39"/>
    <w:rsid w:val="1491FABF"/>
    <w:rsid w:val="14A7F427"/>
    <w:rsid w:val="14A7FF88"/>
    <w:rsid w:val="14B8F604"/>
    <w:rsid w:val="14D9D245"/>
    <w:rsid w:val="14DBC864"/>
    <w:rsid w:val="1516D975"/>
    <w:rsid w:val="15221B88"/>
    <w:rsid w:val="15529EBE"/>
    <w:rsid w:val="155E91F0"/>
    <w:rsid w:val="1567E03C"/>
    <w:rsid w:val="1576B0E9"/>
    <w:rsid w:val="157D9CCF"/>
    <w:rsid w:val="15883A8B"/>
    <w:rsid w:val="158C327D"/>
    <w:rsid w:val="159976C4"/>
    <w:rsid w:val="15A8F585"/>
    <w:rsid w:val="15E1F297"/>
    <w:rsid w:val="15E5D20A"/>
    <w:rsid w:val="1613C8F6"/>
    <w:rsid w:val="1615B977"/>
    <w:rsid w:val="16454409"/>
    <w:rsid w:val="164DDD90"/>
    <w:rsid w:val="1660775A"/>
    <w:rsid w:val="1669B73D"/>
    <w:rsid w:val="1677B6E6"/>
    <w:rsid w:val="168C362F"/>
    <w:rsid w:val="16A14E3C"/>
    <w:rsid w:val="16C4ADFB"/>
    <w:rsid w:val="16C66507"/>
    <w:rsid w:val="16C7514F"/>
    <w:rsid w:val="16CAC0C5"/>
    <w:rsid w:val="16CBEDDE"/>
    <w:rsid w:val="17729A86"/>
    <w:rsid w:val="1777ECAA"/>
    <w:rsid w:val="17A368BC"/>
    <w:rsid w:val="17AF0D72"/>
    <w:rsid w:val="17B7672A"/>
    <w:rsid w:val="17D6487D"/>
    <w:rsid w:val="17DB2270"/>
    <w:rsid w:val="17E8EFAD"/>
    <w:rsid w:val="18202687"/>
    <w:rsid w:val="1820D9BF"/>
    <w:rsid w:val="1835A332"/>
    <w:rsid w:val="18390EC0"/>
    <w:rsid w:val="1881014C"/>
    <w:rsid w:val="1887FF28"/>
    <w:rsid w:val="18A4267A"/>
    <w:rsid w:val="18BB2DF8"/>
    <w:rsid w:val="18E6817B"/>
    <w:rsid w:val="18E8CAF8"/>
    <w:rsid w:val="18E9E024"/>
    <w:rsid w:val="192B6D95"/>
    <w:rsid w:val="1933ADB4"/>
    <w:rsid w:val="1949FB49"/>
    <w:rsid w:val="194B37C9"/>
    <w:rsid w:val="19BA7492"/>
    <w:rsid w:val="19BD5133"/>
    <w:rsid w:val="19D1F901"/>
    <w:rsid w:val="19D6720C"/>
    <w:rsid w:val="1A1FC253"/>
    <w:rsid w:val="1A33FC4C"/>
    <w:rsid w:val="1A43252E"/>
    <w:rsid w:val="1A73183B"/>
    <w:rsid w:val="1A81FD3F"/>
    <w:rsid w:val="1A96D583"/>
    <w:rsid w:val="1AB9D592"/>
    <w:rsid w:val="1ABB7BB1"/>
    <w:rsid w:val="1AC51881"/>
    <w:rsid w:val="1ADAAFAD"/>
    <w:rsid w:val="1AEB1101"/>
    <w:rsid w:val="1AEB9FEC"/>
    <w:rsid w:val="1B03F6CB"/>
    <w:rsid w:val="1B08F068"/>
    <w:rsid w:val="1B266BB4"/>
    <w:rsid w:val="1B27A07C"/>
    <w:rsid w:val="1B372615"/>
    <w:rsid w:val="1B3D74CF"/>
    <w:rsid w:val="1B4A06BD"/>
    <w:rsid w:val="1B543DEC"/>
    <w:rsid w:val="1B5D035B"/>
    <w:rsid w:val="1B647CCF"/>
    <w:rsid w:val="1B95E98E"/>
    <w:rsid w:val="1BB511B2"/>
    <w:rsid w:val="1BC2CC01"/>
    <w:rsid w:val="1BCBBB55"/>
    <w:rsid w:val="1BFF6192"/>
    <w:rsid w:val="1C62F39A"/>
    <w:rsid w:val="1CBBCBF4"/>
    <w:rsid w:val="1CC003A7"/>
    <w:rsid w:val="1CC334C8"/>
    <w:rsid w:val="1CC3C258"/>
    <w:rsid w:val="1CCB36E0"/>
    <w:rsid w:val="1CE1C2CF"/>
    <w:rsid w:val="1D09C432"/>
    <w:rsid w:val="1D117102"/>
    <w:rsid w:val="1D2B3476"/>
    <w:rsid w:val="1D3137E6"/>
    <w:rsid w:val="1D5569F0"/>
    <w:rsid w:val="1D86E2C5"/>
    <w:rsid w:val="1DC87955"/>
    <w:rsid w:val="1DF5E4E2"/>
    <w:rsid w:val="1E0367A7"/>
    <w:rsid w:val="1E319043"/>
    <w:rsid w:val="1E4681CA"/>
    <w:rsid w:val="1E7F19A3"/>
    <w:rsid w:val="1E92C10F"/>
    <w:rsid w:val="1E9D70FD"/>
    <w:rsid w:val="1ED25B29"/>
    <w:rsid w:val="1EEEEFB0"/>
    <w:rsid w:val="1EF3742E"/>
    <w:rsid w:val="1EFBC8B9"/>
    <w:rsid w:val="1F17AC27"/>
    <w:rsid w:val="1F1DFD8E"/>
    <w:rsid w:val="1F336A78"/>
    <w:rsid w:val="1F86588E"/>
    <w:rsid w:val="1F9947BF"/>
    <w:rsid w:val="1FBCA1D6"/>
    <w:rsid w:val="1FDB71A8"/>
    <w:rsid w:val="1FE1B553"/>
    <w:rsid w:val="1FF0120F"/>
    <w:rsid w:val="1FF7A338"/>
    <w:rsid w:val="20018893"/>
    <w:rsid w:val="200A2F61"/>
    <w:rsid w:val="200F48FA"/>
    <w:rsid w:val="2017BC5B"/>
    <w:rsid w:val="20221882"/>
    <w:rsid w:val="203CFACD"/>
    <w:rsid w:val="20602696"/>
    <w:rsid w:val="20754EC7"/>
    <w:rsid w:val="2099C846"/>
    <w:rsid w:val="20A3323D"/>
    <w:rsid w:val="20D10694"/>
    <w:rsid w:val="20E45FEE"/>
    <w:rsid w:val="20F42EA5"/>
    <w:rsid w:val="2140653E"/>
    <w:rsid w:val="214C09F4"/>
    <w:rsid w:val="2181675F"/>
    <w:rsid w:val="21C6BFD3"/>
    <w:rsid w:val="21D14BC2"/>
    <w:rsid w:val="21E0BFE0"/>
    <w:rsid w:val="21F0B3AD"/>
    <w:rsid w:val="21F80376"/>
    <w:rsid w:val="2219B51A"/>
    <w:rsid w:val="22213F46"/>
    <w:rsid w:val="2239FFBF"/>
    <w:rsid w:val="224F50FC"/>
    <w:rsid w:val="227CCDC0"/>
    <w:rsid w:val="22ADB051"/>
    <w:rsid w:val="22C65C99"/>
    <w:rsid w:val="22D63688"/>
    <w:rsid w:val="22E09F8A"/>
    <w:rsid w:val="22E256E5"/>
    <w:rsid w:val="22F1C7A4"/>
    <w:rsid w:val="2305D49B"/>
    <w:rsid w:val="23241A70"/>
    <w:rsid w:val="23528AC6"/>
    <w:rsid w:val="235BD4E9"/>
    <w:rsid w:val="23C789AC"/>
    <w:rsid w:val="23DA6050"/>
    <w:rsid w:val="241CECB8"/>
    <w:rsid w:val="2420EFB1"/>
    <w:rsid w:val="2436A41B"/>
    <w:rsid w:val="24419B2E"/>
    <w:rsid w:val="244FE322"/>
    <w:rsid w:val="2458C2EF"/>
    <w:rsid w:val="246278B1"/>
    <w:rsid w:val="2464A437"/>
    <w:rsid w:val="2497E24D"/>
    <w:rsid w:val="24980223"/>
    <w:rsid w:val="24DF188E"/>
    <w:rsid w:val="24E5E2A1"/>
    <w:rsid w:val="25338B8E"/>
    <w:rsid w:val="25543E31"/>
    <w:rsid w:val="2555D774"/>
    <w:rsid w:val="255EC847"/>
    <w:rsid w:val="257DE760"/>
    <w:rsid w:val="25B0A408"/>
    <w:rsid w:val="25BE14D5"/>
    <w:rsid w:val="25C82A11"/>
    <w:rsid w:val="25CE699F"/>
    <w:rsid w:val="25E20C81"/>
    <w:rsid w:val="25E8F2C2"/>
    <w:rsid w:val="25E9993F"/>
    <w:rsid w:val="25F9C5B2"/>
    <w:rsid w:val="2603A6F9"/>
    <w:rsid w:val="260BEEEC"/>
    <w:rsid w:val="260CBDBC"/>
    <w:rsid w:val="26579E60"/>
    <w:rsid w:val="26766C36"/>
    <w:rsid w:val="268A4337"/>
    <w:rsid w:val="269DDCE3"/>
    <w:rsid w:val="26C730C7"/>
    <w:rsid w:val="26D76087"/>
    <w:rsid w:val="26F7EC82"/>
    <w:rsid w:val="27044EB5"/>
    <w:rsid w:val="2719FBA5"/>
    <w:rsid w:val="27385017"/>
    <w:rsid w:val="27D7DE73"/>
    <w:rsid w:val="27F84A49"/>
    <w:rsid w:val="280FF957"/>
    <w:rsid w:val="2833C66C"/>
    <w:rsid w:val="283D7EA1"/>
    <w:rsid w:val="285DFCF3"/>
    <w:rsid w:val="28BE0808"/>
    <w:rsid w:val="28C4563A"/>
    <w:rsid w:val="28D9220F"/>
    <w:rsid w:val="28E1830A"/>
    <w:rsid w:val="28F18569"/>
    <w:rsid w:val="28F7D563"/>
    <w:rsid w:val="29098FC8"/>
    <w:rsid w:val="290C8AAC"/>
    <w:rsid w:val="293A8FC7"/>
    <w:rsid w:val="29559150"/>
    <w:rsid w:val="29719B45"/>
    <w:rsid w:val="2990B6C5"/>
    <w:rsid w:val="299E81BB"/>
    <w:rsid w:val="29AF7895"/>
    <w:rsid w:val="29C4DB09"/>
    <w:rsid w:val="29CA350B"/>
    <w:rsid w:val="29F9CD54"/>
    <w:rsid w:val="2A2F25FA"/>
    <w:rsid w:val="2A52687B"/>
    <w:rsid w:val="2A6284A5"/>
    <w:rsid w:val="2A665941"/>
    <w:rsid w:val="2A7DA17D"/>
    <w:rsid w:val="2A844049"/>
    <w:rsid w:val="2A929829"/>
    <w:rsid w:val="2A9511CD"/>
    <w:rsid w:val="2AF42C3E"/>
    <w:rsid w:val="2B4E5A12"/>
    <w:rsid w:val="2B67826F"/>
    <w:rsid w:val="2B6C5B99"/>
    <w:rsid w:val="2B7C63DC"/>
    <w:rsid w:val="2B7D54EA"/>
    <w:rsid w:val="2B8D40F0"/>
    <w:rsid w:val="2B96F963"/>
    <w:rsid w:val="2BB582CB"/>
    <w:rsid w:val="2BC9BC29"/>
    <w:rsid w:val="2BD0BA8A"/>
    <w:rsid w:val="2BF7CB86"/>
    <w:rsid w:val="2C1ED276"/>
    <w:rsid w:val="2C45AF62"/>
    <w:rsid w:val="2C51545A"/>
    <w:rsid w:val="2C70E864"/>
    <w:rsid w:val="2C8C2735"/>
    <w:rsid w:val="2CA8AC08"/>
    <w:rsid w:val="2CBAFF84"/>
    <w:rsid w:val="2D23DAF4"/>
    <w:rsid w:val="2D28D0E9"/>
    <w:rsid w:val="2D51532C"/>
    <w:rsid w:val="2D58D945"/>
    <w:rsid w:val="2D65F29A"/>
    <w:rsid w:val="2D66D989"/>
    <w:rsid w:val="2DB03CA8"/>
    <w:rsid w:val="2E0A2150"/>
    <w:rsid w:val="2E33D46F"/>
    <w:rsid w:val="2E489E0F"/>
    <w:rsid w:val="2E4BE8BC"/>
    <w:rsid w:val="2E7B5925"/>
    <w:rsid w:val="2E9D3B9D"/>
    <w:rsid w:val="2EA28B8E"/>
    <w:rsid w:val="2EAB0ABC"/>
    <w:rsid w:val="2ED54144"/>
    <w:rsid w:val="2ED9F0BB"/>
    <w:rsid w:val="2F43939E"/>
    <w:rsid w:val="2F7A2DCD"/>
    <w:rsid w:val="2FCC51AA"/>
    <w:rsid w:val="2FDEEE42"/>
    <w:rsid w:val="302B3C5A"/>
    <w:rsid w:val="3037A42B"/>
    <w:rsid w:val="3038D529"/>
    <w:rsid w:val="30807B65"/>
    <w:rsid w:val="3083BB64"/>
    <w:rsid w:val="30E90B6F"/>
    <w:rsid w:val="310227BE"/>
    <w:rsid w:val="3118D3B0"/>
    <w:rsid w:val="3136D818"/>
    <w:rsid w:val="3144A46C"/>
    <w:rsid w:val="3159E223"/>
    <w:rsid w:val="318828C6"/>
    <w:rsid w:val="3196F16F"/>
    <w:rsid w:val="319A6915"/>
    <w:rsid w:val="319DC54E"/>
    <w:rsid w:val="31B829DE"/>
    <w:rsid w:val="31C18DCE"/>
    <w:rsid w:val="31D1B9B7"/>
    <w:rsid w:val="321FFEF2"/>
    <w:rsid w:val="3247E79A"/>
    <w:rsid w:val="324B20DC"/>
    <w:rsid w:val="324C5AAF"/>
    <w:rsid w:val="3294F353"/>
    <w:rsid w:val="32A4F324"/>
    <w:rsid w:val="32C92FBD"/>
    <w:rsid w:val="32DAD85D"/>
    <w:rsid w:val="32E4F0DE"/>
    <w:rsid w:val="33320931"/>
    <w:rsid w:val="333C3688"/>
    <w:rsid w:val="333CA699"/>
    <w:rsid w:val="3348CCB5"/>
    <w:rsid w:val="334DC900"/>
    <w:rsid w:val="336CFE33"/>
    <w:rsid w:val="3375779E"/>
    <w:rsid w:val="337C641A"/>
    <w:rsid w:val="33D5732A"/>
    <w:rsid w:val="34147FA3"/>
    <w:rsid w:val="34170E91"/>
    <w:rsid w:val="348F8624"/>
    <w:rsid w:val="34E74B85"/>
    <w:rsid w:val="352949A9"/>
    <w:rsid w:val="352B5288"/>
    <w:rsid w:val="3532A5E1"/>
    <w:rsid w:val="354C770C"/>
    <w:rsid w:val="35629231"/>
    <w:rsid w:val="35780CFB"/>
    <w:rsid w:val="35A2D908"/>
    <w:rsid w:val="35EFFF67"/>
    <w:rsid w:val="364A339E"/>
    <w:rsid w:val="3654D672"/>
    <w:rsid w:val="36740A0B"/>
    <w:rsid w:val="36CBA1CF"/>
    <w:rsid w:val="36DFED70"/>
    <w:rsid w:val="36E30214"/>
    <w:rsid w:val="3719F2B2"/>
    <w:rsid w:val="3736E380"/>
    <w:rsid w:val="3759370D"/>
    <w:rsid w:val="3772D384"/>
    <w:rsid w:val="379C9288"/>
    <w:rsid w:val="37A3EE25"/>
    <w:rsid w:val="37A464CA"/>
    <w:rsid w:val="37B3A763"/>
    <w:rsid w:val="37B96B3D"/>
    <w:rsid w:val="37D07AE2"/>
    <w:rsid w:val="37E4952D"/>
    <w:rsid w:val="3807E747"/>
    <w:rsid w:val="3825045C"/>
    <w:rsid w:val="383C732E"/>
    <w:rsid w:val="385DD129"/>
    <w:rsid w:val="38878BED"/>
    <w:rsid w:val="388D8588"/>
    <w:rsid w:val="389C27A4"/>
    <w:rsid w:val="38B69DF5"/>
    <w:rsid w:val="38D13517"/>
    <w:rsid w:val="39387141"/>
    <w:rsid w:val="3942D7EA"/>
    <w:rsid w:val="3955E168"/>
    <w:rsid w:val="396A55DE"/>
    <w:rsid w:val="396B88CA"/>
    <w:rsid w:val="39730CB2"/>
    <w:rsid w:val="398EB724"/>
    <w:rsid w:val="39DEF030"/>
    <w:rsid w:val="39F8AC67"/>
    <w:rsid w:val="39FCD702"/>
    <w:rsid w:val="3A487D44"/>
    <w:rsid w:val="3A7C3879"/>
    <w:rsid w:val="3A871B3D"/>
    <w:rsid w:val="3AE1C966"/>
    <w:rsid w:val="3B34D4E0"/>
    <w:rsid w:val="3B367DA7"/>
    <w:rsid w:val="3B3F8E8A"/>
    <w:rsid w:val="3B460FB7"/>
    <w:rsid w:val="3B46501F"/>
    <w:rsid w:val="3B551F7F"/>
    <w:rsid w:val="3BD19002"/>
    <w:rsid w:val="3BD3C8A9"/>
    <w:rsid w:val="3BD87E58"/>
    <w:rsid w:val="3BF2F88F"/>
    <w:rsid w:val="3C09C343"/>
    <w:rsid w:val="3C1E9487"/>
    <w:rsid w:val="3C307D01"/>
    <w:rsid w:val="3C55E9C6"/>
    <w:rsid w:val="3C5C364A"/>
    <w:rsid w:val="3C8ABE5D"/>
    <w:rsid w:val="3C98751D"/>
    <w:rsid w:val="3CCCF245"/>
    <w:rsid w:val="3CD2F5C8"/>
    <w:rsid w:val="3D01F985"/>
    <w:rsid w:val="3D5AF89F"/>
    <w:rsid w:val="3D69595B"/>
    <w:rsid w:val="3D76AAAA"/>
    <w:rsid w:val="3D8FCBC1"/>
    <w:rsid w:val="3DA02AE0"/>
    <w:rsid w:val="3DD0C6A1"/>
    <w:rsid w:val="3DFFDF8A"/>
    <w:rsid w:val="3E00EF6E"/>
    <w:rsid w:val="3E156381"/>
    <w:rsid w:val="3EA10A0A"/>
    <w:rsid w:val="3EBF7F58"/>
    <w:rsid w:val="3ED140F0"/>
    <w:rsid w:val="3ED4DAA3"/>
    <w:rsid w:val="3EE32F97"/>
    <w:rsid w:val="3EEC181A"/>
    <w:rsid w:val="3EF85044"/>
    <w:rsid w:val="3EFACECE"/>
    <w:rsid w:val="3EFECE14"/>
    <w:rsid w:val="3F264B99"/>
    <w:rsid w:val="3F72FFA6"/>
    <w:rsid w:val="3F821198"/>
    <w:rsid w:val="3F88DF17"/>
    <w:rsid w:val="3FAA7969"/>
    <w:rsid w:val="3FC56C4B"/>
    <w:rsid w:val="3FC7EF74"/>
    <w:rsid w:val="403BE47A"/>
    <w:rsid w:val="405B4FB9"/>
    <w:rsid w:val="407269AD"/>
    <w:rsid w:val="4073A752"/>
    <w:rsid w:val="408320D9"/>
    <w:rsid w:val="408CF1D5"/>
    <w:rsid w:val="409E391B"/>
    <w:rsid w:val="40C0F389"/>
    <w:rsid w:val="40CB42C3"/>
    <w:rsid w:val="40CEC196"/>
    <w:rsid w:val="40CF601B"/>
    <w:rsid w:val="40DB2F4F"/>
    <w:rsid w:val="40F22250"/>
    <w:rsid w:val="40F7637A"/>
    <w:rsid w:val="40F90906"/>
    <w:rsid w:val="40FB2207"/>
    <w:rsid w:val="410322D5"/>
    <w:rsid w:val="4139B595"/>
    <w:rsid w:val="413E9608"/>
    <w:rsid w:val="415DE6C7"/>
    <w:rsid w:val="41968F11"/>
    <w:rsid w:val="4196C470"/>
    <w:rsid w:val="41B989D1"/>
    <w:rsid w:val="41D85704"/>
    <w:rsid w:val="42192791"/>
    <w:rsid w:val="4230CEE4"/>
    <w:rsid w:val="424ACE73"/>
    <w:rsid w:val="4258FB47"/>
    <w:rsid w:val="425F8B71"/>
    <w:rsid w:val="4280A938"/>
    <w:rsid w:val="4283BA54"/>
    <w:rsid w:val="4316630A"/>
    <w:rsid w:val="4324B558"/>
    <w:rsid w:val="43381FE3"/>
    <w:rsid w:val="43549C75"/>
    <w:rsid w:val="435E65AA"/>
    <w:rsid w:val="438067E2"/>
    <w:rsid w:val="438AD201"/>
    <w:rsid w:val="43990398"/>
    <w:rsid w:val="43B3A0A3"/>
    <w:rsid w:val="4400C746"/>
    <w:rsid w:val="441BEDB4"/>
    <w:rsid w:val="442A4977"/>
    <w:rsid w:val="447A2C95"/>
    <w:rsid w:val="4489CA76"/>
    <w:rsid w:val="44A51AE0"/>
    <w:rsid w:val="44E670D0"/>
    <w:rsid w:val="450B6022"/>
    <w:rsid w:val="45179851"/>
    <w:rsid w:val="45AA73BA"/>
    <w:rsid w:val="4601CB98"/>
    <w:rsid w:val="462F1A0C"/>
    <w:rsid w:val="4637DB4F"/>
    <w:rsid w:val="4646E706"/>
    <w:rsid w:val="46871478"/>
    <w:rsid w:val="468E41C7"/>
    <w:rsid w:val="46A7A8F7"/>
    <w:rsid w:val="46D845F7"/>
    <w:rsid w:val="46E67BAC"/>
    <w:rsid w:val="46F5A7D6"/>
    <w:rsid w:val="46FB523C"/>
    <w:rsid w:val="46FF1785"/>
    <w:rsid w:val="470F9B40"/>
    <w:rsid w:val="476375FA"/>
    <w:rsid w:val="47A552E3"/>
    <w:rsid w:val="47B45841"/>
    <w:rsid w:val="47BDFDAD"/>
    <w:rsid w:val="47E01454"/>
    <w:rsid w:val="47E2AABA"/>
    <w:rsid w:val="480E7219"/>
    <w:rsid w:val="482FEF9D"/>
    <w:rsid w:val="48392AD0"/>
    <w:rsid w:val="4849602D"/>
    <w:rsid w:val="485A839C"/>
    <w:rsid w:val="488856C9"/>
    <w:rsid w:val="488D3E9B"/>
    <w:rsid w:val="4890BC7B"/>
    <w:rsid w:val="489A6121"/>
    <w:rsid w:val="48CB5E62"/>
    <w:rsid w:val="48D86C21"/>
    <w:rsid w:val="48F68BCA"/>
    <w:rsid w:val="492B557F"/>
    <w:rsid w:val="492B66C9"/>
    <w:rsid w:val="498694C6"/>
    <w:rsid w:val="49DE8620"/>
    <w:rsid w:val="49E5EFD4"/>
    <w:rsid w:val="49E6084F"/>
    <w:rsid w:val="4A2E959C"/>
    <w:rsid w:val="4A4253E9"/>
    <w:rsid w:val="4A509CBC"/>
    <w:rsid w:val="4A83981D"/>
    <w:rsid w:val="4AA81B53"/>
    <w:rsid w:val="4AD3FB0F"/>
    <w:rsid w:val="4AE4CF4B"/>
    <w:rsid w:val="4AF2F5E4"/>
    <w:rsid w:val="4B06C628"/>
    <w:rsid w:val="4B089C22"/>
    <w:rsid w:val="4B0FC213"/>
    <w:rsid w:val="4B240F56"/>
    <w:rsid w:val="4B2C1599"/>
    <w:rsid w:val="4B353B1E"/>
    <w:rsid w:val="4B3813DE"/>
    <w:rsid w:val="4B6133E5"/>
    <w:rsid w:val="4B695473"/>
    <w:rsid w:val="4B71E550"/>
    <w:rsid w:val="4BA217F8"/>
    <w:rsid w:val="4BD60B39"/>
    <w:rsid w:val="4BED8D36"/>
    <w:rsid w:val="4BF2C90C"/>
    <w:rsid w:val="4BF91866"/>
    <w:rsid w:val="4C099B7F"/>
    <w:rsid w:val="4C0FCF7A"/>
    <w:rsid w:val="4C24FC67"/>
    <w:rsid w:val="4C34B115"/>
    <w:rsid w:val="4C60986A"/>
    <w:rsid w:val="4C75E9A3"/>
    <w:rsid w:val="4C819064"/>
    <w:rsid w:val="4C938BA2"/>
    <w:rsid w:val="4CA3D4F2"/>
    <w:rsid w:val="4CAAF92C"/>
    <w:rsid w:val="4CAFA51C"/>
    <w:rsid w:val="4D08A589"/>
    <w:rsid w:val="4D43B20A"/>
    <w:rsid w:val="4D45622E"/>
    <w:rsid w:val="4D6B37FF"/>
    <w:rsid w:val="4D6C73E2"/>
    <w:rsid w:val="4D74750A"/>
    <w:rsid w:val="4D8BC576"/>
    <w:rsid w:val="4D92031D"/>
    <w:rsid w:val="4D951378"/>
    <w:rsid w:val="4DB1D0A1"/>
    <w:rsid w:val="4DB8156E"/>
    <w:rsid w:val="4DC2CDF0"/>
    <w:rsid w:val="4DEE767E"/>
    <w:rsid w:val="4DFFB65B"/>
    <w:rsid w:val="4E2BC46F"/>
    <w:rsid w:val="4E56C652"/>
    <w:rsid w:val="4E805A10"/>
    <w:rsid w:val="4EA01750"/>
    <w:rsid w:val="4EDA2B16"/>
    <w:rsid w:val="4F0955C3"/>
    <w:rsid w:val="4F0BE432"/>
    <w:rsid w:val="4F756A2A"/>
    <w:rsid w:val="4F835069"/>
    <w:rsid w:val="4F8CD877"/>
    <w:rsid w:val="4FB10EB7"/>
    <w:rsid w:val="4FB74967"/>
    <w:rsid w:val="4FD61093"/>
    <w:rsid w:val="4FEED79E"/>
    <w:rsid w:val="505EE49B"/>
    <w:rsid w:val="50A9EC14"/>
    <w:rsid w:val="50AEF8A0"/>
    <w:rsid w:val="50B70FD0"/>
    <w:rsid w:val="50BF17A3"/>
    <w:rsid w:val="50D4EA9A"/>
    <w:rsid w:val="50FD7E7F"/>
    <w:rsid w:val="512C5D5C"/>
    <w:rsid w:val="51570720"/>
    <w:rsid w:val="51581CD4"/>
    <w:rsid w:val="5162532C"/>
    <w:rsid w:val="516DDD2B"/>
    <w:rsid w:val="518FED37"/>
    <w:rsid w:val="51917682"/>
    <w:rsid w:val="51A0E487"/>
    <w:rsid w:val="51CB3FEF"/>
    <w:rsid w:val="51CFAD9B"/>
    <w:rsid w:val="51E3B5AC"/>
    <w:rsid w:val="520AB11C"/>
    <w:rsid w:val="52122389"/>
    <w:rsid w:val="52238720"/>
    <w:rsid w:val="5283038D"/>
    <w:rsid w:val="52A60EB9"/>
    <w:rsid w:val="52C1B9D6"/>
    <w:rsid w:val="52C81746"/>
    <w:rsid w:val="530BC163"/>
    <w:rsid w:val="5337B0FD"/>
    <w:rsid w:val="533DE8AC"/>
    <w:rsid w:val="53577606"/>
    <w:rsid w:val="535B556F"/>
    <w:rsid w:val="53615119"/>
    <w:rsid w:val="53AB0C83"/>
    <w:rsid w:val="53B40956"/>
    <w:rsid w:val="53F22DCC"/>
    <w:rsid w:val="53F4FF33"/>
    <w:rsid w:val="540099DB"/>
    <w:rsid w:val="5411AF5B"/>
    <w:rsid w:val="5413A493"/>
    <w:rsid w:val="54170210"/>
    <w:rsid w:val="5426C204"/>
    <w:rsid w:val="547D9350"/>
    <w:rsid w:val="54CE32E1"/>
    <w:rsid w:val="55132C5F"/>
    <w:rsid w:val="5527621E"/>
    <w:rsid w:val="55280A2F"/>
    <w:rsid w:val="553A9E90"/>
    <w:rsid w:val="5554A4AC"/>
    <w:rsid w:val="555A6F20"/>
    <w:rsid w:val="556D3971"/>
    <w:rsid w:val="55ABBA37"/>
    <w:rsid w:val="55B3C814"/>
    <w:rsid w:val="55BBC52C"/>
    <w:rsid w:val="55BE7726"/>
    <w:rsid w:val="55C45A26"/>
    <w:rsid w:val="55D4784B"/>
    <w:rsid w:val="56671AE0"/>
    <w:rsid w:val="567289D4"/>
    <w:rsid w:val="567E7352"/>
    <w:rsid w:val="56B344ED"/>
    <w:rsid w:val="56B70F26"/>
    <w:rsid w:val="56BA9D59"/>
    <w:rsid w:val="56BEFD65"/>
    <w:rsid w:val="56CAC22D"/>
    <w:rsid w:val="56F784E6"/>
    <w:rsid w:val="57288F40"/>
    <w:rsid w:val="57509077"/>
    <w:rsid w:val="57570A2E"/>
    <w:rsid w:val="576CE17C"/>
    <w:rsid w:val="577F5027"/>
    <w:rsid w:val="57875DD8"/>
    <w:rsid w:val="57A3E6DA"/>
    <w:rsid w:val="57A46A4C"/>
    <w:rsid w:val="57ABBDF1"/>
    <w:rsid w:val="57C959FE"/>
    <w:rsid w:val="57DF3286"/>
    <w:rsid w:val="57DF47CF"/>
    <w:rsid w:val="57E250C3"/>
    <w:rsid w:val="57FF3D44"/>
    <w:rsid w:val="580758B6"/>
    <w:rsid w:val="58509C5D"/>
    <w:rsid w:val="587E9AD0"/>
    <w:rsid w:val="588FA751"/>
    <w:rsid w:val="58C3B1FE"/>
    <w:rsid w:val="58CFD658"/>
    <w:rsid w:val="58E59B90"/>
    <w:rsid w:val="58EDFF07"/>
    <w:rsid w:val="590A17D1"/>
    <w:rsid w:val="5920F6CB"/>
    <w:rsid w:val="5929A314"/>
    <w:rsid w:val="592C4095"/>
    <w:rsid w:val="59310850"/>
    <w:rsid w:val="59467D81"/>
    <w:rsid w:val="597C3CCB"/>
    <w:rsid w:val="59A955B5"/>
    <w:rsid w:val="59F5A42A"/>
    <w:rsid w:val="59F9D179"/>
    <w:rsid w:val="5A0F44E6"/>
    <w:rsid w:val="5A3938C2"/>
    <w:rsid w:val="5A44A00F"/>
    <w:rsid w:val="5A47F785"/>
    <w:rsid w:val="5A5492BD"/>
    <w:rsid w:val="5A763464"/>
    <w:rsid w:val="5A80E13C"/>
    <w:rsid w:val="5A829C42"/>
    <w:rsid w:val="5A991BF9"/>
    <w:rsid w:val="5AA18F3E"/>
    <w:rsid w:val="5AA6724D"/>
    <w:rsid w:val="5AE9835A"/>
    <w:rsid w:val="5B1A8674"/>
    <w:rsid w:val="5B36B85E"/>
    <w:rsid w:val="5B37E641"/>
    <w:rsid w:val="5B611B92"/>
    <w:rsid w:val="5BA87C66"/>
    <w:rsid w:val="5BAD9005"/>
    <w:rsid w:val="5BCD76BC"/>
    <w:rsid w:val="5BDD1595"/>
    <w:rsid w:val="5C1796B8"/>
    <w:rsid w:val="5C3F1ABF"/>
    <w:rsid w:val="5C4E69E4"/>
    <w:rsid w:val="5C7F8012"/>
    <w:rsid w:val="5CC85B3F"/>
    <w:rsid w:val="5CD23626"/>
    <w:rsid w:val="5CF9B18D"/>
    <w:rsid w:val="5D073323"/>
    <w:rsid w:val="5D1E12F8"/>
    <w:rsid w:val="5D6CDE84"/>
    <w:rsid w:val="5D7C0368"/>
    <w:rsid w:val="5DDA7D1C"/>
    <w:rsid w:val="5DE98BB8"/>
    <w:rsid w:val="5DFD4BA1"/>
    <w:rsid w:val="5E131368"/>
    <w:rsid w:val="5E3859B0"/>
    <w:rsid w:val="5E697D98"/>
    <w:rsid w:val="5EC9D0A7"/>
    <w:rsid w:val="5ECDAEB7"/>
    <w:rsid w:val="5EFC96A1"/>
    <w:rsid w:val="5F2BF108"/>
    <w:rsid w:val="5F310475"/>
    <w:rsid w:val="5F4868B3"/>
    <w:rsid w:val="5F9AE33D"/>
    <w:rsid w:val="5FDA84BB"/>
    <w:rsid w:val="601E0001"/>
    <w:rsid w:val="602543F6"/>
    <w:rsid w:val="60325A0C"/>
    <w:rsid w:val="603940FF"/>
    <w:rsid w:val="605EA154"/>
    <w:rsid w:val="606601FA"/>
    <w:rsid w:val="6088AEED"/>
    <w:rsid w:val="608DC903"/>
    <w:rsid w:val="60906545"/>
    <w:rsid w:val="60AEEC13"/>
    <w:rsid w:val="60B9B4AB"/>
    <w:rsid w:val="60DA8BBA"/>
    <w:rsid w:val="60DCF7D5"/>
    <w:rsid w:val="60FCAD86"/>
    <w:rsid w:val="610E03D5"/>
    <w:rsid w:val="6111F0B9"/>
    <w:rsid w:val="6121426B"/>
    <w:rsid w:val="612553F6"/>
    <w:rsid w:val="6150F70C"/>
    <w:rsid w:val="615D9166"/>
    <w:rsid w:val="61757B22"/>
    <w:rsid w:val="6189A904"/>
    <w:rsid w:val="61D2649D"/>
    <w:rsid w:val="61EAB822"/>
    <w:rsid w:val="61EDE3CB"/>
    <w:rsid w:val="6208417F"/>
    <w:rsid w:val="6213349D"/>
    <w:rsid w:val="62258846"/>
    <w:rsid w:val="62287652"/>
    <w:rsid w:val="6235F6B5"/>
    <w:rsid w:val="625A6FD4"/>
    <w:rsid w:val="626A136F"/>
    <w:rsid w:val="62817C36"/>
    <w:rsid w:val="62A0A38B"/>
    <w:rsid w:val="632DA79B"/>
    <w:rsid w:val="63667688"/>
    <w:rsid w:val="6376B440"/>
    <w:rsid w:val="637D5834"/>
    <w:rsid w:val="644E58DB"/>
    <w:rsid w:val="646375C4"/>
    <w:rsid w:val="647CBAAE"/>
    <w:rsid w:val="64BBEBFA"/>
    <w:rsid w:val="64C26F39"/>
    <w:rsid w:val="6510A7B6"/>
    <w:rsid w:val="6547D4B0"/>
    <w:rsid w:val="656716E5"/>
    <w:rsid w:val="6571E482"/>
    <w:rsid w:val="6576597E"/>
    <w:rsid w:val="65CD48D7"/>
    <w:rsid w:val="65F8ED31"/>
    <w:rsid w:val="6607139E"/>
    <w:rsid w:val="66107B81"/>
    <w:rsid w:val="661BEE68"/>
    <w:rsid w:val="6634B2AE"/>
    <w:rsid w:val="6634E450"/>
    <w:rsid w:val="663B8223"/>
    <w:rsid w:val="6648ADD7"/>
    <w:rsid w:val="6651292A"/>
    <w:rsid w:val="669120C8"/>
    <w:rsid w:val="669CD0D7"/>
    <w:rsid w:val="66B63185"/>
    <w:rsid w:val="671327AA"/>
    <w:rsid w:val="675F1C20"/>
    <w:rsid w:val="67693D7C"/>
    <w:rsid w:val="676C4E66"/>
    <w:rsid w:val="676F2718"/>
    <w:rsid w:val="6777DD7F"/>
    <w:rsid w:val="6787D8CF"/>
    <w:rsid w:val="67902C8D"/>
    <w:rsid w:val="67A533CA"/>
    <w:rsid w:val="67B6E6D3"/>
    <w:rsid w:val="67EDC2BA"/>
    <w:rsid w:val="680529D7"/>
    <w:rsid w:val="680E009B"/>
    <w:rsid w:val="682A46E4"/>
    <w:rsid w:val="68440D8F"/>
    <w:rsid w:val="684EDA7B"/>
    <w:rsid w:val="68517C76"/>
    <w:rsid w:val="68646050"/>
    <w:rsid w:val="68FDDDAA"/>
    <w:rsid w:val="690B6012"/>
    <w:rsid w:val="693AD768"/>
    <w:rsid w:val="6965AEEE"/>
    <w:rsid w:val="696A69B3"/>
    <w:rsid w:val="69728F8A"/>
    <w:rsid w:val="698C1F0E"/>
    <w:rsid w:val="69980C85"/>
    <w:rsid w:val="69A13330"/>
    <w:rsid w:val="69B3BB59"/>
    <w:rsid w:val="69D4E05F"/>
    <w:rsid w:val="69E46FC1"/>
    <w:rsid w:val="6A13065F"/>
    <w:rsid w:val="6A2274E5"/>
    <w:rsid w:val="6A45AE5F"/>
    <w:rsid w:val="6A56B86D"/>
    <w:rsid w:val="6A6D343E"/>
    <w:rsid w:val="6ABC14A5"/>
    <w:rsid w:val="6B181786"/>
    <w:rsid w:val="6B384BBE"/>
    <w:rsid w:val="6B3C7CD3"/>
    <w:rsid w:val="6B4E86CC"/>
    <w:rsid w:val="6B670ED8"/>
    <w:rsid w:val="6B6D65A1"/>
    <w:rsid w:val="6B72660C"/>
    <w:rsid w:val="6B76B377"/>
    <w:rsid w:val="6B7F2E3B"/>
    <w:rsid w:val="6BC6434D"/>
    <w:rsid w:val="6C10B84C"/>
    <w:rsid w:val="6C2D6C06"/>
    <w:rsid w:val="6C491A4A"/>
    <w:rsid w:val="6C502ECD"/>
    <w:rsid w:val="6C5E4276"/>
    <w:rsid w:val="6CAD96EE"/>
    <w:rsid w:val="6CF57773"/>
    <w:rsid w:val="6CF65218"/>
    <w:rsid w:val="6D10FC2A"/>
    <w:rsid w:val="6D165E29"/>
    <w:rsid w:val="6D1CA6EC"/>
    <w:rsid w:val="6D36098E"/>
    <w:rsid w:val="6D661A55"/>
    <w:rsid w:val="6D6F24A4"/>
    <w:rsid w:val="6D6F8A5D"/>
    <w:rsid w:val="6D9135C4"/>
    <w:rsid w:val="6D96F9F9"/>
    <w:rsid w:val="6DA04B8A"/>
    <w:rsid w:val="6DE531CA"/>
    <w:rsid w:val="6DFF2509"/>
    <w:rsid w:val="6E352691"/>
    <w:rsid w:val="6E4CB001"/>
    <w:rsid w:val="6E518809"/>
    <w:rsid w:val="6E571161"/>
    <w:rsid w:val="6E59AFDA"/>
    <w:rsid w:val="6E624961"/>
    <w:rsid w:val="6E90E24A"/>
    <w:rsid w:val="6EB68041"/>
    <w:rsid w:val="6ED20F2C"/>
    <w:rsid w:val="6F54DF7A"/>
    <w:rsid w:val="6F8510AB"/>
    <w:rsid w:val="6F92EDB2"/>
    <w:rsid w:val="6FC51C44"/>
    <w:rsid w:val="6FE45CA7"/>
    <w:rsid w:val="6FF33EB6"/>
    <w:rsid w:val="702109E5"/>
    <w:rsid w:val="7052B482"/>
    <w:rsid w:val="706BE1A8"/>
    <w:rsid w:val="7084E6D8"/>
    <w:rsid w:val="708F3E86"/>
    <w:rsid w:val="709232AE"/>
    <w:rsid w:val="709C9D7B"/>
    <w:rsid w:val="709DE407"/>
    <w:rsid w:val="70AFCF62"/>
    <w:rsid w:val="70D24592"/>
    <w:rsid w:val="71235079"/>
    <w:rsid w:val="7132E74F"/>
    <w:rsid w:val="713E3609"/>
    <w:rsid w:val="716292C9"/>
    <w:rsid w:val="7171B25A"/>
    <w:rsid w:val="7194F92B"/>
    <w:rsid w:val="71A2A6CA"/>
    <w:rsid w:val="71A7FF8B"/>
    <w:rsid w:val="71A80296"/>
    <w:rsid w:val="71ADE603"/>
    <w:rsid w:val="71B7DB78"/>
    <w:rsid w:val="71B94397"/>
    <w:rsid w:val="71F76D22"/>
    <w:rsid w:val="7220312C"/>
    <w:rsid w:val="72384F92"/>
    <w:rsid w:val="72561B62"/>
    <w:rsid w:val="726A6989"/>
    <w:rsid w:val="72787E00"/>
    <w:rsid w:val="72868DFA"/>
    <w:rsid w:val="72976322"/>
    <w:rsid w:val="72B1D9BF"/>
    <w:rsid w:val="72B7CE25"/>
    <w:rsid w:val="72D2CD4B"/>
    <w:rsid w:val="733CB15A"/>
    <w:rsid w:val="734DBEE5"/>
    <w:rsid w:val="734FCEB5"/>
    <w:rsid w:val="738A4EA6"/>
    <w:rsid w:val="73A59CB2"/>
    <w:rsid w:val="73A7ADDF"/>
    <w:rsid w:val="73ADAA19"/>
    <w:rsid w:val="74170F2D"/>
    <w:rsid w:val="7424228A"/>
    <w:rsid w:val="7436D429"/>
    <w:rsid w:val="74386C93"/>
    <w:rsid w:val="7439E137"/>
    <w:rsid w:val="74447635"/>
    <w:rsid w:val="7448CDB6"/>
    <w:rsid w:val="7458F9BA"/>
    <w:rsid w:val="74720D8D"/>
    <w:rsid w:val="7474FC68"/>
    <w:rsid w:val="747896F4"/>
    <w:rsid w:val="749B1F77"/>
    <w:rsid w:val="74AC05F3"/>
    <w:rsid w:val="74AE7D20"/>
    <w:rsid w:val="74E4365F"/>
    <w:rsid w:val="750F4018"/>
    <w:rsid w:val="751B688D"/>
    <w:rsid w:val="751E84D3"/>
    <w:rsid w:val="75413440"/>
    <w:rsid w:val="7550AECA"/>
    <w:rsid w:val="755133F0"/>
    <w:rsid w:val="755C3869"/>
    <w:rsid w:val="757BC216"/>
    <w:rsid w:val="7590864D"/>
    <w:rsid w:val="75B5C7C4"/>
    <w:rsid w:val="75B7DBA0"/>
    <w:rsid w:val="75E9999C"/>
    <w:rsid w:val="75ED9B89"/>
    <w:rsid w:val="760D096C"/>
    <w:rsid w:val="760E3087"/>
    <w:rsid w:val="76202399"/>
    <w:rsid w:val="767276D8"/>
    <w:rsid w:val="76A72A10"/>
    <w:rsid w:val="76BAC6E4"/>
    <w:rsid w:val="76C49EB7"/>
    <w:rsid w:val="771F9E78"/>
    <w:rsid w:val="77333797"/>
    <w:rsid w:val="77493D98"/>
    <w:rsid w:val="7780E2CF"/>
    <w:rsid w:val="77945AAA"/>
    <w:rsid w:val="7795ED7D"/>
    <w:rsid w:val="77CE6FB6"/>
    <w:rsid w:val="77DBEACE"/>
    <w:rsid w:val="77E004B5"/>
    <w:rsid w:val="78115BC6"/>
    <w:rsid w:val="781C7E49"/>
    <w:rsid w:val="781D89D2"/>
    <w:rsid w:val="7824C776"/>
    <w:rsid w:val="7860A4B9"/>
    <w:rsid w:val="786640D7"/>
    <w:rsid w:val="789F2591"/>
    <w:rsid w:val="78E34034"/>
    <w:rsid w:val="7943E068"/>
    <w:rsid w:val="795C69D7"/>
    <w:rsid w:val="7962EA22"/>
    <w:rsid w:val="79676520"/>
    <w:rsid w:val="7993B38A"/>
    <w:rsid w:val="799BF44C"/>
    <w:rsid w:val="79AF8812"/>
    <w:rsid w:val="79B098C7"/>
    <w:rsid w:val="79E43956"/>
    <w:rsid w:val="7A1BE4E4"/>
    <w:rsid w:val="7A6EEF65"/>
    <w:rsid w:val="7A76F5ED"/>
    <w:rsid w:val="7A89D123"/>
    <w:rsid w:val="7AA5832E"/>
    <w:rsid w:val="7AAC83CC"/>
    <w:rsid w:val="7AC9DCBE"/>
    <w:rsid w:val="7AEA41C0"/>
    <w:rsid w:val="7AEF2E48"/>
    <w:rsid w:val="7AF33015"/>
    <w:rsid w:val="7AF394BC"/>
    <w:rsid w:val="7B135AD3"/>
    <w:rsid w:val="7B51DF63"/>
    <w:rsid w:val="7B5B0870"/>
    <w:rsid w:val="7B5E6E64"/>
    <w:rsid w:val="7B66A8A3"/>
    <w:rsid w:val="7B83505C"/>
    <w:rsid w:val="7B958D1A"/>
    <w:rsid w:val="7B97AAA8"/>
    <w:rsid w:val="7BB3E4E4"/>
    <w:rsid w:val="7BD2DF7F"/>
    <w:rsid w:val="7BFA5BF4"/>
    <w:rsid w:val="7BFC2961"/>
    <w:rsid w:val="7C00B2F0"/>
    <w:rsid w:val="7C470EAF"/>
    <w:rsid w:val="7C6D3FDF"/>
    <w:rsid w:val="7CAC4D9C"/>
    <w:rsid w:val="7CD3940F"/>
    <w:rsid w:val="7CEAA6A3"/>
    <w:rsid w:val="7CF44821"/>
    <w:rsid w:val="7D00BB9B"/>
    <w:rsid w:val="7D5B884C"/>
    <w:rsid w:val="7DAC39AA"/>
    <w:rsid w:val="7DCD1F5B"/>
    <w:rsid w:val="7DEC4E3D"/>
    <w:rsid w:val="7E418FF5"/>
    <w:rsid w:val="7E482719"/>
    <w:rsid w:val="7E6962F9"/>
    <w:rsid w:val="7E7151BE"/>
    <w:rsid w:val="7EAF7F42"/>
    <w:rsid w:val="7EDB4CFF"/>
    <w:rsid w:val="7F02E3A1"/>
    <w:rsid w:val="7F12E21E"/>
    <w:rsid w:val="7F1C5696"/>
    <w:rsid w:val="7F1FF490"/>
    <w:rsid w:val="7F265B19"/>
    <w:rsid w:val="7F3B8BC7"/>
    <w:rsid w:val="7F560C83"/>
    <w:rsid w:val="7F79AA15"/>
    <w:rsid w:val="7F8B1A1B"/>
    <w:rsid w:val="7F9ACC2B"/>
    <w:rsid w:val="7FECC05C"/>
    <w:rsid w:val="7FF17F90"/>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6A85B56"/>
  <w15:docId w15:val="{B906376A-279A-4A7C-8055-0288D2C211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qFormat="1"/>
    <w:lsdException w:name="annotation text" w:semiHidden="1" w:uiPriority="0" w:unhideWhenUsed="1" w:qFormat="1"/>
    <w:lsdException w:name="header" w:semiHidden="1" w:unhideWhenUsed="1"/>
    <w:lsdException w:name="footer" w:semiHidden="1" w:unhideWhenUsed="1"/>
    <w:lsdException w:name="index heading" w:semiHidden="1" w:uiPriority="0"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iPriority="0" w:unhideWhenUsed="1"/>
    <w:lsdException w:name="Date" w:semiHidden="1" w:uiPriority="0"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iPriority="0"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iPriority="0" w:unhideWhenUsed="1"/>
    <w:lsdException w:name="Table Contemporary" w:semiHidden="1" w:uiPriority="0" w:unhideWhenUsed="1"/>
    <w:lsdException w:name="Table Elegant" w:semiHidden="1" w:unhideWhenUsed="1"/>
    <w:lsdException w:name="Table Professional" w:semiHidden="1" w:uiPriority="0"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1"/>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34"/>
    <w:lsdException w:name="Colorful Grid Accent 1" w:uiPriority="0"/>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34"/>
    <w:lsdException w:name="Medium Grid 2 Accent 2"/>
    <w:lsdException w:name="Medium Grid 3 Accent 2" w:uiPriority="30"/>
    <w:lsdException w:name="Dark List Accent 2" w:uiPriority="61"/>
    <w:lsdException w:name="Colorful Shading Accent 2" w:uiPriority="71"/>
    <w:lsdException w:name="Colorful List Accent 2" w:uiPriority="68"/>
    <w:lsdException w:name="Colorful Grid Accent 2" w:uiPriority="69"/>
    <w:lsdException w:name="Light Shading Accent 3" w:uiPriority="60"/>
    <w:lsdException w:name="Light List Accent 3" w:uiPriority="61"/>
    <w:lsdException w:name="Light Grid Accent 3" w:uiPriority="34"/>
    <w:lsdException w:name="Medium Shading 1 Accent 3" w:uiPriority="0"/>
    <w:lsdException w:name="Medium Shading 2 Accent 3" w:uiPriority="30"/>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0"/>
    <w:lsdException w:name="Colorful Grid Accent 3" w:uiPriority="30"/>
    <w:lsdException w:name="Light Shading Accent 4" w:uiPriority="60"/>
    <w:lsdException w:name="Light List Accent 4" w:uiPriority="61"/>
    <w:lsdException w:name="Light Grid Accent 4" w:uiPriority="62"/>
    <w:lsdException w:name="Medium Shading 1 Accent 4" w:uiPriority="63"/>
    <w:lsdException w:name="Medium Shading 2 Accent 4" w:uiPriority="60"/>
    <w:lsdException w:name="Medium List 1 Accent 4" w:uiPriority="65"/>
    <w:lsdException w:name="Medium List 2 Accent 4" w:uiPriority="66"/>
    <w:lsdException w:name="Medium Grid 1 Accent 4" w:uiPriority="0"/>
    <w:lsdException w:name="Medium Grid 2 Accent 4" w:uiPriority="30"/>
    <w:lsdException w:name="Medium Grid 3 Accent 4" w:uiPriority="69"/>
    <w:lsdException w:name="Dark List Accent 4" w:uiPriority="66"/>
    <w:lsdException w:name="Colorful Shading Accent 4" w:uiPriority="71"/>
    <w:lsdException w:name="Colorful List Accent 4" w:uiPriority="72"/>
    <w:lsdException w:name="Colorful Grid Accent 4" w:uiPriority="73"/>
    <w:lsdException w:name="Light Shading Accent 5" w:uiPriority="60"/>
    <w:lsdException w:name="Light List Accent 5" w:uiPriority="34"/>
    <w:lsdException w:name="Light Grid Accent 5" w:uiPriority="0"/>
    <w:lsdException w:name="Medium Shading 1 Accent 5" w:uiPriority="30"/>
    <w:lsdException w:name="Medium Shading 2 Accent 5" w:uiPriority="64"/>
    <w:lsdException w:name="Medium List 1 Accent 5" w:uiPriority="61"/>
    <w:lsdException w:name="Medium List 2 Accent 5" w:uiPriority="62"/>
    <w:lsdException w:name="Medium Grid 1 Accent 5" w:uiPriority="67"/>
    <w:lsdException w:name="Medium Grid 2 Accent 5" w:uiPriority="64"/>
    <w:lsdException w:name="Medium Grid 3 Accent 5" w:uiPriority="69"/>
    <w:lsdException w:name="Dark List Accent 5" w:uiPriority="66"/>
    <w:lsdException w:name="Colorful Shading Accent 5" w:uiPriority="71"/>
    <w:lsdException w:name="Colorful List Accent 5" w:uiPriority="68"/>
    <w:lsdException w:name="Colorful Grid Accent 5" w:uiPriority="73"/>
    <w:lsdException w:name="Light Shading Accent 6" w:uiPriority="60"/>
    <w:lsdException w:name="Light List Accent 6" w:uiPriority="71"/>
    <w:lsdException w:name="Light Grid Accent 6" w:uiPriority="62"/>
    <w:lsdException w:name="Medium Shading 1 Accent 6" w:uiPriority="63"/>
    <w:lsdException w:name="Medium Shading 2 Accent 6" w:uiPriority="60"/>
    <w:lsdException w:name="Medium List 1 Accent 6" w:uiPriority="65"/>
    <w:lsdException w:name="Medium List 2 Accent 6" w:uiPriority="63"/>
    <w:lsdException w:name="Medium Grid 1 Accent 6" w:uiPriority="63"/>
    <w:lsdException w:name="Medium Grid 2 Accent 6" w:uiPriority="64"/>
    <w:lsdException w:name="Medium Grid 3 Accent 6" w:uiPriority="69"/>
    <w:lsdException w:name="Dark List Accent 6" w:uiPriority="70"/>
    <w:lsdException w:name="Colorful Shading Accent 6" w:uiPriority="71"/>
    <w:lsdException w:name="Colorful List Accent 6" w:uiPriority="68"/>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53CFE"/>
    <w:pPr>
      <w:spacing w:line="276" w:lineRule="auto"/>
      <w:jc w:val="both"/>
    </w:pPr>
    <w:rPr>
      <w:rFonts w:ascii="Times New Roman" w:hAnsi="Times New Roman"/>
      <w:color w:val="000000" w:themeColor="text1"/>
      <w:sz w:val="24"/>
    </w:rPr>
  </w:style>
  <w:style w:type="paragraph" w:styleId="Heading1">
    <w:name w:val="heading 1"/>
    <w:aliases w:val="TT1"/>
    <w:basedOn w:val="Normal"/>
    <w:next w:val="Normal"/>
    <w:link w:val="Heading1Char"/>
    <w:autoRedefine/>
    <w:uiPriority w:val="9"/>
    <w:qFormat/>
    <w:rsid w:val="00014BC0"/>
    <w:pPr>
      <w:keepNext/>
      <w:keepLines/>
      <w:pageBreakBefore/>
      <w:numPr>
        <w:numId w:val="196"/>
      </w:numPr>
      <w:spacing w:after="200" w:line="240" w:lineRule="auto"/>
      <w:outlineLvl w:val="0"/>
    </w:pPr>
    <w:rPr>
      <w:rFonts w:ascii="Arial Black" w:eastAsiaTheme="majorEastAsia" w:hAnsi="Arial Black" w:cs="Arial"/>
      <w:bCs/>
      <w:color w:val="auto"/>
      <w:szCs w:val="24"/>
    </w:rPr>
  </w:style>
  <w:style w:type="paragraph" w:styleId="Heading2">
    <w:name w:val="heading 2"/>
    <w:aliases w:val="TT2"/>
    <w:basedOn w:val="Normal"/>
    <w:next w:val="Normal"/>
    <w:link w:val="Heading2Char"/>
    <w:autoRedefine/>
    <w:uiPriority w:val="9"/>
    <w:unhideWhenUsed/>
    <w:qFormat/>
    <w:rsid w:val="00014BC0"/>
    <w:pPr>
      <w:keepNext/>
      <w:keepLines/>
      <w:numPr>
        <w:ilvl w:val="1"/>
        <w:numId w:val="196"/>
      </w:numPr>
      <w:spacing w:before="360" w:after="200"/>
      <w:outlineLvl w:val="1"/>
    </w:pPr>
    <w:rPr>
      <w:rFonts w:ascii="Arial" w:eastAsiaTheme="majorEastAsia" w:hAnsi="Arial" w:cstheme="majorBidi"/>
      <w:b/>
      <w:bCs/>
      <w:caps/>
      <w:color w:val="006666"/>
      <w:sz w:val="22"/>
      <w:szCs w:val="26"/>
    </w:rPr>
  </w:style>
  <w:style w:type="paragraph" w:styleId="Heading3">
    <w:name w:val="heading 3"/>
    <w:aliases w:val="TT3"/>
    <w:basedOn w:val="Normal"/>
    <w:next w:val="Normal"/>
    <w:link w:val="Heading3Char"/>
    <w:autoRedefine/>
    <w:uiPriority w:val="9"/>
    <w:unhideWhenUsed/>
    <w:qFormat/>
    <w:rsid w:val="00C65572"/>
    <w:pPr>
      <w:keepNext/>
      <w:keepLines/>
      <w:numPr>
        <w:ilvl w:val="2"/>
        <w:numId w:val="196"/>
      </w:numPr>
      <w:spacing w:before="120" w:after="120" w:line="240" w:lineRule="auto"/>
      <w:jc w:val="left"/>
      <w:outlineLvl w:val="2"/>
    </w:pPr>
    <w:rPr>
      <w:rFonts w:ascii="Arial Gras" w:eastAsiaTheme="majorEastAsia" w:hAnsi="Arial Gras" w:cstheme="majorBidi"/>
      <w:b/>
      <w:bCs/>
      <w:sz w:val="22"/>
    </w:rPr>
  </w:style>
  <w:style w:type="paragraph" w:styleId="Heading4">
    <w:name w:val="heading 4"/>
    <w:aliases w:val="Titre 4S,TT4"/>
    <w:basedOn w:val="Normal"/>
    <w:next w:val="Normal"/>
    <w:link w:val="Heading4Char"/>
    <w:autoRedefine/>
    <w:uiPriority w:val="9"/>
    <w:unhideWhenUsed/>
    <w:qFormat/>
    <w:rsid w:val="003042DB"/>
    <w:pPr>
      <w:keepNext/>
      <w:keepLines/>
      <w:numPr>
        <w:ilvl w:val="3"/>
        <w:numId w:val="196"/>
      </w:numPr>
      <w:spacing w:before="360" w:line="240" w:lineRule="auto"/>
      <w:outlineLvl w:val="3"/>
    </w:pPr>
    <w:rPr>
      <w:rFonts w:ascii="Arial" w:eastAsiaTheme="majorEastAsia" w:hAnsi="Arial" w:cstheme="majorBidi"/>
      <w:bCs/>
      <w:iCs/>
      <w:caps/>
      <w:sz w:val="20"/>
      <w:u w:val="single"/>
    </w:rPr>
  </w:style>
  <w:style w:type="paragraph" w:styleId="Heading5">
    <w:name w:val="heading 5"/>
    <w:basedOn w:val="Normal"/>
    <w:next w:val="Normal"/>
    <w:link w:val="Heading5Char"/>
    <w:autoRedefine/>
    <w:uiPriority w:val="9"/>
    <w:unhideWhenUsed/>
    <w:qFormat/>
    <w:rsid w:val="006B0F06"/>
    <w:pPr>
      <w:keepNext/>
      <w:keepLines/>
      <w:numPr>
        <w:ilvl w:val="4"/>
        <w:numId w:val="196"/>
      </w:numPr>
      <w:spacing w:before="240"/>
      <w:outlineLvl w:val="4"/>
    </w:pPr>
    <w:rPr>
      <w:rFonts w:ascii="Arial Gras" w:eastAsiaTheme="majorEastAsia" w:hAnsi="Arial Gras" w:cstheme="majorBidi"/>
      <w:b/>
      <w:color w:val="auto"/>
      <w:sz w:val="20"/>
      <w:u w:val="single"/>
    </w:rPr>
  </w:style>
  <w:style w:type="paragraph" w:styleId="Heading6">
    <w:name w:val="heading 6"/>
    <w:aliases w:val="6"/>
    <w:basedOn w:val="Normal"/>
    <w:next w:val="Normal"/>
    <w:link w:val="Heading6Char"/>
    <w:uiPriority w:val="9"/>
    <w:unhideWhenUsed/>
    <w:qFormat/>
    <w:rsid w:val="00D9052F"/>
    <w:pPr>
      <w:keepNext/>
      <w:keepLines/>
      <w:numPr>
        <w:ilvl w:val="5"/>
        <w:numId w:val="196"/>
      </w:numPr>
      <w:spacing w:before="200"/>
      <w:outlineLvl w:val="5"/>
    </w:pPr>
    <w:rPr>
      <w:rFonts w:ascii="Arial Narrow" w:eastAsiaTheme="majorEastAsia" w:hAnsi="Arial Narrow" w:cstheme="majorBidi"/>
      <w:iCs/>
      <w:color w:val="1F3763" w:themeColor="accent1" w:themeShade="7F"/>
    </w:rPr>
  </w:style>
  <w:style w:type="paragraph" w:styleId="Heading7">
    <w:name w:val="heading 7"/>
    <w:aliases w:val="7"/>
    <w:basedOn w:val="Normal"/>
    <w:next w:val="Normal"/>
    <w:link w:val="Heading7Char"/>
    <w:uiPriority w:val="1"/>
    <w:unhideWhenUsed/>
    <w:qFormat/>
    <w:rsid w:val="00F13FC6"/>
    <w:pPr>
      <w:keepNext/>
      <w:keepLines/>
      <w:numPr>
        <w:ilvl w:val="6"/>
        <w:numId w:val="196"/>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1"/>
    <w:unhideWhenUsed/>
    <w:qFormat/>
    <w:rsid w:val="00F13FC6"/>
    <w:pPr>
      <w:keepNext/>
      <w:keepLines/>
      <w:numPr>
        <w:ilvl w:val="7"/>
        <w:numId w:val="196"/>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1"/>
    <w:unhideWhenUsed/>
    <w:qFormat/>
    <w:rsid w:val="00F13FC6"/>
    <w:pPr>
      <w:keepNext/>
      <w:keepLines/>
      <w:numPr>
        <w:ilvl w:val="8"/>
        <w:numId w:val="196"/>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TT1 Char"/>
    <w:basedOn w:val="DefaultParagraphFont"/>
    <w:link w:val="Heading1"/>
    <w:uiPriority w:val="9"/>
    <w:rsid w:val="00014BC0"/>
    <w:rPr>
      <w:rFonts w:ascii="Arial Black" w:eastAsiaTheme="majorEastAsia" w:hAnsi="Arial Black" w:cs="Arial"/>
      <w:bCs/>
      <w:sz w:val="24"/>
      <w:szCs w:val="24"/>
    </w:rPr>
  </w:style>
  <w:style w:type="character" w:customStyle="1" w:styleId="Heading2Char">
    <w:name w:val="Heading 2 Char"/>
    <w:aliases w:val="TT2 Char"/>
    <w:basedOn w:val="DefaultParagraphFont"/>
    <w:link w:val="Heading2"/>
    <w:uiPriority w:val="9"/>
    <w:qFormat/>
    <w:rsid w:val="00014BC0"/>
    <w:rPr>
      <w:rFonts w:ascii="Arial" w:eastAsiaTheme="majorEastAsia" w:hAnsi="Arial" w:cstheme="majorBidi"/>
      <w:b/>
      <w:bCs/>
      <w:caps/>
      <w:color w:val="006666"/>
      <w:szCs w:val="26"/>
    </w:rPr>
  </w:style>
  <w:style w:type="character" w:customStyle="1" w:styleId="Heading3Char">
    <w:name w:val="Heading 3 Char"/>
    <w:aliases w:val="TT3 Char"/>
    <w:basedOn w:val="DefaultParagraphFont"/>
    <w:link w:val="Heading3"/>
    <w:uiPriority w:val="9"/>
    <w:qFormat/>
    <w:rsid w:val="00C65572"/>
    <w:rPr>
      <w:rFonts w:ascii="Arial Gras" w:eastAsiaTheme="majorEastAsia" w:hAnsi="Arial Gras" w:cstheme="majorBidi"/>
      <w:b/>
      <w:bCs/>
      <w:color w:val="000000" w:themeColor="text1"/>
    </w:rPr>
  </w:style>
  <w:style w:type="character" w:customStyle="1" w:styleId="Heading4Char">
    <w:name w:val="Heading 4 Char"/>
    <w:aliases w:val="Titre 4S Char,TT4 Char"/>
    <w:basedOn w:val="DefaultParagraphFont"/>
    <w:link w:val="Heading4"/>
    <w:uiPriority w:val="9"/>
    <w:rsid w:val="003042DB"/>
    <w:rPr>
      <w:rFonts w:ascii="Arial" w:eastAsiaTheme="majorEastAsia" w:hAnsi="Arial" w:cstheme="majorBidi"/>
      <w:bCs/>
      <w:iCs/>
      <w:caps/>
      <w:color w:val="000000" w:themeColor="text1"/>
      <w:sz w:val="20"/>
      <w:u w:val="single"/>
    </w:rPr>
  </w:style>
  <w:style w:type="character" w:customStyle="1" w:styleId="Heading5Char">
    <w:name w:val="Heading 5 Char"/>
    <w:basedOn w:val="DefaultParagraphFont"/>
    <w:link w:val="Heading5"/>
    <w:uiPriority w:val="9"/>
    <w:rsid w:val="006B0F06"/>
    <w:rPr>
      <w:rFonts w:ascii="Arial Gras" w:eastAsiaTheme="majorEastAsia" w:hAnsi="Arial Gras" w:cstheme="majorBidi"/>
      <w:b/>
      <w:sz w:val="20"/>
      <w:u w:val="single"/>
    </w:rPr>
  </w:style>
  <w:style w:type="character" w:customStyle="1" w:styleId="Heading6Char">
    <w:name w:val="Heading 6 Char"/>
    <w:aliases w:val="6 Char"/>
    <w:basedOn w:val="DefaultParagraphFont"/>
    <w:link w:val="Heading6"/>
    <w:uiPriority w:val="9"/>
    <w:rsid w:val="00D9052F"/>
    <w:rPr>
      <w:rFonts w:ascii="Arial Narrow" w:eastAsiaTheme="majorEastAsia" w:hAnsi="Arial Narrow" w:cstheme="majorBidi"/>
      <w:iCs/>
      <w:color w:val="1F3763" w:themeColor="accent1" w:themeShade="7F"/>
      <w:sz w:val="24"/>
    </w:rPr>
  </w:style>
  <w:style w:type="character" w:customStyle="1" w:styleId="Heading7Char">
    <w:name w:val="Heading 7 Char"/>
    <w:aliases w:val="7 Char"/>
    <w:basedOn w:val="DefaultParagraphFont"/>
    <w:link w:val="Heading7"/>
    <w:uiPriority w:val="1"/>
    <w:rsid w:val="00F13FC6"/>
    <w:rPr>
      <w:rFonts w:asciiTheme="majorHAnsi" w:eastAsiaTheme="majorEastAsia" w:hAnsiTheme="majorHAnsi" w:cstheme="majorBidi"/>
      <w:i/>
      <w:iCs/>
      <w:color w:val="404040" w:themeColor="text1" w:themeTint="BF"/>
      <w:sz w:val="24"/>
    </w:rPr>
  </w:style>
  <w:style w:type="character" w:customStyle="1" w:styleId="Heading8Char">
    <w:name w:val="Heading 8 Char"/>
    <w:basedOn w:val="DefaultParagraphFont"/>
    <w:link w:val="Heading8"/>
    <w:uiPriority w:val="1"/>
    <w:rsid w:val="00F13FC6"/>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1"/>
    <w:rsid w:val="00F13FC6"/>
    <w:rPr>
      <w:rFonts w:asciiTheme="majorHAnsi" w:eastAsiaTheme="majorEastAsia" w:hAnsiTheme="majorHAnsi" w:cstheme="majorBidi"/>
      <w:i/>
      <w:iCs/>
      <w:color w:val="404040" w:themeColor="text1" w:themeTint="BF"/>
      <w:sz w:val="20"/>
      <w:szCs w:val="20"/>
    </w:rPr>
  </w:style>
  <w:style w:type="character" w:styleId="Hyperlink">
    <w:name w:val="Hyperlink"/>
    <w:basedOn w:val="DefaultParagraphFont"/>
    <w:uiPriority w:val="99"/>
    <w:unhideWhenUsed/>
    <w:rsid w:val="00C92989"/>
    <w:rPr>
      <w:color w:val="0563C1" w:themeColor="hyperlink"/>
      <w:u w:val="single"/>
    </w:rPr>
  </w:style>
  <w:style w:type="character" w:customStyle="1" w:styleId="ListParagraphChar">
    <w:name w:val="List Paragraph Char"/>
    <w:aliases w:val="List Paragraph (numbered (a)) Char,Paragraph Char,List Paragraph1 Char,Citation List Char,Grey Bullet List Char,Grey Bullet Style Char,Yellow Bullet Char,Normal bullet 2 Char,Resume Title Char,Paragraphe de liste PBLH Char,b1 Char"/>
    <w:link w:val="ListParagraph"/>
    <w:uiPriority w:val="34"/>
    <w:qFormat/>
    <w:locked/>
    <w:rsid w:val="00D169F9"/>
    <w:rPr>
      <w:rFonts w:ascii="Times New Roman" w:hAnsi="Times New Roman"/>
      <w:color w:val="000000" w:themeColor="text1"/>
      <w:sz w:val="24"/>
      <w:lang w:eastAsia="zh-CN"/>
    </w:rPr>
  </w:style>
  <w:style w:type="paragraph" w:styleId="ListParagraph">
    <w:name w:val="List Paragraph"/>
    <w:aliases w:val="List Paragraph (numbered (a)),Paragraph,List Paragraph1,Citation List,Grey Bullet List,Grey Bullet Style,Yellow Bullet,Normal bullet 2,Resume Title,Paragraphe de liste PBLH,Bullet list,List Paragraph Char Char,Bullet 1,b1,Number_1,Ha"/>
    <w:basedOn w:val="Normal"/>
    <w:link w:val="ListParagraphChar"/>
    <w:uiPriority w:val="34"/>
    <w:qFormat/>
    <w:rsid w:val="00D169F9"/>
    <w:pPr>
      <w:spacing w:line="240" w:lineRule="auto"/>
      <w:ind w:left="720"/>
      <w:contextualSpacing/>
    </w:pPr>
    <w:rPr>
      <w:lang w:eastAsia="zh-CN"/>
    </w:rPr>
  </w:style>
  <w:style w:type="paragraph" w:customStyle="1" w:styleId="Default">
    <w:name w:val="Default"/>
    <w:rsid w:val="002B4BCB"/>
    <w:pPr>
      <w:autoSpaceDE w:val="0"/>
      <w:autoSpaceDN w:val="0"/>
      <w:adjustRightInd w:val="0"/>
      <w:spacing w:after="0" w:line="240" w:lineRule="auto"/>
    </w:pPr>
    <w:rPr>
      <w:rFonts w:ascii="Calibri" w:hAnsi="Calibri" w:cs="Calibri"/>
      <w:color w:val="000000"/>
      <w:sz w:val="24"/>
      <w:szCs w:val="24"/>
    </w:rPr>
  </w:style>
  <w:style w:type="paragraph" w:styleId="TOC2">
    <w:name w:val="toc 2"/>
    <w:basedOn w:val="Normal"/>
    <w:next w:val="Normal"/>
    <w:autoRedefine/>
    <w:uiPriority w:val="39"/>
    <w:unhideWhenUsed/>
    <w:qFormat/>
    <w:rsid w:val="00726D17"/>
    <w:pPr>
      <w:tabs>
        <w:tab w:val="left" w:pos="1134"/>
        <w:tab w:val="right" w:leader="dot" w:pos="9064"/>
      </w:tabs>
      <w:spacing w:before="120" w:after="0" w:line="240" w:lineRule="auto"/>
      <w:ind w:left="1134" w:hanging="567"/>
    </w:pPr>
    <w:rPr>
      <w:rFonts w:ascii="Times New Roman Gras" w:eastAsia="Times New Roman" w:hAnsi="Times New Roman Gras" w:cs="Times New Roman"/>
      <w:b/>
      <w:caps/>
      <w:noProof/>
      <w:color w:val="006666"/>
      <w:sz w:val="21"/>
      <w:szCs w:val="24"/>
      <w:lang w:eastAsia="fr-FR"/>
    </w:rPr>
  </w:style>
  <w:style w:type="paragraph" w:styleId="TOC1">
    <w:name w:val="toc 1"/>
    <w:basedOn w:val="Normal"/>
    <w:next w:val="Normal"/>
    <w:autoRedefine/>
    <w:uiPriority w:val="39"/>
    <w:unhideWhenUsed/>
    <w:qFormat/>
    <w:rsid w:val="00E522BA"/>
    <w:pPr>
      <w:tabs>
        <w:tab w:val="left" w:pos="567"/>
        <w:tab w:val="right" w:leader="dot" w:pos="9064"/>
      </w:tabs>
      <w:spacing w:before="240" w:after="100" w:line="240" w:lineRule="auto"/>
      <w:ind w:left="567" w:hanging="567"/>
    </w:pPr>
    <w:rPr>
      <w:rFonts w:ascii="Times New Roman Gras" w:eastAsiaTheme="majorEastAsia" w:hAnsi="Times New Roman Gras" w:cs="Times New Roman"/>
      <w:b/>
      <w:caps/>
      <w:noProof/>
      <w:color w:val="C45911" w:themeColor="accent2" w:themeShade="BF"/>
      <w:szCs w:val="24"/>
      <w:lang w:eastAsia="fr-FR"/>
    </w:rPr>
  </w:style>
  <w:style w:type="table" w:styleId="TableGrid">
    <w:name w:val="Table Grid"/>
    <w:aliases w:val="unVao day nghe bai nay di ban http://nhatquanglan.xlphp.net/,GT0,MES Table Grid,Vale 4,Table long document,mtbs,SGS Table Basic 1,TNS table,TabelEcorys,Table Grid (Appendix list)"/>
    <w:basedOn w:val="TableNormal"/>
    <w:uiPriority w:val="59"/>
    <w:qFormat/>
    <w:rsid w:val="006E48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unhideWhenUsed/>
    <w:rsid w:val="006E486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6E4868"/>
    <w:rPr>
      <w:rFonts w:ascii="Tahoma" w:hAnsi="Tahoma" w:cs="Tahoma"/>
      <w:color w:val="000000" w:themeColor="text1"/>
      <w:sz w:val="16"/>
      <w:szCs w:val="16"/>
    </w:rPr>
  </w:style>
  <w:style w:type="table" w:customStyle="1" w:styleId="Trameclaire-Accent51">
    <w:name w:val="Trame claire - Accent 51"/>
    <w:basedOn w:val="TableNormal"/>
    <w:next w:val="MediumShading2-Accent6"/>
    <w:uiPriority w:val="60"/>
    <w:rsid w:val="00853D08"/>
    <w:pPr>
      <w:spacing w:after="0" w:line="240" w:lineRule="auto"/>
    </w:pPr>
    <w:rPr>
      <w:rFonts w:ascii="Times New Roman" w:eastAsia="Times New Roman" w:hAnsi="Times New Roman" w:cs="Times New Roman"/>
      <w:color w:val="31849B"/>
      <w:sz w:val="20"/>
      <w:szCs w:val="20"/>
    </w:rPr>
    <w:tblPr>
      <w:tblStyleRowBandSize w:val="1"/>
      <w:tblStyleColBandSize w:val="1"/>
      <w:tblBorders>
        <w:top w:val="single" w:sz="8" w:space="0" w:color="4BACC6"/>
        <w:bottom w:val="single" w:sz="8" w:space="0" w:color="4BACC6"/>
      </w:tblBorders>
    </w:tblPr>
    <w:tblStylePr w:type="firstRow">
      <w:pPr>
        <w:spacing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MediumShading2-Accent6">
    <w:name w:val="Medium Shading 2 Accent 6"/>
    <w:basedOn w:val="TableNormal"/>
    <w:uiPriority w:val="60"/>
    <w:rsid w:val="00853D0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TOC3">
    <w:name w:val="toc 3"/>
    <w:basedOn w:val="Normal"/>
    <w:next w:val="Normal"/>
    <w:autoRedefine/>
    <w:uiPriority w:val="39"/>
    <w:unhideWhenUsed/>
    <w:qFormat/>
    <w:rsid w:val="00E522BA"/>
    <w:pPr>
      <w:tabs>
        <w:tab w:val="left" w:pos="1843"/>
        <w:tab w:val="right" w:leader="dot" w:pos="9062"/>
      </w:tabs>
      <w:spacing w:before="80" w:after="0" w:line="240" w:lineRule="auto"/>
      <w:ind w:left="1843" w:hanging="709"/>
      <w:jc w:val="left"/>
    </w:pPr>
    <w:rPr>
      <w:smallCaps/>
      <w:noProof/>
      <w:sz w:val="22"/>
    </w:rPr>
  </w:style>
  <w:style w:type="paragraph" w:styleId="TOC4">
    <w:name w:val="toc 4"/>
    <w:basedOn w:val="Normal"/>
    <w:next w:val="Normal"/>
    <w:autoRedefine/>
    <w:uiPriority w:val="39"/>
    <w:unhideWhenUsed/>
    <w:qFormat/>
    <w:rsid w:val="00885138"/>
    <w:pPr>
      <w:tabs>
        <w:tab w:val="left" w:pos="2552"/>
        <w:tab w:val="right" w:leader="dot" w:pos="9062"/>
      </w:tabs>
      <w:spacing w:before="40" w:after="0" w:line="240" w:lineRule="auto"/>
      <w:ind w:left="2552" w:hanging="709"/>
    </w:pPr>
    <w:rPr>
      <w:rFonts w:ascii="Times New Roman Gras" w:hAnsi="Times New Roman Gras"/>
      <w:b/>
      <w:noProof/>
      <w:sz w:val="20"/>
    </w:rPr>
  </w:style>
  <w:style w:type="paragraph" w:styleId="TOC5">
    <w:name w:val="toc 5"/>
    <w:basedOn w:val="Normal"/>
    <w:next w:val="Normal"/>
    <w:autoRedefine/>
    <w:uiPriority w:val="39"/>
    <w:unhideWhenUsed/>
    <w:rsid w:val="00FB273F"/>
    <w:pPr>
      <w:tabs>
        <w:tab w:val="left" w:pos="3544"/>
        <w:tab w:val="right" w:leader="dot" w:pos="9062"/>
      </w:tabs>
      <w:spacing w:before="40" w:after="0" w:line="240" w:lineRule="auto"/>
      <w:ind w:left="3544" w:hanging="992"/>
    </w:pPr>
  </w:style>
  <w:style w:type="paragraph" w:styleId="Header">
    <w:name w:val="header"/>
    <w:aliases w:val="Kopfzeile Char Char, Char Char Char,En-tête client,Module+LSNameHeadr,Char Char Char"/>
    <w:basedOn w:val="Normal"/>
    <w:link w:val="HeaderChar"/>
    <w:uiPriority w:val="99"/>
    <w:unhideWhenUsed/>
    <w:rsid w:val="00A95B58"/>
    <w:pPr>
      <w:tabs>
        <w:tab w:val="center" w:pos="4536"/>
        <w:tab w:val="right" w:pos="9072"/>
      </w:tabs>
      <w:spacing w:after="0" w:line="240" w:lineRule="auto"/>
    </w:pPr>
  </w:style>
  <w:style w:type="character" w:customStyle="1" w:styleId="HeaderChar">
    <w:name w:val="Header Char"/>
    <w:aliases w:val="Kopfzeile Char Char Char, Char Char Char Char,En-tête client Char,Module+LSNameHeadr Char,Char Char Char Char"/>
    <w:basedOn w:val="DefaultParagraphFont"/>
    <w:link w:val="Header"/>
    <w:uiPriority w:val="99"/>
    <w:rsid w:val="00A95B58"/>
    <w:rPr>
      <w:rFonts w:ascii="Times New Roman" w:hAnsi="Times New Roman"/>
      <w:color w:val="000000" w:themeColor="text1"/>
      <w:sz w:val="24"/>
    </w:rPr>
  </w:style>
  <w:style w:type="paragraph" w:styleId="Footer">
    <w:name w:val="footer"/>
    <w:aliases w:val="eersteregel"/>
    <w:basedOn w:val="Normal"/>
    <w:link w:val="FooterChar"/>
    <w:uiPriority w:val="99"/>
    <w:unhideWhenUsed/>
    <w:rsid w:val="00A95B58"/>
    <w:pPr>
      <w:tabs>
        <w:tab w:val="center" w:pos="4536"/>
        <w:tab w:val="right" w:pos="9072"/>
      </w:tabs>
      <w:spacing w:after="0" w:line="240" w:lineRule="auto"/>
    </w:pPr>
  </w:style>
  <w:style w:type="character" w:customStyle="1" w:styleId="FooterChar">
    <w:name w:val="Footer Char"/>
    <w:aliases w:val="eersteregel Char"/>
    <w:basedOn w:val="DefaultParagraphFont"/>
    <w:link w:val="Footer"/>
    <w:uiPriority w:val="99"/>
    <w:rsid w:val="00A95B58"/>
    <w:rPr>
      <w:rFonts w:ascii="Times New Roman" w:hAnsi="Times New Roman"/>
      <w:color w:val="000000" w:themeColor="text1"/>
      <w:sz w:val="24"/>
    </w:rPr>
  </w:style>
  <w:style w:type="paragraph" w:styleId="BodyText">
    <w:name w:val="Body Text"/>
    <w:aliases w:val="Corpo del testo,ct,tx"/>
    <w:basedOn w:val="Normal"/>
    <w:link w:val="BodyTextChar"/>
    <w:uiPriority w:val="1"/>
    <w:qFormat/>
    <w:rsid w:val="00B23D9C"/>
    <w:pPr>
      <w:autoSpaceDE w:val="0"/>
      <w:autoSpaceDN w:val="0"/>
      <w:adjustRightInd w:val="0"/>
      <w:spacing w:after="0" w:line="240" w:lineRule="auto"/>
      <w:ind w:left="40"/>
      <w:jc w:val="left"/>
    </w:pPr>
    <w:rPr>
      <w:rFonts w:ascii="Calibri" w:hAnsi="Calibri" w:cs="Calibri"/>
      <w:color w:val="auto"/>
      <w:sz w:val="22"/>
    </w:rPr>
  </w:style>
  <w:style w:type="character" w:customStyle="1" w:styleId="BodyTextChar">
    <w:name w:val="Body Text Char"/>
    <w:aliases w:val="Corpo del testo Char,ct Char,tx Char"/>
    <w:basedOn w:val="DefaultParagraphFont"/>
    <w:link w:val="BodyText"/>
    <w:rsid w:val="00B23D9C"/>
    <w:rPr>
      <w:rFonts w:ascii="Calibri" w:hAnsi="Calibri" w:cs="Calibri"/>
    </w:rPr>
  </w:style>
  <w:style w:type="paragraph" w:styleId="NormalWeb">
    <w:name w:val="Normal (Web)"/>
    <w:basedOn w:val="Normal"/>
    <w:uiPriority w:val="99"/>
    <w:unhideWhenUsed/>
    <w:rsid w:val="001D2DF8"/>
    <w:pPr>
      <w:spacing w:before="100" w:beforeAutospacing="1" w:after="100" w:afterAutospacing="1" w:line="240" w:lineRule="auto"/>
      <w:jc w:val="left"/>
    </w:pPr>
    <w:rPr>
      <w:rFonts w:eastAsia="Times New Roman" w:cs="Times New Roman"/>
      <w:color w:val="auto"/>
      <w:szCs w:val="24"/>
      <w:lang w:eastAsia="fr-FR"/>
    </w:rPr>
  </w:style>
  <w:style w:type="paragraph" w:styleId="Caption">
    <w:name w:val="caption"/>
    <w:aliases w:val="Légende Car Car Car Car,Légende Car Car Car,Légende Car Car Car Car Car Car Car,Légende Car Car Car Car Car Car Car Car Car Car Car Car Car Car,Légende Car Car Car Car Car Car Car Car Car Car Car Car Car,Legend,z,Légende Car Car,Légende1 Car,Map"/>
    <w:basedOn w:val="Normal"/>
    <w:next w:val="Normal"/>
    <w:link w:val="CaptionChar"/>
    <w:autoRedefine/>
    <w:uiPriority w:val="35"/>
    <w:unhideWhenUsed/>
    <w:qFormat/>
    <w:rsid w:val="003609CC"/>
    <w:pPr>
      <w:spacing w:before="160" w:line="240" w:lineRule="auto"/>
      <w:jc w:val="center"/>
    </w:pPr>
    <w:rPr>
      <w:rFonts w:ascii="Times New Roman Gras" w:hAnsi="Times New Roman Gras"/>
      <w:b/>
      <w:iCs/>
      <w:caps/>
      <w:color w:val="002060"/>
      <w:sz w:val="20"/>
      <w:szCs w:val="18"/>
    </w:rPr>
  </w:style>
  <w:style w:type="character" w:customStyle="1" w:styleId="CaptionChar">
    <w:name w:val="Caption Char"/>
    <w:aliases w:val="Légende Car Car Car Car Char,Légende Car Car Car Char,Légende Car Car Car Car Car Car Car Char,Légende Car Car Car Car Car Car Car Car Car Car Car Car Car Car Char,Légende Car Car Car Car Car Car Car Car Car Car Car Car Car Char,Legend Char"/>
    <w:link w:val="Caption"/>
    <w:uiPriority w:val="35"/>
    <w:qFormat/>
    <w:rsid w:val="003609CC"/>
    <w:rPr>
      <w:rFonts w:ascii="Times New Roman Gras" w:hAnsi="Times New Roman Gras"/>
      <w:b/>
      <w:iCs/>
      <w:caps/>
      <w:color w:val="002060"/>
      <w:sz w:val="20"/>
      <w:szCs w:val="18"/>
    </w:rPr>
  </w:style>
  <w:style w:type="paragraph" w:customStyle="1" w:styleId="Puceniveau1">
    <w:name w:val="Puce niveau 1"/>
    <w:aliases w:val="Liste couleur - Accent 13,WB List Paragraph,Dot pt,F5 List Paragraph,No Spacing1"/>
    <w:basedOn w:val="Normal"/>
    <w:qFormat/>
    <w:rsid w:val="00F67DBB"/>
    <w:pPr>
      <w:numPr>
        <w:numId w:val="6"/>
      </w:numPr>
      <w:tabs>
        <w:tab w:val="left" w:pos="284"/>
      </w:tabs>
      <w:spacing w:after="0" w:line="288" w:lineRule="auto"/>
    </w:pPr>
    <w:rPr>
      <w:rFonts w:ascii="Arial" w:eastAsia="Times New Roman" w:hAnsi="Arial" w:cs="Times New Roman"/>
      <w:bCs/>
      <w:color w:val="auto"/>
      <w:sz w:val="20"/>
      <w:szCs w:val="20"/>
      <w:lang w:eastAsia="fr-FR"/>
    </w:rPr>
  </w:style>
  <w:style w:type="paragraph" w:customStyle="1" w:styleId="PuceTableau">
    <w:name w:val="Puce Tableau"/>
    <w:basedOn w:val="Normal"/>
    <w:uiPriority w:val="99"/>
    <w:rsid w:val="00F67DBB"/>
    <w:pPr>
      <w:numPr>
        <w:numId w:val="7"/>
      </w:numPr>
      <w:tabs>
        <w:tab w:val="left" w:pos="227"/>
      </w:tabs>
      <w:spacing w:after="0" w:line="288" w:lineRule="auto"/>
      <w:jc w:val="left"/>
    </w:pPr>
    <w:rPr>
      <w:rFonts w:ascii="Arial" w:eastAsia="Times New Roman" w:hAnsi="Arial" w:cs="Times New Roman"/>
      <w:color w:val="auto"/>
      <w:sz w:val="18"/>
      <w:szCs w:val="32"/>
      <w:lang w:val="en-GB" w:eastAsia="fr-FR"/>
    </w:rPr>
  </w:style>
  <w:style w:type="character" w:styleId="Emphasis">
    <w:name w:val="Emphasis"/>
    <w:basedOn w:val="DefaultParagraphFont"/>
    <w:uiPriority w:val="20"/>
    <w:qFormat/>
    <w:rsid w:val="00A5663F"/>
    <w:rPr>
      <w:i/>
      <w:iCs/>
    </w:rPr>
  </w:style>
  <w:style w:type="paragraph" w:customStyle="1" w:styleId="Pa4">
    <w:name w:val="Pa4"/>
    <w:basedOn w:val="Default"/>
    <w:next w:val="Default"/>
    <w:uiPriority w:val="99"/>
    <w:rsid w:val="00D43612"/>
    <w:pPr>
      <w:spacing w:line="171" w:lineRule="atLeast"/>
    </w:pPr>
    <w:rPr>
      <w:rFonts w:ascii="Roboto" w:hAnsi="Roboto" w:cstheme="minorBidi"/>
      <w:color w:val="auto"/>
    </w:rPr>
  </w:style>
  <w:style w:type="paragraph" w:customStyle="1" w:styleId="Pa0">
    <w:name w:val="Pa0"/>
    <w:basedOn w:val="Default"/>
    <w:next w:val="Default"/>
    <w:uiPriority w:val="99"/>
    <w:rsid w:val="00D43612"/>
    <w:pPr>
      <w:spacing w:line="171" w:lineRule="atLeast"/>
    </w:pPr>
    <w:rPr>
      <w:rFonts w:ascii="Roboto" w:hAnsi="Roboto" w:cstheme="minorBidi"/>
      <w:color w:val="auto"/>
    </w:rPr>
  </w:style>
  <w:style w:type="paragraph" w:customStyle="1" w:styleId="card-text">
    <w:name w:val="card-text"/>
    <w:basedOn w:val="Normal"/>
    <w:rsid w:val="008D4ADC"/>
    <w:pPr>
      <w:spacing w:before="100" w:beforeAutospacing="1" w:after="100" w:afterAutospacing="1" w:line="240" w:lineRule="auto"/>
      <w:jc w:val="left"/>
    </w:pPr>
    <w:rPr>
      <w:rFonts w:eastAsia="Times New Roman" w:cs="Times New Roman"/>
      <w:color w:val="auto"/>
      <w:szCs w:val="24"/>
      <w:lang w:eastAsia="fr-FR"/>
    </w:rPr>
  </w:style>
  <w:style w:type="paragraph" w:styleId="BodyTextIndent">
    <w:name w:val="Body Text Indent"/>
    <w:basedOn w:val="Normal"/>
    <w:link w:val="BodyTextIndentChar"/>
    <w:unhideWhenUsed/>
    <w:rsid w:val="007B1FC4"/>
    <w:pPr>
      <w:spacing w:after="120"/>
      <w:ind w:left="283"/>
    </w:pPr>
  </w:style>
  <w:style w:type="character" w:customStyle="1" w:styleId="BodyTextIndentChar">
    <w:name w:val="Body Text Indent Char"/>
    <w:basedOn w:val="DefaultParagraphFont"/>
    <w:link w:val="BodyTextIndent"/>
    <w:rsid w:val="007B1FC4"/>
    <w:rPr>
      <w:rFonts w:ascii="Times New Roman" w:hAnsi="Times New Roman"/>
      <w:color w:val="000000" w:themeColor="text1"/>
      <w:sz w:val="24"/>
    </w:rPr>
  </w:style>
  <w:style w:type="paragraph" w:customStyle="1" w:styleId="mb-3">
    <w:name w:val="mb-3"/>
    <w:basedOn w:val="Normal"/>
    <w:rsid w:val="00F92890"/>
    <w:pPr>
      <w:spacing w:before="100" w:beforeAutospacing="1" w:after="100" w:afterAutospacing="1" w:line="240" w:lineRule="auto"/>
      <w:jc w:val="left"/>
    </w:pPr>
    <w:rPr>
      <w:rFonts w:eastAsia="Times New Roman" w:cs="Times New Roman"/>
      <w:color w:val="auto"/>
      <w:szCs w:val="24"/>
      <w:lang w:eastAsia="fr-FR"/>
    </w:rPr>
  </w:style>
  <w:style w:type="paragraph" w:customStyle="1" w:styleId="justify">
    <w:name w:val="justify"/>
    <w:basedOn w:val="Normal"/>
    <w:rsid w:val="00DD0594"/>
    <w:pPr>
      <w:spacing w:before="100" w:beforeAutospacing="1" w:after="100" w:afterAutospacing="1" w:line="288" w:lineRule="auto"/>
      <w:jc w:val="left"/>
    </w:pPr>
    <w:rPr>
      <w:rFonts w:ascii="Arial" w:eastAsia="Times New Roman" w:hAnsi="Arial" w:cs="Times New Roman"/>
      <w:color w:val="auto"/>
      <w:sz w:val="22"/>
      <w:szCs w:val="24"/>
      <w:lang w:eastAsia="fr-FR"/>
    </w:rPr>
  </w:style>
  <w:style w:type="paragraph" w:customStyle="1" w:styleId="StyleTitre3ItaliqueGauche0cmPremireligne0cm">
    <w:name w:val="Style Titre 3 + Italique Gauche :  0 cm Première ligne : 0 cm"/>
    <w:basedOn w:val="Heading3"/>
    <w:autoRedefine/>
    <w:rsid w:val="00076237"/>
    <w:pPr>
      <w:keepLines w:val="0"/>
      <w:numPr>
        <w:ilvl w:val="0"/>
        <w:numId w:val="0"/>
      </w:numPr>
      <w:tabs>
        <w:tab w:val="num" w:pos="851"/>
        <w:tab w:val="left" w:pos="1418"/>
      </w:tabs>
      <w:spacing w:before="240" w:after="200"/>
      <w:ind w:left="851" w:hanging="851"/>
    </w:pPr>
    <w:rPr>
      <w:rFonts w:eastAsia="Times New Roman" w:cs="Arial"/>
      <w:iCs/>
      <w:caps/>
      <w:smallCaps/>
      <w:color w:val="auto"/>
      <w:kern w:val="32"/>
      <w:sz w:val="20"/>
      <w:szCs w:val="20"/>
      <w:lang w:eastAsia="fr-FR"/>
    </w:rPr>
  </w:style>
  <w:style w:type="paragraph" w:customStyle="1" w:styleId="StyleTitre3Avant0cmPremireligne0cmCrnage16pt">
    <w:name w:val="Style Titre 3 + Avant : 0 cm Première ligne : 0 cm Crénage 16 pt"/>
    <w:basedOn w:val="Heading3"/>
    <w:semiHidden/>
    <w:rsid w:val="00600992"/>
    <w:pPr>
      <w:keepLines w:val="0"/>
      <w:numPr>
        <w:numId w:val="11"/>
      </w:numPr>
      <w:tabs>
        <w:tab w:val="left" w:pos="851"/>
      </w:tabs>
      <w:spacing w:before="240" w:after="200"/>
    </w:pPr>
    <w:rPr>
      <w:rFonts w:ascii="Arial Narrow" w:eastAsia="Times New Roman" w:hAnsi="Arial Narrow" w:cs="Arial"/>
      <w:color w:val="auto"/>
      <w:kern w:val="32"/>
      <w:sz w:val="26"/>
      <w:szCs w:val="28"/>
      <w:lang w:eastAsia="fr-FR"/>
    </w:rPr>
  </w:style>
  <w:style w:type="paragraph" w:styleId="Title">
    <w:name w:val="Title"/>
    <w:basedOn w:val="Normal"/>
    <w:link w:val="TitleChar"/>
    <w:qFormat/>
    <w:rsid w:val="00EA25E6"/>
    <w:pPr>
      <w:spacing w:before="240" w:after="60" w:line="312" w:lineRule="auto"/>
      <w:jc w:val="center"/>
      <w:outlineLvl w:val="0"/>
    </w:pPr>
    <w:rPr>
      <w:rFonts w:ascii="Arial" w:eastAsia="Times New Roman" w:hAnsi="Arial" w:cs="Arial"/>
      <w:b/>
      <w:bCs/>
      <w:caps/>
      <w:color w:val="auto"/>
      <w:kern w:val="28"/>
      <w:sz w:val="32"/>
      <w:szCs w:val="32"/>
      <w:lang w:eastAsia="fr-FR"/>
    </w:rPr>
  </w:style>
  <w:style w:type="character" w:customStyle="1" w:styleId="TitleChar">
    <w:name w:val="Title Char"/>
    <w:basedOn w:val="DefaultParagraphFont"/>
    <w:link w:val="Title"/>
    <w:rsid w:val="00EA25E6"/>
    <w:rPr>
      <w:rFonts w:ascii="Arial" w:eastAsia="Times New Roman" w:hAnsi="Arial" w:cs="Arial"/>
      <w:b/>
      <w:bCs/>
      <w:caps/>
      <w:kern w:val="28"/>
      <w:sz w:val="32"/>
      <w:szCs w:val="32"/>
      <w:lang w:eastAsia="fr-FR"/>
    </w:rPr>
  </w:style>
  <w:style w:type="paragraph" w:customStyle="1" w:styleId="Style1">
    <w:name w:val="Style1"/>
    <w:basedOn w:val="Heading1"/>
    <w:link w:val="Style1Car"/>
    <w:qFormat/>
    <w:rsid w:val="00EA25E6"/>
    <w:pPr>
      <w:keepLines w:val="0"/>
      <w:pageBreakBefore w:val="0"/>
      <w:tabs>
        <w:tab w:val="left" w:pos="397"/>
        <w:tab w:val="right" w:leader="dot" w:pos="9062"/>
      </w:tabs>
      <w:autoSpaceDE w:val="0"/>
      <w:autoSpaceDN w:val="0"/>
      <w:spacing w:before="60" w:after="300"/>
      <w:ind w:left="851" w:hanging="851"/>
      <w:jc w:val="center"/>
    </w:pPr>
    <w:rPr>
      <w:rFonts w:eastAsia="Times New Roman" w:cs="Times New Roman"/>
      <w:b/>
      <w:caps/>
      <w:noProof/>
      <w:w w:val="110"/>
      <w:sz w:val="28"/>
      <w:lang w:val="en-US" w:eastAsia="fr-FR"/>
    </w:rPr>
  </w:style>
  <w:style w:type="paragraph" w:customStyle="1" w:styleId="Corpsdetexte4">
    <w:name w:val="Corps de texte 4"/>
    <w:basedOn w:val="BodyText"/>
    <w:rsid w:val="00EA25E6"/>
    <w:pPr>
      <w:adjustRightInd/>
      <w:spacing w:before="120" w:after="160" w:line="312" w:lineRule="auto"/>
      <w:ind w:left="0"/>
      <w:jc w:val="both"/>
    </w:pPr>
    <w:rPr>
      <w:rFonts w:ascii="Times New Roman" w:eastAsia="Times New Roman" w:hAnsi="Times New Roman" w:cs="Times New Roman"/>
      <w:sz w:val="24"/>
      <w:szCs w:val="24"/>
      <w:lang w:eastAsia="fr-FR"/>
    </w:rPr>
  </w:style>
  <w:style w:type="paragraph" w:styleId="Index1">
    <w:name w:val="index 1"/>
    <w:basedOn w:val="Normal"/>
    <w:next w:val="Normal"/>
    <w:autoRedefine/>
    <w:uiPriority w:val="99"/>
    <w:semiHidden/>
    <w:unhideWhenUsed/>
    <w:rsid w:val="00EA25E6"/>
    <w:pPr>
      <w:spacing w:after="0" w:line="240" w:lineRule="auto"/>
      <w:ind w:left="240" w:hanging="240"/>
    </w:pPr>
  </w:style>
  <w:style w:type="paragraph" w:styleId="IndexHeading">
    <w:name w:val="index heading"/>
    <w:basedOn w:val="Normal"/>
    <w:next w:val="Index1"/>
    <w:semiHidden/>
    <w:rsid w:val="00EA25E6"/>
    <w:pPr>
      <w:autoSpaceDE w:val="0"/>
      <w:autoSpaceDN w:val="0"/>
      <w:spacing w:line="312" w:lineRule="auto"/>
    </w:pPr>
    <w:rPr>
      <w:rFonts w:ascii="Arial" w:eastAsia="Times New Roman" w:hAnsi="Arial" w:cs="Times New Roman"/>
      <w:color w:val="auto"/>
      <w:sz w:val="20"/>
      <w:szCs w:val="20"/>
      <w:lang w:eastAsia="fr-FR"/>
    </w:rPr>
  </w:style>
  <w:style w:type="paragraph" w:styleId="BodyTextIndent2">
    <w:name w:val="Body Text Indent 2"/>
    <w:basedOn w:val="Normal"/>
    <w:link w:val="BodyTextIndent2Char"/>
    <w:rsid w:val="00EA25E6"/>
    <w:pPr>
      <w:autoSpaceDE w:val="0"/>
      <w:autoSpaceDN w:val="0"/>
      <w:spacing w:before="80" w:line="312" w:lineRule="auto"/>
      <w:ind w:left="709" w:hanging="709"/>
    </w:pPr>
    <w:rPr>
      <w:rFonts w:ascii="Arial" w:eastAsia="Times New Roman" w:hAnsi="Arial" w:cs="Times New Roman"/>
      <w:color w:val="auto"/>
      <w:sz w:val="20"/>
      <w:szCs w:val="20"/>
      <w:lang w:eastAsia="fr-FR"/>
    </w:rPr>
  </w:style>
  <w:style w:type="character" w:customStyle="1" w:styleId="BodyTextIndent2Char">
    <w:name w:val="Body Text Indent 2 Char"/>
    <w:basedOn w:val="DefaultParagraphFont"/>
    <w:link w:val="BodyTextIndent2"/>
    <w:rsid w:val="00EA25E6"/>
    <w:rPr>
      <w:rFonts w:ascii="Arial" w:eastAsia="Times New Roman" w:hAnsi="Arial" w:cs="Times New Roman"/>
      <w:sz w:val="20"/>
      <w:szCs w:val="20"/>
      <w:lang w:eastAsia="fr-FR"/>
    </w:rPr>
  </w:style>
  <w:style w:type="paragraph" w:styleId="BodyTextIndent3">
    <w:name w:val="Body Text Indent 3"/>
    <w:basedOn w:val="Normal"/>
    <w:link w:val="BodyTextIndent3Char"/>
    <w:rsid w:val="00EA25E6"/>
    <w:pPr>
      <w:spacing w:line="312" w:lineRule="auto"/>
      <w:ind w:left="540"/>
    </w:pPr>
    <w:rPr>
      <w:rFonts w:ascii="Verdana" w:eastAsia="Times New Roman" w:hAnsi="Verdana" w:cs="Times New Roman"/>
      <w:color w:val="auto"/>
      <w:sz w:val="20"/>
      <w:szCs w:val="20"/>
      <w:lang w:eastAsia="fr-FR"/>
    </w:rPr>
  </w:style>
  <w:style w:type="character" w:customStyle="1" w:styleId="BodyTextIndent3Char">
    <w:name w:val="Body Text Indent 3 Char"/>
    <w:basedOn w:val="DefaultParagraphFont"/>
    <w:link w:val="BodyTextIndent3"/>
    <w:rsid w:val="00EA25E6"/>
    <w:rPr>
      <w:rFonts w:ascii="Verdana" w:eastAsia="Times New Roman" w:hAnsi="Verdana" w:cs="Times New Roman"/>
      <w:sz w:val="20"/>
      <w:szCs w:val="20"/>
      <w:lang w:eastAsia="fr-FR"/>
    </w:rPr>
  </w:style>
  <w:style w:type="paragraph" w:styleId="TOC6">
    <w:name w:val="toc 6"/>
    <w:basedOn w:val="Normal"/>
    <w:next w:val="Normal"/>
    <w:autoRedefine/>
    <w:uiPriority w:val="39"/>
    <w:rsid w:val="00EA25E6"/>
    <w:pPr>
      <w:tabs>
        <w:tab w:val="right" w:leader="underscore" w:pos="9060"/>
      </w:tabs>
      <w:spacing w:line="312" w:lineRule="auto"/>
      <w:ind w:left="1000"/>
      <w:jc w:val="left"/>
    </w:pPr>
    <w:rPr>
      <w:rFonts w:ascii="Arial Narrow" w:eastAsia="Times New Roman" w:hAnsi="Arial Narrow" w:cs="Times New Roman"/>
      <w:b/>
      <w:smallCaps/>
      <w:noProof/>
      <w:color w:val="auto"/>
      <w:szCs w:val="20"/>
      <w:lang w:eastAsia="fr-FR"/>
    </w:rPr>
  </w:style>
  <w:style w:type="paragraph" w:styleId="TOC7">
    <w:name w:val="toc 7"/>
    <w:basedOn w:val="Normal"/>
    <w:next w:val="Normal"/>
    <w:autoRedefine/>
    <w:uiPriority w:val="39"/>
    <w:rsid w:val="00EA25E6"/>
    <w:pPr>
      <w:spacing w:line="312" w:lineRule="auto"/>
      <w:ind w:left="1200"/>
      <w:jc w:val="left"/>
    </w:pPr>
    <w:rPr>
      <w:rFonts w:ascii="Calibri" w:eastAsia="Times New Roman" w:hAnsi="Calibri" w:cs="Times New Roman"/>
      <w:color w:val="auto"/>
      <w:sz w:val="22"/>
      <w:szCs w:val="20"/>
      <w:lang w:eastAsia="fr-FR"/>
    </w:rPr>
  </w:style>
  <w:style w:type="paragraph" w:styleId="TOC8">
    <w:name w:val="toc 8"/>
    <w:basedOn w:val="Normal"/>
    <w:next w:val="Normal"/>
    <w:autoRedefine/>
    <w:uiPriority w:val="39"/>
    <w:rsid w:val="00EA25E6"/>
    <w:pPr>
      <w:spacing w:line="312" w:lineRule="auto"/>
      <w:ind w:left="1400"/>
      <w:jc w:val="left"/>
    </w:pPr>
    <w:rPr>
      <w:rFonts w:ascii="Calibri" w:eastAsia="Times New Roman" w:hAnsi="Calibri" w:cs="Times New Roman"/>
      <w:color w:val="auto"/>
      <w:sz w:val="22"/>
      <w:szCs w:val="20"/>
      <w:lang w:eastAsia="fr-FR"/>
    </w:rPr>
  </w:style>
  <w:style w:type="paragraph" w:styleId="TOC9">
    <w:name w:val="toc 9"/>
    <w:basedOn w:val="Normal"/>
    <w:next w:val="Normal"/>
    <w:autoRedefine/>
    <w:uiPriority w:val="39"/>
    <w:rsid w:val="00EA25E6"/>
    <w:pPr>
      <w:spacing w:line="312" w:lineRule="auto"/>
      <w:ind w:left="1600"/>
      <w:jc w:val="left"/>
    </w:pPr>
    <w:rPr>
      <w:rFonts w:ascii="Calibri" w:eastAsia="Times New Roman" w:hAnsi="Calibri" w:cs="Times New Roman"/>
      <w:color w:val="auto"/>
      <w:sz w:val="22"/>
      <w:szCs w:val="20"/>
      <w:lang w:eastAsia="fr-FR"/>
    </w:rPr>
  </w:style>
  <w:style w:type="character" w:styleId="FollowedHyperlink">
    <w:name w:val="FollowedHyperlink"/>
    <w:uiPriority w:val="99"/>
    <w:rsid w:val="00EA25E6"/>
    <w:rPr>
      <w:color w:val="800080"/>
      <w:u w:val="single"/>
    </w:rPr>
  </w:style>
  <w:style w:type="paragraph" w:styleId="BodyText2">
    <w:name w:val="Body Text 2"/>
    <w:basedOn w:val="Normal"/>
    <w:link w:val="BodyText2Char"/>
    <w:rsid w:val="00EA25E6"/>
    <w:pPr>
      <w:spacing w:before="60" w:line="312" w:lineRule="auto"/>
    </w:pPr>
    <w:rPr>
      <w:rFonts w:ascii="Verdana" w:eastAsia="Times New Roman" w:hAnsi="Verdana" w:cs="Times New Roman"/>
      <w:color w:val="auto"/>
      <w:sz w:val="20"/>
      <w:szCs w:val="24"/>
      <w:lang w:eastAsia="fr-FR"/>
    </w:rPr>
  </w:style>
  <w:style w:type="character" w:customStyle="1" w:styleId="BodyText2Char">
    <w:name w:val="Body Text 2 Char"/>
    <w:basedOn w:val="DefaultParagraphFont"/>
    <w:link w:val="BodyText2"/>
    <w:rsid w:val="00EA25E6"/>
    <w:rPr>
      <w:rFonts w:ascii="Verdana" w:eastAsia="Times New Roman" w:hAnsi="Verdana" w:cs="Times New Roman"/>
      <w:sz w:val="20"/>
      <w:szCs w:val="24"/>
      <w:lang w:eastAsia="fr-FR"/>
    </w:rPr>
  </w:style>
  <w:style w:type="character" w:styleId="PageNumber">
    <w:name w:val="page number"/>
    <w:basedOn w:val="DefaultParagraphFont"/>
    <w:rsid w:val="00EA25E6"/>
  </w:style>
  <w:style w:type="paragraph" w:styleId="List">
    <w:name w:val="List"/>
    <w:basedOn w:val="Normal"/>
    <w:uiPriority w:val="99"/>
    <w:rsid w:val="00EA25E6"/>
    <w:pPr>
      <w:spacing w:line="312" w:lineRule="auto"/>
      <w:ind w:left="283" w:hanging="283"/>
    </w:pPr>
    <w:rPr>
      <w:rFonts w:ascii="Arial" w:eastAsia="Times New Roman" w:hAnsi="Arial" w:cs="Times New Roman"/>
      <w:color w:val="auto"/>
      <w:sz w:val="22"/>
      <w:szCs w:val="24"/>
      <w:lang w:eastAsia="fr-FR"/>
    </w:rPr>
  </w:style>
  <w:style w:type="paragraph" w:styleId="List2">
    <w:name w:val="List 2"/>
    <w:basedOn w:val="Normal"/>
    <w:rsid w:val="00EA25E6"/>
    <w:pPr>
      <w:spacing w:line="312" w:lineRule="auto"/>
      <w:ind w:left="566" w:hanging="283"/>
    </w:pPr>
    <w:rPr>
      <w:rFonts w:ascii="Arial" w:eastAsia="Times New Roman" w:hAnsi="Arial" w:cs="Times New Roman"/>
      <w:color w:val="auto"/>
      <w:sz w:val="22"/>
      <w:szCs w:val="24"/>
      <w:lang w:eastAsia="fr-FR"/>
    </w:rPr>
  </w:style>
  <w:style w:type="paragraph" w:styleId="Salutation">
    <w:name w:val="Salutation"/>
    <w:basedOn w:val="Normal"/>
    <w:next w:val="Normal"/>
    <w:link w:val="SalutationChar"/>
    <w:rsid w:val="00EA25E6"/>
    <w:pPr>
      <w:spacing w:line="312" w:lineRule="auto"/>
    </w:pPr>
    <w:rPr>
      <w:rFonts w:ascii="Arial" w:eastAsia="Times New Roman" w:hAnsi="Arial" w:cs="Times New Roman"/>
      <w:color w:val="auto"/>
      <w:sz w:val="22"/>
      <w:szCs w:val="24"/>
      <w:lang w:eastAsia="fr-FR"/>
    </w:rPr>
  </w:style>
  <w:style w:type="character" w:customStyle="1" w:styleId="SalutationChar">
    <w:name w:val="Salutation Char"/>
    <w:basedOn w:val="DefaultParagraphFont"/>
    <w:link w:val="Salutation"/>
    <w:rsid w:val="00EA25E6"/>
    <w:rPr>
      <w:rFonts w:ascii="Arial" w:eastAsia="Times New Roman" w:hAnsi="Arial" w:cs="Times New Roman"/>
      <w:szCs w:val="24"/>
      <w:lang w:eastAsia="fr-FR"/>
    </w:rPr>
  </w:style>
  <w:style w:type="paragraph" w:styleId="Date">
    <w:name w:val="Date"/>
    <w:basedOn w:val="Normal"/>
    <w:next w:val="Normal"/>
    <w:link w:val="DateChar"/>
    <w:rsid w:val="00EA25E6"/>
    <w:pPr>
      <w:spacing w:line="312" w:lineRule="auto"/>
    </w:pPr>
    <w:rPr>
      <w:rFonts w:ascii="Arial" w:eastAsia="Times New Roman" w:hAnsi="Arial" w:cs="Times New Roman"/>
      <w:color w:val="auto"/>
      <w:sz w:val="22"/>
      <w:szCs w:val="24"/>
      <w:lang w:eastAsia="fr-FR"/>
    </w:rPr>
  </w:style>
  <w:style w:type="character" w:customStyle="1" w:styleId="DateChar">
    <w:name w:val="Date Char"/>
    <w:basedOn w:val="DefaultParagraphFont"/>
    <w:link w:val="Date"/>
    <w:rsid w:val="00EA25E6"/>
    <w:rPr>
      <w:rFonts w:ascii="Arial" w:eastAsia="Times New Roman" w:hAnsi="Arial" w:cs="Times New Roman"/>
      <w:szCs w:val="24"/>
      <w:lang w:eastAsia="fr-FR"/>
    </w:rPr>
  </w:style>
  <w:style w:type="paragraph" w:styleId="ListBullet">
    <w:name w:val="List Bullet"/>
    <w:basedOn w:val="Normal"/>
    <w:autoRedefine/>
    <w:uiPriority w:val="99"/>
    <w:rsid w:val="00EA25E6"/>
    <w:pPr>
      <w:numPr>
        <w:numId w:val="18"/>
      </w:numPr>
      <w:spacing w:line="312" w:lineRule="auto"/>
    </w:pPr>
    <w:rPr>
      <w:rFonts w:ascii="Arial" w:eastAsia="Times New Roman" w:hAnsi="Arial" w:cs="Times New Roman"/>
      <w:color w:val="auto"/>
      <w:sz w:val="22"/>
      <w:szCs w:val="24"/>
      <w:lang w:eastAsia="fr-FR"/>
    </w:rPr>
  </w:style>
  <w:style w:type="paragraph" w:styleId="ListBullet2">
    <w:name w:val="List Bullet 2"/>
    <w:basedOn w:val="Normal"/>
    <w:autoRedefine/>
    <w:rsid w:val="00EA25E6"/>
    <w:pPr>
      <w:numPr>
        <w:numId w:val="19"/>
      </w:numPr>
      <w:spacing w:line="312" w:lineRule="auto"/>
    </w:pPr>
    <w:rPr>
      <w:rFonts w:ascii="Arial" w:eastAsia="Times New Roman" w:hAnsi="Arial" w:cs="Times New Roman"/>
      <w:color w:val="auto"/>
      <w:sz w:val="22"/>
      <w:szCs w:val="24"/>
      <w:lang w:eastAsia="fr-FR"/>
    </w:rPr>
  </w:style>
  <w:style w:type="paragraph" w:styleId="ListBullet3">
    <w:name w:val="List Bullet 3"/>
    <w:basedOn w:val="Normal"/>
    <w:autoRedefine/>
    <w:rsid w:val="00EA25E6"/>
    <w:pPr>
      <w:numPr>
        <w:numId w:val="20"/>
      </w:numPr>
      <w:spacing w:line="312" w:lineRule="auto"/>
    </w:pPr>
    <w:rPr>
      <w:rFonts w:ascii="Arial" w:eastAsia="Times New Roman" w:hAnsi="Arial" w:cs="Times New Roman"/>
      <w:color w:val="auto"/>
      <w:sz w:val="22"/>
      <w:szCs w:val="24"/>
      <w:lang w:eastAsia="fr-FR"/>
    </w:rPr>
  </w:style>
  <w:style w:type="paragraph" w:customStyle="1" w:styleId="Stylea">
    <w:name w:val="Stylea"/>
    <w:basedOn w:val="Normal"/>
    <w:autoRedefine/>
    <w:rsid w:val="00EA25E6"/>
    <w:pPr>
      <w:pBdr>
        <w:bottom w:val="single" w:sz="4" w:space="1" w:color="auto"/>
      </w:pBdr>
      <w:spacing w:after="120" w:line="360" w:lineRule="auto"/>
      <w:jc w:val="right"/>
    </w:pPr>
    <w:rPr>
      <w:rFonts w:eastAsia="Times New Roman" w:cs="Times New Roman"/>
      <w:b/>
      <w:bCs/>
      <w:i/>
      <w:iCs/>
      <w:color w:val="auto"/>
      <w:sz w:val="44"/>
      <w:szCs w:val="44"/>
      <w:lang w:eastAsia="fr-FR"/>
    </w:rPr>
  </w:style>
  <w:style w:type="paragraph" w:customStyle="1" w:styleId="Style2">
    <w:name w:val="Style2"/>
    <w:basedOn w:val="Normal"/>
    <w:autoRedefine/>
    <w:rsid w:val="00EA25E6"/>
    <w:pPr>
      <w:pBdr>
        <w:bottom w:val="single" w:sz="4" w:space="1" w:color="auto"/>
      </w:pBdr>
      <w:spacing w:after="120" w:line="360" w:lineRule="auto"/>
      <w:jc w:val="right"/>
    </w:pPr>
    <w:rPr>
      <w:rFonts w:eastAsia="Times New Roman" w:cs="Times New Roman"/>
      <w:b/>
      <w:bCs/>
      <w:i/>
      <w:iCs/>
      <w:color w:val="auto"/>
      <w:sz w:val="44"/>
      <w:szCs w:val="44"/>
      <w:lang w:eastAsia="fr-FR"/>
    </w:rPr>
  </w:style>
  <w:style w:type="paragraph" w:customStyle="1" w:styleId="StyleTitre3Gauche">
    <w:name w:val="Style Titre 3 + Gauche"/>
    <w:basedOn w:val="Heading3"/>
    <w:rsid w:val="00EA25E6"/>
    <w:pPr>
      <w:keepLines w:val="0"/>
      <w:tabs>
        <w:tab w:val="left" w:pos="567"/>
      </w:tabs>
      <w:autoSpaceDE w:val="0"/>
      <w:autoSpaceDN w:val="0"/>
      <w:spacing w:before="240" w:line="312" w:lineRule="auto"/>
    </w:pPr>
    <w:rPr>
      <w:rFonts w:ascii="Arial Narrow" w:eastAsia="Times New Roman" w:hAnsi="Arial Narrow" w:cs="Times New Roman"/>
      <w:b w:val="0"/>
      <w:bCs w:val="0"/>
      <w:caps/>
      <w:smallCaps/>
      <w:color w:val="auto"/>
      <w:szCs w:val="20"/>
      <w:lang w:eastAsia="fr-FR"/>
    </w:rPr>
  </w:style>
  <w:style w:type="paragraph" w:styleId="FootnoteText">
    <w:name w:val="footnote text"/>
    <w:aliases w:val="Car,single space,footnote text,fn,FOOTNOTES,FN,Geneva 9,Font: Geneva 9,Boston 10,f,Footnote Text Char Char Char Char Char,Footnote Text Char Char Char Char Char Char,ft,(NECG) Footnote Text Char Char Char,ALTS FOOTNOTE,ADB,NBP, Car,P"/>
    <w:basedOn w:val="Normal"/>
    <w:link w:val="FootnoteTextChar"/>
    <w:autoRedefine/>
    <w:uiPriority w:val="99"/>
    <w:unhideWhenUsed/>
    <w:qFormat/>
    <w:rsid w:val="00D36171"/>
    <w:pPr>
      <w:spacing w:after="80" w:line="240" w:lineRule="auto"/>
    </w:pPr>
    <w:rPr>
      <w:rFonts w:eastAsia="Times New Roman" w:cs="Times New Roman"/>
      <w:i/>
      <w:color w:val="auto"/>
      <w:sz w:val="22"/>
      <w:szCs w:val="20"/>
      <w:lang w:eastAsia="fr-FR"/>
    </w:rPr>
  </w:style>
  <w:style w:type="character" w:customStyle="1" w:styleId="FootnoteTextChar">
    <w:name w:val="Footnote Text Char"/>
    <w:aliases w:val="Car Char,single space Char,footnote text Char,fn Char,FOOTNOTES Char,FN Char,Geneva 9 Char,Font: Geneva 9 Char,Boston 10 Char,f Char,Footnote Text Char Char Char Char Char Char1,Footnote Text Char Char Char Char Char Char Char,ft Char"/>
    <w:basedOn w:val="DefaultParagraphFont"/>
    <w:link w:val="FootnoteText"/>
    <w:uiPriority w:val="99"/>
    <w:qFormat/>
    <w:rsid w:val="00D36171"/>
    <w:rPr>
      <w:rFonts w:ascii="Times New Roman" w:eastAsia="Times New Roman" w:hAnsi="Times New Roman" w:cs="Times New Roman"/>
      <w:i/>
      <w:szCs w:val="20"/>
      <w:lang w:eastAsia="fr-FR"/>
    </w:rPr>
  </w:style>
  <w:style w:type="character" w:styleId="FootnoteReference">
    <w:name w:val="footnote reference"/>
    <w:aliases w:val="Ref,de nota al pie,16 Point,Superscript 6 Point,ftref,Footnote,BVI fnr, BVI fnr,Знак сноски 1,Footnote Reference Number,Footnote Reference Char Char Char,Char Char Char Char Car Char,fr,Used by Word for Help footnote symbols,R,FO"/>
    <w:link w:val="BVIfnrCarCarCarCarChar"/>
    <w:uiPriority w:val="99"/>
    <w:unhideWhenUsed/>
    <w:qFormat/>
    <w:rsid w:val="00EA25E6"/>
    <w:rPr>
      <w:vertAlign w:val="superscript"/>
    </w:rPr>
  </w:style>
  <w:style w:type="paragraph" w:customStyle="1" w:styleId="BVIfnrCarCarCarCarChar">
    <w:name w:val="BVI fnr Car Car Car Car Char"/>
    <w:basedOn w:val="Normal"/>
    <w:link w:val="FootnoteReference"/>
    <w:uiPriority w:val="99"/>
    <w:qFormat/>
    <w:rsid w:val="00B4765A"/>
    <w:pPr>
      <w:widowControl w:val="0"/>
      <w:adjustRightInd w:val="0"/>
      <w:spacing w:line="240" w:lineRule="exact"/>
      <w:textAlignment w:val="baseline"/>
    </w:pPr>
    <w:rPr>
      <w:rFonts w:asciiTheme="minorHAnsi" w:hAnsiTheme="minorHAnsi"/>
      <w:color w:val="auto"/>
      <w:sz w:val="22"/>
      <w:vertAlign w:val="superscript"/>
    </w:rPr>
  </w:style>
  <w:style w:type="paragraph" w:styleId="TableofFigures">
    <w:name w:val="table of figures"/>
    <w:basedOn w:val="Normal"/>
    <w:next w:val="Normal"/>
    <w:autoRedefine/>
    <w:uiPriority w:val="99"/>
    <w:unhideWhenUsed/>
    <w:rsid w:val="004C211B"/>
    <w:pPr>
      <w:tabs>
        <w:tab w:val="right" w:leader="dot" w:pos="9060"/>
      </w:tabs>
      <w:spacing w:after="80" w:line="240" w:lineRule="auto"/>
    </w:pPr>
    <w:rPr>
      <w:rFonts w:ascii="Times New Roman Gras" w:eastAsia="Times New Roman" w:hAnsi="Times New Roman Gras" w:cs="Times New Roman"/>
      <w:b/>
      <w:noProof/>
      <w:color w:val="auto"/>
      <w:sz w:val="22"/>
      <w:szCs w:val="24"/>
      <w:lang w:eastAsia="fr-FR"/>
    </w:rPr>
  </w:style>
  <w:style w:type="character" w:styleId="Strong">
    <w:name w:val="Strong"/>
    <w:qFormat/>
    <w:rsid w:val="00EA25E6"/>
    <w:rPr>
      <w:b/>
      <w:bCs/>
    </w:rPr>
  </w:style>
  <w:style w:type="paragraph" w:styleId="PlainText">
    <w:name w:val="Plain Text"/>
    <w:basedOn w:val="Normal"/>
    <w:link w:val="PlainTextChar"/>
    <w:uiPriority w:val="99"/>
    <w:rsid w:val="00EA25E6"/>
    <w:pPr>
      <w:spacing w:line="312" w:lineRule="auto"/>
      <w:jc w:val="left"/>
    </w:pPr>
    <w:rPr>
      <w:rFonts w:ascii="Courier New" w:eastAsia="Times New Roman" w:hAnsi="Courier New" w:cs="Courier New"/>
      <w:color w:val="auto"/>
      <w:sz w:val="22"/>
      <w:szCs w:val="20"/>
      <w:lang w:eastAsia="fr-FR"/>
    </w:rPr>
  </w:style>
  <w:style w:type="character" w:customStyle="1" w:styleId="PlainTextChar">
    <w:name w:val="Plain Text Char"/>
    <w:basedOn w:val="DefaultParagraphFont"/>
    <w:link w:val="PlainText"/>
    <w:uiPriority w:val="99"/>
    <w:rsid w:val="00EA25E6"/>
    <w:rPr>
      <w:rFonts w:ascii="Courier New" w:eastAsia="Times New Roman" w:hAnsi="Courier New" w:cs="Courier New"/>
      <w:szCs w:val="20"/>
      <w:lang w:eastAsia="fr-FR"/>
    </w:rPr>
  </w:style>
  <w:style w:type="paragraph" w:customStyle="1" w:styleId="BankNormal">
    <w:name w:val="BankNormal"/>
    <w:basedOn w:val="Normal"/>
    <w:rsid w:val="00EA25E6"/>
    <w:pPr>
      <w:widowControl w:val="0"/>
      <w:spacing w:after="240" w:line="312" w:lineRule="auto"/>
      <w:jc w:val="left"/>
    </w:pPr>
    <w:rPr>
      <w:rFonts w:eastAsia="Times New Roman" w:cs="Times New Roman"/>
      <w:color w:val="auto"/>
      <w:szCs w:val="24"/>
      <w:lang w:val="en-US" w:eastAsia="fr-FR"/>
    </w:rPr>
  </w:style>
  <w:style w:type="paragraph" w:customStyle="1" w:styleId="StyleTitre118ptBlancToutenmajusculeCentrAvant42">
    <w:name w:val="Style Titre 1 + 18 pt Blanc Tout en majuscule Centré Avant : 42..."/>
    <w:basedOn w:val="Heading1"/>
    <w:rsid w:val="00EA25E6"/>
    <w:pPr>
      <w:keepLines w:val="0"/>
      <w:pBdr>
        <w:top w:val="single" w:sz="4" w:space="9" w:color="auto"/>
        <w:left w:val="single" w:sz="4" w:space="24" w:color="auto"/>
        <w:bottom w:val="single" w:sz="4" w:space="11" w:color="auto"/>
        <w:right w:val="single" w:sz="4" w:space="4" w:color="auto"/>
      </w:pBdr>
      <w:shd w:val="clear" w:color="auto" w:fill="339966"/>
      <w:tabs>
        <w:tab w:val="left" w:pos="397"/>
      </w:tabs>
      <w:autoSpaceDE w:val="0"/>
      <w:autoSpaceDN w:val="0"/>
      <w:spacing w:before="840" w:after="1080"/>
      <w:ind w:left="851" w:hanging="851"/>
      <w:jc w:val="center"/>
    </w:pPr>
    <w:rPr>
      <w:rFonts w:ascii="Arial Gras" w:eastAsia="Times New Roman" w:hAnsi="Arial Gras" w:cs="Times New Roman"/>
      <w:b/>
      <w:caps/>
      <w:color w:val="FFFFFF"/>
      <w:w w:val="110"/>
      <w:sz w:val="36"/>
      <w:szCs w:val="20"/>
      <w:lang w:eastAsia="fr-FR"/>
    </w:rPr>
  </w:style>
  <w:style w:type="paragraph" w:styleId="Subtitle">
    <w:name w:val="Subtitle"/>
    <w:basedOn w:val="Normal"/>
    <w:link w:val="SubtitleChar"/>
    <w:qFormat/>
    <w:rsid w:val="00CF6842"/>
    <w:pPr>
      <w:spacing w:line="360" w:lineRule="auto"/>
      <w:jc w:val="left"/>
    </w:pPr>
    <w:rPr>
      <w:rFonts w:ascii="Arial Gras" w:eastAsia="Times New Roman" w:hAnsi="Arial Gras" w:cs="Times New Roman"/>
      <w:b/>
      <w:color w:val="auto"/>
      <w:szCs w:val="20"/>
      <w:lang w:eastAsia="fr-FR"/>
    </w:rPr>
  </w:style>
  <w:style w:type="character" w:customStyle="1" w:styleId="SubtitleChar">
    <w:name w:val="Subtitle Char"/>
    <w:basedOn w:val="DefaultParagraphFont"/>
    <w:link w:val="Subtitle"/>
    <w:rsid w:val="00CF6842"/>
    <w:rPr>
      <w:rFonts w:ascii="Arial Gras" w:eastAsia="Times New Roman" w:hAnsi="Arial Gras" w:cs="Times New Roman"/>
      <w:b/>
      <w:sz w:val="24"/>
      <w:szCs w:val="20"/>
      <w:lang w:eastAsia="fr-FR"/>
    </w:rPr>
  </w:style>
  <w:style w:type="paragraph" w:customStyle="1" w:styleId="Nomdesocit">
    <w:name w:val="Nom de société"/>
    <w:basedOn w:val="Normal"/>
    <w:next w:val="Normal"/>
    <w:rsid w:val="00EA25E6"/>
    <w:pPr>
      <w:tabs>
        <w:tab w:val="left" w:pos="1440"/>
        <w:tab w:val="right" w:pos="6480"/>
      </w:tabs>
      <w:spacing w:before="220" w:line="220" w:lineRule="atLeast"/>
      <w:jc w:val="left"/>
    </w:pPr>
    <w:rPr>
      <w:rFonts w:ascii="Garamond" w:eastAsia="Times New Roman" w:hAnsi="Garamond" w:cs="Times New Roman"/>
      <w:color w:val="auto"/>
      <w:sz w:val="22"/>
      <w:szCs w:val="20"/>
    </w:rPr>
  </w:style>
  <w:style w:type="paragraph" w:customStyle="1" w:styleId="Objectifs">
    <w:name w:val="Objectifs"/>
    <w:basedOn w:val="Normal"/>
    <w:next w:val="BodyText"/>
    <w:rsid w:val="00EA25E6"/>
    <w:pPr>
      <w:spacing w:before="60" w:after="220" w:line="220" w:lineRule="atLeast"/>
    </w:pPr>
    <w:rPr>
      <w:rFonts w:ascii="Garamond" w:eastAsia="Times New Roman" w:hAnsi="Garamond" w:cs="Times New Roman"/>
      <w:color w:val="auto"/>
      <w:sz w:val="22"/>
      <w:szCs w:val="20"/>
    </w:rPr>
  </w:style>
  <w:style w:type="paragraph" w:customStyle="1" w:styleId="Russite">
    <w:name w:val="Réussite"/>
    <w:basedOn w:val="BodyText"/>
    <w:rsid w:val="00EA25E6"/>
    <w:pPr>
      <w:numPr>
        <w:numId w:val="21"/>
      </w:numPr>
      <w:autoSpaceDE/>
      <w:autoSpaceDN/>
      <w:adjustRightInd/>
      <w:spacing w:after="60" w:line="240" w:lineRule="atLeast"/>
      <w:ind w:left="0" w:firstLine="0"/>
      <w:jc w:val="both"/>
    </w:pPr>
    <w:rPr>
      <w:rFonts w:ascii="Garamond" w:eastAsia="Times New Roman" w:hAnsi="Garamond" w:cs="Times New Roman"/>
      <w:szCs w:val="20"/>
    </w:rPr>
  </w:style>
  <w:style w:type="paragraph" w:customStyle="1" w:styleId="Intitulduposte">
    <w:name w:val="Intitulé du poste"/>
    <w:next w:val="Russite"/>
    <w:rsid w:val="00EA25E6"/>
    <w:pPr>
      <w:spacing w:before="40" w:after="40" w:line="220" w:lineRule="atLeast"/>
    </w:pPr>
    <w:rPr>
      <w:rFonts w:ascii="Garamond" w:eastAsia="Times New Roman" w:hAnsi="Garamond" w:cs="Times New Roman"/>
      <w:i/>
      <w:spacing w:val="5"/>
      <w:sz w:val="23"/>
      <w:szCs w:val="20"/>
    </w:rPr>
  </w:style>
  <w:style w:type="paragraph" w:customStyle="1" w:styleId="Liste1">
    <w:name w:val="Liste_1"/>
    <w:basedOn w:val="Normal"/>
    <w:rsid w:val="00EA25E6"/>
    <w:pPr>
      <w:numPr>
        <w:numId w:val="22"/>
      </w:numPr>
      <w:overflowPunct w:val="0"/>
      <w:autoSpaceDE w:val="0"/>
      <w:autoSpaceDN w:val="0"/>
      <w:adjustRightInd w:val="0"/>
      <w:spacing w:after="120" w:line="360" w:lineRule="auto"/>
    </w:pPr>
    <w:rPr>
      <w:rFonts w:ascii="Arial" w:eastAsia="Times New Roman" w:hAnsi="Arial" w:cs="Arial"/>
      <w:color w:val="auto"/>
      <w:sz w:val="22"/>
      <w:szCs w:val="20"/>
      <w:lang w:val="de-DE" w:eastAsia="de-DE"/>
    </w:rPr>
  </w:style>
  <w:style w:type="paragraph" w:customStyle="1" w:styleId="Titel">
    <w:name w:val="Titel_"/>
    <w:basedOn w:val="Normal"/>
    <w:next w:val="Normal"/>
    <w:rsid w:val="00EA25E6"/>
    <w:pPr>
      <w:pageBreakBefore/>
      <w:overflowPunct w:val="0"/>
      <w:autoSpaceDE w:val="0"/>
      <w:autoSpaceDN w:val="0"/>
      <w:adjustRightInd w:val="0"/>
      <w:spacing w:before="240" w:after="240" w:line="360" w:lineRule="auto"/>
      <w:jc w:val="center"/>
    </w:pPr>
    <w:rPr>
      <w:rFonts w:ascii="Arial" w:eastAsia="Times New Roman" w:hAnsi="Arial" w:cs="Times New Roman"/>
      <w:b/>
      <w:bCs/>
      <w:caps/>
      <w:color w:val="auto"/>
      <w:sz w:val="26"/>
      <w:szCs w:val="20"/>
      <w:lang w:val="de-DE" w:eastAsia="de-DE"/>
    </w:rPr>
  </w:style>
  <w:style w:type="character" w:customStyle="1" w:styleId="CarCarCar">
    <w:name w:val="Car Car Car"/>
    <w:semiHidden/>
    <w:rsid w:val="00EA25E6"/>
    <w:rPr>
      <w:rFonts w:ascii="Verdana" w:hAnsi="Verdana"/>
    </w:rPr>
  </w:style>
  <w:style w:type="paragraph" w:customStyle="1" w:styleId="justif">
    <w:name w:val="justif"/>
    <w:basedOn w:val="Normal"/>
    <w:rsid w:val="00EA25E6"/>
    <w:pPr>
      <w:spacing w:before="100" w:beforeAutospacing="1" w:after="100" w:afterAutospacing="1" w:line="312" w:lineRule="auto"/>
    </w:pPr>
    <w:rPr>
      <w:rFonts w:ascii="Arial" w:eastAsia="Arial Unicode MS" w:hAnsi="Arial" w:cs="Arial Unicode MS"/>
      <w:color w:val="000000"/>
      <w:sz w:val="16"/>
      <w:szCs w:val="16"/>
      <w:lang w:eastAsia="fr-FR"/>
    </w:rPr>
  </w:style>
  <w:style w:type="paragraph" w:customStyle="1" w:styleId="xl42">
    <w:name w:val="xl42"/>
    <w:basedOn w:val="Normal"/>
    <w:rsid w:val="00EA25E6"/>
    <w:pPr>
      <w:pBdr>
        <w:left w:val="single" w:sz="4" w:space="0" w:color="auto"/>
      </w:pBdr>
      <w:spacing w:before="100" w:beforeAutospacing="1" w:after="100" w:afterAutospacing="1" w:line="312" w:lineRule="auto"/>
      <w:jc w:val="left"/>
      <w:textAlignment w:val="center"/>
    </w:pPr>
    <w:rPr>
      <w:rFonts w:ascii="Arial Unicode MS" w:eastAsia="Arial Unicode MS" w:hAnsi="Arial Unicode MS" w:cs="Arial Unicode MS"/>
      <w:color w:val="auto"/>
      <w:szCs w:val="24"/>
      <w:lang w:eastAsia="fr-FR"/>
    </w:rPr>
  </w:style>
  <w:style w:type="paragraph" w:customStyle="1" w:styleId="TableauNormal1">
    <w:name w:val="Tableau Normal1"/>
    <w:basedOn w:val="Normal"/>
    <w:rsid w:val="00EA25E6"/>
    <w:pPr>
      <w:spacing w:line="312" w:lineRule="auto"/>
    </w:pPr>
    <w:rPr>
      <w:rFonts w:ascii="Tahoma" w:eastAsia="Times New Roman" w:hAnsi="Tahoma" w:cs="Times New Roman"/>
      <w:color w:val="auto"/>
      <w:sz w:val="20"/>
      <w:szCs w:val="20"/>
      <w:lang w:val="en-US"/>
    </w:rPr>
  </w:style>
  <w:style w:type="paragraph" w:styleId="BodyText3">
    <w:name w:val="Body Text 3"/>
    <w:basedOn w:val="Normal"/>
    <w:link w:val="BodyText3Char"/>
    <w:unhideWhenUsed/>
    <w:rsid w:val="00EA25E6"/>
    <w:pPr>
      <w:spacing w:after="120" w:line="312" w:lineRule="auto"/>
    </w:pPr>
    <w:rPr>
      <w:rFonts w:ascii="Arial" w:eastAsia="Times New Roman" w:hAnsi="Arial" w:cs="Times New Roman"/>
      <w:color w:val="auto"/>
      <w:sz w:val="16"/>
      <w:szCs w:val="16"/>
      <w:lang w:eastAsia="fr-FR"/>
    </w:rPr>
  </w:style>
  <w:style w:type="character" w:customStyle="1" w:styleId="BodyText3Char">
    <w:name w:val="Body Text 3 Char"/>
    <w:basedOn w:val="DefaultParagraphFont"/>
    <w:link w:val="BodyText3"/>
    <w:rsid w:val="00EA25E6"/>
    <w:rPr>
      <w:rFonts w:ascii="Arial" w:eastAsia="Times New Roman" w:hAnsi="Arial" w:cs="Times New Roman"/>
      <w:sz w:val="16"/>
      <w:szCs w:val="16"/>
      <w:lang w:eastAsia="fr-FR"/>
    </w:rPr>
  </w:style>
  <w:style w:type="table" w:customStyle="1" w:styleId="TableNormal1">
    <w:name w:val="Table Normal1"/>
    <w:uiPriority w:val="2"/>
    <w:semiHidden/>
    <w:unhideWhenUsed/>
    <w:qFormat/>
    <w:rsid w:val="00EA25E6"/>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EA25E6"/>
    <w:pPr>
      <w:widowControl w:val="0"/>
      <w:spacing w:line="240" w:lineRule="auto"/>
      <w:jc w:val="left"/>
    </w:pPr>
    <w:rPr>
      <w:rFonts w:asciiTheme="minorHAnsi" w:hAnsiTheme="minorHAnsi"/>
      <w:color w:val="auto"/>
      <w:sz w:val="22"/>
      <w:lang w:val="en-US"/>
    </w:rPr>
  </w:style>
  <w:style w:type="paragraph" w:styleId="BlockText">
    <w:name w:val="Block Text"/>
    <w:basedOn w:val="Normal"/>
    <w:rsid w:val="00EA25E6"/>
    <w:pPr>
      <w:spacing w:line="240" w:lineRule="auto"/>
      <w:ind w:left="-360" w:right="-288" w:firstLine="1068"/>
    </w:pPr>
    <w:rPr>
      <w:rFonts w:eastAsia="Times New Roman" w:cs="Times New Roman"/>
      <w:color w:val="auto"/>
      <w:szCs w:val="24"/>
      <w:lang w:eastAsia="fr-FR"/>
    </w:rPr>
  </w:style>
  <w:style w:type="table" w:styleId="LightShading-Accent1">
    <w:name w:val="Light Shading Accent 1"/>
    <w:basedOn w:val="TableNormal"/>
    <w:uiPriority w:val="60"/>
    <w:rsid w:val="00EA25E6"/>
    <w:pPr>
      <w:spacing w:after="0" w:line="240" w:lineRule="auto"/>
    </w:pPr>
    <w:rPr>
      <w:color w:val="2F5496" w:themeColor="accent1" w:themeShade="BF"/>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paragraph" w:customStyle="1" w:styleId="xl26">
    <w:name w:val="xl26"/>
    <w:basedOn w:val="Normal"/>
    <w:rsid w:val="00EA25E6"/>
    <w:pPr>
      <w:spacing w:before="100" w:beforeAutospacing="1" w:after="100" w:afterAutospacing="1" w:line="240" w:lineRule="auto"/>
      <w:jc w:val="center"/>
    </w:pPr>
    <w:rPr>
      <w:rFonts w:ascii="Comic Sans MS" w:eastAsia="Arial Unicode MS" w:hAnsi="Comic Sans MS" w:cs="Arial Unicode MS"/>
      <w:color w:val="auto"/>
      <w:sz w:val="22"/>
      <w:lang w:eastAsia="fr-FR"/>
    </w:rPr>
  </w:style>
  <w:style w:type="paragraph" w:customStyle="1" w:styleId="PA">
    <w:name w:val="PA"/>
    <w:basedOn w:val="Normal"/>
    <w:rsid w:val="00EA25E6"/>
    <w:pPr>
      <w:spacing w:before="40" w:after="240" w:line="240" w:lineRule="auto"/>
      <w:ind w:left="1134"/>
    </w:pPr>
    <w:rPr>
      <w:rFonts w:ascii="Arial" w:eastAsia="Times New Roman" w:hAnsi="Arial" w:cs="Times New Roman"/>
      <w:color w:val="0000FF"/>
      <w:sz w:val="22"/>
      <w:szCs w:val="20"/>
      <w:lang w:eastAsia="fr-FR"/>
    </w:rPr>
  </w:style>
  <w:style w:type="paragraph" w:customStyle="1" w:styleId="Corpsdetexte25">
    <w:name w:val="Corps de texte 25"/>
    <w:basedOn w:val="Normal"/>
    <w:rsid w:val="00EA25E6"/>
    <w:pPr>
      <w:suppressAutoHyphens/>
      <w:overflowPunct w:val="0"/>
      <w:autoSpaceDE w:val="0"/>
      <w:autoSpaceDN w:val="0"/>
      <w:adjustRightInd w:val="0"/>
      <w:spacing w:after="0" w:line="240" w:lineRule="auto"/>
      <w:textAlignment w:val="baseline"/>
    </w:pPr>
    <w:rPr>
      <w:rFonts w:eastAsia="Times New Roman" w:cs="Times New Roman"/>
      <w:color w:val="auto"/>
      <w:sz w:val="28"/>
      <w:szCs w:val="20"/>
      <w:lang w:eastAsia="fr-FR"/>
    </w:rPr>
  </w:style>
  <w:style w:type="paragraph" w:customStyle="1" w:styleId="Outline1">
    <w:name w:val="Outline1"/>
    <w:basedOn w:val="Normal"/>
    <w:next w:val="Normal"/>
    <w:rsid w:val="00EA25E6"/>
    <w:pPr>
      <w:keepNext/>
      <w:numPr>
        <w:numId w:val="23"/>
      </w:numPr>
      <w:spacing w:before="240" w:after="0" w:line="240" w:lineRule="auto"/>
      <w:jc w:val="left"/>
    </w:pPr>
    <w:rPr>
      <w:rFonts w:eastAsia="Times New Roman" w:cs="Times New Roman"/>
      <w:color w:val="auto"/>
      <w:kern w:val="28"/>
      <w:szCs w:val="20"/>
      <w:lang w:eastAsia="fr-FR"/>
    </w:rPr>
  </w:style>
  <w:style w:type="paragraph" w:customStyle="1" w:styleId="BodyIndentF">
    <w:name w:val="Body IndentF"/>
    <w:basedOn w:val="Normal"/>
    <w:rsid w:val="00EA25E6"/>
    <w:pPr>
      <w:spacing w:after="140" w:line="290" w:lineRule="auto"/>
      <w:ind w:left="851"/>
    </w:pPr>
    <w:rPr>
      <w:rFonts w:ascii="Arial" w:eastAsia="Times New Roman" w:hAnsi="Arial" w:cs="Times New Roman"/>
      <w:color w:val="auto"/>
      <w:sz w:val="20"/>
      <w:szCs w:val="20"/>
      <w:lang w:eastAsia="fr-FR"/>
    </w:rPr>
  </w:style>
  <w:style w:type="paragraph" w:customStyle="1" w:styleId="StyleParagraphedelisteGrasTexte1">
    <w:name w:val="Style Paragraphe de liste + Gras Texte 1"/>
    <w:basedOn w:val="ListParagraph"/>
    <w:rsid w:val="00EA25E6"/>
    <w:pPr>
      <w:spacing w:before="120" w:after="0" w:line="312" w:lineRule="auto"/>
      <w:ind w:left="0"/>
    </w:pPr>
    <w:rPr>
      <w:rFonts w:ascii="Arial Gras" w:eastAsia="Calibri" w:hAnsi="Arial Gras" w:cs="Times New Roman"/>
      <w:b/>
      <w:bCs/>
      <w:smallCaps/>
      <w:sz w:val="22"/>
      <w:lang w:eastAsia="en-US"/>
    </w:rPr>
  </w:style>
  <w:style w:type="paragraph" w:customStyle="1" w:styleId="Pa1">
    <w:name w:val="Pa1"/>
    <w:basedOn w:val="Default"/>
    <w:next w:val="Default"/>
    <w:uiPriority w:val="99"/>
    <w:rsid w:val="00EA25E6"/>
    <w:pPr>
      <w:spacing w:line="221" w:lineRule="atLeast"/>
    </w:pPr>
    <w:rPr>
      <w:rFonts w:ascii="Futura Std Book" w:eastAsia="Times New Roman" w:hAnsi="Futura Std Book" w:cs="Times New Roman"/>
      <w:color w:val="auto"/>
      <w:lang w:eastAsia="fr-FR"/>
    </w:rPr>
  </w:style>
  <w:style w:type="character" w:customStyle="1" w:styleId="A10">
    <w:name w:val="A10"/>
    <w:uiPriority w:val="99"/>
    <w:rsid w:val="00EA25E6"/>
    <w:rPr>
      <w:rFonts w:cs="Futura Std Book"/>
      <w:color w:val="000000"/>
      <w:sz w:val="12"/>
      <w:szCs w:val="12"/>
    </w:rPr>
  </w:style>
  <w:style w:type="character" w:customStyle="1" w:styleId="A8">
    <w:name w:val="A8"/>
    <w:uiPriority w:val="99"/>
    <w:rsid w:val="00EA25E6"/>
    <w:rPr>
      <w:rFonts w:cs="Futura Std Book"/>
      <w:color w:val="000000"/>
    </w:rPr>
  </w:style>
  <w:style w:type="paragraph" w:customStyle="1" w:styleId="Pa5">
    <w:name w:val="Pa5"/>
    <w:basedOn w:val="Default"/>
    <w:next w:val="Default"/>
    <w:uiPriority w:val="99"/>
    <w:rsid w:val="00EA25E6"/>
    <w:pPr>
      <w:spacing w:line="221" w:lineRule="atLeast"/>
    </w:pPr>
    <w:rPr>
      <w:rFonts w:ascii="Futura Std Book" w:eastAsia="Times New Roman" w:hAnsi="Futura Std Book" w:cs="Times New Roman"/>
      <w:color w:val="auto"/>
      <w:lang w:eastAsia="fr-FR"/>
    </w:rPr>
  </w:style>
  <w:style w:type="paragraph" w:customStyle="1" w:styleId="Pa16">
    <w:name w:val="Pa16"/>
    <w:basedOn w:val="Default"/>
    <w:next w:val="Default"/>
    <w:uiPriority w:val="99"/>
    <w:rsid w:val="00EA25E6"/>
    <w:pPr>
      <w:spacing w:line="221" w:lineRule="atLeast"/>
    </w:pPr>
    <w:rPr>
      <w:rFonts w:ascii="Futura Std" w:eastAsia="Times New Roman" w:hAnsi="Futura Std" w:cs="Times New Roman"/>
      <w:color w:val="auto"/>
      <w:lang w:eastAsia="fr-FR"/>
    </w:rPr>
  </w:style>
  <w:style w:type="paragraph" w:customStyle="1" w:styleId="Pa2">
    <w:name w:val="Pa2"/>
    <w:basedOn w:val="Default"/>
    <w:next w:val="Default"/>
    <w:uiPriority w:val="99"/>
    <w:rsid w:val="00EA25E6"/>
    <w:pPr>
      <w:spacing w:line="221" w:lineRule="atLeast"/>
    </w:pPr>
    <w:rPr>
      <w:rFonts w:ascii="Futura Std" w:eastAsia="Times New Roman" w:hAnsi="Futura Std" w:cs="Times New Roman"/>
      <w:color w:val="auto"/>
      <w:lang w:eastAsia="fr-FR"/>
    </w:rPr>
  </w:style>
  <w:style w:type="character" w:customStyle="1" w:styleId="A9">
    <w:name w:val="A9"/>
    <w:uiPriority w:val="99"/>
    <w:rsid w:val="00EA25E6"/>
    <w:rPr>
      <w:rFonts w:cs="Futura Std"/>
      <w:color w:val="000000"/>
      <w:sz w:val="12"/>
      <w:szCs w:val="12"/>
    </w:rPr>
  </w:style>
  <w:style w:type="paragraph" w:customStyle="1" w:styleId="StyleArialNonToutenmajusculeJustifiPremireligne125">
    <w:name w:val="Style Arial Non Tout en majuscule Justifié Première ligne : 125..."/>
    <w:basedOn w:val="Normal"/>
    <w:rsid w:val="00EA25E6"/>
    <w:pPr>
      <w:spacing w:before="120" w:after="120" w:line="240" w:lineRule="auto"/>
      <w:ind w:firstLine="567"/>
    </w:pPr>
    <w:rPr>
      <w:rFonts w:ascii="Arial" w:eastAsia="Times New Roman" w:hAnsi="Arial" w:cs="Times New Roman"/>
      <w:color w:val="auto"/>
      <w:szCs w:val="20"/>
      <w:lang w:eastAsia="fr-FR"/>
    </w:rPr>
  </w:style>
  <w:style w:type="table" w:customStyle="1" w:styleId="Grilledutableau1">
    <w:name w:val="Grille du tableau1"/>
    <w:basedOn w:val="TableNormal"/>
    <w:next w:val="TableGrid"/>
    <w:uiPriority w:val="59"/>
    <w:rsid w:val="00EA25E6"/>
    <w:pPr>
      <w:spacing w:before="80" w:after="0" w:line="240" w:lineRule="auto"/>
      <w:jc w:val="both"/>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ystrantokenword">
    <w:name w:val="systran_token_word"/>
    <w:basedOn w:val="DefaultParagraphFont"/>
    <w:rsid w:val="00EA25E6"/>
  </w:style>
  <w:style w:type="character" w:customStyle="1" w:styleId="apple-converted-space">
    <w:name w:val="apple-converted-space"/>
    <w:basedOn w:val="DefaultParagraphFont"/>
    <w:rsid w:val="00EA25E6"/>
  </w:style>
  <w:style w:type="character" w:customStyle="1" w:styleId="systrantokenpunctuation">
    <w:name w:val="systran_token_punctuation"/>
    <w:basedOn w:val="DefaultParagraphFont"/>
    <w:rsid w:val="00EA25E6"/>
  </w:style>
  <w:style w:type="character" w:customStyle="1" w:styleId="systrantokennumeric">
    <w:name w:val="systran_token_numeric"/>
    <w:basedOn w:val="DefaultParagraphFont"/>
    <w:rsid w:val="00EA25E6"/>
  </w:style>
  <w:style w:type="paragraph" w:styleId="NoSpacing">
    <w:name w:val="No Spacing"/>
    <w:aliases w:val="My Normal,Numbered Para"/>
    <w:basedOn w:val="Normal"/>
    <w:link w:val="NoSpacingChar"/>
    <w:uiPriority w:val="1"/>
    <w:qFormat/>
    <w:rsid w:val="00EA25E6"/>
    <w:pPr>
      <w:spacing w:before="100" w:beforeAutospacing="1" w:after="100" w:afterAutospacing="1" w:line="240" w:lineRule="auto"/>
      <w:jc w:val="left"/>
    </w:pPr>
    <w:rPr>
      <w:rFonts w:eastAsia="Times New Roman" w:cs="Times New Roman"/>
      <w:color w:val="auto"/>
      <w:szCs w:val="24"/>
      <w:lang w:eastAsia="fr-FR"/>
    </w:rPr>
  </w:style>
  <w:style w:type="paragraph" w:customStyle="1" w:styleId="StyleAvant6ptInterligneMultiple115li">
    <w:name w:val="Style Avant : 6 pt Interligne : Multiple 115 li"/>
    <w:basedOn w:val="Normal"/>
    <w:rsid w:val="00EA25E6"/>
    <w:pPr>
      <w:spacing w:before="120" w:after="0"/>
    </w:pPr>
    <w:rPr>
      <w:rFonts w:ascii="Book Antiqua" w:eastAsia="Times New Roman" w:hAnsi="Book Antiqua" w:cs="Times New Roman"/>
      <w:color w:val="auto"/>
      <w:szCs w:val="20"/>
      <w:lang w:eastAsia="fr-FR"/>
    </w:rPr>
  </w:style>
  <w:style w:type="character" w:customStyle="1" w:styleId="systranud">
    <w:name w:val="systran_ud"/>
    <w:basedOn w:val="DefaultParagraphFont"/>
    <w:rsid w:val="00EA25E6"/>
  </w:style>
  <w:style w:type="character" w:customStyle="1" w:styleId="fontstyle01">
    <w:name w:val="fontstyle01"/>
    <w:rsid w:val="00FB3AA8"/>
    <w:rPr>
      <w:rFonts w:ascii="Arial Narrow" w:hAnsi="Arial Narrow" w:hint="default"/>
      <w:b/>
      <w:bCs/>
      <w:i w:val="0"/>
      <w:iCs w:val="0"/>
      <w:color w:val="000000"/>
      <w:sz w:val="24"/>
      <w:szCs w:val="24"/>
    </w:rPr>
  </w:style>
  <w:style w:type="character" w:customStyle="1" w:styleId="fontstyle21">
    <w:name w:val="fontstyle21"/>
    <w:rsid w:val="00FB3AA8"/>
    <w:rPr>
      <w:rFonts w:ascii="ArialMT" w:hAnsi="ArialMT" w:hint="default"/>
      <w:b w:val="0"/>
      <w:bCs w:val="0"/>
      <w:i w:val="0"/>
      <w:iCs w:val="0"/>
      <w:color w:val="000000"/>
      <w:sz w:val="20"/>
      <w:szCs w:val="20"/>
    </w:rPr>
  </w:style>
  <w:style w:type="table" w:styleId="LightShading-Accent5">
    <w:name w:val="Light Shading Accent 5"/>
    <w:basedOn w:val="TableNormal"/>
    <w:uiPriority w:val="60"/>
    <w:rsid w:val="00FB3AA8"/>
    <w:pPr>
      <w:spacing w:after="0" w:line="240" w:lineRule="auto"/>
    </w:pPr>
    <w:rPr>
      <w:color w:val="2E74B5" w:themeColor="accent5" w:themeShade="BF"/>
    </w:rPr>
    <w:tblPr>
      <w:tblStyleRowBandSize w:val="1"/>
      <w:tblStyleColBandSize w:val="1"/>
      <w:tblBorders>
        <w:top w:val="single" w:sz="8" w:space="0" w:color="5B9BD5" w:themeColor="accent5"/>
        <w:bottom w:val="single" w:sz="8" w:space="0" w:color="5B9BD5" w:themeColor="accent5"/>
      </w:tblBorders>
    </w:tblPr>
    <w:tblStylePr w:type="fir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la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left w:val="nil"/>
          <w:right w:val="nil"/>
          <w:insideH w:val="nil"/>
          <w:insideV w:val="nil"/>
        </w:tcBorders>
        <w:shd w:val="clear" w:color="auto" w:fill="D6E6F4" w:themeFill="accent5" w:themeFillTint="3F"/>
      </w:tcPr>
    </w:tblStylePr>
  </w:style>
  <w:style w:type="paragraph" w:customStyle="1" w:styleId="Grillemoyenne1-Accent21">
    <w:name w:val="Grille moyenne 1 - Accent 21"/>
    <w:basedOn w:val="Normal"/>
    <w:link w:val="Grillemoyenne1-Accent2Car"/>
    <w:uiPriority w:val="34"/>
    <w:qFormat/>
    <w:rsid w:val="00FB3AA8"/>
    <w:pPr>
      <w:spacing w:line="259" w:lineRule="auto"/>
      <w:ind w:left="720"/>
      <w:contextualSpacing/>
      <w:jc w:val="left"/>
    </w:pPr>
    <w:rPr>
      <w:rFonts w:ascii="Calibri" w:eastAsia="Calibri" w:hAnsi="Calibri" w:cs="Times New Roman"/>
      <w:color w:val="auto"/>
      <w:sz w:val="22"/>
    </w:rPr>
  </w:style>
  <w:style w:type="character" w:customStyle="1" w:styleId="Grillemoyenne1-Accent2Car">
    <w:name w:val="Grille moyenne 1 - Accent 2 Car"/>
    <w:basedOn w:val="DefaultParagraphFont"/>
    <w:link w:val="Grillemoyenne1-Accent21"/>
    <w:uiPriority w:val="34"/>
    <w:qFormat/>
    <w:rsid w:val="00FB3AA8"/>
    <w:rPr>
      <w:rFonts w:ascii="Calibri" w:eastAsia="Calibri" w:hAnsi="Calibri" w:cs="Times New Roman"/>
    </w:rPr>
  </w:style>
  <w:style w:type="paragraph" w:customStyle="1" w:styleId="SimpleList">
    <w:name w:val="Simple List"/>
    <w:basedOn w:val="Normal"/>
    <w:rsid w:val="000E3562"/>
    <w:pPr>
      <w:widowControl w:val="0"/>
      <w:numPr>
        <w:numId w:val="33"/>
      </w:numPr>
      <w:tabs>
        <w:tab w:val="clear" w:pos="720"/>
        <w:tab w:val="num" w:pos="360"/>
      </w:tabs>
      <w:autoSpaceDE w:val="0"/>
      <w:autoSpaceDN w:val="0"/>
      <w:adjustRightInd w:val="0"/>
      <w:spacing w:after="0" w:line="240" w:lineRule="auto"/>
      <w:ind w:left="0" w:firstLine="0"/>
    </w:pPr>
    <w:rPr>
      <w:rFonts w:eastAsia="SimSun" w:cs="Times New Roman"/>
      <w:color w:val="auto"/>
      <w:szCs w:val="28"/>
      <w:lang w:val="en-US" w:eastAsia="zh-CN"/>
    </w:rPr>
  </w:style>
  <w:style w:type="character" w:customStyle="1" w:styleId="mark-translation">
    <w:name w:val="mark-translation"/>
    <w:basedOn w:val="DefaultParagraphFont"/>
    <w:rsid w:val="002E2DA7"/>
  </w:style>
  <w:style w:type="paragraph" w:customStyle="1" w:styleId="TITRE2">
    <w:name w:val="TITRE2"/>
    <w:basedOn w:val="Normal"/>
    <w:rsid w:val="002E2DA7"/>
    <w:pPr>
      <w:spacing w:after="0" w:line="240" w:lineRule="auto"/>
      <w:ind w:left="1080" w:hanging="720"/>
      <w:contextualSpacing/>
    </w:pPr>
    <w:rPr>
      <w:rFonts w:ascii="Calibri" w:eastAsia="Calibri" w:hAnsi="Calibri" w:cs="Times New Roman"/>
      <w:b/>
      <w:color w:val="auto"/>
      <w:lang w:val="x-none"/>
    </w:rPr>
  </w:style>
  <w:style w:type="paragraph" w:customStyle="1" w:styleId="Listecouleur-Accent11">
    <w:name w:val="Liste couleur - Accent 11"/>
    <w:basedOn w:val="Normal"/>
    <w:link w:val="Listecouleur-Accent1Car1"/>
    <w:uiPriority w:val="34"/>
    <w:qFormat/>
    <w:rsid w:val="002E2DA7"/>
    <w:pPr>
      <w:spacing w:after="200"/>
      <w:ind w:left="720"/>
      <w:contextualSpacing/>
    </w:pPr>
    <w:rPr>
      <w:rFonts w:ascii="Calibri" w:eastAsia="Calibri" w:hAnsi="Calibri" w:cs="Times New Roman"/>
      <w:color w:val="auto"/>
      <w:sz w:val="20"/>
      <w:szCs w:val="20"/>
      <w:lang w:val="x-none" w:eastAsia="x-none"/>
    </w:rPr>
  </w:style>
  <w:style w:type="character" w:customStyle="1" w:styleId="Listecouleur-Accent1Car1">
    <w:name w:val="Liste couleur - Accent 1 Car1"/>
    <w:link w:val="Listecouleur-Accent11"/>
    <w:uiPriority w:val="34"/>
    <w:qFormat/>
    <w:rsid w:val="002E2DA7"/>
    <w:rPr>
      <w:rFonts w:ascii="Calibri" w:eastAsia="Calibri" w:hAnsi="Calibri" w:cs="Times New Roman"/>
      <w:sz w:val="20"/>
      <w:szCs w:val="20"/>
      <w:lang w:val="x-none" w:eastAsia="x-none"/>
    </w:rPr>
  </w:style>
  <w:style w:type="paragraph" w:customStyle="1" w:styleId="Tableau">
    <w:name w:val="Tableau"/>
    <w:basedOn w:val="Caption"/>
    <w:rsid w:val="002E2DA7"/>
    <w:pPr>
      <w:spacing w:before="120" w:after="120"/>
    </w:pPr>
    <w:rPr>
      <w:rFonts w:eastAsia="Calibri" w:cs="Times New Roman"/>
      <w:bCs/>
      <w:iCs w:val="0"/>
      <w:color w:val="auto"/>
      <w:szCs w:val="20"/>
      <w:lang w:val="x-none"/>
    </w:rPr>
  </w:style>
  <w:style w:type="character" w:styleId="CommentReference">
    <w:name w:val="annotation reference"/>
    <w:uiPriority w:val="99"/>
    <w:unhideWhenUsed/>
    <w:qFormat/>
    <w:rsid w:val="002E2DA7"/>
    <w:rPr>
      <w:sz w:val="16"/>
      <w:szCs w:val="16"/>
    </w:rPr>
  </w:style>
  <w:style w:type="paragraph" w:styleId="CommentText">
    <w:name w:val="annotation text"/>
    <w:basedOn w:val="Normal"/>
    <w:link w:val="CommentTextChar"/>
    <w:unhideWhenUsed/>
    <w:qFormat/>
    <w:rsid w:val="002E2DA7"/>
    <w:pPr>
      <w:spacing w:after="200" w:line="240" w:lineRule="auto"/>
    </w:pPr>
    <w:rPr>
      <w:rFonts w:ascii="Calibri" w:eastAsia="Calibri" w:hAnsi="Calibri" w:cs="Times New Roman"/>
      <w:color w:val="auto"/>
      <w:sz w:val="20"/>
      <w:szCs w:val="20"/>
      <w:lang w:val="x-none"/>
    </w:rPr>
  </w:style>
  <w:style w:type="character" w:customStyle="1" w:styleId="CommentTextChar">
    <w:name w:val="Comment Text Char"/>
    <w:basedOn w:val="DefaultParagraphFont"/>
    <w:link w:val="CommentText"/>
    <w:qFormat/>
    <w:rsid w:val="002E2DA7"/>
    <w:rPr>
      <w:rFonts w:ascii="Calibri" w:eastAsia="Calibri" w:hAnsi="Calibri" w:cs="Times New Roman"/>
      <w:sz w:val="20"/>
      <w:szCs w:val="20"/>
      <w:lang w:val="x-none"/>
    </w:rPr>
  </w:style>
  <w:style w:type="character" w:customStyle="1" w:styleId="CommentSubjectChar">
    <w:name w:val="Comment Subject Char"/>
    <w:link w:val="CommentSubject"/>
    <w:uiPriority w:val="99"/>
    <w:rsid w:val="002E2DA7"/>
    <w:rPr>
      <w:rFonts w:ascii="Calibri" w:eastAsia="Calibri" w:hAnsi="Calibri" w:cs="Times New Roman"/>
      <w:b/>
      <w:bCs/>
    </w:rPr>
  </w:style>
  <w:style w:type="paragraph" w:styleId="CommentSubject">
    <w:name w:val="annotation subject"/>
    <w:basedOn w:val="CommentText"/>
    <w:next w:val="CommentText"/>
    <w:link w:val="CommentSubjectChar"/>
    <w:uiPriority w:val="99"/>
    <w:unhideWhenUsed/>
    <w:rsid w:val="002E2DA7"/>
    <w:rPr>
      <w:b/>
      <w:bCs/>
      <w:sz w:val="22"/>
      <w:szCs w:val="22"/>
      <w:lang w:val="fr-FR"/>
    </w:rPr>
  </w:style>
  <w:style w:type="character" w:customStyle="1" w:styleId="ObjetducommentaireCar1">
    <w:name w:val="Objet du commentaire Car1"/>
    <w:basedOn w:val="CommentTextChar"/>
    <w:uiPriority w:val="99"/>
    <w:semiHidden/>
    <w:rsid w:val="002E2DA7"/>
    <w:rPr>
      <w:rFonts w:ascii="Calibri" w:eastAsia="Calibri" w:hAnsi="Calibri" w:cs="Times New Roman"/>
      <w:b/>
      <w:bCs/>
      <w:sz w:val="20"/>
      <w:szCs w:val="20"/>
      <w:lang w:val="x-none"/>
    </w:rPr>
  </w:style>
  <w:style w:type="character" w:customStyle="1" w:styleId="nowrap">
    <w:name w:val="nowrap"/>
    <w:basedOn w:val="DefaultParagraphFont"/>
    <w:rsid w:val="002E2DA7"/>
  </w:style>
  <w:style w:type="character" w:customStyle="1" w:styleId="stats">
    <w:name w:val="stats"/>
    <w:basedOn w:val="DefaultParagraphFont"/>
    <w:rsid w:val="002E2DA7"/>
  </w:style>
  <w:style w:type="table" w:customStyle="1" w:styleId="TableNormal10">
    <w:name w:val="Table Normal10"/>
    <w:uiPriority w:val="2"/>
    <w:semiHidden/>
    <w:unhideWhenUsed/>
    <w:qFormat/>
    <w:rsid w:val="002E2D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Figure">
    <w:name w:val="Figure"/>
    <w:basedOn w:val="Caption"/>
    <w:rsid w:val="002E2DA7"/>
    <w:pPr>
      <w:spacing w:before="120" w:after="120"/>
    </w:pPr>
    <w:rPr>
      <w:rFonts w:eastAsia="Calibri" w:cs="Times New Roman"/>
      <w:bCs/>
      <w:iCs w:val="0"/>
      <w:color w:val="auto"/>
      <w:szCs w:val="20"/>
      <w:lang w:val="x-none"/>
    </w:rPr>
  </w:style>
  <w:style w:type="table" w:styleId="ColorfulShading-Accent3">
    <w:name w:val="Colorful Shading Accent 3"/>
    <w:basedOn w:val="TableNormal"/>
    <w:uiPriority w:val="71"/>
    <w:rsid w:val="002E2DA7"/>
    <w:pPr>
      <w:spacing w:after="0" w:line="240" w:lineRule="auto"/>
    </w:pPr>
    <w:rPr>
      <w:rFonts w:ascii="Calibri" w:eastAsia="Calibri" w:hAnsi="Calibri" w:cs="Times New Roman"/>
      <w:lang w:val="x-none" w:bidi="x-none"/>
    </w:rPr>
    <w:tblPr>
      <w:tblStyleRowBandSize w:val="1"/>
      <w:tblStyleColBandSize w:val="1"/>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paragraph" w:customStyle="1" w:styleId="ea">
    <w:name w:val="ea"/>
    <w:basedOn w:val="Normal"/>
    <w:rsid w:val="002E2DA7"/>
    <w:pPr>
      <w:keepLines/>
      <w:numPr>
        <w:numId w:val="38"/>
      </w:numPr>
      <w:spacing w:before="120" w:after="0" w:line="240" w:lineRule="auto"/>
    </w:pPr>
    <w:rPr>
      <w:rFonts w:ascii="Arial" w:eastAsia="Times New Roman" w:hAnsi="Arial" w:cs="Arial"/>
      <w:color w:val="auto"/>
      <w:sz w:val="20"/>
      <w:szCs w:val="20"/>
      <w:lang w:eastAsia="fr-FR"/>
    </w:rPr>
  </w:style>
  <w:style w:type="paragraph" w:customStyle="1" w:styleId="ean">
    <w:name w:val="ean"/>
    <w:basedOn w:val="ea"/>
    <w:rsid w:val="002E2DA7"/>
  </w:style>
  <w:style w:type="paragraph" w:customStyle="1" w:styleId="Grilleclaire-Accent31">
    <w:name w:val="Grille claire - Accent 31"/>
    <w:aliases w:val="Paragraphe  revu,Puces,- List tir,liste 1,figure"/>
    <w:basedOn w:val="Normal"/>
    <w:uiPriority w:val="34"/>
    <w:qFormat/>
    <w:rsid w:val="002E2DA7"/>
    <w:pPr>
      <w:widowControl w:val="0"/>
      <w:spacing w:after="120" w:line="240" w:lineRule="auto"/>
      <w:ind w:left="720"/>
      <w:contextualSpacing/>
    </w:pPr>
    <w:rPr>
      <w:rFonts w:ascii="Arial" w:eastAsia="Times New Roman" w:hAnsi="Arial" w:cs="Times New Roman"/>
      <w:color w:val="auto"/>
      <w:sz w:val="20"/>
      <w:szCs w:val="20"/>
      <w:lang w:val="en-GB" w:eastAsia="fr-FR"/>
    </w:rPr>
  </w:style>
  <w:style w:type="paragraph" w:customStyle="1" w:styleId="Tabilao">
    <w:name w:val="Tabilao"/>
    <w:basedOn w:val="Caption"/>
    <w:rsid w:val="002E2DA7"/>
    <w:pPr>
      <w:spacing w:before="120" w:after="120"/>
    </w:pPr>
    <w:rPr>
      <w:rFonts w:eastAsia="Calibri" w:cs="Times New Roman"/>
      <w:bCs/>
      <w:iCs w:val="0"/>
      <w:color w:val="auto"/>
      <w:szCs w:val="20"/>
      <w:lang w:val="x-none"/>
    </w:rPr>
  </w:style>
  <w:style w:type="paragraph" w:customStyle="1" w:styleId="En-ttedetabledesmatires1">
    <w:name w:val="En-tête de table des matières1"/>
    <w:basedOn w:val="Heading1"/>
    <w:next w:val="Normal"/>
    <w:uiPriority w:val="39"/>
    <w:unhideWhenUsed/>
    <w:qFormat/>
    <w:rsid w:val="002E2DA7"/>
    <w:pPr>
      <w:pageBreakBefore w:val="0"/>
      <w:spacing w:before="480" w:after="0" w:line="276" w:lineRule="auto"/>
      <w:ind w:left="0" w:firstLine="0"/>
      <w:jc w:val="left"/>
      <w:outlineLvl w:val="9"/>
    </w:pPr>
    <w:rPr>
      <w:rFonts w:ascii="Times New Roman" w:eastAsia="Times New Roman" w:hAnsi="Times New Roman" w:cs="Times New Roman"/>
      <w:caps/>
      <w:color w:val="365F91"/>
      <w:sz w:val="28"/>
      <w:szCs w:val="28"/>
      <w:lang w:val="x-none"/>
    </w:rPr>
  </w:style>
  <w:style w:type="paragraph" w:customStyle="1" w:styleId="Carte">
    <w:name w:val="Carte"/>
    <w:basedOn w:val="Caption"/>
    <w:rsid w:val="002E2DA7"/>
    <w:pPr>
      <w:spacing w:before="120" w:after="120"/>
    </w:pPr>
    <w:rPr>
      <w:rFonts w:eastAsia="Calibri" w:cs="Times New Roman"/>
      <w:bCs/>
      <w:iCs w:val="0"/>
      <w:color w:val="auto"/>
      <w:szCs w:val="20"/>
      <w:lang w:val="x-none"/>
    </w:rPr>
  </w:style>
  <w:style w:type="paragraph" w:customStyle="1" w:styleId="Listecouleur-Accent12">
    <w:name w:val="Liste couleur - Accent 12"/>
    <w:aliases w:val="List Paragraph Char Char Char"/>
    <w:basedOn w:val="Normal"/>
    <w:link w:val="Listecouleur-Accent1Car3"/>
    <w:uiPriority w:val="34"/>
    <w:qFormat/>
    <w:rsid w:val="002E2DA7"/>
    <w:pPr>
      <w:spacing w:after="0" w:line="240" w:lineRule="auto"/>
      <w:ind w:left="708"/>
    </w:pPr>
    <w:rPr>
      <w:rFonts w:eastAsia="Times New Roman" w:cs="Times New Roman"/>
      <w:color w:val="auto"/>
      <w:szCs w:val="24"/>
      <w:lang w:val="x-none" w:eastAsia="x-none"/>
    </w:rPr>
  </w:style>
  <w:style w:type="character" w:customStyle="1" w:styleId="Listecouleur-Accent1Car3">
    <w:name w:val="Liste couleur - Accent 1 Car3"/>
    <w:aliases w:val="List Paragraph Char Char Char Car"/>
    <w:link w:val="Listecouleur-Accent12"/>
    <w:uiPriority w:val="34"/>
    <w:qFormat/>
    <w:rsid w:val="002E2DA7"/>
    <w:rPr>
      <w:rFonts w:ascii="Times New Roman" w:eastAsia="Times New Roman" w:hAnsi="Times New Roman" w:cs="Times New Roman"/>
      <w:sz w:val="24"/>
      <w:szCs w:val="24"/>
      <w:lang w:val="x-none" w:eastAsia="x-none"/>
    </w:rPr>
  </w:style>
  <w:style w:type="paragraph" w:customStyle="1" w:styleId="Tramemoyenne1-Accent11">
    <w:name w:val="Trame moyenne 1 - Accent 11"/>
    <w:link w:val="Tramemoyenne1-Accent1Car"/>
    <w:uiPriority w:val="99"/>
    <w:qFormat/>
    <w:rsid w:val="002E2DA7"/>
    <w:pPr>
      <w:spacing w:after="0" w:line="240" w:lineRule="auto"/>
      <w:jc w:val="both"/>
    </w:pPr>
    <w:rPr>
      <w:rFonts w:ascii="Times New Roman" w:eastAsia="MS Mincho" w:hAnsi="Times New Roman" w:cs="Times New Roman"/>
      <w:color w:val="000000"/>
      <w:sz w:val="24"/>
      <w:lang w:eastAsia="fr-FR"/>
    </w:rPr>
  </w:style>
  <w:style w:type="character" w:customStyle="1" w:styleId="Tramemoyenne1-Accent1Car">
    <w:name w:val="Trame moyenne 1 - Accent 1 Car"/>
    <w:link w:val="Tramemoyenne1-Accent11"/>
    <w:uiPriority w:val="99"/>
    <w:rsid w:val="002E2DA7"/>
    <w:rPr>
      <w:rFonts w:ascii="Times New Roman" w:eastAsia="MS Mincho" w:hAnsi="Times New Roman" w:cs="Times New Roman"/>
      <w:color w:val="000000"/>
      <w:sz w:val="24"/>
      <w:lang w:eastAsia="fr-FR"/>
    </w:rPr>
  </w:style>
  <w:style w:type="paragraph" w:customStyle="1" w:styleId="Annexes">
    <w:name w:val="Annexes"/>
    <w:basedOn w:val="Caption"/>
    <w:rsid w:val="002E2DA7"/>
    <w:pPr>
      <w:spacing w:before="120" w:after="120"/>
    </w:pPr>
    <w:rPr>
      <w:rFonts w:eastAsia="Calibri" w:cs="Times New Roman"/>
      <w:bCs/>
      <w:iCs w:val="0"/>
      <w:color w:val="auto"/>
      <w:szCs w:val="20"/>
      <w:lang w:val="x-none"/>
    </w:rPr>
  </w:style>
  <w:style w:type="table" w:styleId="DarkList-Accent5">
    <w:name w:val="Dark List Accent 5"/>
    <w:basedOn w:val="TableNormal"/>
    <w:uiPriority w:val="66"/>
    <w:rsid w:val="002E2DA7"/>
    <w:pPr>
      <w:spacing w:after="0" w:line="240" w:lineRule="auto"/>
    </w:pPr>
    <w:rPr>
      <w:rFonts w:ascii="Cambria" w:eastAsia="Times New Roman" w:hAnsi="Cambria" w:cs="Times New Roman"/>
      <w:color w:val="000000"/>
      <w:sz w:val="20"/>
      <w:szCs w:val="20"/>
      <w:lang w:val="en-US"/>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FFC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styleId="LightList-Accent2">
    <w:name w:val="Light List Accent 2"/>
    <w:basedOn w:val="TableNormal"/>
    <w:uiPriority w:val="61"/>
    <w:rsid w:val="002E2DA7"/>
    <w:pPr>
      <w:spacing w:after="0" w:line="240" w:lineRule="auto"/>
    </w:pPr>
    <w:rPr>
      <w:rFonts w:ascii="Calibri" w:eastAsia="Calibri" w:hAnsi="Calibri" w:cs="Times New Roman"/>
      <w:sz w:val="20"/>
      <w:szCs w:val="20"/>
      <w:lang w:val="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MediumList2-Accent5">
    <w:name w:val="Medium List 2 Accent 5"/>
    <w:basedOn w:val="TableNormal"/>
    <w:uiPriority w:val="62"/>
    <w:rsid w:val="002E2DA7"/>
    <w:pPr>
      <w:spacing w:after="0" w:line="240" w:lineRule="auto"/>
    </w:pPr>
    <w:rPr>
      <w:rFonts w:ascii="Calibri" w:eastAsia="Calibri" w:hAnsi="Calibri" w:cs="Times New Roman"/>
      <w:sz w:val="20"/>
      <w:szCs w:val="20"/>
      <w:lang w:val="en-US"/>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MingLiU" w:eastAsia="Times New Roman" w:hAnsi="MingLiU"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MingLiU" w:eastAsia="Times New Roman" w:hAnsi="MingLiU"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MingLiU" w:eastAsia="Times New Roman" w:hAnsi="MingLiU" w:cs="Times New Roman"/>
        <w:b/>
        <w:bCs/>
      </w:rPr>
    </w:tblStylePr>
    <w:tblStylePr w:type="lastCol">
      <w:rPr>
        <w:rFonts w:ascii="MingLiU" w:eastAsia="Times New Roman" w:hAnsi="MingLiU"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styleId="MediumGrid2-Accent6">
    <w:name w:val="Medium Grid 2 Accent 6"/>
    <w:basedOn w:val="TableNormal"/>
    <w:uiPriority w:val="64"/>
    <w:rsid w:val="002E2DA7"/>
    <w:pPr>
      <w:spacing w:after="0" w:line="240" w:lineRule="auto"/>
    </w:pPr>
    <w:rPr>
      <w:rFonts w:ascii="Calibri" w:eastAsia="Calibri" w:hAnsi="Calibri" w:cs="Times New Roman"/>
      <w:sz w:val="20"/>
      <w:szCs w:val="20"/>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Grid2-Accent5">
    <w:name w:val="Medium Grid 2 Accent 5"/>
    <w:basedOn w:val="TableNormal"/>
    <w:uiPriority w:val="64"/>
    <w:rsid w:val="002E2DA7"/>
    <w:pPr>
      <w:spacing w:after="0" w:line="240" w:lineRule="auto"/>
    </w:pPr>
    <w:rPr>
      <w:rFonts w:ascii="Calibri" w:eastAsia="Calibri" w:hAnsi="Calibri" w:cs="Times New Roman"/>
      <w:sz w:val="20"/>
      <w:szCs w:val="20"/>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DarkList-Accent2">
    <w:name w:val="Dark List Accent 2"/>
    <w:basedOn w:val="TableNormal"/>
    <w:uiPriority w:val="61"/>
    <w:rsid w:val="002E2DA7"/>
    <w:pPr>
      <w:spacing w:after="0" w:line="240" w:lineRule="auto"/>
    </w:pPr>
    <w:rPr>
      <w:rFonts w:ascii="Cambria" w:eastAsia="Times New Roman" w:hAnsi="Cambria" w:cs="Times New Roman"/>
      <w:color w:val="000000"/>
      <w:sz w:val="20"/>
      <w:szCs w:val="20"/>
      <w:lang w:val="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5B9BD5"/>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MediumGrid2-Accent4">
    <w:name w:val="Medium Grid 2 Accent 4"/>
    <w:basedOn w:val="TableNormal"/>
    <w:uiPriority w:val="30"/>
    <w:rsid w:val="002E2DA7"/>
    <w:pPr>
      <w:spacing w:after="0" w:line="240" w:lineRule="auto"/>
    </w:pPr>
    <w:rPr>
      <w:rFonts w:ascii="Calibri" w:eastAsia="Calibri" w:hAnsi="Calibri" w:cs="Times New Roman"/>
      <w:sz w:val="20"/>
      <w:szCs w:val="20"/>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1-Accent5">
    <w:name w:val="Medium Shading 1 Accent 5"/>
    <w:basedOn w:val="TableNormal"/>
    <w:uiPriority w:val="30"/>
    <w:rsid w:val="002E2DA7"/>
    <w:pPr>
      <w:spacing w:after="0" w:line="240" w:lineRule="auto"/>
    </w:pPr>
    <w:rPr>
      <w:rFonts w:ascii="Calibri" w:eastAsia="Calibri" w:hAnsi="Calibri" w:cs="Times New Roman"/>
      <w:color w:val="000000"/>
      <w:sz w:val="20"/>
      <w:szCs w:val="20"/>
      <w:lang w:val="en-US"/>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styleId="LightList-Accent6">
    <w:name w:val="Light List Accent 6"/>
    <w:basedOn w:val="TableNormal"/>
    <w:uiPriority w:val="71"/>
    <w:rsid w:val="002E2DA7"/>
    <w:pPr>
      <w:spacing w:after="0" w:line="240" w:lineRule="auto"/>
    </w:pPr>
    <w:rPr>
      <w:rFonts w:ascii="Calibri" w:eastAsia="Calibri" w:hAnsi="Calibri" w:cs="Times New Roman"/>
      <w:color w:val="000000"/>
      <w:sz w:val="20"/>
      <w:szCs w:val="20"/>
      <w:lang w:val="en-US"/>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Emphaseple1">
    <w:name w:val="Emphase pâle1"/>
    <w:basedOn w:val="TableNormal"/>
    <w:uiPriority w:val="65"/>
    <w:qFormat/>
    <w:rsid w:val="002E2DA7"/>
    <w:pPr>
      <w:spacing w:after="0" w:line="240" w:lineRule="auto"/>
    </w:pPr>
    <w:rPr>
      <w:rFonts w:ascii="Calibri" w:eastAsia="Calibri" w:hAnsi="Calibri" w:cs="Times New Roman"/>
      <w:color w:val="000000"/>
      <w:sz w:val="20"/>
      <w:szCs w:val="20"/>
      <w:lang w:val="en-US"/>
    </w:rPr>
    <w:tblPr>
      <w:tblStyleRowBandSize w:val="1"/>
      <w:tblStyleColBandSize w:val="1"/>
      <w:tblBorders>
        <w:top w:val="single" w:sz="8" w:space="0" w:color="F79646"/>
        <w:bottom w:val="single" w:sz="8" w:space="0" w:color="F79646"/>
      </w:tblBorders>
    </w:tblPr>
    <w:tblStylePr w:type="firstRow">
      <w:rPr>
        <w:rFonts w:ascii="MingLiU" w:eastAsia="Times New Roman" w:hAnsi="MingLiU"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Rfrenceintense1">
    <w:name w:val="Référence intense1"/>
    <w:basedOn w:val="TableNormal"/>
    <w:uiPriority w:val="68"/>
    <w:qFormat/>
    <w:rsid w:val="002E2DA7"/>
    <w:pPr>
      <w:spacing w:after="0" w:line="240" w:lineRule="auto"/>
    </w:pPr>
    <w:rPr>
      <w:rFonts w:ascii="Cambria" w:eastAsia="Times New Roman" w:hAnsi="Cambria" w:cs="Times New Roman"/>
      <w:color w:val="000000"/>
      <w:sz w:val="20"/>
      <w:szCs w:val="20"/>
      <w:lang w:val="en-US"/>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styleId="ColorfulGrid-Accent2">
    <w:name w:val="Colorful Grid Accent 2"/>
    <w:basedOn w:val="TableNormal"/>
    <w:uiPriority w:val="69"/>
    <w:rsid w:val="002E2DA7"/>
    <w:pPr>
      <w:spacing w:after="0" w:line="240" w:lineRule="auto"/>
    </w:pPr>
    <w:rPr>
      <w:rFonts w:ascii="Calibri" w:eastAsia="Calibri" w:hAnsi="Calibri" w:cs="Times New Roman"/>
      <w:sz w:val="20"/>
      <w:szCs w:val="20"/>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MediumShading2-Accent4">
    <w:name w:val="Medium Shading 2 Accent 4"/>
    <w:basedOn w:val="TableNormal"/>
    <w:uiPriority w:val="60"/>
    <w:rsid w:val="002E2DA7"/>
    <w:pPr>
      <w:spacing w:after="0" w:line="240" w:lineRule="auto"/>
    </w:pPr>
    <w:rPr>
      <w:rFonts w:ascii="Calibri" w:eastAsia="Calibri" w:hAnsi="Calibri" w:cs="Times New Roman"/>
      <w:color w:val="76923C"/>
      <w:sz w:val="20"/>
      <w:szCs w:val="20"/>
      <w:lang w:val="en-US"/>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DarkList-Accent4">
    <w:name w:val="Dark List Accent 4"/>
    <w:basedOn w:val="TableNormal"/>
    <w:uiPriority w:val="66"/>
    <w:rsid w:val="002E2DA7"/>
    <w:pPr>
      <w:spacing w:after="0" w:line="240" w:lineRule="auto"/>
    </w:pPr>
    <w:rPr>
      <w:rFonts w:ascii="Cambria" w:eastAsia="Times New Roman" w:hAnsi="Cambria" w:cs="Times New Roman"/>
      <w:color w:val="000000"/>
      <w:sz w:val="20"/>
      <w:szCs w:val="20"/>
      <w:lang w:val="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A5A5A5"/>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styleId="ColorfulList-Accent2">
    <w:name w:val="Colorful List Accent 2"/>
    <w:basedOn w:val="TableNormal"/>
    <w:uiPriority w:val="68"/>
    <w:rsid w:val="002E2DA7"/>
    <w:pPr>
      <w:spacing w:after="0" w:line="240" w:lineRule="auto"/>
    </w:pPr>
    <w:rPr>
      <w:rFonts w:ascii="Cambria" w:eastAsia="Times New Roman" w:hAnsi="Cambria" w:cs="Times New Roman"/>
      <w:color w:val="000000"/>
      <w:sz w:val="20"/>
      <w:szCs w:val="20"/>
      <w:lang w:val="en-U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styleId="ColorfulList-Accent5">
    <w:name w:val="Colorful List Accent 5"/>
    <w:basedOn w:val="TableNormal"/>
    <w:uiPriority w:val="68"/>
    <w:rsid w:val="002E2DA7"/>
    <w:pPr>
      <w:spacing w:after="0" w:line="240" w:lineRule="auto"/>
    </w:pPr>
    <w:rPr>
      <w:rFonts w:ascii="Cambria" w:eastAsia="Times New Roman" w:hAnsi="Cambria" w:cs="Times New Roman"/>
      <w:color w:val="000000"/>
      <w:sz w:val="20"/>
      <w:szCs w:val="20"/>
      <w:lang w:val="en-US"/>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customStyle="1" w:styleId="Citationintense1">
    <w:name w:val="Citation intense1"/>
    <w:basedOn w:val="TableNormal"/>
    <w:uiPriority w:val="60"/>
    <w:qFormat/>
    <w:rsid w:val="002E2DA7"/>
    <w:pPr>
      <w:spacing w:after="0" w:line="240" w:lineRule="auto"/>
    </w:pPr>
    <w:rPr>
      <w:rFonts w:ascii="Calibri" w:eastAsia="Calibri" w:hAnsi="Calibri" w:cs="Times New Roman"/>
      <w:color w:val="365F91"/>
      <w:sz w:val="20"/>
      <w:szCs w:val="20"/>
      <w:lang w:val="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MediumGrid1-Accent6">
    <w:name w:val="Medium Grid 1 Accent 6"/>
    <w:basedOn w:val="TableNormal"/>
    <w:uiPriority w:val="63"/>
    <w:rsid w:val="002E2DA7"/>
    <w:pPr>
      <w:spacing w:after="0" w:line="240" w:lineRule="auto"/>
    </w:pPr>
    <w:rPr>
      <w:rFonts w:ascii="Calibri" w:eastAsia="Calibri" w:hAnsi="Calibri" w:cs="Times New Roman"/>
      <w:sz w:val="20"/>
      <w:szCs w:val="20"/>
      <w:lang w:val="en-US"/>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LightGrid-Accent2">
    <w:name w:val="Light Grid Accent 2"/>
    <w:basedOn w:val="TableNormal"/>
    <w:uiPriority w:val="62"/>
    <w:rsid w:val="002E2DA7"/>
    <w:pPr>
      <w:spacing w:after="0" w:line="240" w:lineRule="auto"/>
    </w:pPr>
    <w:rPr>
      <w:rFonts w:ascii="Calibri" w:eastAsia="Calibri" w:hAnsi="Calibri" w:cs="Times New Roman"/>
      <w:sz w:val="20"/>
      <w:szCs w:val="20"/>
      <w:lang w:val="en-U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MingLiU" w:eastAsia="Times New Roman" w:hAnsi="MingLiU"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MingLiU" w:eastAsia="Times New Roman" w:hAnsi="MingLiU"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MingLiU" w:eastAsia="Times New Roman" w:hAnsi="MingLiU" w:cs="Times New Roman"/>
        <w:b/>
        <w:bCs/>
      </w:rPr>
    </w:tblStylePr>
    <w:tblStylePr w:type="lastCol">
      <w:rPr>
        <w:rFonts w:ascii="MingLiU" w:eastAsia="Times New Roman" w:hAnsi="MingLiU"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MediumShading1-Accent2">
    <w:name w:val="Medium Shading 1 Accent 2"/>
    <w:basedOn w:val="TableNormal"/>
    <w:uiPriority w:val="63"/>
    <w:rsid w:val="002E2DA7"/>
    <w:pPr>
      <w:spacing w:after="0" w:line="240" w:lineRule="auto"/>
    </w:pPr>
    <w:rPr>
      <w:rFonts w:ascii="Calibri" w:eastAsia="Calibri" w:hAnsi="Calibri" w:cs="Times New Roman"/>
      <w:sz w:val="20"/>
      <w:szCs w:val="20"/>
      <w:lang w:val="en-U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List2-Accent6">
    <w:name w:val="Medium List 2 Accent 6"/>
    <w:basedOn w:val="TableNormal"/>
    <w:uiPriority w:val="63"/>
    <w:rsid w:val="002E2DA7"/>
    <w:pPr>
      <w:spacing w:after="0" w:line="240" w:lineRule="auto"/>
    </w:pPr>
    <w:rPr>
      <w:rFonts w:ascii="Calibri" w:eastAsia="Calibri" w:hAnsi="Calibri" w:cs="Times New Roman"/>
      <w:sz w:val="20"/>
      <w:szCs w:val="20"/>
      <w:lang w:val="en-US"/>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MingLiU" w:eastAsia="Times New Roman" w:hAnsi="MingLiU"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MingLiU" w:eastAsia="Times New Roman" w:hAnsi="MingLiU"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MingLiU" w:eastAsia="Times New Roman" w:hAnsi="MingLiU" w:cs="Times New Roman"/>
        <w:b/>
        <w:bCs/>
      </w:rPr>
    </w:tblStylePr>
    <w:tblStylePr w:type="lastCol">
      <w:rPr>
        <w:rFonts w:ascii="MingLiU" w:eastAsia="Times New Roman" w:hAnsi="MingLiU"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ColorfulList-Accent6">
    <w:name w:val="Colorful List Accent 6"/>
    <w:basedOn w:val="TableNormal"/>
    <w:uiPriority w:val="68"/>
    <w:rsid w:val="002E2DA7"/>
    <w:pPr>
      <w:spacing w:after="0" w:line="240" w:lineRule="auto"/>
    </w:pPr>
    <w:rPr>
      <w:rFonts w:ascii="Cambria" w:eastAsia="Times New Roman" w:hAnsi="Cambria" w:cs="Times New Roman"/>
      <w:color w:val="000000"/>
      <w:sz w:val="20"/>
      <w:szCs w:val="20"/>
      <w:lang w:val="en-US"/>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ListeaPuce1">
    <w:name w:val="ListeaPuce1"/>
    <w:basedOn w:val="Normal"/>
    <w:rsid w:val="002E2DA7"/>
    <w:pPr>
      <w:numPr>
        <w:numId w:val="39"/>
      </w:numPr>
      <w:spacing w:after="0" w:line="240" w:lineRule="auto"/>
    </w:pPr>
    <w:rPr>
      <w:rFonts w:eastAsia="Calibri" w:cs="Times New Roman"/>
      <w:color w:val="auto"/>
    </w:rPr>
  </w:style>
  <w:style w:type="paragraph" w:customStyle="1" w:styleId="En-ttedetabledesmatires2">
    <w:name w:val="En-tête de table des matières2"/>
    <w:basedOn w:val="Heading1"/>
    <w:next w:val="Normal"/>
    <w:uiPriority w:val="39"/>
    <w:semiHidden/>
    <w:unhideWhenUsed/>
    <w:qFormat/>
    <w:rsid w:val="002E2DA7"/>
    <w:pPr>
      <w:pageBreakBefore w:val="0"/>
      <w:spacing w:before="480" w:after="0" w:line="276" w:lineRule="auto"/>
      <w:ind w:left="0" w:firstLine="0"/>
      <w:jc w:val="left"/>
      <w:outlineLvl w:val="9"/>
    </w:pPr>
    <w:rPr>
      <w:rFonts w:ascii="Times New Roman" w:eastAsia="Times New Roman" w:hAnsi="Times New Roman" w:cs="Times New Roman"/>
      <w:caps/>
      <w:color w:val="365F91"/>
      <w:sz w:val="28"/>
      <w:szCs w:val="28"/>
      <w:lang w:val="x-none"/>
    </w:rPr>
  </w:style>
  <w:style w:type="character" w:customStyle="1" w:styleId="transpan">
    <w:name w:val="transpan"/>
    <w:basedOn w:val="DefaultParagraphFont"/>
    <w:rsid w:val="002E2DA7"/>
  </w:style>
  <w:style w:type="character" w:customStyle="1" w:styleId="styletlien">
    <w:name w:val="style_tlien"/>
    <w:basedOn w:val="DefaultParagraphFont"/>
    <w:rsid w:val="002E2DA7"/>
  </w:style>
  <w:style w:type="paragraph" w:customStyle="1" w:styleId="ftrefChar1">
    <w:name w:val="ftref Char1"/>
    <w:aliases w:val="ftref Знак Char,ftref Char Знак Char,ftref Char Car Char Car Char Car Car Char Car Car Char Знак Char,BVI fnr Char Car Char Car Char Car Car Char Car Car Car Car Car Car Car Car Car Char Знак Знак Char Cha"/>
    <w:basedOn w:val="Normal"/>
    <w:uiPriority w:val="99"/>
    <w:rsid w:val="002E2DA7"/>
    <w:pPr>
      <w:spacing w:line="240" w:lineRule="exact"/>
    </w:pPr>
    <w:rPr>
      <w:rFonts w:ascii="Calibri" w:eastAsia="Calibri" w:hAnsi="Calibri" w:cs="Times New Roman"/>
      <w:color w:val="auto"/>
      <w:sz w:val="18"/>
      <w:vertAlign w:val="superscript"/>
      <w:lang w:val="en-US"/>
    </w:rPr>
  </w:style>
  <w:style w:type="paragraph" w:customStyle="1" w:styleId="Normal122">
    <w:name w:val="Normal_122"/>
    <w:qFormat/>
    <w:rsid w:val="002E2DA7"/>
    <w:rPr>
      <w:rFonts w:ascii="Cambria" w:eastAsia="Calibri" w:hAnsi="Cambria" w:cs="Times New Roman"/>
      <w:lang w:val="en-US"/>
    </w:rPr>
  </w:style>
  <w:style w:type="character" w:customStyle="1" w:styleId="UnresolvedMention1">
    <w:name w:val="Unresolved Mention1"/>
    <w:uiPriority w:val="99"/>
    <w:semiHidden/>
    <w:unhideWhenUsed/>
    <w:rsid w:val="002E2DA7"/>
    <w:rPr>
      <w:color w:val="808080"/>
      <w:shd w:val="clear" w:color="auto" w:fill="E6E6E6"/>
    </w:rPr>
  </w:style>
  <w:style w:type="paragraph" w:customStyle="1" w:styleId="TITRE1">
    <w:name w:val="TITRE1"/>
    <w:basedOn w:val="Normal"/>
    <w:rsid w:val="002E2DA7"/>
    <w:pPr>
      <w:spacing w:after="0" w:line="240" w:lineRule="auto"/>
      <w:jc w:val="left"/>
    </w:pPr>
    <w:rPr>
      <w:rFonts w:eastAsia="Calibri" w:cs="Times New Roman"/>
      <w:b/>
      <w:color w:val="auto"/>
      <w:sz w:val="28"/>
      <w:szCs w:val="28"/>
    </w:rPr>
  </w:style>
  <w:style w:type="paragraph" w:customStyle="1" w:styleId="TITRE30">
    <w:name w:val="TITRE3"/>
    <w:basedOn w:val="Normal"/>
    <w:rsid w:val="002E2DA7"/>
    <w:pPr>
      <w:spacing w:after="0" w:line="240" w:lineRule="auto"/>
      <w:ind w:left="1080" w:hanging="720"/>
      <w:jc w:val="left"/>
    </w:pPr>
    <w:rPr>
      <w:rFonts w:eastAsia="Calibri" w:cs="Times New Roman"/>
      <w:b/>
      <w:color w:val="auto"/>
    </w:rPr>
  </w:style>
  <w:style w:type="character" w:customStyle="1" w:styleId="LgendeCar1">
    <w:name w:val="Légende Car1"/>
    <w:aliases w:val="Légende1 Car Car,AGT ESIA Car,Map Car,Annexe Car,Légende ... + 8 pt Car,Non ... Car,Car Car + 10 pt Car,Noir Car,topic Car,Car Ca... + Justifié Car,Car Car Car Car Car Car Car Car Car Car,Car Car Car Car Car Car Car Car"/>
    <w:locked/>
    <w:rsid w:val="002E2DA7"/>
    <w:rPr>
      <w:rFonts w:ascii="Calibri" w:eastAsia="Calibri" w:hAnsi="Calibri" w:cs="Times New Roman"/>
      <w:b/>
      <w:bCs/>
      <w:sz w:val="20"/>
      <w:szCs w:val="20"/>
    </w:rPr>
  </w:style>
  <w:style w:type="character" w:customStyle="1" w:styleId="NotedebasdepageCar1">
    <w:name w:val="Note de bas de page Car1"/>
    <w:aliases w:val="ALTS FOOTNOTE Car,Fodnotetekst Tegn Car,ADB Car,ADB Char Car,Footnote Car,Footnote Text BP Car,Footnote text Car,Fußnote Car,Fußnotentext Char Car,Nbpage Moens Car,WB-Fußnotentext Car"/>
    <w:uiPriority w:val="99"/>
    <w:rsid w:val="002E2DA7"/>
    <w:rPr>
      <w:sz w:val="20"/>
      <w:szCs w:val="20"/>
    </w:rPr>
  </w:style>
  <w:style w:type="table" w:customStyle="1" w:styleId="TableNormal2">
    <w:name w:val="Table Normal2"/>
    <w:uiPriority w:val="2"/>
    <w:semiHidden/>
    <w:unhideWhenUsed/>
    <w:qFormat/>
    <w:rsid w:val="002E2D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itre10">
    <w:name w:val="Titre1"/>
    <w:basedOn w:val="Normal"/>
    <w:rsid w:val="002E2DA7"/>
    <w:pPr>
      <w:spacing w:before="120" w:after="120" w:line="240" w:lineRule="auto"/>
      <w:ind w:left="720" w:hanging="360"/>
    </w:pPr>
    <w:rPr>
      <w:rFonts w:eastAsia="Calibri" w:cs="Arial"/>
      <w:b/>
      <w:color w:val="auto"/>
      <w:sz w:val="28"/>
    </w:rPr>
  </w:style>
  <w:style w:type="paragraph" w:customStyle="1" w:styleId="Titre11">
    <w:name w:val="Titre11"/>
    <w:basedOn w:val="Normal"/>
    <w:rsid w:val="002E2DA7"/>
    <w:pPr>
      <w:numPr>
        <w:ilvl w:val="1"/>
        <w:numId w:val="40"/>
      </w:numPr>
      <w:pBdr>
        <w:bottom w:val="single" w:sz="4" w:space="1" w:color="auto"/>
      </w:pBdr>
      <w:spacing w:after="0" w:line="240" w:lineRule="auto"/>
    </w:pPr>
    <w:rPr>
      <w:rFonts w:eastAsia="Calibri" w:cs="Arial"/>
      <w:b/>
      <w:color w:val="auto"/>
    </w:rPr>
  </w:style>
  <w:style w:type="paragraph" w:customStyle="1" w:styleId="Titre1111">
    <w:name w:val="Titre1111"/>
    <w:basedOn w:val="Normal"/>
    <w:rsid w:val="002E2DA7"/>
    <w:pPr>
      <w:numPr>
        <w:ilvl w:val="3"/>
        <w:numId w:val="40"/>
      </w:numPr>
      <w:spacing w:before="100" w:beforeAutospacing="1" w:after="100" w:afterAutospacing="1" w:line="240" w:lineRule="auto"/>
      <w:contextualSpacing/>
    </w:pPr>
    <w:rPr>
      <w:rFonts w:eastAsia="Calibri" w:cs="Arial"/>
      <w:color w:val="auto"/>
    </w:rPr>
  </w:style>
  <w:style w:type="paragraph" w:customStyle="1" w:styleId="Titre111">
    <w:name w:val="Titre111"/>
    <w:basedOn w:val="Titre1111"/>
    <w:rsid w:val="002E2DA7"/>
    <w:pPr>
      <w:autoSpaceDE w:val="0"/>
      <w:autoSpaceDN w:val="0"/>
      <w:adjustRightInd w:val="0"/>
    </w:pPr>
    <w:rPr>
      <w:szCs w:val="20"/>
      <w:lang w:eastAsia="fr-FR"/>
    </w:rPr>
  </w:style>
  <w:style w:type="paragraph" w:styleId="TOCHeading">
    <w:name w:val="TOC Heading"/>
    <w:basedOn w:val="Heading1"/>
    <w:next w:val="Normal"/>
    <w:uiPriority w:val="39"/>
    <w:unhideWhenUsed/>
    <w:qFormat/>
    <w:rsid w:val="002E2DA7"/>
    <w:pPr>
      <w:pageBreakBefore w:val="0"/>
      <w:numPr>
        <w:numId w:val="0"/>
      </w:numPr>
      <w:spacing w:before="240" w:after="0" w:line="259" w:lineRule="auto"/>
      <w:jc w:val="left"/>
      <w:outlineLvl w:val="9"/>
    </w:pPr>
    <w:rPr>
      <w:rFonts w:ascii="Times New Roman" w:hAnsi="Times New Roman" w:cstheme="majorBidi"/>
      <w:b/>
      <w:bCs w:val="0"/>
      <w:caps/>
      <w:color w:val="2F5496" w:themeColor="accent1" w:themeShade="BF"/>
      <w:sz w:val="28"/>
      <w:szCs w:val="32"/>
      <w:lang w:val="en-US"/>
    </w:rPr>
  </w:style>
  <w:style w:type="character" w:customStyle="1" w:styleId="A7">
    <w:name w:val="A7"/>
    <w:uiPriority w:val="99"/>
    <w:rsid w:val="002E2DA7"/>
    <w:rPr>
      <w:rFonts w:cs="Adobe Garamond Pro"/>
      <w:color w:val="000000"/>
      <w:sz w:val="22"/>
      <w:szCs w:val="22"/>
    </w:rPr>
  </w:style>
  <w:style w:type="character" w:customStyle="1" w:styleId="highlight">
    <w:name w:val="highlight"/>
    <w:basedOn w:val="DefaultParagraphFont"/>
    <w:rsid w:val="002E2DA7"/>
  </w:style>
  <w:style w:type="character" w:customStyle="1" w:styleId="DocumentMapChar">
    <w:name w:val="Document Map Char"/>
    <w:basedOn w:val="DefaultParagraphFont"/>
    <w:link w:val="DocumentMap"/>
    <w:rsid w:val="002E2DA7"/>
    <w:rPr>
      <w:rFonts w:ascii="Times New Roman" w:hAnsi="Times New Roman"/>
      <w:sz w:val="24"/>
      <w:szCs w:val="24"/>
    </w:rPr>
  </w:style>
  <w:style w:type="paragraph" w:styleId="DocumentMap">
    <w:name w:val="Document Map"/>
    <w:basedOn w:val="Normal"/>
    <w:link w:val="DocumentMapChar"/>
    <w:unhideWhenUsed/>
    <w:rsid w:val="002E2DA7"/>
    <w:pPr>
      <w:spacing w:after="0" w:line="240" w:lineRule="auto"/>
      <w:jc w:val="left"/>
    </w:pPr>
    <w:rPr>
      <w:color w:val="auto"/>
      <w:szCs w:val="24"/>
    </w:rPr>
  </w:style>
  <w:style w:type="character" w:customStyle="1" w:styleId="ExplorateurdedocumentsCar1">
    <w:name w:val="Explorateur de documents Car1"/>
    <w:basedOn w:val="DefaultParagraphFont"/>
    <w:uiPriority w:val="99"/>
    <w:semiHidden/>
    <w:rsid w:val="002E2DA7"/>
    <w:rPr>
      <w:rFonts w:ascii="Segoe UI" w:hAnsi="Segoe UI" w:cs="Segoe UI"/>
      <w:color w:val="000000" w:themeColor="text1"/>
      <w:sz w:val="16"/>
      <w:szCs w:val="16"/>
    </w:rPr>
  </w:style>
  <w:style w:type="paragraph" w:customStyle="1" w:styleId="xmsonormal">
    <w:name w:val="x_msonormal"/>
    <w:basedOn w:val="Normal"/>
    <w:rsid w:val="002E2DA7"/>
    <w:pPr>
      <w:spacing w:before="100" w:beforeAutospacing="1" w:after="100" w:afterAutospacing="1" w:line="240" w:lineRule="auto"/>
      <w:jc w:val="left"/>
    </w:pPr>
    <w:rPr>
      <w:rFonts w:eastAsia="Times New Roman" w:cs="Times New Roman"/>
      <w:color w:val="auto"/>
      <w:szCs w:val="24"/>
      <w:lang w:val="en-US"/>
    </w:rPr>
  </w:style>
  <w:style w:type="paragraph" w:customStyle="1" w:styleId="Grillemoyenne21">
    <w:name w:val="Grille moyenne 21"/>
    <w:rsid w:val="002E2DA7"/>
    <w:pPr>
      <w:numPr>
        <w:numId w:val="41"/>
      </w:numPr>
      <w:spacing w:after="0" w:line="240" w:lineRule="auto"/>
    </w:pPr>
    <w:rPr>
      <w:rFonts w:ascii="Times New Roman" w:eastAsia="Calibri" w:hAnsi="Times New Roman" w:cs="Times New Roman"/>
      <w:sz w:val="24"/>
    </w:rPr>
  </w:style>
  <w:style w:type="paragraph" w:customStyle="1" w:styleId="Clauses">
    <w:name w:val="Clauses"/>
    <w:basedOn w:val="Normal"/>
    <w:rsid w:val="002E2DA7"/>
    <w:pPr>
      <w:keepLines/>
      <w:numPr>
        <w:ilvl w:val="2"/>
        <w:numId w:val="47"/>
      </w:numPr>
      <w:tabs>
        <w:tab w:val="clear" w:pos="1712"/>
        <w:tab w:val="num" w:pos="431"/>
      </w:tabs>
      <w:spacing w:before="160" w:after="120" w:line="240" w:lineRule="auto"/>
      <w:ind w:left="431" w:hanging="431"/>
      <w:outlineLvl w:val="0"/>
    </w:pPr>
    <w:rPr>
      <w:rFonts w:ascii="Times New Roman Bold" w:eastAsia="Times New Roman" w:hAnsi="Times New Roman Bold" w:cs="Times New Roman"/>
      <w:b/>
      <w:color w:val="auto"/>
      <w:szCs w:val="20"/>
      <w:lang w:val="es-ES_tradnl" w:eastAsia="en-GB"/>
    </w:rPr>
  </w:style>
  <w:style w:type="paragraph" w:customStyle="1" w:styleId="c2b">
    <w:name w:val="c2b"/>
    <w:basedOn w:val="Heading2"/>
    <w:rsid w:val="002E2DA7"/>
    <w:pPr>
      <w:numPr>
        <w:numId w:val="47"/>
      </w:numPr>
      <w:pBdr>
        <w:bottom w:val="single" w:sz="18" w:space="3" w:color="808080"/>
      </w:pBdr>
      <w:shd w:val="clear" w:color="FFFF00" w:fill="C0C0C0"/>
      <w:tabs>
        <w:tab w:val="left" w:pos="284"/>
        <w:tab w:val="left" w:pos="567"/>
        <w:tab w:val="left" w:pos="1134"/>
        <w:tab w:val="left" w:pos="1701"/>
        <w:tab w:val="left" w:pos="1985"/>
        <w:tab w:val="left" w:pos="2268"/>
        <w:tab w:val="left" w:pos="2552"/>
        <w:tab w:val="left" w:pos="2835"/>
      </w:tabs>
      <w:spacing w:before="120" w:after="120"/>
      <w:jc w:val="left"/>
    </w:pPr>
    <w:rPr>
      <w:rFonts w:eastAsia="Times New Roman" w:cs="Times New Roman"/>
      <w:bCs w:val="0"/>
      <w:caps w:val="0"/>
      <w:color w:val="auto"/>
      <w:sz w:val="28"/>
      <w:szCs w:val="20"/>
      <w:lang w:eastAsia="fr-FR"/>
    </w:rPr>
  </w:style>
  <w:style w:type="paragraph" w:customStyle="1" w:styleId="CarattereCarattereCharCharCharCharCharCharZchn">
    <w:name w:val="Carattere Carattere Char Char Char Char Char Char Zchn"/>
    <w:aliases w:val="Carattere Carattere Char Char Char Char Char Char Char Zchn,Char Char Char Char Char Char Char Char Zchn,ftref Char Char Char Char Char Char Zchn,ftref Char Char Char1 Zchn"/>
    <w:basedOn w:val="Normal"/>
    <w:next w:val="Normal"/>
    <w:uiPriority w:val="99"/>
    <w:rsid w:val="002E2DA7"/>
    <w:pPr>
      <w:spacing w:line="240" w:lineRule="exact"/>
      <w:textAlignment w:val="baseline"/>
    </w:pPr>
    <w:rPr>
      <w:rFonts w:ascii="Calibri" w:eastAsia="Calibri" w:hAnsi="Calibri" w:cs="Times New Roman"/>
      <w:color w:val="auto"/>
      <w:sz w:val="22"/>
      <w:szCs w:val="20"/>
      <w:vertAlign w:val="superscript"/>
      <w:lang w:eastAsia="fr-FR"/>
    </w:rPr>
  </w:style>
  <w:style w:type="paragraph" w:customStyle="1" w:styleId="ParagraphNumbering">
    <w:name w:val="Paragraph Numbering"/>
    <w:basedOn w:val="Normal"/>
    <w:uiPriority w:val="1"/>
    <w:qFormat/>
    <w:rsid w:val="002E2DA7"/>
    <w:pPr>
      <w:numPr>
        <w:numId w:val="54"/>
      </w:numPr>
      <w:spacing w:before="120" w:after="120" w:line="240" w:lineRule="auto"/>
    </w:pPr>
    <w:rPr>
      <w:rFonts w:eastAsia="Times New Roman" w:cs="Times New Roman"/>
      <w:bCs/>
      <w:color w:val="auto"/>
      <w:lang w:val="en-US"/>
    </w:rPr>
  </w:style>
  <w:style w:type="character" w:styleId="PlaceholderText">
    <w:name w:val="Placeholder Text"/>
    <w:basedOn w:val="DefaultParagraphFont"/>
    <w:uiPriority w:val="99"/>
    <w:semiHidden/>
    <w:rsid w:val="002E2DA7"/>
    <w:rPr>
      <w:color w:val="808080"/>
    </w:rPr>
  </w:style>
  <w:style w:type="character" w:customStyle="1" w:styleId="jlqj4b">
    <w:name w:val="jlqj4b"/>
    <w:basedOn w:val="DefaultParagraphFont"/>
    <w:rsid w:val="002E2DA7"/>
  </w:style>
  <w:style w:type="character" w:customStyle="1" w:styleId="viiyi">
    <w:name w:val="viiyi"/>
    <w:rsid w:val="002E2DA7"/>
  </w:style>
  <w:style w:type="paragraph" w:styleId="HTMLPreformatted">
    <w:name w:val="HTML Preformatted"/>
    <w:basedOn w:val="Normal"/>
    <w:link w:val="HTMLPreformattedChar"/>
    <w:uiPriority w:val="99"/>
    <w:unhideWhenUsed/>
    <w:rsid w:val="00035AA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color w:val="auto"/>
      <w:sz w:val="20"/>
      <w:szCs w:val="20"/>
      <w:lang w:eastAsia="fr-FR"/>
    </w:rPr>
  </w:style>
  <w:style w:type="character" w:customStyle="1" w:styleId="HTMLPreformattedChar">
    <w:name w:val="HTML Preformatted Char"/>
    <w:basedOn w:val="DefaultParagraphFont"/>
    <w:link w:val="HTMLPreformatted"/>
    <w:uiPriority w:val="99"/>
    <w:rsid w:val="00035AAB"/>
    <w:rPr>
      <w:rFonts w:ascii="Courier New" w:eastAsia="Times New Roman" w:hAnsi="Courier New" w:cs="Courier New"/>
      <w:sz w:val="20"/>
      <w:szCs w:val="20"/>
      <w:lang w:eastAsia="fr-FR"/>
    </w:rPr>
  </w:style>
  <w:style w:type="character" w:customStyle="1" w:styleId="y2iqfc">
    <w:name w:val="y2iqfc"/>
    <w:basedOn w:val="DefaultParagraphFont"/>
    <w:rsid w:val="00035AAB"/>
  </w:style>
  <w:style w:type="numbering" w:customStyle="1" w:styleId="Aucuneliste1">
    <w:name w:val="Aucune liste1"/>
    <w:next w:val="NoList"/>
    <w:uiPriority w:val="99"/>
    <w:semiHidden/>
    <w:unhideWhenUsed/>
    <w:rsid w:val="004F5FC9"/>
  </w:style>
  <w:style w:type="paragraph" w:styleId="ListContinue">
    <w:name w:val="List Continue"/>
    <w:basedOn w:val="Normal"/>
    <w:rsid w:val="004F5FC9"/>
    <w:pPr>
      <w:spacing w:before="160" w:after="120" w:line="240" w:lineRule="auto"/>
      <w:ind w:left="283"/>
    </w:pPr>
    <w:rPr>
      <w:rFonts w:eastAsia="Times New Roman" w:cs="Times New Roman"/>
      <w:color w:val="auto"/>
      <w:szCs w:val="20"/>
      <w:lang w:eastAsia="zh-CN"/>
    </w:rPr>
  </w:style>
  <w:style w:type="paragraph" w:styleId="NormalIndent">
    <w:name w:val="Normal Indent"/>
    <w:basedOn w:val="Normal"/>
    <w:rsid w:val="004F5FC9"/>
    <w:pPr>
      <w:spacing w:before="160" w:after="0" w:line="240" w:lineRule="auto"/>
      <w:ind w:left="708"/>
    </w:pPr>
    <w:rPr>
      <w:rFonts w:eastAsia="Times New Roman" w:cs="Times New Roman"/>
      <w:color w:val="auto"/>
      <w:szCs w:val="20"/>
      <w:lang w:eastAsia="zh-CN"/>
    </w:rPr>
  </w:style>
  <w:style w:type="paragraph" w:customStyle="1" w:styleId="Section3-Heading1">
    <w:name w:val="Section 3 - Heading 1"/>
    <w:basedOn w:val="Normal"/>
    <w:rsid w:val="004F5FC9"/>
    <w:pPr>
      <w:pBdr>
        <w:bottom w:val="single" w:sz="4" w:space="1" w:color="auto"/>
      </w:pBdr>
      <w:spacing w:before="160" w:after="240" w:line="240" w:lineRule="auto"/>
      <w:jc w:val="center"/>
    </w:pPr>
    <w:rPr>
      <w:rFonts w:ascii="Times New Roman Bold" w:eastAsia="Times New Roman" w:hAnsi="Times New Roman Bold" w:cs="Times New Roman"/>
      <w:b/>
      <w:color w:val="auto"/>
      <w:sz w:val="32"/>
      <w:szCs w:val="20"/>
      <w:lang w:eastAsia="zh-CN"/>
    </w:rPr>
  </w:style>
  <w:style w:type="paragraph" w:styleId="Revision">
    <w:name w:val="Revision"/>
    <w:hidden/>
    <w:uiPriority w:val="99"/>
    <w:semiHidden/>
    <w:rsid w:val="004F5FC9"/>
    <w:pPr>
      <w:spacing w:after="0" w:line="240" w:lineRule="auto"/>
    </w:pPr>
    <w:rPr>
      <w:rFonts w:ascii="Times New Roman" w:eastAsia="Times New Roman" w:hAnsi="Times New Roman" w:cs="Times New Roman"/>
      <w:sz w:val="24"/>
      <w:szCs w:val="24"/>
      <w:lang w:val="en-US"/>
    </w:rPr>
  </w:style>
  <w:style w:type="paragraph" w:customStyle="1" w:styleId="Section4-Heading1">
    <w:name w:val="Section 4 - Heading 1"/>
    <w:basedOn w:val="Section3-Heading1"/>
    <w:rsid w:val="004F5FC9"/>
  </w:style>
  <w:style w:type="paragraph" w:customStyle="1" w:styleId="P3Header1-Clauses">
    <w:name w:val="P3 Header1-Clauses"/>
    <w:basedOn w:val="Normal"/>
    <w:rsid w:val="004F5FC9"/>
    <w:pPr>
      <w:numPr>
        <w:ilvl w:val="2"/>
        <w:numId w:val="74"/>
      </w:numPr>
      <w:spacing w:before="160" w:after="0" w:line="240" w:lineRule="auto"/>
    </w:pPr>
    <w:rPr>
      <w:rFonts w:eastAsia="Times New Roman" w:cs="Times New Roman"/>
      <w:b/>
      <w:color w:val="auto"/>
      <w:szCs w:val="20"/>
      <w:lang w:val="es-ES_tradnl" w:eastAsia="zh-CN"/>
    </w:rPr>
  </w:style>
  <w:style w:type="character" w:customStyle="1" w:styleId="DeltaViewInsertion">
    <w:name w:val="DeltaView Insertion"/>
    <w:uiPriority w:val="99"/>
    <w:rsid w:val="004F5FC9"/>
    <w:rPr>
      <w:color w:val="0000FF"/>
      <w:u w:val="double"/>
    </w:rPr>
  </w:style>
  <w:style w:type="paragraph" w:customStyle="1" w:styleId="Section8Heading1">
    <w:name w:val="Section 8. Heading1"/>
    <w:basedOn w:val="Normal"/>
    <w:rsid w:val="004F5FC9"/>
    <w:pPr>
      <w:tabs>
        <w:tab w:val="left" w:pos="709"/>
      </w:tabs>
      <w:spacing w:before="120" w:after="240" w:line="240" w:lineRule="auto"/>
      <w:ind w:left="1080" w:hanging="720"/>
      <w:jc w:val="center"/>
      <w:outlineLvl w:val="1"/>
    </w:pPr>
    <w:rPr>
      <w:rFonts w:ascii="Arial Gras" w:eastAsia="Times New Roman" w:hAnsi="Arial Gras" w:cs="Times New Roman"/>
      <w:b/>
      <w:bCs/>
      <w:smallCaps/>
      <w:color w:val="27893E"/>
      <w:sz w:val="28"/>
      <w:szCs w:val="20"/>
      <w:lang w:val="en-US" w:eastAsia="zh-CN"/>
    </w:rPr>
  </w:style>
  <w:style w:type="paragraph" w:customStyle="1" w:styleId="Section8Heading2">
    <w:name w:val="Section 8. Heading2"/>
    <w:next w:val="Normal"/>
    <w:link w:val="Section8Heading2Car"/>
    <w:rsid w:val="004F5FC9"/>
    <w:pPr>
      <w:numPr>
        <w:numId w:val="75"/>
      </w:numPr>
      <w:spacing w:after="200" w:line="240" w:lineRule="auto"/>
    </w:pPr>
    <w:rPr>
      <w:rFonts w:ascii="Times New Roman" w:eastAsia="Times New Roman" w:hAnsi="Times New Roman" w:cs="Times New Roman"/>
      <w:b/>
      <w:bCs/>
      <w:sz w:val="24"/>
      <w:szCs w:val="24"/>
      <w:lang w:val="en-US"/>
    </w:rPr>
  </w:style>
  <w:style w:type="paragraph" w:customStyle="1" w:styleId="Section8Header1">
    <w:name w:val="Section 8. Header1"/>
    <w:rsid w:val="004F5FC9"/>
    <w:pPr>
      <w:numPr>
        <w:numId w:val="76"/>
      </w:numPr>
      <w:spacing w:before="240" w:after="240" w:line="240" w:lineRule="auto"/>
      <w:jc w:val="center"/>
    </w:pPr>
    <w:rPr>
      <w:rFonts w:ascii="Times New Roman" w:eastAsia="Times New Roman" w:hAnsi="Times New Roman" w:cs="Times New Roman"/>
      <w:b/>
      <w:sz w:val="32"/>
      <w:szCs w:val="20"/>
      <w:lang w:val="en-US"/>
    </w:rPr>
  </w:style>
  <w:style w:type="paragraph" w:customStyle="1" w:styleId="Section8Heading3">
    <w:name w:val="Section 8. Heading3"/>
    <w:rsid w:val="004F5FC9"/>
    <w:pPr>
      <w:spacing w:after="0" w:line="240" w:lineRule="auto"/>
      <w:ind w:hanging="534"/>
    </w:pPr>
    <w:rPr>
      <w:rFonts w:ascii="Times New Roman" w:eastAsia="Times New Roman" w:hAnsi="Times New Roman" w:cs="Times New Roman"/>
      <w:b/>
      <w:bCs/>
      <w:sz w:val="24"/>
      <w:szCs w:val="24"/>
      <w:lang w:val="en-US"/>
    </w:rPr>
  </w:style>
  <w:style w:type="paragraph" w:customStyle="1" w:styleId="Style3">
    <w:name w:val="Style3"/>
    <w:basedOn w:val="Heading1"/>
    <w:link w:val="Style3Car"/>
    <w:rsid w:val="004F5FC9"/>
    <w:pPr>
      <w:pBdr>
        <w:top w:val="single" w:sz="18" w:space="1" w:color="auto"/>
        <w:bottom w:val="single" w:sz="18" w:space="1" w:color="auto"/>
      </w:pBdr>
      <w:tabs>
        <w:tab w:val="left" w:pos="851"/>
      </w:tabs>
      <w:spacing w:after="360"/>
      <w:ind w:left="851" w:hanging="851"/>
      <w:jc w:val="left"/>
    </w:pPr>
    <w:rPr>
      <w:rFonts w:eastAsia="Times New Roman" w:cs="Times New Roman"/>
      <w:b/>
      <w:bCs w:val="0"/>
      <w:smallCaps/>
      <w:color w:val="385623" w:themeColor="accent6" w:themeShade="80"/>
      <w:sz w:val="28"/>
      <w:szCs w:val="28"/>
      <w:lang w:eastAsia="zh-CN"/>
    </w:rPr>
  </w:style>
  <w:style w:type="paragraph" w:customStyle="1" w:styleId="Style4">
    <w:name w:val="Style4"/>
    <w:basedOn w:val="Heading3"/>
    <w:link w:val="Style4Car"/>
    <w:rsid w:val="004F5FC9"/>
    <w:pPr>
      <w:keepNext w:val="0"/>
      <w:keepLines w:val="0"/>
      <w:numPr>
        <w:ilvl w:val="0"/>
        <w:numId w:val="0"/>
      </w:numPr>
      <w:spacing w:before="240" w:after="200"/>
      <w:ind w:left="720" w:hanging="360"/>
    </w:pPr>
    <w:rPr>
      <w:rFonts w:eastAsia="Times New Roman" w:cs="Times New Roman"/>
      <w:sz w:val="24"/>
      <w:szCs w:val="20"/>
      <w:lang w:eastAsia="zh-CN"/>
    </w:rPr>
  </w:style>
  <w:style w:type="character" w:customStyle="1" w:styleId="Style3Car">
    <w:name w:val="Style3 Car"/>
    <w:link w:val="Style3"/>
    <w:rsid w:val="004F5FC9"/>
    <w:rPr>
      <w:rFonts w:ascii="Arial Black" w:eastAsia="Times New Roman" w:hAnsi="Arial Black" w:cs="Times New Roman"/>
      <w:b/>
      <w:smallCaps/>
      <w:color w:val="385623" w:themeColor="accent6" w:themeShade="80"/>
      <w:sz w:val="28"/>
      <w:szCs w:val="28"/>
      <w:lang w:eastAsia="zh-CN"/>
    </w:rPr>
  </w:style>
  <w:style w:type="paragraph" w:customStyle="1" w:styleId="Style5">
    <w:name w:val="Style5"/>
    <w:basedOn w:val="Heading1"/>
    <w:link w:val="Style5Car"/>
    <w:rsid w:val="004F5FC9"/>
    <w:pPr>
      <w:pBdr>
        <w:top w:val="single" w:sz="18" w:space="1" w:color="auto"/>
        <w:bottom w:val="single" w:sz="18" w:space="1" w:color="auto"/>
      </w:pBdr>
      <w:tabs>
        <w:tab w:val="left" w:pos="851"/>
      </w:tabs>
      <w:spacing w:after="360"/>
      <w:ind w:left="851" w:hanging="851"/>
      <w:jc w:val="left"/>
    </w:pPr>
    <w:rPr>
      <w:rFonts w:eastAsia="Times New Roman" w:cs="Times New Roman"/>
      <w:b/>
      <w:bCs w:val="0"/>
      <w:color w:val="385623" w:themeColor="accent6" w:themeShade="80"/>
      <w:sz w:val="22"/>
      <w:szCs w:val="20"/>
      <w:lang w:eastAsia="zh-CN"/>
    </w:rPr>
  </w:style>
  <w:style w:type="character" w:customStyle="1" w:styleId="Style4Car">
    <w:name w:val="Style4 Car"/>
    <w:link w:val="Style4"/>
    <w:rsid w:val="004F5FC9"/>
    <w:rPr>
      <w:rFonts w:ascii="Arial" w:eastAsia="Times New Roman" w:hAnsi="Arial" w:cs="Times New Roman"/>
      <w:b/>
      <w:bCs/>
      <w:smallCaps/>
      <w:color w:val="002060"/>
      <w:sz w:val="24"/>
      <w:szCs w:val="20"/>
      <w:lang w:eastAsia="zh-CN"/>
    </w:rPr>
  </w:style>
  <w:style w:type="paragraph" w:customStyle="1" w:styleId="Style6">
    <w:name w:val="Style6"/>
    <w:basedOn w:val="Heading1"/>
    <w:link w:val="Style6Car"/>
    <w:rsid w:val="004F5FC9"/>
    <w:pPr>
      <w:numPr>
        <w:numId w:val="77"/>
      </w:numPr>
      <w:pBdr>
        <w:top w:val="single" w:sz="18" w:space="1" w:color="auto"/>
        <w:bottom w:val="single" w:sz="18" w:space="1" w:color="auto"/>
      </w:pBdr>
      <w:tabs>
        <w:tab w:val="left" w:pos="851"/>
      </w:tabs>
      <w:spacing w:after="360"/>
      <w:jc w:val="left"/>
    </w:pPr>
    <w:rPr>
      <w:rFonts w:eastAsia="Times New Roman" w:cs="Times New Roman"/>
      <w:b/>
      <w:bCs w:val="0"/>
      <w:color w:val="385623" w:themeColor="accent6" w:themeShade="80"/>
      <w:sz w:val="22"/>
      <w:szCs w:val="20"/>
      <w:lang w:eastAsia="zh-CN"/>
    </w:rPr>
  </w:style>
  <w:style w:type="character" w:customStyle="1" w:styleId="Style5Car">
    <w:name w:val="Style5 Car"/>
    <w:link w:val="Style5"/>
    <w:rsid w:val="004F5FC9"/>
    <w:rPr>
      <w:rFonts w:ascii="Arial Black" w:eastAsia="Times New Roman" w:hAnsi="Arial Black" w:cs="Times New Roman"/>
      <w:b/>
      <w:color w:val="385623" w:themeColor="accent6" w:themeShade="80"/>
      <w:szCs w:val="20"/>
      <w:lang w:eastAsia="zh-CN"/>
    </w:rPr>
  </w:style>
  <w:style w:type="paragraph" w:customStyle="1" w:styleId="Style7">
    <w:name w:val="Style7"/>
    <w:basedOn w:val="Heading1"/>
    <w:link w:val="Style7Car"/>
    <w:rsid w:val="004F5FC9"/>
    <w:pPr>
      <w:pBdr>
        <w:top w:val="single" w:sz="18" w:space="1" w:color="auto"/>
        <w:bottom w:val="single" w:sz="18" w:space="1" w:color="auto"/>
      </w:pBdr>
      <w:tabs>
        <w:tab w:val="left" w:pos="851"/>
      </w:tabs>
      <w:spacing w:after="360"/>
      <w:ind w:left="851" w:hanging="851"/>
      <w:jc w:val="left"/>
    </w:pPr>
    <w:rPr>
      <w:rFonts w:eastAsia="Times New Roman" w:cs="Times New Roman"/>
      <w:b/>
      <w:bCs w:val="0"/>
      <w:smallCaps/>
      <w:color w:val="385623" w:themeColor="accent6" w:themeShade="80"/>
      <w:sz w:val="28"/>
      <w:szCs w:val="28"/>
      <w:lang w:eastAsia="zh-CN"/>
    </w:rPr>
  </w:style>
  <w:style w:type="character" w:customStyle="1" w:styleId="Style6Car">
    <w:name w:val="Style6 Car"/>
    <w:link w:val="Style6"/>
    <w:rsid w:val="004F5FC9"/>
    <w:rPr>
      <w:rFonts w:ascii="Arial Black" w:eastAsia="Times New Roman" w:hAnsi="Arial Black" w:cs="Times New Roman"/>
      <w:b/>
      <w:color w:val="385623" w:themeColor="accent6" w:themeShade="80"/>
      <w:szCs w:val="20"/>
      <w:lang w:eastAsia="zh-CN"/>
    </w:rPr>
  </w:style>
  <w:style w:type="paragraph" w:customStyle="1" w:styleId="Style8">
    <w:name w:val="Style8"/>
    <w:basedOn w:val="Section8Heading2"/>
    <w:link w:val="Style8Car"/>
    <w:rsid w:val="004F5FC9"/>
    <w:rPr>
      <w:lang w:val="fr-FR"/>
    </w:rPr>
  </w:style>
  <w:style w:type="character" w:customStyle="1" w:styleId="Style7Car">
    <w:name w:val="Style7 Car"/>
    <w:link w:val="Style7"/>
    <w:rsid w:val="004F5FC9"/>
    <w:rPr>
      <w:rFonts w:ascii="Arial Black" w:eastAsia="Times New Roman" w:hAnsi="Arial Black" w:cs="Times New Roman"/>
      <w:b/>
      <w:smallCaps/>
      <w:color w:val="385623" w:themeColor="accent6" w:themeShade="80"/>
      <w:sz w:val="28"/>
      <w:szCs w:val="28"/>
      <w:lang w:eastAsia="zh-CN"/>
    </w:rPr>
  </w:style>
  <w:style w:type="paragraph" w:customStyle="1" w:styleId="Style9">
    <w:name w:val="Style9"/>
    <w:basedOn w:val="Section8Heading2"/>
    <w:link w:val="Style9Car"/>
    <w:rsid w:val="004F5FC9"/>
  </w:style>
  <w:style w:type="character" w:customStyle="1" w:styleId="Section8Heading2Car">
    <w:name w:val="Section 8. Heading2 Car"/>
    <w:link w:val="Section8Heading2"/>
    <w:rsid w:val="004F5FC9"/>
    <w:rPr>
      <w:rFonts w:ascii="Times New Roman" w:eastAsia="Times New Roman" w:hAnsi="Times New Roman" w:cs="Times New Roman"/>
      <w:b/>
      <w:bCs/>
      <w:sz w:val="24"/>
      <w:szCs w:val="24"/>
      <w:lang w:val="en-US"/>
    </w:rPr>
  </w:style>
  <w:style w:type="character" w:customStyle="1" w:styleId="Style8Car">
    <w:name w:val="Style8 Car"/>
    <w:link w:val="Style8"/>
    <w:rsid w:val="004F5FC9"/>
    <w:rPr>
      <w:rFonts w:ascii="Times New Roman" w:eastAsia="Times New Roman" w:hAnsi="Times New Roman" w:cs="Times New Roman"/>
      <w:b/>
      <w:bCs/>
      <w:sz w:val="24"/>
      <w:szCs w:val="24"/>
    </w:rPr>
  </w:style>
  <w:style w:type="character" w:customStyle="1" w:styleId="Style9Car">
    <w:name w:val="Style9 Car"/>
    <w:link w:val="Style9"/>
    <w:rsid w:val="004F5FC9"/>
    <w:rPr>
      <w:rFonts w:ascii="Times New Roman" w:eastAsia="Times New Roman" w:hAnsi="Times New Roman" w:cs="Times New Roman"/>
      <w:b/>
      <w:bCs/>
      <w:sz w:val="24"/>
      <w:szCs w:val="24"/>
      <w:lang w:val="en-US"/>
    </w:rPr>
  </w:style>
  <w:style w:type="character" w:customStyle="1" w:styleId="hps">
    <w:name w:val="hps"/>
    <w:rsid w:val="004F5FC9"/>
  </w:style>
  <w:style w:type="character" w:customStyle="1" w:styleId="NoSpacingChar">
    <w:name w:val="No Spacing Char"/>
    <w:aliases w:val="My Normal Char,Numbered Para Char"/>
    <w:link w:val="NoSpacing"/>
    <w:uiPriority w:val="1"/>
    <w:qFormat/>
    <w:rsid w:val="004F5FC9"/>
    <w:rPr>
      <w:rFonts w:ascii="Times New Roman" w:eastAsia="Times New Roman" w:hAnsi="Times New Roman" w:cs="Times New Roman"/>
      <w:sz w:val="24"/>
      <w:szCs w:val="24"/>
      <w:lang w:eastAsia="fr-FR"/>
    </w:rPr>
  </w:style>
  <w:style w:type="character" w:styleId="IntenseEmphasis">
    <w:name w:val="Intense Emphasis"/>
    <w:uiPriority w:val="21"/>
    <w:qFormat/>
    <w:rsid w:val="004F5FC9"/>
    <w:rPr>
      <w:b/>
      <w:bCs/>
      <w:i/>
      <w:iCs/>
      <w:color w:val="31B6FD"/>
    </w:rPr>
  </w:style>
  <w:style w:type="paragraph" w:customStyle="1" w:styleId="Text2">
    <w:name w:val="Text 2"/>
    <w:basedOn w:val="Normal"/>
    <w:rsid w:val="004F5FC9"/>
    <w:pPr>
      <w:tabs>
        <w:tab w:val="left" w:pos="2161"/>
      </w:tabs>
      <w:spacing w:before="160" w:after="240" w:line="240" w:lineRule="auto"/>
      <w:ind w:left="1202"/>
    </w:pPr>
    <w:rPr>
      <w:rFonts w:ascii="Arial" w:eastAsia="Times New Roman" w:hAnsi="Arial" w:cs="Times New Roman"/>
      <w:color w:val="auto"/>
      <w:sz w:val="22"/>
      <w:szCs w:val="20"/>
      <w:lang w:eastAsia="en-GB"/>
    </w:rPr>
  </w:style>
  <w:style w:type="character" w:customStyle="1" w:styleId="Mentionnonrsolue1">
    <w:name w:val="Mention non résolue1"/>
    <w:basedOn w:val="DefaultParagraphFont"/>
    <w:uiPriority w:val="99"/>
    <w:semiHidden/>
    <w:unhideWhenUsed/>
    <w:rsid w:val="004F5FC9"/>
    <w:rPr>
      <w:color w:val="605E5C"/>
      <w:shd w:val="clear" w:color="auto" w:fill="E1DFDD"/>
    </w:rPr>
  </w:style>
  <w:style w:type="character" w:customStyle="1" w:styleId="Mentionnonrsolue2">
    <w:name w:val="Mention non résolue2"/>
    <w:basedOn w:val="DefaultParagraphFont"/>
    <w:uiPriority w:val="99"/>
    <w:semiHidden/>
    <w:unhideWhenUsed/>
    <w:rsid w:val="004F5FC9"/>
    <w:rPr>
      <w:color w:val="605E5C"/>
      <w:shd w:val="clear" w:color="auto" w:fill="E1DFDD"/>
    </w:rPr>
  </w:style>
  <w:style w:type="paragraph" w:customStyle="1" w:styleId="western">
    <w:name w:val="western"/>
    <w:basedOn w:val="Normal"/>
    <w:rsid w:val="004F5FC9"/>
    <w:pPr>
      <w:spacing w:before="100" w:beforeAutospacing="1" w:after="100" w:afterAutospacing="1" w:line="240" w:lineRule="auto"/>
    </w:pPr>
    <w:rPr>
      <w:rFonts w:eastAsia="Times New Roman" w:cs="Times New Roman"/>
      <w:color w:val="000000"/>
      <w:szCs w:val="24"/>
      <w:lang w:eastAsia="fr-FR"/>
    </w:rPr>
  </w:style>
  <w:style w:type="table" w:customStyle="1" w:styleId="TableauGrille1Clair1">
    <w:name w:val="Tableau Grille 1 Clair1"/>
    <w:basedOn w:val="TableNormal"/>
    <w:uiPriority w:val="46"/>
    <w:rsid w:val="004F5FC9"/>
    <w:pPr>
      <w:spacing w:after="0" w:line="240" w:lineRule="auto"/>
    </w:pPr>
    <w:rPr>
      <w:rFonts w:eastAsia="Times New Roman"/>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normaltableau">
    <w:name w:val="normal_tableau"/>
    <w:basedOn w:val="Normal"/>
    <w:rsid w:val="004F5FC9"/>
    <w:pPr>
      <w:spacing w:before="120" w:after="120" w:line="240" w:lineRule="auto"/>
    </w:pPr>
    <w:rPr>
      <w:rFonts w:ascii="Optima" w:eastAsia="Times New Roman" w:hAnsi="Optima" w:cs="Times New Roman"/>
      <w:color w:val="auto"/>
      <w:sz w:val="22"/>
      <w:szCs w:val="20"/>
      <w:lang w:val="en-GB" w:eastAsia="en-GB"/>
    </w:rPr>
  </w:style>
  <w:style w:type="character" w:customStyle="1" w:styleId="Caractresdenotedebasdepage">
    <w:name w:val="Caractères de note de bas de page"/>
    <w:basedOn w:val="DefaultParagraphFont"/>
    <w:rsid w:val="004F5FC9"/>
    <w:rPr>
      <w:vertAlign w:val="superscript"/>
    </w:rPr>
  </w:style>
  <w:style w:type="paragraph" w:customStyle="1" w:styleId="IntitulExprience">
    <w:name w:val="Intitulé Expérience"/>
    <w:basedOn w:val="Normal"/>
    <w:rsid w:val="004F5FC9"/>
    <w:pPr>
      <w:spacing w:before="60" w:after="60" w:line="260" w:lineRule="exact"/>
      <w:jc w:val="center"/>
    </w:pPr>
    <w:rPr>
      <w:rFonts w:ascii="Arial" w:eastAsia="Times New Roman" w:hAnsi="Arial" w:cs="Times New Roman"/>
      <w:i/>
      <w:iCs/>
      <w:color w:val="auto"/>
      <w:sz w:val="22"/>
      <w:szCs w:val="20"/>
      <w:lang w:eastAsia="fr-FR"/>
    </w:rPr>
  </w:style>
  <w:style w:type="character" w:customStyle="1" w:styleId="go">
    <w:name w:val="go"/>
    <w:rsid w:val="004F5FC9"/>
  </w:style>
  <w:style w:type="character" w:customStyle="1" w:styleId="WW8Num1z7">
    <w:name w:val="WW8Num1z7"/>
    <w:rsid w:val="004F5FC9"/>
  </w:style>
  <w:style w:type="paragraph" w:customStyle="1" w:styleId="DFSCVStandard">
    <w:name w:val="DFS_CV Standard"/>
    <w:rsid w:val="004F5FC9"/>
    <w:pPr>
      <w:tabs>
        <w:tab w:val="left" w:pos="425"/>
        <w:tab w:val="left" w:pos="851"/>
        <w:tab w:val="left" w:pos="2268"/>
      </w:tabs>
      <w:spacing w:after="0" w:line="240" w:lineRule="auto"/>
    </w:pPr>
    <w:rPr>
      <w:rFonts w:ascii="Arial" w:eastAsia="Times New Roman" w:hAnsi="Arial" w:cs="Times New Roman"/>
      <w:sz w:val="18"/>
      <w:szCs w:val="20"/>
      <w:lang w:val="en-US" w:eastAsia="nl-NL"/>
    </w:rPr>
  </w:style>
  <w:style w:type="paragraph" w:customStyle="1" w:styleId="DFSTable">
    <w:name w:val="DFS_Table"/>
    <w:basedOn w:val="Normal"/>
    <w:rsid w:val="004F5FC9"/>
    <w:pPr>
      <w:tabs>
        <w:tab w:val="left" w:pos="425"/>
        <w:tab w:val="left" w:pos="851"/>
        <w:tab w:val="left" w:pos="2268"/>
      </w:tabs>
      <w:overflowPunct w:val="0"/>
      <w:autoSpaceDE w:val="0"/>
      <w:autoSpaceDN w:val="0"/>
      <w:adjustRightInd w:val="0"/>
      <w:spacing w:before="60" w:after="60" w:line="240" w:lineRule="auto"/>
      <w:jc w:val="left"/>
      <w:textAlignment w:val="baseline"/>
    </w:pPr>
    <w:rPr>
      <w:rFonts w:ascii="Arial" w:eastAsia="Times New Roman" w:hAnsi="Arial" w:cs="Times New Roman"/>
      <w:color w:val="auto"/>
      <w:sz w:val="18"/>
      <w:szCs w:val="20"/>
      <w:lang w:val="en-GB" w:eastAsia="de-DE"/>
    </w:rPr>
  </w:style>
  <w:style w:type="paragraph" w:customStyle="1" w:styleId="Normal2">
    <w:name w:val="Normal2"/>
    <w:basedOn w:val="Normal"/>
    <w:link w:val="Normal2Carattere"/>
    <w:rsid w:val="004F5FC9"/>
    <w:pPr>
      <w:tabs>
        <w:tab w:val="left" w:pos="284"/>
        <w:tab w:val="left" w:pos="1418"/>
      </w:tabs>
      <w:spacing w:after="0" w:line="360" w:lineRule="atLeast"/>
    </w:pPr>
    <w:rPr>
      <w:rFonts w:eastAsia="Times New Roman" w:cs="Times New Roman"/>
      <w:color w:val="auto"/>
      <w:sz w:val="22"/>
      <w:szCs w:val="20"/>
      <w:lang w:eastAsia="it-IT"/>
    </w:rPr>
  </w:style>
  <w:style w:type="character" w:customStyle="1" w:styleId="Normal2Carattere">
    <w:name w:val="Normal2 Carattere"/>
    <w:link w:val="Normal2"/>
    <w:rsid w:val="004F5FC9"/>
    <w:rPr>
      <w:rFonts w:ascii="Times New Roman" w:eastAsia="Times New Roman" w:hAnsi="Times New Roman" w:cs="Times New Roman"/>
      <w:szCs w:val="20"/>
      <w:lang w:eastAsia="it-IT"/>
    </w:rPr>
  </w:style>
  <w:style w:type="paragraph" w:customStyle="1" w:styleId="OiaeaeiYiio2">
    <w:name w:val="O?ia eaeiYiio 2"/>
    <w:basedOn w:val="Normal"/>
    <w:rsid w:val="004F5FC9"/>
    <w:pPr>
      <w:widowControl w:val="0"/>
      <w:spacing w:after="0" w:line="240" w:lineRule="auto"/>
      <w:jc w:val="right"/>
    </w:pPr>
    <w:rPr>
      <w:rFonts w:eastAsia="Times New Roman" w:cs="Times New Roman"/>
      <w:i/>
      <w:color w:val="auto"/>
      <w:sz w:val="16"/>
      <w:szCs w:val="20"/>
      <w:lang w:val="en-US" w:eastAsia="it-IT"/>
    </w:rPr>
  </w:style>
  <w:style w:type="paragraph" w:customStyle="1" w:styleId="indent">
    <w:name w:val="indent"/>
    <w:basedOn w:val="Normal"/>
    <w:rsid w:val="004F5FC9"/>
    <w:pPr>
      <w:widowControl w:val="0"/>
      <w:tabs>
        <w:tab w:val="left" w:pos="567"/>
      </w:tabs>
      <w:spacing w:after="0" w:line="240" w:lineRule="auto"/>
      <w:ind w:left="3969" w:hanging="3969"/>
    </w:pPr>
    <w:rPr>
      <w:rFonts w:eastAsia="Times New Roman" w:cs="Times New Roman"/>
      <w:color w:val="auto"/>
      <w:sz w:val="22"/>
      <w:szCs w:val="20"/>
      <w:lang w:val="it-IT" w:eastAsia="it-IT"/>
    </w:rPr>
  </w:style>
  <w:style w:type="paragraph" w:customStyle="1" w:styleId="Corpsdetexte21">
    <w:name w:val="Corps de texte 21"/>
    <w:basedOn w:val="Normal"/>
    <w:rsid w:val="004F5FC9"/>
    <w:pPr>
      <w:tabs>
        <w:tab w:val="left" w:pos="567"/>
      </w:tabs>
      <w:spacing w:after="0" w:line="240" w:lineRule="auto"/>
      <w:ind w:left="567" w:hanging="567"/>
    </w:pPr>
    <w:rPr>
      <w:rFonts w:ascii="Arial" w:eastAsia="Times New Roman" w:hAnsi="Arial" w:cs="Times New Roman"/>
      <w:color w:val="auto"/>
      <w:sz w:val="22"/>
      <w:szCs w:val="20"/>
      <w:lang w:val="it-IT" w:eastAsia="it-IT"/>
    </w:rPr>
  </w:style>
  <w:style w:type="paragraph" w:customStyle="1" w:styleId="Corpsdetexte31">
    <w:name w:val="Corps de texte 31"/>
    <w:basedOn w:val="Normal"/>
    <w:rsid w:val="004F5FC9"/>
    <w:pPr>
      <w:tabs>
        <w:tab w:val="left" w:pos="785"/>
        <w:tab w:val="left" w:pos="851"/>
        <w:tab w:val="left" w:pos="1301"/>
        <w:tab w:val="left" w:pos="2491"/>
        <w:tab w:val="left" w:pos="3398"/>
        <w:tab w:val="left" w:pos="4368"/>
        <w:tab w:val="left" w:pos="5153"/>
        <w:tab w:val="left" w:pos="5938"/>
        <w:tab w:val="left" w:pos="7298"/>
        <w:tab w:val="left" w:pos="8083"/>
        <w:tab w:val="left" w:pos="8868"/>
        <w:tab w:val="left" w:pos="9653"/>
        <w:tab w:val="left" w:pos="10438"/>
      </w:tabs>
      <w:spacing w:before="60" w:after="0" w:line="240" w:lineRule="auto"/>
      <w:ind w:left="709"/>
    </w:pPr>
    <w:rPr>
      <w:rFonts w:eastAsia="Times New Roman" w:cs="Times New Roman"/>
      <w:b/>
      <w:snapToGrid w:val="0"/>
      <w:color w:val="auto"/>
      <w:sz w:val="22"/>
      <w:szCs w:val="20"/>
      <w:lang w:eastAsia="it-IT"/>
    </w:rPr>
  </w:style>
  <w:style w:type="paragraph" w:customStyle="1" w:styleId="Text">
    <w:name w:val="Text"/>
    <w:basedOn w:val="Normal"/>
    <w:link w:val="TextChar"/>
    <w:uiPriority w:val="99"/>
    <w:rsid w:val="004F5FC9"/>
    <w:pPr>
      <w:widowControl w:val="0"/>
      <w:autoSpaceDE w:val="0"/>
      <w:autoSpaceDN w:val="0"/>
      <w:adjustRightInd w:val="0"/>
      <w:spacing w:before="120" w:after="120" w:line="240" w:lineRule="auto"/>
    </w:pPr>
    <w:rPr>
      <w:rFonts w:eastAsia="SimSun" w:cs="Times New Roman"/>
      <w:color w:val="auto"/>
      <w:szCs w:val="28"/>
      <w:lang w:val="en-US" w:eastAsia="zh-CN"/>
    </w:rPr>
  </w:style>
  <w:style w:type="character" w:customStyle="1" w:styleId="TextChar">
    <w:name w:val="Text Char"/>
    <w:link w:val="Text"/>
    <w:uiPriority w:val="99"/>
    <w:rsid w:val="004F5FC9"/>
    <w:rPr>
      <w:rFonts w:ascii="Times New Roman" w:eastAsia="SimSun" w:hAnsi="Times New Roman" w:cs="Times New Roman"/>
      <w:sz w:val="24"/>
      <w:szCs w:val="28"/>
      <w:lang w:val="en-US" w:eastAsia="zh-CN"/>
    </w:rPr>
  </w:style>
  <w:style w:type="character" w:customStyle="1" w:styleId="CarattereCarattere2">
    <w:name w:val="Carattere Carattere2"/>
    <w:locked/>
    <w:rsid w:val="004F5FC9"/>
    <w:rPr>
      <w:rFonts w:ascii="Arial" w:hAnsi="Arial" w:cs="Arial"/>
      <w:b/>
      <w:szCs w:val="24"/>
      <w:lang w:val="fr-FR" w:eastAsia="it-IT" w:bidi="ar-SA"/>
    </w:rPr>
  </w:style>
  <w:style w:type="character" w:customStyle="1" w:styleId="CarattereCarattere5">
    <w:name w:val="Carattere Carattere5"/>
    <w:locked/>
    <w:rsid w:val="004F5FC9"/>
    <w:rPr>
      <w:rFonts w:ascii="Cambria" w:hAnsi="Cambria" w:cs="Times New Roman"/>
      <w:b/>
      <w:bCs/>
      <w:kern w:val="28"/>
      <w:sz w:val="32"/>
      <w:szCs w:val="32"/>
      <w:lang w:val="fr-FR" w:eastAsia="x-none"/>
    </w:rPr>
  </w:style>
  <w:style w:type="paragraph" w:customStyle="1" w:styleId="Annexetitle">
    <w:name w:val="Annexe_title"/>
    <w:basedOn w:val="Heading1"/>
    <w:next w:val="Normal"/>
    <w:autoRedefine/>
    <w:rsid w:val="004F5FC9"/>
    <w:pPr>
      <w:keepNext w:val="0"/>
      <w:keepLines w:val="0"/>
      <w:pBdr>
        <w:top w:val="single" w:sz="18" w:space="1" w:color="auto"/>
        <w:bottom w:val="single" w:sz="18" w:space="1" w:color="auto"/>
      </w:pBdr>
      <w:tabs>
        <w:tab w:val="left" w:pos="851"/>
      </w:tabs>
      <w:spacing w:before="240" w:after="360"/>
      <w:ind w:left="851" w:hanging="851"/>
      <w:jc w:val="center"/>
      <w:outlineLvl w:val="9"/>
    </w:pPr>
    <w:rPr>
      <w:rFonts w:ascii="Times New Roman" w:eastAsia="Times New Roman" w:hAnsi="Times New Roman" w:cs="Times New Roman"/>
      <w:bCs w:val="0"/>
      <w:sz w:val="32"/>
      <w:szCs w:val="20"/>
      <w:lang w:val="en-GB" w:eastAsia="en-GB"/>
    </w:rPr>
  </w:style>
  <w:style w:type="paragraph" w:customStyle="1" w:styleId="Table">
    <w:name w:val="Table"/>
    <w:basedOn w:val="Normal"/>
    <w:rsid w:val="004F5FC9"/>
    <w:pPr>
      <w:spacing w:before="60" w:after="60" w:line="220" w:lineRule="atLeast"/>
      <w:jc w:val="left"/>
    </w:pPr>
    <w:rPr>
      <w:rFonts w:ascii="DaneHelveticaNeue" w:eastAsia="Times New Roman" w:hAnsi="DaneHelveticaNeue" w:cs="Times New Roman"/>
      <w:color w:val="auto"/>
      <w:sz w:val="18"/>
      <w:szCs w:val="24"/>
      <w:lang w:val="en-US"/>
    </w:rPr>
  </w:style>
  <w:style w:type="character" w:customStyle="1" w:styleId="Menzionenonrisolta">
    <w:name w:val="Menzione non risolta"/>
    <w:uiPriority w:val="99"/>
    <w:semiHidden/>
    <w:unhideWhenUsed/>
    <w:rsid w:val="004F5FC9"/>
    <w:rPr>
      <w:color w:val="605E5C"/>
      <w:shd w:val="clear" w:color="auto" w:fill="E1DFDD"/>
    </w:rPr>
  </w:style>
  <w:style w:type="paragraph" w:customStyle="1" w:styleId="Feola">
    <w:name w:val="Feola"/>
    <w:basedOn w:val="Normal"/>
    <w:rsid w:val="004F5FC9"/>
    <w:pPr>
      <w:widowControl w:val="0"/>
      <w:spacing w:before="120" w:after="0" w:line="360" w:lineRule="auto"/>
    </w:pPr>
    <w:rPr>
      <w:rFonts w:ascii="Arial" w:eastAsia="Times New Roman" w:hAnsi="Arial" w:cs="Times New Roman"/>
      <w:color w:val="auto"/>
      <w:sz w:val="22"/>
      <w:szCs w:val="20"/>
      <w:lang w:eastAsia="it-IT"/>
    </w:rPr>
  </w:style>
  <w:style w:type="paragraph" w:customStyle="1" w:styleId="noteosource">
    <w:name w:val="note o source"/>
    <w:basedOn w:val="Normal"/>
    <w:rsid w:val="004F5FC9"/>
    <w:pPr>
      <w:spacing w:after="0" w:line="240" w:lineRule="auto"/>
    </w:pPr>
    <w:rPr>
      <w:rFonts w:eastAsia="Times New Roman" w:cs="Times New Roman"/>
      <w:i/>
      <w:iCs/>
      <w:color w:val="000000"/>
      <w:sz w:val="22"/>
      <w:szCs w:val="20"/>
      <w:lang w:val="en-GB" w:eastAsia="it-IT"/>
    </w:rPr>
  </w:style>
  <w:style w:type="paragraph" w:customStyle="1" w:styleId="Normal3">
    <w:name w:val="Normal3"/>
    <w:rsid w:val="004F5FC9"/>
    <w:pPr>
      <w:suppressAutoHyphens/>
      <w:spacing w:after="200" w:line="276" w:lineRule="auto"/>
      <w:textAlignment w:val="baseline"/>
    </w:pPr>
    <w:rPr>
      <w:rFonts w:ascii="Calibri" w:eastAsia="Calibri" w:hAnsi="Calibri" w:cs="Times New Roman"/>
    </w:rPr>
  </w:style>
  <w:style w:type="paragraph" w:styleId="BodyTextFirstIndent2">
    <w:name w:val="Body Text First Indent 2"/>
    <w:basedOn w:val="BodyTextIndent"/>
    <w:link w:val="BodyTextFirstIndent2Char"/>
    <w:rsid w:val="004F5FC9"/>
    <w:pPr>
      <w:spacing w:line="240" w:lineRule="auto"/>
      <w:ind w:firstLine="210"/>
      <w:jc w:val="left"/>
    </w:pPr>
    <w:rPr>
      <w:rFonts w:eastAsia="Times New Roman" w:cs="Times New Roman"/>
      <w:color w:val="auto"/>
      <w:sz w:val="20"/>
      <w:szCs w:val="20"/>
      <w:lang w:val="it-IT" w:eastAsia="it-IT"/>
    </w:rPr>
  </w:style>
  <w:style w:type="character" w:customStyle="1" w:styleId="BodyTextFirstIndent2Char">
    <w:name w:val="Body Text First Indent 2 Char"/>
    <w:basedOn w:val="BodyTextIndentChar"/>
    <w:link w:val="BodyTextFirstIndent2"/>
    <w:rsid w:val="004F5FC9"/>
    <w:rPr>
      <w:rFonts w:ascii="Times New Roman" w:eastAsia="Times New Roman" w:hAnsi="Times New Roman" w:cs="Times New Roman"/>
      <w:color w:val="000000" w:themeColor="text1"/>
      <w:sz w:val="20"/>
      <w:szCs w:val="20"/>
      <w:lang w:val="it-IT" w:eastAsia="it-IT"/>
    </w:rPr>
  </w:style>
  <w:style w:type="paragraph" w:customStyle="1" w:styleId="Normal1">
    <w:name w:val="Normal1"/>
    <w:basedOn w:val="Normal"/>
    <w:rsid w:val="004F5FC9"/>
    <w:pPr>
      <w:widowControl w:val="0"/>
      <w:spacing w:after="0" w:line="240" w:lineRule="auto"/>
      <w:ind w:right="-284"/>
    </w:pPr>
    <w:rPr>
      <w:rFonts w:eastAsia="Times New Roman" w:cs="Times New Roman"/>
      <w:color w:val="auto"/>
      <w:sz w:val="22"/>
      <w:szCs w:val="20"/>
      <w:lang w:val="en-GB" w:eastAsia="it-IT"/>
    </w:rPr>
  </w:style>
  <w:style w:type="paragraph" w:styleId="List3">
    <w:name w:val="List 3"/>
    <w:basedOn w:val="Normal"/>
    <w:rsid w:val="004F5FC9"/>
    <w:pPr>
      <w:spacing w:after="0" w:line="240" w:lineRule="auto"/>
      <w:ind w:left="849" w:hanging="283"/>
      <w:contextualSpacing/>
      <w:jc w:val="left"/>
    </w:pPr>
    <w:rPr>
      <w:rFonts w:eastAsia="Times New Roman" w:cs="Times New Roman"/>
      <w:color w:val="auto"/>
      <w:szCs w:val="24"/>
      <w:lang w:eastAsia="it-IT"/>
    </w:rPr>
  </w:style>
  <w:style w:type="character" w:customStyle="1" w:styleId="skypec2ctextspan">
    <w:name w:val="skype_c2c_text_span"/>
    <w:rsid w:val="004F5FC9"/>
  </w:style>
  <w:style w:type="table" w:styleId="MediumGrid1-Accent2">
    <w:name w:val="Medium Grid 1 Accent 2"/>
    <w:basedOn w:val="TableNormal"/>
    <w:uiPriority w:val="34"/>
    <w:unhideWhenUsed/>
    <w:rsid w:val="004F5FC9"/>
    <w:pPr>
      <w:spacing w:after="0" w:line="240" w:lineRule="auto"/>
    </w:pPr>
    <w:rPr>
      <w:rFonts w:ascii="Times" w:eastAsia="Malgun Gothic" w:hAnsi="Times" w:cs="Times New Roman"/>
      <w:sz w:val="24"/>
      <w:szCs w:val="20"/>
      <w:lang w:eastAsia="fr-FR"/>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lastRow">
      <w:tblPr/>
      <w:tcPr>
        <w:tcBorders>
          <w:top w:val="single" w:sz="18" w:space="0" w:color="CF7B79"/>
        </w:tcBorders>
      </w:tcPr>
    </w:tblStylePr>
    <w:tblStylePr w:type="band1Vert">
      <w:tblPr/>
      <w:tcPr>
        <w:shd w:val="clear" w:color="auto" w:fill="DFA7A6"/>
      </w:tcPr>
    </w:tblStylePr>
    <w:tblStylePr w:type="band1Horz">
      <w:tblPr/>
      <w:tcPr>
        <w:shd w:val="clear" w:color="auto" w:fill="DFA7A6"/>
      </w:tcPr>
    </w:tblStylePr>
  </w:style>
  <w:style w:type="character" w:customStyle="1" w:styleId="Listecouleur-Accent1Car">
    <w:name w:val="Liste couleur - Accent 1 Car"/>
    <w:link w:val="ColorfulList-Accent1"/>
    <w:uiPriority w:val="34"/>
    <w:qFormat/>
    <w:locked/>
    <w:rsid w:val="004F5FC9"/>
    <w:rPr>
      <w:rFonts w:ascii="Times" w:eastAsia="Malgun Gothic" w:hAnsi="Times"/>
      <w:sz w:val="24"/>
      <w:lang w:val="en-GB"/>
    </w:rPr>
  </w:style>
  <w:style w:type="table" w:styleId="ColorfulList-Accent1">
    <w:name w:val="Colorful List Accent 1"/>
    <w:basedOn w:val="TableNormal"/>
    <w:link w:val="Listecouleur-Accent1Car"/>
    <w:uiPriority w:val="34"/>
    <w:unhideWhenUsed/>
    <w:rsid w:val="004F5FC9"/>
    <w:pPr>
      <w:spacing w:after="0" w:line="240" w:lineRule="auto"/>
    </w:pPr>
    <w:rPr>
      <w:rFonts w:ascii="Times" w:eastAsia="Malgun Gothic" w:hAnsi="Times"/>
      <w:sz w:val="24"/>
      <w:lang w:val="en-GB"/>
    </w:rPr>
    <w:tblPr>
      <w:tblStyleRowBandSize w:val="1"/>
      <w:tblStyleColBandSize w:val="1"/>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styleId="Table3Deffects3">
    <w:name w:val="Table 3D effects 3"/>
    <w:basedOn w:val="TableNormal"/>
    <w:rsid w:val="004F5FC9"/>
    <w:pPr>
      <w:spacing w:after="0" w:line="240" w:lineRule="auto"/>
    </w:pPr>
    <w:rPr>
      <w:rFonts w:ascii="Times New Roman" w:eastAsia="Times New Roman" w:hAnsi="Times New Roman" w:cs="Times New Roman"/>
      <w:sz w:val="20"/>
      <w:szCs w:val="20"/>
      <w:lang w:eastAsia="fr-FR"/>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ntemporary">
    <w:name w:val="Table Contemporary"/>
    <w:basedOn w:val="TableNormal"/>
    <w:rsid w:val="004F5FC9"/>
    <w:pPr>
      <w:spacing w:after="0" w:line="240" w:lineRule="auto"/>
    </w:pPr>
    <w:rPr>
      <w:rFonts w:ascii="Times New Roman" w:eastAsia="Times New Roman" w:hAnsi="Times New Roman" w:cs="Times New Roman"/>
      <w:sz w:val="20"/>
      <w:szCs w:val="20"/>
      <w:lang w:eastAsia="fr-FR"/>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msonormal0">
    <w:name w:val="msonormal"/>
    <w:basedOn w:val="Normal"/>
    <w:rsid w:val="004F5FC9"/>
    <w:pPr>
      <w:spacing w:before="100" w:beforeAutospacing="1" w:after="100" w:afterAutospacing="1" w:line="240" w:lineRule="auto"/>
      <w:jc w:val="left"/>
    </w:pPr>
    <w:rPr>
      <w:rFonts w:eastAsia="Calibri" w:cs="Times New Roman"/>
      <w:color w:val="auto"/>
      <w:szCs w:val="24"/>
      <w:lang w:val="en-US" w:eastAsia="fr-FR"/>
    </w:rPr>
  </w:style>
  <w:style w:type="paragraph" w:styleId="EndnoteText">
    <w:name w:val="endnote text"/>
    <w:basedOn w:val="Normal"/>
    <w:link w:val="EndnoteTextChar"/>
    <w:unhideWhenUsed/>
    <w:rsid w:val="004F5FC9"/>
    <w:pPr>
      <w:spacing w:after="0" w:line="240" w:lineRule="auto"/>
      <w:jc w:val="left"/>
    </w:pPr>
    <w:rPr>
      <w:rFonts w:ascii="Tms Rmn" w:eastAsia="Times New Roman" w:hAnsi="Tms Rmn" w:cs="Times New Roman"/>
      <w:color w:val="auto"/>
      <w:sz w:val="22"/>
      <w:szCs w:val="20"/>
      <w:lang w:val="de-DE" w:eastAsia="de-DE"/>
    </w:rPr>
  </w:style>
  <w:style w:type="character" w:customStyle="1" w:styleId="EndnoteTextChar">
    <w:name w:val="Endnote Text Char"/>
    <w:basedOn w:val="DefaultParagraphFont"/>
    <w:link w:val="EndnoteText"/>
    <w:rsid w:val="004F5FC9"/>
    <w:rPr>
      <w:rFonts w:ascii="Tms Rmn" w:eastAsia="Times New Roman" w:hAnsi="Tms Rmn" w:cs="Times New Roman"/>
      <w:szCs w:val="20"/>
      <w:lang w:val="de-DE" w:eastAsia="de-DE"/>
    </w:rPr>
  </w:style>
  <w:style w:type="paragraph" w:styleId="ListNumber">
    <w:name w:val="List Number"/>
    <w:basedOn w:val="Normal"/>
    <w:unhideWhenUsed/>
    <w:rsid w:val="004F5FC9"/>
    <w:pPr>
      <w:numPr>
        <w:numId w:val="78"/>
      </w:numPr>
      <w:tabs>
        <w:tab w:val="num" w:pos="360"/>
      </w:tabs>
      <w:spacing w:before="60" w:after="60" w:line="260" w:lineRule="exact"/>
      <w:jc w:val="left"/>
    </w:pPr>
    <w:rPr>
      <w:rFonts w:ascii="Arial" w:eastAsia="Times New Roman" w:hAnsi="Arial" w:cs="Times New Roman"/>
      <w:b/>
      <w:i/>
      <w:color w:val="000000"/>
      <w:sz w:val="22"/>
      <w:szCs w:val="20"/>
      <w:lang w:val="en-US" w:eastAsia="fr-FR"/>
    </w:rPr>
  </w:style>
  <w:style w:type="paragraph" w:customStyle="1" w:styleId="Carattere">
    <w:name w:val="Carattere"/>
    <w:basedOn w:val="Normal"/>
    <w:next w:val="Normal"/>
    <w:rsid w:val="004F5FC9"/>
    <w:pPr>
      <w:spacing w:line="240" w:lineRule="exact"/>
      <w:jc w:val="left"/>
    </w:pPr>
    <w:rPr>
      <w:rFonts w:ascii="Tahoma" w:eastAsia="Times New Roman" w:hAnsi="Tahoma" w:cs="Times New Roman"/>
      <w:color w:val="auto"/>
      <w:szCs w:val="20"/>
      <w:lang w:val="en-US"/>
    </w:rPr>
  </w:style>
  <w:style w:type="paragraph" w:customStyle="1" w:styleId="Tabletext">
    <w:name w:val="Table text"/>
    <w:rsid w:val="004F5FC9"/>
    <w:pPr>
      <w:suppressAutoHyphens/>
      <w:spacing w:after="0" w:line="240" w:lineRule="auto"/>
      <w:ind w:left="72"/>
    </w:pPr>
    <w:rPr>
      <w:rFonts w:ascii="Century Schoolbook" w:eastAsia="Times New Roman" w:hAnsi="Century Schoolbook" w:cs="Times New Roman"/>
      <w:sz w:val="20"/>
      <w:szCs w:val="20"/>
      <w:lang w:val="en-GB" w:eastAsia="it-IT"/>
    </w:rPr>
  </w:style>
  <w:style w:type="paragraph" w:customStyle="1" w:styleId="DefinitionTerm">
    <w:name w:val="Definition Term"/>
    <w:basedOn w:val="Normal"/>
    <w:next w:val="Normal"/>
    <w:rsid w:val="004F5FC9"/>
    <w:pPr>
      <w:widowControl w:val="0"/>
      <w:snapToGrid w:val="0"/>
      <w:spacing w:after="0" w:line="240" w:lineRule="auto"/>
      <w:jc w:val="left"/>
    </w:pPr>
    <w:rPr>
      <w:rFonts w:eastAsia="Times New Roman" w:cs="Times New Roman"/>
      <w:color w:val="auto"/>
      <w:szCs w:val="20"/>
      <w:lang w:val="en-GB" w:eastAsia="it-IT"/>
    </w:rPr>
  </w:style>
  <w:style w:type="paragraph" w:customStyle="1" w:styleId="H6">
    <w:name w:val="H6"/>
    <w:basedOn w:val="Normal"/>
    <w:next w:val="Normal"/>
    <w:rsid w:val="004F5FC9"/>
    <w:pPr>
      <w:keepNext/>
      <w:widowControl w:val="0"/>
      <w:snapToGrid w:val="0"/>
      <w:spacing w:before="100" w:after="100" w:line="240" w:lineRule="auto"/>
      <w:jc w:val="left"/>
      <w:outlineLvl w:val="6"/>
    </w:pPr>
    <w:rPr>
      <w:rFonts w:eastAsia="Times New Roman" w:cs="Times New Roman"/>
      <w:b/>
      <w:color w:val="auto"/>
      <w:sz w:val="16"/>
      <w:szCs w:val="20"/>
      <w:lang w:val="en-GB" w:eastAsia="it-IT"/>
    </w:rPr>
  </w:style>
  <w:style w:type="paragraph" w:customStyle="1" w:styleId="cvindent">
    <w:name w:val="cvindent"/>
    <w:rsid w:val="004F5FC9"/>
    <w:pPr>
      <w:tabs>
        <w:tab w:val="left" w:pos="2880"/>
      </w:tabs>
      <w:spacing w:after="0" w:line="240" w:lineRule="auto"/>
      <w:ind w:left="2880" w:hanging="2880"/>
    </w:pPr>
    <w:rPr>
      <w:rFonts w:ascii="Century Schoolbook" w:eastAsia="Times New Roman" w:hAnsi="Century Schoolbook" w:cs="Times New Roman"/>
      <w:color w:val="000000"/>
      <w:szCs w:val="20"/>
      <w:lang w:val="en-GB"/>
    </w:rPr>
  </w:style>
  <w:style w:type="paragraph" w:customStyle="1" w:styleId="Arial">
    <w:name w:val="Arial"/>
    <w:basedOn w:val="Normal"/>
    <w:rsid w:val="004F5FC9"/>
    <w:pPr>
      <w:widowControl w:val="0"/>
      <w:tabs>
        <w:tab w:val="left" w:pos="661"/>
      </w:tabs>
      <w:suppressAutoHyphens/>
      <w:autoSpaceDE w:val="0"/>
      <w:autoSpaceDN w:val="0"/>
      <w:adjustRightInd w:val="0"/>
      <w:spacing w:after="0" w:line="240" w:lineRule="auto"/>
    </w:pPr>
    <w:rPr>
      <w:rFonts w:eastAsia="Times New Roman" w:cs="Times New Roman"/>
      <w:color w:val="auto"/>
      <w:sz w:val="22"/>
      <w:szCs w:val="20"/>
      <w:lang w:val="en-US" w:eastAsia="fr-FR"/>
    </w:rPr>
  </w:style>
  <w:style w:type="paragraph" w:customStyle="1" w:styleId="PuceRouge">
    <w:name w:val="Puce Rouge"/>
    <w:basedOn w:val="Normal"/>
    <w:rsid w:val="004F5FC9"/>
    <w:pPr>
      <w:numPr>
        <w:numId w:val="79"/>
      </w:numPr>
      <w:spacing w:after="240" w:line="240" w:lineRule="auto"/>
    </w:pPr>
    <w:rPr>
      <w:rFonts w:eastAsia="Times New Roman" w:cs="Times New Roman"/>
      <w:color w:val="auto"/>
      <w:szCs w:val="20"/>
      <w:lang w:val="en-GB"/>
    </w:rPr>
  </w:style>
  <w:style w:type="paragraph" w:customStyle="1" w:styleId="MasterMemocompressed">
    <w:name w:val="Master Memo compressed"/>
    <w:basedOn w:val="Normal"/>
    <w:rsid w:val="004F5FC9"/>
    <w:pPr>
      <w:widowControl w:val="0"/>
      <w:overflowPunct w:val="0"/>
      <w:autoSpaceDE w:val="0"/>
      <w:autoSpaceDN w:val="0"/>
      <w:adjustRightInd w:val="0"/>
      <w:spacing w:after="0" w:line="240" w:lineRule="auto"/>
    </w:pPr>
    <w:rPr>
      <w:rFonts w:ascii="Palatino" w:eastAsia="Times New Roman" w:hAnsi="Palatino" w:cs="Times New Roman"/>
      <w:color w:val="auto"/>
      <w:szCs w:val="20"/>
      <w:lang w:val="en-US" w:eastAsia="de-DE"/>
    </w:rPr>
  </w:style>
  <w:style w:type="paragraph" w:customStyle="1" w:styleId="PuceGriseExprience">
    <w:name w:val="Puce Grise Expérience"/>
    <w:basedOn w:val="Normal"/>
    <w:rsid w:val="004F5FC9"/>
    <w:pPr>
      <w:numPr>
        <w:numId w:val="80"/>
      </w:numPr>
      <w:tabs>
        <w:tab w:val="left" w:pos="284"/>
      </w:tabs>
      <w:spacing w:before="60" w:after="60" w:line="260" w:lineRule="exact"/>
      <w:ind w:right="85"/>
      <w:jc w:val="left"/>
    </w:pPr>
    <w:rPr>
      <w:rFonts w:ascii="Arial" w:eastAsia="Times New Roman" w:hAnsi="Arial" w:cs="Times New Roman"/>
      <w:color w:val="000000"/>
      <w:sz w:val="22"/>
      <w:szCs w:val="20"/>
      <w:lang w:val="en-US" w:eastAsia="fr-FR"/>
    </w:rPr>
  </w:style>
  <w:style w:type="paragraph" w:customStyle="1" w:styleId="PuceRoseDtail">
    <w:name w:val="Puce Rose Détail"/>
    <w:basedOn w:val="Normal"/>
    <w:rsid w:val="004F5FC9"/>
    <w:pPr>
      <w:widowControl w:val="0"/>
      <w:numPr>
        <w:numId w:val="81"/>
      </w:numPr>
      <w:tabs>
        <w:tab w:val="left" w:pos="936"/>
      </w:tabs>
      <w:spacing w:after="0" w:line="240" w:lineRule="auto"/>
      <w:jc w:val="left"/>
    </w:pPr>
    <w:rPr>
      <w:rFonts w:ascii="Arial" w:eastAsia="Times New Roman" w:hAnsi="Arial" w:cs="Times New Roman"/>
      <w:color w:val="auto"/>
      <w:sz w:val="22"/>
      <w:szCs w:val="20"/>
      <w:lang w:val="en-GB" w:eastAsia="fr-FR"/>
    </w:rPr>
  </w:style>
  <w:style w:type="paragraph" w:customStyle="1" w:styleId="ecxmsonormal">
    <w:name w:val="ecxmsonormal"/>
    <w:basedOn w:val="Normal"/>
    <w:rsid w:val="004F5FC9"/>
    <w:pPr>
      <w:spacing w:before="100" w:beforeAutospacing="1" w:after="100" w:afterAutospacing="1" w:line="240" w:lineRule="auto"/>
      <w:jc w:val="left"/>
    </w:pPr>
    <w:rPr>
      <w:rFonts w:eastAsia="Times New Roman" w:cs="Times New Roman"/>
      <w:color w:val="auto"/>
      <w:szCs w:val="24"/>
      <w:lang w:val="tr-TR" w:eastAsia="tr-TR"/>
    </w:rPr>
  </w:style>
  <w:style w:type="paragraph" w:customStyle="1" w:styleId="HTMLncedenBiimlendirilmi1">
    <w:name w:val="HTML Önceden Biçimlendirilmiş1"/>
    <w:basedOn w:val="Normal"/>
    <w:rsid w:val="004F5FC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after="0" w:line="240" w:lineRule="auto"/>
      <w:jc w:val="left"/>
    </w:pPr>
    <w:rPr>
      <w:rFonts w:eastAsia="Times New Roman" w:cs="Times New Roman"/>
      <w:color w:val="auto"/>
      <w:sz w:val="22"/>
      <w:szCs w:val="20"/>
      <w:lang w:val="en-GB" w:eastAsia="tr-TR"/>
    </w:rPr>
  </w:style>
  <w:style w:type="paragraph" w:customStyle="1" w:styleId="Literaturverzeichnis1">
    <w:name w:val="Literaturverzeichnis1"/>
    <w:basedOn w:val="Normal"/>
    <w:rsid w:val="004F5FC9"/>
    <w:pPr>
      <w:widowControl w:val="0"/>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560"/>
        <w:tab w:val="left" w:pos="9360"/>
      </w:tabs>
      <w:snapToGrid w:val="0"/>
      <w:spacing w:after="0" w:line="240" w:lineRule="auto"/>
      <w:ind w:left="720" w:hanging="720"/>
    </w:pPr>
    <w:rPr>
      <w:rFonts w:ascii="Courier New" w:eastAsia="Times New Roman" w:hAnsi="Courier New" w:cs="Times New Roman"/>
      <w:color w:val="auto"/>
      <w:sz w:val="23"/>
      <w:szCs w:val="20"/>
      <w:lang w:val="en-GB" w:eastAsia="tr-TR"/>
    </w:rPr>
  </w:style>
  <w:style w:type="paragraph" w:customStyle="1" w:styleId="Textblock">
    <w:name w:val="Textblock"/>
    <w:basedOn w:val="Normal"/>
    <w:rsid w:val="004F5FC9"/>
    <w:pPr>
      <w:spacing w:after="120" w:line="240" w:lineRule="auto"/>
      <w:ind w:left="851"/>
    </w:pPr>
    <w:rPr>
      <w:rFonts w:ascii="Bodoni Bk BT" w:eastAsia="Times New Roman" w:hAnsi="Bodoni Bk BT" w:cs="Times New Roman"/>
      <w:color w:val="auto"/>
      <w:szCs w:val="20"/>
      <w:lang w:val="de-DE" w:eastAsia="de-DE"/>
    </w:rPr>
  </w:style>
  <w:style w:type="character" w:customStyle="1" w:styleId="body">
    <w:name w:val="body"/>
    <w:basedOn w:val="DefaultParagraphFont"/>
    <w:rsid w:val="004F5FC9"/>
  </w:style>
  <w:style w:type="paragraph" w:customStyle="1" w:styleId="xl65">
    <w:name w:val="xl65"/>
    <w:basedOn w:val="Normal"/>
    <w:rsid w:val="004F5FC9"/>
    <w:pPr>
      <w:pBdr>
        <w:top w:val="single" w:sz="4" w:space="0" w:color="000000"/>
        <w:left w:val="single" w:sz="4" w:space="0" w:color="000000"/>
        <w:bottom w:val="single" w:sz="8"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b/>
      <w:bCs/>
      <w:color w:val="auto"/>
      <w:sz w:val="16"/>
      <w:szCs w:val="16"/>
      <w:lang w:eastAsia="fr-FR"/>
    </w:rPr>
  </w:style>
  <w:style w:type="paragraph" w:customStyle="1" w:styleId="xl66">
    <w:name w:val="xl66"/>
    <w:basedOn w:val="Normal"/>
    <w:rsid w:val="004F5FC9"/>
    <w:pPr>
      <w:pBdr>
        <w:top w:val="single" w:sz="8" w:space="0" w:color="000000"/>
        <w:left w:val="single" w:sz="8" w:space="0" w:color="000000"/>
        <w:bottom w:val="single" w:sz="12" w:space="0" w:color="000000"/>
      </w:pBdr>
      <w:spacing w:before="100" w:beforeAutospacing="1" w:after="100" w:afterAutospacing="1" w:line="240" w:lineRule="auto"/>
      <w:jc w:val="center"/>
      <w:textAlignment w:val="center"/>
    </w:pPr>
    <w:rPr>
      <w:rFonts w:ascii="Arial" w:eastAsia="Times New Roman" w:hAnsi="Arial" w:cs="Arial"/>
      <w:b/>
      <w:bCs/>
      <w:color w:val="auto"/>
      <w:sz w:val="16"/>
      <w:szCs w:val="16"/>
      <w:lang w:eastAsia="fr-FR"/>
    </w:rPr>
  </w:style>
  <w:style w:type="paragraph" w:customStyle="1" w:styleId="xl67">
    <w:name w:val="xl67"/>
    <w:basedOn w:val="Normal"/>
    <w:rsid w:val="004F5FC9"/>
    <w:pPr>
      <w:pBdr>
        <w:left w:val="single" w:sz="4" w:space="0" w:color="000000"/>
        <w:right w:val="single" w:sz="4" w:space="0" w:color="000000"/>
      </w:pBdr>
      <w:spacing w:before="100" w:beforeAutospacing="1" w:after="100" w:afterAutospacing="1" w:line="240" w:lineRule="auto"/>
      <w:textAlignment w:val="center"/>
    </w:pPr>
    <w:rPr>
      <w:rFonts w:ascii="Arial" w:eastAsia="Times New Roman" w:hAnsi="Arial" w:cs="Arial"/>
      <w:color w:val="auto"/>
      <w:sz w:val="16"/>
      <w:szCs w:val="16"/>
      <w:lang w:eastAsia="fr-FR"/>
    </w:rPr>
  </w:style>
  <w:style w:type="paragraph" w:customStyle="1" w:styleId="xl68">
    <w:name w:val="xl68"/>
    <w:basedOn w:val="Normal"/>
    <w:rsid w:val="004F5FC9"/>
    <w:pPr>
      <w:pBdr>
        <w:top w:val="single" w:sz="12" w:space="0" w:color="000000"/>
        <w:bottom w:val="single" w:sz="8" w:space="0" w:color="000000"/>
      </w:pBdr>
      <w:spacing w:before="100" w:beforeAutospacing="1" w:after="100" w:afterAutospacing="1" w:line="240" w:lineRule="auto"/>
      <w:textAlignment w:val="center"/>
    </w:pPr>
    <w:rPr>
      <w:rFonts w:ascii="Arial" w:eastAsia="Times New Roman" w:hAnsi="Arial" w:cs="Arial"/>
      <w:color w:val="auto"/>
      <w:sz w:val="16"/>
      <w:szCs w:val="16"/>
      <w:lang w:eastAsia="fr-FR"/>
    </w:rPr>
  </w:style>
  <w:style w:type="paragraph" w:customStyle="1" w:styleId="xl69">
    <w:name w:val="xl69"/>
    <w:basedOn w:val="Normal"/>
    <w:rsid w:val="004F5FC9"/>
    <w:pPr>
      <w:pBdr>
        <w:left w:val="double" w:sz="6" w:space="0" w:color="000000"/>
        <w:bottom w:val="single" w:sz="8" w:space="0" w:color="000000"/>
      </w:pBdr>
      <w:spacing w:before="100" w:beforeAutospacing="1" w:after="100" w:afterAutospacing="1" w:line="240" w:lineRule="auto"/>
      <w:jc w:val="left"/>
      <w:textAlignment w:val="center"/>
    </w:pPr>
    <w:rPr>
      <w:rFonts w:ascii="Arial" w:eastAsia="Times New Roman" w:hAnsi="Arial" w:cs="Arial"/>
      <w:color w:val="auto"/>
      <w:sz w:val="16"/>
      <w:szCs w:val="16"/>
      <w:lang w:eastAsia="fr-FR"/>
    </w:rPr>
  </w:style>
  <w:style w:type="paragraph" w:customStyle="1" w:styleId="xl70">
    <w:name w:val="xl70"/>
    <w:basedOn w:val="Normal"/>
    <w:rsid w:val="004F5FC9"/>
    <w:pPr>
      <w:pBdr>
        <w:bottom w:val="single" w:sz="8" w:space="0" w:color="000000"/>
      </w:pBdr>
      <w:spacing w:before="100" w:beforeAutospacing="1" w:after="100" w:afterAutospacing="1" w:line="240" w:lineRule="auto"/>
      <w:jc w:val="left"/>
      <w:textAlignment w:val="center"/>
    </w:pPr>
    <w:rPr>
      <w:rFonts w:ascii="Arial" w:eastAsia="Times New Roman" w:hAnsi="Arial" w:cs="Arial"/>
      <w:color w:val="auto"/>
      <w:sz w:val="16"/>
      <w:szCs w:val="16"/>
      <w:lang w:eastAsia="fr-FR"/>
    </w:rPr>
  </w:style>
  <w:style w:type="paragraph" w:customStyle="1" w:styleId="xl71">
    <w:name w:val="xl71"/>
    <w:basedOn w:val="Normal"/>
    <w:rsid w:val="004F5FC9"/>
    <w:pPr>
      <w:pBdr>
        <w:left w:val="double" w:sz="6" w:space="0" w:color="000000"/>
        <w:bottom w:val="double" w:sz="6" w:space="0" w:color="000000"/>
      </w:pBdr>
      <w:spacing w:before="100" w:beforeAutospacing="1" w:after="100" w:afterAutospacing="1" w:line="240" w:lineRule="auto"/>
      <w:jc w:val="left"/>
      <w:textAlignment w:val="center"/>
    </w:pPr>
    <w:rPr>
      <w:rFonts w:ascii="Arial" w:eastAsia="Times New Roman" w:hAnsi="Arial" w:cs="Arial"/>
      <w:color w:val="auto"/>
      <w:sz w:val="16"/>
      <w:szCs w:val="16"/>
      <w:lang w:eastAsia="fr-FR"/>
    </w:rPr>
  </w:style>
  <w:style w:type="paragraph" w:customStyle="1" w:styleId="xl72">
    <w:name w:val="xl72"/>
    <w:basedOn w:val="Normal"/>
    <w:rsid w:val="004F5FC9"/>
    <w:pPr>
      <w:pBdr>
        <w:bottom w:val="double" w:sz="6" w:space="0" w:color="000000"/>
      </w:pBdr>
      <w:spacing w:before="100" w:beforeAutospacing="1" w:after="100" w:afterAutospacing="1" w:line="240" w:lineRule="auto"/>
      <w:jc w:val="left"/>
      <w:textAlignment w:val="center"/>
    </w:pPr>
    <w:rPr>
      <w:rFonts w:ascii="Arial" w:eastAsia="Times New Roman" w:hAnsi="Arial" w:cs="Arial"/>
      <w:color w:val="auto"/>
      <w:sz w:val="16"/>
      <w:szCs w:val="16"/>
      <w:lang w:eastAsia="fr-FR"/>
    </w:rPr>
  </w:style>
  <w:style w:type="paragraph" w:customStyle="1" w:styleId="xl73">
    <w:name w:val="xl73"/>
    <w:basedOn w:val="Normal"/>
    <w:rsid w:val="004F5FC9"/>
    <w:pPr>
      <w:pBdr>
        <w:top w:val="single" w:sz="8" w:space="0" w:color="000000"/>
        <w:bottom w:val="double" w:sz="6" w:space="0" w:color="000000"/>
      </w:pBdr>
      <w:spacing w:before="100" w:beforeAutospacing="1" w:after="100" w:afterAutospacing="1" w:line="240" w:lineRule="auto"/>
      <w:jc w:val="left"/>
      <w:textAlignment w:val="center"/>
    </w:pPr>
    <w:rPr>
      <w:rFonts w:ascii="Arial" w:eastAsia="Times New Roman" w:hAnsi="Arial" w:cs="Arial"/>
      <w:color w:val="auto"/>
      <w:sz w:val="16"/>
      <w:szCs w:val="16"/>
      <w:lang w:eastAsia="fr-FR"/>
    </w:rPr>
  </w:style>
  <w:style w:type="paragraph" w:customStyle="1" w:styleId="xl74">
    <w:name w:val="xl74"/>
    <w:basedOn w:val="Normal"/>
    <w:rsid w:val="004F5FC9"/>
    <w:pPr>
      <w:pBdr>
        <w:top w:val="single" w:sz="8" w:space="0" w:color="000000"/>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Arial" w:eastAsia="Times New Roman" w:hAnsi="Arial" w:cs="Arial"/>
      <w:color w:val="auto"/>
      <w:sz w:val="16"/>
      <w:szCs w:val="16"/>
      <w:lang w:eastAsia="fr-FR"/>
    </w:rPr>
  </w:style>
  <w:style w:type="paragraph" w:customStyle="1" w:styleId="xl75">
    <w:name w:val="xl75"/>
    <w:basedOn w:val="Normal"/>
    <w:rsid w:val="004F5FC9"/>
    <w:pPr>
      <w:pBdr>
        <w:top w:val="single" w:sz="4" w:space="0" w:color="000000"/>
        <w:left w:val="single" w:sz="4" w:space="0" w:color="000000"/>
        <w:bottom w:val="single" w:sz="8" w:space="0" w:color="000000"/>
        <w:right w:val="single" w:sz="4" w:space="0" w:color="000000"/>
      </w:pBdr>
      <w:spacing w:before="100" w:beforeAutospacing="1" w:after="100" w:afterAutospacing="1" w:line="240" w:lineRule="auto"/>
      <w:jc w:val="right"/>
      <w:textAlignment w:val="center"/>
    </w:pPr>
    <w:rPr>
      <w:rFonts w:ascii="Arial" w:eastAsia="Times New Roman" w:hAnsi="Arial" w:cs="Arial"/>
      <w:color w:val="auto"/>
      <w:sz w:val="16"/>
      <w:szCs w:val="16"/>
      <w:lang w:eastAsia="fr-FR"/>
    </w:rPr>
  </w:style>
  <w:style w:type="paragraph" w:customStyle="1" w:styleId="xl76">
    <w:name w:val="xl76"/>
    <w:basedOn w:val="Normal"/>
    <w:rsid w:val="004F5FC9"/>
    <w:pPr>
      <w:pBdr>
        <w:top w:val="single" w:sz="8" w:space="0" w:color="000000"/>
        <w:left w:val="single" w:sz="4" w:space="0" w:color="000000"/>
        <w:bottom w:val="single" w:sz="4" w:space="0" w:color="000000"/>
      </w:pBdr>
      <w:spacing w:before="100" w:beforeAutospacing="1" w:after="100" w:afterAutospacing="1" w:line="240" w:lineRule="auto"/>
      <w:jc w:val="right"/>
      <w:textAlignment w:val="center"/>
    </w:pPr>
    <w:rPr>
      <w:rFonts w:ascii="Arial" w:eastAsia="Times New Roman" w:hAnsi="Arial" w:cs="Arial"/>
      <w:color w:val="auto"/>
      <w:sz w:val="16"/>
      <w:szCs w:val="16"/>
      <w:lang w:eastAsia="fr-FR"/>
    </w:rPr>
  </w:style>
  <w:style w:type="paragraph" w:customStyle="1" w:styleId="xl77">
    <w:name w:val="xl77"/>
    <w:basedOn w:val="Normal"/>
    <w:rsid w:val="004F5FC9"/>
    <w:pPr>
      <w:pBdr>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Arial" w:eastAsia="Times New Roman" w:hAnsi="Arial" w:cs="Arial"/>
      <w:color w:val="auto"/>
      <w:sz w:val="16"/>
      <w:szCs w:val="16"/>
      <w:lang w:eastAsia="fr-FR"/>
    </w:rPr>
  </w:style>
  <w:style w:type="paragraph" w:customStyle="1" w:styleId="xl78">
    <w:name w:val="xl78"/>
    <w:basedOn w:val="Normal"/>
    <w:rsid w:val="004F5FC9"/>
    <w:pPr>
      <w:pBdr>
        <w:top w:val="single" w:sz="4" w:space="0" w:color="000000"/>
        <w:left w:val="single" w:sz="4" w:space="0" w:color="000000"/>
        <w:right w:val="single" w:sz="4" w:space="0" w:color="000000"/>
      </w:pBdr>
      <w:spacing w:before="100" w:beforeAutospacing="1" w:after="100" w:afterAutospacing="1" w:line="240" w:lineRule="auto"/>
      <w:jc w:val="right"/>
      <w:textAlignment w:val="center"/>
    </w:pPr>
    <w:rPr>
      <w:rFonts w:ascii="Arial" w:eastAsia="Times New Roman" w:hAnsi="Arial" w:cs="Arial"/>
      <w:color w:val="auto"/>
      <w:sz w:val="16"/>
      <w:szCs w:val="16"/>
      <w:lang w:eastAsia="fr-FR"/>
    </w:rPr>
  </w:style>
  <w:style w:type="paragraph" w:customStyle="1" w:styleId="xl79">
    <w:name w:val="xl79"/>
    <w:basedOn w:val="Normal"/>
    <w:rsid w:val="004F5FC9"/>
    <w:pPr>
      <w:pBdr>
        <w:top w:val="single" w:sz="4" w:space="0" w:color="000000"/>
        <w:left w:val="single" w:sz="4" w:space="0" w:color="000000"/>
        <w:bottom w:val="single" w:sz="8" w:space="0" w:color="000000"/>
      </w:pBdr>
      <w:spacing w:before="100" w:beforeAutospacing="1" w:after="100" w:afterAutospacing="1" w:line="240" w:lineRule="auto"/>
      <w:jc w:val="right"/>
      <w:textAlignment w:val="center"/>
    </w:pPr>
    <w:rPr>
      <w:rFonts w:ascii="Arial" w:eastAsia="Times New Roman" w:hAnsi="Arial" w:cs="Arial"/>
      <w:color w:val="auto"/>
      <w:sz w:val="16"/>
      <w:szCs w:val="16"/>
      <w:lang w:eastAsia="fr-FR"/>
    </w:rPr>
  </w:style>
  <w:style w:type="paragraph" w:customStyle="1" w:styleId="xl80">
    <w:name w:val="xl80"/>
    <w:basedOn w:val="Normal"/>
    <w:rsid w:val="004F5FC9"/>
    <w:pPr>
      <w:pBdr>
        <w:top w:val="single" w:sz="8" w:space="0" w:color="auto"/>
        <w:bottom w:val="single" w:sz="8" w:space="0" w:color="auto"/>
      </w:pBdr>
      <w:spacing w:before="100" w:beforeAutospacing="1" w:after="100" w:afterAutospacing="1" w:line="240" w:lineRule="auto"/>
      <w:jc w:val="right"/>
      <w:textAlignment w:val="center"/>
    </w:pPr>
    <w:rPr>
      <w:rFonts w:ascii="Arial" w:eastAsia="Times New Roman" w:hAnsi="Arial" w:cs="Arial"/>
      <w:color w:val="auto"/>
      <w:sz w:val="16"/>
      <w:szCs w:val="16"/>
      <w:lang w:eastAsia="fr-FR"/>
    </w:rPr>
  </w:style>
  <w:style w:type="paragraph" w:customStyle="1" w:styleId="xl81">
    <w:name w:val="xl81"/>
    <w:basedOn w:val="Normal"/>
    <w:rsid w:val="004F5FC9"/>
    <w:pPr>
      <w:spacing w:before="100" w:beforeAutospacing="1" w:after="100" w:afterAutospacing="1" w:line="240" w:lineRule="auto"/>
      <w:jc w:val="left"/>
    </w:pPr>
    <w:rPr>
      <w:rFonts w:ascii="Arial" w:eastAsia="Times New Roman" w:hAnsi="Arial" w:cs="Arial"/>
      <w:color w:val="auto"/>
      <w:szCs w:val="24"/>
      <w:lang w:eastAsia="fr-FR"/>
    </w:rPr>
  </w:style>
  <w:style w:type="paragraph" w:customStyle="1" w:styleId="xl82">
    <w:name w:val="xl82"/>
    <w:basedOn w:val="Normal"/>
    <w:rsid w:val="004F5FC9"/>
    <w:pPr>
      <w:pBdr>
        <w:bottom w:val="single" w:sz="8" w:space="0" w:color="000000"/>
      </w:pBdr>
      <w:spacing w:before="100" w:beforeAutospacing="1" w:after="100" w:afterAutospacing="1" w:line="240" w:lineRule="auto"/>
      <w:jc w:val="left"/>
    </w:pPr>
    <w:rPr>
      <w:rFonts w:ascii="Arial" w:eastAsia="Times New Roman" w:hAnsi="Arial" w:cs="Arial"/>
      <w:color w:val="auto"/>
      <w:szCs w:val="24"/>
      <w:lang w:eastAsia="fr-FR"/>
    </w:rPr>
  </w:style>
  <w:style w:type="paragraph" w:customStyle="1" w:styleId="xl83">
    <w:name w:val="xl83"/>
    <w:basedOn w:val="Normal"/>
    <w:rsid w:val="004F5FC9"/>
    <w:pPr>
      <w:pBdr>
        <w:top w:val="single" w:sz="8" w:space="0" w:color="000000"/>
        <w:bottom w:val="double" w:sz="6" w:space="0" w:color="000000"/>
      </w:pBdr>
      <w:spacing w:before="100" w:beforeAutospacing="1" w:after="100" w:afterAutospacing="1" w:line="240" w:lineRule="auto"/>
      <w:jc w:val="left"/>
    </w:pPr>
    <w:rPr>
      <w:rFonts w:ascii="Arial" w:eastAsia="Times New Roman" w:hAnsi="Arial" w:cs="Arial"/>
      <w:color w:val="auto"/>
      <w:szCs w:val="24"/>
      <w:lang w:eastAsia="fr-FR"/>
    </w:rPr>
  </w:style>
  <w:style w:type="paragraph" w:customStyle="1" w:styleId="xl84">
    <w:name w:val="xl84"/>
    <w:basedOn w:val="Normal"/>
    <w:rsid w:val="004F5FC9"/>
    <w:pPr>
      <w:pBdr>
        <w:top w:val="single" w:sz="8" w:space="0" w:color="000000"/>
        <w:bottom w:val="single" w:sz="4" w:space="0" w:color="000000"/>
        <w:right w:val="single" w:sz="4" w:space="0" w:color="000000"/>
      </w:pBdr>
      <w:spacing w:before="100" w:beforeAutospacing="1" w:after="100" w:afterAutospacing="1" w:line="240" w:lineRule="auto"/>
      <w:jc w:val="right"/>
      <w:textAlignment w:val="center"/>
    </w:pPr>
    <w:rPr>
      <w:rFonts w:ascii="Arial" w:eastAsia="Times New Roman" w:hAnsi="Arial" w:cs="Arial"/>
      <w:color w:val="auto"/>
      <w:sz w:val="16"/>
      <w:szCs w:val="16"/>
      <w:lang w:eastAsia="fr-FR"/>
    </w:rPr>
  </w:style>
  <w:style w:type="paragraph" w:customStyle="1" w:styleId="xl85">
    <w:name w:val="xl85"/>
    <w:basedOn w:val="Normal"/>
    <w:rsid w:val="004F5FC9"/>
    <w:pPr>
      <w:pBdr>
        <w:top w:val="single" w:sz="4" w:space="0" w:color="000000"/>
        <w:bottom w:val="single" w:sz="8" w:space="0" w:color="000000"/>
        <w:right w:val="single" w:sz="4" w:space="0" w:color="000000"/>
      </w:pBdr>
      <w:spacing w:before="100" w:beforeAutospacing="1" w:after="100" w:afterAutospacing="1" w:line="240" w:lineRule="auto"/>
      <w:jc w:val="right"/>
      <w:textAlignment w:val="center"/>
    </w:pPr>
    <w:rPr>
      <w:rFonts w:ascii="Arial" w:eastAsia="Times New Roman" w:hAnsi="Arial" w:cs="Arial"/>
      <w:color w:val="auto"/>
      <w:sz w:val="16"/>
      <w:szCs w:val="16"/>
      <w:lang w:eastAsia="fr-FR"/>
    </w:rPr>
  </w:style>
  <w:style w:type="paragraph" w:customStyle="1" w:styleId="xl86">
    <w:name w:val="xl86"/>
    <w:basedOn w:val="Normal"/>
    <w:rsid w:val="004F5FC9"/>
    <w:pPr>
      <w:pBdr>
        <w:top w:val="single" w:sz="4" w:space="0" w:color="000000"/>
        <w:left w:val="single" w:sz="4" w:space="0" w:color="000000"/>
        <w:bottom w:val="single" w:sz="8" w:space="0" w:color="000000"/>
      </w:pBdr>
      <w:spacing w:before="100" w:beforeAutospacing="1" w:after="100" w:afterAutospacing="1" w:line="240" w:lineRule="auto"/>
      <w:jc w:val="center"/>
      <w:textAlignment w:val="center"/>
    </w:pPr>
    <w:rPr>
      <w:rFonts w:ascii="Arial" w:eastAsia="Times New Roman" w:hAnsi="Arial" w:cs="Arial"/>
      <w:b/>
      <w:bCs/>
      <w:color w:val="auto"/>
      <w:sz w:val="16"/>
      <w:szCs w:val="16"/>
      <w:lang w:eastAsia="fr-FR"/>
    </w:rPr>
  </w:style>
  <w:style w:type="paragraph" w:customStyle="1" w:styleId="xl87">
    <w:name w:val="xl87"/>
    <w:basedOn w:val="Normal"/>
    <w:rsid w:val="004F5FC9"/>
    <w:pPr>
      <w:pBdr>
        <w:left w:val="single" w:sz="4" w:space="0" w:color="000000"/>
      </w:pBdr>
      <w:spacing w:before="100" w:beforeAutospacing="1" w:after="100" w:afterAutospacing="1" w:line="240" w:lineRule="auto"/>
      <w:textAlignment w:val="center"/>
    </w:pPr>
    <w:rPr>
      <w:rFonts w:ascii="Arial" w:eastAsia="Times New Roman" w:hAnsi="Arial" w:cs="Arial"/>
      <w:color w:val="auto"/>
      <w:sz w:val="16"/>
      <w:szCs w:val="16"/>
      <w:lang w:eastAsia="fr-FR"/>
    </w:rPr>
  </w:style>
  <w:style w:type="paragraph" w:customStyle="1" w:styleId="xl88">
    <w:name w:val="xl88"/>
    <w:basedOn w:val="Normal"/>
    <w:rsid w:val="004F5FC9"/>
    <w:pPr>
      <w:pBdr>
        <w:left w:val="single" w:sz="4" w:space="0" w:color="000000"/>
        <w:bottom w:val="single" w:sz="4" w:space="0" w:color="000000"/>
      </w:pBdr>
      <w:spacing w:before="100" w:beforeAutospacing="1" w:after="100" w:afterAutospacing="1" w:line="240" w:lineRule="auto"/>
      <w:jc w:val="right"/>
      <w:textAlignment w:val="center"/>
    </w:pPr>
    <w:rPr>
      <w:rFonts w:ascii="Arial" w:eastAsia="Times New Roman" w:hAnsi="Arial" w:cs="Arial"/>
      <w:color w:val="auto"/>
      <w:sz w:val="16"/>
      <w:szCs w:val="16"/>
      <w:lang w:eastAsia="fr-FR"/>
    </w:rPr>
  </w:style>
  <w:style w:type="paragraph" w:customStyle="1" w:styleId="xl89">
    <w:name w:val="xl89"/>
    <w:basedOn w:val="Normal"/>
    <w:rsid w:val="004F5FC9"/>
    <w:pPr>
      <w:pBdr>
        <w:top w:val="single" w:sz="8" w:space="0" w:color="000000"/>
        <w:left w:val="single" w:sz="8" w:space="0" w:color="auto"/>
        <w:bottom w:val="single" w:sz="12" w:space="0" w:color="000000"/>
      </w:pBdr>
      <w:spacing w:before="100" w:beforeAutospacing="1" w:after="100" w:afterAutospacing="1" w:line="240" w:lineRule="auto"/>
      <w:jc w:val="center"/>
      <w:textAlignment w:val="center"/>
    </w:pPr>
    <w:rPr>
      <w:rFonts w:ascii="Arial" w:eastAsia="Times New Roman" w:hAnsi="Arial" w:cs="Arial"/>
      <w:b/>
      <w:bCs/>
      <w:color w:val="auto"/>
      <w:sz w:val="16"/>
      <w:szCs w:val="16"/>
      <w:lang w:eastAsia="fr-FR"/>
    </w:rPr>
  </w:style>
  <w:style w:type="paragraph" w:customStyle="1" w:styleId="xl90">
    <w:name w:val="xl90"/>
    <w:basedOn w:val="Normal"/>
    <w:rsid w:val="004F5FC9"/>
    <w:pPr>
      <w:pBdr>
        <w:top w:val="single" w:sz="8" w:space="0" w:color="000000"/>
        <w:bottom w:val="single" w:sz="12" w:space="0" w:color="000000"/>
        <w:right w:val="single" w:sz="8" w:space="0" w:color="auto"/>
      </w:pBdr>
      <w:spacing w:before="100" w:beforeAutospacing="1" w:after="100" w:afterAutospacing="1" w:line="240" w:lineRule="auto"/>
      <w:jc w:val="center"/>
      <w:textAlignment w:val="center"/>
    </w:pPr>
    <w:rPr>
      <w:rFonts w:ascii="Arial" w:eastAsia="Times New Roman" w:hAnsi="Arial" w:cs="Arial"/>
      <w:b/>
      <w:bCs/>
      <w:color w:val="auto"/>
      <w:sz w:val="16"/>
      <w:szCs w:val="16"/>
      <w:lang w:eastAsia="fr-FR"/>
    </w:rPr>
  </w:style>
  <w:style w:type="paragraph" w:customStyle="1" w:styleId="xl91">
    <w:name w:val="xl91"/>
    <w:basedOn w:val="Normal"/>
    <w:rsid w:val="004F5FC9"/>
    <w:pPr>
      <w:pBdr>
        <w:top w:val="single" w:sz="12" w:space="0" w:color="000000"/>
        <w:left w:val="single" w:sz="8" w:space="0" w:color="auto"/>
        <w:bottom w:val="single" w:sz="8" w:space="0" w:color="000000"/>
      </w:pBdr>
      <w:spacing w:before="100" w:beforeAutospacing="1" w:after="100" w:afterAutospacing="1" w:line="240" w:lineRule="auto"/>
      <w:textAlignment w:val="center"/>
    </w:pPr>
    <w:rPr>
      <w:rFonts w:ascii="Arial" w:eastAsia="Times New Roman" w:hAnsi="Arial" w:cs="Arial"/>
      <w:color w:val="auto"/>
      <w:sz w:val="16"/>
      <w:szCs w:val="16"/>
      <w:lang w:eastAsia="fr-FR"/>
    </w:rPr>
  </w:style>
  <w:style w:type="paragraph" w:customStyle="1" w:styleId="xl92">
    <w:name w:val="xl92"/>
    <w:basedOn w:val="Normal"/>
    <w:rsid w:val="004F5FC9"/>
    <w:pPr>
      <w:pBdr>
        <w:top w:val="single" w:sz="12" w:space="0" w:color="000000"/>
        <w:bottom w:val="single" w:sz="8" w:space="0" w:color="000000"/>
        <w:right w:val="single" w:sz="8" w:space="0" w:color="auto"/>
      </w:pBdr>
      <w:spacing w:before="100" w:beforeAutospacing="1" w:after="100" w:afterAutospacing="1" w:line="240" w:lineRule="auto"/>
      <w:textAlignment w:val="center"/>
    </w:pPr>
    <w:rPr>
      <w:rFonts w:ascii="Arial" w:eastAsia="Times New Roman" w:hAnsi="Arial" w:cs="Arial"/>
      <w:color w:val="auto"/>
      <w:sz w:val="16"/>
      <w:szCs w:val="16"/>
      <w:lang w:eastAsia="fr-FR"/>
    </w:rPr>
  </w:style>
  <w:style w:type="paragraph" w:customStyle="1" w:styleId="xl93">
    <w:name w:val="xl93"/>
    <w:basedOn w:val="Normal"/>
    <w:rsid w:val="004F5FC9"/>
    <w:pPr>
      <w:pBdr>
        <w:top w:val="single" w:sz="4" w:space="0" w:color="000000"/>
        <w:left w:val="single" w:sz="4" w:space="0" w:color="000000"/>
      </w:pBdr>
      <w:spacing w:before="100" w:beforeAutospacing="1" w:after="100" w:afterAutospacing="1" w:line="240" w:lineRule="auto"/>
      <w:jc w:val="right"/>
      <w:textAlignment w:val="center"/>
    </w:pPr>
    <w:rPr>
      <w:rFonts w:ascii="Arial" w:eastAsia="Times New Roman" w:hAnsi="Arial" w:cs="Arial"/>
      <w:color w:val="auto"/>
      <w:sz w:val="16"/>
      <w:szCs w:val="16"/>
      <w:lang w:eastAsia="fr-FR"/>
    </w:rPr>
  </w:style>
  <w:style w:type="paragraph" w:customStyle="1" w:styleId="xl94">
    <w:name w:val="xl94"/>
    <w:basedOn w:val="Normal"/>
    <w:rsid w:val="004F5FC9"/>
    <w:pPr>
      <w:pBdr>
        <w:left w:val="single" w:sz="4" w:space="0" w:color="000000"/>
        <w:bottom w:val="single" w:sz="8"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b/>
      <w:bCs/>
      <w:color w:val="auto"/>
      <w:sz w:val="16"/>
      <w:szCs w:val="16"/>
      <w:lang w:eastAsia="fr-FR"/>
    </w:rPr>
  </w:style>
  <w:style w:type="paragraph" w:customStyle="1" w:styleId="xl95">
    <w:name w:val="xl95"/>
    <w:basedOn w:val="Normal"/>
    <w:rsid w:val="004F5FC9"/>
    <w:pPr>
      <w:pBdr>
        <w:top w:val="single" w:sz="8" w:space="0" w:color="auto"/>
        <w:left w:val="single" w:sz="8" w:space="0" w:color="auto"/>
        <w:bottom w:val="single" w:sz="8" w:space="0" w:color="auto"/>
      </w:pBdr>
      <w:spacing w:before="100" w:beforeAutospacing="1" w:after="100" w:afterAutospacing="1" w:line="240" w:lineRule="auto"/>
      <w:jc w:val="left"/>
      <w:textAlignment w:val="center"/>
    </w:pPr>
    <w:rPr>
      <w:rFonts w:ascii="Arial" w:eastAsia="Times New Roman" w:hAnsi="Arial" w:cs="Arial"/>
      <w:color w:val="auto"/>
      <w:sz w:val="16"/>
      <w:szCs w:val="16"/>
      <w:lang w:eastAsia="fr-FR"/>
    </w:rPr>
  </w:style>
  <w:style w:type="paragraph" w:customStyle="1" w:styleId="xl96">
    <w:name w:val="xl96"/>
    <w:basedOn w:val="Normal"/>
    <w:rsid w:val="004F5FC9"/>
    <w:pPr>
      <w:pBdr>
        <w:top w:val="single" w:sz="8" w:space="0" w:color="auto"/>
        <w:bottom w:val="single" w:sz="8" w:space="0" w:color="auto"/>
      </w:pBdr>
      <w:spacing w:before="100" w:beforeAutospacing="1" w:after="100" w:afterAutospacing="1" w:line="240" w:lineRule="auto"/>
      <w:jc w:val="left"/>
      <w:textAlignment w:val="center"/>
    </w:pPr>
    <w:rPr>
      <w:rFonts w:ascii="Arial" w:eastAsia="Times New Roman" w:hAnsi="Arial" w:cs="Arial"/>
      <w:color w:val="auto"/>
      <w:sz w:val="16"/>
      <w:szCs w:val="16"/>
      <w:lang w:eastAsia="fr-FR"/>
    </w:rPr>
  </w:style>
  <w:style w:type="paragraph" w:customStyle="1" w:styleId="xl97">
    <w:name w:val="xl97"/>
    <w:basedOn w:val="Normal"/>
    <w:rsid w:val="004F5FC9"/>
    <w:pPr>
      <w:pBdr>
        <w:top w:val="single" w:sz="8" w:space="0" w:color="auto"/>
        <w:bottom w:val="single" w:sz="8" w:space="0" w:color="auto"/>
      </w:pBdr>
      <w:spacing w:before="100" w:beforeAutospacing="1" w:after="100" w:afterAutospacing="1" w:line="240" w:lineRule="auto"/>
      <w:jc w:val="right"/>
    </w:pPr>
    <w:rPr>
      <w:rFonts w:ascii="Arial" w:eastAsia="Times New Roman" w:hAnsi="Arial" w:cs="Arial"/>
      <w:color w:val="auto"/>
      <w:szCs w:val="24"/>
      <w:lang w:eastAsia="fr-FR"/>
    </w:rPr>
  </w:style>
  <w:style w:type="paragraph" w:customStyle="1" w:styleId="xl98">
    <w:name w:val="xl98"/>
    <w:basedOn w:val="Normal"/>
    <w:rsid w:val="004F5FC9"/>
    <w:pPr>
      <w:pBdr>
        <w:bottom w:val="single" w:sz="8"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b/>
      <w:bCs/>
      <w:color w:val="auto"/>
      <w:sz w:val="16"/>
      <w:szCs w:val="16"/>
      <w:lang w:eastAsia="fr-FR"/>
    </w:rPr>
  </w:style>
  <w:style w:type="paragraph" w:customStyle="1" w:styleId="xl99">
    <w:name w:val="xl99"/>
    <w:basedOn w:val="Normal"/>
    <w:rsid w:val="004F5FC9"/>
    <w:pPr>
      <w:pBdr>
        <w:top w:val="single" w:sz="4" w:space="0" w:color="000000"/>
        <w:right w:val="single" w:sz="4" w:space="0" w:color="000000"/>
      </w:pBdr>
      <w:spacing w:before="100" w:beforeAutospacing="1" w:after="100" w:afterAutospacing="1" w:line="240" w:lineRule="auto"/>
      <w:jc w:val="right"/>
      <w:textAlignment w:val="center"/>
    </w:pPr>
    <w:rPr>
      <w:rFonts w:ascii="Arial" w:eastAsia="Times New Roman" w:hAnsi="Arial" w:cs="Arial"/>
      <w:color w:val="auto"/>
      <w:sz w:val="16"/>
      <w:szCs w:val="16"/>
      <w:lang w:eastAsia="fr-FR"/>
    </w:rPr>
  </w:style>
  <w:style w:type="paragraph" w:customStyle="1" w:styleId="xl100">
    <w:name w:val="xl100"/>
    <w:basedOn w:val="Normal"/>
    <w:rsid w:val="004F5FC9"/>
    <w:pPr>
      <w:pBdr>
        <w:bottom w:val="single" w:sz="4" w:space="0" w:color="000000"/>
        <w:right w:val="single" w:sz="4" w:space="0" w:color="000000"/>
      </w:pBdr>
      <w:spacing w:before="100" w:beforeAutospacing="1" w:after="100" w:afterAutospacing="1" w:line="240" w:lineRule="auto"/>
      <w:jc w:val="right"/>
      <w:textAlignment w:val="center"/>
    </w:pPr>
    <w:rPr>
      <w:rFonts w:ascii="Arial" w:eastAsia="Times New Roman" w:hAnsi="Arial" w:cs="Arial"/>
      <w:color w:val="auto"/>
      <w:sz w:val="16"/>
      <w:szCs w:val="16"/>
      <w:lang w:eastAsia="fr-FR"/>
    </w:rPr>
  </w:style>
  <w:style w:type="paragraph" w:customStyle="1" w:styleId="xl101">
    <w:name w:val="xl101"/>
    <w:basedOn w:val="Normal"/>
    <w:rsid w:val="004F5FC9"/>
    <w:pPr>
      <w:pBdr>
        <w:top w:val="single" w:sz="8" w:space="0" w:color="auto"/>
        <w:left w:val="single" w:sz="8" w:space="0" w:color="auto"/>
        <w:bottom w:val="single" w:sz="8" w:space="0" w:color="000000"/>
        <w:right w:val="single" w:sz="8" w:space="0" w:color="auto"/>
      </w:pBdr>
      <w:spacing w:before="100" w:beforeAutospacing="1" w:after="100" w:afterAutospacing="1" w:line="240" w:lineRule="auto"/>
      <w:jc w:val="center"/>
      <w:textAlignment w:val="center"/>
    </w:pPr>
    <w:rPr>
      <w:rFonts w:ascii="Arial" w:eastAsia="Times New Roman" w:hAnsi="Arial" w:cs="Arial"/>
      <w:b/>
      <w:bCs/>
      <w:color w:val="auto"/>
      <w:sz w:val="16"/>
      <w:szCs w:val="16"/>
      <w:lang w:eastAsia="fr-FR"/>
    </w:rPr>
  </w:style>
  <w:style w:type="paragraph" w:customStyle="1" w:styleId="xl102">
    <w:name w:val="xl102"/>
    <w:basedOn w:val="Normal"/>
    <w:rsid w:val="004F5FC9"/>
    <w:pPr>
      <w:pBdr>
        <w:top w:val="single" w:sz="8" w:space="0" w:color="000000"/>
        <w:left w:val="single" w:sz="8" w:space="0" w:color="auto"/>
        <w:bottom w:val="single" w:sz="4" w:space="0" w:color="000000"/>
        <w:right w:val="single" w:sz="8" w:space="0" w:color="auto"/>
      </w:pBdr>
      <w:spacing w:before="100" w:beforeAutospacing="1" w:after="100" w:afterAutospacing="1" w:line="240" w:lineRule="auto"/>
      <w:jc w:val="left"/>
      <w:textAlignment w:val="center"/>
    </w:pPr>
    <w:rPr>
      <w:rFonts w:ascii="Arial" w:eastAsia="Times New Roman" w:hAnsi="Arial" w:cs="Arial"/>
      <w:color w:val="auto"/>
      <w:sz w:val="16"/>
      <w:szCs w:val="16"/>
      <w:lang w:eastAsia="fr-FR"/>
    </w:rPr>
  </w:style>
  <w:style w:type="paragraph" w:customStyle="1" w:styleId="xl103">
    <w:name w:val="xl103"/>
    <w:basedOn w:val="Normal"/>
    <w:rsid w:val="004F5FC9"/>
    <w:pPr>
      <w:pBdr>
        <w:top w:val="single" w:sz="4" w:space="0" w:color="000000"/>
        <w:left w:val="single" w:sz="8" w:space="0" w:color="auto"/>
        <w:bottom w:val="single" w:sz="8" w:space="0" w:color="000000"/>
        <w:right w:val="single" w:sz="8" w:space="0" w:color="auto"/>
      </w:pBdr>
      <w:spacing w:before="100" w:beforeAutospacing="1" w:after="100" w:afterAutospacing="1" w:line="240" w:lineRule="auto"/>
      <w:jc w:val="left"/>
      <w:textAlignment w:val="center"/>
    </w:pPr>
    <w:rPr>
      <w:rFonts w:ascii="Arial" w:eastAsia="Times New Roman" w:hAnsi="Arial" w:cs="Arial"/>
      <w:color w:val="auto"/>
      <w:sz w:val="16"/>
      <w:szCs w:val="16"/>
      <w:lang w:eastAsia="fr-FR"/>
    </w:rPr>
  </w:style>
  <w:style w:type="paragraph" w:customStyle="1" w:styleId="xl104">
    <w:name w:val="xl104"/>
    <w:basedOn w:val="Normal"/>
    <w:rsid w:val="004F5FC9"/>
    <w:pPr>
      <w:pBdr>
        <w:top w:val="single" w:sz="4" w:space="0" w:color="000000"/>
        <w:left w:val="single" w:sz="8" w:space="0" w:color="auto"/>
        <w:bottom w:val="single" w:sz="8" w:space="0" w:color="auto"/>
        <w:right w:val="single" w:sz="8" w:space="0" w:color="auto"/>
      </w:pBdr>
      <w:spacing w:before="100" w:beforeAutospacing="1" w:after="100" w:afterAutospacing="1" w:line="240" w:lineRule="auto"/>
      <w:jc w:val="left"/>
      <w:textAlignment w:val="center"/>
    </w:pPr>
    <w:rPr>
      <w:rFonts w:ascii="Arial" w:eastAsia="Times New Roman" w:hAnsi="Arial" w:cs="Arial"/>
      <w:color w:val="auto"/>
      <w:sz w:val="16"/>
      <w:szCs w:val="16"/>
      <w:lang w:eastAsia="fr-FR"/>
    </w:rPr>
  </w:style>
  <w:style w:type="paragraph" w:customStyle="1" w:styleId="xl105">
    <w:name w:val="xl105"/>
    <w:basedOn w:val="Normal"/>
    <w:rsid w:val="004F5FC9"/>
    <w:pPr>
      <w:pBdr>
        <w:top w:val="single" w:sz="8" w:space="0" w:color="auto"/>
        <w:left w:val="single" w:sz="8" w:space="0" w:color="auto"/>
        <w:bottom w:val="single" w:sz="4" w:space="0" w:color="000000"/>
        <w:right w:val="single" w:sz="8" w:space="0" w:color="auto"/>
      </w:pBdr>
      <w:spacing w:before="100" w:beforeAutospacing="1" w:after="100" w:afterAutospacing="1" w:line="240" w:lineRule="auto"/>
      <w:jc w:val="left"/>
      <w:textAlignment w:val="center"/>
    </w:pPr>
    <w:rPr>
      <w:rFonts w:ascii="Arial" w:eastAsia="Times New Roman" w:hAnsi="Arial" w:cs="Arial"/>
      <w:color w:val="auto"/>
      <w:sz w:val="16"/>
      <w:szCs w:val="16"/>
      <w:lang w:eastAsia="fr-FR"/>
    </w:rPr>
  </w:style>
  <w:style w:type="paragraph" w:customStyle="1" w:styleId="xl106">
    <w:name w:val="xl106"/>
    <w:basedOn w:val="Normal"/>
    <w:rsid w:val="004F5FC9"/>
    <w:pPr>
      <w:pBdr>
        <w:top w:val="single" w:sz="4" w:space="0" w:color="000000"/>
        <w:left w:val="single" w:sz="4" w:space="0" w:color="000000"/>
        <w:bottom w:val="single" w:sz="8" w:space="0" w:color="000000"/>
        <w:right w:val="single" w:sz="4" w:space="0" w:color="000000"/>
      </w:pBdr>
      <w:shd w:val="clear" w:color="000000" w:fill="A3FB4B"/>
      <w:spacing w:before="100" w:beforeAutospacing="1" w:after="100" w:afterAutospacing="1" w:line="240" w:lineRule="auto"/>
      <w:jc w:val="center"/>
      <w:textAlignment w:val="center"/>
    </w:pPr>
    <w:rPr>
      <w:rFonts w:ascii="Arial" w:eastAsia="Times New Roman" w:hAnsi="Arial" w:cs="Arial"/>
      <w:b/>
      <w:bCs/>
      <w:color w:val="auto"/>
      <w:sz w:val="16"/>
      <w:szCs w:val="16"/>
      <w:lang w:eastAsia="fr-FR"/>
    </w:rPr>
  </w:style>
  <w:style w:type="paragraph" w:customStyle="1" w:styleId="xl107">
    <w:name w:val="xl107"/>
    <w:basedOn w:val="Normal"/>
    <w:rsid w:val="004F5FC9"/>
    <w:pPr>
      <w:pBdr>
        <w:top w:val="single" w:sz="8" w:space="0" w:color="000000"/>
        <w:left w:val="single" w:sz="8" w:space="0" w:color="auto"/>
        <w:bottom w:val="single" w:sz="8" w:space="0" w:color="000000"/>
      </w:pBdr>
      <w:spacing w:before="100" w:beforeAutospacing="1" w:after="100" w:afterAutospacing="1" w:line="240" w:lineRule="auto"/>
      <w:jc w:val="right"/>
      <w:textAlignment w:val="center"/>
    </w:pPr>
    <w:rPr>
      <w:rFonts w:ascii="Arial" w:eastAsia="Times New Roman" w:hAnsi="Arial" w:cs="Arial"/>
      <w:color w:val="auto"/>
      <w:sz w:val="16"/>
      <w:szCs w:val="16"/>
      <w:lang w:eastAsia="fr-FR"/>
    </w:rPr>
  </w:style>
  <w:style w:type="paragraph" w:customStyle="1" w:styleId="xl108">
    <w:name w:val="xl108"/>
    <w:basedOn w:val="Normal"/>
    <w:rsid w:val="004F5FC9"/>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jc w:val="right"/>
      <w:textAlignment w:val="center"/>
    </w:pPr>
    <w:rPr>
      <w:rFonts w:ascii="Arial" w:eastAsia="Times New Roman" w:hAnsi="Arial" w:cs="Arial"/>
      <w:color w:val="auto"/>
      <w:sz w:val="16"/>
      <w:szCs w:val="16"/>
      <w:lang w:eastAsia="fr-FR"/>
    </w:rPr>
  </w:style>
  <w:style w:type="paragraph" w:customStyle="1" w:styleId="xl109">
    <w:name w:val="xl109"/>
    <w:basedOn w:val="Normal"/>
    <w:rsid w:val="004F5FC9"/>
    <w:pPr>
      <w:pBdr>
        <w:top w:val="single" w:sz="8" w:space="0" w:color="000000"/>
        <w:left w:val="single" w:sz="8" w:space="0" w:color="auto"/>
      </w:pBdr>
      <w:spacing w:before="100" w:beforeAutospacing="1" w:after="100" w:afterAutospacing="1" w:line="240" w:lineRule="auto"/>
      <w:jc w:val="right"/>
      <w:textAlignment w:val="center"/>
    </w:pPr>
    <w:rPr>
      <w:rFonts w:ascii="Arial" w:eastAsia="Times New Roman" w:hAnsi="Arial" w:cs="Arial"/>
      <w:color w:val="auto"/>
      <w:sz w:val="16"/>
      <w:szCs w:val="16"/>
      <w:lang w:eastAsia="fr-FR"/>
    </w:rPr>
  </w:style>
  <w:style w:type="paragraph" w:customStyle="1" w:styleId="xl110">
    <w:name w:val="xl110"/>
    <w:basedOn w:val="Normal"/>
    <w:rsid w:val="004F5FC9"/>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Arial" w:eastAsia="Times New Roman" w:hAnsi="Arial" w:cs="Arial"/>
      <w:color w:val="auto"/>
      <w:sz w:val="16"/>
      <w:szCs w:val="16"/>
      <w:lang w:eastAsia="fr-FR"/>
    </w:rPr>
  </w:style>
  <w:style w:type="paragraph" w:customStyle="1" w:styleId="xl111">
    <w:name w:val="xl111"/>
    <w:basedOn w:val="Normal"/>
    <w:rsid w:val="004F5FC9"/>
    <w:pPr>
      <w:pBdr>
        <w:top w:val="single" w:sz="8" w:space="0" w:color="000000"/>
        <w:bottom w:val="single" w:sz="8" w:space="0" w:color="000000"/>
        <w:right w:val="single" w:sz="8" w:space="0" w:color="000000"/>
      </w:pBdr>
      <w:spacing w:before="100" w:beforeAutospacing="1" w:after="100" w:afterAutospacing="1" w:line="240" w:lineRule="auto"/>
      <w:jc w:val="right"/>
      <w:textAlignment w:val="center"/>
    </w:pPr>
    <w:rPr>
      <w:rFonts w:ascii="Arial" w:eastAsia="Times New Roman" w:hAnsi="Arial" w:cs="Arial"/>
      <w:color w:val="auto"/>
      <w:sz w:val="16"/>
      <w:szCs w:val="16"/>
      <w:lang w:eastAsia="fr-FR"/>
    </w:rPr>
  </w:style>
  <w:style w:type="paragraph" w:customStyle="1" w:styleId="xl112">
    <w:name w:val="xl112"/>
    <w:basedOn w:val="Normal"/>
    <w:rsid w:val="004F5FC9"/>
    <w:pPr>
      <w:pBdr>
        <w:left w:val="single" w:sz="8" w:space="0" w:color="auto"/>
        <w:bottom w:val="single" w:sz="8" w:space="0" w:color="000000"/>
      </w:pBdr>
      <w:spacing w:before="100" w:beforeAutospacing="1" w:after="100" w:afterAutospacing="1" w:line="240" w:lineRule="auto"/>
      <w:jc w:val="right"/>
      <w:textAlignment w:val="center"/>
    </w:pPr>
    <w:rPr>
      <w:rFonts w:ascii="Arial" w:eastAsia="Times New Roman" w:hAnsi="Arial" w:cs="Arial"/>
      <w:color w:val="auto"/>
      <w:sz w:val="16"/>
      <w:szCs w:val="16"/>
      <w:lang w:eastAsia="fr-FR"/>
    </w:rPr>
  </w:style>
  <w:style w:type="paragraph" w:customStyle="1" w:styleId="xl113">
    <w:name w:val="xl113"/>
    <w:basedOn w:val="Normal"/>
    <w:rsid w:val="004F5FC9"/>
    <w:pPr>
      <w:pBdr>
        <w:top w:val="single" w:sz="8" w:space="0" w:color="000000"/>
        <w:left w:val="single" w:sz="8" w:space="0" w:color="000000"/>
        <w:right w:val="single" w:sz="8" w:space="0" w:color="000000"/>
      </w:pBdr>
      <w:spacing w:before="100" w:beforeAutospacing="1" w:after="100" w:afterAutospacing="1" w:line="240" w:lineRule="auto"/>
      <w:jc w:val="right"/>
      <w:textAlignment w:val="center"/>
    </w:pPr>
    <w:rPr>
      <w:rFonts w:ascii="Arial" w:eastAsia="Times New Roman" w:hAnsi="Arial" w:cs="Arial"/>
      <w:color w:val="auto"/>
      <w:sz w:val="16"/>
      <w:szCs w:val="16"/>
      <w:lang w:eastAsia="fr-FR"/>
    </w:rPr>
  </w:style>
  <w:style w:type="paragraph" w:customStyle="1" w:styleId="xl114">
    <w:name w:val="xl114"/>
    <w:basedOn w:val="Normal"/>
    <w:rsid w:val="004F5FC9"/>
    <w:pPr>
      <w:pBdr>
        <w:top w:val="single" w:sz="8" w:space="0" w:color="auto"/>
        <w:bottom w:val="single" w:sz="8" w:space="0" w:color="auto"/>
      </w:pBdr>
      <w:spacing w:before="100" w:beforeAutospacing="1" w:after="100" w:afterAutospacing="1" w:line="240" w:lineRule="auto"/>
      <w:jc w:val="right"/>
      <w:textAlignment w:val="center"/>
    </w:pPr>
    <w:rPr>
      <w:rFonts w:ascii="Arial" w:eastAsia="Times New Roman" w:hAnsi="Arial" w:cs="Arial"/>
      <w:b/>
      <w:bCs/>
      <w:color w:val="27893E"/>
      <w:sz w:val="16"/>
      <w:szCs w:val="16"/>
      <w:lang w:eastAsia="fr-FR"/>
    </w:rPr>
  </w:style>
  <w:style w:type="paragraph" w:customStyle="1" w:styleId="xl115">
    <w:name w:val="xl115"/>
    <w:basedOn w:val="Normal"/>
    <w:rsid w:val="004F5FC9"/>
    <w:pPr>
      <w:pBdr>
        <w:top w:val="single" w:sz="8" w:space="0" w:color="auto"/>
        <w:bottom w:val="single" w:sz="8" w:space="0" w:color="auto"/>
      </w:pBdr>
      <w:spacing w:before="100" w:beforeAutospacing="1" w:after="100" w:afterAutospacing="1" w:line="240" w:lineRule="auto"/>
      <w:jc w:val="right"/>
      <w:textAlignment w:val="center"/>
    </w:pPr>
    <w:rPr>
      <w:rFonts w:ascii="Arial" w:eastAsia="Times New Roman" w:hAnsi="Arial" w:cs="Arial"/>
      <w:color w:val="auto"/>
      <w:sz w:val="16"/>
      <w:szCs w:val="16"/>
      <w:lang w:eastAsia="fr-FR"/>
    </w:rPr>
  </w:style>
  <w:style w:type="paragraph" w:customStyle="1" w:styleId="xl116">
    <w:name w:val="xl116"/>
    <w:basedOn w:val="Normal"/>
    <w:rsid w:val="004F5FC9"/>
    <w:pPr>
      <w:pBdr>
        <w:top w:val="single" w:sz="8" w:space="0" w:color="auto"/>
        <w:bottom w:val="single" w:sz="8" w:space="0" w:color="auto"/>
        <w:right w:val="single" w:sz="8" w:space="0" w:color="auto"/>
      </w:pBdr>
      <w:spacing w:before="100" w:beforeAutospacing="1" w:after="100" w:afterAutospacing="1" w:line="240" w:lineRule="auto"/>
      <w:jc w:val="left"/>
      <w:textAlignment w:val="center"/>
    </w:pPr>
    <w:rPr>
      <w:rFonts w:ascii="Arial" w:eastAsia="Times New Roman" w:hAnsi="Arial" w:cs="Arial"/>
      <w:color w:val="auto"/>
      <w:sz w:val="16"/>
      <w:szCs w:val="16"/>
      <w:lang w:eastAsia="fr-FR"/>
    </w:rPr>
  </w:style>
  <w:style w:type="paragraph" w:customStyle="1" w:styleId="xl117">
    <w:name w:val="xl117"/>
    <w:basedOn w:val="Normal"/>
    <w:rsid w:val="004F5FC9"/>
    <w:pPr>
      <w:pBdr>
        <w:left w:val="single" w:sz="8" w:space="0" w:color="auto"/>
        <w:bottom w:val="single" w:sz="8" w:space="0" w:color="auto"/>
      </w:pBdr>
      <w:spacing w:before="100" w:beforeAutospacing="1" w:after="100" w:afterAutospacing="1" w:line="240" w:lineRule="auto"/>
      <w:jc w:val="right"/>
      <w:textAlignment w:val="center"/>
    </w:pPr>
    <w:rPr>
      <w:rFonts w:ascii="Arial" w:eastAsia="Times New Roman" w:hAnsi="Arial" w:cs="Arial"/>
      <w:color w:val="auto"/>
      <w:sz w:val="16"/>
      <w:szCs w:val="16"/>
      <w:lang w:eastAsia="fr-FR"/>
    </w:rPr>
  </w:style>
  <w:style w:type="paragraph" w:customStyle="1" w:styleId="xl118">
    <w:name w:val="xl118"/>
    <w:basedOn w:val="Normal"/>
    <w:rsid w:val="004F5FC9"/>
    <w:pPr>
      <w:pBdr>
        <w:bottom w:val="single" w:sz="8" w:space="0" w:color="auto"/>
      </w:pBdr>
      <w:spacing w:before="100" w:beforeAutospacing="1" w:after="100" w:afterAutospacing="1" w:line="240" w:lineRule="auto"/>
      <w:jc w:val="right"/>
      <w:textAlignment w:val="center"/>
    </w:pPr>
    <w:rPr>
      <w:rFonts w:ascii="Arial" w:eastAsia="Times New Roman" w:hAnsi="Arial" w:cs="Arial"/>
      <w:color w:val="auto"/>
      <w:sz w:val="16"/>
      <w:szCs w:val="16"/>
      <w:lang w:eastAsia="fr-FR"/>
    </w:rPr>
  </w:style>
  <w:style w:type="paragraph" w:customStyle="1" w:styleId="xl119">
    <w:name w:val="xl119"/>
    <w:basedOn w:val="Normal"/>
    <w:rsid w:val="004F5FC9"/>
    <w:pPr>
      <w:pBdr>
        <w:bottom w:val="single" w:sz="8" w:space="0" w:color="auto"/>
        <w:right w:val="single" w:sz="8" w:space="0" w:color="auto"/>
      </w:pBdr>
      <w:spacing w:before="100" w:beforeAutospacing="1" w:after="100" w:afterAutospacing="1" w:line="240" w:lineRule="auto"/>
      <w:jc w:val="left"/>
      <w:textAlignment w:val="center"/>
    </w:pPr>
    <w:rPr>
      <w:rFonts w:ascii="Arial" w:eastAsia="Times New Roman" w:hAnsi="Arial" w:cs="Arial"/>
      <w:color w:val="auto"/>
      <w:sz w:val="16"/>
      <w:szCs w:val="16"/>
      <w:lang w:eastAsia="fr-FR"/>
    </w:rPr>
  </w:style>
  <w:style w:type="paragraph" w:customStyle="1" w:styleId="xl120">
    <w:name w:val="xl120"/>
    <w:basedOn w:val="Normal"/>
    <w:rsid w:val="004F5FC9"/>
    <w:pPr>
      <w:pBdr>
        <w:top w:val="single" w:sz="8" w:space="0" w:color="auto"/>
        <w:left w:val="single" w:sz="8" w:space="0" w:color="auto"/>
        <w:bottom w:val="single" w:sz="8" w:space="0" w:color="000000"/>
        <w:right w:val="single" w:sz="8" w:space="0" w:color="auto"/>
      </w:pBdr>
      <w:spacing w:before="100" w:beforeAutospacing="1" w:after="100" w:afterAutospacing="1" w:line="240" w:lineRule="auto"/>
      <w:jc w:val="right"/>
      <w:textAlignment w:val="center"/>
    </w:pPr>
    <w:rPr>
      <w:rFonts w:ascii="Arial" w:eastAsia="Times New Roman" w:hAnsi="Arial" w:cs="Arial"/>
      <w:b/>
      <w:bCs/>
      <w:color w:val="auto"/>
      <w:sz w:val="16"/>
      <w:szCs w:val="16"/>
      <w:lang w:eastAsia="fr-FR"/>
    </w:rPr>
  </w:style>
  <w:style w:type="paragraph" w:customStyle="1" w:styleId="xl121">
    <w:name w:val="xl121"/>
    <w:basedOn w:val="Normal"/>
    <w:rsid w:val="004F5FC9"/>
    <w:pPr>
      <w:pBdr>
        <w:top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ascii="Arial" w:eastAsia="Times New Roman" w:hAnsi="Arial" w:cs="Arial"/>
      <w:color w:val="auto"/>
      <w:sz w:val="16"/>
      <w:szCs w:val="16"/>
      <w:lang w:eastAsia="fr-FR"/>
    </w:rPr>
  </w:style>
  <w:style w:type="paragraph" w:customStyle="1" w:styleId="xl122">
    <w:name w:val="xl122"/>
    <w:basedOn w:val="Normal"/>
    <w:rsid w:val="004F5FC9"/>
    <w:pPr>
      <w:pBdr>
        <w:top w:val="single" w:sz="8" w:space="0" w:color="000000"/>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auto"/>
      <w:sz w:val="16"/>
      <w:szCs w:val="16"/>
      <w:lang w:eastAsia="fr-FR"/>
    </w:rPr>
  </w:style>
  <w:style w:type="paragraph" w:customStyle="1" w:styleId="xl123">
    <w:name w:val="xl123"/>
    <w:basedOn w:val="Normal"/>
    <w:rsid w:val="004F5FC9"/>
    <w:pPr>
      <w:pBdr>
        <w:top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ascii="Arial" w:eastAsia="Times New Roman" w:hAnsi="Arial" w:cs="Arial"/>
      <w:b/>
      <w:bCs/>
      <w:color w:val="auto"/>
      <w:sz w:val="16"/>
      <w:szCs w:val="16"/>
      <w:lang w:eastAsia="fr-FR"/>
    </w:rPr>
  </w:style>
  <w:style w:type="paragraph" w:customStyle="1" w:styleId="xl124">
    <w:name w:val="xl124"/>
    <w:basedOn w:val="Normal"/>
    <w:rsid w:val="004F5FC9"/>
    <w:pPr>
      <w:pBdr>
        <w:top w:val="single" w:sz="8" w:space="0" w:color="000000"/>
        <w:left w:val="single" w:sz="8" w:space="0" w:color="000000"/>
        <w:bottom w:val="single" w:sz="8" w:space="0" w:color="000000"/>
        <w:right w:val="single" w:sz="4" w:space="0" w:color="000000"/>
      </w:pBdr>
      <w:spacing w:before="100" w:beforeAutospacing="1" w:after="100" w:afterAutospacing="1" w:line="240" w:lineRule="auto"/>
      <w:textAlignment w:val="center"/>
    </w:pPr>
    <w:rPr>
      <w:rFonts w:ascii="Arial" w:eastAsia="Times New Roman" w:hAnsi="Arial" w:cs="Arial"/>
      <w:b/>
      <w:bCs/>
      <w:color w:val="auto"/>
      <w:sz w:val="16"/>
      <w:szCs w:val="16"/>
      <w:lang w:eastAsia="fr-FR"/>
    </w:rPr>
  </w:style>
  <w:style w:type="paragraph" w:customStyle="1" w:styleId="xl125">
    <w:name w:val="xl125"/>
    <w:basedOn w:val="Normal"/>
    <w:rsid w:val="004F5FC9"/>
    <w:pPr>
      <w:pBdr>
        <w:top w:val="single" w:sz="8" w:space="0" w:color="000000"/>
        <w:left w:val="single" w:sz="8" w:space="0" w:color="000000"/>
        <w:right w:val="single" w:sz="4" w:space="0" w:color="000000"/>
      </w:pBdr>
      <w:spacing w:before="100" w:beforeAutospacing="1" w:after="100" w:afterAutospacing="1" w:line="240" w:lineRule="auto"/>
      <w:textAlignment w:val="center"/>
    </w:pPr>
    <w:rPr>
      <w:rFonts w:ascii="Arial" w:eastAsia="Times New Roman" w:hAnsi="Arial" w:cs="Arial"/>
      <w:b/>
      <w:bCs/>
      <w:color w:val="auto"/>
      <w:sz w:val="16"/>
      <w:szCs w:val="16"/>
      <w:lang w:eastAsia="fr-FR"/>
    </w:rPr>
  </w:style>
  <w:style w:type="paragraph" w:customStyle="1" w:styleId="xl126">
    <w:name w:val="xl126"/>
    <w:basedOn w:val="Normal"/>
    <w:rsid w:val="004F5FC9"/>
    <w:pPr>
      <w:pBdr>
        <w:top w:val="single" w:sz="8" w:space="0" w:color="000000"/>
        <w:left w:val="single" w:sz="4" w:space="0" w:color="000000"/>
        <w:bottom w:val="single" w:sz="8"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b/>
      <w:bCs/>
      <w:color w:val="auto"/>
      <w:sz w:val="16"/>
      <w:szCs w:val="16"/>
      <w:lang w:eastAsia="fr-FR"/>
    </w:rPr>
  </w:style>
  <w:style w:type="paragraph" w:customStyle="1" w:styleId="xl127">
    <w:name w:val="xl127"/>
    <w:basedOn w:val="Normal"/>
    <w:rsid w:val="004F5FC9"/>
    <w:pPr>
      <w:pBdr>
        <w:top w:val="single" w:sz="8" w:space="0" w:color="000000"/>
        <w:left w:val="single" w:sz="4" w:space="0" w:color="000000"/>
        <w:bottom w:val="single" w:sz="4" w:space="0" w:color="000000"/>
        <w:right w:val="single" w:sz="8" w:space="0" w:color="000000"/>
      </w:pBdr>
      <w:spacing w:before="100" w:beforeAutospacing="1" w:after="100" w:afterAutospacing="1" w:line="240" w:lineRule="auto"/>
      <w:jc w:val="center"/>
      <w:textAlignment w:val="center"/>
    </w:pPr>
    <w:rPr>
      <w:rFonts w:ascii="Arial" w:eastAsia="Times New Roman" w:hAnsi="Arial" w:cs="Arial"/>
      <w:b/>
      <w:bCs/>
      <w:color w:val="auto"/>
      <w:sz w:val="16"/>
      <w:szCs w:val="16"/>
      <w:lang w:eastAsia="fr-FR"/>
    </w:rPr>
  </w:style>
  <w:style w:type="paragraph" w:customStyle="1" w:styleId="xl128">
    <w:name w:val="xl128"/>
    <w:basedOn w:val="Normal"/>
    <w:rsid w:val="004F5FC9"/>
    <w:pPr>
      <w:pBdr>
        <w:top w:val="single" w:sz="8" w:space="0" w:color="000000"/>
        <w:left w:val="single" w:sz="4" w:space="0" w:color="000000"/>
        <w:bottom w:val="single" w:sz="4" w:space="0" w:color="000000"/>
      </w:pBdr>
      <w:spacing w:before="100" w:beforeAutospacing="1" w:after="100" w:afterAutospacing="1" w:line="240" w:lineRule="auto"/>
      <w:jc w:val="center"/>
      <w:textAlignment w:val="center"/>
    </w:pPr>
    <w:rPr>
      <w:rFonts w:ascii="Arial" w:eastAsia="Times New Roman" w:hAnsi="Arial" w:cs="Arial"/>
      <w:b/>
      <w:bCs/>
      <w:color w:val="auto"/>
      <w:sz w:val="16"/>
      <w:szCs w:val="16"/>
      <w:lang w:eastAsia="fr-FR"/>
    </w:rPr>
  </w:style>
  <w:style w:type="paragraph" w:customStyle="1" w:styleId="xl129">
    <w:name w:val="xl129"/>
    <w:basedOn w:val="Normal"/>
    <w:rsid w:val="004F5FC9"/>
    <w:pPr>
      <w:pBdr>
        <w:top w:val="single" w:sz="8" w:space="0" w:color="auto"/>
        <w:left w:val="single" w:sz="8" w:space="0" w:color="auto"/>
        <w:right w:val="double" w:sz="6" w:space="0" w:color="000000"/>
      </w:pBdr>
      <w:shd w:val="clear" w:color="000000" w:fill="FFFF00"/>
      <w:spacing w:before="100" w:beforeAutospacing="1" w:after="100" w:afterAutospacing="1" w:line="240" w:lineRule="auto"/>
      <w:textAlignment w:val="center"/>
    </w:pPr>
    <w:rPr>
      <w:rFonts w:ascii="Arial" w:eastAsia="Times New Roman" w:hAnsi="Arial" w:cs="Arial"/>
      <w:b/>
      <w:bCs/>
      <w:color w:val="auto"/>
      <w:sz w:val="16"/>
      <w:szCs w:val="16"/>
      <w:lang w:eastAsia="fr-FR"/>
    </w:rPr>
  </w:style>
  <w:style w:type="paragraph" w:customStyle="1" w:styleId="xl130">
    <w:name w:val="xl130"/>
    <w:basedOn w:val="Normal"/>
    <w:rsid w:val="004F5FC9"/>
    <w:pPr>
      <w:pBdr>
        <w:top w:val="single" w:sz="8" w:space="0" w:color="auto"/>
        <w:left w:val="single" w:sz="8" w:space="0" w:color="000000"/>
        <w:right w:val="double" w:sz="6" w:space="0" w:color="000000"/>
      </w:pBdr>
      <w:shd w:val="clear" w:color="000000" w:fill="FFFF00"/>
      <w:spacing w:before="100" w:beforeAutospacing="1" w:after="100" w:afterAutospacing="1" w:line="240" w:lineRule="auto"/>
      <w:textAlignment w:val="center"/>
    </w:pPr>
    <w:rPr>
      <w:rFonts w:ascii="Arial" w:eastAsia="Times New Roman" w:hAnsi="Arial" w:cs="Arial"/>
      <w:b/>
      <w:bCs/>
      <w:color w:val="auto"/>
      <w:sz w:val="16"/>
      <w:szCs w:val="16"/>
      <w:lang w:eastAsia="fr-FR"/>
    </w:rPr>
  </w:style>
  <w:style w:type="paragraph" w:customStyle="1" w:styleId="xl131">
    <w:name w:val="xl131"/>
    <w:basedOn w:val="Normal"/>
    <w:rsid w:val="004F5FC9"/>
    <w:pPr>
      <w:pBdr>
        <w:top w:val="single" w:sz="8" w:space="0" w:color="auto"/>
        <w:left w:val="single" w:sz="8" w:space="0" w:color="000000"/>
        <w:right w:val="single" w:sz="8" w:space="0" w:color="auto"/>
      </w:pBdr>
      <w:shd w:val="clear" w:color="000000" w:fill="FFFF00"/>
      <w:spacing w:before="100" w:beforeAutospacing="1" w:after="100" w:afterAutospacing="1" w:line="240" w:lineRule="auto"/>
      <w:textAlignment w:val="center"/>
    </w:pPr>
    <w:rPr>
      <w:rFonts w:ascii="Arial" w:eastAsia="Times New Roman" w:hAnsi="Arial" w:cs="Arial"/>
      <w:b/>
      <w:bCs/>
      <w:color w:val="auto"/>
      <w:sz w:val="16"/>
      <w:szCs w:val="16"/>
      <w:lang w:eastAsia="fr-FR"/>
    </w:rPr>
  </w:style>
  <w:style w:type="paragraph" w:customStyle="1" w:styleId="xl132">
    <w:name w:val="xl132"/>
    <w:basedOn w:val="Normal"/>
    <w:rsid w:val="004F5FC9"/>
    <w:pPr>
      <w:pBdr>
        <w:left w:val="single" w:sz="8" w:space="0" w:color="auto"/>
        <w:bottom w:val="single" w:sz="8" w:space="0" w:color="000000"/>
        <w:right w:val="double" w:sz="6" w:space="0" w:color="000000"/>
      </w:pBdr>
      <w:shd w:val="clear" w:color="000000" w:fill="FFFF00"/>
      <w:spacing w:before="100" w:beforeAutospacing="1" w:after="100" w:afterAutospacing="1" w:line="240" w:lineRule="auto"/>
      <w:jc w:val="center"/>
      <w:textAlignment w:val="center"/>
    </w:pPr>
    <w:rPr>
      <w:rFonts w:ascii="Arial" w:eastAsia="Times New Roman" w:hAnsi="Arial" w:cs="Arial"/>
      <w:b/>
      <w:bCs/>
      <w:color w:val="auto"/>
      <w:sz w:val="16"/>
      <w:szCs w:val="16"/>
      <w:lang w:eastAsia="fr-FR"/>
    </w:rPr>
  </w:style>
  <w:style w:type="paragraph" w:customStyle="1" w:styleId="xl133">
    <w:name w:val="xl133"/>
    <w:basedOn w:val="Normal"/>
    <w:rsid w:val="004F5FC9"/>
    <w:pPr>
      <w:pBdr>
        <w:left w:val="single" w:sz="8" w:space="0" w:color="000000"/>
        <w:bottom w:val="single" w:sz="8" w:space="0" w:color="000000"/>
        <w:right w:val="double" w:sz="6" w:space="0" w:color="000000"/>
      </w:pBdr>
      <w:shd w:val="clear" w:color="000000" w:fill="FFFF00"/>
      <w:spacing w:before="100" w:beforeAutospacing="1" w:after="100" w:afterAutospacing="1" w:line="240" w:lineRule="auto"/>
      <w:jc w:val="center"/>
      <w:textAlignment w:val="center"/>
    </w:pPr>
    <w:rPr>
      <w:rFonts w:ascii="Arial" w:eastAsia="Times New Roman" w:hAnsi="Arial" w:cs="Arial"/>
      <w:b/>
      <w:bCs/>
      <w:color w:val="auto"/>
      <w:sz w:val="16"/>
      <w:szCs w:val="16"/>
      <w:lang w:eastAsia="fr-FR"/>
    </w:rPr>
  </w:style>
  <w:style w:type="paragraph" w:customStyle="1" w:styleId="xl134">
    <w:name w:val="xl134"/>
    <w:basedOn w:val="Normal"/>
    <w:rsid w:val="004F5FC9"/>
    <w:pPr>
      <w:pBdr>
        <w:left w:val="single" w:sz="8" w:space="0" w:color="000000"/>
        <w:bottom w:val="single" w:sz="8" w:space="0" w:color="000000"/>
        <w:right w:val="single" w:sz="8" w:space="0" w:color="auto"/>
      </w:pBdr>
      <w:shd w:val="clear" w:color="000000" w:fill="FFFF00"/>
      <w:spacing w:before="100" w:beforeAutospacing="1" w:after="100" w:afterAutospacing="1" w:line="240" w:lineRule="auto"/>
      <w:jc w:val="center"/>
      <w:textAlignment w:val="center"/>
    </w:pPr>
    <w:rPr>
      <w:rFonts w:ascii="Arial" w:eastAsia="Times New Roman" w:hAnsi="Arial" w:cs="Arial"/>
      <w:b/>
      <w:bCs/>
      <w:color w:val="auto"/>
      <w:sz w:val="16"/>
      <w:szCs w:val="16"/>
      <w:lang w:eastAsia="fr-FR"/>
    </w:rPr>
  </w:style>
  <w:style w:type="paragraph" w:customStyle="1" w:styleId="xl135">
    <w:name w:val="xl135"/>
    <w:basedOn w:val="Normal"/>
    <w:rsid w:val="004F5FC9"/>
    <w:pPr>
      <w:pBdr>
        <w:top w:val="single" w:sz="8" w:space="0" w:color="000000"/>
        <w:left w:val="single" w:sz="8" w:space="0" w:color="000000"/>
        <w:bottom w:val="single" w:sz="8" w:space="0" w:color="000000"/>
        <w:right w:val="single" w:sz="4" w:space="0" w:color="000000"/>
      </w:pBdr>
      <w:spacing w:before="100" w:beforeAutospacing="1" w:after="100" w:afterAutospacing="1" w:line="240" w:lineRule="auto"/>
      <w:jc w:val="left"/>
      <w:textAlignment w:val="center"/>
    </w:pPr>
    <w:rPr>
      <w:rFonts w:ascii="Arial" w:eastAsia="Times New Roman" w:hAnsi="Arial" w:cs="Arial"/>
      <w:color w:val="auto"/>
      <w:sz w:val="16"/>
      <w:szCs w:val="16"/>
      <w:lang w:eastAsia="fr-FR"/>
    </w:rPr>
  </w:style>
  <w:style w:type="paragraph" w:customStyle="1" w:styleId="xl136">
    <w:name w:val="xl136"/>
    <w:basedOn w:val="Normal"/>
    <w:rsid w:val="004F5FC9"/>
    <w:pPr>
      <w:pBdr>
        <w:top w:val="single" w:sz="8" w:space="0" w:color="000000"/>
        <w:left w:val="single" w:sz="4" w:space="0" w:color="000000"/>
        <w:bottom w:val="single" w:sz="8" w:space="0" w:color="000000"/>
        <w:right w:val="single" w:sz="4" w:space="0" w:color="000000"/>
      </w:pBdr>
      <w:spacing w:before="100" w:beforeAutospacing="1" w:after="100" w:afterAutospacing="1" w:line="240" w:lineRule="auto"/>
      <w:jc w:val="left"/>
      <w:textAlignment w:val="center"/>
    </w:pPr>
    <w:rPr>
      <w:rFonts w:ascii="Arial" w:eastAsia="Times New Roman" w:hAnsi="Arial" w:cs="Arial"/>
      <w:color w:val="auto"/>
      <w:sz w:val="16"/>
      <w:szCs w:val="16"/>
      <w:lang w:eastAsia="fr-FR"/>
    </w:rPr>
  </w:style>
  <w:style w:type="paragraph" w:customStyle="1" w:styleId="xl137">
    <w:name w:val="xl137"/>
    <w:basedOn w:val="Normal"/>
    <w:rsid w:val="004F5FC9"/>
    <w:pPr>
      <w:pBdr>
        <w:top w:val="single" w:sz="8" w:space="0" w:color="000000"/>
        <w:left w:val="single" w:sz="4" w:space="0" w:color="000000"/>
        <w:bottom w:val="single" w:sz="8" w:space="0" w:color="000000"/>
      </w:pBdr>
      <w:spacing w:before="100" w:beforeAutospacing="1" w:after="100" w:afterAutospacing="1" w:line="240" w:lineRule="auto"/>
      <w:jc w:val="left"/>
      <w:textAlignment w:val="center"/>
    </w:pPr>
    <w:rPr>
      <w:rFonts w:ascii="Arial" w:eastAsia="Times New Roman" w:hAnsi="Arial" w:cs="Arial"/>
      <w:color w:val="auto"/>
      <w:sz w:val="16"/>
      <w:szCs w:val="16"/>
      <w:lang w:eastAsia="fr-FR"/>
    </w:rPr>
  </w:style>
  <w:style w:type="paragraph" w:customStyle="1" w:styleId="xl138">
    <w:name w:val="xl138"/>
    <w:basedOn w:val="Normal"/>
    <w:rsid w:val="004F5FC9"/>
    <w:pPr>
      <w:pBdr>
        <w:top w:val="single" w:sz="8" w:space="0" w:color="000000"/>
        <w:left w:val="single" w:sz="8" w:space="0" w:color="000000"/>
        <w:bottom w:val="single" w:sz="8" w:space="0" w:color="000000"/>
        <w:right w:val="single" w:sz="8" w:space="0" w:color="auto"/>
      </w:pBdr>
      <w:spacing w:before="100" w:beforeAutospacing="1" w:after="100" w:afterAutospacing="1" w:line="240" w:lineRule="auto"/>
      <w:jc w:val="center"/>
      <w:textAlignment w:val="center"/>
    </w:pPr>
    <w:rPr>
      <w:rFonts w:ascii="Arial" w:eastAsia="Times New Roman" w:hAnsi="Arial" w:cs="Arial"/>
      <w:color w:val="auto"/>
      <w:sz w:val="16"/>
      <w:szCs w:val="16"/>
      <w:lang w:eastAsia="fr-FR"/>
    </w:rPr>
  </w:style>
  <w:style w:type="paragraph" w:customStyle="1" w:styleId="xl139">
    <w:name w:val="xl139"/>
    <w:basedOn w:val="Normal"/>
    <w:rsid w:val="004F5FC9"/>
    <w:pPr>
      <w:pBdr>
        <w:top w:val="single" w:sz="8" w:space="0" w:color="000000"/>
        <w:left w:val="single" w:sz="8" w:space="0" w:color="000000"/>
        <w:bottom w:val="single" w:sz="8" w:space="0" w:color="000000"/>
        <w:right w:val="single" w:sz="4" w:space="0" w:color="000000"/>
      </w:pBdr>
      <w:spacing w:before="100" w:beforeAutospacing="1" w:after="100" w:afterAutospacing="1" w:line="240" w:lineRule="auto"/>
      <w:jc w:val="center"/>
      <w:textAlignment w:val="center"/>
    </w:pPr>
    <w:rPr>
      <w:rFonts w:ascii="Arial" w:eastAsia="Times New Roman" w:hAnsi="Arial" w:cs="Arial"/>
      <w:color w:val="auto"/>
      <w:sz w:val="16"/>
      <w:szCs w:val="16"/>
      <w:lang w:eastAsia="fr-FR"/>
    </w:rPr>
  </w:style>
  <w:style w:type="paragraph" w:customStyle="1" w:styleId="xl140">
    <w:name w:val="xl140"/>
    <w:basedOn w:val="Normal"/>
    <w:rsid w:val="004F5FC9"/>
    <w:pPr>
      <w:pBdr>
        <w:top w:val="single" w:sz="8" w:space="0" w:color="000000"/>
        <w:left w:val="single" w:sz="4" w:space="0" w:color="000000"/>
        <w:right w:val="single" w:sz="4" w:space="0" w:color="000000"/>
      </w:pBdr>
      <w:spacing w:before="100" w:beforeAutospacing="1" w:after="100" w:afterAutospacing="1" w:line="240" w:lineRule="auto"/>
      <w:jc w:val="left"/>
      <w:textAlignment w:val="center"/>
    </w:pPr>
    <w:rPr>
      <w:rFonts w:ascii="Arial" w:eastAsia="Times New Roman" w:hAnsi="Arial" w:cs="Arial"/>
      <w:color w:val="auto"/>
      <w:sz w:val="16"/>
      <w:szCs w:val="16"/>
      <w:lang w:eastAsia="fr-FR"/>
    </w:rPr>
  </w:style>
  <w:style w:type="paragraph" w:customStyle="1" w:styleId="xl141">
    <w:name w:val="xl141"/>
    <w:basedOn w:val="Normal"/>
    <w:rsid w:val="004F5FC9"/>
    <w:pPr>
      <w:pBdr>
        <w:top w:val="single" w:sz="8" w:space="0" w:color="000000"/>
        <w:left w:val="single" w:sz="4" w:space="0" w:color="000000"/>
      </w:pBdr>
      <w:spacing w:before="100" w:beforeAutospacing="1" w:after="100" w:afterAutospacing="1" w:line="240" w:lineRule="auto"/>
      <w:jc w:val="left"/>
      <w:textAlignment w:val="center"/>
    </w:pPr>
    <w:rPr>
      <w:rFonts w:ascii="Arial" w:eastAsia="Times New Roman" w:hAnsi="Arial" w:cs="Arial"/>
      <w:color w:val="auto"/>
      <w:sz w:val="16"/>
      <w:szCs w:val="16"/>
      <w:lang w:eastAsia="fr-FR"/>
    </w:rPr>
  </w:style>
  <w:style w:type="paragraph" w:customStyle="1" w:styleId="xl142">
    <w:name w:val="xl142"/>
    <w:basedOn w:val="Normal"/>
    <w:rsid w:val="004F5FC9"/>
    <w:pPr>
      <w:pBdr>
        <w:top w:val="single" w:sz="8" w:space="0" w:color="000000"/>
        <w:left w:val="single" w:sz="8" w:space="0" w:color="000000"/>
        <w:right w:val="single" w:sz="8" w:space="0" w:color="auto"/>
      </w:pBdr>
      <w:spacing w:before="100" w:beforeAutospacing="1" w:after="100" w:afterAutospacing="1" w:line="240" w:lineRule="auto"/>
      <w:jc w:val="center"/>
      <w:textAlignment w:val="center"/>
    </w:pPr>
    <w:rPr>
      <w:rFonts w:ascii="Arial" w:eastAsia="Times New Roman" w:hAnsi="Arial" w:cs="Arial"/>
      <w:color w:val="auto"/>
      <w:sz w:val="16"/>
      <w:szCs w:val="16"/>
      <w:lang w:eastAsia="fr-FR"/>
    </w:rPr>
  </w:style>
  <w:style w:type="paragraph" w:customStyle="1" w:styleId="xl143">
    <w:name w:val="xl143"/>
    <w:basedOn w:val="Normal"/>
    <w:rsid w:val="004F5FC9"/>
    <w:pPr>
      <w:pBdr>
        <w:top w:val="single" w:sz="8" w:space="0" w:color="000000"/>
        <w:left w:val="double" w:sz="6" w:space="0" w:color="000000"/>
        <w:bottom w:val="single" w:sz="8" w:space="0" w:color="000000"/>
        <w:right w:val="single" w:sz="8" w:space="0" w:color="000000"/>
      </w:pBdr>
      <w:spacing w:before="100" w:beforeAutospacing="1" w:after="100" w:afterAutospacing="1" w:line="240" w:lineRule="auto"/>
      <w:jc w:val="center"/>
      <w:textAlignment w:val="center"/>
    </w:pPr>
    <w:rPr>
      <w:rFonts w:ascii="Arial" w:eastAsia="Times New Roman" w:hAnsi="Arial" w:cs="Arial"/>
      <w:color w:val="auto"/>
      <w:sz w:val="16"/>
      <w:szCs w:val="16"/>
      <w:lang w:eastAsia="fr-FR"/>
    </w:rPr>
  </w:style>
  <w:style w:type="paragraph" w:customStyle="1" w:styleId="xl144">
    <w:name w:val="xl144"/>
    <w:basedOn w:val="Normal"/>
    <w:rsid w:val="004F5FC9"/>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jc w:val="left"/>
      <w:textAlignment w:val="center"/>
    </w:pPr>
    <w:rPr>
      <w:rFonts w:ascii="Arial" w:eastAsia="Times New Roman" w:hAnsi="Arial" w:cs="Arial"/>
      <w:color w:val="auto"/>
      <w:sz w:val="16"/>
      <w:szCs w:val="16"/>
      <w:lang w:eastAsia="fr-FR"/>
    </w:rPr>
  </w:style>
  <w:style w:type="paragraph" w:customStyle="1" w:styleId="xl145">
    <w:name w:val="xl145"/>
    <w:basedOn w:val="Normal"/>
    <w:rsid w:val="004F5FC9"/>
    <w:pPr>
      <w:pBdr>
        <w:top w:val="single" w:sz="8" w:space="0" w:color="000000"/>
        <w:left w:val="single" w:sz="8" w:space="0" w:color="000000"/>
        <w:bottom w:val="single" w:sz="8" w:space="0" w:color="000000"/>
      </w:pBdr>
      <w:spacing w:before="100" w:beforeAutospacing="1" w:after="100" w:afterAutospacing="1" w:line="240" w:lineRule="auto"/>
      <w:jc w:val="left"/>
      <w:textAlignment w:val="center"/>
    </w:pPr>
    <w:rPr>
      <w:rFonts w:ascii="Arial" w:eastAsia="Times New Roman" w:hAnsi="Arial" w:cs="Arial"/>
      <w:color w:val="auto"/>
      <w:sz w:val="16"/>
      <w:szCs w:val="16"/>
      <w:lang w:eastAsia="fr-FR"/>
    </w:rPr>
  </w:style>
  <w:style w:type="paragraph" w:customStyle="1" w:styleId="xl146">
    <w:name w:val="xl146"/>
    <w:basedOn w:val="Normal"/>
    <w:rsid w:val="004F5FC9"/>
    <w:pPr>
      <w:pBdr>
        <w:top w:val="single" w:sz="8" w:space="0" w:color="000000"/>
        <w:left w:val="single" w:sz="8" w:space="0" w:color="000000"/>
        <w:bottom w:val="single" w:sz="8" w:space="0" w:color="000000"/>
        <w:right w:val="double" w:sz="6" w:space="0" w:color="000000"/>
      </w:pBdr>
      <w:spacing w:before="100" w:beforeAutospacing="1" w:after="100" w:afterAutospacing="1" w:line="240" w:lineRule="auto"/>
      <w:jc w:val="center"/>
      <w:textAlignment w:val="center"/>
    </w:pPr>
    <w:rPr>
      <w:rFonts w:ascii="Arial" w:eastAsia="Times New Roman" w:hAnsi="Arial" w:cs="Arial"/>
      <w:color w:val="auto"/>
      <w:sz w:val="16"/>
      <w:szCs w:val="16"/>
      <w:lang w:eastAsia="fr-FR"/>
    </w:rPr>
  </w:style>
  <w:style w:type="paragraph" w:customStyle="1" w:styleId="xl147">
    <w:name w:val="xl147"/>
    <w:basedOn w:val="Normal"/>
    <w:rsid w:val="004F5FC9"/>
    <w:pPr>
      <w:pBdr>
        <w:top w:val="single" w:sz="8" w:space="0" w:color="000000"/>
        <w:left w:val="double" w:sz="6" w:space="0" w:color="000000"/>
        <w:bottom w:val="single" w:sz="8" w:space="0" w:color="000000"/>
        <w:right w:val="single" w:sz="8" w:space="0" w:color="000000"/>
      </w:pBdr>
      <w:spacing w:before="100" w:beforeAutospacing="1" w:after="100" w:afterAutospacing="1" w:line="240" w:lineRule="auto"/>
      <w:jc w:val="left"/>
      <w:textAlignment w:val="center"/>
    </w:pPr>
    <w:rPr>
      <w:rFonts w:ascii="Arial" w:eastAsia="Times New Roman" w:hAnsi="Arial" w:cs="Arial"/>
      <w:b/>
      <w:bCs/>
      <w:color w:val="auto"/>
      <w:sz w:val="16"/>
      <w:szCs w:val="16"/>
      <w:lang w:eastAsia="fr-FR"/>
    </w:rPr>
  </w:style>
  <w:style w:type="paragraph" w:customStyle="1" w:styleId="xl148">
    <w:name w:val="xl148"/>
    <w:basedOn w:val="Normal"/>
    <w:rsid w:val="004F5FC9"/>
    <w:pPr>
      <w:pBdr>
        <w:left w:val="double" w:sz="6" w:space="0" w:color="000000"/>
        <w:bottom w:val="single" w:sz="8" w:space="0" w:color="000000"/>
        <w:right w:val="single" w:sz="8" w:space="0" w:color="000000"/>
      </w:pBdr>
      <w:spacing w:before="100" w:beforeAutospacing="1" w:after="100" w:afterAutospacing="1" w:line="240" w:lineRule="auto"/>
      <w:jc w:val="left"/>
      <w:textAlignment w:val="center"/>
    </w:pPr>
    <w:rPr>
      <w:rFonts w:ascii="Arial" w:eastAsia="Times New Roman" w:hAnsi="Arial" w:cs="Arial"/>
      <w:b/>
      <w:bCs/>
      <w:color w:val="auto"/>
      <w:sz w:val="16"/>
      <w:szCs w:val="16"/>
      <w:lang w:eastAsia="fr-FR"/>
    </w:rPr>
  </w:style>
  <w:style w:type="paragraph" w:customStyle="1" w:styleId="xl149">
    <w:name w:val="xl149"/>
    <w:basedOn w:val="Normal"/>
    <w:rsid w:val="004F5FC9"/>
    <w:pPr>
      <w:pBdr>
        <w:top w:val="single" w:sz="8" w:space="0" w:color="000000"/>
        <w:left w:val="double" w:sz="6" w:space="0" w:color="000000"/>
        <w:bottom w:val="single" w:sz="8" w:space="0" w:color="000000"/>
        <w:right w:val="single" w:sz="8" w:space="0" w:color="000000"/>
      </w:pBdr>
      <w:spacing w:before="100" w:beforeAutospacing="1" w:after="100" w:afterAutospacing="1" w:line="240" w:lineRule="auto"/>
      <w:jc w:val="left"/>
      <w:textAlignment w:val="center"/>
    </w:pPr>
    <w:rPr>
      <w:rFonts w:ascii="Arial" w:eastAsia="Times New Roman" w:hAnsi="Arial" w:cs="Arial"/>
      <w:color w:val="auto"/>
      <w:sz w:val="16"/>
      <w:szCs w:val="16"/>
      <w:lang w:eastAsia="fr-FR"/>
    </w:rPr>
  </w:style>
  <w:style w:type="paragraph" w:customStyle="1" w:styleId="xl150">
    <w:name w:val="xl150"/>
    <w:basedOn w:val="Normal"/>
    <w:rsid w:val="004F5FC9"/>
    <w:pPr>
      <w:pBdr>
        <w:left w:val="single" w:sz="8" w:space="0" w:color="000000"/>
        <w:bottom w:val="single" w:sz="8" w:space="0" w:color="000000"/>
        <w:right w:val="double" w:sz="6" w:space="0" w:color="000000"/>
      </w:pBdr>
      <w:spacing w:before="100" w:beforeAutospacing="1" w:after="100" w:afterAutospacing="1" w:line="240" w:lineRule="auto"/>
      <w:jc w:val="center"/>
      <w:textAlignment w:val="center"/>
    </w:pPr>
    <w:rPr>
      <w:rFonts w:ascii="Arial" w:eastAsia="Times New Roman" w:hAnsi="Arial" w:cs="Arial"/>
      <w:color w:val="auto"/>
      <w:sz w:val="16"/>
      <w:szCs w:val="16"/>
      <w:lang w:eastAsia="fr-FR"/>
    </w:rPr>
  </w:style>
  <w:style w:type="paragraph" w:customStyle="1" w:styleId="xl151">
    <w:name w:val="xl151"/>
    <w:basedOn w:val="Normal"/>
    <w:rsid w:val="004F5FC9"/>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ascii="Arial" w:eastAsia="Times New Roman" w:hAnsi="Arial" w:cs="Arial"/>
      <w:color w:val="auto"/>
      <w:sz w:val="16"/>
      <w:szCs w:val="16"/>
      <w:lang w:eastAsia="fr-FR"/>
    </w:rPr>
  </w:style>
  <w:style w:type="paragraph" w:customStyle="1" w:styleId="xl152">
    <w:name w:val="xl152"/>
    <w:basedOn w:val="Normal"/>
    <w:rsid w:val="004F5FC9"/>
    <w:pPr>
      <w:pBdr>
        <w:top w:val="single" w:sz="8" w:space="0" w:color="000000"/>
        <w:bottom w:val="single" w:sz="8" w:space="0" w:color="000000"/>
      </w:pBdr>
      <w:spacing w:before="100" w:beforeAutospacing="1" w:after="100" w:afterAutospacing="1" w:line="240" w:lineRule="auto"/>
      <w:jc w:val="left"/>
    </w:pPr>
    <w:rPr>
      <w:rFonts w:ascii="Arial" w:eastAsia="Times New Roman" w:hAnsi="Arial" w:cs="Arial"/>
      <w:color w:val="auto"/>
      <w:szCs w:val="24"/>
      <w:lang w:eastAsia="fr-FR"/>
    </w:rPr>
  </w:style>
  <w:style w:type="paragraph" w:customStyle="1" w:styleId="xl153">
    <w:name w:val="xl153"/>
    <w:basedOn w:val="Normal"/>
    <w:rsid w:val="004F5FC9"/>
    <w:pPr>
      <w:pBdr>
        <w:top w:val="single" w:sz="8" w:space="0" w:color="000000"/>
        <w:bottom w:val="single" w:sz="4" w:space="0" w:color="000000"/>
        <w:right w:val="single" w:sz="4" w:space="0" w:color="000000"/>
      </w:pBdr>
      <w:spacing w:before="100" w:beforeAutospacing="1" w:after="100" w:afterAutospacing="1" w:line="240" w:lineRule="auto"/>
      <w:jc w:val="right"/>
      <w:textAlignment w:val="center"/>
    </w:pPr>
    <w:rPr>
      <w:rFonts w:ascii="Arial" w:eastAsia="Times New Roman" w:hAnsi="Arial" w:cs="Arial"/>
      <w:color w:val="auto"/>
      <w:sz w:val="16"/>
      <w:szCs w:val="16"/>
      <w:lang w:eastAsia="fr-FR"/>
    </w:rPr>
  </w:style>
  <w:style w:type="paragraph" w:customStyle="1" w:styleId="xl154">
    <w:name w:val="xl154"/>
    <w:basedOn w:val="Normal"/>
    <w:rsid w:val="004F5FC9"/>
    <w:pPr>
      <w:pBdr>
        <w:top w:val="single" w:sz="8" w:space="0" w:color="000000"/>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Arial" w:eastAsia="Times New Roman" w:hAnsi="Arial" w:cs="Arial"/>
      <w:color w:val="auto"/>
      <w:sz w:val="16"/>
      <w:szCs w:val="16"/>
      <w:lang w:eastAsia="fr-FR"/>
    </w:rPr>
  </w:style>
  <w:style w:type="paragraph" w:customStyle="1" w:styleId="xl155">
    <w:name w:val="xl155"/>
    <w:basedOn w:val="Normal"/>
    <w:rsid w:val="004F5FC9"/>
    <w:pPr>
      <w:pBdr>
        <w:top w:val="single" w:sz="8" w:space="0" w:color="000000"/>
        <w:bottom w:val="single" w:sz="4" w:space="0" w:color="000000"/>
      </w:pBdr>
      <w:spacing w:before="100" w:beforeAutospacing="1" w:after="100" w:afterAutospacing="1" w:line="240" w:lineRule="auto"/>
      <w:jc w:val="right"/>
      <w:textAlignment w:val="center"/>
    </w:pPr>
    <w:rPr>
      <w:rFonts w:ascii="Arial" w:eastAsia="Times New Roman" w:hAnsi="Arial" w:cs="Arial"/>
      <w:color w:val="auto"/>
      <w:sz w:val="16"/>
      <w:szCs w:val="16"/>
      <w:lang w:eastAsia="fr-FR"/>
    </w:rPr>
  </w:style>
  <w:style w:type="paragraph" w:customStyle="1" w:styleId="xl156">
    <w:name w:val="xl156"/>
    <w:basedOn w:val="Normal"/>
    <w:rsid w:val="004F5FC9"/>
    <w:pPr>
      <w:pBdr>
        <w:top w:val="single" w:sz="8" w:space="0" w:color="000000"/>
        <w:bottom w:val="single" w:sz="4" w:space="0" w:color="000000"/>
      </w:pBdr>
      <w:spacing w:before="100" w:beforeAutospacing="1" w:after="100" w:afterAutospacing="1" w:line="240" w:lineRule="auto"/>
      <w:jc w:val="right"/>
      <w:textAlignment w:val="center"/>
    </w:pPr>
    <w:rPr>
      <w:rFonts w:ascii="Arial" w:eastAsia="Times New Roman" w:hAnsi="Arial" w:cs="Arial"/>
      <w:color w:val="auto"/>
      <w:sz w:val="16"/>
      <w:szCs w:val="16"/>
      <w:lang w:eastAsia="fr-FR"/>
    </w:rPr>
  </w:style>
  <w:style w:type="paragraph" w:customStyle="1" w:styleId="xl157">
    <w:name w:val="xl157"/>
    <w:basedOn w:val="Normal"/>
    <w:rsid w:val="004F5FC9"/>
    <w:pPr>
      <w:pBdr>
        <w:bottom w:val="single" w:sz="8" w:space="0" w:color="000000"/>
        <w:right w:val="single" w:sz="8" w:space="0" w:color="000000"/>
      </w:pBdr>
      <w:spacing w:before="100" w:beforeAutospacing="1" w:after="100" w:afterAutospacing="1" w:line="240" w:lineRule="auto"/>
      <w:jc w:val="right"/>
      <w:textAlignment w:val="center"/>
    </w:pPr>
    <w:rPr>
      <w:rFonts w:ascii="Arial" w:eastAsia="Times New Roman" w:hAnsi="Arial" w:cs="Arial"/>
      <w:color w:val="auto"/>
      <w:sz w:val="16"/>
      <w:szCs w:val="16"/>
      <w:lang w:eastAsia="fr-FR"/>
    </w:rPr>
  </w:style>
  <w:style w:type="paragraph" w:customStyle="1" w:styleId="xl158">
    <w:name w:val="xl158"/>
    <w:basedOn w:val="Normal"/>
    <w:rsid w:val="004F5FC9"/>
    <w:pPr>
      <w:pBdr>
        <w:top w:val="single" w:sz="8" w:space="0" w:color="auto"/>
        <w:left w:val="single" w:sz="8" w:space="0" w:color="auto"/>
        <w:bottom w:val="single" w:sz="8" w:space="0" w:color="000000"/>
        <w:right w:val="single" w:sz="8" w:space="0" w:color="auto"/>
      </w:pBdr>
      <w:spacing w:before="100" w:beforeAutospacing="1" w:after="100" w:afterAutospacing="1" w:line="240" w:lineRule="auto"/>
      <w:jc w:val="right"/>
      <w:textAlignment w:val="center"/>
    </w:pPr>
    <w:rPr>
      <w:rFonts w:ascii="Arial" w:eastAsia="Times New Roman" w:hAnsi="Arial" w:cs="Arial"/>
      <w:color w:val="auto"/>
      <w:sz w:val="16"/>
      <w:szCs w:val="16"/>
      <w:lang w:eastAsia="fr-FR"/>
    </w:rPr>
  </w:style>
  <w:style w:type="paragraph" w:customStyle="1" w:styleId="xl159">
    <w:name w:val="xl159"/>
    <w:basedOn w:val="Normal"/>
    <w:rsid w:val="004F5FC9"/>
    <w:pPr>
      <w:pBdr>
        <w:top w:val="single" w:sz="8" w:space="0" w:color="000000"/>
        <w:left w:val="single" w:sz="8" w:space="0" w:color="auto"/>
        <w:bottom w:val="single" w:sz="8" w:space="0" w:color="000000"/>
        <w:right w:val="single" w:sz="8" w:space="0" w:color="auto"/>
      </w:pBdr>
      <w:spacing w:before="100" w:beforeAutospacing="1" w:after="100" w:afterAutospacing="1" w:line="240" w:lineRule="auto"/>
      <w:jc w:val="right"/>
      <w:textAlignment w:val="center"/>
    </w:pPr>
    <w:rPr>
      <w:rFonts w:ascii="Arial" w:eastAsia="Times New Roman" w:hAnsi="Arial" w:cs="Arial"/>
      <w:color w:val="auto"/>
      <w:sz w:val="16"/>
      <w:szCs w:val="16"/>
      <w:lang w:eastAsia="fr-FR"/>
    </w:rPr>
  </w:style>
  <w:style w:type="paragraph" w:customStyle="1" w:styleId="xl160">
    <w:name w:val="xl160"/>
    <w:basedOn w:val="Normal"/>
    <w:rsid w:val="004F5FC9"/>
    <w:pPr>
      <w:pBdr>
        <w:top w:val="single" w:sz="8" w:space="0" w:color="000000"/>
        <w:left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Arial" w:eastAsia="Times New Roman" w:hAnsi="Arial" w:cs="Arial"/>
      <w:color w:val="auto"/>
      <w:sz w:val="16"/>
      <w:szCs w:val="16"/>
      <w:lang w:eastAsia="fr-FR"/>
    </w:rPr>
  </w:style>
  <w:style w:type="paragraph" w:customStyle="1" w:styleId="Rubrique">
    <w:name w:val="Rubrique"/>
    <w:basedOn w:val="Normal"/>
    <w:next w:val="Normal"/>
    <w:rsid w:val="004F5FC9"/>
    <w:pPr>
      <w:pBdr>
        <w:bottom w:val="single" w:sz="12" w:space="1" w:color="808080"/>
      </w:pBdr>
      <w:shd w:val="clear" w:color="FFFF00" w:fill="C0C0C0"/>
      <w:tabs>
        <w:tab w:val="left" w:pos="284"/>
        <w:tab w:val="left" w:pos="567"/>
        <w:tab w:val="left" w:pos="851"/>
        <w:tab w:val="left" w:pos="1134"/>
        <w:tab w:val="left" w:pos="1418"/>
        <w:tab w:val="left" w:pos="1701"/>
        <w:tab w:val="left" w:pos="1985"/>
        <w:tab w:val="left" w:pos="2268"/>
        <w:tab w:val="left" w:pos="2552"/>
        <w:tab w:val="left" w:pos="2835"/>
      </w:tabs>
      <w:spacing w:before="240" w:after="240" w:line="240" w:lineRule="auto"/>
      <w:jc w:val="left"/>
    </w:pPr>
    <w:rPr>
      <w:rFonts w:ascii="Arial" w:eastAsia="Times New Roman" w:hAnsi="Arial" w:cs="Times New Roman"/>
      <w:b/>
      <w:caps/>
      <w:color w:val="auto"/>
      <w:sz w:val="28"/>
      <w:szCs w:val="20"/>
      <w:lang w:eastAsia="fr-FR"/>
    </w:rPr>
  </w:style>
  <w:style w:type="paragraph" w:customStyle="1" w:styleId="Puce1Liste">
    <w:name w:val="Puce_1_Liste"/>
    <w:basedOn w:val="Normal"/>
    <w:rsid w:val="004F5FC9"/>
    <w:pPr>
      <w:numPr>
        <w:numId w:val="82"/>
      </w:numPr>
      <w:tabs>
        <w:tab w:val="left" w:pos="567"/>
        <w:tab w:val="left" w:pos="851"/>
        <w:tab w:val="left" w:pos="1134"/>
        <w:tab w:val="left" w:pos="1418"/>
        <w:tab w:val="left" w:pos="1701"/>
        <w:tab w:val="left" w:pos="1985"/>
        <w:tab w:val="left" w:pos="2268"/>
        <w:tab w:val="left" w:pos="2552"/>
        <w:tab w:val="left" w:pos="2835"/>
      </w:tabs>
      <w:spacing w:before="60" w:after="0" w:line="240" w:lineRule="auto"/>
      <w:jc w:val="left"/>
    </w:pPr>
    <w:rPr>
      <w:rFonts w:ascii="Arial" w:eastAsia="Times New Roman" w:hAnsi="Arial" w:cs="Times New Roman"/>
      <w:color w:val="auto"/>
      <w:sz w:val="22"/>
      <w:szCs w:val="20"/>
      <w:lang w:eastAsia="fr-FR"/>
    </w:rPr>
  </w:style>
  <w:style w:type="paragraph" w:customStyle="1" w:styleId="Tiret0liste">
    <w:name w:val="Tiret_0_liste"/>
    <w:basedOn w:val="Normal"/>
    <w:rsid w:val="004F5FC9"/>
    <w:pPr>
      <w:tabs>
        <w:tab w:val="num" w:pos="284"/>
        <w:tab w:val="num" w:pos="511"/>
        <w:tab w:val="left" w:pos="567"/>
        <w:tab w:val="left" w:pos="851"/>
        <w:tab w:val="left" w:pos="1134"/>
        <w:tab w:val="left" w:pos="1418"/>
        <w:tab w:val="left" w:pos="1701"/>
        <w:tab w:val="left" w:pos="1985"/>
        <w:tab w:val="left" w:pos="2268"/>
        <w:tab w:val="left" w:pos="2552"/>
        <w:tab w:val="left" w:pos="2835"/>
      </w:tabs>
      <w:spacing w:before="60" w:after="0" w:line="240" w:lineRule="auto"/>
      <w:ind w:left="511" w:hanging="284"/>
      <w:jc w:val="left"/>
    </w:pPr>
    <w:rPr>
      <w:rFonts w:ascii="Arial" w:eastAsia="Times New Roman" w:hAnsi="Arial" w:cs="Times New Roman"/>
      <w:color w:val="auto"/>
      <w:sz w:val="22"/>
      <w:szCs w:val="20"/>
      <w:lang w:eastAsia="fr-FR"/>
    </w:rPr>
  </w:style>
  <w:style w:type="paragraph" w:customStyle="1" w:styleId="Puce0Liste">
    <w:name w:val="Puce_0_Liste"/>
    <w:basedOn w:val="Normal"/>
    <w:rsid w:val="004F5FC9"/>
    <w:pPr>
      <w:numPr>
        <w:numId w:val="99"/>
      </w:numPr>
      <w:tabs>
        <w:tab w:val="clear" w:pos="644"/>
        <w:tab w:val="left" w:pos="284"/>
        <w:tab w:val="left" w:pos="567"/>
        <w:tab w:val="num" w:pos="700"/>
        <w:tab w:val="left" w:pos="851"/>
        <w:tab w:val="left" w:pos="1134"/>
        <w:tab w:val="left" w:pos="1418"/>
        <w:tab w:val="left" w:pos="1701"/>
        <w:tab w:val="left" w:pos="1985"/>
        <w:tab w:val="left" w:pos="2268"/>
        <w:tab w:val="left" w:pos="2552"/>
        <w:tab w:val="left" w:pos="2835"/>
      </w:tabs>
      <w:spacing w:before="60" w:after="0" w:line="240" w:lineRule="auto"/>
      <w:ind w:left="284" w:hanging="284"/>
      <w:jc w:val="left"/>
    </w:pPr>
    <w:rPr>
      <w:rFonts w:ascii="Arial" w:eastAsia="Times New Roman" w:hAnsi="Arial" w:cs="Times New Roman"/>
      <w:color w:val="auto"/>
      <w:sz w:val="22"/>
      <w:szCs w:val="20"/>
      <w:lang w:eastAsia="fr-FR"/>
    </w:rPr>
  </w:style>
  <w:style w:type="paragraph" w:customStyle="1" w:styleId="Coche1liste">
    <w:name w:val="Coche_1_liste"/>
    <w:basedOn w:val="Coche0Liste"/>
    <w:rsid w:val="004F5FC9"/>
    <w:pPr>
      <w:numPr>
        <w:numId w:val="84"/>
      </w:numPr>
      <w:tabs>
        <w:tab w:val="clear" w:pos="284"/>
      </w:tabs>
    </w:pPr>
  </w:style>
  <w:style w:type="paragraph" w:customStyle="1" w:styleId="Coche0Liste">
    <w:name w:val="Coche_0_Liste"/>
    <w:basedOn w:val="Normal"/>
    <w:rsid w:val="004F5FC9"/>
    <w:pPr>
      <w:numPr>
        <w:numId w:val="97"/>
      </w:numPr>
      <w:tabs>
        <w:tab w:val="left" w:pos="284"/>
        <w:tab w:val="left" w:pos="567"/>
        <w:tab w:val="left" w:pos="851"/>
        <w:tab w:val="left" w:pos="1134"/>
        <w:tab w:val="left" w:pos="1418"/>
        <w:tab w:val="left" w:pos="1701"/>
        <w:tab w:val="left" w:pos="1985"/>
        <w:tab w:val="left" w:pos="2268"/>
        <w:tab w:val="left" w:pos="2552"/>
        <w:tab w:val="left" w:pos="2835"/>
      </w:tabs>
      <w:spacing w:before="60" w:after="0" w:line="240" w:lineRule="auto"/>
      <w:jc w:val="left"/>
    </w:pPr>
    <w:rPr>
      <w:rFonts w:ascii="Arial" w:eastAsia="Times New Roman" w:hAnsi="Arial" w:cs="Times New Roman"/>
      <w:color w:val="auto"/>
      <w:sz w:val="22"/>
      <w:szCs w:val="20"/>
      <w:lang w:eastAsia="fr-FR"/>
    </w:rPr>
  </w:style>
  <w:style w:type="paragraph" w:customStyle="1" w:styleId="Tiret2liste">
    <w:name w:val="Tiret_2_liste"/>
    <w:basedOn w:val="Tiret0liste"/>
    <w:rsid w:val="004F5FC9"/>
    <w:pPr>
      <w:numPr>
        <w:numId w:val="85"/>
      </w:numPr>
      <w:tabs>
        <w:tab w:val="clear" w:pos="1211"/>
      </w:tabs>
      <w:ind w:left="851" w:hanging="284"/>
    </w:pPr>
  </w:style>
  <w:style w:type="paragraph" w:customStyle="1" w:styleId="Puce2Liste">
    <w:name w:val="Puce_2_Liste"/>
    <w:basedOn w:val="Puce0Liste"/>
    <w:rsid w:val="004F5FC9"/>
    <w:pPr>
      <w:numPr>
        <w:numId w:val="86"/>
      </w:numPr>
      <w:ind w:left="851" w:hanging="284"/>
    </w:pPr>
  </w:style>
  <w:style w:type="paragraph" w:customStyle="1" w:styleId="Encadre">
    <w:name w:val="Encadre"/>
    <w:basedOn w:val="Normal"/>
    <w:next w:val="Normal"/>
    <w:rsid w:val="004F5FC9"/>
    <w:pPr>
      <w:pBdr>
        <w:top w:val="single" w:sz="8" w:space="5" w:color="808080"/>
        <w:left w:val="single" w:sz="8" w:space="5" w:color="808080"/>
        <w:bottom w:val="single" w:sz="8" w:space="5" w:color="808080"/>
        <w:right w:val="single" w:sz="8" w:space="5" w:color="808080"/>
      </w:pBdr>
      <w:tabs>
        <w:tab w:val="left" w:pos="284"/>
        <w:tab w:val="left" w:pos="567"/>
        <w:tab w:val="left" w:pos="851"/>
        <w:tab w:val="left" w:pos="1134"/>
        <w:tab w:val="left" w:pos="1418"/>
        <w:tab w:val="left" w:pos="1701"/>
        <w:tab w:val="left" w:pos="1985"/>
        <w:tab w:val="left" w:pos="2268"/>
        <w:tab w:val="left" w:pos="2552"/>
        <w:tab w:val="left" w:pos="2835"/>
      </w:tabs>
      <w:spacing w:before="120" w:after="120" w:line="240" w:lineRule="auto"/>
      <w:ind w:left="851" w:right="851"/>
      <w:jc w:val="left"/>
    </w:pPr>
    <w:rPr>
      <w:rFonts w:ascii="Arial" w:eastAsia="Times New Roman" w:hAnsi="Arial" w:cs="Times New Roman"/>
      <w:b/>
      <w:color w:val="auto"/>
      <w:sz w:val="22"/>
      <w:szCs w:val="20"/>
      <w:lang w:eastAsia="fr-FR"/>
    </w:rPr>
  </w:style>
  <w:style w:type="character" w:customStyle="1" w:styleId="Listecouleur-Accent3Car1">
    <w:name w:val="Liste couleur - Accent 3 Car1"/>
    <w:link w:val="ColorfulList-Accent3"/>
    <w:rsid w:val="004F5FC9"/>
    <w:rPr>
      <w:rFonts w:ascii="Arial" w:eastAsia="Times New Roman" w:hAnsi="Arial"/>
      <w:i/>
      <w:lang w:val="x-none" w:eastAsia="en-US"/>
    </w:rPr>
  </w:style>
  <w:style w:type="paragraph" w:customStyle="1" w:styleId="Texte">
    <w:name w:val="Texte"/>
    <w:basedOn w:val="Normal"/>
    <w:next w:val="Normal"/>
    <w:rsid w:val="004F5FC9"/>
    <w:pPr>
      <w:tabs>
        <w:tab w:val="left" w:pos="284"/>
        <w:tab w:val="left" w:pos="567"/>
        <w:tab w:val="left" w:pos="851"/>
        <w:tab w:val="left" w:pos="1134"/>
        <w:tab w:val="left" w:pos="1418"/>
        <w:tab w:val="left" w:pos="1701"/>
        <w:tab w:val="left" w:pos="1985"/>
        <w:tab w:val="left" w:pos="2268"/>
        <w:tab w:val="left" w:pos="2552"/>
        <w:tab w:val="left" w:pos="2835"/>
      </w:tabs>
      <w:spacing w:before="60" w:after="60" w:line="240" w:lineRule="auto"/>
      <w:ind w:firstLine="284"/>
      <w:jc w:val="left"/>
    </w:pPr>
    <w:rPr>
      <w:rFonts w:ascii="Arial" w:eastAsia="Times New Roman" w:hAnsi="Arial" w:cs="Times New Roman"/>
      <w:color w:val="auto"/>
      <w:sz w:val="22"/>
      <w:szCs w:val="20"/>
      <w:lang w:eastAsia="fr-FR"/>
    </w:rPr>
  </w:style>
  <w:style w:type="paragraph" w:customStyle="1" w:styleId="Texteretrait1">
    <w:name w:val="Texte_retrait_1"/>
    <w:basedOn w:val="Texte"/>
    <w:next w:val="Normal"/>
    <w:rsid w:val="004F5FC9"/>
    <w:pPr>
      <w:ind w:left="284"/>
    </w:pPr>
  </w:style>
  <w:style w:type="paragraph" w:customStyle="1" w:styleId="Texteretrait2">
    <w:name w:val="Texte_retrait_2"/>
    <w:basedOn w:val="Texte"/>
    <w:next w:val="Normal"/>
    <w:rsid w:val="004F5FC9"/>
    <w:pPr>
      <w:ind w:left="567"/>
    </w:pPr>
  </w:style>
  <w:style w:type="paragraph" w:customStyle="1" w:styleId="Enttecv">
    <w:name w:val="Entête_cv"/>
    <w:basedOn w:val="Normal"/>
    <w:next w:val="Normal"/>
    <w:rsid w:val="004F5FC9"/>
    <w:pPr>
      <w:pBdr>
        <w:bottom w:val="single" w:sz="8" w:space="1" w:color="808080"/>
      </w:pBdr>
      <w:tabs>
        <w:tab w:val="left" w:pos="284"/>
        <w:tab w:val="left" w:pos="567"/>
        <w:tab w:val="left" w:pos="851"/>
        <w:tab w:val="left" w:pos="1134"/>
        <w:tab w:val="left" w:pos="1418"/>
        <w:tab w:val="left" w:pos="1701"/>
        <w:tab w:val="left" w:pos="1985"/>
        <w:tab w:val="left" w:pos="2268"/>
        <w:tab w:val="left" w:pos="2552"/>
        <w:tab w:val="left" w:pos="2835"/>
      </w:tabs>
      <w:spacing w:after="0" w:line="240" w:lineRule="auto"/>
      <w:jc w:val="left"/>
    </w:pPr>
    <w:rPr>
      <w:rFonts w:ascii="Arial" w:eastAsia="Times New Roman" w:hAnsi="Arial" w:cs="Times New Roman"/>
      <w:b/>
      <w:caps/>
      <w:color w:val="auto"/>
      <w:sz w:val="32"/>
      <w:szCs w:val="20"/>
      <w:lang w:eastAsia="fr-FR"/>
    </w:rPr>
  </w:style>
  <w:style w:type="paragraph" w:customStyle="1" w:styleId="Pieddepage">
    <w:name w:val="Pieddepage"/>
    <w:basedOn w:val="Normal"/>
    <w:next w:val="Normal"/>
    <w:rsid w:val="004F5FC9"/>
    <w:pPr>
      <w:pBdr>
        <w:top w:val="single" w:sz="18" w:space="1" w:color="808080"/>
      </w:pBdr>
      <w:tabs>
        <w:tab w:val="left" w:pos="284"/>
        <w:tab w:val="left" w:pos="567"/>
        <w:tab w:val="left" w:pos="851"/>
        <w:tab w:val="left" w:pos="1134"/>
        <w:tab w:val="left" w:pos="1418"/>
        <w:tab w:val="left" w:pos="1701"/>
        <w:tab w:val="left" w:pos="1985"/>
        <w:tab w:val="left" w:pos="2268"/>
        <w:tab w:val="left" w:pos="2552"/>
        <w:tab w:val="left" w:pos="2835"/>
      </w:tabs>
      <w:spacing w:after="0" w:line="280" w:lineRule="exact"/>
      <w:jc w:val="left"/>
    </w:pPr>
    <w:rPr>
      <w:rFonts w:ascii="Arial" w:eastAsia="Times New Roman" w:hAnsi="Arial" w:cs="Times New Roman"/>
      <w:color w:val="auto"/>
      <w:sz w:val="18"/>
      <w:szCs w:val="20"/>
      <w:lang w:eastAsia="fr-FR"/>
    </w:rPr>
  </w:style>
  <w:style w:type="paragraph" w:customStyle="1" w:styleId="Numro0">
    <w:name w:val="Numéro_0"/>
    <w:basedOn w:val="Normal"/>
    <w:next w:val="Normal"/>
    <w:rsid w:val="004F5FC9"/>
    <w:pPr>
      <w:tabs>
        <w:tab w:val="left" w:pos="284"/>
        <w:tab w:val="left" w:pos="567"/>
        <w:tab w:val="left" w:pos="851"/>
        <w:tab w:val="left" w:pos="1134"/>
        <w:tab w:val="left" w:pos="1418"/>
        <w:tab w:val="left" w:pos="1701"/>
        <w:tab w:val="left" w:pos="1985"/>
        <w:tab w:val="left" w:pos="2268"/>
        <w:tab w:val="left" w:pos="2552"/>
        <w:tab w:val="left" w:pos="2835"/>
      </w:tabs>
      <w:spacing w:before="60" w:after="60" w:line="240" w:lineRule="auto"/>
      <w:ind w:left="397" w:hanging="397"/>
      <w:jc w:val="left"/>
    </w:pPr>
    <w:rPr>
      <w:rFonts w:ascii="Arial" w:eastAsia="Times New Roman" w:hAnsi="Arial" w:cs="Times New Roman"/>
      <w:color w:val="auto"/>
      <w:sz w:val="22"/>
      <w:szCs w:val="20"/>
      <w:lang w:eastAsia="fr-FR"/>
    </w:rPr>
  </w:style>
  <w:style w:type="paragraph" w:customStyle="1" w:styleId="Numro1Liste">
    <w:name w:val="Numéro_1_Liste"/>
    <w:basedOn w:val="Normal"/>
    <w:rsid w:val="004F5FC9"/>
    <w:pPr>
      <w:numPr>
        <w:numId w:val="101"/>
      </w:numPr>
      <w:tabs>
        <w:tab w:val="left" w:pos="284"/>
        <w:tab w:val="left" w:pos="567"/>
        <w:tab w:val="left" w:pos="851"/>
        <w:tab w:val="left" w:pos="1134"/>
        <w:tab w:val="left" w:pos="1418"/>
        <w:tab w:val="left" w:pos="1701"/>
        <w:tab w:val="left" w:pos="1985"/>
        <w:tab w:val="left" w:pos="2268"/>
        <w:tab w:val="left" w:pos="2552"/>
        <w:tab w:val="left" w:pos="2835"/>
      </w:tabs>
      <w:spacing w:before="60" w:after="0" w:line="240" w:lineRule="auto"/>
    </w:pPr>
    <w:rPr>
      <w:rFonts w:ascii="Arial" w:eastAsia="Times New Roman" w:hAnsi="Arial" w:cs="Times New Roman"/>
      <w:color w:val="auto"/>
      <w:sz w:val="22"/>
      <w:szCs w:val="20"/>
      <w:lang w:eastAsia="fr-FR"/>
    </w:rPr>
  </w:style>
  <w:style w:type="paragraph" w:customStyle="1" w:styleId="PagedeGarde">
    <w:name w:val="PagedeGarde"/>
    <w:basedOn w:val="Normal"/>
    <w:next w:val="Normal"/>
    <w:rsid w:val="004F5FC9"/>
    <w:pPr>
      <w:pBdr>
        <w:top w:val="single" w:sz="18" w:space="4" w:color="808080"/>
        <w:bottom w:val="single" w:sz="18" w:space="4" w:color="808080"/>
      </w:pBdr>
      <w:tabs>
        <w:tab w:val="left" w:pos="284"/>
        <w:tab w:val="left" w:pos="567"/>
        <w:tab w:val="left" w:pos="851"/>
        <w:tab w:val="left" w:pos="1134"/>
        <w:tab w:val="left" w:pos="1418"/>
        <w:tab w:val="left" w:pos="1701"/>
        <w:tab w:val="left" w:pos="1985"/>
        <w:tab w:val="left" w:pos="2268"/>
        <w:tab w:val="left" w:pos="2552"/>
        <w:tab w:val="left" w:pos="2835"/>
      </w:tabs>
      <w:spacing w:before="240" w:after="240" w:line="240" w:lineRule="auto"/>
      <w:ind w:left="567" w:right="567"/>
      <w:jc w:val="center"/>
    </w:pPr>
    <w:rPr>
      <w:rFonts w:ascii="Arial" w:eastAsia="Times New Roman" w:hAnsi="Arial" w:cs="Times New Roman"/>
      <w:b/>
      <w:smallCaps/>
      <w:color w:val="auto"/>
      <w:sz w:val="52"/>
      <w:szCs w:val="20"/>
      <w:lang w:eastAsia="fr-FR"/>
    </w:rPr>
  </w:style>
  <w:style w:type="paragraph" w:customStyle="1" w:styleId="EnTte">
    <w:name w:val="EnTête"/>
    <w:basedOn w:val="Normal"/>
    <w:next w:val="Normal"/>
    <w:rsid w:val="004F5FC9"/>
    <w:pPr>
      <w:pBdr>
        <w:bottom w:val="single" w:sz="12" w:space="4" w:color="808080"/>
      </w:pBdr>
      <w:tabs>
        <w:tab w:val="left" w:pos="284"/>
        <w:tab w:val="left" w:pos="567"/>
        <w:tab w:val="left" w:pos="851"/>
        <w:tab w:val="left" w:pos="1134"/>
        <w:tab w:val="left" w:pos="1418"/>
        <w:tab w:val="left" w:pos="1701"/>
        <w:tab w:val="left" w:pos="1985"/>
        <w:tab w:val="left" w:pos="2268"/>
        <w:tab w:val="left" w:pos="2552"/>
        <w:tab w:val="left" w:pos="2835"/>
      </w:tabs>
      <w:spacing w:after="0" w:line="240" w:lineRule="auto"/>
      <w:jc w:val="center"/>
    </w:pPr>
    <w:rPr>
      <w:rFonts w:ascii="Arial" w:eastAsia="Times New Roman" w:hAnsi="Arial" w:cs="Times New Roman"/>
      <w:smallCaps/>
      <w:color w:val="auto"/>
      <w:sz w:val="18"/>
      <w:szCs w:val="20"/>
      <w:lang w:eastAsia="fr-FR"/>
    </w:rPr>
  </w:style>
  <w:style w:type="paragraph" w:customStyle="1" w:styleId="Coche2Liste">
    <w:name w:val="Coche_2_Liste"/>
    <w:basedOn w:val="Coche0Liste"/>
    <w:rsid w:val="004F5FC9"/>
    <w:pPr>
      <w:tabs>
        <w:tab w:val="clear" w:pos="284"/>
      </w:tabs>
      <w:ind w:left="851"/>
    </w:pPr>
  </w:style>
  <w:style w:type="paragraph" w:customStyle="1" w:styleId="Coche3Liste">
    <w:name w:val="Coche_3_Liste"/>
    <w:basedOn w:val="Coche0Liste"/>
    <w:rsid w:val="004F5FC9"/>
    <w:pPr>
      <w:tabs>
        <w:tab w:val="clear" w:pos="284"/>
      </w:tabs>
      <w:ind w:left="1135"/>
    </w:pPr>
  </w:style>
  <w:style w:type="paragraph" w:customStyle="1" w:styleId="Numro2Liste">
    <w:name w:val="Numéro_2_Liste"/>
    <w:basedOn w:val="Numro1Liste"/>
    <w:rsid w:val="004F5FC9"/>
    <w:pPr>
      <w:numPr>
        <w:numId w:val="88"/>
      </w:numPr>
    </w:pPr>
  </w:style>
  <w:style w:type="paragraph" w:customStyle="1" w:styleId="Numero3Liste">
    <w:name w:val="Numero_3_Liste"/>
    <w:basedOn w:val="Numro1Liste"/>
    <w:rsid w:val="004F5FC9"/>
    <w:pPr>
      <w:numPr>
        <w:numId w:val="96"/>
      </w:numPr>
      <w:tabs>
        <w:tab w:val="clear" w:pos="964"/>
      </w:tabs>
      <w:ind w:left="1248"/>
      <w:jc w:val="left"/>
    </w:pPr>
  </w:style>
  <w:style w:type="paragraph" w:customStyle="1" w:styleId="Puce3Liste">
    <w:name w:val="Puce_3_Liste"/>
    <w:basedOn w:val="Puce0Liste"/>
    <w:rsid w:val="004F5FC9"/>
    <w:pPr>
      <w:numPr>
        <w:numId w:val="100"/>
      </w:numPr>
      <w:tabs>
        <w:tab w:val="clear" w:pos="851"/>
      </w:tabs>
      <w:ind w:left="1135" w:hanging="284"/>
    </w:pPr>
  </w:style>
  <w:style w:type="paragraph" w:customStyle="1" w:styleId="Texteretrait3">
    <w:name w:val="Texte_retrait_3"/>
    <w:basedOn w:val="Texte"/>
    <w:rsid w:val="004F5FC9"/>
    <w:pPr>
      <w:ind w:left="851"/>
    </w:pPr>
  </w:style>
  <w:style w:type="paragraph" w:customStyle="1" w:styleId="Tiret1Liste">
    <w:name w:val="Tiret_1_Liste"/>
    <w:basedOn w:val="Tiret0liste"/>
    <w:rsid w:val="004F5FC9"/>
    <w:pPr>
      <w:ind w:left="568"/>
    </w:pPr>
  </w:style>
  <w:style w:type="paragraph" w:customStyle="1" w:styleId="Tiret3Liste">
    <w:name w:val="Tiret_3_Liste"/>
    <w:basedOn w:val="Tiret0liste"/>
    <w:rsid w:val="004F5FC9"/>
    <w:pPr>
      <w:tabs>
        <w:tab w:val="clear" w:pos="851"/>
      </w:tabs>
      <w:ind w:left="1135"/>
    </w:pPr>
  </w:style>
  <w:style w:type="paragraph" w:customStyle="1" w:styleId="Fleche0Liste">
    <w:name w:val="Fleche_0_Liste"/>
    <w:basedOn w:val="Normal"/>
    <w:rsid w:val="004F5FC9"/>
    <w:pPr>
      <w:numPr>
        <w:numId w:val="98"/>
      </w:numPr>
      <w:tabs>
        <w:tab w:val="left" w:pos="284"/>
        <w:tab w:val="left" w:pos="567"/>
        <w:tab w:val="left" w:pos="851"/>
        <w:tab w:val="left" w:pos="1134"/>
        <w:tab w:val="left" w:pos="1418"/>
        <w:tab w:val="left" w:pos="1701"/>
        <w:tab w:val="left" w:pos="1985"/>
        <w:tab w:val="left" w:pos="2268"/>
        <w:tab w:val="left" w:pos="2552"/>
        <w:tab w:val="left" w:pos="2835"/>
      </w:tabs>
      <w:spacing w:before="60" w:after="0" w:line="240" w:lineRule="auto"/>
      <w:jc w:val="left"/>
    </w:pPr>
    <w:rPr>
      <w:rFonts w:ascii="Arial" w:eastAsia="Times New Roman" w:hAnsi="Arial" w:cs="Times New Roman"/>
      <w:color w:val="auto"/>
      <w:sz w:val="22"/>
      <w:szCs w:val="20"/>
      <w:lang w:eastAsia="fr-FR"/>
    </w:rPr>
  </w:style>
  <w:style w:type="paragraph" w:customStyle="1" w:styleId="Fleche1Liste">
    <w:name w:val="Fleche_1_Liste"/>
    <w:basedOn w:val="Fleche0Liste"/>
    <w:rsid w:val="004F5FC9"/>
    <w:pPr>
      <w:tabs>
        <w:tab w:val="clear" w:pos="284"/>
      </w:tabs>
      <w:ind w:left="568"/>
    </w:pPr>
  </w:style>
  <w:style w:type="paragraph" w:customStyle="1" w:styleId="Fleche2Liste">
    <w:name w:val="Fleche_2_Liste"/>
    <w:basedOn w:val="Fleche0Liste"/>
    <w:rsid w:val="004F5FC9"/>
    <w:pPr>
      <w:tabs>
        <w:tab w:val="clear" w:pos="284"/>
      </w:tabs>
      <w:ind w:left="851"/>
    </w:pPr>
  </w:style>
  <w:style w:type="paragraph" w:customStyle="1" w:styleId="Fleche3Liste">
    <w:name w:val="Fleche_3_Liste"/>
    <w:basedOn w:val="Fleche0Liste"/>
    <w:rsid w:val="004F5FC9"/>
    <w:pPr>
      <w:numPr>
        <w:numId w:val="91"/>
      </w:numPr>
      <w:tabs>
        <w:tab w:val="clear" w:pos="284"/>
        <w:tab w:val="clear" w:pos="1211"/>
      </w:tabs>
    </w:pPr>
  </w:style>
  <w:style w:type="paragraph" w:customStyle="1" w:styleId="Coche4Liste">
    <w:name w:val="Coche_4_Liste"/>
    <w:basedOn w:val="Coche0Liste"/>
    <w:rsid w:val="004F5FC9"/>
    <w:pPr>
      <w:numPr>
        <w:numId w:val="90"/>
      </w:numPr>
    </w:pPr>
  </w:style>
  <w:style w:type="paragraph" w:customStyle="1" w:styleId="Coche5Liste">
    <w:name w:val="Coche_5_Liste"/>
    <w:basedOn w:val="Coche0Liste"/>
    <w:rsid w:val="004F5FC9"/>
    <w:pPr>
      <w:numPr>
        <w:numId w:val="92"/>
      </w:numPr>
    </w:pPr>
  </w:style>
  <w:style w:type="paragraph" w:customStyle="1" w:styleId="Fleche4Liste">
    <w:name w:val="Fleche_4_Liste"/>
    <w:basedOn w:val="Fleche0Liste"/>
    <w:rsid w:val="004F5FC9"/>
    <w:pPr>
      <w:numPr>
        <w:numId w:val="89"/>
      </w:numPr>
      <w:tabs>
        <w:tab w:val="clear" w:pos="360"/>
      </w:tabs>
      <w:ind w:left="1418"/>
    </w:pPr>
  </w:style>
  <w:style w:type="paragraph" w:customStyle="1" w:styleId="Fleche5Liste">
    <w:name w:val="Fleche_5_Liste"/>
    <w:basedOn w:val="Fleche0Liste"/>
    <w:rsid w:val="004F5FC9"/>
    <w:pPr>
      <w:numPr>
        <w:numId w:val="93"/>
      </w:numPr>
      <w:tabs>
        <w:tab w:val="clear" w:pos="2062"/>
      </w:tabs>
      <w:ind w:left="1702"/>
    </w:pPr>
  </w:style>
  <w:style w:type="paragraph" w:customStyle="1" w:styleId="Numero4Liste">
    <w:name w:val="Numero_4_Liste"/>
    <w:basedOn w:val="Numro1Liste"/>
    <w:rsid w:val="004F5FC9"/>
    <w:pPr>
      <w:numPr>
        <w:numId w:val="94"/>
      </w:numPr>
      <w:tabs>
        <w:tab w:val="clear" w:pos="1531"/>
      </w:tabs>
      <w:jc w:val="left"/>
    </w:pPr>
  </w:style>
  <w:style w:type="paragraph" w:customStyle="1" w:styleId="Numero5Liste">
    <w:name w:val="Numero_5_Liste"/>
    <w:basedOn w:val="Numro1Liste"/>
    <w:rsid w:val="004F5FC9"/>
    <w:pPr>
      <w:numPr>
        <w:numId w:val="95"/>
      </w:numPr>
      <w:tabs>
        <w:tab w:val="clear" w:pos="1814"/>
      </w:tabs>
      <w:ind w:left="1815" w:hanging="397"/>
    </w:pPr>
  </w:style>
  <w:style w:type="paragraph" w:customStyle="1" w:styleId="Puce4Liste">
    <w:name w:val="Puce_4_Liste"/>
    <w:basedOn w:val="Puce0Liste"/>
    <w:rsid w:val="004F5FC9"/>
    <w:pPr>
      <w:ind w:left="567" w:hanging="283"/>
    </w:pPr>
  </w:style>
  <w:style w:type="paragraph" w:customStyle="1" w:styleId="Puce5Liste">
    <w:name w:val="Puce_5_Liste"/>
    <w:basedOn w:val="Puce0Liste"/>
    <w:rsid w:val="004F5FC9"/>
    <w:pPr>
      <w:numPr>
        <w:numId w:val="83"/>
      </w:numPr>
      <w:tabs>
        <w:tab w:val="num" w:pos="360"/>
      </w:tabs>
      <w:ind w:left="284" w:hanging="284"/>
    </w:pPr>
  </w:style>
  <w:style w:type="paragraph" w:customStyle="1" w:styleId="Texteretrait4">
    <w:name w:val="Texte_retrait_4"/>
    <w:basedOn w:val="Texte"/>
    <w:next w:val="Normal"/>
    <w:rsid w:val="004F5FC9"/>
    <w:pPr>
      <w:ind w:left="1134"/>
    </w:pPr>
  </w:style>
  <w:style w:type="paragraph" w:customStyle="1" w:styleId="Texteretrait5">
    <w:name w:val="Texte_retrait_5"/>
    <w:basedOn w:val="Texte"/>
    <w:next w:val="Normal"/>
    <w:rsid w:val="004F5FC9"/>
    <w:pPr>
      <w:ind w:left="1418"/>
    </w:pPr>
  </w:style>
  <w:style w:type="paragraph" w:customStyle="1" w:styleId="Texteretrait6">
    <w:name w:val="Texte_retrait_6"/>
    <w:basedOn w:val="Texte"/>
    <w:next w:val="Normal"/>
    <w:rsid w:val="004F5FC9"/>
    <w:pPr>
      <w:ind w:left="1701"/>
    </w:pPr>
  </w:style>
  <w:style w:type="paragraph" w:customStyle="1" w:styleId="Tiret4Liste">
    <w:name w:val="Tiret_4_Liste"/>
    <w:basedOn w:val="Tiret0liste"/>
    <w:rsid w:val="004F5FC9"/>
    <w:pPr>
      <w:ind w:left="1418"/>
    </w:pPr>
  </w:style>
  <w:style w:type="paragraph" w:customStyle="1" w:styleId="Tiret5Liste">
    <w:name w:val="Tiret_5_Liste"/>
    <w:basedOn w:val="Tiret0liste"/>
    <w:rsid w:val="004F5FC9"/>
    <w:pPr>
      <w:ind w:left="1702"/>
    </w:pPr>
  </w:style>
  <w:style w:type="paragraph" w:styleId="ListNumber2">
    <w:name w:val="List Number 2"/>
    <w:basedOn w:val="Normal"/>
    <w:rsid w:val="004F5FC9"/>
    <w:pPr>
      <w:numPr>
        <w:numId w:val="87"/>
      </w:numPr>
      <w:tabs>
        <w:tab w:val="left" w:pos="284"/>
        <w:tab w:val="left" w:pos="567"/>
        <w:tab w:val="left" w:pos="851"/>
        <w:tab w:val="left" w:pos="1134"/>
        <w:tab w:val="left" w:pos="1418"/>
        <w:tab w:val="left" w:pos="1701"/>
        <w:tab w:val="left" w:pos="1985"/>
        <w:tab w:val="left" w:pos="2268"/>
        <w:tab w:val="left" w:pos="2552"/>
        <w:tab w:val="left" w:pos="2835"/>
      </w:tabs>
      <w:spacing w:after="0" w:line="240" w:lineRule="auto"/>
      <w:jc w:val="left"/>
    </w:pPr>
    <w:rPr>
      <w:rFonts w:ascii="Arial" w:eastAsia="Times New Roman" w:hAnsi="Arial" w:cs="Times New Roman"/>
      <w:color w:val="auto"/>
      <w:sz w:val="22"/>
      <w:szCs w:val="20"/>
      <w:lang w:eastAsia="fr-FR"/>
    </w:rPr>
  </w:style>
  <w:style w:type="paragraph" w:customStyle="1" w:styleId="txtnoir">
    <w:name w:val="txtnoir"/>
    <w:basedOn w:val="Normal"/>
    <w:rsid w:val="004F5FC9"/>
    <w:pPr>
      <w:spacing w:before="100" w:beforeAutospacing="1" w:after="100" w:afterAutospacing="1" w:line="240" w:lineRule="auto"/>
      <w:jc w:val="left"/>
    </w:pPr>
    <w:rPr>
      <w:rFonts w:ascii="Arial" w:eastAsia="Times New Roman" w:hAnsi="Arial" w:cs="Arial"/>
      <w:color w:val="000000"/>
      <w:sz w:val="12"/>
      <w:szCs w:val="12"/>
      <w:lang w:eastAsia="fr-FR"/>
    </w:rPr>
  </w:style>
  <w:style w:type="paragraph" w:customStyle="1" w:styleId="Enumtiret3">
    <w:name w:val="Enumtiret3"/>
    <w:aliases w:val="t3"/>
    <w:basedOn w:val="BodyText"/>
    <w:rsid w:val="004F5FC9"/>
    <w:pPr>
      <w:numPr>
        <w:numId w:val="102"/>
      </w:numPr>
      <w:tabs>
        <w:tab w:val="clear" w:pos="360"/>
      </w:tabs>
      <w:autoSpaceDE/>
      <w:autoSpaceDN/>
      <w:adjustRightInd/>
      <w:spacing w:before="120"/>
      <w:ind w:left="1305"/>
      <w:jc w:val="both"/>
    </w:pPr>
    <w:rPr>
      <w:rFonts w:ascii="Arial" w:eastAsia="Times New Roman" w:hAnsi="Arial" w:cs="Arial"/>
      <w:sz w:val="20"/>
      <w:lang w:val="x-none" w:eastAsia="fr-FR"/>
    </w:rPr>
  </w:style>
  <w:style w:type="paragraph" w:customStyle="1" w:styleId="Numro">
    <w:name w:val="Numéro"/>
    <w:basedOn w:val="Normal"/>
    <w:next w:val="Normal"/>
    <w:rsid w:val="004F5FC9"/>
    <w:pPr>
      <w:spacing w:before="60" w:after="60" w:line="240" w:lineRule="auto"/>
      <w:ind w:left="284" w:hanging="284"/>
      <w:jc w:val="left"/>
    </w:pPr>
    <w:rPr>
      <w:rFonts w:ascii="Arial" w:eastAsia="Times New Roman" w:hAnsi="Arial" w:cs="Arial"/>
      <w:color w:val="auto"/>
      <w:sz w:val="22"/>
      <w:lang w:eastAsia="fr-FR"/>
    </w:rPr>
  </w:style>
  <w:style w:type="paragraph" w:customStyle="1" w:styleId="Level1">
    <w:name w:val="Level 1"/>
    <w:basedOn w:val="Normal"/>
    <w:rsid w:val="004F5FC9"/>
    <w:pPr>
      <w:widowControl w:val="0"/>
      <w:spacing w:after="0" w:line="240" w:lineRule="auto"/>
      <w:ind w:left="1475" w:hanging="425"/>
      <w:jc w:val="left"/>
    </w:pPr>
    <w:rPr>
      <w:rFonts w:ascii="Arial Narrow" w:eastAsia="Times New Roman" w:hAnsi="Arial Narrow" w:cs="Times New Roman"/>
      <w:snapToGrid w:val="0"/>
      <w:color w:val="auto"/>
      <w:szCs w:val="20"/>
      <w:lang w:val="en-US" w:eastAsia="fr-FR"/>
    </w:rPr>
  </w:style>
  <w:style w:type="paragraph" w:customStyle="1" w:styleId="EnumTiret1">
    <w:name w:val="EnumTiret1"/>
    <w:basedOn w:val="Normal"/>
    <w:rsid w:val="004F5FC9"/>
    <w:pPr>
      <w:numPr>
        <w:numId w:val="103"/>
      </w:numPr>
      <w:spacing w:before="120" w:after="0" w:line="240" w:lineRule="auto"/>
      <w:jc w:val="left"/>
    </w:pPr>
    <w:rPr>
      <w:rFonts w:ascii="Arial" w:eastAsia="Times New Roman" w:hAnsi="Arial" w:cs="Arial"/>
      <w:color w:val="auto"/>
      <w:sz w:val="22"/>
      <w:lang w:eastAsia="fr-FR"/>
    </w:rPr>
  </w:style>
  <w:style w:type="character" w:customStyle="1" w:styleId="tw4winMark">
    <w:name w:val="tw4winMark"/>
    <w:rsid w:val="004F5FC9"/>
    <w:rPr>
      <w:vanish/>
      <w:color w:val="800080"/>
      <w:vertAlign w:val="subscript"/>
    </w:rPr>
  </w:style>
  <w:style w:type="paragraph" w:customStyle="1" w:styleId="Corpsarticle">
    <w:name w:val="Corpsarticle"/>
    <w:basedOn w:val="Normal"/>
    <w:rsid w:val="004F5FC9"/>
    <w:pPr>
      <w:widowControl w:val="0"/>
      <w:tabs>
        <w:tab w:val="left" w:pos="-720"/>
      </w:tabs>
      <w:suppressAutoHyphens/>
      <w:spacing w:before="60" w:after="60" w:line="240" w:lineRule="auto"/>
    </w:pPr>
    <w:rPr>
      <w:rFonts w:ascii="Arial" w:eastAsia="Times" w:hAnsi="Arial" w:cs="Times New Roman"/>
      <w:color w:val="auto"/>
      <w:spacing w:val="-3"/>
      <w:sz w:val="22"/>
      <w:szCs w:val="20"/>
      <w:lang w:eastAsia="fr-FR"/>
    </w:rPr>
  </w:style>
  <w:style w:type="paragraph" w:customStyle="1" w:styleId="SectionVHeader">
    <w:name w:val="Section V. Header"/>
    <w:basedOn w:val="Normal"/>
    <w:rsid w:val="004F5FC9"/>
    <w:pPr>
      <w:spacing w:after="0" w:line="240" w:lineRule="auto"/>
      <w:jc w:val="center"/>
    </w:pPr>
    <w:rPr>
      <w:rFonts w:eastAsia="Times New Roman" w:cs="Times New Roman"/>
      <w:b/>
      <w:color w:val="auto"/>
      <w:sz w:val="36"/>
      <w:szCs w:val="20"/>
      <w:lang w:val="es-ES_tradnl" w:eastAsia="fr-FR"/>
    </w:rPr>
  </w:style>
  <w:style w:type="paragraph" w:customStyle="1" w:styleId="Outline">
    <w:name w:val="Outline"/>
    <w:basedOn w:val="Normal"/>
    <w:rsid w:val="004F5FC9"/>
    <w:pPr>
      <w:spacing w:before="240" w:after="0" w:line="240" w:lineRule="auto"/>
      <w:jc w:val="left"/>
    </w:pPr>
    <w:rPr>
      <w:rFonts w:eastAsia="Times New Roman" w:cs="Times New Roman"/>
      <w:color w:val="auto"/>
      <w:kern w:val="28"/>
      <w:szCs w:val="20"/>
      <w:lang w:val="en-US" w:eastAsia="fr-FR"/>
    </w:rPr>
  </w:style>
  <w:style w:type="paragraph" w:customStyle="1" w:styleId="titulo">
    <w:name w:val="titulo"/>
    <w:basedOn w:val="Heading5"/>
    <w:rsid w:val="004F5FC9"/>
    <w:pPr>
      <w:keepLines w:val="0"/>
      <w:numPr>
        <w:ilvl w:val="0"/>
        <w:numId w:val="0"/>
      </w:numPr>
      <w:tabs>
        <w:tab w:val="left" w:pos="1134"/>
      </w:tabs>
      <w:autoSpaceDE w:val="0"/>
      <w:autoSpaceDN w:val="0"/>
      <w:spacing w:before="0" w:after="240" w:line="312" w:lineRule="auto"/>
      <w:jc w:val="center"/>
    </w:pPr>
    <w:rPr>
      <w:rFonts w:ascii="Times New Roman Bold" w:eastAsia="Times New Roman" w:hAnsi="Times New Roman Bold" w:cs="Times New Roman"/>
      <w:b w:val="0"/>
      <w:sz w:val="24"/>
      <w:szCs w:val="20"/>
      <w:lang w:val="en-US" w:eastAsia="x-none"/>
    </w:rPr>
  </w:style>
  <w:style w:type="paragraph" w:customStyle="1" w:styleId="Entte0">
    <w:name w:val="Entête"/>
    <w:basedOn w:val="Normal"/>
    <w:next w:val="Normal"/>
    <w:rsid w:val="004F5FC9"/>
    <w:pPr>
      <w:pBdr>
        <w:bottom w:val="single" w:sz="8" w:space="1" w:color="808080"/>
      </w:pBdr>
      <w:spacing w:after="0" w:line="240" w:lineRule="auto"/>
      <w:jc w:val="left"/>
    </w:pPr>
    <w:rPr>
      <w:rFonts w:ascii="Arial" w:eastAsia="Times New Roman" w:hAnsi="Arial" w:cs="Arial"/>
      <w:b/>
      <w:bCs/>
      <w:caps/>
      <w:color w:val="auto"/>
      <w:sz w:val="32"/>
      <w:szCs w:val="32"/>
      <w:lang w:eastAsia="fr-FR"/>
    </w:rPr>
  </w:style>
  <w:style w:type="paragraph" w:customStyle="1" w:styleId="texte1">
    <w:name w:val="texte1"/>
    <w:basedOn w:val="Normal"/>
    <w:rsid w:val="004F5FC9"/>
    <w:pPr>
      <w:overflowPunct w:val="0"/>
      <w:autoSpaceDE w:val="0"/>
      <w:autoSpaceDN w:val="0"/>
      <w:adjustRightInd w:val="0"/>
      <w:spacing w:after="240" w:line="240" w:lineRule="auto"/>
      <w:textAlignment w:val="baseline"/>
    </w:pPr>
    <w:rPr>
      <w:rFonts w:ascii="Arial" w:eastAsia="Times New Roman" w:hAnsi="Arial" w:cs="Times New Roman"/>
      <w:color w:val="auto"/>
      <w:sz w:val="22"/>
      <w:szCs w:val="20"/>
      <w:lang w:val="fr-CA"/>
    </w:rPr>
  </w:style>
  <w:style w:type="paragraph" w:customStyle="1" w:styleId="Commentaire1">
    <w:name w:val="Commentaire1"/>
    <w:basedOn w:val="Normal"/>
    <w:rsid w:val="004F5FC9"/>
    <w:pPr>
      <w:suppressAutoHyphens/>
      <w:spacing w:after="0" w:line="240" w:lineRule="auto"/>
      <w:ind w:left="360"/>
      <w:jc w:val="left"/>
    </w:pPr>
    <w:rPr>
      <w:rFonts w:eastAsia="Times New Roman" w:cs="Arial"/>
      <w:color w:val="auto"/>
      <w:sz w:val="22"/>
      <w:szCs w:val="20"/>
      <w:lang w:val="fr-CA" w:eastAsia="ar-SA"/>
    </w:rPr>
  </w:style>
  <w:style w:type="paragraph" w:customStyle="1" w:styleId="xl24">
    <w:name w:val="xl24"/>
    <w:basedOn w:val="Normal"/>
    <w:rsid w:val="004F5FC9"/>
    <w:pPr>
      <w:spacing w:before="100" w:beforeAutospacing="1" w:after="100" w:afterAutospacing="1" w:line="240" w:lineRule="auto"/>
      <w:jc w:val="left"/>
      <w:textAlignment w:val="top"/>
    </w:pPr>
    <w:rPr>
      <w:rFonts w:ascii="Arial" w:eastAsia="Arial Unicode MS" w:hAnsi="Arial" w:cs="Arial"/>
      <w:b/>
      <w:bCs/>
      <w:color w:val="auto"/>
      <w:szCs w:val="24"/>
      <w:lang w:val="en-GB"/>
    </w:rPr>
  </w:style>
  <w:style w:type="paragraph" w:customStyle="1" w:styleId="xl25">
    <w:name w:val="xl25"/>
    <w:basedOn w:val="Normal"/>
    <w:rsid w:val="004F5FC9"/>
    <w:pPr>
      <w:spacing w:before="100" w:beforeAutospacing="1" w:after="100" w:afterAutospacing="1" w:line="240" w:lineRule="auto"/>
      <w:jc w:val="left"/>
      <w:textAlignment w:val="top"/>
    </w:pPr>
    <w:rPr>
      <w:rFonts w:ascii="Arial Narrow" w:eastAsia="Arial Unicode MS" w:hAnsi="Arial Narrow" w:cs="Arial Unicode MS"/>
      <w:b/>
      <w:bCs/>
      <w:color w:val="auto"/>
      <w:szCs w:val="24"/>
      <w:lang w:val="en-GB"/>
    </w:rPr>
  </w:style>
  <w:style w:type="paragraph" w:customStyle="1" w:styleId="xl27">
    <w:name w:val="xl27"/>
    <w:basedOn w:val="Normal"/>
    <w:rsid w:val="004F5FC9"/>
    <w:pPr>
      <w:spacing w:before="100" w:beforeAutospacing="1" w:after="100" w:afterAutospacing="1" w:line="240" w:lineRule="auto"/>
      <w:jc w:val="left"/>
      <w:textAlignment w:val="top"/>
    </w:pPr>
    <w:rPr>
      <w:rFonts w:ascii="Arial Unicode MS" w:eastAsia="Arial Unicode MS" w:hAnsi="Arial Unicode MS" w:cs="Arial Unicode MS"/>
      <w:b/>
      <w:bCs/>
      <w:color w:val="auto"/>
      <w:szCs w:val="24"/>
      <w:lang w:val="en-GB"/>
    </w:rPr>
  </w:style>
  <w:style w:type="paragraph" w:customStyle="1" w:styleId="xl28">
    <w:name w:val="xl28"/>
    <w:basedOn w:val="Normal"/>
    <w:rsid w:val="004F5FC9"/>
    <w:pPr>
      <w:spacing w:before="100" w:beforeAutospacing="1" w:after="100" w:afterAutospacing="1" w:line="240" w:lineRule="auto"/>
      <w:jc w:val="left"/>
      <w:textAlignment w:val="top"/>
    </w:pPr>
    <w:rPr>
      <w:rFonts w:ascii="Arial Unicode MS" w:eastAsia="Arial Unicode MS" w:hAnsi="Arial Unicode MS" w:cs="Arial Unicode MS"/>
      <w:color w:val="auto"/>
      <w:szCs w:val="24"/>
      <w:lang w:val="en-GB"/>
    </w:rPr>
  </w:style>
  <w:style w:type="paragraph" w:customStyle="1" w:styleId="xl29">
    <w:name w:val="xl29"/>
    <w:basedOn w:val="Normal"/>
    <w:rsid w:val="004F5FC9"/>
    <w:pPr>
      <w:pBdr>
        <w:bottom w:val="single" w:sz="4" w:space="0" w:color="333333"/>
      </w:pBdr>
      <w:spacing w:before="100" w:beforeAutospacing="1" w:after="100" w:afterAutospacing="1" w:line="240" w:lineRule="auto"/>
      <w:jc w:val="left"/>
      <w:textAlignment w:val="top"/>
    </w:pPr>
    <w:rPr>
      <w:rFonts w:ascii="Arial" w:eastAsia="Arial Unicode MS" w:hAnsi="Arial" w:cs="Arial"/>
      <w:b/>
      <w:bCs/>
      <w:color w:val="auto"/>
      <w:szCs w:val="24"/>
      <w:lang w:val="en-GB"/>
    </w:rPr>
  </w:style>
  <w:style w:type="paragraph" w:customStyle="1" w:styleId="xl30">
    <w:name w:val="xl30"/>
    <w:basedOn w:val="Normal"/>
    <w:rsid w:val="004F5FC9"/>
    <w:pPr>
      <w:pBdr>
        <w:bottom w:val="single" w:sz="4" w:space="0" w:color="333333"/>
      </w:pBdr>
      <w:spacing w:before="100" w:beforeAutospacing="1" w:after="100" w:afterAutospacing="1" w:line="240" w:lineRule="auto"/>
      <w:jc w:val="left"/>
      <w:textAlignment w:val="top"/>
    </w:pPr>
    <w:rPr>
      <w:rFonts w:ascii="Arial Unicode MS" w:eastAsia="Arial Unicode MS" w:hAnsi="Arial Unicode MS" w:cs="Arial Unicode MS"/>
      <w:b/>
      <w:bCs/>
      <w:color w:val="auto"/>
      <w:szCs w:val="24"/>
      <w:lang w:val="en-GB"/>
    </w:rPr>
  </w:style>
  <w:style w:type="paragraph" w:customStyle="1" w:styleId="xl31">
    <w:name w:val="xl31"/>
    <w:basedOn w:val="Normal"/>
    <w:rsid w:val="004F5FC9"/>
    <w:pPr>
      <w:pBdr>
        <w:bottom w:val="single" w:sz="4" w:space="0" w:color="333333"/>
      </w:pBdr>
      <w:spacing w:before="100" w:beforeAutospacing="1" w:after="100" w:afterAutospacing="1" w:line="240" w:lineRule="auto"/>
      <w:jc w:val="left"/>
      <w:textAlignment w:val="top"/>
    </w:pPr>
    <w:rPr>
      <w:rFonts w:ascii="Arial Unicode MS" w:eastAsia="Arial Unicode MS" w:hAnsi="Arial Unicode MS" w:cs="Arial Unicode MS"/>
      <w:color w:val="auto"/>
      <w:szCs w:val="24"/>
      <w:lang w:val="en-GB"/>
    </w:rPr>
  </w:style>
  <w:style w:type="paragraph" w:customStyle="1" w:styleId="xl32">
    <w:name w:val="xl32"/>
    <w:basedOn w:val="Normal"/>
    <w:rsid w:val="004F5FC9"/>
    <w:pPr>
      <w:pBdr>
        <w:bottom w:val="single" w:sz="4" w:space="0" w:color="333333"/>
      </w:pBdr>
      <w:spacing w:before="100" w:beforeAutospacing="1" w:after="100" w:afterAutospacing="1" w:line="240" w:lineRule="auto"/>
      <w:jc w:val="left"/>
      <w:textAlignment w:val="center"/>
    </w:pPr>
    <w:rPr>
      <w:rFonts w:ascii="Arial Narrow" w:eastAsia="Arial Unicode MS" w:hAnsi="Arial Narrow" w:cs="Arial Unicode MS"/>
      <w:color w:val="auto"/>
      <w:szCs w:val="24"/>
      <w:lang w:val="en-GB"/>
    </w:rPr>
  </w:style>
  <w:style w:type="paragraph" w:customStyle="1" w:styleId="xl33">
    <w:name w:val="xl33"/>
    <w:basedOn w:val="Normal"/>
    <w:rsid w:val="004F5FC9"/>
    <w:pPr>
      <w:pBdr>
        <w:bottom w:val="single" w:sz="4" w:space="0" w:color="333333"/>
      </w:pBdr>
      <w:spacing w:before="100" w:beforeAutospacing="1" w:after="100" w:afterAutospacing="1" w:line="240" w:lineRule="auto"/>
      <w:jc w:val="center"/>
      <w:textAlignment w:val="center"/>
    </w:pPr>
    <w:rPr>
      <w:rFonts w:ascii="Arial Narrow" w:eastAsia="Arial Unicode MS" w:hAnsi="Arial Narrow" w:cs="Arial Unicode MS"/>
      <w:b/>
      <w:bCs/>
      <w:color w:val="auto"/>
      <w:szCs w:val="24"/>
      <w:lang w:val="en-GB"/>
    </w:rPr>
  </w:style>
  <w:style w:type="paragraph" w:customStyle="1" w:styleId="xl34">
    <w:name w:val="xl34"/>
    <w:basedOn w:val="Normal"/>
    <w:rsid w:val="004F5FC9"/>
    <w:pPr>
      <w:pBdr>
        <w:bottom w:val="single" w:sz="4" w:space="0" w:color="333333"/>
      </w:pBdr>
      <w:spacing w:before="100" w:beforeAutospacing="1" w:after="100" w:afterAutospacing="1" w:line="240" w:lineRule="auto"/>
      <w:jc w:val="left"/>
      <w:textAlignment w:val="center"/>
    </w:pPr>
    <w:rPr>
      <w:rFonts w:ascii="Arial Narrow" w:eastAsia="Arial Unicode MS" w:hAnsi="Arial Narrow" w:cs="Arial Unicode MS"/>
      <w:b/>
      <w:bCs/>
      <w:color w:val="auto"/>
      <w:szCs w:val="24"/>
      <w:lang w:val="en-GB"/>
    </w:rPr>
  </w:style>
  <w:style w:type="paragraph" w:customStyle="1" w:styleId="xl35">
    <w:name w:val="xl35"/>
    <w:basedOn w:val="Normal"/>
    <w:rsid w:val="004F5FC9"/>
    <w:pPr>
      <w:pBdr>
        <w:bottom w:val="single" w:sz="4" w:space="0" w:color="333333"/>
      </w:pBdr>
      <w:spacing w:before="100" w:beforeAutospacing="1" w:after="100" w:afterAutospacing="1" w:line="240" w:lineRule="auto"/>
      <w:jc w:val="left"/>
      <w:textAlignment w:val="center"/>
    </w:pPr>
    <w:rPr>
      <w:rFonts w:ascii="Arial Narrow" w:eastAsia="Arial Unicode MS" w:hAnsi="Arial Narrow" w:cs="Arial Unicode MS"/>
      <w:b/>
      <w:bCs/>
      <w:color w:val="auto"/>
      <w:szCs w:val="24"/>
      <w:lang w:val="en-GB"/>
    </w:rPr>
  </w:style>
  <w:style w:type="paragraph" w:customStyle="1" w:styleId="xl36">
    <w:name w:val="xl36"/>
    <w:basedOn w:val="Normal"/>
    <w:rsid w:val="004F5FC9"/>
    <w:pPr>
      <w:pBdr>
        <w:bottom w:val="single" w:sz="4" w:space="0" w:color="333333"/>
      </w:pBdr>
      <w:spacing w:before="100" w:beforeAutospacing="1" w:after="100" w:afterAutospacing="1" w:line="240" w:lineRule="auto"/>
      <w:jc w:val="left"/>
      <w:textAlignment w:val="center"/>
    </w:pPr>
    <w:rPr>
      <w:rFonts w:ascii="Arial Narrow" w:eastAsia="Arial Unicode MS" w:hAnsi="Arial Narrow" w:cs="Arial Unicode MS"/>
      <w:b/>
      <w:bCs/>
      <w:color w:val="auto"/>
      <w:szCs w:val="24"/>
      <w:lang w:val="en-GB"/>
    </w:rPr>
  </w:style>
  <w:style w:type="paragraph" w:customStyle="1" w:styleId="xl37">
    <w:name w:val="xl37"/>
    <w:basedOn w:val="Normal"/>
    <w:rsid w:val="004F5FC9"/>
    <w:pPr>
      <w:pBdr>
        <w:bottom w:val="single" w:sz="4" w:space="0" w:color="333333"/>
      </w:pBdr>
      <w:spacing w:before="100" w:beforeAutospacing="1" w:after="100" w:afterAutospacing="1" w:line="240" w:lineRule="auto"/>
      <w:jc w:val="center"/>
      <w:textAlignment w:val="center"/>
    </w:pPr>
    <w:rPr>
      <w:rFonts w:ascii="Arial Narrow" w:eastAsia="Arial Unicode MS" w:hAnsi="Arial Narrow" w:cs="Arial Unicode MS"/>
      <w:color w:val="auto"/>
      <w:szCs w:val="24"/>
      <w:lang w:val="en-GB"/>
    </w:rPr>
  </w:style>
  <w:style w:type="paragraph" w:customStyle="1" w:styleId="xl38">
    <w:name w:val="xl38"/>
    <w:basedOn w:val="Normal"/>
    <w:rsid w:val="004F5FC9"/>
    <w:pPr>
      <w:pBdr>
        <w:bottom w:val="single" w:sz="4" w:space="0" w:color="333333"/>
      </w:pBdr>
      <w:spacing w:before="100" w:beforeAutospacing="1" w:after="100" w:afterAutospacing="1" w:line="240" w:lineRule="auto"/>
      <w:jc w:val="left"/>
      <w:textAlignment w:val="center"/>
    </w:pPr>
    <w:rPr>
      <w:rFonts w:ascii="Arial Narrow" w:eastAsia="Arial Unicode MS" w:hAnsi="Arial Narrow" w:cs="Arial Unicode MS"/>
      <w:color w:val="auto"/>
      <w:szCs w:val="24"/>
      <w:lang w:val="en-GB"/>
    </w:rPr>
  </w:style>
  <w:style w:type="paragraph" w:customStyle="1" w:styleId="xl39">
    <w:name w:val="xl39"/>
    <w:basedOn w:val="Normal"/>
    <w:rsid w:val="004F5FC9"/>
    <w:pPr>
      <w:pBdr>
        <w:bottom w:val="single" w:sz="4" w:space="0" w:color="333333"/>
      </w:pBdr>
      <w:spacing w:before="100" w:beforeAutospacing="1" w:after="100" w:afterAutospacing="1" w:line="240" w:lineRule="auto"/>
      <w:jc w:val="center"/>
      <w:textAlignment w:val="center"/>
    </w:pPr>
    <w:rPr>
      <w:rFonts w:ascii="Arial Narrow" w:eastAsia="Arial Unicode MS" w:hAnsi="Arial Narrow" w:cs="Arial Unicode MS"/>
      <w:color w:val="auto"/>
      <w:szCs w:val="24"/>
      <w:lang w:val="en-GB"/>
    </w:rPr>
  </w:style>
  <w:style w:type="paragraph" w:customStyle="1" w:styleId="xl40">
    <w:name w:val="xl40"/>
    <w:basedOn w:val="Normal"/>
    <w:rsid w:val="004F5FC9"/>
    <w:pPr>
      <w:pBdr>
        <w:bottom w:val="single" w:sz="4" w:space="0" w:color="333333"/>
      </w:pBdr>
      <w:spacing w:before="100" w:beforeAutospacing="1" w:after="100" w:afterAutospacing="1" w:line="240" w:lineRule="auto"/>
      <w:jc w:val="center"/>
      <w:textAlignment w:val="center"/>
    </w:pPr>
    <w:rPr>
      <w:rFonts w:ascii="Arial Narrow" w:eastAsia="Arial Unicode MS" w:hAnsi="Arial Narrow" w:cs="Arial Unicode MS"/>
      <w:color w:val="auto"/>
      <w:szCs w:val="24"/>
      <w:lang w:val="en-GB"/>
    </w:rPr>
  </w:style>
  <w:style w:type="paragraph" w:customStyle="1" w:styleId="xl41">
    <w:name w:val="xl41"/>
    <w:basedOn w:val="Normal"/>
    <w:rsid w:val="004F5FC9"/>
    <w:pPr>
      <w:pBdr>
        <w:bottom w:val="single" w:sz="4" w:space="0" w:color="333333"/>
      </w:pBdr>
      <w:spacing w:before="100" w:beforeAutospacing="1" w:after="100" w:afterAutospacing="1" w:line="240" w:lineRule="auto"/>
      <w:jc w:val="left"/>
      <w:textAlignment w:val="center"/>
    </w:pPr>
    <w:rPr>
      <w:rFonts w:ascii="Arial Unicode MS" w:eastAsia="Arial Unicode MS" w:hAnsi="Arial Unicode MS" w:cs="Arial Unicode MS"/>
      <w:color w:val="auto"/>
      <w:szCs w:val="24"/>
      <w:lang w:val="en-GB"/>
    </w:rPr>
  </w:style>
  <w:style w:type="paragraph" w:customStyle="1" w:styleId="xl43">
    <w:name w:val="xl43"/>
    <w:basedOn w:val="Normal"/>
    <w:rsid w:val="004F5FC9"/>
    <w:pPr>
      <w:shd w:val="clear" w:color="auto" w:fill="FFFFCC"/>
      <w:spacing w:before="100" w:beforeAutospacing="1" w:after="100" w:afterAutospacing="1" w:line="240" w:lineRule="auto"/>
      <w:jc w:val="center"/>
      <w:textAlignment w:val="center"/>
    </w:pPr>
    <w:rPr>
      <w:rFonts w:ascii="Arial" w:eastAsia="Arial Unicode MS" w:hAnsi="Arial" w:cs="Arial"/>
      <w:b/>
      <w:bCs/>
      <w:color w:val="auto"/>
      <w:szCs w:val="24"/>
      <w:lang w:val="en-GB"/>
    </w:rPr>
  </w:style>
  <w:style w:type="paragraph" w:customStyle="1" w:styleId="xl44">
    <w:name w:val="xl44"/>
    <w:basedOn w:val="Normal"/>
    <w:rsid w:val="004F5FC9"/>
    <w:pPr>
      <w:spacing w:before="100" w:beforeAutospacing="1" w:after="100" w:afterAutospacing="1" w:line="240" w:lineRule="auto"/>
      <w:jc w:val="left"/>
      <w:textAlignment w:val="top"/>
    </w:pPr>
    <w:rPr>
      <w:rFonts w:ascii="Arial Narrow" w:eastAsia="Arial Unicode MS" w:hAnsi="Arial Narrow" w:cs="Arial Unicode MS"/>
      <w:color w:val="auto"/>
      <w:szCs w:val="24"/>
      <w:lang w:val="en-GB"/>
    </w:rPr>
  </w:style>
  <w:style w:type="paragraph" w:customStyle="1" w:styleId="xl45">
    <w:name w:val="xl45"/>
    <w:basedOn w:val="Normal"/>
    <w:rsid w:val="004F5FC9"/>
    <w:pPr>
      <w:shd w:val="clear" w:color="auto" w:fill="FFFFCC"/>
      <w:spacing w:before="100" w:beforeAutospacing="1" w:after="100" w:afterAutospacing="1" w:line="240" w:lineRule="auto"/>
      <w:jc w:val="left"/>
      <w:textAlignment w:val="center"/>
    </w:pPr>
    <w:rPr>
      <w:rFonts w:ascii="Arial" w:eastAsia="Arial Unicode MS" w:hAnsi="Arial" w:cs="Arial"/>
      <w:b/>
      <w:bCs/>
      <w:color w:val="auto"/>
      <w:szCs w:val="24"/>
      <w:lang w:val="en-GB"/>
    </w:rPr>
  </w:style>
  <w:style w:type="paragraph" w:customStyle="1" w:styleId="xl46">
    <w:name w:val="xl46"/>
    <w:basedOn w:val="Normal"/>
    <w:rsid w:val="004F5FC9"/>
    <w:pPr>
      <w:pBdr>
        <w:bottom w:val="single" w:sz="4" w:space="0" w:color="333333"/>
      </w:pBdr>
      <w:spacing w:before="100" w:beforeAutospacing="1" w:after="100" w:afterAutospacing="1" w:line="240" w:lineRule="auto"/>
      <w:jc w:val="left"/>
      <w:textAlignment w:val="center"/>
    </w:pPr>
    <w:rPr>
      <w:rFonts w:ascii="Arial Narrow" w:eastAsia="Arial Unicode MS" w:hAnsi="Arial Narrow" w:cs="Arial Unicode MS"/>
      <w:b/>
      <w:bCs/>
      <w:color w:val="auto"/>
      <w:szCs w:val="24"/>
      <w:lang w:val="en-GB"/>
    </w:rPr>
  </w:style>
  <w:style w:type="paragraph" w:customStyle="1" w:styleId="xl47">
    <w:name w:val="xl47"/>
    <w:basedOn w:val="Normal"/>
    <w:rsid w:val="004F5FC9"/>
    <w:pPr>
      <w:spacing w:before="100" w:beforeAutospacing="1" w:after="100" w:afterAutospacing="1" w:line="240" w:lineRule="auto"/>
      <w:jc w:val="left"/>
      <w:textAlignment w:val="center"/>
    </w:pPr>
    <w:rPr>
      <w:rFonts w:ascii="Arial Narrow" w:eastAsia="Arial Unicode MS" w:hAnsi="Arial Narrow" w:cs="Arial Unicode MS"/>
      <w:color w:val="auto"/>
      <w:szCs w:val="24"/>
      <w:lang w:val="en-GB"/>
    </w:rPr>
  </w:style>
  <w:style w:type="paragraph" w:customStyle="1" w:styleId="xl48">
    <w:name w:val="xl48"/>
    <w:basedOn w:val="Normal"/>
    <w:rsid w:val="004F5FC9"/>
    <w:pPr>
      <w:pBdr>
        <w:bottom w:val="single" w:sz="8" w:space="0" w:color="808080"/>
      </w:pBdr>
      <w:shd w:val="clear" w:color="auto" w:fill="FFFFCC"/>
      <w:spacing w:before="100" w:beforeAutospacing="1" w:after="100" w:afterAutospacing="1" w:line="240" w:lineRule="auto"/>
      <w:jc w:val="left"/>
      <w:textAlignment w:val="center"/>
    </w:pPr>
    <w:rPr>
      <w:rFonts w:ascii="Arial" w:eastAsia="Arial Unicode MS" w:hAnsi="Arial" w:cs="Arial"/>
      <w:b/>
      <w:bCs/>
      <w:color w:val="auto"/>
      <w:szCs w:val="24"/>
      <w:lang w:val="en-GB"/>
    </w:rPr>
  </w:style>
  <w:style w:type="paragraph" w:customStyle="1" w:styleId="xl49">
    <w:name w:val="xl49"/>
    <w:basedOn w:val="Normal"/>
    <w:rsid w:val="004F5FC9"/>
    <w:pPr>
      <w:pBdr>
        <w:bottom w:val="single" w:sz="8" w:space="0" w:color="808080"/>
      </w:pBdr>
      <w:shd w:val="clear" w:color="auto" w:fill="FFFFCC"/>
      <w:spacing w:before="100" w:beforeAutospacing="1" w:after="100" w:afterAutospacing="1" w:line="240" w:lineRule="auto"/>
      <w:jc w:val="center"/>
      <w:textAlignment w:val="center"/>
    </w:pPr>
    <w:rPr>
      <w:rFonts w:ascii="Arial" w:eastAsia="Arial Unicode MS" w:hAnsi="Arial" w:cs="Arial"/>
      <w:b/>
      <w:bCs/>
      <w:color w:val="auto"/>
      <w:szCs w:val="24"/>
      <w:lang w:val="en-GB"/>
    </w:rPr>
  </w:style>
  <w:style w:type="paragraph" w:customStyle="1" w:styleId="xl50">
    <w:name w:val="xl50"/>
    <w:basedOn w:val="Normal"/>
    <w:rsid w:val="004F5FC9"/>
    <w:pPr>
      <w:pBdr>
        <w:top w:val="single" w:sz="8" w:space="0" w:color="808080"/>
      </w:pBdr>
      <w:spacing w:before="100" w:beforeAutospacing="1" w:after="100" w:afterAutospacing="1" w:line="240" w:lineRule="auto"/>
      <w:jc w:val="center"/>
      <w:textAlignment w:val="center"/>
    </w:pPr>
    <w:rPr>
      <w:rFonts w:ascii="Arial" w:eastAsia="Arial Unicode MS" w:hAnsi="Arial" w:cs="Arial"/>
      <w:b/>
      <w:bCs/>
      <w:color w:val="auto"/>
      <w:szCs w:val="24"/>
      <w:lang w:val="en-GB"/>
    </w:rPr>
  </w:style>
  <w:style w:type="paragraph" w:customStyle="1" w:styleId="xl51">
    <w:name w:val="xl51"/>
    <w:basedOn w:val="Normal"/>
    <w:rsid w:val="004F5FC9"/>
    <w:pPr>
      <w:pBdr>
        <w:top w:val="single" w:sz="8" w:space="0" w:color="808080"/>
      </w:pBdr>
      <w:spacing w:before="100" w:beforeAutospacing="1" w:after="100" w:afterAutospacing="1" w:line="240" w:lineRule="auto"/>
      <w:jc w:val="left"/>
      <w:textAlignment w:val="center"/>
    </w:pPr>
    <w:rPr>
      <w:rFonts w:ascii="Arial" w:eastAsia="Arial Unicode MS" w:hAnsi="Arial" w:cs="Arial"/>
      <w:b/>
      <w:bCs/>
      <w:color w:val="auto"/>
      <w:szCs w:val="24"/>
      <w:lang w:val="en-GB"/>
    </w:rPr>
  </w:style>
  <w:style w:type="paragraph" w:customStyle="1" w:styleId="xl52">
    <w:name w:val="xl52"/>
    <w:basedOn w:val="Normal"/>
    <w:rsid w:val="004F5FC9"/>
    <w:pPr>
      <w:pBdr>
        <w:bottom w:val="single" w:sz="8" w:space="0" w:color="808080"/>
      </w:pBdr>
      <w:spacing w:before="100" w:beforeAutospacing="1" w:after="100" w:afterAutospacing="1" w:line="240" w:lineRule="auto"/>
      <w:jc w:val="left"/>
      <w:textAlignment w:val="center"/>
    </w:pPr>
    <w:rPr>
      <w:rFonts w:ascii="Arial Narrow" w:eastAsia="Arial Unicode MS" w:hAnsi="Arial Narrow" w:cs="Arial Unicode MS"/>
      <w:color w:val="auto"/>
      <w:szCs w:val="24"/>
      <w:lang w:val="en-GB"/>
    </w:rPr>
  </w:style>
  <w:style w:type="paragraph" w:customStyle="1" w:styleId="xl53">
    <w:name w:val="xl53"/>
    <w:basedOn w:val="Normal"/>
    <w:rsid w:val="004F5FC9"/>
    <w:pPr>
      <w:pBdr>
        <w:bottom w:val="single" w:sz="8" w:space="0" w:color="808080"/>
      </w:pBdr>
      <w:spacing w:before="100" w:beforeAutospacing="1" w:after="100" w:afterAutospacing="1" w:line="240" w:lineRule="auto"/>
      <w:jc w:val="left"/>
      <w:textAlignment w:val="center"/>
    </w:pPr>
    <w:rPr>
      <w:rFonts w:ascii="Arial Unicode MS" w:eastAsia="Arial Unicode MS" w:hAnsi="Arial Unicode MS" w:cs="Arial Unicode MS"/>
      <w:color w:val="auto"/>
      <w:szCs w:val="24"/>
      <w:lang w:val="en-GB"/>
    </w:rPr>
  </w:style>
  <w:style w:type="paragraph" w:customStyle="1" w:styleId="xl54">
    <w:name w:val="xl54"/>
    <w:basedOn w:val="Normal"/>
    <w:rsid w:val="004F5FC9"/>
    <w:pPr>
      <w:pBdr>
        <w:top w:val="single" w:sz="8" w:space="0" w:color="808080"/>
        <w:bottom w:val="single" w:sz="8" w:space="0" w:color="808080"/>
      </w:pBdr>
      <w:spacing w:before="100" w:beforeAutospacing="1" w:after="100" w:afterAutospacing="1" w:line="240" w:lineRule="auto"/>
      <w:jc w:val="left"/>
      <w:textAlignment w:val="center"/>
    </w:pPr>
    <w:rPr>
      <w:rFonts w:ascii="Arial Unicode MS" w:eastAsia="Arial Unicode MS" w:hAnsi="Arial Unicode MS" w:cs="Arial Unicode MS"/>
      <w:color w:val="auto"/>
      <w:szCs w:val="24"/>
      <w:lang w:val="en-GB"/>
    </w:rPr>
  </w:style>
  <w:style w:type="paragraph" w:customStyle="1" w:styleId="xl55">
    <w:name w:val="xl55"/>
    <w:basedOn w:val="Normal"/>
    <w:rsid w:val="004F5FC9"/>
    <w:pPr>
      <w:pBdr>
        <w:top w:val="single" w:sz="8" w:space="0" w:color="808080"/>
      </w:pBdr>
      <w:spacing w:before="100" w:beforeAutospacing="1" w:after="100" w:afterAutospacing="1" w:line="240" w:lineRule="auto"/>
      <w:jc w:val="left"/>
      <w:textAlignment w:val="center"/>
    </w:pPr>
    <w:rPr>
      <w:rFonts w:ascii="Arial Unicode MS" w:eastAsia="Arial Unicode MS" w:hAnsi="Arial Unicode MS" w:cs="Arial Unicode MS"/>
      <w:color w:val="auto"/>
      <w:szCs w:val="24"/>
      <w:lang w:val="en-GB"/>
    </w:rPr>
  </w:style>
  <w:style w:type="paragraph" w:customStyle="1" w:styleId="xl56">
    <w:name w:val="xl56"/>
    <w:basedOn w:val="Normal"/>
    <w:rsid w:val="004F5FC9"/>
    <w:pPr>
      <w:pBdr>
        <w:top w:val="single" w:sz="8" w:space="0" w:color="808080"/>
      </w:pBdr>
      <w:spacing w:before="100" w:beforeAutospacing="1" w:after="100" w:afterAutospacing="1" w:line="240" w:lineRule="auto"/>
      <w:jc w:val="left"/>
      <w:textAlignment w:val="center"/>
    </w:pPr>
    <w:rPr>
      <w:rFonts w:ascii="Arial Unicode MS" w:eastAsia="Arial Unicode MS" w:hAnsi="Arial Unicode MS" w:cs="Arial Unicode MS"/>
      <w:color w:val="auto"/>
      <w:szCs w:val="24"/>
      <w:lang w:val="en-GB"/>
    </w:rPr>
  </w:style>
  <w:style w:type="paragraph" w:customStyle="1" w:styleId="xl57">
    <w:name w:val="xl57"/>
    <w:basedOn w:val="Normal"/>
    <w:rsid w:val="004F5FC9"/>
    <w:pPr>
      <w:pBdr>
        <w:top w:val="single" w:sz="8" w:space="0" w:color="808080"/>
      </w:pBdr>
      <w:spacing w:before="100" w:beforeAutospacing="1" w:after="100" w:afterAutospacing="1" w:line="240" w:lineRule="auto"/>
      <w:jc w:val="left"/>
      <w:textAlignment w:val="center"/>
    </w:pPr>
    <w:rPr>
      <w:rFonts w:ascii="Arial Narrow" w:eastAsia="Arial Unicode MS" w:hAnsi="Arial Narrow" w:cs="Arial Unicode MS"/>
      <w:color w:val="auto"/>
      <w:szCs w:val="24"/>
      <w:lang w:val="en-GB"/>
    </w:rPr>
  </w:style>
  <w:style w:type="paragraph" w:customStyle="1" w:styleId="xl58">
    <w:name w:val="xl58"/>
    <w:basedOn w:val="Normal"/>
    <w:rsid w:val="004F5FC9"/>
    <w:pPr>
      <w:spacing w:before="100" w:beforeAutospacing="1" w:after="100" w:afterAutospacing="1" w:line="240" w:lineRule="auto"/>
      <w:jc w:val="left"/>
      <w:textAlignment w:val="center"/>
    </w:pPr>
    <w:rPr>
      <w:rFonts w:ascii="Arial Unicode MS" w:eastAsia="Arial Unicode MS" w:hAnsi="Arial Unicode MS" w:cs="Arial Unicode MS"/>
      <w:color w:val="auto"/>
      <w:szCs w:val="24"/>
      <w:lang w:val="en-GB"/>
    </w:rPr>
  </w:style>
  <w:style w:type="paragraph" w:customStyle="1" w:styleId="xl59">
    <w:name w:val="xl59"/>
    <w:basedOn w:val="Normal"/>
    <w:rsid w:val="004F5FC9"/>
    <w:pPr>
      <w:pBdr>
        <w:top w:val="single" w:sz="4" w:space="0" w:color="333333"/>
      </w:pBdr>
      <w:shd w:val="clear" w:color="auto" w:fill="FFFFCC"/>
      <w:spacing w:before="100" w:beforeAutospacing="1" w:after="100" w:afterAutospacing="1" w:line="240" w:lineRule="auto"/>
      <w:jc w:val="left"/>
      <w:textAlignment w:val="center"/>
    </w:pPr>
    <w:rPr>
      <w:rFonts w:ascii="Arial Narrow" w:eastAsia="Arial Unicode MS" w:hAnsi="Arial Narrow" w:cs="Arial Unicode MS"/>
      <w:i/>
      <w:iCs/>
      <w:color w:val="auto"/>
      <w:sz w:val="16"/>
      <w:szCs w:val="16"/>
      <w:lang w:val="en-GB"/>
    </w:rPr>
  </w:style>
  <w:style w:type="paragraph" w:customStyle="1" w:styleId="xl60">
    <w:name w:val="xl60"/>
    <w:basedOn w:val="Normal"/>
    <w:rsid w:val="004F5FC9"/>
    <w:pPr>
      <w:pBdr>
        <w:top w:val="single" w:sz="4" w:space="0" w:color="333333"/>
      </w:pBdr>
      <w:shd w:val="clear" w:color="auto" w:fill="FFFFCC"/>
      <w:spacing w:before="100" w:beforeAutospacing="1" w:after="100" w:afterAutospacing="1" w:line="240" w:lineRule="auto"/>
      <w:jc w:val="left"/>
      <w:textAlignment w:val="center"/>
    </w:pPr>
    <w:rPr>
      <w:rFonts w:ascii="Arial Unicode MS" w:eastAsia="Arial Unicode MS" w:hAnsi="Arial Unicode MS" w:cs="Arial Unicode MS"/>
      <w:color w:val="auto"/>
      <w:szCs w:val="24"/>
      <w:lang w:val="en-GB"/>
    </w:rPr>
  </w:style>
  <w:style w:type="paragraph" w:customStyle="1" w:styleId="xl61">
    <w:name w:val="xl61"/>
    <w:basedOn w:val="Normal"/>
    <w:rsid w:val="004F5FC9"/>
    <w:pPr>
      <w:pBdr>
        <w:bottom w:val="single" w:sz="4" w:space="0" w:color="333333"/>
      </w:pBdr>
      <w:spacing w:before="100" w:beforeAutospacing="1" w:after="100" w:afterAutospacing="1" w:line="240" w:lineRule="auto"/>
      <w:jc w:val="center"/>
      <w:textAlignment w:val="center"/>
    </w:pPr>
    <w:rPr>
      <w:rFonts w:ascii="Arial" w:eastAsia="Arial Unicode MS" w:hAnsi="Arial" w:cs="Arial"/>
      <w:b/>
      <w:bCs/>
      <w:color w:val="auto"/>
      <w:szCs w:val="24"/>
      <w:lang w:val="en-GB"/>
    </w:rPr>
  </w:style>
  <w:style w:type="paragraph" w:customStyle="1" w:styleId="xl62">
    <w:name w:val="xl62"/>
    <w:basedOn w:val="Normal"/>
    <w:rsid w:val="004F5FC9"/>
    <w:pPr>
      <w:pBdr>
        <w:bottom w:val="single" w:sz="4" w:space="0" w:color="333333"/>
      </w:pBdr>
      <w:spacing w:before="100" w:beforeAutospacing="1" w:after="100" w:afterAutospacing="1" w:line="240" w:lineRule="auto"/>
      <w:jc w:val="center"/>
      <w:textAlignment w:val="center"/>
    </w:pPr>
    <w:rPr>
      <w:rFonts w:ascii="Arial" w:eastAsia="Arial Unicode MS" w:hAnsi="Arial" w:cs="Arial"/>
      <w:b/>
      <w:bCs/>
      <w:color w:val="auto"/>
      <w:szCs w:val="24"/>
      <w:lang w:val="en-GB"/>
    </w:rPr>
  </w:style>
  <w:style w:type="paragraph" w:customStyle="1" w:styleId="xl63">
    <w:name w:val="xl63"/>
    <w:basedOn w:val="Normal"/>
    <w:rsid w:val="004F5FC9"/>
    <w:pPr>
      <w:pBdr>
        <w:top w:val="single" w:sz="4" w:space="0" w:color="auto"/>
      </w:pBdr>
      <w:shd w:val="clear" w:color="auto" w:fill="FFFFCC"/>
      <w:spacing w:before="100" w:beforeAutospacing="1" w:after="100" w:afterAutospacing="1" w:line="240" w:lineRule="auto"/>
      <w:jc w:val="left"/>
      <w:textAlignment w:val="center"/>
    </w:pPr>
    <w:rPr>
      <w:rFonts w:ascii="Arial Narrow" w:eastAsia="Arial Unicode MS" w:hAnsi="Arial Narrow" w:cs="Arial Unicode MS"/>
      <w:i/>
      <w:iCs/>
      <w:color w:val="auto"/>
      <w:sz w:val="16"/>
      <w:szCs w:val="16"/>
      <w:lang w:val="en-GB"/>
    </w:rPr>
  </w:style>
  <w:style w:type="paragraph" w:customStyle="1" w:styleId="xl64">
    <w:name w:val="xl64"/>
    <w:basedOn w:val="Normal"/>
    <w:rsid w:val="004F5FC9"/>
    <w:pPr>
      <w:spacing w:before="100" w:beforeAutospacing="1" w:after="100" w:afterAutospacing="1" w:line="240" w:lineRule="auto"/>
      <w:jc w:val="left"/>
      <w:textAlignment w:val="center"/>
    </w:pPr>
    <w:rPr>
      <w:rFonts w:ascii="Arial Narrow" w:eastAsia="Arial Unicode MS" w:hAnsi="Arial Narrow" w:cs="Arial Unicode MS"/>
      <w:color w:val="auto"/>
      <w:szCs w:val="24"/>
      <w:lang w:val="en-GB"/>
    </w:rPr>
  </w:style>
  <w:style w:type="paragraph" w:customStyle="1" w:styleId="Tcv">
    <w:name w:val="Tcv"/>
    <w:basedOn w:val="Normal"/>
    <w:rsid w:val="004F5FC9"/>
    <w:pPr>
      <w:pBdr>
        <w:bottom w:val="single" w:sz="6" w:space="0" w:color="auto"/>
      </w:pBdr>
      <w:tabs>
        <w:tab w:val="left" w:pos="1701"/>
      </w:tabs>
      <w:autoSpaceDE w:val="0"/>
      <w:autoSpaceDN w:val="0"/>
      <w:spacing w:after="0" w:line="240" w:lineRule="auto"/>
      <w:ind w:left="1701" w:hanging="1701"/>
      <w:jc w:val="left"/>
    </w:pPr>
    <w:rPr>
      <w:rFonts w:ascii="Times" w:eastAsia="Times New Roman" w:hAnsi="Times" w:cs="Times New Roman"/>
      <w:b/>
      <w:bCs/>
      <w:color w:val="auto"/>
      <w:sz w:val="22"/>
      <w:szCs w:val="20"/>
      <w:lang w:eastAsia="fr-FR"/>
    </w:rPr>
  </w:style>
  <w:style w:type="paragraph" w:customStyle="1" w:styleId="p3">
    <w:name w:val="p3"/>
    <w:basedOn w:val="Normal"/>
    <w:rsid w:val="004F5FC9"/>
    <w:pPr>
      <w:widowControl w:val="0"/>
      <w:autoSpaceDE w:val="0"/>
      <w:autoSpaceDN w:val="0"/>
      <w:adjustRightInd w:val="0"/>
      <w:spacing w:after="0" w:line="240" w:lineRule="atLeast"/>
      <w:jc w:val="left"/>
    </w:pPr>
    <w:rPr>
      <w:rFonts w:ascii="Arial" w:eastAsia="Times New Roman" w:hAnsi="Arial" w:cs="Arial"/>
      <w:color w:val="auto"/>
      <w:sz w:val="22"/>
      <w:lang w:val="en-US"/>
    </w:rPr>
  </w:style>
  <w:style w:type="paragraph" w:customStyle="1" w:styleId="p8">
    <w:name w:val="p8"/>
    <w:basedOn w:val="Normal"/>
    <w:rsid w:val="004F5FC9"/>
    <w:pPr>
      <w:widowControl w:val="0"/>
      <w:tabs>
        <w:tab w:val="left" w:pos="1060"/>
      </w:tabs>
      <w:autoSpaceDE w:val="0"/>
      <w:autoSpaceDN w:val="0"/>
      <w:adjustRightInd w:val="0"/>
      <w:spacing w:after="0" w:line="280" w:lineRule="atLeast"/>
      <w:ind w:left="432" w:hanging="288"/>
      <w:jc w:val="left"/>
    </w:pPr>
    <w:rPr>
      <w:rFonts w:ascii="Arial" w:eastAsia="Times New Roman" w:hAnsi="Arial" w:cs="Arial"/>
      <w:color w:val="auto"/>
      <w:sz w:val="22"/>
      <w:lang w:val="en-US"/>
    </w:rPr>
  </w:style>
  <w:style w:type="paragraph" w:customStyle="1" w:styleId="NomdesocitUn">
    <w:name w:val="Nom de société Un"/>
    <w:basedOn w:val="Normal"/>
    <w:next w:val="Normal"/>
    <w:rsid w:val="004F5FC9"/>
    <w:pPr>
      <w:tabs>
        <w:tab w:val="left" w:pos="1440"/>
        <w:tab w:val="right" w:pos="6480"/>
      </w:tabs>
      <w:spacing w:before="60" w:after="0" w:line="220" w:lineRule="atLeast"/>
      <w:jc w:val="left"/>
    </w:pPr>
    <w:rPr>
      <w:rFonts w:ascii="Garamond" w:eastAsia="Times New Roman" w:hAnsi="Garamond" w:cs="Times New Roman"/>
      <w:color w:val="auto"/>
      <w:sz w:val="22"/>
      <w:szCs w:val="20"/>
      <w:lang w:val="en-US"/>
    </w:rPr>
  </w:style>
  <w:style w:type="paragraph" w:customStyle="1" w:styleId="tableau0">
    <w:name w:val="tableau"/>
    <w:basedOn w:val="Normal"/>
    <w:rsid w:val="004F5FC9"/>
    <w:pPr>
      <w:spacing w:before="120" w:after="120" w:line="240" w:lineRule="auto"/>
    </w:pPr>
    <w:rPr>
      <w:rFonts w:eastAsia="Times New Roman" w:cs="Times New Roman"/>
      <w:color w:val="auto"/>
      <w:szCs w:val="24"/>
      <w:lang w:eastAsia="fr-FR"/>
    </w:rPr>
  </w:style>
  <w:style w:type="paragraph" w:customStyle="1" w:styleId="mmoirenormal">
    <w:name w:val="mémoire normal"/>
    <w:basedOn w:val="BodyText"/>
    <w:link w:val="mmoirenormalChar"/>
    <w:rsid w:val="004F5FC9"/>
    <w:pPr>
      <w:autoSpaceDE/>
      <w:autoSpaceDN/>
      <w:adjustRightInd/>
      <w:spacing w:line="360" w:lineRule="auto"/>
      <w:ind w:left="0"/>
      <w:jc w:val="both"/>
    </w:pPr>
    <w:rPr>
      <w:rFonts w:ascii="Arial" w:eastAsia="Times New Roman" w:hAnsi="Arial" w:cs="Times New Roman"/>
      <w:spacing w:val="-3"/>
      <w:sz w:val="24"/>
      <w:szCs w:val="24"/>
      <w:lang w:val="x-none" w:eastAsia="x-none"/>
    </w:rPr>
  </w:style>
  <w:style w:type="character" w:customStyle="1" w:styleId="mmoirenormalChar">
    <w:name w:val="mémoire normal Char"/>
    <w:link w:val="mmoirenormal"/>
    <w:rsid w:val="004F5FC9"/>
    <w:rPr>
      <w:rFonts w:ascii="Arial" w:eastAsia="Times New Roman" w:hAnsi="Arial" w:cs="Times New Roman"/>
      <w:spacing w:val="-3"/>
      <w:sz w:val="24"/>
      <w:szCs w:val="24"/>
      <w:lang w:val="x-none" w:eastAsia="x-none"/>
    </w:rPr>
  </w:style>
  <w:style w:type="paragraph" w:customStyle="1" w:styleId="offreret">
    <w:name w:val="offreret"/>
    <w:basedOn w:val="Normal"/>
    <w:rsid w:val="004F5FC9"/>
    <w:pPr>
      <w:numPr>
        <w:ilvl w:val="1"/>
        <w:numId w:val="104"/>
      </w:numPr>
      <w:spacing w:after="0" w:line="240" w:lineRule="auto"/>
      <w:jc w:val="left"/>
    </w:pPr>
    <w:rPr>
      <w:rFonts w:eastAsia="Times New Roman" w:cs="Times New Roman"/>
      <w:color w:val="auto"/>
      <w:szCs w:val="24"/>
      <w:lang w:eastAsia="fr-FR"/>
    </w:rPr>
  </w:style>
  <w:style w:type="paragraph" w:customStyle="1" w:styleId="D345FF3D873148C5AE3FBF3267827368">
    <w:name w:val="D345FF3D873148C5AE3FBF3267827368"/>
    <w:rsid w:val="004F5FC9"/>
    <w:pPr>
      <w:spacing w:after="200" w:line="276" w:lineRule="auto"/>
    </w:pPr>
    <w:rPr>
      <w:rFonts w:ascii="Calibri" w:eastAsia="Times New Roman" w:hAnsi="Calibri" w:cs="Times New Roman"/>
      <w:lang w:eastAsia="fr-FR"/>
    </w:rPr>
  </w:style>
  <w:style w:type="character" w:customStyle="1" w:styleId="Grillemoyenne2Car">
    <w:name w:val="Grille moyenne 2 Car"/>
    <w:link w:val="MediumGrid2"/>
    <w:uiPriority w:val="1"/>
    <w:rsid w:val="004F5FC9"/>
    <w:rPr>
      <w:rFonts w:ascii="Arial" w:eastAsia="Times New Roman" w:hAnsi="Arial"/>
      <w:sz w:val="22"/>
      <w:szCs w:val="22"/>
      <w:lang w:eastAsia="fr-FR" w:bidi="ar-SA"/>
    </w:rPr>
  </w:style>
  <w:style w:type="paragraph" w:customStyle="1" w:styleId="Titre20">
    <w:name w:val="Titre2"/>
    <w:basedOn w:val="Heading3"/>
    <w:rsid w:val="004F5FC9"/>
    <w:pPr>
      <w:numPr>
        <w:ilvl w:val="0"/>
        <w:numId w:val="0"/>
      </w:numPr>
      <w:pBdr>
        <w:bottom w:val="single" w:sz="12" w:space="2" w:color="808080"/>
      </w:pBdr>
      <w:shd w:val="clear" w:color="auto" w:fill="D9D9D9"/>
      <w:tabs>
        <w:tab w:val="left" w:pos="567"/>
        <w:tab w:val="left" w:pos="851"/>
        <w:tab w:val="left" w:pos="1021"/>
        <w:tab w:val="left" w:pos="1701"/>
        <w:tab w:val="left" w:pos="1985"/>
        <w:tab w:val="left" w:pos="2268"/>
        <w:tab w:val="left" w:pos="2552"/>
        <w:tab w:val="left" w:pos="2835"/>
      </w:tabs>
    </w:pPr>
    <w:rPr>
      <w:rFonts w:eastAsia="Times New Roman" w:cs="Times New Roman"/>
      <w:caps/>
      <w:color w:val="006666"/>
      <w:sz w:val="24"/>
      <w:szCs w:val="20"/>
      <w:lang w:val="x-none" w:eastAsia="fr-FR"/>
    </w:rPr>
  </w:style>
  <w:style w:type="character" w:customStyle="1" w:styleId="Grillecouleur-Accent3Car1">
    <w:name w:val="Grille couleur - Accent 3 Car1"/>
    <w:link w:val="ColorfulGrid-Accent3"/>
    <w:uiPriority w:val="30"/>
    <w:rsid w:val="004F5FC9"/>
    <w:rPr>
      <w:rFonts w:ascii="Calibri" w:eastAsia="Calibri" w:hAnsi="Calibri" w:cs="Times New Roman"/>
      <w:b/>
      <w:bCs/>
      <w:i/>
      <w:iCs/>
      <w:color w:val="4F81BD"/>
    </w:rPr>
  </w:style>
  <w:style w:type="numbering" w:customStyle="1" w:styleId="Aucuneliste11">
    <w:name w:val="Aucune liste11"/>
    <w:next w:val="NoList"/>
    <w:uiPriority w:val="99"/>
    <w:semiHidden/>
    <w:unhideWhenUsed/>
    <w:rsid w:val="004F5FC9"/>
  </w:style>
  <w:style w:type="numbering" w:customStyle="1" w:styleId="Aucuneliste2">
    <w:name w:val="Aucune liste2"/>
    <w:next w:val="NoList"/>
    <w:uiPriority w:val="99"/>
    <w:semiHidden/>
    <w:unhideWhenUsed/>
    <w:rsid w:val="004F5FC9"/>
  </w:style>
  <w:style w:type="numbering" w:customStyle="1" w:styleId="Aucuneliste3">
    <w:name w:val="Aucune liste3"/>
    <w:next w:val="NoList"/>
    <w:uiPriority w:val="99"/>
    <w:semiHidden/>
    <w:unhideWhenUsed/>
    <w:rsid w:val="004F5FC9"/>
  </w:style>
  <w:style w:type="paragraph" w:customStyle="1" w:styleId="p0">
    <w:name w:val="p0"/>
    <w:basedOn w:val="Normal"/>
    <w:rsid w:val="004F5FC9"/>
    <w:pPr>
      <w:widowControl w:val="0"/>
      <w:tabs>
        <w:tab w:val="left" w:pos="720"/>
      </w:tabs>
      <w:autoSpaceDE w:val="0"/>
      <w:autoSpaceDN w:val="0"/>
      <w:adjustRightInd w:val="0"/>
      <w:spacing w:after="0" w:line="240" w:lineRule="atLeast"/>
    </w:pPr>
    <w:rPr>
      <w:rFonts w:ascii="Arial" w:eastAsia="Times New Roman" w:hAnsi="Arial" w:cs="Arial"/>
      <w:color w:val="auto"/>
      <w:sz w:val="22"/>
      <w:lang w:val="en-US"/>
    </w:rPr>
  </w:style>
  <w:style w:type="paragraph" w:customStyle="1" w:styleId="p7">
    <w:name w:val="p7"/>
    <w:basedOn w:val="Normal"/>
    <w:rsid w:val="004F5FC9"/>
    <w:pPr>
      <w:widowControl w:val="0"/>
      <w:tabs>
        <w:tab w:val="left" w:pos="700"/>
      </w:tabs>
      <w:autoSpaceDE w:val="0"/>
      <w:autoSpaceDN w:val="0"/>
      <w:adjustRightInd w:val="0"/>
      <w:spacing w:after="0" w:line="280" w:lineRule="atLeast"/>
      <w:ind w:left="740"/>
      <w:jc w:val="left"/>
    </w:pPr>
    <w:rPr>
      <w:rFonts w:ascii="Arial" w:eastAsia="Times New Roman" w:hAnsi="Arial" w:cs="Arial"/>
      <w:color w:val="auto"/>
      <w:sz w:val="22"/>
      <w:lang w:val="en-US"/>
    </w:rPr>
  </w:style>
  <w:style w:type="paragraph" w:customStyle="1" w:styleId="p9">
    <w:name w:val="p9"/>
    <w:basedOn w:val="Normal"/>
    <w:rsid w:val="004F5FC9"/>
    <w:pPr>
      <w:widowControl w:val="0"/>
      <w:tabs>
        <w:tab w:val="left" w:pos="9240"/>
      </w:tabs>
      <w:autoSpaceDE w:val="0"/>
      <w:autoSpaceDN w:val="0"/>
      <w:adjustRightInd w:val="0"/>
      <w:spacing w:after="0" w:line="240" w:lineRule="atLeast"/>
      <w:ind w:left="7800"/>
      <w:jc w:val="left"/>
    </w:pPr>
    <w:rPr>
      <w:rFonts w:ascii="Arial" w:eastAsia="Times New Roman" w:hAnsi="Arial" w:cs="Arial"/>
      <w:color w:val="auto"/>
      <w:sz w:val="22"/>
      <w:lang w:val="en-US"/>
    </w:rPr>
  </w:style>
  <w:style w:type="paragraph" w:customStyle="1" w:styleId="Titredesection">
    <w:name w:val="Titre de section"/>
    <w:basedOn w:val="Normal"/>
    <w:next w:val="Normal"/>
    <w:autoRedefine/>
    <w:rsid w:val="004F5FC9"/>
    <w:pPr>
      <w:shd w:val="clear" w:color="auto" w:fill="FFFF99"/>
      <w:spacing w:before="120" w:after="0" w:line="280" w:lineRule="atLeast"/>
      <w:jc w:val="left"/>
    </w:pPr>
    <w:rPr>
      <w:rFonts w:ascii="Arial" w:eastAsia="Times New Roman" w:hAnsi="Arial" w:cs="Times New Roman"/>
      <w:b/>
      <w:color w:val="auto"/>
      <w:spacing w:val="-10"/>
      <w:sz w:val="26"/>
      <w:szCs w:val="26"/>
      <w:lang w:eastAsia="fr-FR"/>
    </w:rPr>
  </w:style>
  <w:style w:type="paragraph" w:styleId="ListBullet4">
    <w:name w:val="List Bullet 4"/>
    <w:basedOn w:val="Normal"/>
    <w:autoRedefine/>
    <w:rsid w:val="004F5FC9"/>
    <w:pPr>
      <w:spacing w:after="0" w:line="240" w:lineRule="auto"/>
      <w:ind w:left="360" w:hanging="360"/>
      <w:jc w:val="left"/>
    </w:pPr>
    <w:rPr>
      <w:rFonts w:eastAsia="Times New Roman" w:cs="Times New Roman"/>
      <w:b/>
      <w:color w:val="auto"/>
      <w:sz w:val="22"/>
      <w:szCs w:val="20"/>
      <w:lang w:eastAsia="fr-FR"/>
    </w:rPr>
  </w:style>
  <w:style w:type="paragraph" w:customStyle="1" w:styleId="TOCNumber1">
    <w:name w:val="TOC Number1"/>
    <w:basedOn w:val="Heading4"/>
    <w:autoRedefine/>
    <w:rsid w:val="004F5FC9"/>
    <w:pPr>
      <w:keepNext w:val="0"/>
      <w:keepLines w:val="0"/>
      <w:numPr>
        <w:ilvl w:val="0"/>
        <w:numId w:val="0"/>
      </w:numPr>
      <w:tabs>
        <w:tab w:val="left" w:pos="450"/>
        <w:tab w:val="left" w:pos="851"/>
      </w:tabs>
      <w:spacing w:before="120" w:after="120"/>
      <w:jc w:val="left"/>
      <w:outlineLvl w:val="9"/>
    </w:pPr>
    <w:rPr>
      <w:rFonts w:ascii="Times New Roman" w:eastAsia="Calibri" w:hAnsi="Times New Roman" w:cs="Times New Roman"/>
      <w:b/>
      <w:bCs w:val="0"/>
      <w:iCs w:val="0"/>
      <w:caps w:val="0"/>
      <w:smallCaps/>
      <w:color w:val="auto"/>
      <w:szCs w:val="20"/>
      <w:lang w:val="en-US" w:eastAsia="fr-FR"/>
    </w:rPr>
  </w:style>
  <w:style w:type="paragraph" w:customStyle="1" w:styleId="TrigIdentity2">
    <w:name w:val="Trig Identity 2"/>
    <w:rsid w:val="004F5FC9"/>
    <w:pPr>
      <w:spacing w:after="200" w:line="276" w:lineRule="auto"/>
    </w:pPr>
    <w:rPr>
      <w:rFonts w:ascii="Calibri" w:eastAsia="Times New Roman" w:hAnsi="Calibri" w:cs="Times New Roman"/>
      <w:lang w:eastAsia="fr-FR"/>
    </w:rPr>
  </w:style>
  <w:style w:type="numbering" w:customStyle="1" w:styleId="Aucuneliste4">
    <w:name w:val="Aucune liste4"/>
    <w:next w:val="NoList"/>
    <w:uiPriority w:val="99"/>
    <w:semiHidden/>
    <w:unhideWhenUsed/>
    <w:rsid w:val="004F5FC9"/>
  </w:style>
  <w:style w:type="numbering" w:customStyle="1" w:styleId="Aucuneliste5">
    <w:name w:val="Aucune liste5"/>
    <w:next w:val="NoList"/>
    <w:uiPriority w:val="99"/>
    <w:semiHidden/>
    <w:unhideWhenUsed/>
    <w:rsid w:val="004F5FC9"/>
  </w:style>
  <w:style w:type="table" w:customStyle="1" w:styleId="Grilledutableau2">
    <w:name w:val="Grille du tableau2"/>
    <w:basedOn w:val="TableNormal"/>
    <w:next w:val="TableGrid"/>
    <w:uiPriority w:val="59"/>
    <w:rsid w:val="004F5FC9"/>
    <w:pPr>
      <w:spacing w:after="0" w:line="240" w:lineRule="auto"/>
    </w:pPr>
    <w:rPr>
      <w:rFonts w:ascii="Calibri" w:eastAsia="Calibri" w:hAnsi="Calibri" w:cs="Times New Roman"/>
      <w:sz w:val="20"/>
      <w:szCs w:val="20"/>
      <w:lang w:val="en-US"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etableau">
    <w:name w:val="texte tableau"/>
    <w:basedOn w:val="TableofAuthorities"/>
    <w:autoRedefine/>
    <w:rsid w:val="004F5FC9"/>
    <w:pPr>
      <w:spacing w:before="100" w:beforeAutospacing="1" w:after="0" w:line="240" w:lineRule="auto"/>
      <w:ind w:left="0" w:firstLine="0"/>
      <w:jc w:val="both"/>
    </w:pPr>
    <w:rPr>
      <w:rFonts w:ascii="Arial" w:eastAsia="Times New Roman" w:hAnsi="Arial" w:cs="Arial"/>
      <w:sz w:val="16"/>
      <w:szCs w:val="20"/>
      <w:lang w:eastAsia="fr-FR"/>
    </w:rPr>
  </w:style>
  <w:style w:type="paragraph" w:styleId="TableofAuthorities">
    <w:name w:val="table of authorities"/>
    <w:basedOn w:val="Normal"/>
    <w:next w:val="Normal"/>
    <w:uiPriority w:val="99"/>
    <w:semiHidden/>
    <w:unhideWhenUsed/>
    <w:rsid w:val="004F5FC9"/>
    <w:pPr>
      <w:spacing w:after="200"/>
      <w:ind w:left="220" w:hanging="220"/>
      <w:jc w:val="left"/>
    </w:pPr>
    <w:rPr>
      <w:rFonts w:ascii="Calibri" w:eastAsia="Calibri" w:hAnsi="Calibri" w:cs="Times New Roman"/>
      <w:color w:val="auto"/>
      <w:sz w:val="22"/>
    </w:rPr>
  </w:style>
  <w:style w:type="paragraph" w:customStyle="1" w:styleId="Titre110">
    <w:name w:val="Titre 11"/>
    <w:basedOn w:val="Normal"/>
    <w:rsid w:val="004F5FC9"/>
    <w:pPr>
      <w:widowControl w:val="0"/>
      <w:autoSpaceDE w:val="0"/>
      <w:autoSpaceDN w:val="0"/>
      <w:spacing w:before="1" w:after="0" w:line="240" w:lineRule="auto"/>
      <w:ind w:left="2300" w:hanging="360"/>
      <w:jc w:val="left"/>
      <w:outlineLvl w:val="1"/>
    </w:pPr>
    <w:rPr>
      <w:rFonts w:ascii="Liberation Sans Narrow" w:eastAsia="Liberation Sans Narrow" w:hAnsi="Liberation Sans Narrow" w:cs="Liberation Sans Narrow"/>
      <w:b/>
      <w:bCs/>
      <w:color w:val="auto"/>
      <w:sz w:val="28"/>
      <w:szCs w:val="28"/>
      <w:lang w:val="en-US"/>
    </w:rPr>
  </w:style>
  <w:style w:type="paragraph" w:customStyle="1" w:styleId="Titre31">
    <w:name w:val="Titre 31"/>
    <w:basedOn w:val="Normal"/>
    <w:rsid w:val="004F5FC9"/>
    <w:pPr>
      <w:widowControl w:val="0"/>
      <w:autoSpaceDE w:val="0"/>
      <w:autoSpaceDN w:val="0"/>
      <w:spacing w:before="9" w:after="0" w:line="240" w:lineRule="auto"/>
      <w:ind w:left="29"/>
      <w:jc w:val="left"/>
      <w:outlineLvl w:val="3"/>
    </w:pPr>
    <w:rPr>
      <w:rFonts w:ascii="Arial" w:eastAsia="Arial" w:hAnsi="Arial" w:cs="Arial"/>
      <w:b/>
      <w:bCs/>
      <w:color w:val="auto"/>
      <w:sz w:val="21"/>
      <w:szCs w:val="21"/>
      <w:lang w:val="en-US"/>
    </w:rPr>
  </w:style>
  <w:style w:type="paragraph" w:customStyle="1" w:styleId="Titre41">
    <w:name w:val="Titre 41"/>
    <w:basedOn w:val="Normal"/>
    <w:uiPriority w:val="1"/>
    <w:rsid w:val="004F5FC9"/>
    <w:pPr>
      <w:widowControl w:val="0"/>
      <w:autoSpaceDE w:val="0"/>
      <w:autoSpaceDN w:val="0"/>
      <w:spacing w:before="1" w:after="0" w:line="240" w:lineRule="auto"/>
      <w:ind w:left="806" w:right="740"/>
      <w:jc w:val="left"/>
      <w:outlineLvl w:val="4"/>
    </w:pPr>
    <w:rPr>
      <w:rFonts w:ascii="Arial" w:eastAsia="Arial" w:hAnsi="Arial" w:cs="Arial"/>
      <w:b/>
      <w:bCs/>
      <w:i/>
      <w:color w:val="auto"/>
      <w:sz w:val="21"/>
      <w:szCs w:val="21"/>
      <w:lang w:val="en-US"/>
    </w:rPr>
  </w:style>
  <w:style w:type="table" w:customStyle="1" w:styleId="TableauGrille5Fonc-Accentuation51">
    <w:name w:val="Tableau Grille 5 Foncé - Accentuation 51"/>
    <w:basedOn w:val="TableNormal"/>
    <w:uiPriority w:val="50"/>
    <w:rsid w:val="004F5FC9"/>
    <w:pPr>
      <w:spacing w:after="0" w:line="240" w:lineRule="auto"/>
    </w:pPr>
    <w:rPr>
      <w:rFonts w:ascii="Calibri" w:eastAsia="Calibri" w:hAnsi="Calibri" w:cs="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tblPr/>
      <w:tcPr>
        <w:shd w:val="clear" w:color="auto" w:fill="B6DDE8"/>
      </w:tcPr>
    </w:tblStylePr>
    <w:tblStylePr w:type="band1Horz">
      <w:tblPr/>
      <w:tcPr>
        <w:shd w:val="clear" w:color="auto" w:fill="B6DDE8"/>
      </w:tcPr>
    </w:tblStylePr>
  </w:style>
  <w:style w:type="table" w:customStyle="1" w:styleId="TableauGrille4-Accentuation11">
    <w:name w:val="Tableau Grille 4 - Accentuation 11"/>
    <w:basedOn w:val="TableNormal"/>
    <w:uiPriority w:val="49"/>
    <w:rsid w:val="004F5FC9"/>
    <w:pPr>
      <w:spacing w:after="0" w:line="240" w:lineRule="auto"/>
    </w:pPr>
    <w:rPr>
      <w:rFonts w:ascii="Calibri" w:eastAsia="Calibri" w:hAnsi="Calibri" w:cs="Times New Roman"/>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eauGrille4-Accentuation51">
    <w:name w:val="Tableau Grille 4 - Accentuation 51"/>
    <w:basedOn w:val="TableNormal"/>
    <w:uiPriority w:val="49"/>
    <w:rsid w:val="004F5FC9"/>
    <w:pPr>
      <w:spacing w:after="0" w:line="240" w:lineRule="auto"/>
    </w:pPr>
    <w:rPr>
      <w:rFonts w:ascii="Calibri" w:eastAsia="Calibri" w:hAnsi="Calibri" w:cs="Times New Roman"/>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paragraph" w:customStyle="1" w:styleId="Grillecouleur-Accent11">
    <w:name w:val="Grille couleur - Accent 11"/>
    <w:basedOn w:val="Normal"/>
    <w:next w:val="Normal"/>
    <w:link w:val="Grillecouleur-Accent1Car1"/>
    <w:rsid w:val="004F5FC9"/>
    <w:pPr>
      <w:pBdr>
        <w:top w:val="single" w:sz="8" w:space="5" w:color="808080"/>
        <w:left w:val="single" w:sz="8" w:space="5" w:color="808080"/>
        <w:bottom w:val="single" w:sz="8" w:space="5" w:color="808080"/>
        <w:right w:val="single" w:sz="8" w:space="5" w:color="808080"/>
      </w:pBdr>
      <w:tabs>
        <w:tab w:val="left" w:pos="284"/>
        <w:tab w:val="left" w:pos="567"/>
        <w:tab w:val="left" w:pos="851"/>
        <w:tab w:val="left" w:pos="1134"/>
        <w:tab w:val="left" w:pos="1418"/>
        <w:tab w:val="left" w:pos="1701"/>
        <w:tab w:val="left" w:pos="1985"/>
        <w:tab w:val="left" w:pos="2268"/>
        <w:tab w:val="left" w:pos="2552"/>
        <w:tab w:val="left" w:pos="2835"/>
      </w:tabs>
      <w:spacing w:before="120" w:after="120" w:line="240" w:lineRule="auto"/>
      <w:ind w:left="851" w:right="851"/>
      <w:jc w:val="left"/>
    </w:pPr>
    <w:rPr>
      <w:rFonts w:ascii="Arial" w:eastAsia="Times New Roman" w:hAnsi="Arial" w:cs="Times New Roman"/>
      <w:i/>
      <w:color w:val="auto"/>
      <w:sz w:val="22"/>
      <w:szCs w:val="20"/>
      <w:lang w:val="x-none" w:eastAsia="x-none"/>
    </w:rPr>
  </w:style>
  <w:style w:type="character" w:customStyle="1" w:styleId="Grillecouleur-Accent1Car1">
    <w:name w:val="Grille couleur - Accent 1 Car1"/>
    <w:link w:val="Grillecouleur-Accent11"/>
    <w:rsid w:val="004F5FC9"/>
    <w:rPr>
      <w:rFonts w:ascii="Arial" w:eastAsia="Times New Roman" w:hAnsi="Arial" w:cs="Times New Roman"/>
      <w:i/>
      <w:szCs w:val="20"/>
      <w:lang w:val="x-none" w:eastAsia="x-none"/>
    </w:rPr>
  </w:style>
  <w:style w:type="paragraph" w:customStyle="1" w:styleId="Sansinterligne1">
    <w:name w:val="Sans interligne1"/>
    <w:uiPriority w:val="1"/>
    <w:qFormat/>
    <w:rsid w:val="004F5FC9"/>
    <w:pPr>
      <w:tabs>
        <w:tab w:val="left" w:pos="284"/>
        <w:tab w:val="left" w:pos="567"/>
        <w:tab w:val="left" w:pos="851"/>
        <w:tab w:val="left" w:pos="1134"/>
        <w:tab w:val="left" w:pos="1418"/>
        <w:tab w:val="left" w:pos="1701"/>
        <w:tab w:val="left" w:pos="1985"/>
        <w:tab w:val="left" w:pos="2268"/>
        <w:tab w:val="left" w:pos="2552"/>
        <w:tab w:val="left" w:pos="2835"/>
      </w:tabs>
      <w:spacing w:after="0" w:line="240" w:lineRule="auto"/>
    </w:pPr>
    <w:rPr>
      <w:rFonts w:ascii="Arial" w:eastAsia="Times New Roman" w:hAnsi="Arial" w:cs="Times New Roman"/>
      <w:szCs w:val="20"/>
      <w:lang w:eastAsia="fr-FR"/>
    </w:rPr>
  </w:style>
  <w:style w:type="paragraph" w:customStyle="1" w:styleId="Trameclaire-Accent21">
    <w:name w:val="Trame claire - Accent 21"/>
    <w:basedOn w:val="Normal"/>
    <w:next w:val="Normal"/>
    <w:link w:val="Trameclaire-Accent2Car1"/>
    <w:uiPriority w:val="30"/>
    <w:qFormat/>
    <w:rsid w:val="004F5FC9"/>
    <w:pPr>
      <w:pBdr>
        <w:bottom w:val="single" w:sz="4" w:space="4" w:color="4F81BD"/>
      </w:pBdr>
      <w:spacing w:before="200" w:after="280"/>
      <w:ind w:left="936" w:right="936"/>
      <w:jc w:val="left"/>
    </w:pPr>
    <w:rPr>
      <w:rFonts w:ascii="Calibri" w:eastAsia="Calibri" w:hAnsi="Calibri" w:cs="Times New Roman"/>
      <w:b/>
      <w:bCs/>
      <w:i/>
      <w:iCs/>
      <w:color w:val="4F81BD"/>
      <w:sz w:val="22"/>
      <w:lang w:val="x-none"/>
    </w:rPr>
  </w:style>
  <w:style w:type="character" w:customStyle="1" w:styleId="Trameclaire-Accent2Car1">
    <w:name w:val="Trame claire - Accent 2 Car1"/>
    <w:link w:val="Trameclaire-Accent21"/>
    <w:uiPriority w:val="30"/>
    <w:rsid w:val="004F5FC9"/>
    <w:rPr>
      <w:rFonts w:ascii="Calibri" w:eastAsia="Calibri" w:hAnsi="Calibri" w:cs="Times New Roman"/>
      <w:b/>
      <w:bCs/>
      <w:i/>
      <w:iCs/>
      <w:color w:val="4F81BD"/>
      <w:lang w:val="x-none"/>
    </w:rPr>
  </w:style>
  <w:style w:type="character" w:customStyle="1" w:styleId="Grillecouleur-Accent1Car">
    <w:name w:val="Grille couleur - Accent 1 Car"/>
    <w:rsid w:val="004F5FC9"/>
    <w:rPr>
      <w:rFonts w:ascii="Arial" w:hAnsi="Arial"/>
      <w:i/>
      <w:lang w:val="fr-FR" w:eastAsia="fr-FR"/>
    </w:rPr>
  </w:style>
  <w:style w:type="paragraph" w:customStyle="1" w:styleId="TITRE3">
    <w:name w:val="TITRE 3"/>
    <w:basedOn w:val="Normal"/>
    <w:autoRedefine/>
    <w:rsid w:val="004F5FC9"/>
    <w:pPr>
      <w:numPr>
        <w:numId w:val="106"/>
      </w:numPr>
      <w:tabs>
        <w:tab w:val="left" w:pos="284"/>
        <w:tab w:val="left" w:pos="567"/>
        <w:tab w:val="left" w:pos="851"/>
        <w:tab w:val="left" w:pos="1134"/>
        <w:tab w:val="left" w:pos="1418"/>
        <w:tab w:val="left" w:pos="1701"/>
        <w:tab w:val="left" w:pos="1985"/>
        <w:tab w:val="left" w:pos="2268"/>
        <w:tab w:val="left" w:pos="2552"/>
        <w:tab w:val="left" w:pos="2835"/>
      </w:tabs>
      <w:spacing w:after="0" w:line="240" w:lineRule="auto"/>
      <w:jc w:val="left"/>
    </w:pPr>
    <w:rPr>
      <w:rFonts w:ascii="Arial" w:eastAsia="Times New Roman" w:hAnsi="Arial" w:cs="Times New Roman"/>
      <w:b/>
      <w:color w:val="auto"/>
      <w:sz w:val="22"/>
      <w:szCs w:val="20"/>
      <w:u w:val="single"/>
      <w:lang w:val="en-US" w:eastAsia="fr-FR"/>
    </w:rPr>
  </w:style>
  <w:style w:type="paragraph" w:customStyle="1" w:styleId="Standard">
    <w:name w:val="Standard"/>
    <w:rsid w:val="004F5FC9"/>
    <w:pPr>
      <w:suppressAutoHyphens/>
      <w:autoSpaceDN w:val="0"/>
      <w:spacing w:after="0" w:line="240" w:lineRule="auto"/>
      <w:textAlignment w:val="baseline"/>
    </w:pPr>
    <w:rPr>
      <w:rFonts w:ascii="Times New Roman" w:eastAsia="SimSun" w:hAnsi="Times New Roman" w:cs="Times New Roman"/>
      <w:kern w:val="3"/>
      <w:sz w:val="24"/>
      <w:szCs w:val="24"/>
      <w:lang w:eastAsia="zh-CN"/>
    </w:rPr>
  </w:style>
  <w:style w:type="numbering" w:customStyle="1" w:styleId="WWNum3">
    <w:name w:val="WWNum3"/>
    <w:basedOn w:val="NoList"/>
    <w:rsid w:val="004F5FC9"/>
    <w:pPr>
      <w:numPr>
        <w:numId w:val="107"/>
      </w:numPr>
    </w:pPr>
  </w:style>
  <w:style w:type="numbering" w:customStyle="1" w:styleId="WWNum14">
    <w:name w:val="WWNum14"/>
    <w:basedOn w:val="NoList"/>
    <w:rsid w:val="004F5FC9"/>
    <w:pPr>
      <w:numPr>
        <w:numId w:val="108"/>
      </w:numPr>
    </w:pPr>
  </w:style>
  <w:style w:type="numbering" w:customStyle="1" w:styleId="WWNum25">
    <w:name w:val="WWNum25"/>
    <w:basedOn w:val="NoList"/>
    <w:rsid w:val="004F5FC9"/>
    <w:pPr>
      <w:numPr>
        <w:numId w:val="109"/>
      </w:numPr>
    </w:pPr>
  </w:style>
  <w:style w:type="paragraph" w:customStyle="1" w:styleId="TIT1">
    <w:name w:val="TIT 1"/>
    <w:rsid w:val="004F5FC9"/>
    <w:pPr>
      <w:numPr>
        <w:numId w:val="110"/>
      </w:numPr>
      <w:spacing w:before="100" w:beforeAutospacing="1" w:after="100" w:afterAutospacing="1" w:line="240" w:lineRule="auto"/>
      <w:contextualSpacing/>
      <w:jc w:val="both"/>
    </w:pPr>
    <w:rPr>
      <w:rFonts w:ascii="Arial" w:eastAsia="Times New Roman" w:hAnsi="Arial" w:cs="Times New Roman"/>
      <w:b/>
      <w:sz w:val="20"/>
      <w:szCs w:val="20"/>
      <w:lang w:eastAsia="fr-FR"/>
    </w:rPr>
  </w:style>
  <w:style w:type="paragraph" w:customStyle="1" w:styleId="Lignederfrence">
    <w:name w:val="Ligne de référence"/>
    <w:basedOn w:val="BodyText"/>
    <w:rsid w:val="004F5FC9"/>
    <w:pPr>
      <w:tabs>
        <w:tab w:val="left" w:pos="284"/>
        <w:tab w:val="left" w:pos="567"/>
        <w:tab w:val="left" w:pos="851"/>
        <w:tab w:val="left" w:pos="1134"/>
        <w:tab w:val="left" w:pos="1418"/>
        <w:tab w:val="left" w:pos="1701"/>
        <w:tab w:val="left" w:pos="1985"/>
        <w:tab w:val="left" w:pos="2268"/>
        <w:tab w:val="left" w:pos="2552"/>
        <w:tab w:val="left" w:pos="2835"/>
      </w:tabs>
      <w:autoSpaceDE/>
      <w:autoSpaceDN/>
      <w:adjustRightInd/>
      <w:ind w:left="0"/>
    </w:pPr>
    <w:rPr>
      <w:rFonts w:ascii="Arial" w:eastAsia="Times New Roman" w:hAnsi="Arial" w:cs="Times New Roman"/>
      <w:b/>
      <w:color w:val="FF0000"/>
      <w:szCs w:val="20"/>
      <w:lang w:eastAsia="fr-FR"/>
    </w:rPr>
  </w:style>
  <w:style w:type="paragraph" w:customStyle="1" w:styleId="TIT2">
    <w:name w:val="TIT 2"/>
    <w:link w:val="TIT2Car"/>
    <w:rsid w:val="004F5FC9"/>
    <w:pPr>
      <w:shd w:val="clear" w:color="auto" w:fill="800000"/>
      <w:spacing w:before="240" w:beforeAutospacing="1" w:after="100" w:afterAutospacing="1" w:line="240" w:lineRule="auto"/>
      <w:ind w:left="1855" w:hanging="720"/>
      <w:jc w:val="both"/>
    </w:pPr>
    <w:rPr>
      <w:rFonts w:ascii="Cambria" w:eastAsia="Times New Roman" w:hAnsi="Cambria" w:cs="Times New Roman"/>
      <w:b/>
      <w:smallCaps/>
      <w:color w:val="FFFFFF"/>
      <w:sz w:val="28"/>
      <w:szCs w:val="28"/>
      <w:lang w:eastAsia="fr-FR"/>
    </w:rPr>
  </w:style>
  <w:style w:type="paragraph" w:customStyle="1" w:styleId="Keyqualifications">
    <w:name w:val="Key qualifications"/>
    <w:basedOn w:val="Normal"/>
    <w:rsid w:val="004F5FC9"/>
    <w:pPr>
      <w:numPr>
        <w:numId w:val="111"/>
      </w:numPr>
      <w:spacing w:after="0" w:line="240" w:lineRule="auto"/>
      <w:jc w:val="left"/>
    </w:pPr>
    <w:rPr>
      <w:rFonts w:ascii="Arial" w:eastAsia="Times New Roman" w:hAnsi="Arial" w:cs="Times New Roman"/>
      <w:color w:val="auto"/>
      <w:sz w:val="22"/>
      <w:szCs w:val="24"/>
      <w:lang w:val="en-GB"/>
    </w:rPr>
  </w:style>
  <w:style w:type="character" w:customStyle="1" w:styleId="Trameclaire-Accent2Car">
    <w:name w:val="Trame claire - Accent 2 Car"/>
    <w:uiPriority w:val="30"/>
    <w:rsid w:val="004F5FC9"/>
    <w:rPr>
      <w:rFonts w:ascii="Calibri" w:eastAsia="Calibri" w:hAnsi="Calibri"/>
      <w:b/>
      <w:bCs/>
      <w:i/>
      <w:iCs/>
      <w:color w:val="4F81BD"/>
      <w:sz w:val="22"/>
      <w:szCs w:val="22"/>
      <w:lang w:val="fr-FR"/>
    </w:rPr>
  </w:style>
  <w:style w:type="numbering" w:customStyle="1" w:styleId="Aucuneliste111">
    <w:name w:val="Aucune liste111"/>
    <w:next w:val="NoList"/>
    <w:uiPriority w:val="99"/>
    <w:semiHidden/>
    <w:unhideWhenUsed/>
    <w:rsid w:val="004F5FC9"/>
  </w:style>
  <w:style w:type="numbering" w:customStyle="1" w:styleId="Aucuneliste6">
    <w:name w:val="Aucune liste6"/>
    <w:next w:val="NoList"/>
    <w:uiPriority w:val="99"/>
    <w:semiHidden/>
    <w:unhideWhenUsed/>
    <w:rsid w:val="004F5FC9"/>
  </w:style>
  <w:style w:type="table" w:customStyle="1" w:styleId="Listecouleur-Accent111">
    <w:name w:val="Liste couleur - Accent 111"/>
    <w:basedOn w:val="TableNormal"/>
    <w:next w:val="ColorfulShading-Accent3"/>
    <w:uiPriority w:val="34"/>
    <w:rsid w:val="004F5FC9"/>
    <w:pPr>
      <w:spacing w:after="0" w:line="240" w:lineRule="auto"/>
    </w:pPr>
    <w:rPr>
      <w:rFonts w:ascii="Calibri" w:eastAsia="Calibri" w:hAnsi="Calibri" w:cs="Times New Roman"/>
      <w:sz w:val="20"/>
      <w:szCs w:val="20"/>
      <w:lang w:eastAsia="fr-FR"/>
    </w:rPr>
    <w:tblPr>
      <w:tblStyleRowBandSize w:val="1"/>
      <w:tblStyleColBandSize w:val="1"/>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Grilledutableau3">
    <w:name w:val="Grille du tableau3"/>
    <w:basedOn w:val="TableNormal"/>
    <w:next w:val="TableGrid"/>
    <w:uiPriority w:val="59"/>
    <w:rsid w:val="004F5FC9"/>
    <w:pPr>
      <w:spacing w:after="0" w:line="240" w:lineRule="auto"/>
    </w:pPr>
    <w:rPr>
      <w:rFonts w:ascii="Calibri" w:eastAsia="Calibri" w:hAnsi="Calibri"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2">
    <w:name w:val="Aucune liste12"/>
    <w:next w:val="NoList"/>
    <w:uiPriority w:val="99"/>
    <w:semiHidden/>
    <w:rsid w:val="004F5FC9"/>
  </w:style>
  <w:style w:type="table" w:customStyle="1" w:styleId="Grilledutableau11">
    <w:name w:val="Grille du tableau11"/>
    <w:basedOn w:val="TableNormal"/>
    <w:next w:val="TableGrid"/>
    <w:rsid w:val="004F5FC9"/>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111">
    <w:name w:val="Aucune liste1111"/>
    <w:next w:val="NoList"/>
    <w:uiPriority w:val="99"/>
    <w:semiHidden/>
    <w:unhideWhenUsed/>
    <w:rsid w:val="004F5FC9"/>
  </w:style>
  <w:style w:type="numbering" w:customStyle="1" w:styleId="Aucuneliste21">
    <w:name w:val="Aucune liste21"/>
    <w:next w:val="NoList"/>
    <w:uiPriority w:val="99"/>
    <w:semiHidden/>
    <w:unhideWhenUsed/>
    <w:rsid w:val="004F5FC9"/>
  </w:style>
  <w:style w:type="numbering" w:customStyle="1" w:styleId="Aucuneliste31">
    <w:name w:val="Aucune liste31"/>
    <w:next w:val="NoList"/>
    <w:uiPriority w:val="99"/>
    <w:semiHidden/>
    <w:unhideWhenUsed/>
    <w:rsid w:val="004F5FC9"/>
  </w:style>
  <w:style w:type="numbering" w:customStyle="1" w:styleId="Aucuneliste41">
    <w:name w:val="Aucune liste41"/>
    <w:next w:val="NoList"/>
    <w:uiPriority w:val="99"/>
    <w:semiHidden/>
    <w:unhideWhenUsed/>
    <w:rsid w:val="004F5FC9"/>
  </w:style>
  <w:style w:type="numbering" w:customStyle="1" w:styleId="Aucuneliste51">
    <w:name w:val="Aucune liste51"/>
    <w:next w:val="NoList"/>
    <w:uiPriority w:val="99"/>
    <w:semiHidden/>
    <w:unhideWhenUsed/>
    <w:rsid w:val="004F5FC9"/>
  </w:style>
  <w:style w:type="table" w:customStyle="1" w:styleId="Grilledutableau21">
    <w:name w:val="Grille du tableau21"/>
    <w:basedOn w:val="TableNormal"/>
    <w:next w:val="TableGrid"/>
    <w:uiPriority w:val="59"/>
    <w:rsid w:val="004F5FC9"/>
    <w:pPr>
      <w:spacing w:after="0" w:line="240" w:lineRule="auto"/>
    </w:pPr>
    <w:rPr>
      <w:rFonts w:ascii="Calibri" w:eastAsia="Calibri" w:hAnsi="Calibri" w:cs="Times New Roman"/>
      <w:sz w:val="20"/>
      <w:szCs w:val="20"/>
      <w:lang w:val="en-US"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1550014346115179367m5129630244845148898gmail-p1">
    <w:name w:val="m_1550014346115179367m_5129630244845148898gmail-p1"/>
    <w:basedOn w:val="Normal"/>
    <w:rsid w:val="004F5FC9"/>
    <w:pPr>
      <w:spacing w:before="100" w:beforeAutospacing="1" w:after="100" w:afterAutospacing="1" w:line="240" w:lineRule="auto"/>
      <w:jc w:val="left"/>
    </w:pPr>
    <w:rPr>
      <w:rFonts w:eastAsia="Times New Roman" w:cs="Times New Roman"/>
      <w:color w:val="auto"/>
      <w:szCs w:val="24"/>
      <w:lang w:val="en-US"/>
    </w:rPr>
  </w:style>
  <w:style w:type="character" w:customStyle="1" w:styleId="m1550014346115179367m5129630244845148898gmail-s1">
    <w:name w:val="m_1550014346115179367m_5129630244845148898gmail-s1"/>
    <w:rsid w:val="004F5FC9"/>
  </w:style>
  <w:style w:type="character" w:customStyle="1" w:styleId="Grillemoyenne2-Accent2Car">
    <w:name w:val="Grille moyenne 2 - Accent 2 Car"/>
    <w:link w:val="MediumGrid2-Accent2"/>
    <w:uiPriority w:val="99"/>
    <w:rsid w:val="004F5FC9"/>
    <w:rPr>
      <w:rFonts w:ascii="Arial" w:eastAsia="Times New Roman" w:hAnsi="Arial"/>
      <w:i/>
    </w:rPr>
  </w:style>
  <w:style w:type="paragraph" w:customStyle="1" w:styleId="Descriptionoftasks">
    <w:name w:val="Description of tasks"/>
    <w:basedOn w:val="Normal"/>
    <w:rsid w:val="004F5FC9"/>
    <w:pPr>
      <w:keepNext/>
      <w:numPr>
        <w:numId w:val="112"/>
      </w:numPr>
      <w:spacing w:after="0" w:line="240" w:lineRule="auto"/>
      <w:jc w:val="left"/>
    </w:pPr>
    <w:rPr>
      <w:rFonts w:ascii="Arial" w:eastAsia="Times New Roman" w:hAnsi="Arial" w:cs="Arial"/>
      <w:color w:val="auto"/>
      <w:sz w:val="22"/>
      <w:szCs w:val="24"/>
      <w:lang w:val="en-GB" w:eastAsia="fr-FR"/>
    </w:rPr>
  </w:style>
  <w:style w:type="paragraph" w:customStyle="1" w:styleId="Corpsdetexte1">
    <w:name w:val="Corps de texte1"/>
    <w:basedOn w:val="Normal"/>
    <w:semiHidden/>
    <w:rsid w:val="004F5FC9"/>
    <w:pPr>
      <w:spacing w:after="0" w:line="240" w:lineRule="auto"/>
      <w:jc w:val="left"/>
    </w:pPr>
    <w:rPr>
      <w:rFonts w:eastAsia="Times New Roman" w:cs="Times New Roman"/>
      <w:i/>
      <w:iCs/>
      <w:color w:val="auto"/>
      <w:szCs w:val="24"/>
      <w:lang w:eastAsia="fr-FR"/>
    </w:rPr>
  </w:style>
  <w:style w:type="paragraph" w:customStyle="1" w:styleId="En-tte1">
    <w:name w:val="En-tête1"/>
    <w:basedOn w:val="Normal"/>
    <w:uiPriority w:val="99"/>
    <w:rsid w:val="004F5FC9"/>
    <w:pPr>
      <w:tabs>
        <w:tab w:val="center" w:pos="4536"/>
        <w:tab w:val="right" w:pos="9072"/>
      </w:tabs>
      <w:spacing w:after="0" w:line="240" w:lineRule="auto"/>
      <w:jc w:val="left"/>
    </w:pPr>
    <w:rPr>
      <w:rFonts w:eastAsia="Times New Roman" w:cs="Times New Roman"/>
      <w:color w:val="auto"/>
      <w:szCs w:val="24"/>
      <w:lang w:eastAsia="fr-FR"/>
    </w:rPr>
  </w:style>
  <w:style w:type="character" w:customStyle="1" w:styleId="Lienhypertexte1">
    <w:name w:val="Lien hypertexte1"/>
    <w:rsid w:val="004F5FC9"/>
    <w:rPr>
      <w:color w:val="0000FF"/>
      <w:u w:val="single"/>
    </w:rPr>
  </w:style>
  <w:style w:type="paragraph" w:customStyle="1" w:styleId="ColumnsRight">
    <w:name w:val="Columns Right"/>
    <w:basedOn w:val="Text"/>
    <w:rsid w:val="004F5FC9"/>
    <w:pPr>
      <w:numPr>
        <w:ilvl w:val="1"/>
        <w:numId w:val="125"/>
      </w:numPr>
      <w:tabs>
        <w:tab w:val="clear" w:pos="576"/>
      </w:tabs>
    </w:pPr>
    <w:rPr>
      <w:lang w:val="en-GB"/>
    </w:rPr>
  </w:style>
  <w:style w:type="paragraph" w:customStyle="1" w:styleId="ColumnsLeft">
    <w:name w:val="Columns Left"/>
    <w:basedOn w:val="ColumnsRight"/>
    <w:rsid w:val="004F5FC9"/>
    <w:pPr>
      <w:numPr>
        <w:ilvl w:val="0"/>
      </w:numPr>
      <w:tabs>
        <w:tab w:val="clear" w:pos="432"/>
      </w:tabs>
      <w:jc w:val="left"/>
    </w:pPr>
  </w:style>
  <w:style w:type="paragraph" w:customStyle="1" w:styleId="ColumnsRightSub">
    <w:name w:val="Columns Right (Sub)"/>
    <w:basedOn w:val="ColumnsRight"/>
    <w:rsid w:val="004F5FC9"/>
    <w:pPr>
      <w:numPr>
        <w:ilvl w:val="2"/>
      </w:numPr>
      <w:tabs>
        <w:tab w:val="clear" w:pos="720"/>
      </w:tabs>
    </w:pPr>
  </w:style>
  <w:style w:type="paragraph" w:customStyle="1" w:styleId="txt3">
    <w:name w:val="txt3"/>
    <w:basedOn w:val="Normal"/>
    <w:qFormat/>
    <w:rsid w:val="004F5FC9"/>
    <w:pPr>
      <w:pBdr>
        <w:bottom w:val="single" w:sz="4" w:space="1" w:color="auto"/>
      </w:pBdr>
      <w:spacing w:before="100" w:beforeAutospacing="1" w:after="100" w:afterAutospacing="1" w:line="240" w:lineRule="auto"/>
    </w:pPr>
    <w:rPr>
      <w:rFonts w:ascii="Cambria" w:eastAsia="Calibri" w:hAnsi="Cambria" w:cs="Times New Roman"/>
      <w:b/>
      <w:color w:val="auto"/>
      <w:sz w:val="28"/>
      <w:szCs w:val="28"/>
    </w:rPr>
  </w:style>
  <w:style w:type="paragraph" w:customStyle="1" w:styleId="txt3bis">
    <w:name w:val="txt3bis"/>
    <w:basedOn w:val="Normal"/>
    <w:uiPriority w:val="99"/>
    <w:rsid w:val="004F5FC9"/>
    <w:pPr>
      <w:pBdr>
        <w:top w:val="single" w:sz="2" w:space="0" w:color="002060"/>
        <w:bottom w:val="single" w:sz="18" w:space="1" w:color="002060"/>
      </w:pBdr>
      <w:spacing w:before="100" w:beforeAutospacing="1" w:after="100" w:afterAutospacing="1" w:line="240" w:lineRule="auto"/>
    </w:pPr>
    <w:rPr>
      <w:rFonts w:ascii="Calibri" w:eastAsia="Calibri" w:hAnsi="Calibri" w:cs="Times New Roman"/>
      <w:b/>
      <w:color w:val="auto"/>
      <w:szCs w:val="24"/>
    </w:rPr>
  </w:style>
  <w:style w:type="paragraph" w:customStyle="1" w:styleId="txt1">
    <w:name w:val="txt1"/>
    <w:basedOn w:val="Normal"/>
    <w:qFormat/>
    <w:rsid w:val="004F5FC9"/>
    <w:pPr>
      <w:pBdr>
        <w:top w:val="single" w:sz="12" w:space="1" w:color="595959"/>
        <w:bottom w:val="single" w:sz="12" w:space="1" w:color="808080"/>
      </w:pBdr>
      <w:shd w:val="pct5" w:color="8DB3E2" w:fill="auto"/>
      <w:spacing w:after="0" w:line="240" w:lineRule="auto"/>
      <w:jc w:val="center"/>
    </w:pPr>
    <w:rPr>
      <w:rFonts w:ascii="Cambria" w:eastAsia="Calibri" w:hAnsi="Cambria" w:cs="Times New Roman"/>
      <w:color w:val="002060"/>
      <w:sz w:val="40"/>
      <w:szCs w:val="20"/>
    </w:rPr>
  </w:style>
  <w:style w:type="character" w:customStyle="1" w:styleId="Titre1Car1">
    <w:name w:val="Titre 1 Car1"/>
    <w:aliases w:val="1 Car1,H1 Car1,Montitre Car1,Chapter Heading Car1,2 headline Car1,h Car1"/>
    <w:rsid w:val="004F5FC9"/>
    <w:rPr>
      <w:rFonts w:ascii="Cambria" w:eastAsia="Times New Roman" w:hAnsi="Cambria" w:cs="Times New Roman"/>
      <w:b/>
      <w:bCs/>
      <w:color w:val="365F91"/>
      <w:spacing w:val="-2"/>
      <w:sz w:val="28"/>
      <w:szCs w:val="28"/>
      <w:lang w:eastAsia="fr-FR"/>
    </w:rPr>
  </w:style>
  <w:style w:type="character" w:customStyle="1" w:styleId="Titre3Car1">
    <w:name w:val="Titre 3 Car1"/>
    <w:aliases w:val="3 Car1,H3 Car1,Reg#sNoBold Car1,4 dash Car1,d Car1,4 d Car1,e Car1,Major Car1,C Heading Car1"/>
    <w:semiHidden/>
    <w:rsid w:val="004F5FC9"/>
    <w:rPr>
      <w:rFonts w:ascii="Cambria" w:eastAsia="Times New Roman" w:hAnsi="Cambria" w:cs="Times New Roman"/>
      <w:b/>
      <w:bCs/>
      <w:color w:val="4F81BD"/>
      <w:spacing w:val="-2"/>
      <w:lang w:eastAsia="fr-FR"/>
    </w:rPr>
  </w:style>
  <w:style w:type="character" w:customStyle="1" w:styleId="Titre4Car1">
    <w:name w:val="Titre 4 Car1"/>
    <w:aliases w:val="4 Car1,H4 Car1,D Heading Car1"/>
    <w:semiHidden/>
    <w:rsid w:val="004F5FC9"/>
    <w:rPr>
      <w:rFonts w:ascii="Cambria" w:eastAsia="Times New Roman" w:hAnsi="Cambria" w:cs="Times New Roman"/>
      <w:b/>
      <w:bCs/>
      <w:i/>
      <w:iCs/>
      <w:color w:val="4F81BD"/>
      <w:spacing w:val="-2"/>
      <w:lang w:eastAsia="fr-FR"/>
    </w:rPr>
  </w:style>
  <w:style w:type="character" w:customStyle="1" w:styleId="Titre5Car1">
    <w:name w:val="Titre 5 Car1"/>
    <w:aliases w:val="5 Car1,H5 Car1"/>
    <w:semiHidden/>
    <w:rsid w:val="004F5FC9"/>
    <w:rPr>
      <w:rFonts w:ascii="Cambria" w:eastAsia="Times New Roman" w:hAnsi="Cambria" w:cs="Times New Roman"/>
      <w:color w:val="243F60"/>
      <w:spacing w:val="-2"/>
      <w:lang w:eastAsia="fr-FR"/>
    </w:rPr>
  </w:style>
  <w:style w:type="character" w:customStyle="1" w:styleId="Titre6Car1">
    <w:name w:val="Titre 6 Car1"/>
    <w:aliases w:val="6 Car1"/>
    <w:uiPriority w:val="9"/>
    <w:semiHidden/>
    <w:rsid w:val="004F5FC9"/>
    <w:rPr>
      <w:rFonts w:ascii="Cambria" w:eastAsia="Times New Roman" w:hAnsi="Cambria" w:cs="Times New Roman"/>
      <w:i/>
      <w:iCs/>
      <w:color w:val="243F60"/>
      <w:spacing w:val="-2"/>
      <w:lang w:eastAsia="fr-FR"/>
    </w:rPr>
  </w:style>
  <w:style w:type="character" w:customStyle="1" w:styleId="Titre7Car1">
    <w:name w:val="Titre 7 Car1"/>
    <w:aliases w:val="7 Car1"/>
    <w:uiPriority w:val="99"/>
    <w:semiHidden/>
    <w:rsid w:val="004F5FC9"/>
    <w:rPr>
      <w:rFonts w:ascii="Cambria" w:eastAsia="Times New Roman" w:hAnsi="Cambria" w:cs="Times New Roman"/>
      <w:i/>
      <w:iCs/>
      <w:color w:val="404040"/>
      <w:spacing w:val="-2"/>
      <w:lang w:eastAsia="fr-FR"/>
    </w:rPr>
  </w:style>
  <w:style w:type="character" w:customStyle="1" w:styleId="En-tteCar1">
    <w:name w:val="En-tête Car1"/>
    <w:aliases w:val="En-tête client Car1,Kopfzeile Char Char Car1,Char Char Char Car1,Module+LSNameHeadr Car1"/>
    <w:uiPriority w:val="99"/>
    <w:semiHidden/>
    <w:rsid w:val="004F5FC9"/>
    <w:rPr>
      <w:spacing w:val="-2"/>
    </w:rPr>
  </w:style>
  <w:style w:type="character" w:customStyle="1" w:styleId="CorpsdetexteCar1">
    <w:name w:val="Corps de texte Car1"/>
    <w:aliases w:val="tx Car1"/>
    <w:rsid w:val="004F5FC9"/>
    <w:rPr>
      <w:spacing w:val="-2"/>
    </w:rPr>
  </w:style>
  <w:style w:type="paragraph" w:customStyle="1" w:styleId="Titre12">
    <w:name w:val="Titre 12"/>
    <w:basedOn w:val="Normal"/>
    <w:uiPriority w:val="1"/>
    <w:rsid w:val="004F5FC9"/>
    <w:pPr>
      <w:widowControl w:val="0"/>
      <w:autoSpaceDE w:val="0"/>
      <w:autoSpaceDN w:val="0"/>
      <w:spacing w:after="0" w:line="240" w:lineRule="auto"/>
      <w:ind w:left="138"/>
      <w:jc w:val="left"/>
      <w:outlineLvl w:val="1"/>
    </w:pPr>
    <w:rPr>
      <w:rFonts w:ascii="Arial" w:eastAsia="Arial" w:hAnsi="Arial" w:cs="Arial"/>
      <w:b/>
      <w:bCs/>
      <w:color w:val="auto"/>
      <w:sz w:val="22"/>
      <w:lang w:val="en-US"/>
    </w:rPr>
  </w:style>
  <w:style w:type="paragraph" w:customStyle="1" w:styleId="CharChar2CarCar">
    <w:name w:val="Char Char2 Car Car"/>
    <w:basedOn w:val="Normal"/>
    <w:uiPriority w:val="99"/>
    <w:rsid w:val="004F5FC9"/>
    <w:pPr>
      <w:spacing w:line="240" w:lineRule="exact"/>
      <w:jc w:val="left"/>
    </w:pPr>
    <w:rPr>
      <w:rFonts w:ascii="Book Antiqua" w:eastAsia="Times New Roman" w:hAnsi="Book Antiqua" w:cs="Times New Roman"/>
      <w:color w:val="auto"/>
      <w:sz w:val="22"/>
      <w:szCs w:val="20"/>
      <w:lang w:val="en-US"/>
    </w:rPr>
  </w:style>
  <w:style w:type="table" w:styleId="LightList-Accent5">
    <w:name w:val="Light List Accent 5"/>
    <w:basedOn w:val="TableNormal"/>
    <w:uiPriority w:val="34"/>
    <w:rsid w:val="004F5FC9"/>
    <w:pPr>
      <w:spacing w:after="0" w:line="240" w:lineRule="auto"/>
    </w:pPr>
    <w:rPr>
      <w:rFonts w:ascii="Times New Roman" w:eastAsia="Times New Roman" w:hAnsi="Times New Roman" w:cs="Times New Roman"/>
      <w:spacing w:val="-2"/>
      <w:sz w:val="20"/>
      <w:szCs w:val="20"/>
      <w:lang w:eastAsia="fr-FR"/>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6" w:space="0" w:color="FFFFFF"/>
        </w:tcBorders>
        <w:shd w:val="clear" w:color="auto" w:fill="5E7530"/>
      </w:tcPr>
    </w:tblStylePr>
    <w:tblStylePr w:type="firstCol">
      <w:tblPr/>
      <w:tcPr>
        <w:tcBorders>
          <w:top w:val="nil"/>
          <w:left w:val="nil"/>
          <w:bottom w:val="nil"/>
          <w:right w:val="nil"/>
          <w:insideH w:val="single" w:sz="4" w:space="0" w:color="5E7530"/>
          <w:insideV w:val="nil"/>
        </w:tcBorders>
        <w:shd w:val="clear" w:color="auto" w:fill="5E7530"/>
      </w:tcPr>
    </w:tblStylePr>
    <w:tblStylePr w:type="lastCol">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styleId="LightGrid-Accent5">
    <w:name w:val="Light Grid Accent 5"/>
    <w:basedOn w:val="TableNormal"/>
    <w:link w:val="Listecouleur-Accent3Car"/>
    <w:rsid w:val="004F5FC9"/>
    <w:pPr>
      <w:spacing w:after="0" w:line="240" w:lineRule="auto"/>
    </w:pPr>
    <w:rPr>
      <w:rFonts w:ascii="Arial" w:hAnsi="Arial" w:cs="Arial"/>
      <w:i/>
      <w:lang w:eastAsia="fr-FR"/>
    </w:rPr>
    <w:tblPr>
      <w:tblStyleRowBandSize w:val="1"/>
      <w:tblStyleColBandSize w:val="1"/>
    </w:tblPr>
    <w:tcPr>
      <w:shd w:val="clear" w:color="auto" w:fill="F5F8EE"/>
    </w:tcPr>
    <w:tblStylePr w:type="firstRow">
      <w:tblPr/>
      <w:tcPr>
        <w:tcBorders>
          <w:bottom w:val="single" w:sz="12" w:space="0" w:color="FFFFFF"/>
        </w:tcBorders>
        <w:shd w:val="clear" w:color="auto" w:fill="664E82"/>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character" w:customStyle="1" w:styleId="Listecouleur-Accent3Car">
    <w:name w:val="Liste couleur - Accent 3 Car"/>
    <w:link w:val="LightGrid-Accent5"/>
    <w:locked/>
    <w:rsid w:val="004F5FC9"/>
    <w:rPr>
      <w:rFonts w:ascii="Arial" w:hAnsi="Arial" w:cs="Arial" w:hint="default"/>
      <w:i/>
      <w:iCs w:val="0"/>
      <w:lang w:val="fr-FR" w:eastAsia="fr-FR"/>
    </w:rPr>
  </w:style>
  <w:style w:type="character" w:customStyle="1" w:styleId="Grillecouleur-Accent3Car">
    <w:name w:val="Grille couleur - Accent 3 Car"/>
    <w:uiPriority w:val="30"/>
    <w:locked/>
    <w:rsid w:val="004F5FC9"/>
    <w:rPr>
      <w:rFonts w:ascii="Calibri" w:eastAsia="Calibri" w:hAnsi="Calibri" w:hint="default"/>
      <w:b/>
      <w:bCs/>
      <w:i/>
      <w:iCs/>
      <w:color w:val="4F81BD"/>
      <w:sz w:val="22"/>
      <w:szCs w:val="22"/>
      <w:lang w:val="fr-FR"/>
    </w:rPr>
  </w:style>
  <w:style w:type="table" w:styleId="MediumGrid1-Accent4">
    <w:name w:val="Medium Grid 1 Accent 4"/>
    <w:basedOn w:val="TableNormal"/>
    <w:link w:val="Tramemoyenne1-Accent3Car1"/>
    <w:rsid w:val="004F5FC9"/>
    <w:pPr>
      <w:spacing w:after="0" w:line="240" w:lineRule="auto"/>
    </w:pPr>
    <w:rPr>
      <w:rFonts w:ascii="Arial" w:hAnsi="Arial" w:cs="Arial"/>
      <w:i/>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Lines="0" w:beforeAutospacing="0" w:afterLines="0" w:afterAutospacing="0" w:line="240" w:lineRule="auto"/>
      </w:p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Lines="0" w:beforeAutospacing="0" w:afterLines="0" w:afterAutospacing="0" w:line="240" w:lineRule="auto"/>
      </w:p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character" w:customStyle="1" w:styleId="Tramemoyenne1-Accent3Car1">
    <w:name w:val="Trame moyenne 1 - Accent 3 Car1"/>
    <w:link w:val="MediumGrid1-Accent4"/>
    <w:locked/>
    <w:rsid w:val="004F5FC9"/>
    <w:rPr>
      <w:rFonts w:ascii="Arial" w:hAnsi="Arial" w:cs="Arial" w:hint="default"/>
      <w:i/>
      <w:iCs w:val="0"/>
      <w:lang w:eastAsia="en-US"/>
    </w:rPr>
  </w:style>
  <w:style w:type="character" w:customStyle="1" w:styleId="Tramemoyenne2-Accent3Car1">
    <w:name w:val="Trame moyenne 2 - Accent 3 Car1"/>
    <w:uiPriority w:val="30"/>
    <w:locked/>
    <w:rsid w:val="004F5FC9"/>
    <w:rPr>
      <w:rFonts w:ascii="Calibri" w:eastAsia="Calibri" w:hAnsi="Calibri" w:hint="default"/>
      <w:b/>
      <w:bCs/>
      <w:i/>
      <w:iCs/>
      <w:color w:val="4F81BD"/>
      <w:sz w:val="22"/>
      <w:szCs w:val="22"/>
      <w:lang w:eastAsia="en-US"/>
    </w:rPr>
  </w:style>
  <w:style w:type="table" w:styleId="TableProfessional">
    <w:name w:val="Table Professional"/>
    <w:basedOn w:val="TableNormal"/>
    <w:semiHidden/>
    <w:unhideWhenUsed/>
    <w:rsid w:val="004F5FC9"/>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character" w:customStyle="1" w:styleId="Grillemoyenne3-Accent2Car">
    <w:name w:val="Grille moyenne 3 - Accent 2 Car"/>
    <w:link w:val="MediumGrid3-Accent2"/>
    <w:uiPriority w:val="30"/>
    <w:rsid w:val="004F5FC9"/>
    <w:rPr>
      <w:b/>
      <w:bCs/>
      <w:i/>
      <w:iCs/>
      <w:color w:val="4F81BD"/>
      <w:sz w:val="22"/>
      <w:szCs w:val="22"/>
      <w:lang w:eastAsia="en-US"/>
    </w:rPr>
  </w:style>
  <w:style w:type="character" w:customStyle="1" w:styleId="TIT2Car">
    <w:name w:val="TIT 2 Car"/>
    <w:link w:val="TIT2"/>
    <w:locked/>
    <w:rsid w:val="004F5FC9"/>
    <w:rPr>
      <w:rFonts w:ascii="Cambria" w:eastAsia="Times New Roman" w:hAnsi="Cambria" w:cs="Times New Roman"/>
      <w:b/>
      <w:smallCaps/>
      <w:color w:val="FFFFFF"/>
      <w:sz w:val="28"/>
      <w:szCs w:val="28"/>
      <w:shd w:val="clear" w:color="auto" w:fill="800000"/>
      <w:lang w:eastAsia="fr-FR"/>
    </w:rPr>
  </w:style>
  <w:style w:type="character" w:customStyle="1" w:styleId="TIT3Car">
    <w:name w:val="TIT 3 Car"/>
    <w:link w:val="TIT3"/>
    <w:locked/>
    <w:rsid w:val="004F5FC9"/>
    <w:rPr>
      <w:rFonts w:ascii="Cambria" w:hAnsi="Cambria"/>
      <w:b/>
      <w:smallCaps/>
      <w:color w:val="FFFFFF"/>
      <w:sz w:val="24"/>
      <w:szCs w:val="24"/>
    </w:rPr>
  </w:style>
  <w:style w:type="paragraph" w:customStyle="1" w:styleId="TIT3">
    <w:name w:val="TIT 3"/>
    <w:basedOn w:val="TIT2"/>
    <w:link w:val="TIT3Car"/>
    <w:rsid w:val="004F5FC9"/>
    <w:pPr>
      <w:pBdr>
        <w:left w:val="single" w:sz="4" w:space="4" w:color="auto"/>
        <w:bottom w:val="single" w:sz="4" w:space="1" w:color="auto"/>
      </w:pBdr>
      <w:shd w:val="clear" w:color="auto" w:fill="auto"/>
      <w:tabs>
        <w:tab w:val="left" w:pos="993"/>
      </w:tabs>
      <w:spacing w:beforeAutospacing="0" w:after="120" w:afterAutospacing="0"/>
      <w:ind w:left="1713"/>
    </w:pPr>
    <w:rPr>
      <w:rFonts w:eastAsiaTheme="minorHAnsi" w:cstheme="minorBidi"/>
      <w:sz w:val="24"/>
      <w:szCs w:val="24"/>
      <w:lang w:eastAsia="en-US"/>
    </w:rPr>
  </w:style>
  <w:style w:type="character" w:customStyle="1" w:styleId="TIT4Car">
    <w:name w:val="TIT 4 Car"/>
    <w:link w:val="TIT4"/>
    <w:semiHidden/>
    <w:locked/>
    <w:rsid w:val="004F5FC9"/>
    <w:rPr>
      <w:rFonts w:ascii="Cambria" w:hAnsi="Cambria"/>
      <w:b/>
      <w:i/>
      <w:color w:val="FFFFFF"/>
    </w:rPr>
  </w:style>
  <w:style w:type="paragraph" w:customStyle="1" w:styleId="TIT4">
    <w:name w:val="TIT 4"/>
    <w:basedOn w:val="TIT3"/>
    <w:link w:val="TIT4Car"/>
    <w:semiHidden/>
    <w:qFormat/>
    <w:rsid w:val="004F5FC9"/>
    <w:pPr>
      <w:pBdr>
        <w:left w:val="none" w:sz="0" w:space="0" w:color="auto"/>
      </w:pBdr>
      <w:ind w:left="2073" w:hanging="1080"/>
    </w:pPr>
    <w:rPr>
      <w:i/>
      <w:smallCaps w:val="0"/>
      <w:sz w:val="22"/>
      <w:szCs w:val="22"/>
    </w:rPr>
  </w:style>
  <w:style w:type="paragraph" w:customStyle="1" w:styleId="Tit10">
    <w:name w:val="Tit 1"/>
    <w:basedOn w:val="Heading1"/>
    <w:uiPriority w:val="99"/>
    <w:semiHidden/>
    <w:qFormat/>
    <w:rsid w:val="004F5FC9"/>
    <w:pPr>
      <w:pBdr>
        <w:top w:val="single" w:sz="12" w:space="5" w:color="808080"/>
        <w:bottom w:val="single" w:sz="18" w:space="5" w:color="808080"/>
      </w:pBdr>
      <w:shd w:val="clear" w:color="auto" w:fill="FFFFFF"/>
      <w:tabs>
        <w:tab w:val="left" w:pos="284"/>
        <w:tab w:val="left" w:pos="567"/>
        <w:tab w:val="left" w:pos="851"/>
        <w:tab w:val="left" w:pos="1134"/>
        <w:tab w:val="left" w:pos="1418"/>
        <w:tab w:val="left" w:pos="1701"/>
        <w:tab w:val="left" w:pos="1985"/>
        <w:tab w:val="left" w:pos="2268"/>
        <w:tab w:val="left" w:pos="2552"/>
        <w:tab w:val="left" w:pos="2835"/>
      </w:tabs>
      <w:spacing w:before="240" w:after="360"/>
      <w:ind w:left="851" w:hanging="851"/>
      <w:jc w:val="center"/>
    </w:pPr>
    <w:rPr>
      <w:rFonts w:ascii="Cambria" w:eastAsia="Times New Roman" w:hAnsi="Cambria" w:cs="Times New Roman"/>
      <w:bCs w:val="0"/>
      <w:color w:val="FFFFFF"/>
      <w:kern w:val="16"/>
      <w:sz w:val="36"/>
      <w:szCs w:val="20"/>
    </w:rPr>
  </w:style>
  <w:style w:type="paragraph" w:customStyle="1" w:styleId="Tit20">
    <w:name w:val="Tit 2"/>
    <w:basedOn w:val="Heading2"/>
    <w:uiPriority w:val="99"/>
    <w:semiHidden/>
    <w:qFormat/>
    <w:rsid w:val="004F5FC9"/>
    <w:pPr>
      <w:numPr>
        <w:ilvl w:val="0"/>
        <w:numId w:val="0"/>
      </w:numPr>
      <w:pBdr>
        <w:bottom w:val="single" w:sz="18" w:space="3" w:color="808080"/>
      </w:pBdr>
      <w:shd w:val="clear" w:color="auto" w:fill="990000"/>
      <w:tabs>
        <w:tab w:val="left" w:pos="284"/>
        <w:tab w:val="left" w:pos="567"/>
        <w:tab w:val="num" w:pos="720"/>
        <w:tab w:val="left" w:pos="851"/>
        <w:tab w:val="left" w:pos="1134"/>
        <w:tab w:val="left" w:pos="1418"/>
        <w:tab w:val="left" w:pos="1701"/>
        <w:tab w:val="left" w:pos="1985"/>
        <w:tab w:val="left" w:pos="2268"/>
        <w:tab w:val="left" w:pos="2552"/>
        <w:tab w:val="left" w:pos="2835"/>
      </w:tabs>
      <w:spacing w:before="120" w:after="120"/>
      <w:ind w:left="284" w:hanging="284"/>
      <w:jc w:val="left"/>
    </w:pPr>
    <w:rPr>
      <w:rFonts w:ascii="Cambria" w:eastAsia="Times New Roman" w:hAnsi="Cambria" w:cs="Times New Roman"/>
      <w:bCs w:val="0"/>
      <w:color w:val="FFFFFF"/>
      <w:sz w:val="26"/>
    </w:rPr>
  </w:style>
  <w:style w:type="paragraph" w:customStyle="1" w:styleId="Tit30">
    <w:name w:val="Tit 3"/>
    <w:basedOn w:val="Heading3"/>
    <w:uiPriority w:val="99"/>
    <w:semiHidden/>
    <w:qFormat/>
    <w:rsid w:val="004F5FC9"/>
    <w:pPr>
      <w:numPr>
        <w:ilvl w:val="0"/>
        <w:numId w:val="0"/>
      </w:numPr>
      <w:pBdr>
        <w:bottom w:val="single" w:sz="12" w:space="2" w:color="808080"/>
      </w:pBdr>
      <w:shd w:val="clear" w:color="auto" w:fill="990000"/>
      <w:tabs>
        <w:tab w:val="left" w:pos="284"/>
        <w:tab w:val="left" w:pos="567"/>
        <w:tab w:val="left" w:pos="851"/>
        <w:tab w:val="left" w:pos="1021"/>
        <w:tab w:val="left" w:pos="1134"/>
        <w:tab w:val="left" w:pos="1418"/>
        <w:tab w:val="left" w:pos="1701"/>
        <w:tab w:val="left" w:pos="1985"/>
        <w:tab w:val="left" w:pos="2268"/>
        <w:tab w:val="left" w:pos="2552"/>
        <w:tab w:val="left" w:pos="2835"/>
      </w:tabs>
      <w:ind w:left="1080" w:hanging="720"/>
    </w:pPr>
    <w:rPr>
      <w:rFonts w:eastAsia="Times New Roman" w:cs="Times New Roman"/>
      <w:smallCaps/>
      <w:color w:val="FFFFFF"/>
      <w:sz w:val="24"/>
      <w:szCs w:val="20"/>
      <w:lang w:eastAsia="fr-FR"/>
    </w:rPr>
  </w:style>
  <w:style w:type="character" w:customStyle="1" w:styleId="Caractredesous-section">
    <w:name w:val="Caractère de sous-section"/>
    <w:link w:val="Sous-section"/>
    <w:semiHidden/>
    <w:locked/>
    <w:rsid w:val="004F5FC9"/>
    <w:rPr>
      <w:rFonts w:ascii="Cambria" w:hAnsi="Cambria"/>
      <w:b/>
      <w:bCs/>
      <w:color w:val="4F81BD"/>
      <w:spacing w:val="20"/>
      <w:sz w:val="24"/>
      <w:szCs w:val="24"/>
    </w:rPr>
  </w:style>
  <w:style w:type="paragraph" w:customStyle="1" w:styleId="Sous-section">
    <w:name w:val="Sous-section"/>
    <w:basedOn w:val="Normal"/>
    <w:next w:val="Normal"/>
    <w:link w:val="Caractredesous-section"/>
    <w:semiHidden/>
    <w:qFormat/>
    <w:rsid w:val="004F5FC9"/>
    <w:pPr>
      <w:spacing w:after="0" w:line="240" w:lineRule="auto"/>
      <w:jc w:val="left"/>
      <w:outlineLvl w:val="0"/>
    </w:pPr>
    <w:rPr>
      <w:rFonts w:ascii="Cambria" w:hAnsi="Cambria"/>
      <w:b/>
      <w:bCs/>
      <w:color w:val="4F81BD"/>
      <w:spacing w:val="20"/>
      <w:szCs w:val="24"/>
    </w:rPr>
  </w:style>
  <w:style w:type="character" w:customStyle="1" w:styleId="Caractre1dedatedesous-section">
    <w:name w:val="Caractère1 de date de sous-section"/>
    <w:link w:val="Datedesous-section"/>
    <w:semiHidden/>
    <w:locked/>
    <w:rsid w:val="004F5FC9"/>
    <w:rPr>
      <w:rFonts w:ascii="Cambria" w:hAnsi="Cambria"/>
      <w:color w:val="1F497D"/>
      <w:spacing w:val="20"/>
      <w:sz w:val="24"/>
      <w:szCs w:val="24"/>
    </w:rPr>
  </w:style>
  <w:style w:type="paragraph" w:customStyle="1" w:styleId="Datedesous-section">
    <w:name w:val="Date de sous-section"/>
    <w:basedOn w:val="Normal"/>
    <w:next w:val="Normal"/>
    <w:link w:val="Caractre1dedatedesous-section"/>
    <w:semiHidden/>
    <w:qFormat/>
    <w:rsid w:val="004F5FC9"/>
    <w:pPr>
      <w:spacing w:after="0" w:line="240" w:lineRule="auto"/>
      <w:jc w:val="left"/>
      <w:outlineLvl w:val="0"/>
    </w:pPr>
    <w:rPr>
      <w:rFonts w:ascii="Cambria" w:hAnsi="Cambria"/>
      <w:color w:val="1F497D"/>
      <w:spacing w:val="20"/>
      <w:szCs w:val="24"/>
    </w:rPr>
  </w:style>
  <w:style w:type="paragraph" w:customStyle="1" w:styleId="BVPI1">
    <w:name w:val="BVPI 1"/>
    <w:basedOn w:val="Normal"/>
    <w:uiPriority w:val="99"/>
    <w:semiHidden/>
    <w:qFormat/>
    <w:rsid w:val="004F5FC9"/>
    <w:pPr>
      <w:pBdr>
        <w:top w:val="single" w:sz="12" w:space="1" w:color="595959"/>
        <w:bottom w:val="single" w:sz="12" w:space="1" w:color="808080"/>
      </w:pBdr>
      <w:shd w:val="pct5" w:color="A6A6A6" w:fill="auto"/>
      <w:spacing w:before="60" w:after="120" w:line="240" w:lineRule="auto"/>
      <w:jc w:val="center"/>
    </w:pPr>
    <w:rPr>
      <w:rFonts w:ascii="Calibri Light" w:eastAsia="Calibri" w:hAnsi="Calibri Light" w:cs="Times New Roman"/>
      <w:color w:val="002060"/>
      <w:sz w:val="40"/>
      <w:szCs w:val="20"/>
    </w:rPr>
  </w:style>
  <w:style w:type="paragraph" w:customStyle="1" w:styleId="BVPI2">
    <w:name w:val="BVPI 2"/>
    <w:basedOn w:val="Normal"/>
    <w:uiPriority w:val="99"/>
    <w:semiHidden/>
    <w:qFormat/>
    <w:rsid w:val="004F5FC9"/>
    <w:pPr>
      <w:pBdr>
        <w:top w:val="single" w:sz="12" w:space="1" w:color="31849B"/>
        <w:bottom w:val="single" w:sz="18" w:space="0" w:color="31849B"/>
      </w:pBdr>
      <w:shd w:val="clear" w:color="auto" w:fill="B1FA6E"/>
      <w:spacing w:before="100" w:beforeAutospacing="1" w:after="100" w:afterAutospacing="1" w:line="240" w:lineRule="auto"/>
      <w:jc w:val="center"/>
    </w:pPr>
    <w:rPr>
      <w:rFonts w:ascii="Cambria" w:eastAsia="Calibri" w:hAnsi="Cambria" w:cs="Times New Roman"/>
      <w:b/>
      <w:smallCaps/>
      <w:color w:val="404040"/>
      <w:sz w:val="36"/>
      <w:szCs w:val="24"/>
    </w:rPr>
  </w:style>
  <w:style w:type="paragraph" w:customStyle="1" w:styleId="Titre32">
    <w:name w:val="Titre 32"/>
    <w:basedOn w:val="Normal"/>
    <w:uiPriority w:val="1"/>
    <w:semiHidden/>
    <w:qFormat/>
    <w:rsid w:val="004F5FC9"/>
    <w:pPr>
      <w:widowControl w:val="0"/>
      <w:autoSpaceDE w:val="0"/>
      <w:autoSpaceDN w:val="0"/>
      <w:spacing w:after="0" w:line="240" w:lineRule="auto"/>
      <w:ind w:left="20"/>
      <w:jc w:val="left"/>
      <w:outlineLvl w:val="3"/>
    </w:pPr>
    <w:rPr>
      <w:rFonts w:eastAsia="Times New Roman" w:cs="Times New Roman"/>
      <w:b/>
      <w:bCs/>
      <w:color w:val="auto"/>
      <w:szCs w:val="24"/>
      <w:lang w:val="en-US"/>
    </w:rPr>
  </w:style>
  <w:style w:type="paragraph" w:customStyle="1" w:styleId="Titre42">
    <w:name w:val="Titre 42"/>
    <w:basedOn w:val="Normal"/>
    <w:uiPriority w:val="1"/>
    <w:semiHidden/>
    <w:qFormat/>
    <w:rsid w:val="004F5FC9"/>
    <w:pPr>
      <w:widowControl w:val="0"/>
      <w:autoSpaceDE w:val="0"/>
      <w:autoSpaceDN w:val="0"/>
      <w:spacing w:after="0" w:line="240" w:lineRule="auto"/>
      <w:ind w:left="1040"/>
      <w:jc w:val="left"/>
      <w:outlineLvl w:val="4"/>
    </w:pPr>
    <w:rPr>
      <w:rFonts w:eastAsia="Times New Roman" w:cs="Times New Roman"/>
      <w:b/>
      <w:bCs/>
      <w:color w:val="auto"/>
      <w:sz w:val="22"/>
      <w:lang w:val="en-US"/>
    </w:rPr>
  </w:style>
  <w:style w:type="paragraph" w:customStyle="1" w:styleId="Normalar">
    <w:name w:val="Normal aéré"/>
    <w:basedOn w:val="Normal"/>
    <w:uiPriority w:val="7"/>
    <w:semiHidden/>
    <w:rsid w:val="004F5FC9"/>
    <w:pPr>
      <w:widowControl w:val="0"/>
      <w:suppressAutoHyphens/>
      <w:overflowPunct w:val="0"/>
      <w:autoSpaceDE w:val="0"/>
      <w:spacing w:before="60" w:after="60" w:line="260" w:lineRule="exact"/>
      <w:jc w:val="left"/>
    </w:pPr>
    <w:rPr>
      <w:rFonts w:ascii="Arial" w:eastAsia="Times New Roman" w:hAnsi="Arial" w:cs="Arial"/>
      <w:color w:val="auto"/>
      <w:sz w:val="22"/>
      <w:szCs w:val="20"/>
      <w:lang w:val="en-GB" w:eastAsia="ar-SA"/>
    </w:rPr>
  </w:style>
  <w:style w:type="character" w:customStyle="1" w:styleId="hoenzb">
    <w:name w:val="hoenzb"/>
    <w:basedOn w:val="DefaultParagraphFont"/>
    <w:rsid w:val="004F5FC9"/>
  </w:style>
  <w:style w:type="character" w:customStyle="1" w:styleId="un">
    <w:name w:val="u_n"/>
    <w:basedOn w:val="DefaultParagraphFont"/>
    <w:rsid w:val="004F5FC9"/>
  </w:style>
  <w:style w:type="character" w:customStyle="1" w:styleId="TextedebullesCar1">
    <w:name w:val="Texte de bulles Car1"/>
    <w:uiPriority w:val="99"/>
    <w:semiHidden/>
    <w:locked/>
    <w:rsid w:val="004F5FC9"/>
    <w:rPr>
      <w:rFonts w:ascii="Tahoma" w:eastAsia="Calibri" w:hAnsi="Tahoma" w:cs="Tahoma" w:hint="default"/>
      <w:sz w:val="16"/>
      <w:szCs w:val="16"/>
      <w:lang w:eastAsia="en-US"/>
    </w:rPr>
  </w:style>
  <w:style w:type="character" w:customStyle="1" w:styleId="shorttext">
    <w:name w:val="short_text"/>
    <w:basedOn w:val="DefaultParagraphFont"/>
    <w:uiPriority w:val="6"/>
    <w:rsid w:val="004F5FC9"/>
  </w:style>
  <w:style w:type="table" w:customStyle="1" w:styleId="Grilledutableau4">
    <w:name w:val="Grille du tableau4"/>
    <w:basedOn w:val="TableNormal"/>
    <w:next w:val="TableGrid"/>
    <w:uiPriority w:val="59"/>
    <w:rsid w:val="004F5FC9"/>
    <w:pPr>
      <w:spacing w:after="0" w:line="240" w:lineRule="auto"/>
      <w:ind w:left="284" w:right="284" w:hanging="284"/>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12">
    <w:name w:val="Grille du tableau12"/>
    <w:basedOn w:val="TableNormal"/>
    <w:rsid w:val="004F5FC9"/>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22">
    <w:name w:val="Grille du tableau22"/>
    <w:basedOn w:val="TableNormal"/>
    <w:uiPriority w:val="59"/>
    <w:rsid w:val="004F5FC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1">
    <w:name w:val="Grille du tableau31"/>
    <w:basedOn w:val="TableNormal"/>
    <w:uiPriority w:val="39"/>
    <w:rsid w:val="004F5FC9"/>
    <w:pPr>
      <w:spacing w:before="100" w:beforeAutospacing="1" w:after="100" w:afterAutospacing="1" w:line="240" w:lineRule="auto"/>
      <w:jc w:val="both"/>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41">
    <w:name w:val="Grille du tableau41"/>
    <w:basedOn w:val="TableNormal"/>
    <w:uiPriority w:val="59"/>
    <w:rsid w:val="004F5FC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5">
    <w:name w:val="Grille du tableau5"/>
    <w:basedOn w:val="TableNormal"/>
    <w:uiPriority w:val="59"/>
    <w:rsid w:val="004F5FC9"/>
    <w:pPr>
      <w:spacing w:before="100" w:beforeAutospacing="1" w:after="100" w:afterAutospacing="1" w:line="240" w:lineRule="auto"/>
      <w:jc w:val="both"/>
    </w:pPr>
    <w:rPr>
      <w:rFonts w:ascii="Cambria" w:eastAsia="Calibri" w:hAnsi="Cambria"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0">
    <w:name w:val="TableGrid"/>
    <w:uiPriority w:val="99"/>
    <w:rsid w:val="004F5FC9"/>
    <w:pPr>
      <w:spacing w:after="0" w:line="240" w:lineRule="auto"/>
    </w:pPr>
    <w:rPr>
      <w:rFonts w:ascii="Calibri" w:eastAsia="Times New Roman" w:hAnsi="Calibri" w:cs="Times New Roman"/>
      <w:szCs w:val="20"/>
    </w:rPr>
    <w:tblPr>
      <w:tblCellMar>
        <w:top w:w="0" w:type="dxa"/>
        <w:left w:w="0" w:type="dxa"/>
        <w:bottom w:w="0" w:type="dxa"/>
        <w:right w:w="0" w:type="dxa"/>
      </w:tblCellMar>
    </w:tblPr>
  </w:style>
  <w:style w:type="table" w:customStyle="1" w:styleId="Grilledutableau6">
    <w:name w:val="Grille du tableau6"/>
    <w:basedOn w:val="TableNormal"/>
    <w:uiPriority w:val="39"/>
    <w:rsid w:val="004F5FC9"/>
    <w:pPr>
      <w:spacing w:before="100" w:beforeAutospacing="1" w:after="100" w:afterAutospacing="1" w:line="240" w:lineRule="auto"/>
      <w:jc w:val="both"/>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7">
    <w:name w:val="Grille du tableau7"/>
    <w:basedOn w:val="TableNormal"/>
    <w:uiPriority w:val="99"/>
    <w:rsid w:val="004F5FC9"/>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121">
    <w:name w:val="Grille du tableau121"/>
    <w:basedOn w:val="TableNormal"/>
    <w:rsid w:val="004F5FC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8">
    <w:name w:val="Grille du tableau8"/>
    <w:basedOn w:val="TableNormal"/>
    <w:uiPriority w:val="39"/>
    <w:rsid w:val="004F5FC9"/>
    <w:pPr>
      <w:spacing w:before="100" w:beforeAutospacing="1" w:after="100" w:afterAutospacing="1" w:line="240" w:lineRule="auto"/>
      <w:jc w:val="both"/>
    </w:pPr>
    <w:rPr>
      <w:rFonts w:ascii="Calibri" w:eastAsia="Calibri" w:hAnsi="Calibri" w:cs="Times New Roman"/>
      <w:b/>
      <w:szCs w:val="3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9">
    <w:name w:val="Grille du tableau9"/>
    <w:basedOn w:val="TableNormal"/>
    <w:uiPriority w:val="39"/>
    <w:rsid w:val="004F5FC9"/>
    <w:pPr>
      <w:spacing w:before="100" w:beforeAutospacing="1" w:after="100" w:afterAutospacing="1" w:line="240" w:lineRule="auto"/>
      <w:jc w:val="both"/>
    </w:pPr>
    <w:rPr>
      <w:rFonts w:ascii="Calibri" w:eastAsia="Calibri" w:hAnsi="Calibri" w:cs="Times New Roman"/>
      <w:b/>
      <w:szCs w:val="3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10">
    <w:name w:val="Grille du tableau10"/>
    <w:basedOn w:val="TableNormal"/>
    <w:uiPriority w:val="59"/>
    <w:rsid w:val="004F5FC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3">
    <w:name w:val="Grille du tableau13"/>
    <w:basedOn w:val="TableNormal"/>
    <w:rsid w:val="004F5FC9"/>
    <w:pPr>
      <w:spacing w:before="100" w:beforeAutospacing="1" w:after="100" w:afterAutospacing="1" w:line="240" w:lineRule="auto"/>
      <w:jc w:val="both"/>
    </w:pPr>
    <w:rPr>
      <w:rFonts w:ascii="Cambria" w:eastAsia="Calibri" w:hAnsi="Cambria"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311">
    <w:name w:val="Grille du tableau311"/>
    <w:basedOn w:val="TableNormal"/>
    <w:uiPriority w:val="39"/>
    <w:rsid w:val="004F5FC9"/>
    <w:pPr>
      <w:spacing w:before="100" w:beforeAutospacing="1" w:after="100" w:afterAutospacing="1" w:line="240" w:lineRule="auto"/>
      <w:jc w:val="both"/>
    </w:pPr>
    <w:rPr>
      <w:rFonts w:ascii="Calibri" w:eastAsia="Calibri" w:hAnsi="Calibri" w:cs="Times New Roman"/>
      <w:color w:val="FF0000"/>
      <w:sz w:val="32"/>
      <w:szCs w:val="3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61">
    <w:name w:val="Grille du tableau61"/>
    <w:basedOn w:val="TableNormal"/>
    <w:uiPriority w:val="59"/>
    <w:rsid w:val="004F5FC9"/>
    <w:pPr>
      <w:spacing w:after="0" w:line="240" w:lineRule="auto"/>
      <w:ind w:left="284" w:right="284" w:hanging="284"/>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WWNum253">
    <w:name w:val="WWNum253"/>
    <w:rsid w:val="004F5FC9"/>
    <w:pPr>
      <w:numPr>
        <w:numId w:val="105"/>
      </w:numPr>
    </w:pPr>
  </w:style>
  <w:style w:type="numbering" w:customStyle="1" w:styleId="WWNum1412">
    <w:name w:val="WWNum1412"/>
    <w:rsid w:val="004F5FC9"/>
    <w:pPr>
      <w:numPr>
        <w:numId w:val="83"/>
      </w:numPr>
    </w:pPr>
  </w:style>
  <w:style w:type="numbering" w:customStyle="1" w:styleId="WWNum143">
    <w:name w:val="WWNum143"/>
    <w:rsid w:val="004F5FC9"/>
    <w:pPr>
      <w:numPr>
        <w:numId w:val="126"/>
      </w:numPr>
    </w:pPr>
  </w:style>
  <w:style w:type="numbering" w:customStyle="1" w:styleId="WWNum1411">
    <w:name w:val="WWNum1411"/>
    <w:rsid w:val="004F5FC9"/>
    <w:pPr>
      <w:numPr>
        <w:numId w:val="127"/>
      </w:numPr>
    </w:pPr>
  </w:style>
  <w:style w:type="numbering" w:customStyle="1" w:styleId="WWNum2512">
    <w:name w:val="WWNum2512"/>
    <w:rsid w:val="004F5FC9"/>
    <w:pPr>
      <w:numPr>
        <w:numId w:val="115"/>
      </w:numPr>
    </w:pPr>
  </w:style>
  <w:style w:type="numbering" w:customStyle="1" w:styleId="WWNum311">
    <w:name w:val="WWNum311"/>
    <w:rsid w:val="004F5FC9"/>
    <w:pPr>
      <w:numPr>
        <w:numId w:val="128"/>
      </w:numPr>
    </w:pPr>
  </w:style>
  <w:style w:type="numbering" w:customStyle="1" w:styleId="WWNum33">
    <w:name w:val="WWNum33"/>
    <w:rsid w:val="004F5FC9"/>
    <w:pPr>
      <w:numPr>
        <w:numId w:val="129"/>
      </w:numPr>
    </w:pPr>
  </w:style>
  <w:style w:type="numbering" w:customStyle="1" w:styleId="WWNum2511">
    <w:name w:val="WWNum2511"/>
    <w:rsid w:val="004F5FC9"/>
    <w:pPr>
      <w:numPr>
        <w:numId w:val="130"/>
      </w:numPr>
    </w:pPr>
  </w:style>
  <w:style w:type="numbering" w:customStyle="1" w:styleId="WWNum142">
    <w:name w:val="WWNum142"/>
    <w:rsid w:val="004F5FC9"/>
  </w:style>
  <w:style w:type="numbering" w:customStyle="1" w:styleId="WWNum252">
    <w:name w:val="WWNum252"/>
    <w:rsid w:val="004F5FC9"/>
  </w:style>
  <w:style w:type="numbering" w:customStyle="1" w:styleId="WWNum312">
    <w:name w:val="WWNum312"/>
    <w:rsid w:val="004F5FC9"/>
    <w:pPr>
      <w:numPr>
        <w:numId w:val="131"/>
      </w:numPr>
    </w:pPr>
  </w:style>
  <w:style w:type="numbering" w:customStyle="1" w:styleId="WWNum32">
    <w:name w:val="WWNum32"/>
    <w:rsid w:val="004F5FC9"/>
  </w:style>
  <w:style w:type="table" w:customStyle="1" w:styleId="Grilledutableau14">
    <w:name w:val="Grille du tableau14"/>
    <w:basedOn w:val="TableNormal"/>
    <w:next w:val="TableGrid"/>
    <w:rsid w:val="004F5FC9"/>
    <w:pPr>
      <w:spacing w:after="0" w:line="240" w:lineRule="auto"/>
      <w:ind w:left="284" w:right="284" w:hanging="284"/>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15">
    <w:name w:val="Grille du tableau15"/>
    <w:basedOn w:val="TableNormal"/>
    <w:rsid w:val="004F5FC9"/>
    <w:pPr>
      <w:spacing w:after="0" w:line="240" w:lineRule="auto"/>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23">
    <w:name w:val="Grille du tableau23"/>
    <w:basedOn w:val="TableNormal"/>
    <w:uiPriority w:val="59"/>
    <w:rsid w:val="004F5FC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2">
    <w:name w:val="Grille du tableau32"/>
    <w:basedOn w:val="TableNormal"/>
    <w:uiPriority w:val="39"/>
    <w:rsid w:val="004F5FC9"/>
    <w:pPr>
      <w:spacing w:before="100" w:beforeAutospacing="1" w:after="100" w:afterAutospacing="1" w:line="240" w:lineRule="auto"/>
      <w:jc w:val="both"/>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42">
    <w:name w:val="Grille du tableau42"/>
    <w:basedOn w:val="TableNormal"/>
    <w:uiPriority w:val="59"/>
    <w:rsid w:val="004F5FC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22">
    <w:name w:val="Grille du tableau122"/>
    <w:basedOn w:val="TableNormal"/>
    <w:rsid w:val="004F5FC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81">
    <w:name w:val="Grille du tableau81"/>
    <w:basedOn w:val="TableNormal"/>
    <w:uiPriority w:val="39"/>
    <w:rsid w:val="004F5FC9"/>
    <w:pPr>
      <w:spacing w:before="100" w:beforeAutospacing="1" w:after="100" w:afterAutospacing="1" w:line="240" w:lineRule="auto"/>
      <w:jc w:val="both"/>
    </w:pPr>
    <w:rPr>
      <w:rFonts w:ascii="Calibri" w:eastAsia="Calibri" w:hAnsi="Calibri" w:cs="Times New Roman"/>
      <w:b/>
      <w:szCs w:val="3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91">
    <w:name w:val="Grille du tableau91"/>
    <w:basedOn w:val="TableNormal"/>
    <w:uiPriority w:val="39"/>
    <w:rsid w:val="004F5FC9"/>
    <w:pPr>
      <w:spacing w:before="100" w:beforeAutospacing="1" w:after="100" w:afterAutospacing="1" w:line="240" w:lineRule="auto"/>
      <w:jc w:val="both"/>
    </w:pPr>
    <w:rPr>
      <w:rFonts w:ascii="Calibri" w:eastAsia="Calibri" w:hAnsi="Calibri" w:cs="Times New Roman"/>
      <w:b/>
      <w:szCs w:val="3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312">
    <w:name w:val="Grille du tableau312"/>
    <w:basedOn w:val="TableNormal"/>
    <w:uiPriority w:val="39"/>
    <w:rsid w:val="004F5FC9"/>
    <w:pPr>
      <w:spacing w:before="100" w:beforeAutospacing="1" w:after="100" w:afterAutospacing="1" w:line="240" w:lineRule="auto"/>
      <w:jc w:val="both"/>
    </w:pPr>
    <w:rPr>
      <w:rFonts w:ascii="Calibri" w:eastAsia="Calibri" w:hAnsi="Calibri" w:cs="Times New Roman"/>
      <w:color w:val="FF0000"/>
      <w:sz w:val="32"/>
      <w:szCs w:val="3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WWNum2531">
    <w:name w:val="WWNum2531"/>
    <w:rsid w:val="004F5FC9"/>
    <w:pPr>
      <w:numPr>
        <w:numId w:val="114"/>
      </w:numPr>
    </w:pPr>
  </w:style>
  <w:style w:type="numbering" w:customStyle="1" w:styleId="WWNum14121">
    <w:name w:val="WWNum14121"/>
    <w:rsid w:val="004F5FC9"/>
    <w:pPr>
      <w:numPr>
        <w:numId w:val="116"/>
      </w:numPr>
    </w:pPr>
  </w:style>
  <w:style w:type="numbering" w:customStyle="1" w:styleId="WWNum1431">
    <w:name w:val="WWNum1431"/>
    <w:rsid w:val="004F5FC9"/>
    <w:pPr>
      <w:numPr>
        <w:numId w:val="117"/>
      </w:numPr>
    </w:pPr>
  </w:style>
  <w:style w:type="numbering" w:customStyle="1" w:styleId="WWNum14111">
    <w:name w:val="WWNum14111"/>
    <w:rsid w:val="004F5FC9"/>
    <w:pPr>
      <w:numPr>
        <w:numId w:val="118"/>
      </w:numPr>
    </w:pPr>
  </w:style>
  <w:style w:type="numbering" w:customStyle="1" w:styleId="WWNum25121">
    <w:name w:val="WWNum25121"/>
    <w:rsid w:val="004F5FC9"/>
    <w:pPr>
      <w:numPr>
        <w:numId w:val="119"/>
      </w:numPr>
    </w:pPr>
  </w:style>
  <w:style w:type="numbering" w:customStyle="1" w:styleId="WWNum3111">
    <w:name w:val="WWNum3111"/>
    <w:rsid w:val="004F5FC9"/>
    <w:pPr>
      <w:numPr>
        <w:numId w:val="120"/>
      </w:numPr>
    </w:pPr>
  </w:style>
  <w:style w:type="numbering" w:customStyle="1" w:styleId="WWNum331">
    <w:name w:val="WWNum331"/>
    <w:rsid w:val="004F5FC9"/>
    <w:pPr>
      <w:numPr>
        <w:numId w:val="90"/>
      </w:numPr>
    </w:pPr>
  </w:style>
  <w:style w:type="numbering" w:customStyle="1" w:styleId="WWNum25111">
    <w:name w:val="WWNum25111"/>
    <w:rsid w:val="004F5FC9"/>
    <w:pPr>
      <w:numPr>
        <w:numId w:val="113"/>
      </w:numPr>
    </w:pPr>
  </w:style>
  <w:style w:type="numbering" w:customStyle="1" w:styleId="WWNum1421">
    <w:name w:val="WWNum1421"/>
    <w:rsid w:val="004F5FC9"/>
    <w:pPr>
      <w:numPr>
        <w:numId w:val="121"/>
      </w:numPr>
    </w:pPr>
  </w:style>
  <w:style w:type="numbering" w:customStyle="1" w:styleId="WWNum2521">
    <w:name w:val="WWNum2521"/>
    <w:rsid w:val="004F5FC9"/>
    <w:pPr>
      <w:numPr>
        <w:numId w:val="122"/>
      </w:numPr>
    </w:pPr>
  </w:style>
  <w:style w:type="numbering" w:customStyle="1" w:styleId="WWNum3121">
    <w:name w:val="WWNum3121"/>
    <w:rsid w:val="004F5FC9"/>
    <w:pPr>
      <w:numPr>
        <w:numId w:val="123"/>
      </w:numPr>
    </w:pPr>
  </w:style>
  <w:style w:type="numbering" w:customStyle="1" w:styleId="WWNum321">
    <w:name w:val="WWNum321"/>
    <w:rsid w:val="004F5FC9"/>
    <w:pPr>
      <w:numPr>
        <w:numId w:val="124"/>
      </w:numPr>
    </w:pPr>
  </w:style>
  <w:style w:type="paragraph" w:customStyle="1" w:styleId="c2a">
    <w:name w:val="c2a"/>
    <w:basedOn w:val="Rubrique"/>
    <w:rsid w:val="004F5FC9"/>
    <w:pPr>
      <w:jc w:val="center"/>
    </w:pPr>
    <w:rPr>
      <w:caps w:val="0"/>
    </w:rPr>
  </w:style>
  <w:style w:type="paragraph" w:customStyle="1" w:styleId="c3b">
    <w:name w:val="c3b"/>
    <w:basedOn w:val="Heading3"/>
    <w:rsid w:val="004F5FC9"/>
    <w:pPr>
      <w:numPr>
        <w:ilvl w:val="0"/>
        <w:numId w:val="0"/>
      </w:numPr>
      <w:pBdr>
        <w:bottom w:val="single" w:sz="12" w:space="2" w:color="808080"/>
      </w:pBdr>
      <w:shd w:val="clear" w:color="FFFF00" w:fill="C0C0C0"/>
      <w:tabs>
        <w:tab w:val="left" w:pos="567"/>
        <w:tab w:val="left" w:pos="851"/>
        <w:tab w:val="left" w:pos="1021"/>
        <w:tab w:val="left" w:pos="1701"/>
        <w:tab w:val="left" w:pos="1985"/>
        <w:tab w:val="left" w:pos="2268"/>
        <w:tab w:val="left" w:pos="2552"/>
        <w:tab w:val="left" w:pos="2835"/>
      </w:tabs>
      <w:ind w:left="1418" w:hanging="426"/>
    </w:pPr>
    <w:rPr>
      <w:rFonts w:eastAsia="Times New Roman" w:cs="Times New Roman"/>
      <w:color w:val="auto"/>
      <w:sz w:val="24"/>
      <w:szCs w:val="20"/>
      <w:lang w:eastAsia="fr-FR"/>
    </w:rPr>
  </w:style>
  <w:style w:type="paragraph" w:customStyle="1" w:styleId="c3a">
    <w:name w:val="c3a"/>
    <w:basedOn w:val="Normal"/>
    <w:rsid w:val="004F5FC9"/>
    <w:pPr>
      <w:pBdr>
        <w:bottom w:val="single" w:sz="8" w:space="4" w:color="4F81BD"/>
      </w:pBdr>
      <w:tabs>
        <w:tab w:val="left" w:pos="284"/>
        <w:tab w:val="left" w:pos="567"/>
        <w:tab w:val="left" w:pos="851"/>
        <w:tab w:val="left" w:pos="1134"/>
        <w:tab w:val="left" w:pos="1418"/>
        <w:tab w:val="left" w:pos="1701"/>
        <w:tab w:val="left" w:pos="1985"/>
        <w:tab w:val="left" w:pos="2268"/>
        <w:tab w:val="left" w:pos="2552"/>
        <w:tab w:val="left" w:pos="2835"/>
      </w:tabs>
      <w:spacing w:after="120" w:line="240" w:lineRule="auto"/>
    </w:pPr>
    <w:rPr>
      <w:rFonts w:ascii="Cambria" w:eastAsia="Univers 45 Light" w:hAnsi="Cambria" w:cs="Times New Roman"/>
      <w:smallCaps/>
      <w:color w:val="17365D"/>
      <w:kern w:val="28"/>
      <w:sz w:val="36"/>
      <w:szCs w:val="52"/>
      <w:lang w:eastAsia="en-GB"/>
    </w:rPr>
  </w:style>
  <w:style w:type="paragraph" w:customStyle="1" w:styleId="tt1">
    <w:name w:val="tt1"/>
    <w:basedOn w:val="Normal"/>
    <w:rsid w:val="004F5FC9"/>
    <w:pPr>
      <w:pBdr>
        <w:bottom w:val="single" w:sz="4" w:space="1" w:color="auto"/>
      </w:pBdr>
      <w:shd w:val="clear" w:color="auto" w:fill="D9D9D9"/>
      <w:spacing w:after="0" w:line="240" w:lineRule="auto"/>
      <w:jc w:val="left"/>
    </w:pPr>
    <w:rPr>
      <w:rFonts w:ascii="Arial Narrow" w:eastAsia="Times New Roman" w:hAnsi="Arial Narrow" w:cs="Arial"/>
      <w:b/>
      <w:color w:val="auto"/>
      <w:sz w:val="22"/>
      <w:lang w:eastAsia="fr-FR"/>
    </w:rPr>
  </w:style>
  <w:style w:type="table" w:styleId="MediumShading1-Accent3">
    <w:name w:val="Medium Shading 1 Accent 3"/>
    <w:basedOn w:val="TableNormal"/>
    <w:rsid w:val="004F5FC9"/>
    <w:pPr>
      <w:spacing w:after="0" w:line="240" w:lineRule="auto"/>
    </w:pPr>
    <w:rPr>
      <w:rFonts w:ascii="Arial" w:eastAsia="Calibri" w:hAnsi="Arial" w:cs="Times New Roman"/>
      <w:i/>
      <w:lang w:eastAsia="fr-FR"/>
    </w:rPr>
    <w:tblPr>
      <w:tblStyleRowBandSize w:val="1"/>
      <w:tblStyleColBandSize w:val="1"/>
      <w:tblBorders>
        <w:insideH w:val="single" w:sz="4" w:space="0" w:color="FFFFFF"/>
      </w:tblBorders>
    </w:tblPr>
    <w:tcPr>
      <w:shd w:val="clear" w:color="auto" w:fill="DBE5F1"/>
    </w:tcPr>
    <w:tblStylePr w:type="firstRow">
      <w:tblPr/>
      <w:tcPr>
        <w:shd w:val="clear" w:color="auto" w:fill="B8CCE4"/>
      </w:tcPr>
    </w:tblStylePr>
    <w:tblStylePr w:type="lastRow">
      <w:tblPr/>
      <w:tcPr>
        <w:shd w:val="clear" w:color="auto" w:fill="B8CCE4"/>
      </w:tcPr>
    </w:tblStylePr>
    <w:tblStylePr w:type="firstCol">
      <w:tblPr/>
      <w:tcPr>
        <w:shd w:val="clear" w:color="auto" w:fill="365F91"/>
      </w:tcPr>
    </w:tblStylePr>
    <w:tblStylePr w:type="lastCol">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MediumShading2-Accent3">
    <w:name w:val="Medium Shading 2 Accent 3"/>
    <w:basedOn w:val="TableNormal"/>
    <w:uiPriority w:val="30"/>
    <w:rsid w:val="004F5FC9"/>
    <w:pPr>
      <w:spacing w:after="0" w:line="240" w:lineRule="auto"/>
    </w:pPr>
    <w:rPr>
      <w:rFonts w:ascii="Calibri" w:eastAsia="Calibri" w:hAnsi="Calibri" w:cs="Times New Roman"/>
      <w:b/>
      <w:bCs/>
      <w:i/>
      <w:iCs/>
      <w:color w:val="4F81BD"/>
    </w:rPr>
    <w:tblPr>
      <w:tblStyleRowBandSize w:val="1"/>
      <w:tblStyleColBandSize w:val="1"/>
      <w:tblBorders>
        <w:top w:val="single" w:sz="8" w:space="0" w:color="C0504D"/>
        <w:bottom w:val="single" w:sz="8" w:space="0" w:color="C0504D"/>
      </w:tblBorders>
    </w:tblPr>
    <w:tblStylePr w:type="firstRow">
      <w:pPr>
        <w:spacing w:before="0" w:after="0" w:line="240" w:lineRule="auto"/>
      </w:p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tblPr/>
      <w:tcPr>
        <w:tcBorders>
          <w:top w:val="single" w:sz="8" w:space="0" w:color="C0504D"/>
          <w:left w:val="nil"/>
          <w:bottom w:val="single" w:sz="8" w:space="0" w:color="C0504D"/>
          <w:right w:val="nil"/>
          <w:insideH w:val="nil"/>
          <w:insideV w:val="nil"/>
        </w:tcBorders>
      </w:tc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character" w:customStyle="1" w:styleId="Grillecouleur-Accent1Car3">
    <w:name w:val="Grille couleur - Accent 1 Car3"/>
    <w:link w:val="ColorfulGrid-Accent1"/>
    <w:rsid w:val="004F5FC9"/>
    <w:rPr>
      <w:rFonts w:ascii="Arial" w:eastAsia="Times New Roman" w:hAnsi="Arial"/>
      <w:i/>
    </w:rPr>
  </w:style>
  <w:style w:type="table" w:styleId="ColorfulList-Accent3">
    <w:name w:val="Colorful List Accent 3"/>
    <w:basedOn w:val="TableNormal"/>
    <w:link w:val="Listecouleur-Accent3Car1"/>
    <w:rsid w:val="004F5FC9"/>
    <w:pPr>
      <w:spacing w:after="0" w:line="240" w:lineRule="auto"/>
    </w:pPr>
    <w:rPr>
      <w:rFonts w:ascii="Arial" w:eastAsia="Times New Roman" w:hAnsi="Arial"/>
      <w:i/>
      <w:lang w:val="x-none"/>
    </w:rPr>
    <w:tblPr>
      <w:tblStyleRowBandSize w:val="1"/>
      <w:tblStyleColBandSize w:val="1"/>
    </w:tblPr>
    <w:tcPr>
      <w:shd w:val="clear" w:color="auto" w:fill="F6F6F6" w:themeFill="accent3" w:themeFillTint="19"/>
    </w:tcPr>
    <w:tblStylePr w:type="firstRow">
      <w:tblPr/>
      <w:tcPr>
        <w:tcBorders>
          <w:bottom w:val="single" w:sz="12" w:space="0" w:color="FFFFFF" w:themeColor="background1"/>
        </w:tcBorders>
        <w:shd w:val="clear" w:color="auto" w:fill="CC9900" w:themeFill="accent4"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E8E8E8" w:themeFill="accent3" w:themeFillTint="3F"/>
      </w:tcPr>
    </w:tblStylePr>
    <w:tblStylePr w:type="band1Horz">
      <w:tblPr/>
      <w:tcPr>
        <w:shd w:val="clear" w:color="auto" w:fill="EDEDED" w:themeFill="accent3" w:themeFillTint="33"/>
      </w:tcPr>
    </w:tblStylePr>
  </w:style>
  <w:style w:type="table" w:styleId="MediumGrid2">
    <w:name w:val="Medium Grid 2"/>
    <w:basedOn w:val="TableNormal"/>
    <w:link w:val="Grillemoyenne2Car"/>
    <w:uiPriority w:val="1"/>
    <w:rsid w:val="004F5FC9"/>
    <w:pPr>
      <w:spacing w:after="0" w:line="240" w:lineRule="auto"/>
    </w:pPr>
    <w:rPr>
      <w:rFonts w:ascii="Arial" w:eastAsia="Times New Roman" w:hAnsi="Arial"/>
      <w:lang w:eastAsia="fr-FR"/>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tblPr/>
      <w:tcPr>
        <w:shd w:val="clear" w:color="auto" w:fill="E6E6E6" w:themeFill="text1" w:themeFillTint="19"/>
      </w:tcPr>
    </w:tblStylePr>
    <w:tblStylePr w:type="lastRow">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nil"/>
          <w:insideH w:val="nil"/>
          <w:insideV w:val="nil"/>
        </w:tcBorders>
        <w:shd w:val="clear" w:color="auto" w:fill="FFFFFF" w:themeFill="background1"/>
      </w:tcPr>
    </w:tblStylePr>
    <w:tblStylePr w:type="lastCol">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ColorfulGrid-Accent3">
    <w:name w:val="Colorful Grid Accent 3"/>
    <w:basedOn w:val="TableNormal"/>
    <w:link w:val="Grillecouleur-Accent3Car1"/>
    <w:uiPriority w:val="30"/>
    <w:rsid w:val="004F5FC9"/>
    <w:pPr>
      <w:spacing w:after="0" w:line="240" w:lineRule="auto"/>
    </w:pPr>
    <w:rPr>
      <w:rFonts w:ascii="Calibri" w:eastAsia="Calibri" w:hAnsi="Calibri" w:cs="Times New Roman"/>
      <w:b/>
      <w:bCs/>
      <w:i/>
      <w:iCs/>
      <w:color w:val="4F81BD"/>
    </w:rPr>
    <w:tblPr>
      <w:tblStyleRowBandSize w:val="1"/>
      <w:tblStyleColBandSize w:val="1"/>
      <w:tblBorders>
        <w:insideH w:val="single" w:sz="4" w:space="0" w:color="FFFFFF" w:themeColor="background1"/>
      </w:tblBorders>
    </w:tblPr>
    <w:tcPr>
      <w:shd w:val="clear" w:color="auto" w:fill="EDEDED" w:themeFill="accent3" w:themeFillTint="33"/>
    </w:tcPr>
    <w:tblStylePr w:type="firstRow">
      <w:tblPr/>
      <w:tcPr>
        <w:shd w:val="clear" w:color="auto" w:fill="DBDBDB" w:themeFill="accent3" w:themeFillTint="66"/>
      </w:tcPr>
    </w:tblStylePr>
    <w:tblStylePr w:type="lastRow">
      <w:tblPr/>
      <w:tcPr>
        <w:shd w:val="clear" w:color="auto" w:fill="DBDBDB" w:themeFill="accent3" w:themeFillTint="66"/>
      </w:tcPr>
    </w:tblStylePr>
    <w:tblStylePr w:type="firstCol">
      <w:tblPr/>
      <w:tcPr>
        <w:shd w:val="clear" w:color="auto" w:fill="7B7B7B" w:themeFill="accent3" w:themeFillShade="BF"/>
      </w:tcPr>
    </w:tblStylePr>
    <w:tblStylePr w:type="lastCol">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MediumGrid2-Accent2">
    <w:name w:val="Medium Grid 2 Accent 2"/>
    <w:basedOn w:val="TableNormal"/>
    <w:link w:val="Grillemoyenne2-Accent2Car"/>
    <w:uiPriority w:val="99"/>
    <w:rsid w:val="004F5FC9"/>
    <w:pPr>
      <w:spacing w:after="0" w:line="240" w:lineRule="auto"/>
    </w:pPr>
    <w:rPr>
      <w:rFonts w:ascii="Arial" w:eastAsia="Times New Roman" w:hAnsi="Arial"/>
      <w:i/>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cPr>
      <w:shd w:val="clear" w:color="auto" w:fill="FADECB" w:themeFill="accent2" w:themeFillTint="3F"/>
    </w:tcPr>
    <w:tblStylePr w:type="firstRow">
      <w:tblPr/>
      <w:tcPr>
        <w:shd w:val="clear" w:color="auto" w:fill="FDF2EA" w:themeFill="accent2" w:themeFillTint="19"/>
      </w:tcPr>
    </w:tblStylePr>
    <w:tblStylePr w:type="lastRow">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nil"/>
          <w:insideH w:val="nil"/>
          <w:insideV w:val="nil"/>
        </w:tcBorders>
        <w:shd w:val="clear" w:color="auto" w:fill="FFFFFF" w:themeFill="background1"/>
      </w:tcPr>
    </w:tblStylePr>
    <w:tblStylePr w:type="lastCol">
      <w:tblPr/>
      <w:tcPr>
        <w:tcBorders>
          <w:top w:val="nil"/>
          <w:left w:val="nil"/>
          <w:bottom w:val="nil"/>
          <w:right w:val="nil"/>
          <w:insideH w:val="nil"/>
          <w:insideV w:val="nil"/>
        </w:tcBorders>
        <w:shd w:val="clear" w:color="auto" w:fill="FBE4D5" w:themeFill="accent2" w:themeFillTint="33"/>
      </w:tcPr>
    </w:tblStylePr>
    <w:tblStylePr w:type="band1Vert">
      <w:tblPr/>
      <w:tcPr>
        <w:shd w:val="clear" w:color="auto" w:fill="F6BE98" w:themeFill="accent2" w:themeFillTint="7F"/>
      </w:tcPr>
    </w:tblStylePr>
    <w:tblStylePr w:type="band1Horz">
      <w:tblPr/>
      <w:tcPr>
        <w:tcBorders>
          <w:insideH w:val="single" w:sz="6" w:space="0" w:color="ED7D31" w:themeColor="accent2"/>
          <w:insideV w:val="single" w:sz="6" w:space="0" w:color="ED7D31" w:themeColor="accent2"/>
        </w:tcBorders>
        <w:shd w:val="clear" w:color="auto" w:fill="F6BE98" w:themeFill="accent2" w:themeFillTint="7F"/>
      </w:tcPr>
    </w:tblStylePr>
    <w:tblStylePr w:type="nwCell">
      <w:tblPr/>
      <w:tcPr>
        <w:shd w:val="clear" w:color="auto" w:fill="FFFFFF" w:themeFill="background1"/>
      </w:tcPr>
    </w:tblStylePr>
  </w:style>
  <w:style w:type="table" w:styleId="MediumGrid3-Accent2">
    <w:name w:val="Medium Grid 3 Accent 2"/>
    <w:basedOn w:val="TableNormal"/>
    <w:link w:val="Grillemoyenne3-Accent2Car"/>
    <w:uiPriority w:val="30"/>
    <w:rsid w:val="004F5FC9"/>
    <w:pPr>
      <w:spacing w:after="0" w:line="240" w:lineRule="auto"/>
    </w:pPr>
    <w:rPr>
      <w:b/>
      <w:bCs/>
      <w:i/>
      <w:iCs/>
      <w:color w:val="4F81BD"/>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ECB" w:themeFill="accent2" w:themeFillTint="3F"/>
    </w:tcPr>
    <w:tblStylePr w:type="firstRow">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lastRow">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firstCol">
      <w:tblPr/>
      <w:tcPr>
        <w:tcBorders>
          <w:left w:val="single" w:sz="8" w:space="0" w:color="FFFFFF" w:themeColor="background1"/>
          <w:right w:val="single" w:sz="24" w:space="0" w:color="FFFFFF" w:themeColor="background1"/>
          <w:insideH w:val="nil"/>
          <w:insideV w:val="nil"/>
        </w:tcBorders>
        <w:shd w:val="clear" w:color="auto" w:fill="ED7D31" w:themeFill="accent2"/>
      </w:tcPr>
    </w:tblStylePr>
    <w:tblStylePr w:type="lastCol">
      <w:tblPr/>
      <w:tcPr>
        <w:tcBorders>
          <w:top w:val="nil"/>
          <w:left w:val="single" w:sz="24" w:space="0" w:color="FFFFFF" w:themeColor="background1"/>
          <w:bottom w:val="nil"/>
          <w:right w:val="nil"/>
          <w:insideH w:val="nil"/>
          <w:insideV w:val="nil"/>
        </w:tcBorders>
        <w:shd w:val="clear" w:color="auto" w:fill="ED7D3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E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BE98" w:themeFill="accent2" w:themeFillTint="7F"/>
      </w:tcPr>
    </w:tblStylePr>
  </w:style>
  <w:style w:type="table" w:styleId="ColorfulGrid-Accent1">
    <w:name w:val="Colorful Grid Accent 1"/>
    <w:basedOn w:val="TableNormal"/>
    <w:link w:val="Grillecouleur-Accent1Car3"/>
    <w:rsid w:val="004F5FC9"/>
    <w:pPr>
      <w:spacing w:after="0" w:line="240" w:lineRule="auto"/>
    </w:pPr>
    <w:rPr>
      <w:rFonts w:ascii="Arial" w:eastAsia="Times New Roman" w:hAnsi="Arial"/>
      <w:i/>
    </w:rPr>
    <w:tblPr>
      <w:tblStyleRowBandSize w:val="1"/>
      <w:tblStyleColBandSize w:val="1"/>
      <w:tblBorders>
        <w:insideH w:val="single" w:sz="4" w:space="0" w:color="FFFFFF" w:themeColor="background1"/>
      </w:tblBorders>
    </w:tblPr>
    <w:tcPr>
      <w:shd w:val="clear" w:color="auto" w:fill="D9E2F3" w:themeFill="accent1" w:themeFillTint="33"/>
    </w:tcPr>
    <w:tblStylePr w:type="firstRow">
      <w:tblPr/>
      <w:tcPr>
        <w:shd w:val="clear" w:color="auto" w:fill="B4C6E7" w:themeFill="accent1" w:themeFillTint="66"/>
      </w:tcPr>
    </w:tblStylePr>
    <w:tblStylePr w:type="lastRow">
      <w:tblPr/>
      <w:tcPr>
        <w:shd w:val="clear" w:color="auto" w:fill="B4C6E7" w:themeFill="accent1" w:themeFillTint="66"/>
      </w:tcPr>
    </w:tblStylePr>
    <w:tblStylePr w:type="firstCol">
      <w:tblPr/>
      <w:tcPr>
        <w:shd w:val="clear" w:color="auto" w:fill="2F5496" w:themeFill="accent1" w:themeFillShade="BF"/>
      </w:tcPr>
    </w:tblStylePr>
    <w:tblStylePr w:type="lastCol">
      <w:tblPr/>
      <w:tcPr>
        <w:shd w:val="clear" w:color="auto" w:fill="2F5496" w:themeFill="accent1" w:themeFillShade="BF"/>
      </w:tcPr>
    </w:tblStylePr>
    <w:tblStylePr w:type="band1Vert">
      <w:tblPr/>
      <w:tcPr>
        <w:shd w:val="clear" w:color="auto" w:fill="A1B8E1" w:themeFill="accent1" w:themeFillTint="7F"/>
      </w:tcPr>
    </w:tblStylePr>
    <w:tblStylePr w:type="band1Horz">
      <w:tblPr/>
      <w:tcPr>
        <w:shd w:val="clear" w:color="auto" w:fill="A1B8E1" w:themeFill="accent1" w:themeFillTint="7F"/>
      </w:tcPr>
    </w:tblStylePr>
  </w:style>
  <w:style w:type="table" w:customStyle="1" w:styleId="TableGrid2">
    <w:name w:val="Table Grid2"/>
    <w:basedOn w:val="TableNormal"/>
    <w:next w:val="TableGrid"/>
    <w:uiPriority w:val="39"/>
    <w:rsid w:val="004F5FC9"/>
    <w:pPr>
      <w:spacing w:after="0" w:line="240" w:lineRule="auto"/>
      <w:jc w:val="both"/>
    </w:pPr>
    <w:rPr>
      <w:rFonts w:ascii="Cambria" w:hAnsi="Cambria" w:cs="Times New Roman"/>
      <w:sz w:val="24"/>
      <w:szCs w:val="24"/>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ITRE13">
    <w:name w:val="TITRE 1"/>
    <w:basedOn w:val="ListParagraph"/>
    <w:rsid w:val="004F5FC9"/>
    <w:pPr>
      <w:pBdr>
        <w:bottom w:val="single" w:sz="4" w:space="1" w:color="auto"/>
      </w:pBdr>
      <w:spacing w:before="160" w:after="0"/>
      <w:ind w:left="284" w:hanging="284"/>
      <w:contextualSpacing w:val="0"/>
    </w:pPr>
    <w:rPr>
      <w:rFonts w:ascii="Arial" w:hAnsi="Arial" w:cs="Arial"/>
      <w:caps/>
      <w:color w:val="auto"/>
      <w:sz w:val="28"/>
      <w:szCs w:val="28"/>
      <w:lang w:eastAsia="en-US"/>
    </w:rPr>
  </w:style>
  <w:style w:type="paragraph" w:customStyle="1" w:styleId="TITRE21">
    <w:name w:val="TITRE 2"/>
    <w:basedOn w:val="ListParagraph"/>
    <w:rsid w:val="004F5FC9"/>
    <w:pPr>
      <w:pBdr>
        <w:bottom w:val="single" w:sz="4" w:space="1" w:color="auto"/>
      </w:pBdr>
      <w:spacing w:before="240" w:after="240"/>
      <w:ind w:left="710" w:hanging="710"/>
      <w:contextualSpacing w:val="0"/>
    </w:pPr>
    <w:rPr>
      <w:rFonts w:ascii="Arial" w:hAnsi="Arial" w:cs="Arial"/>
      <w:b/>
      <w:caps/>
      <w:color w:val="auto"/>
      <w:sz w:val="22"/>
      <w:szCs w:val="20"/>
      <w:lang w:eastAsia="en-US"/>
    </w:rPr>
  </w:style>
  <w:style w:type="character" w:customStyle="1" w:styleId="keyword">
    <w:name w:val="keyword"/>
    <w:basedOn w:val="DefaultParagraphFont"/>
    <w:rsid w:val="004F5FC9"/>
  </w:style>
  <w:style w:type="paragraph" w:customStyle="1" w:styleId="Normal10">
    <w:name w:val="Normal_1"/>
    <w:rsid w:val="004F5FC9"/>
    <w:rPr>
      <w:rFonts w:ascii="Calibri" w:eastAsia="Calibri" w:hAnsi="Calibri" w:cs="Times New Roman"/>
      <w:lang w:val="en-US"/>
    </w:rPr>
  </w:style>
  <w:style w:type="paragraph" w:customStyle="1" w:styleId="5Titre3">
    <w:name w:val="5 Titre 3"/>
    <w:basedOn w:val="Normal"/>
    <w:next w:val="Normal"/>
    <w:autoRedefine/>
    <w:rsid w:val="004F5FC9"/>
    <w:pPr>
      <w:framePr w:wrap="around" w:vAnchor="text" w:hAnchor="text" w:y="1"/>
      <w:numPr>
        <w:ilvl w:val="4"/>
        <w:numId w:val="132"/>
      </w:numPr>
      <w:spacing w:before="240" w:line="288" w:lineRule="auto"/>
      <w:outlineLvl w:val="2"/>
    </w:pPr>
    <w:rPr>
      <w:rFonts w:ascii="Arial Gras" w:eastAsia="Times New Roman" w:hAnsi="Arial Gras" w:cs="Times New Roman"/>
      <w:b/>
      <w:smallCaps/>
      <w:color w:val="auto"/>
      <w:sz w:val="20"/>
      <w:szCs w:val="20"/>
      <w:lang w:val="en-US" w:eastAsia="fr-FR"/>
    </w:rPr>
  </w:style>
  <w:style w:type="table" w:styleId="MediumList1-Accent5">
    <w:name w:val="Medium List 1 Accent 5"/>
    <w:basedOn w:val="TableNormal"/>
    <w:uiPriority w:val="61"/>
    <w:rsid w:val="004F5FC9"/>
    <w:pPr>
      <w:spacing w:after="0" w:line="240" w:lineRule="auto"/>
    </w:pPr>
    <w:rPr>
      <w:rFonts w:ascii="Calibri" w:eastAsia="Calibri" w:hAnsi="Calibri" w:cs="Times New Roman"/>
      <w:color w:val="000000" w:themeColor="text1"/>
      <w:sz w:val="20"/>
      <w:szCs w:val="20"/>
      <w:lang w:val="en-US"/>
    </w:rPr>
    <w:tblPr>
      <w:tblStyleRowBandSize w:val="1"/>
      <w:tblStyleColBandSize w:val="1"/>
      <w:tblBorders>
        <w:top w:val="single" w:sz="8" w:space="0" w:color="5B9BD5" w:themeColor="accent5"/>
        <w:bottom w:val="single" w:sz="8" w:space="0" w:color="5B9BD5" w:themeColor="accent5"/>
      </w:tblBorders>
    </w:tblPr>
    <w:tblStylePr w:type="firstRow">
      <w:rPr>
        <w:rFonts w:asciiTheme="majorHAnsi" w:eastAsiaTheme="majorEastAsia" w:hAnsiTheme="majorHAnsi" w:cstheme="majorBidi"/>
      </w:rPr>
      <w:tblPr/>
      <w:tcPr>
        <w:tcBorders>
          <w:top w:val="nil"/>
          <w:bottom w:val="single" w:sz="8" w:space="0" w:color="5B9BD5" w:themeColor="accent5"/>
        </w:tcBorders>
      </w:tcPr>
    </w:tblStylePr>
    <w:tblStylePr w:type="lastRow">
      <w:rPr>
        <w:b/>
        <w:bCs/>
        <w:color w:val="44546A" w:themeColor="text2"/>
      </w:rPr>
      <w:tblPr/>
      <w:tcPr>
        <w:tcBorders>
          <w:top w:val="single" w:sz="8" w:space="0" w:color="5B9BD5" w:themeColor="accent5"/>
          <w:bottom w:val="single" w:sz="8" w:space="0" w:color="5B9BD5" w:themeColor="accent5"/>
        </w:tcBorders>
      </w:tcPr>
    </w:tblStylePr>
    <w:tblStylePr w:type="firstCol">
      <w:rPr>
        <w:b/>
        <w:bCs/>
      </w:rPr>
    </w:tblStylePr>
    <w:tblStylePr w:type="lastCol">
      <w:rPr>
        <w:b/>
        <w:bCs/>
      </w:rPr>
      <w:tblPr/>
      <w:tcPr>
        <w:tcBorders>
          <w:top w:val="single" w:sz="8" w:space="0" w:color="5B9BD5" w:themeColor="accent5"/>
          <w:bottom w:val="single" w:sz="8" w:space="0" w:color="5B9BD5" w:themeColor="accent5"/>
        </w:tcBorders>
      </w:tcPr>
    </w:tblStylePr>
    <w:tblStylePr w:type="band1Vert">
      <w:tblPr/>
      <w:tcPr>
        <w:shd w:val="clear" w:color="auto" w:fill="D6E6F4" w:themeFill="accent5" w:themeFillTint="3F"/>
      </w:tcPr>
    </w:tblStylePr>
    <w:tblStylePr w:type="band1Horz">
      <w:tblPr/>
      <w:tcPr>
        <w:shd w:val="clear" w:color="auto" w:fill="D6E6F4" w:themeFill="accent5" w:themeFillTint="3F"/>
      </w:tcPr>
    </w:tblStylePr>
  </w:style>
  <w:style w:type="character" w:customStyle="1" w:styleId="longtext1">
    <w:name w:val="long_text1"/>
    <w:rsid w:val="004F5FC9"/>
    <w:rPr>
      <w:sz w:val="20"/>
      <w:szCs w:val="20"/>
    </w:rPr>
  </w:style>
  <w:style w:type="character" w:customStyle="1" w:styleId="Mentionnonrsolue3">
    <w:name w:val="Mention non résolue3"/>
    <w:basedOn w:val="DefaultParagraphFont"/>
    <w:uiPriority w:val="99"/>
    <w:semiHidden/>
    <w:unhideWhenUsed/>
    <w:rsid w:val="004F5FC9"/>
    <w:rPr>
      <w:color w:val="605E5C"/>
      <w:shd w:val="clear" w:color="auto" w:fill="E1DFDD"/>
    </w:rPr>
  </w:style>
  <w:style w:type="paragraph" w:customStyle="1" w:styleId="Nomduclientniveau2">
    <w:name w:val="Nom du client niveau 2"/>
    <w:rsid w:val="001C03CB"/>
    <w:pPr>
      <w:spacing w:after="0" w:line="240" w:lineRule="auto"/>
    </w:pPr>
    <w:rPr>
      <w:rFonts w:ascii="Arial" w:eastAsia="Times New Roman" w:hAnsi="Arial" w:cs="Times New Roman"/>
      <w:b/>
      <w:color w:val="333333"/>
      <w:sz w:val="20"/>
      <w:szCs w:val="24"/>
      <w:lang w:eastAsia="fr-FR"/>
    </w:rPr>
  </w:style>
  <w:style w:type="paragraph" w:customStyle="1" w:styleId="Textenormalgras">
    <w:name w:val="Texte normal gras"/>
    <w:basedOn w:val="Normal"/>
    <w:uiPriority w:val="99"/>
    <w:rsid w:val="001C03CB"/>
    <w:pPr>
      <w:spacing w:before="120" w:after="0" w:line="288" w:lineRule="auto"/>
    </w:pPr>
    <w:rPr>
      <w:rFonts w:ascii="Arial" w:eastAsia="Times New Roman" w:hAnsi="Arial" w:cs="Times New Roman"/>
      <w:b/>
      <w:color w:val="auto"/>
      <w:sz w:val="20"/>
      <w:szCs w:val="24"/>
      <w:lang w:eastAsia="fr-FR"/>
    </w:rPr>
  </w:style>
  <w:style w:type="paragraph" w:customStyle="1" w:styleId="Entetetableaucentr">
    <w:name w:val="Entete tableau centré"/>
    <w:basedOn w:val="Normal"/>
    <w:rsid w:val="001C03CB"/>
    <w:pPr>
      <w:widowControl w:val="0"/>
      <w:suppressAutoHyphens/>
      <w:spacing w:before="120" w:after="80" w:line="240" w:lineRule="auto"/>
      <w:ind w:left="57"/>
      <w:jc w:val="center"/>
    </w:pPr>
    <w:rPr>
      <w:rFonts w:ascii="Arial Gras" w:eastAsia="Times New Roman" w:hAnsi="Arial Gras" w:cs="Arial"/>
      <w:b/>
      <w:color w:val="808080"/>
      <w:sz w:val="18"/>
      <w:szCs w:val="20"/>
      <w:lang w:eastAsia="fr-FR"/>
    </w:rPr>
  </w:style>
  <w:style w:type="paragraph" w:customStyle="1" w:styleId="En-ttetableaugauche">
    <w:name w:val="En-tête tableau gauche"/>
    <w:basedOn w:val="Normal"/>
    <w:rsid w:val="001C03CB"/>
    <w:pPr>
      <w:widowControl w:val="0"/>
      <w:suppressAutoHyphens/>
      <w:spacing w:before="60" w:after="20" w:line="240" w:lineRule="auto"/>
      <w:ind w:left="57"/>
      <w:jc w:val="left"/>
    </w:pPr>
    <w:rPr>
      <w:rFonts w:ascii="Arial" w:eastAsia="Times New Roman" w:hAnsi="Arial" w:cs="Arial"/>
      <w:b/>
      <w:color w:val="808080"/>
      <w:sz w:val="18"/>
      <w:szCs w:val="20"/>
      <w:lang w:eastAsia="fr-FR"/>
    </w:rPr>
  </w:style>
  <w:style w:type="paragraph" w:customStyle="1" w:styleId="Lgendephoto-schma-graphique">
    <w:name w:val="Légende photo - schéma - graphique"/>
    <w:basedOn w:val="Normal"/>
    <w:next w:val="Normal"/>
    <w:rsid w:val="001C03CB"/>
    <w:pPr>
      <w:spacing w:before="80" w:after="40" w:line="240" w:lineRule="auto"/>
      <w:jc w:val="left"/>
    </w:pPr>
    <w:rPr>
      <w:rFonts w:ascii="Arial Narrow" w:eastAsia="Times New Roman" w:hAnsi="Arial Narrow" w:cs="Times New Roman"/>
      <w:b/>
      <w:color w:val="auto"/>
      <w:sz w:val="18"/>
      <w:szCs w:val="16"/>
      <w:lang w:eastAsia="fr-FR"/>
    </w:rPr>
  </w:style>
  <w:style w:type="paragraph" w:customStyle="1" w:styleId="Listelettres">
    <w:name w:val="Liste lettres"/>
    <w:basedOn w:val="Normal"/>
    <w:uiPriority w:val="99"/>
    <w:rsid w:val="001C03CB"/>
    <w:pPr>
      <w:numPr>
        <w:numId w:val="134"/>
      </w:numPr>
      <w:spacing w:after="0" w:line="288" w:lineRule="auto"/>
    </w:pPr>
    <w:rPr>
      <w:rFonts w:ascii="Arial" w:eastAsia="Times New Roman" w:hAnsi="Arial" w:cs="Times New Roman"/>
      <w:color w:val="auto"/>
      <w:sz w:val="20"/>
      <w:szCs w:val="20"/>
      <w:lang w:eastAsia="fr-FR"/>
    </w:rPr>
  </w:style>
  <w:style w:type="paragraph" w:customStyle="1" w:styleId="LOGOEntetesuitegauche">
    <w:name w:val="LOGO Entete suite gauche"/>
    <w:uiPriority w:val="99"/>
    <w:rsid w:val="001C03CB"/>
    <w:pPr>
      <w:pBdr>
        <w:left w:val="single" w:sz="36" w:space="5" w:color="93AC00"/>
      </w:pBdr>
      <w:tabs>
        <w:tab w:val="center" w:pos="4860"/>
        <w:tab w:val="right" w:pos="9540"/>
      </w:tabs>
      <w:spacing w:before="20" w:after="20" w:line="240" w:lineRule="auto"/>
      <w:ind w:left="85"/>
    </w:pPr>
    <w:rPr>
      <w:rFonts w:ascii="Arial" w:eastAsia="Times New Roman" w:hAnsi="Arial" w:cs="Times New Roman"/>
      <w:sz w:val="16"/>
      <w:szCs w:val="24"/>
      <w:lang w:eastAsia="fr-FR"/>
    </w:rPr>
  </w:style>
  <w:style w:type="paragraph" w:customStyle="1" w:styleId="NOperation-reference">
    <w:name w:val="N° Operation - reference"/>
    <w:basedOn w:val="Normal"/>
    <w:uiPriority w:val="99"/>
    <w:rsid w:val="001C03CB"/>
    <w:pPr>
      <w:widowControl w:val="0"/>
      <w:spacing w:before="60" w:after="0" w:line="240" w:lineRule="auto"/>
    </w:pPr>
    <w:rPr>
      <w:rFonts w:ascii="Arial" w:eastAsia="Times New Roman" w:hAnsi="Arial" w:cs="Times New Roman"/>
      <w:b/>
      <w:noProof/>
      <w:color w:val="auto"/>
      <w:sz w:val="18"/>
      <w:szCs w:val="18"/>
      <w:lang w:eastAsia="fr-FR"/>
    </w:rPr>
  </w:style>
  <w:style w:type="paragraph" w:customStyle="1" w:styleId="NomPays">
    <w:name w:val="Nom Pays"/>
    <w:rsid w:val="001C03CB"/>
    <w:pPr>
      <w:spacing w:after="0" w:line="240" w:lineRule="auto"/>
      <w:ind w:left="26"/>
      <w:jc w:val="right"/>
    </w:pPr>
    <w:rPr>
      <w:rFonts w:ascii="Arial Narrow" w:eastAsia="Times New Roman" w:hAnsi="Arial Narrow" w:cs="Arial"/>
      <w:b/>
      <w:sz w:val="24"/>
      <w:szCs w:val="24"/>
      <w:lang w:eastAsia="fr-FR"/>
    </w:rPr>
  </w:style>
  <w:style w:type="paragraph" w:customStyle="1" w:styleId="Noteimportanteouconclusion">
    <w:name w:val="Note importante ou conclusion"/>
    <w:next w:val="Normal"/>
    <w:rsid w:val="001C03CB"/>
    <w:pPr>
      <w:pBdr>
        <w:top w:val="single" w:sz="8" w:space="1" w:color="99CC00"/>
        <w:left w:val="single" w:sz="8" w:space="4" w:color="99CC00"/>
        <w:bottom w:val="single" w:sz="8" w:space="4" w:color="99CC00"/>
        <w:right w:val="single" w:sz="8" w:space="4" w:color="99CC00"/>
      </w:pBdr>
      <w:spacing w:after="0" w:line="240" w:lineRule="auto"/>
      <w:ind w:left="907" w:right="907"/>
      <w:jc w:val="both"/>
    </w:pPr>
    <w:rPr>
      <w:rFonts w:ascii="Arial Rounded MT Bold" w:eastAsia="Times New Roman" w:hAnsi="Arial Rounded MT Bold" w:cs="Times New Roman"/>
      <w:sz w:val="18"/>
      <w:szCs w:val="24"/>
      <w:lang w:eastAsia="fr-FR"/>
    </w:rPr>
  </w:style>
  <w:style w:type="paragraph" w:customStyle="1" w:styleId="Notesbaspage9pts">
    <w:name w:val="Notes bas page 9pts"/>
    <w:rsid w:val="001C03CB"/>
    <w:pPr>
      <w:spacing w:before="20" w:after="20" w:line="240" w:lineRule="auto"/>
    </w:pPr>
    <w:rPr>
      <w:rFonts w:ascii="Arial" w:eastAsia="Times New Roman" w:hAnsi="Arial" w:cs="Times New Roman"/>
      <w:sz w:val="18"/>
      <w:szCs w:val="18"/>
      <w:lang w:eastAsia="fr-FR"/>
    </w:rPr>
  </w:style>
  <w:style w:type="paragraph" w:customStyle="1" w:styleId="Puceniveau2">
    <w:name w:val="Puce niveau 2"/>
    <w:rsid w:val="001C03CB"/>
    <w:pPr>
      <w:numPr>
        <w:numId w:val="135"/>
      </w:numPr>
      <w:spacing w:after="0" w:line="264" w:lineRule="auto"/>
      <w:jc w:val="both"/>
    </w:pPr>
    <w:rPr>
      <w:rFonts w:ascii="Arial" w:eastAsia="Times New Roman" w:hAnsi="Arial" w:cs="Times New Roman"/>
      <w:sz w:val="20"/>
      <w:szCs w:val="20"/>
      <w:lang w:eastAsia="fr-FR"/>
    </w:rPr>
  </w:style>
  <w:style w:type="paragraph" w:customStyle="1" w:styleId="Puceniveau3">
    <w:name w:val="Puce niveau 3"/>
    <w:uiPriority w:val="99"/>
    <w:rsid w:val="001C03CB"/>
    <w:pPr>
      <w:numPr>
        <w:numId w:val="136"/>
      </w:numPr>
      <w:spacing w:after="0" w:line="264" w:lineRule="auto"/>
      <w:ind w:left="681" w:hanging="227"/>
      <w:jc w:val="both"/>
    </w:pPr>
    <w:rPr>
      <w:rFonts w:ascii="Arial" w:eastAsia="Times New Roman" w:hAnsi="Arial" w:cs="Times New Roman"/>
      <w:sz w:val="20"/>
      <w:szCs w:val="20"/>
      <w:lang w:eastAsia="fr-FR"/>
    </w:rPr>
  </w:style>
  <w:style w:type="paragraph" w:customStyle="1" w:styleId="Referencearticle">
    <w:name w:val="Reference article"/>
    <w:aliases w:val="ouvrage"/>
    <w:basedOn w:val="Normal"/>
    <w:link w:val="ReferencearticleCar"/>
    <w:uiPriority w:val="99"/>
    <w:rsid w:val="001C03CB"/>
    <w:pPr>
      <w:spacing w:before="40" w:after="0" w:line="288" w:lineRule="auto"/>
      <w:ind w:left="57"/>
    </w:pPr>
    <w:rPr>
      <w:rFonts w:ascii="Arial Narrow" w:eastAsia="Times New Roman" w:hAnsi="Arial Narrow" w:cs="Times New Roman"/>
      <w:i/>
      <w:color w:val="93AC00"/>
      <w:sz w:val="22"/>
      <w:szCs w:val="20"/>
      <w:lang w:eastAsia="fr-FR"/>
    </w:rPr>
  </w:style>
  <w:style w:type="paragraph" w:customStyle="1" w:styleId="Sommaire">
    <w:name w:val="Sommaire"/>
    <w:basedOn w:val="Normal"/>
    <w:next w:val="Normal"/>
    <w:uiPriority w:val="99"/>
    <w:rsid w:val="001C03CB"/>
    <w:pPr>
      <w:tabs>
        <w:tab w:val="left" w:pos="-5670"/>
      </w:tabs>
      <w:spacing w:after="360" w:line="288" w:lineRule="auto"/>
    </w:pPr>
    <w:rPr>
      <w:rFonts w:ascii="Arial" w:eastAsia="Times New Roman" w:hAnsi="Arial" w:cs="Arial"/>
      <w:b/>
      <w:color w:val="000000"/>
      <w:sz w:val="32"/>
      <w:szCs w:val="20"/>
      <w:lang w:eastAsia="fr-FR"/>
    </w:rPr>
  </w:style>
  <w:style w:type="paragraph" w:customStyle="1" w:styleId="Soustitrequalit">
    <w:name w:val="Sous titre qualité"/>
    <w:basedOn w:val="Normal"/>
    <w:uiPriority w:val="99"/>
    <w:rsid w:val="001C03CB"/>
    <w:pPr>
      <w:tabs>
        <w:tab w:val="left" w:pos="-5670"/>
        <w:tab w:val="left" w:pos="8505"/>
      </w:tabs>
      <w:spacing w:before="240" w:after="240" w:line="240" w:lineRule="auto"/>
      <w:ind w:left="57"/>
    </w:pPr>
    <w:rPr>
      <w:rFonts w:ascii="Arial" w:eastAsia="Times New Roman" w:hAnsi="Arial" w:cs="Arial"/>
      <w:color w:val="808080"/>
      <w:sz w:val="22"/>
      <w:szCs w:val="24"/>
      <w:lang w:eastAsia="fr-FR"/>
    </w:rPr>
  </w:style>
  <w:style w:type="paragraph" w:customStyle="1" w:styleId="StyleExemple">
    <w:name w:val="Style Exemple"/>
    <w:basedOn w:val="Normal"/>
    <w:next w:val="Normal"/>
    <w:uiPriority w:val="99"/>
    <w:rsid w:val="001C03CB"/>
    <w:pPr>
      <w:pBdr>
        <w:left w:val="single" w:sz="8" w:space="4" w:color="808080"/>
      </w:pBdr>
      <w:spacing w:before="40" w:after="0" w:line="288" w:lineRule="auto"/>
      <w:ind w:left="567"/>
    </w:pPr>
    <w:rPr>
      <w:rFonts w:ascii="Arial" w:eastAsia="Times New Roman" w:hAnsi="Arial" w:cs="Tahoma"/>
      <w:i/>
      <w:color w:val="808080"/>
      <w:sz w:val="20"/>
      <w:szCs w:val="20"/>
      <w:lang w:eastAsia="fr-FR"/>
    </w:rPr>
  </w:style>
  <w:style w:type="paragraph" w:customStyle="1" w:styleId="Styletitrepartenaires">
    <w:name w:val="Style titre partenaires"/>
    <w:basedOn w:val="Normal"/>
    <w:uiPriority w:val="99"/>
    <w:rsid w:val="001C03CB"/>
    <w:pPr>
      <w:spacing w:before="120" w:after="0" w:line="288" w:lineRule="auto"/>
      <w:ind w:left="57"/>
      <w:jc w:val="center"/>
    </w:pPr>
    <w:rPr>
      <w:rFonts w:ascii="Arial Narrow" w:eastAsia="Times New Roman" w:hAnsi="Arial Narrow" w:cs="Times New Roman"/>
      <w:color w:val="auto"/>
      <w:sz w:val="22"/>
      <w:szCs w:val="24"/>
      <w:lang w:eastAsia="fr-FR"/>
    </w:rPr>
  </w:style>
  <w:style w:type="paragraph" w:customStyle="1" w:styleId="Texteentetedroit">
    <w:name w:val="Texte entete droit"/>
    <w:uiPriority w:val="99"/>
    <w:rsid w:val="001C03CB"/>
    <w:pPr>
      <w:spacing w:after="0" w:line="240" w:lineRule="auto"/>
      <w:jc w:val="right"/>
    </w:pPr>
    <w:rPr>
      <w:rFonts w:ascii="Arial Narrow" w:eastAsia="Times New Roman" w:hAnsi="Arial Narrow" w:cs="Arial"/>
      <w:color w:val="808080"/>
      <w:sz w:val="18"/>
      <w:szCs w:val="20"/>
      <w:lang w:eastAsia="fr-FR"/>
    </w:rPr>
  </w:style>
  <w:style w:type="paragraph" w:customStyle="1" w:styleId="Textepieddepagedroit">
    <w:name w:val="Texte pied de page droit"/>
    <w:link w:val="TextepieddepagedroitCar"/>
    <w:uiPriority w:val="99"/>
    <w:rsid w:val="001C03CB"/>
    <w:pPr>
      <w:spacing w:after="0" w:line="240" w:lineRule="auto"/>
      <w:jc w:val="right"/>
    </w:pPr>
    <w:rPr>
      <w:rFonts w:ascii="Arial Narrow" w:eastAsia="Times New Roman" w:hAnsi="Arial Narrow" w:cs="Arial"/>
      <w:color w:val="808080"/>
      <w:sz w:val="18"/>
      <w:szCs w:val="20"/>
      <w:lang w:eastAsia="fr-FR"/>
    </w:rPr>
  </w:style>
  <w:style w:type="paragraph" w:customStyle="1" w:styleId="Textepieddepagegauche">
    <w:name w:val="Texte pied de page gauche"/>
    <w:uiPriority w:val="99"/>
    <w:rsid w:val="001C03CB"/>
    <w:pPr>
      <w:tabs>
        <w:tab w:val="right" w:pos="8222"/>
      </w:tabs>
      <w:spacing w:after="0" w:line="240" w:lineRule="auto"/>
    </w:pPr>
    <w:rPr>
      <w:rFonts w:ascii="Arial Narrow" w:eastAsia="Times New Roman" w:hAnsi="Arial Narrow" w:cs="Arial"/>
      <w:color w:val="808080"/>
      <w:sz w:val="18"/>
      <w:szCs w:val="20"/>
      <w:lang w:eastAsia="fr-FR"/>
    </w:rPr>
  </w:style>
  <w:style w:type="paragraph" w:customStyle="1" w:styleId="TexteTableau9PtsGrasCentr">
    <w:name w:val="Texte Tableau 9 Pts Gras Centré"/>
    <w:uiPriority w:val="99"/>
    <w:rsid w:val="001C03CB"/>
    <w:pPr>
      <w:spacing w:before="60" w:after="60" w:line="288" w:lineRule="auto"/>
      <w:jc w:val="center"/>
    </w:pPr>
    <w:rPr>
      <w:rFonts w:ascii="Arial" w:eastAsia="Times New Roman" w:hAnsi="Arial" w:cs="Times New Roman"/>
      <w:sz w:val="18"/>
      <w:szCs w:val="24"/>
      <w:lang w:val="en-GB" w:eastAsia="fr-FR"/>
    </w:rPr>
  </w:style>
  <w:style w:type="paragraph" w:customStyle="1" w:styleId="TexteTableau9ptsGrasFonc">
    <w:name w:val="Texte Tableau 9 pts Gras Foncé"/>
    <w:basedOn w:val="Normal"/>
    <w:rsid w:val="001C03CB"/>
    <w:pPr>
      <w:spacing w:before="60" w:after="40" w:line="240" w:lineRule="auto"/>
      <w:jc w:val="left"/>
    </w:pPr>
    <w:rPr>
      <w:rFonts w:ascii="Arial" w:eastAsia="Times New Roman" w:hAnsi="Arial" w:cs="Times New Roman"/>
      <w:b/>
      <w:color w:val="333333"/>
      <w:sz w:val="18"/>
      <w:szCs w:val="32"/>
      <w:lang w:val="en-GB" w:eastAsia="fr-FR"/>
    </w:rPr>
  </w:style>
  <w:style w:type="paragraph" w:customStyle="1" w:styleId="TexteTableau9ptsNormal">
    <w:name w:val="Texte Tableau 9 pts Normal"/>
    <w:basedOn w:val="Normal"/>
    <w:link w:val="TexteTableau9ptsNormalCar"/>
    <w:rsid w:val="001C03CB"/>
    <w:pPr>
      <w:spacing w:before="60" w:after="40" w:line="240" w:lineRule="auto"/>
      <w:jc w:val="left"/>
    </w:pPr>
    <w:rPr>
      <w:rFonts w:ascii="Arial" w:eastAsia="Times New Roman" w:hAnsi="Arial" w:cs="Times New Roman"/>
      <w:color w:val="auto"/>
      <w:sz w:val="32"/>
      <w:szCs w:val="32"/>
      <w:lang w:val="en-GB" w:eastAsia="fr-FR"/>
    </w:rPr>
  </w:style>
  <w:style w:type="paragraph" w:customStyle="1" w:styleId="Nomduclient">
    <w:name w:val="Nom du client"/>
    <w:next w:val="Normal"/>
    <w:rsid w:val="001C03CB"/>
    <w:pPr>
      <w:spacing w:after="0" w:line="240" w:lineRule="auto"/>
    </w:pPr>
    <w:rPr>
      <w:rFonts w:ascii="Arial" w:eastAsia="Arial Unicode MS" w:hAnsi="Arial" w:cs="Arial"/>
      <w:b/>
      <w:color w:val="333333"/>
      <w:sz w:val="28"/>
      <w:szCs w:val="48"/>
      <w:lang w:eastAsia="fr-FR"/>
    </w:rPr>
  </w:style>
  <w:style w:type="paragraph" w:customStyle="1" w:styleId="Normal-Gras-Vert">
    <w:name w:val="Normal - Gras - Vert"/>
    <w:basedOn w:val="Normal"/>
    <w:link w:val="Normal-Gras-VertCarCar"/>
    <w:uiPriority w:val="99"/>
    <w:rsid w:val="001C03CB"/>
    <w:pPr>
      <w:spacing w:before="120" w:after="0" w:line="240" w:lineRule="auto"/>
    </w:pPr>
    <w:rPr>
      <w:rFonts w:ascii="Arial" w:eastAsia="Times New Roman" w:hAnsi="Arial" w:cs="Times New Roman"/>
      <w:b/>
      <w:bCs/>
      <w:color w:val="93AC00"/>
      <w:sz w:val="32"/>
      <w:szCs w:val="32"/>
    </w:rPr>
  </w:style>
  <w:style w:type="paragraph" w:customStyle="1" w:styleId="Titreduprojetniveau2">
    <w:name w:val="Titre du projet niveau 2"/>
    <w:uiPriority w:val="99"/>
    <w:rsid w:val="001C03CB"/>
    <w:pPr>
      <w:spacing w:before="120" w:after="0" w:line="240" w:lineRule="auto"/>
    </w:pPr>
    <w:rPr>
      <w:rFonts w:ascii="Arial Narrow" w:eastAsia="Arial Unicode MS" w:hAnsi="Arial Narrow" w:cs="Times New Roman"/>
      <w:b/>
      <w:color w:val="B6D266"/>
      <w:sz w:val="28"/>
      <w:szCs w:val="24"/>
      <w:lang w:eastAsia="fr-FR"/>
    </w:rPr>
  </w:style>
  <w:style w:type="paragraph" w:customStyle="1" w:styleId="Titreduprojet">
    <w:name w:val="Titre du projet"/>
    <w:basedOn w:val="Normal"/>
    <w:next w:val="Normal"/>
    <w:uiPriority w:val="99"/>
    <w:rsid w:val="001C03CB"/>
    <w:pPr>
      <w:spacing w:before="120" w:after="0" w:line="240" w:lineRule="auto"/>
      <w:jc w:val="left"/>
    </w:pPr>
    <w:rPr>
      <w:rFonts w:ascii="Arial Narrow" w:eastAsia="Times New Roman" w:hAnsi="Arial Narrow" w:cs="Arial"/>
      <w:b/>
      <w:color w:val="93AC00"/>
      <w:sz w:val="44"/>
      <w:szCs w:val="24"/>
      <w:lang w:eastAsia="fr-FR"/>
    </w:rPr>
  </w:style>
  <w:style w:type="paragraph" w:customStyle="1" w:styleId="TitreInfosQualit">
    <w:name w:val="Titre Infos Qualité"/>
    <w:next w:val="Normal"/>
    <w:uiPriority w:val="99"/>
    <w:rsid w:val="001C03CB"/>
    <w:pPr>
      <w:spacing w:before="120" w:after="360" w:line="240" w:lineRule="auto"/>
    </w:pPr>
    <w:rPr>
      <w:rFonts w:ascii="Arial" w:eastAsia="Times New Roman" w:hAnsi="Arial" w:cs="Times New Roman"/>
      <w:color w:val="808080"/>
      <w:sz w:val="32"/>
      <w:szCs w:val="24"/>
      <w:lang w:eastAsia="fr-FR"/>
    </w:rPr>
  </w:style>
  <w:style w:type="paragraph" w:customStyle="1" w:styleId="Titredudocument">
    <w:name w:val="Titre du document"/>
    <w:basedOn w:val="Normal"/>
    <w:uiPriority w:val="99"/>
    <w:rsid w:val="001C03CB"/>
    <w:pPr>
      <w:spacing w:before="120" w:after="0" w:line="240" w:lineRule="auto"/>
      <w:jc w:val="left"/>
    </w:pPr>
    <w:rPr>
      <w:rFonts w:ascii="Arial" w:eastAsia="Times New Roman" w:hAnsi="Arial" w:cs="Times New Roman"/>
      <w:b/>
      <w:bCs/>
      <w:color w:val="999999"/>
      <w:sz w:val="36"/>
      <w:szCs w:val="20"/>
      <w:lang w:eastAsia="fr-FR"/>
    </w:rPr>
  </w:style>
  <w:style w:type="paragraph" w:customStyle="1" w:styleId="Versiondudocument">
    <w:name w:val="Version du document"/>
    <w:basedOn w:val="Normal"/>
    <w:uiPriority w:val="99"/>
    <w:rsid w:val="001C03CB"/>
    <w:pPr>
      <w:spacing w:before="120" w:after="0" w:line="288" w:lineRule="auto"/>
      <w:jc w:val="left"/>
    </w:pPr>
    <w:rPr>
      <w:rFonts w:ascii="Arial Narrow" w:eastAsia="Times New Roman" w:hAnsi="Arial Narrow" w:cs="Arial"/>
      <w:color w:val="999999"/>
      <w:sz w:val="28"/>
      <w:szCs w:val="24"/>
      <w:lang w:eastAsia="fr-FR"/>
    </w:rPr>
  </w:style>
  <w:style w:type="character" w:customStyle="1" w:styleId="TexteTableau9ptsNormalCar">
    <w:name w:val="Texte Tableau 9 pts Normal Car"/>
    <w:link w:val="TexteTableau9ptsNormal"/>
    <w:locked/>
    <w:rsid w:val="001C03CB"/>
    <w:rPr>
      <w:rFonts w:ascii="Arial" w:eastAsia="Times New Roman" w:hAnsi="Arial" w:cs="Times New Roman"/>
      <w:sz w:val="32"/>
      <w:szCs w:val="32"/>
      <w:lang w:val="en-GB" w:eastAsia="fr-FR"/>
    </w:rPr>
  </w:style>
  <w:style w:type="character" w:customStyle="1" w:styleId="ReferencearticleCar">
    <w:name w:val="Reference article Car"/>
    <w:aliases w:val="ouvrage Car"/>
    <w:link w:val="Referencearticle"/>
    <w:uiPriority w:val="99"/>
    <w:locked/>
    <w:rsid w:val="001C03CB"/>
    <w:rPr>
      <w:rFonts w:ascii="Arial Narrow" w:eastAsia="Times New Roman" w:hAnsi="Arial Narrow" w:cs="Times New Roman"/>
      <w:i/>
      <w:color w:val="93AC00"/>
      <w:szCs w:val="20"/>
      <w:lang w:eastAsia="fr-FR"/>
    </w:rPr>
  </w:style>
  <w:style w:type="character" w:customStyle="1" w:styleId="Normal-Gras-VertCarCar">
    <w:name w:val="Normal - Gras - Vert Car Car"/>
    <w:link w:val="Normal-Gras-Vert"/>
    <w:uiPriority w:val="99"/>
    <w:locked/>
    <w:rsid w:val="001C03CB"/>
    <w:rPr>
      <w:rFonts w:ascii="Arial" w:eastAsia="Times New Roman" w:hAnsi="Arial" w:cs="Times New Roman"/>
      <w:b/>
      <w:bCs/>
      <w:color w:val="93AC00"/>
      <w:sz w:val="32"/>
      <w:szCs w:val="32"/>
    </w:rPr>
  </w:style>
  <w:style w:type="character" w:customStyle="1" w:styleId="TextepieddepagedroitCar">
    <w:name w:val="Texte pied de page droit Car"/>
    <w:link w:val="Textepieddepagedroit"/>
    <w:uiPriority w:val="99"/>
    <w:locked/>
    <w:rsid w:val="001C03CB"/>
    <w:rPr>
      <w:rFonts w:ascii="Arial Narrow" w:eastAsia="Times New Roman" w:hAnsi="Arial Narrow" w:cs="Arial"/>
      <w:color w:val="808080"/>
      <w:sz w:val="18"/>
      <w:szCs w:val="20"/>
      <w:lang w:eastAsia="fr-FR"/>
    </w:rPr>
  </w:style>
  <w:style w:type="paragraph" w:customStyle="1" w:styleId="Texteentetepagegauche">
    <w:name w:val="Texte entete page gauche"/>
    <w:uiPriority w:val="99"/>
    <w:rsid w:val="001C03CB"/>
    <w:pPr>
      <w:tabs>
        <w:tab w:val="center" w:pos="4860"/>
        <w:tab w:val="right" w:pos="9540"/>
      </w:tabs>
      <w:spacing w:after="0" w:line="240" w:lineRule="auto"/>
    </w:pPr>
    <w:rPr>
      <w:rFonts w:ascii="Arial" w:eastAsia="Times New Roman" w:hAnsi="Arial" w:cs="Times New Roman"/>
      <w:color w:val="808080"/>
      <w:sz w:val="16"/>
      <w:szCs w:val="16"/>
      <w:lang w:eastAsia="fr-FR"/>
    </w:rPr>
  </w:style>
  <w:style w:type="paragraph" w:customStyle="1" w:styleId="Listesnumrotes">
    <w:name w:val="Listes numérotées"/>
    <w:basedOn w:val="Normal"/>
    <w:uiPriority w:val="99"/>
    <w:rsid w:val="001C03CB"/>
    <w:pPr>
      <w:numPr>
        <w:numId w:val="137"/>
      </w:numPr>
      <w:spacing w:after="0" w:line="288" w:lineRule="auto"/>
    </w:pPr>
    <w:rPr>
      <w:rFonts w:ascii="Arial" w:eastAsia="Times New Roman" w:hAnsi="Arial" w:cs="Times New Roman"/>
      <w:color w:val="auto"/>
      <w:sz w:val="20"/>
      <w:szCs w:val="24"/>
      <w:lang w:eastAsia="fr-FR"/>
    </w:rPr>
  </w:style>
  <w:style w:type="paragraph" w:customStyle="1" w:styleId="texte0">
    <w:name w:val="texte"/>
    <w:basedOn w:val="Normal"/>
    <w:uiPriority w:val="99"/>
    <w:rsid w:val="001C03CB"/>
    <w:pPr>
      <w:overflowPunct w:val="0"/>
      <w:autoSpaceDE w:val="0"/>
      <w:autoSpaceDN w:val="0"/>
      <w:adjustRightInd w:val="0"/>
      <w:spacing w:after="60" w:line="240" w:lineRule="auto"/>
      <w:textAlignment w:val="baseline"/>
    </w:pPr>
    <w:rPr>
      <w:rFonts w:eastAsia="Times New Roman" w:cs="Times New Roman"/>
      <w:color w:val="auto"/>
      <w:sz w:val="22"/>
      <w:szCs w:val="20"/>
      <w:lang w:eastAsia="fr-FR"/>
    </w:rPr>
  </w:style>
  <w:style w:type="character" w:styleId="BookTitle">
    <w:name w:val="Book Title"/>
    <w:uiPriority w:val="33"/>
    <w:qFormat/>
    <w:rsid w:val="001C03CB"/>
    <w:rPr>
      <w:b/>
      <w:bCs/>
      <w:i/>
      <w:iCs/>
      <w:spacing w:val="5"/>
    </w:rPr>
  </w:style>
  <w:style w:type="character" w:customStyle="1" w:styleId="grasbleuleft02">
    <w:name w:val="grasbleuleft02"/>
    <w:basedOn w:val="DefaultParagraphFont"/>
    <w:rsid w:val="001C03CB"/>
  </w:style>
  <w:style w:type="character" w:customStyle="1" w:styleId="grasbleuleft">
    <w:name w:val="grasbleuleft"/>
    <w:basedOn w:val="DefaultParagraphFont"/>
    <w:rsid w:val="001C03CB"/>
  </w:style>
  <w:style w:type="character" w:styleId="HTMLAcronym">
    <w:name w:val="HTML Acronym"/>
    <w:basedOn w:val="DefaultParagraphFont"/>
    <w:rsid w:val="001C03CB"/>
  </w:style>
  <w:style w:type="paragraph" w:styleId="TOAHeading">
    <w:name w:val="toa heading"/>
    <w:basedOn w:val="Normal"/>
    <w:next w:val="Normal"/>
    <w:uiPriority w:val="99"/>
    <w:semiHidden/>
    <w:unhideWhenUsed/>
    <w:rsid w:val="001C03CB"/>
    <w:pPr>
      <w:spacing w:before="120" w:after="0" w:line="240" w:lineRule="exact"/>
      <w:jc w:val="left"/>
    </w:pPr>
    <w:rPr>
      <w:rFonts w:ascii="Cambria" w:eastAsia="Times New Roman" w:hAnsi="Cambria" w:cs="Times New Roman"/>
      <w:b/>
      <w:bCs/>
      <w:color w:val="auto"/>
      <w:szCs w:val="24"/>
    </w:rPr>
  </w:style>
  <w:style w:type="character" w:customStyle="1" w:styleId="longtext">
    <w:name w:val="long_text"/>
    <w:basedOn w:val="DefaultParagraphFont"/>
    <w:rsid w:val="001C03CB"/>
  </w:style>
  <w:style w:type="paragraph" w:customStyle="1" w:styleId="yiv1759398069msonormal">
    <w:name w:val="yiv1759398069msonormal"/>
    <w:basedOn w:val="Normal"/>
    <w:uiPriority w:val="99"/>
    <w:rsid w:val="001C03CB"/>
    <w:pPr>
      <w:spacing w:before="100" w:beforeAutospacing="1" w:after="100" w:afterAutospacing="1" w:line="240" w:lineRule="auto"/>
      <w:jc w:val="left"/>
    </w:pPr>
    <w:rPr>
      <w:rFonts w:eastAsia="Times New Roman" w:cs="Times New Roman"/>
      <w:color w:val="auto"/>
      <w:szCs w:val="24"/>
      <w:lang w:eastAsia="fr-FR"/>
    </w:rPr>
  </w:style>
  <w:style w:type="character" w:customStyle="1" w:styleId="st">
    <w:name w:val="st"/>
    <w:basedOn w:val="DefaultParagraphFont"/>
    <w:rsid w:val="001C03CB"/>
  </w:style>
  <w:style w:type="character" w:customStyle="1" w:styleId="Style1Car">
    <w:name w:val="Style1 Car"/>
    <w:link w:val="Style1"/>
    <w:rsid w:val="001C03CB"/>
    <w:rPr>
      <w:rFonts w:ascii="Arial Black" w:eastAsia="Times New Roman" w:hAnsi="Arial Black" w:cs="Times New Roman"/>
      <w:b/>
      <w:bCs/>
      <w:caps/>
      <w:noProof/>
      <w:w w:val="110"/>
      <w:sz w:val="28"/>
      <w:szCs w:val="24"/>
      <w:lang w:val="en-US" w:eastAsia="fr-FR"/>
    </w:rPr>
  </w:style>
  <w:style w:type="table" w:customStyle="1" w:styleId="TableauGrille4-Accentuation41">
    <w:name w:val="Tableau Grille 4 - Accentuation 41"/>
    <w:basedOn w:val="TableNormal"/>
    <w:uiPriority w:val="49"/>
    <w:rsid w:val="001C03CB"/>
    <w:pPr>
      <w:spacing w:after="0" w:line="240" w:lineRule="auto"/>
    </w:pPr>
    <w:rPr>
      <w:rFonts w:ascii="Calibri" w:eastAsia="Calibri" w:hAnsi="Calibri" w:cs="Times New Roman"/>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bCs/>
      </w:rPr>
      <w:tblPr/>
      <w:tcPr>
        <w:tcBorders>
          <w:top w:val="double" w:sz="4" w:space="0" w:color="FFC000"/>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TableauGrille4-Accentuation21">
    <w:name w:val="Tableau Grille 4 - Accentuation 21"/>
    <w:basedOn w:val="TableNormal"/>
    <w:uiPriority w:val="49"/>
    <w:rsid w:val="001C03CB"/>
    <w:pPr>
      <w:spacing w:after="0" w:line="240" w:lineRule="auto"/>
    </w:pPr>
    <w:rPr>
      <w:rFonts w:ascii="Calibri" w:eastAsia="Calibri" w:hAnsi="Calibri" w:cs="Times New Roman"/>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eauGrille4-Accentuation61">
    <w:name w:val="Tableau Grille 4 - Accentuation 61"/>
    <w:basedOn w:val="TableNormal"/>
    <w:uiPriority w:val="49"/>
    <w:rsid w:val="001C03CB"/>
    <w:pPr>
      <w:spacing w:after="0" w:line="240" w:lineRule="auto"/>
    </w:pPr>
    <w:rPr>
      <w:rFonts w:ascii="Calibri" w:eastAsia="Calibri" w:hAnsi="Calibri" w:cs="Times New Roman"/>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auGrille4-Accentuation31">
    <w:name w:val="Tableau Grille 4 - Accentuation 31"/>
    <w:basedOn w:val="TableNormal"/>
    <w:uiPriority w:val="49"/>
    <w:rsid w:val="001C03CB"/>
    <w:pPr>
      <w:spacing w:after="0" w:line="240" w:lineRule="auto"/>
    </w:pPr>
    <w:rPr>
      <w:rFonts w:ascii="Calibri" w:eastAsia="Calibri" w:hAnsi="Calibri" w:cs="Times New Roman"/>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paragraph" w:customStyle="1" w:styleId="ox-6df07ebcf7-msonormal">
    <w:name w:val="ox-6df07ebcf7-msonormal"/>
    <w:basedOn w:val="Normal"/>
    <w:rsid w:val="001C03CB"/>
    <w:pPr>
      <w:spacing w:before="100" w:beforeAutospacing="1" w:after="100" w:afterAutospacing="1" w:line="240" w:lineRule="auto"/>
      <w:jc w:val="left"/>
    </w:pPr>
    <w:rPr>
      <w:rFonts w:eastAsia="Times New Roman" w:cs="Times New Roman"/>
      <w:color w:val="auto"/>
      <w:szCs w:val="24"/>
      <w:lang w:eastAsia="fr-FR"/>
    </w:rPr>
  </w:style>
  <w:style w:type="paragraph" w:customStyle="1" w:styleId="ox-6df07ebcf7-puceniveau1">
    <w:name w:val="ox-6df07ebcf7-puceniveau1"/>
    <w:basedOn w:val="Normal"/>
    <w:rsid w:val="001C03CB"/>
    <w:pPr>
      <w:spacing w:before="100" w:beforeAutospacing="1" w:after="100" w:afterAutospacing="1" w:line="240" w:lineRule="auto"/>
      <w:jc w:val="left"/>
    </w:pPr>
    <w:rPr>
      <w:rFonts w:eastAsia="Times New Roman" w:cs="Times New Roman"/>
      <w:color w:val="auto"/>
      <w:szCs w:val="24"/>
      <w:lang w:eastAsia="fr-FR"/>
    </w:rPr>
  </w:style>
  <w:style w:type="table" w:customStyle="1" w:styleId="TableauListe3-Accentuation51">
    <w:name w:val="Tableau Liste 3 - Accentuation 51"/>
    <w:basedOn w:val="TableNormal"/>
    <w:uiPriority w:val="48"/>
    <w:rsid w:val="001C03CB"/>
    <w:pPr>
      <w:spacing w:after="0" w:line="240" w:lineRule="auto"/>
    </w:p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customStyle="1" w:styleId="TableauListe3-Accentuation61">
    <w:name w:val="Tableau Liste 3 - Accentuation 61"/>
    <w:basedOn w:val="TableNormal"/>
    <w:uiPriority w:val="48"/>
    <w:rsid w:val="001C03CB"/>
    <w:pPr>
      <w:spacing w:after="0"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paragraph" w:customStyle="1" w:styleId="OMEF4">
    <w:name w:val="OMEF 4"/>
    <w:basedOn w:val="ListParagraph"/>
    <w:autoRedefine/>
    <w:qFormat/>
    <w:rsid w:val="001C03CB"/>
    <w:pPr>
      <w:numPr>
        <w:ilvl w:val="2"/>
        <w:numId w:val="138"/>
      </w:numPr>
      <w:tabs>
        <w:tab w:val="num" w:pos="360"/>
      </w:tabs>
      <w:spacing w:before="240" w:after="240" w:line="276" w:lineRule="auto"/>
      <w:ind w:left="720" w:firstLine="0"/>
      <w:outlineLvl w:val="2"/>
    </w:pPr>
    <w:rPr>
      <w:rFonts w:ascii="Calibri" w:eastAsia="Calibri" w:hAnsi="Calibri" w:cs="Times New Roman"/>
      <w:b/>
      <w:noProof/>
      <w:color w:val="auto"/>
      <w:szCs w:val="32"/>
      <w:lang w:val="x-none" w:eastAsia="en-US"/>
    </w:rPr>
  </w:style>
  <w:style w:type="paragraph" w:customStyle="1" w:styleId="OMEF2">
    <w:name w:val="OMEF2"/>
    <w:basedOn w:val="ListParagraph"/>
    <w:autoRedefine/>
    <w:qFormat/>
    <w:rsid w:val="001C03CB"/>
    <w:pPr>
      <w:numPr>
        <w:numId w:val="138"/>
      </w:numPr>
      <w:tabs>
        <w:tab w:val="num" w:pos="360"/>
      </w:tabs>
      <w:spacing w:before="240" w:after="0" w:line="276" w:lineRule="auto"/>
      <w:ind w:left="720" w:firstLine="0"/>
      <w:outlineLvl w:val="0"/>
    </w:pPr>
    <w:rPr>
      <w:rFonts w:ascii="Calibri" w:eastAsia="Calibri" w:hAnsi="Calibri" w:cs="Times New Roman"/>
      <w:b/>
      <w:noProof/>
      <w:color w:val="auto"/>
      <w:szCs w:val="32"/>
      <w:lang w:val="x-none" w:eastAsia="en-US"/>
    </w:rPr>
  </w:style>
  <w:style w:type="paragraph" w:customStyle="1" w:styleId="OMEF6">
    <w:name w:val="OMEF6"/>
    <w:basedOn w:val="ListParagraph"/>
    <w:autoRedefine/>
    <w:qFormat/>
    <w:rsid w:val="001C03CB"/>
    <w:pPr>
      <w:numPr>
        <w:ilvl w:val="4"/>
        <w:numId w:val="138"/>
      </w:numPr>
      <w:tabs>
        <w:tab w:val="num" w:pos="360"/>
      </w:tabs>
      <w:spacing w:after="0" w:line="276" w:lineRule="auto"/>
      <w:ind w:left="720" w:firstLine="0"/>
    </w:pPr>
    <w:rPr>
      <w:rFonts w:ascii="Calibri" w:eastAsia="Calibri" w:hAnsi="Calibri" w:cs="Arial"/>
      <w:b/>
      <w:noProof/>
      <w:color w:val="auto"/>
      <w:szCs w:val="32"/>
      <w:lang w:val="x-none" w:eastAsia="en-US"/>
    </w:rPr>
  </w:style>
  <w:style w:type="paragraph" w:customStyle="1" w:styleId="OMEF5">
    <w:name w:val="OMEF5"/>
    <w:basedOn w:val="ListParagraph"/>
    <w:autoRedefine/>
    <w:qFormat/>
    <w:rsid w:val="001C03CB"/>
    <w:pPr>
      <w:keepNext/>
      <w:numPr>
        <w:ilvl w:val="3"/>
        <w:numId w:val="138"/>
      </w:numPr>
      <w:tabs>
        <w:tab w:val="num" w:pos="360"/>
      </w:tabs>
      <w:spacing w:before="240" w:after="240" w:line="276" w:lineRule="auto"/>
      <w:ind w:left="720" w:firstLine="0"/>
    </w:pPr>
    <w:rPr>
      <w:rFonts w:ascii="Calibri" w:eastAsia="Calibri" w:hAnsi="Calibri" w:cs="Arial"/>
      <w:b/>
      <w:noProof/>
      <w:color w:val="auto"/>
      <w:szCs w:val="32"/>
      <w:lang w:eastAsia="en-US"/>
    </w:rPr>
  </w:style>
  <w:style w:type="paragraph" w:customStyle="1" w:styleId="OMEF3">
    <w:name w:val="OMEF3"/>
    <w:basedOn w:val="ListParagraph"/>
    <w:autoRedefine/>
    <w:qFormat/>
    <w:rsid w:val="001C03CB"/>
    <w:pPr>
      <w:numPr>
        <w:ilvl w:val="1"/>
        <w:numId w:val="138"/>
      </w:numPr>
      <w:tabs>
        <w:tab w:val="num" w:pos="360"/>
        <w:tab w:val="left" w:pos="851"/>
      </w:tabs>
      <w:spacing w:before="240" w:after="240" w:line="276" w:lineRule="auto"/>
      <w:ind w:left="720" w:firstLine="0"/>
      <w:outlineLvl w:val="1"/>
    </w:pPr>
    <w:rPr>
      <w:rFonts w:ascii="Calibri" w:eastAsia="Calibri" w:hAnsi="Calibri" w:cs="Times New Roman"/>
      <w:b/>
      <w:noProof/>
      <w:color w:val="auto"/>
      <w:szCs w:val="24"/>
      <w:lang w:val="x-none" w:eastAsia="en-US"/>
    </w:rPr>
  </w:style>
  <w:style w:type="character" w:customStyle="1" w:styleId="LightGrid-Accent3Char">
    <w:name w:val="Light Grid - Accent 3 Char"/>
    <w:aliases w:val="style3 Char,Paragraphe de liste rapport atelier Mada Char,Paragraphe de liste1 Char,Bullet L1 Char,Liste 1 Char,Johan bulletList Paragraph Char,ADB paragraph numbering Char,List Paragraph - CBG Char,Lvl 1 Bullet Char"/>
    <w:uiPriority w:val="34"/>
    <w:rsid w:val="007403B4"/>
    <w:rPr>
      <w:rFonts w:ascii="Arial" w:eastAsia="Calibri" w:hAnsi="Arial" w:cs="Times New Roman"/>
      <w:sz w:val="20"/>
      <w:szCs w:val="20"/>
      <w:lang w:eastAsia="ja-JP"/>
    </w:rPr>
  </w:style>
  <w:style w:type="paragraph" w:customStyle="1" w:styleId="EYnumlevel1">
    <w:name w:val="EY_num level 1"/>
    <w:basedOn w:val="Normal"/>
    <w:rsid w:val="007403B4"/>
    <w:pPr>
      <w:numPr>
        <w:ilvl w:val="1"/>
        <w:numId w:val="139"/>
      </w:numPr>
      <w:spacing w:after="120" w:line="240" w:lineRule="auto"/>
    </w:pPr>
    <w:rPr>
      <w:rFonts w:ascii="EYInterstate" w:eastAsia="Times New Roman" w:hAnsi="EYInterstate" w:cs="Times New Roman"/>
      <w:b/>
      <w:color w:val="808080"/>
      <w:sz w:val="32"/>
      <w:szCs w:val="24"/>
      <w:lang w:val="en-US"/>
    </w:rPr>
  </w:style>
  <w:style w:type="table" w:customStyle="1" w:styleId="GT03">
    <w:name w:val="GT03"/>
    <w:basedOn w:val="TableNormal"/>
    <w:next w:val="TableGrid"/>
    <w:uiPriority w:val="39"/>
    <w:rsid w:val="007403B4"/>
    <w:pPr>
      <w:spacing w:after="0" w:line="240" w:lineRule="auto"/>
    </w:pPr>
    <w:rPr>
      <w:rFonts w:ascii="Calibri" w:eastAsia="Calibri" w:hAnsi="Calibri"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style>
  <w:style w:type="paragraph" w:customStyle="1" w:styleId="BVIfnrCharCharCharCharCharChar1CharCharCharCharCharChar">
    <w:name w:val="BVI fnr Char Char Char Char Char Char1 Char Char Char Char Char Char"/>
    <w:aliases w:val="BVI fnr Car Car Char Char Char Char Char Char Char Char Char Char Char Char,BVI fnr Car Char Char Char Char Char Char Char Char Char Char Char Char Char"/>
    <w:basedOn w:val="Normal"/>
    <w:uiPriority w:val="99"/>
    <w:rsid w:val="007403B4"/>
    <w:pPr>
      <w:spacing w:after="0" w:line="240" w:lineRule="exact"/>
    </w:pPr>
    <w:rPr>
      <w:rFonts w:eastAsia="Calibri" w:cs="Times New Roman"/>
      <w:color w:val="auto"/>
      <w:vertAlign w:val="superscript"/>
    </w:rPr>
  </w:style>
  <w:style w:type="table" w:styleId="LightGrid-Accent3">
    <w:name w:val="Light Grid Accent 3"/>
    <w:basedOn w:val="TableNormal"/>
    <w:uiPriority w:val="34"/>
    <w:rsid w:val="007403B4"/>
    <w:pPr>
      <w:spacing w:after="0" w:line="240" w:lineRule="auto"/>
    </w:pPr>
    <w:rPr>
      <w:rFonts w:ascii="Arial" w:eastAsia="Calibri" w:hAnsi="Arial" w:cs="Times New Roman"/>
      <w:sz w:val="20"/>
      <w:szCs w:val="20"/>
      <w:lang w:eastAsia="fr-FR"/>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lastCol">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character" w:customStyle="1" w:styleId="UnresolvedMention2">
    <w:name w:val="Unresolved Mention2"/>
    <w:basedOn w:val="DefaultParagraphFont"/>
    <w:uiPriority w:val="99"/>
    <w:semiHidden/>
    <w:unhideWhenUsed/>
    <w:rsid w:val="00C9519B"/>
    <w:rPr>
      <w:color w:val="605E5C"/>
      <w:shd w:val="clear" w:color="auto" w:fill="E1DFDD"/>
    </w:rPr>
  </w:style>
  <w:style w:type="table" w:customStyle="1" w:styleId="GridTable1Light1">
    <w:name w:val="Grid Table 1 Light1"/>
    <w:basedOn w:val="TableNormal"/>
    <w:uiPriority w:val="46"/>
    <w:rsid w:val="005D77A4"/>
    <w:pPr>
      <w:spacing w:after="0" w:line="240" w:lineRule="auto"/>
    </w:pPr>
    <w:rPr>
      <w:rFonts w:eastAsia="Times New Roman"/>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dTable5Dark-Accent51">
    <w:name w:val="Grid Table 5 Dark - Accent 51"/>
    <w:basedOn w:val="TableNormal"/>
    <w:uiPriority w:val="50"/>
    <w:rsid w:val="005D77A4"/>
    <w:pPr>
      <w:spacing w:after="0" w:line="240" w:lineRule="auto"/>
    </w:pPr>
    <w:rPr>
      <w:rFonts w:ascii="Calibri" w:eastAsia="Calibri" w:hAnsi="Calibri" w:cs="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tblPr/>
      <w:tcPr>
        <w:shd w:val="clear" w:color="auto" w:fill="B6DDE8"/>
      </w:tcPr>
    </w:tblStylePr>
    <w:tblStylePr w:type="band1Horz">
      <w:tblPr/>
      <w:tcPr>
        <w:shd w:val="clear" w:color="auto" w:fill="B6DDE8"/>
      </w:tcPr>
    </w:tblStylePr>
  </w:style>
  <w:style w:type="table" w:customStyle="1" w:styleId="GridTable4-Accent11">
    <w:name w:val="Grid Table 4 - Accent 11"/>
    <w:basedOn w:val="TableNormal"/>
    <w:uiPriority w:val="49"/>
    <w:rsid w:val="005D77A4"/>
    <w:pPr>
      <w:spacing w:after="0" w:line="240" w:lineRule="auto"/>
    </w:pPr>
    <w:rPr>
      <w:rFonts w:ascii="Calibri" w:eastAsia="Calibri" w:hAnsi="Calibri" w:cs="Times New Roman"/>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GridTable4-Accent51">
    <w:name w:val="Grid Table 4 - Accent 51"/>
    <w:basedOn w:val="TableNormal"/>
    <w:uiPriority w:val="49"/>
    <w:rsid w:val="005D77A4"/>
    <w:pPr>
      <w:spacing w:after="0" w:line="240" w:lineRule="auto"/>
    </w:pPr>
    <w:rPr>
      <w:rFonts w:ascii="Calibri" w:eastAsia="Calibri" w:hAnsi="Calibri" w:cs="Times New Roman"/>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paragraph" w:customStyle="1" w:styleId="Sec3head2">
    <w:name w:val="Sec 3 head 2"/>
    <w:basedOn w:val="Normal"/>
    <w:autoRedefine/>
    <w:qFormat/>
    <w:rsid w:val="00AA52B0"/>
    <w:pPr>
      <w:tabs>
        <w:tab w:val="left" w:pos="430"/>
      </w:tabs>
      <w:spacing w:before="120" w:after="120" w:line="240" w:lineRule="auto"/>
      <w:ind w:left="431" w:hanging="425"/>
      <w:outlineLvl w:val="2"/>
    </w:pPr>
    <w:rPr>
      <w:rFonts w:ascii="Times New Roman Bold" w:eastAsia="Times New Roman" w:hAnsi="Times New Roman Bold" w:cs="Times New Roman Bold"/>
      <w:b/>
      <w:i/>
      <w:color w:val="auto"/>
      <w:szCs w:val="28"/>
      <w:lang w:eastAsia="zh-CN"/>
    </w:rPr>
  </w:style>
  <w:style w:type="paragraph" w:customStyle="1" w:styleId="Puce1">
    <w:name w:val="Puce 1"/>
    <w:basedOn w:val="Normal"/>
    <w:rsid w:val="00AA52B0"/>
    <w:pPr>
      <w:numPr>
        <w:numId w:val="143"/>
      </w:numPr>
      <w:autoSpaceDE w:val="0"/>
      <w:autoSpaceDN w:val="0"/>
      <w:adjustRightInd w:val="0"/>
      <w:textAlignment w:val="center"/>
    </w:pPr>
    <w:rPr>
      <w:rFonts w:cs="Calibri"/>
      <w:color w:val="auto"/>
      <w:szCs w:val="20"/>
    </w:rPr>
  </w:style>
  <w:style w:type="paragraph" w:customStyle="1" w:styleId="normaltext">
    <w:name w:val="normal text"/>
    <w:basedOn w:val="Normal"/>
    <w:rsid w:val="00AA52B0"/>
    <w:pPr>
      <w:spacing w:before="200" w:after="0" w:line="240" w:lineRule="auto"/>
    </w:pPr>
    <w:rPr>
      <w:rFonts w:ascii="Calibri" w:hAnsi="Calibri"/>
      <w:color w:val="auto"/>
      <w:sz w:val="20"/>
      <w:szCs w:val="20"/>
    </w:rPr>
  </w:style>
  <w:style w:type="table" w:customStyle="1" w:styleId="TableGrid00">
    <w:name w:val="Table Grid0"/>
    <w:uiPriority w:val="99"/>
    <w:rsid w:val="003D30E7"/>
    <w:pPr>
      <w:spacing w:after="0" w:line="240" w:lineRule="auto"/>
    </w:pPr>
    <w:rPr>
      <w:rFonts w:ascii="Calibri" w:eastAsia="Times New Roman" w:hAnsi="Calibri" w:cs="Times New Roman"/>
      <w:szCs w:val="20"/>
    </w:rPr>
    <w:tblPr>
      <w:tblCellMar>
        <w:top w:w="0" w:type="dxa"/>
        <w:left w:w="0" w:type="dxa"/>
        <w:bottom w:w="0" w:type="dxa"/>
        <w:right w:w="0" w:type="dxa"/>
      </w:tblCellMar>
    </w:tblPr>
  </w:style>
  <w:style w:type="character" w:customStyle="1" w:styleId="UnresolvedMention3">
    <w:name w:val="Unresolved Mention3"/>
    <w:basedOn w:val="DefaultParagraphFont"/>
    <w:uiPriority w:val="99"/>
    <w:semiHidden/>
    <w:unhideWhenUsed/>
    <w:rsid w:val="003D30E7"/>
    <w:rPr>
      <w:color w:val="605E5C"/>
      <w:shd w:val="clear" w:color="auto" w:fill="E1DFDD"/>
    </w:rPr>
  </w:style>
  <w:style w:type="table" w:customStyle="1" w:styleId="NormalTable0">
    <w:name w:val="Normal Table0"/>
    <w:uiPriority w:val="2"/>
    <w:semiHidden/>
    <w:unhideWhenUsed/>
    <w:qFormat/>
    <w:rsid w:val="003D30E7"/>
    <w:pPr>
      <w:widowControl w:val="0"/>
      <w:spacing w:after="0" w:line="240" w:lineRule="auto"/>
    </w:pPr>
    <w:rPr>
      <w:lang w:val="en-US"/>
    </w:rPr>
    <w:tblPr>
      <w:tblInd w:w="0" w:type="dxa"/>
      <w:tblCellMar>
        <w:top w:w="0" w:type="dxa"/>
        <w:left w:w="0" w:type="dxa"/>
        <w:bottom w:w="0" w:type="dxa"/>
        <w:right w:w="0" w:type="dxa"/>
      </w:tblCellMar>
    </w:tblPr>
  </w:style>
  <w:style w:type="table" w:styleId="GridTable1Light-Accent3">
    <w:name w:val="Grid Table 1 Light Accent 3"/>
    <w:basedOn w:val="TableNormal"/>
    <w:uiPriority w:val="46"/>
    <w:rsid w:val="003D30E7"/>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paragraph" w:customStyle="1" w:styleId="Titreannexe">
    <w:name w:val="Titre annexe"/>
    <w:basedOn w:val="Normal"/>
    <w:rsid w:val="003D30E7"/>
    <w:pPr>
      <w:keepNext/>
      <w:spacing w:before="200" w:after="0" w:line="240" w:lineRule="auto"/>
      <w:outlineLvl w:val="0"/>
    </w:pPr>
    <w:rPr>
      <w:rFonts w:ascii="Calibri" w:hAnsi="Calibri" w:cs="Calibri"/>
      <w:b/>
      <w:caps/>
      <w:color w:val="0578A1"/>
      <w:sz w:val="52"/>
      <w:szCs w:val="48"/>
    </w:rPr>
  </w:style>
  <w:style w:type="paragraph" w:customStyle="1" w:styleId="TAB">
    <w:name w:val="TAB"/>
    <w:basedOn w:val="Normal"/>
    <w:link w:val="TABCar"/>
    <w:rsid w:val="003D30E7"/>
    <w:pPr>
      <w:spacing w:before="40" w:after="40" w:line="180" w:lineRule="exact"/>
    </w:pPr>
    <w:rPr>
      <w:rFonts w:ascii="Arial" w:eastAsia="Times New Roman" w:hAnsi="Arial" w:cs="Times New Roman"/>
      <w:color w:val="auto"/>
      <w:sz w:val="18"/>
      <w:szCs w:val="20"/>
      <w:lang w:eastAsia="fr-FR"/>
    </w:rPr>
  </w:style>
  <w:style w:type="character" w:customStyle="1" w:styleId="TABCar">
    <w:name w:val="TAB Car"/>
    <w:link w:val="TAB"/>
    <w:qFormat/>
    <w:rsid w:val="003D30E7"/>
    <w:rPr>
      <w:rFonts w:ascii="Arial" w:eastAsia="Times New Roman" w:hAnsi="Arial" w:cs="Times New Roman"/>
      <w:sz w:val="18"/>
      <w:szCs w:val="20"/>
      <w:lang w:eastAsia="fr-FR"/>
    </w:rPr>
  </w:style>
  <w:style w:type="paragraph" w:customStyle="1" w:styleId="TBN">
    <w:name w:val="TBN"/>
    <w:basedOn w:val="Normal"/>
    <w:rsid w:val="003D30E7"/>
    <w:pPr>
      <w:spacing w:before="60" w:after="20" w:line="160" w:lineRule="exact"/>
      <w:jc w:val="center"/>
    </w:pPr>
    <w:rPr>
      <w:rFonts w:ascii="Arial" w:eastAsia="Times New Roman" w:hAnsi="Arial" w:cs="Times New Roman"/>
      <w:i/>
      <w:caps/>
      <w:color w:val="000000"/>
      <w:sz w:val="14"/>
      <w:szCs w:val="20"/>
      <w:lang w:eastAsia="fr-FR"/>
    </w:rPr>
  </w:style>
  <w:style w:type="paragraph" w:customStyle="1" w:styleId="bulletlist">
    <w:name w:val="bulletlist"/>
    <w:basedOn w:val="Normal"/>
    <w:rsid w:val="003D30E7"/>
    <w:pPr>
      <w:tabs>
        <w:tab w:val="left" w:pos="-720"/>
        <w:tab w:val="left" w:pos="0"/>
        <w:tab w:val="left" w:pos="720"/>
        <w:tab w:val="left" w:pos="990"/>
      </w:tabs>
      <w:overflowPunct w:val="0"/>
      <w:autoSpaceDE w:val="0"/>
      <w:autoSpaceDN w:val="0"/>
      <w:adjustRightInd w:val="0"/>
      <w:spacing w:after="120" w:line="240" w:lineRule="auto"/>
      <w:ind w:left="1080" w:hanging="360"/>
      <w:textAlignment w:val="baseline"/>
    </w:pPr>
    <w:rPr>
      <w:rFonts w:eastAsia="Times New Roman" w:cs="Times New Roman"/>
      <w:color w:val="auto"/>
      <w:spacing w:val="-3"/>
      <w:sz w:val="22"/>
      <w:szCs w:val="20"/>
    </w:rPr>
  </w:style>
  <w:style w:type="table" w:customStyle="1" w:styleId="TableGrid1">
    <w:name w:val="Table Grid1"/>
    <w:rsid w:val="003D30E7"/>
    <w:pPr>
      <w:spacing w:after="0" w:line="240" w:lineRule="auto"/>
    </w:pPr>
    <w:rPr>
      <w:rFonts w:eastAsiaTheme="minorEastAsia"/>
      <w:lang w:val="en-US"/>
    </w:rPr>
    <w:tblPr>
      <w:tblCellMar>
        <w:top w:w="0" w:type="dxa"/>
        <w:left w:w="0" w:type="dxa"/>
        <w:bottom w:w="0" w:type="dxa"/>
        <w:right w:w="0" w:type="dxa"/>
      </w:tblCellMar>
    </w:tblPr>
  </w:style>
  <w:style w:type="paragraph" w:customStyle="1" w:styleId="Paragraphedeliste1">
    <w:name w:val="Paragraphe de liste1"/>
    <w:basedOn w:val="Normal"/>
    <w:qFormat/>
    <w:rsid w:val="003D30E7"/>
    <w:pPr>
      <w:spacing w:after="0" w:line="240" w:lineRule="auto"/>
      <w:ind w:left="708"/>
      <w:jc w:val="left"/>
    </w:pPr>
    <w:rPr>
      <w:rFonts w:eastAsia="Times New Roman" w:cs="Times New Roman"/>
      <w:color w:val="auto"/>
      <w:szCs w:val="24"/>
      <w:lang w:eastAsia="fr-FR"/>
    </w:rPr>
  </w:style>
  <w:style w:type="character" w:customStyle="1" w:styleId="UnresolvedMention4">
    <w:name w:val="Unresolved Mention4"/>
    <w:basedOn w:val="DefaultParagraphFont"/>
    <w:uiPriority w:val="99"/>
    <w:semiHidden/>
    <w:unhideWhenUsed/>
    <w:rsid w:val="003D30E7"/>
    <w:rPr>
      <w:color w:val="605E5C"/>
      <w:shd w:val="clear" w:color="auto" w:fill="E1DFDD"/>
    </w:rPr>
  </w:style>
  <w:style w:type="character" w:customStyle="1" w:styleId="Mentionnonrsolue4">
    <w:name w:val="Mention non résolue4"/>
    <w:basedOn w:val="DefaultParagraphFont"/>
    <w:uiPriority w:val="99"/>
    <w:semiHidden/>
    <w:unhideWhenUsed/>
    <w:rsid w:val="00692C2C"/>
    <w:rPr>
      <w:color w:val="605E5C"/>
      <w:shd w:val="clear" w:color="auto" w:fill="E1DFDD"/>
    </w:rPr>
  </w:style>
  <w:style w:type="table" w:customStyle="1" w:styleId="TableNormal3">
    <w:name w:val="Table Normal3"/>
    <w:uiPriority w:val="2"/>
    <w:semiHidden/>
    <w:unhideWhenUsed/>
    <w:qFormat/>
    <w:rsid w:val="00570D0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styleId="UnresolvedMention">
    <w:name w:val="Unresolved Mention"/>
    <w:basedOn w:val="DefaultParagraphFont"/>
    <w:uiPriority w:val="99"/>
    <w:semiHidden/>
    <w:unhideWhenUsed/>
    <w:rsid w:val="0017750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9257872">
      <w:bodyDiv w:val="1"/>
      <w:marLeft w:val="0"/>
      <w:marRight w:val="0"/>
      <w:marTop w:val="0"/>
      <w:marBottom w:val="0"/>
      <w:divBdr>
        <w:top w:val="none" w:sz="0" w:space="0" w:color="auto"/>
        <w:left w:val="none" w:sz="0" w:space="0" w:color="auto"/>
        <w:bottom w:val="none" w:sz="0" w:space="0" w:color="auto"/>
        <w:right w:val="none" w:sz="0" w:space="0" w:color="auto"/>
      </w:divBdr>
    </w:div>
    <w:div w:id="71315613">
      <w:bodyDiv w:val="1"/>
      <w:marLeft w:val="0"/>
      <w:marRight w:val="0"/>
      <w:marTop w:val="0"/>
      <w:marBottom w:val="0"/>
      <w:divBdr>
        <w:top w:val="none" w:sz="0" w:space="0" w:color="auto"/>
        <w:left w:val="none" w:sz="0" w:space="0" w:color="auto"/>
        <w:bottom w:val="none" w:sz="0" w:space="0" w:color="auto"/>
        <w:right w:val="none" w:sz="0" w:space="0" w:color="auto"/>
      </w:divBdr>
    </w:div>
    <w:div w:id="147671363">
      <w:bodyDiv w:val="1"/>
      <w:marLeft w:val="0"/>
      <w:marRight w:val="0"/>
      <w:marTop w:val="0"/>
      <w:marBottom w:val="0"/>
      <w:divBdr>
        <w:top w:val="none" w:sz="0" w:space="0" w:color="auto"/>
        <w:left w:val="none" w:sz="0" w:space="0" w:color="auto"/>
        <w:bottom w:val="none" w:sz="0" w:space="0" w:color="auto"/>
        <w:right w:val="none" w:sz="0" w:space="0" w:color="auto"/>
      </w:divBdr>
    </w:div>
    <w:div w:id="292515953">
      <w:bodyDiv w:val="1"/>
      <w:marLeft w:val="0"/>
      <w:marRight w:val="0"/>
      <w:marTop w:val="0"/>
      <w:marBottom w:val="0"/>
      <w:divBdr>
        <w:top w:val="none" w:sz="0" w:space="0" w:color="auto"/>
        <w:left w:val="none" w:sz="0" w:space="0" w:color="auto"/>
        <w:bottom w:val="none" w:sz="0" w:space="0" w:color="auto"/>
        <w:right w:val="none" w:sz="0" w:space="0" w:color="auto"/>
      </w:divBdr>
      <w:divsChild>
        <w:div w:id="1577009628">
          <w:marLeft w:val="0"/>
          <w:marRight w:val="0"/>
          <w:marTop w:val="0"/>
          <w:marBottom w:val="0"/>
          <w:divBdr>
            <w:top w:val="none" w:sz="0" w:space="0" w:color="auto"/>
            <w:left w:val="none" w:sz="0" w:space="0" w:color="auto"/>
            <w:bottom w:val="none" w:sz="0" w:space="0" w:color="auto"/>
            <w:right w:val="none" w:sz="0" w:space="0" w:color="auto"/>
          </w:divBdr>
        </w:div>
        <w:div w:id="1033848664">
          <w:marLeft w:val="0"/>
          <w:marRight w:val="0"/>
          <w:marTop w:val="0"/>
          <w:marBottom w:val="0"/>
          <w:divBdr>
            <w:top w:val="none" w:sz="0" w:space="0" w:color="auto"/>
            <w:left w:val="none" w:sz="0" w:space="0" w:color="auto"/>
            <w:bottom w:val="none" w:sz="0" w:space="0" w:color="auto"/>
            <w:right w:val="none" w:sz="0" w:space="0" w:color="auto"/>
          </w:divBdr>
          <w:divsChild>
            <w:div w:id="1411124660">
              <w:marLeft w:val="0"/>
              <w:marRight w:val="0"/>
              <w:marTop w:val="0"/>
              <w:marBottom w:val="0"/>
              <w:divBdr>
                <w:top w:val="none" w:sz="0" w:space="0" w:color="auto"/>
                <w:left w:val="none" w:sz="0" w:space="0" w:color="auto"/>
                <w:bottom w:val="none" w:sz="0" w:space="0" w:color="auto"/>
                <w:right w:val="none" w:sz="0" w:space="0" w:color="auto"/>
              </w:divBdr>
              <w:divsChild>
                <w:div w:id="2008972369">
                  <w:marLeft w:val="0"/>
                  <w:marRight w:val="0"/>
                  <w:marTop w:val="0"/>
                  <w:marBottom w:val="0"/>
                  <w:divBdr>
                    <w:top w:val="none" w:sz="0" w:space="0" w:color="auto"/>
                    <w:left w:val="none" w:sz="0" w:space="0" w:color="auto"/>
                    <w:bottom w:val="none" w:sz="0" w:space="0" w:color="auto"/>
                    <w:right w:val="none" w:sz="0" w:space="0" w:color="auto"/>
                  </w:divBdr>
                  <w:divsChild>
                    <w:div w:id="1063140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4134551">
      <w:bodyDiv w:val="1"/>
      <w:marLeft w:val="0"/>
      <w:marRight w:val="0"/>
      <w:marTop w:val="0"/>
      <w:marBottom w:val="0"/>
      <w:divBdr>
        <w:top w:val="none" w:sz="0" w:space="0" w:color="auto"/>
        <w:left w:val="none" w:sz="0" w:space="0" w:color="auto"/>
        <w:bottom w:val="none" w:sz="0" w:space="0" w:color="auto"/>
        <w:right w:val="none" w:sz="0" w:space="0" w:color="auto"/>
      </w:divBdr>
    </w:div>
    <w:div w:id="852838760">
      <w:bodyDiv w:val="1"/>
      <w:marLeft w:val="0"/>
      <w:marRight w:val="0"/>
      <w:marTop w:val="0"/>
      <w:marBottom w:val="0"/>
      <w:divBdr>
        <w:top w:val="none" w:sz="0" w:space="0" w:color="auto"/>
        <w:left w:val="none" w:sz="0" w:space="0" w:color="auto"/>
        <w:bottom w:val="none" w:sz="0" w:space="0" w:color="auto"/>
        <w:right w:val="none" w:sz="0" w:space="0" w:color="auto"/>
      </w:divBdr>
    </w:div>
    <w:div w:id="1380280999">
      <w:bodyDiv w:val="1"/>
      <w:marLeft w:val="0"/>
      <w:marRight w:val="0"/>
      <w:marTop w:val="0"/>
      <w:marBottom w:val="0"/>
      <w:divBdr>
        <w:top w:val="none" w:sz="0" w:space="0" w:color="auto"/>
        <w:left w:val="none" w:sz="0" w:space="0" w:color="auto"/>
        <w:bottom w:val="none" w:sz="0" w:space="0" w:color="auto"/>
        <w:right w:val="none" w:sz="0" w:space="0" w:color="auto"/>
      </w:divBdr>
    </w:div>
    <w:div w:id="1950240400">
      <w:bodyDiv w:val="1"/>
      <w:marLeft w:val="0"/>
      <w:marRight w:val="0"/>
      <w:marTop w:val="0"/>
      <w:marBottom w:val="0"/>
      <w:divBdr>
        <w:top w:val="none" w:sz="0" w:space="0" w:color="auto"/>
        <w:left w:val="none" w:sz="0" w:space="0" w:color="auto"/>
        <w:bottom w:val="none" w:sz="0" w:space="0" w:color="auto"/>
        <w:right w:val="none" w:sz="0" w:space="0" w:color="auto"/>
      </w:divBdr>
    </w:div>
    <w:div w:id="20929719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header" Target="header1.xml"/><Relationship Id="rId42" Type="http://schemas.openxmlformats.org/officeDocument/2006/relationships/image" Target="media/image26.jpeg"/><Relationship Id="rId47" Type="http://schemas.openxmlformats.org/officeDocument/2006/relationships/image" Target="media/image31.jpeg"/><Relationship Id="rId63" Type="http://schemas.openxmlformats.org/officeDocument/2006/relationships/image" Target="media/image43.jpeg"/><Relationship Id="rId68" Type="http://schemas.openxmlformats.org/officeDocument/2006/relationships/image" Target="media/image48.jpeg"/><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14.png"/><Relationship Id="rId11" Type="http://schemas.openxmlformats.org/officeDocument/2006/relationships/image" Target="media/image3.png"/><Relationship Id="rId24" Type="http://schemas.openxmlformats.org/officeDocument/2006/relationships/header" Target="header3.xml"/><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footer" Target="footer7.xml"/><Relationship Id="rId58" Type="http://schemas.openxmlformats.org/officeDocument/2006/relationships/image" Target="media/image38.jpeg"/><Relationship Id="rId66" Type="http://schemas.openxmlformats.org/officeDocument/2006/relationships/image" Target="media/image46.jpeg"/><Relationship Id="rId74"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41.jpeg"/><Relationship Id="rId19" Type="http://schemas.openxmlformats.org/officeDocument/2006/relationships/footer" Target="footer3.xml"/><Relationship Id="rId14" Type="http://schemas.openxmlformats.org/officeDocument/2006/relationships/image" Target="media/image6.jpeg"/><Relationship Id="rId22" Type="http://schemas.openxmlformats.org/officeDocument/2006/relationships/header" Target="header2.xml"/><Relationship Id="rId27" Type="http://schemas.openxmlformats.org/officeDocument/2006/relationships/image" Target="media/image12.jpeg"/><Relationship Id="rId30" Type="http://schemas.openxmlformats.org/officeDocument/2006/relationships/image" Target="media/image15.emf"/><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36.jpeg"/><Relationship Id="rId64" Type="http://schemas.openxmlformats.org/officeDocument/2006/relationships/image" Target="media/image44.jpeg"/><Relationship Id="rId69" Type="http://schemas.openxmlformats.org/officeDocument/2006/relationships/image" Target="media/image49.jpeg"/><Relationship Id="rId8" Type="http://schemas.openxmlformats.org/officeDocument/2006/relationships/webSettings" Target="webSettings.xml"/><Relationship Id="rId51" Type="http://schemas.openxmlformats.org/officeDocument/2006/relationships/footer" Target="footer5.xml"/><Relationship Id="rId72" Type="http://schemas.openxmlformats.org/officeDocument/2006/relationships/footer" Target="footer8.xml"/><Relationship Id="rId3" Type="http://schemas.openxmlformats.org/officeDocument/2006/relationships/customXml" Target="../customXml/item3.xml"/><Relationship Id="rId12" Type="http://schemas.openxmlformats.org/officeDocument/2006/relationships/image" Target="media/image4.png"/><Relationship Id="rId17" Type="http://schemas.openxmlformats.org/officeDocument/2006/relationships/footer" Target="footer1.xml"/><Relationship Id="rId25" Type="http://schemas.openxmlformats.org/officeDocument/2006/relationships/image" Target="media/image10.jpeg"/><Relationship Id="rId33" Type="http://schemas.openxmlformats.org/officeDocument/2006/relationships/image" Target="media/image17.png"/><Relationship Id="rId38" Type="http://schemas.openxmlformats.org/officeDocument/2006/relationships/image" Target="media/image22.gif"/><Relationship Id="rId46" Type="http://schemas.openxmlformats.org/officeDocument/2006/relationships/image" Target="media/image30.png"/><Relationship Id="rId59" Type="http://schemas.openxmlformats.org/officeDocument/2006/relationships/image" Target="media/image39.jpg"/><Relationship Id="rId67" Type="http://schemas.openxmlformats.org/officeDocument/2006/relationships/image" Target="media/image47.jpeg"/><Relationship Id="rId20" Type="http://schemas.openxmlformats.org/officeDocument/2006/relationships/footer" Target="footer4.xml"/><Relationship Id="rId41" Type="http://schemas.openxmlformats.org/officeDocument/2006/relationships/image" Target="media/image25.jpeg"/><Relationship Id="rId54" Type="http://schemas.openxmlformats.org/officeDocument/2006/relationships/image" Target="media/image34.jpeg"/><Relationship Id="rId62" Type="http://schemas.openxmlformats.org/officeDocument/2006/relationships/image" Target="media/image42.jpeg"/><Relationship Id="rId70" Type="http://schemas.openxmlformats.org/officeDocument/2006/relationships/image" Target="media/image50.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7.png"/><Relationship Id="rId23" Type="http://schemas.openxmlformats.org/officeDocument/2006/relationships/image" Target="media/image9.emf"/><Relationship Id="rId28" Type="http://schemas.openxmlformats.org/officeDocument/2006/relationships/image" Target="media/image13.png"/><Relationship Id="rId36" Type="http://schemas.openxmlformats.org/officeDocument/2006/relationships/image" Target="media/image20.jpeg"/><Relationship Id="rId49" Type="http://schemas.openxmlformats.org/officeDocument/2006/relationships/image" Target="media/image33.png"/><Relationship Id="rId57" Type="http://schemas.openxmlformats.org/officeDocument/2006/relationships/image" Target="media/image37.jpg"/><Relationship Id="rId10" Type="http://schemas.openxmlformats.org/officeDocument/2006/relationships/endnotes" Target="endnotes.xml"/><Relationship Id="rId31" Type="http://schemas.openxmlformats.org/officeDocument/2006/relationships/image" Target="media/image16.emf"/><Relationship Id="rId44" Type="http://schemas.openxmlformats.org/officeDocument/2006/relationships/image" Target="media/image28.jpeg"/><Relationship Id="rId52" Type="http://schemas.openxmlformats.org/officeDocument/2006/relationships/footer" Target="footer6.xml"/><Relationship Id="rId60" Type="http://schemas.openxmlformats.org/officeDocument/2006/relationships/image" Target="media/image40.jpeg"/><Relationship Id="rId65" Type="http://schemas.openxmlformats.org/officeDocument/2006/relationships/image" Target="media/image45.jpeg"/><Relationship Id="rId73" Type="http://schemas.openxmlformats.org/officeDocument/2006/relationships/footer" Target="footer9.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5.jpeg"/><Relationship Id="rId18" Type="http://schemas.openxmlformats.org/officeDocument/2006/relationships/footer" Target="footer2.xml"/><Relationship Id="rId39" Type="http://schemas.openxmlformats.org/officeDocument/2006/relationships/image" Target="media/image23.jpeg"/><Relationship Id="rId34" Type="http://schemas.openxmlformats.org/officeDocument/2006/relationships/image" Target="media/image18.jpeg"/><Relationship Id="rId50" Type="http://schemas.openxmlformats.org/officeDocument/2006/relationships/header" Target="header4.xml"/><Relationship Id="rId55" Type="http://schemas.openxmlformats.org/officeDocument/2006/relationships/image" Target="media/image35.jpeg"/><Relationship Id="rId7" Type="http://schemas.openxmlformats.org/officeDocument/2006/relationships/settings" Target="settings.xml"/><Relationship Id="rId71" Type="http://schemas.openxmlformats.org/officeDocument/2006/relationships/image" Target="media/image51.jpeg"/></Relationships>
</file>

<file path=word/_rels/footnotes.xml.rels><?xml version="1.0" encoding="UTF-8" standalone="yes"?>
<Relationships xmlns="http://schemas.openxmlformats.org/package/2006/relationships"><Relationship Id="rId3" Type="http://schemas.openxmlformats.org/officeDocument/2006/relationships/hyperlink" Target="https://www.banquemondiale.org/fr/country/madagascar/publication/madagascar-economic-update-fostering-financial-inclusion" TargetMode="External"/><Relationship Id="rId2" Type="http://schemas.openxmlformats.org/officeDocument/2006/relationships/hyperlink" Target="https://midi-madagasikara.mg/2021/02/08/secteur-de-la-peche-une-production-annuelle-dune-valeur-de-750-millions-usd/" TargetMode="External"/><Relationship Id="rId1" Type="http://schemas.openxmlformats.org/officeDocument/2006/relationships/hyperlink" Target="https://madagascar.unfpa.org/fr/publications/rapport-annuel-2020-madagascar-comores-maurice-seychelles-la-marche-continue-m%C3%AAme-avec" TargetMode="External"/><Relationship Id="rId5" Type="http://schemas.openxmlformats.org/officeDocument/2006/relationships/hyperlink" Target="https://www.ifc.org/wps/wcm/connect/topics_ext_content/ifc_external_corporate_site/sustainability-at-ifc/policies-standards/ehs-guidelines" TargetMode="External"/><Relationship Id="rId4" Type="http://schemas.openxmlformats.org/officeDocument/2006/relationships/hyperlink" Target="https://www.banquemondiale.org/fr/country/madagascar/publication/madagascar-economic-update-fostering-financial-inclusion"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lcf76f155ced4ddcb4097134ff3c332f xmlns="2bf90e96-482f-4979-b392-abe1ceee45fc">
      <Terms xmlns="http://schemas.microsoft.com/office/infopath/2007/PartnerControls"/>
    </lcf76f155ced4ddcb4097134ff3c332f>
    <_ip_UnifiedCompliancePolicyProperties xmlns="http://schemas.microsoft.com/sharepoint/v3"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24921440C4BEE14FB6586DC0CF9718BB" ma:contentTypeVersion="14" ma:contentTypeDescription="Create a new document." ma:contentTypeScope="" ma:versionID="5f7203f95067c641cc62bcdda02b8ba9">
  <xsd:schema xmlns:xsd="http://www.w3.org/2001/XMLSchema" xmlns:xs="http://www.w3.org/2001/XMLSchema" xmlns:p="http://schemas.microsoft.com/office/2006/metadata/properties" xmlns:ns1="http://schemas.microsoft.com/sharepoint/v3" xmlns:ns2="2bf90e96-482f-4979-b392-abe1ceee45fc" targetNamespace="http://schemas.microsoft.com/office/2006/metadata/properties" ma:root="true" ma:fieldsID="ecd7dc6ed2b6481b10f4a6f2653eef85" ns1:_="" ns2:_="">
    <xsd:import namespace="http://schemas.microsoft.com/sharepoint/v3"/>
    <xsd:import namespace="2bf90e96-482f-4979-b392-abe1ceee45fc"/>
    <xsd:element name="properties">
      <xsd:complexType>
        <xsd:sequence>
          <xsd:element name="documentManagement">
            <xsd:complexType>
              <xsd:all>
                <xsd:element ref="ns2:MediaServiceAutoTags" minOccurs="0"/>
                <xsd:element ref="ns2:MediaServiceOCR" minOccurs="0"/>
                <xsd:element ref="ns2:MediaServiceGenerationTime" minOccurs="0"/>
                <xsd:element ref="ns2:MediaServiceEventHashCode" minOccurs="0"/>
                <xsd:element ref="ns2:MediaLengthInSeconds" minOccurs="0"/>
                <xsd:element ref="ns2:lcf76f155ced4ddcb4097134ff3c332f" minOccurs="0"/>
                <xsd:element ref="ns2:MediaServiceLocation" minOccurs="0"/>
                <xsd:element ref="ns2:MediaServiceObjectDetectorVersions" minOccurs="0"/>
                <xsd:element ref="ns2:MediaServiceSearchProperties" minOccurs="0"/>
                <xsd:element ref="ns1:_ip_UnifiedCompliancePolicyProperties" minOccurs="0"/>
                <xsd:element ref="ns1:_ip_UnifiedCompliancePolicyUIAction"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8" nillable="true" ma:displayName="Unified Compliance Policy Properties" ma:hidden="true" ma:internalName="_ip_UnifiedCompliancePolicyProperties">
      <xsd:simpleType>
        <xsd:restriction base="dms:Note"/>
      </xsd:simpleType>
    </xsd:element>
    <xsd:element name="_ip_UnifiedCompliancePolicyUIAction" ma:index="19"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bf90e96-482f-4979-b392-abe1ceee45fc" elementFormDefault="qualified">
    <xsd:import namespace="http://schemas.microsoft.com/office/2006/documentManagement/types"/>
    <xsd:import namespace="http://schemas.microsoft.com/office/infopath/2007/PartnerControls"/>
    <xsd:element name="MediaServiceAutoTags" ma:index="8" nillable="true" ma:displayName="Tags" ma:internalName="MediaServiceAutoTags" ma:readOnly="true">
      <xsd:simpleType>
        <xsd:restriction base="dms:Text"/>
      </xsd:simpleType>
    </xsd:element>
    <xsd:element name="MediaServiceOCR" ma:index="9" nillable="true" ma:displayName="Extracted Text" ma:internalName="MediaServiceOCR" ma:readOnly="true">
      <xsd:simpleType>
        <xsd:restriction base="dms:Note">
          <xsd:maxLength value="255"/>
        </xsd:restriction>
      </xsd:simpleType>
    </xsd:element>
    <xsd:element name="MediaServiceGenerationTime" ma:index="10" nillable="true" ma:displayName="MediaServiceGenerationTime" ma:hidden="true" ma:internalName="MediaServiceGenerationTime" ma:readOnly="true">
      <xsd:simpleType>
        <xsd:restriction base="dms:Text"/>
      </xsd:simpleType>
    </xsd:element>
    <xsd:element name="MediaServiceEventHashCode" ma:index="11" nillable="true" ma:displayName="MediaServiceEventHashCode" ma:hidden="true" ma:internalName="MediaServiceEventHashCode" ma:readOnly="true">
      <xsd:simpleType>
        <xsd:restriction base="dms:Text"/>
      </xsd:simpleType>
    </xsd:element>
    <xsd:element name="MediaLengthInSeconds" ma:index="12" nillable="true" ma:displayName="MediaLengthInSeconds" ma:hidden="true" ma:internalName="MediaLengthInSeconds" ma:readOnly="true">
      <xsd:simpleType>
        <xsd:restriction base="dms:Unknown"/>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2a6c10d7-b926-4fc0-945e-3cbf5049f6bd" ma:termSetId="09814cd3-568e-fe90-9814-8d621ff8fb84" ma:anchorId="fba54fb3-c3e1-fe81-a776-ca4b69148c4d" ma:open="true" ma:isKeyword="false">
      <xsd:complexType>
        <xsd:sequence>
          <xsd:element ref="pc:Terms" minOccurs="0" maxOccurs="1"/>
        </xsd:sequence>
      </xsd:complexType>
    </xsd:element>
    <xsd:element name="MediaServiceLocation" ma:index="15" nillable="true" ma:displayName="Location" ma:internalName="MediaServiceLocation" ma:readOnly="true">
      <xsd:simpleType>
        <xsd:restriction base="dms:Text"/>
      </xsd:simpleType>
    </xsd:element>
    <xsd:element name="MediaServiceObjectDetectorVersions" ma:index="16"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17" nillable="true" ma:displayName="MediaServiceSearchProperties" ma:hidden="true" ma:internalName="MediaServiceSearchProperties" ma:readOnly="true">
      <xsd:simpleType>
        <xsd:restriction base="dms:Note"/>
      </xsd:simpleType>
    </xsd:element>
    <xsd:element name="MediaServiceBillingMetadata" ma:index="20" nillable="true" ma:displayName="MediaServiceBillingMetadata" ma:hidden="true" ma:internalName="MediaServiceBilling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D883D30-7896-4B14-B87B-A1503EE1ECAE}">
  <ds:schemaRefs>
    <ds:schemaRef ds:uri="http://schemas.microsoft.com/office/2006/metadata/properties"/>
    <ds:schemaRef ds:uri="http://schemas.microsoft.com/office/infopath/2007/PartnerControls"/>
    <ds:schemaRef ds:uri="http://schemas.microsoft.com/sharepoint/v3"/>
    <ds:schemaRef ds:uri="2bf90e96-482f-4979-b392-abe1ceee45fc"/>
  </ds:schemaRefs>
</ds:datastoreItem>
</file>

<file path=customXml/itemProps2.xml><?xml version="1.0" encoding="utf-8"?>
<ds:datastoreItem xmlns:ds="http://schemas.openxmlformats.org/officeDocument/2006/customXml" ds:itemID="{90C50ABF-5514-4E49-B2C0-119BDB2ACCE8}">
  <ds:schemaRefs>
    <ds:schemaRef ds:uri="http://schemas.openxmlformats.org/officeDocument/2006/bibliography"/>
  </ds:schemaRefs>
</ds:datastoreItem>
</file>

<file path=customXml/itemProps3.xml><?xml version="1.0" encoding="utf-8"?>
<ds:datastoreItem xmlns:ds="http://schemas.openxmlformats.org/officeDocument/2006/customXml" ds:itemID="{3F2FB906-016D-41CF-B1E6-AE276AD78046}">
  <ds:schemaRefs>
    <ds:schemaRef ds:uri="http://schemas.microsoft.com/sharepoint/v3/contenttype/forms"/>
  </ds:schemaRefs>
</ds:datastoreItem>
</file>

<file path=customXml/itemProps4.xml><?xml version="1.0" encoding="utf-8"?>
<ds:datastoreItem xmlns:ds="http://schemas.openxmlformats.org/officeDocument/2006/customXml" ds:itemID="{7B572821-0D01-4EEA-A9D2-6B837BEDBCC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2bf90e96-482f-4979-b392-abe1ceee45f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70</TotalTime>
  <Pages>475</Pages>
  <Words>128452</Words>
  <Characters>715482</Characters>
  <Application>Microsoft Office Word</Application>
  <DocSecurity>0</DocSecurity>
  <Lines>23849</Lines>
  <Paragraphs>11104</Paragraphs>
  <ScaleCrop>false</ScaleCrop>
  <Company/>
  <LinksUpToDate>false</LinksUpToDate>
  <CharactersWithSpaces>832830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Lantosoa RAKOTOMIANINA</dc:creator>
  <cp:lastModifiedBy>Andrianjaka Rado Razafimandimby</cp:lastModifiedBy>
  <cp:revision>38</cp:revision>
  <cp:lastPrinted>2022-05-05T01:11:00Z</cp:lastPrinted>
  <dcterms:created xsi:type="dcterms:W3CDTF">2026-05-13T09:18:00Z</dcterms:created>
  <dcterms:modified xsi:type="dcterms:W3CDTF">2026-05-23T08:24:00Z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0x01010024921440C4BEE14FB6586DC0CF9718BB</vt:lpwstr>
  </property>
  <property fmtid="{D5CDD505-2E9C-101B-9397-08002B2CF9AE}" pid="3" name="WBDocs_Local_Document_Type">
    <vt:lpwstr/>
  </property>
  <property fmtid="{D5CDD505-2E9C-101B-9397-08002B2CF9AE}" pid="4" name="MediaServiceImageTags">
    <vt:lpwstr/>
  </property>
  <property fmtid="{D5CDD505-2E9C-101B-9397-08002B2CF9AE}" pid="5" name="lcf76f155ced4ddcb4097134ff3c332f">
    <vt:lpwstr/>
  </property>
  <property fmtid="{D5CDD505-2E9C-101B-9397-08002B2CF9AE}" pid="6" name="WBDocs_Originating_Unit">
    <vt:lpwstr>5;#AFMMG - WB Off: Antananarivo, Madagascar|4eeec89f-5e2a-4285-af80-bd56db593230</vt:lpwstr>
  </property>
  <property fmtid="{D5CDD505-2E9C-101B-9397-08002B2CF9AE}" pid="7" name="ClassificationContentMarkingFooterShapeIds">
    <vt:lpwstr>fc5f1b9,537de412,6dd65228,6e125b96,2c88b92e</vt:lpwstr>
  </property>
  <property fmtid="{D5CDD505-2E9C-101B-9397-08002B2CF9AE}" pid="8" name="ClassificationContentMarkingFooterFontProps">
    <vt:lpwstr>#000000,10,Aptos</vt:lpwstr>
  </property>
  <property fmtid="{D5CDD505-2E9C-101B-9397-08002B2CF9AE}" pid="9" name="ClassificationContentMarkingFooterText">
    <vt:lpwstr>Official Use Only</vt:lpwstr>
  </property>
  <property fmtid="{D5CDD505-2E9C-101B-9397-08002B2CF9AE}" pid="10" name="MSIP_Label_f1bf45b6-5649-4236-82a3-f45024cd282e_Enabled">
    <vt:lpwstr>true</vt:lpwstr>
  </property>
  <property fmtid="{D5CDD505-2E9C-101B-9397-08002B2CF9AE}" pid="11" name="MSIP_Label_f1bf45b6-5649-4236-82a3-f45024cd282e_SetDate">
    <vt:lpwstr>2026-05-11T10:54:57Z</vt:lpwstr>
  </property>
  <property fmtid="{D5CDD505-2E9C-101B-9397-08002B2CF9AE}" pid="12" name="MSIP_Label_f1bf45b6-5649-4236-82a3-f45024cd282e_Method">
    <vt:lpwstr>Privileged</vt:lpwstr>
  </property>
  <property fmtid="{D5CDD505-2E9C-101B-9397-08002B2CF9AE}" pid="13" name="MSIP_Label_f1bf45b6-5649-4236-82a3-f45024cd282e_Name">
    <vt:lpwstr>Official Use Only</vt:lpwstr>
  </property>
  <property fmtid="{D5CDD505-2E9C-101B-9397-08002B2CF9AE}" pid="14" name="MSIP_Label_f1bf45b6-5649-4236-82a3-f45024cd282e_SiteId">
    <vt:lpwstr>31a2fec0-266b-4c67-b56e-2796d8f59c36</vt:lpwstr>
  </property>
  <property fmtid="{D5CDD505-2E9C-101B-9397-08002B2CF9AE}" pid="15" name="MSIP_Label_f1bf45b6-5649-4236-82a3-f45024cd282e_ActionId">
    <vt:lpwstr>d73a0612-da96-4527-bd9f-d145f11230b8</vt:lpwstr>
  </property>
  <property fmtid="{D5CDD505-2E9C-101B-9397-08002B2CF9AE}" pid="16" name="MSIP_Label_f1bf45b6-5649-4236-82a3-f45024cd282e_ContentBits">
    <vt:lpwstr>2</vt:lpwstr>
  </property>
  <property fmtid="{D5CDD505-2E9C-101B-9397-08002B2CF9AE}" pid="17" name="MSIP_Label_f1bf45b6-5649-4236-82a3-f45024cd282e_Tag">
    <vt:lpwstr>10, 0, 1, 1</vt:lpwstr>
  </property>
  <property fmtid="{D5CDD505-2E9C-101B-9397-08002B2CF9AE}" pid="18" name="docLang">
    <vt:lpwstr>fr</vt:lpwstr>
  </property>
  <property fmtid="{D5CDD505-2E9C-101B-9397-08002B2CF9AE}" pid="19" name="i008215bacac45029ee8cafff4c8e93b">
    <vt:lpwstr>AFMMG - WB Off: Antananarivo, Madagascar|4eeec89f-5e2a-4285-af80-bd56db593230</vt:lpwstr>
  </property>
  <property fmtid="{D5CDD505-2E9C-101B-9397-08002B2CF9AE}" pid="20" name="o1cb080a3dca4eb8a0fd03c7cc8bf8f7">
    <vt:lpwstr/>
  </property>
  <property fmtid="{D5CDD505-2E9C-101B-9397-08002B2CF9AE}" pid="21" name="TaxCatchAll">
    <vt:lpwstr>5;#AFMMG - WB Off: Antananarivo, Madagascar|4eeec89f-5e2a-4285-af80-bd56db593230</vt:lpwstr>
  </property>
</Properties>
</file>